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B5EC36D"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 w:val="0"/>
        <w:snapToGrid/>
        <w:spacing w:line="560" w:lineRule="exact"/>
        <w:ind w:left="0" w:leftChars="0" w:right="0" w:rightChars="0" w:firstLine="0" w:firstLineChars="0"/>
        <w:jc w:val="lef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</w:p>
    <w:p w14:paraId="102E0663">
      <w:pPr>
        <w:pStyle w:val="2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jc w:val="lef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</w:p>
    <w:p w14:paraId="65A097F3">
      <w:pPr>
        <w:keepNext w:val="0"/>
        <w:keepLines w:val="0"/>
        <w:pageBreakBefore w:val="0"/>
        <w:widowControl w:val="0"/>
        <w:kinsoku/>
        <w:wordWrap/>
        <w:overflowPunct/>
        <w:autoSpaceDN/>
        <w:bidi w:val="0"/>
        <w:snapToGrid/>
        <w:spacing w:line="560" w:lineRule="exact"/>
        <w:textAlignment w:val="auto"/>
        <w:rPr>
          <w:rFonts w:hint="eastAsia"/>
        </w:rPr>
      </w:pPr>
    </w:p>
    <w:p w14:paraId="177E6DF8">
      <w:pPr>
        <w:keepNext w:val="0"/>
        <w:keepLines w:val="0"/>
        <w:pageBreakBefore w:val="0"/>
        <w:widowControl w:val="0"/>
        <w:kinsoku/>
        <w:wordWrap/>
        <w:overflowPunct/>
        <w:autoSpaceDN/>
        <w:bidi w:val="0"/>
        <w:snapToGrid/>
        <w:spacing w:line="560" w:lineRule="exact"/>
        <w:jc w:val="left"/>
        <w:textAlignment w:val="auto"/>
        <w:rPr>
          <w:rFonts w:hint="eastAsia"/>
        </w:rPr>
      </w:pPr>
    </w:p>
    <w:p w14:paraId="11C58A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rPr>
          <w:rFonts w:hint="eastAsia" w:ascii="Nimbus Roman No9 L" w:hAnsi="Nimbus Roman No9 L" w:eastAsia="仿宋_GB2312" w:cs="Nimbus Roman No9 L"/>
          <w:sz w:val="32"/>
          <w:szCs w:val="32"/>
        </w:rPr>
      </w:pPr>
      <w:r>
        <w:rPr>
          <w:rFonts w:hint="eastAsia" w:ascii="Nimbus Roman No9 L" w:hAnsi="Nimbus Roman No9 L" w:eastAsia="仿宋_GB2312" w:cs="Nimbus Roman No9 L"/>
          <w:sz w:val="32"/>
          <w:szCs w:val="32"/>
        </w:rPr>
        <w:t>同政办</w:t>
      </w:r>
      <w:r>
        <w:rPr>
          <w:rFonts w:hint="eastAsia" w:ascii="Nimbus Roman No9 L" w:hAnsi="Nimbus Roman No9 L" w:eastAsia="仿宋_GB2312" w:cs="Nimbus Roman No9 L"/>
          <w:sz w:val="32"/>
          <w:szCs w:val="32"/>
          <w:lang w:eastAsia="zh-CN"/>
        </w:rPr>
        <w:t>规</w:t>
      </w:r>
      <w:r>
        <w:rPr>
          <w:rFonts w:hint="eastAsia" w:ascii="Nimbus Roman No9 L" w:hAnsi="Nimbus Roman No9 L" w:eastAsia="仿宋_GB2312" w:cs="Nimbus Roman No9 L"/>
          <w:sz w:val="32"/>
          <w:szCs w:val="32"/>
        </w:rPr>
        <w:t>发〔</w:t>
      </w:r>
      <w:r>
        <w:rPr>
          <w:rFonts w:hint="eastAsia" w:ascii="Times New Roman" w:hAnsi="Times New Roman" w:eastAsia="仿宋_GB2312" w:cs="Times New Roman"/>
          <w:sz w:val="32"/>
          <w:szCs w:val="22"/>
          <w:lang w:val="en-US" w:eastAsia="zh-CN"/>
        </w:rPr>
        <w:t>2025</w:t>
      </w:r>
      <w:r>
        <w:rPr>
          <w:rFonts w:hint="eastAsia" w:ascii="Nimbus Roman No9 L" w:hAnsi="Nimbus Roman No9 L" w:eastAsia="仿宋_GB2312" w:cs="Nimbus Roman No9 L"/>
          <w:sz w:val="32"/>
          <w:szCs w:val="32"/>
        </w:rPr>
        <w:t>〕</w:t>
      </w:r>
      <w:r>
        <w:rPr>
          <w:rFonts w:hint="eastAsia" w:ascii="Times New Roman" w:hAnsi="Times New Roman" w:eastAsia="仿宋_GB2312" w:cs="Times New Roman"/>
          <w:sz w:val="32"/>
          <w:szCs w:val="22"/>
          <w:lang w:val="en-US" w:eastAsia="zh-CN"/>
        </w:rPr>
        <w:t>1</w:t>
      </w:r>
      <w:r>
        <w:rPr>
          <w:rFonts w:hint="eastAsia" w:ascii="Nimbus Roman No9 L" w:hAnsi="Nimbus Roman No9 L" w:eastAsia="仿宋_GB2312" w:cs="Nimbus Roman No9 L"/>
          <w:sz w:val="32"/>
          <w:szCs w:val="32"/>
        </w:rPr>
        <w:t>号</w:t>
      </w:r>
    </w:p>
    <w:p w14:paraId="619EB7D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</w:rPr>
      </w:pPr>
    </w:p>
    <w:p w14:paraId="68F86D65">
      <w:pPr>
        <w:pStyle w:val="18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560" w:lineRule="exact"/>
        <w:jc w:val="left"/>
        <w:textAlignment w:val="auto"/>
        <w:rPr>
          <w:rFonts w:hint="eastAsia"/>
        </w:rPr>
      </w:pPr>
    </w:p>
    <w:p w14:paraId="7FE9D21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关于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印发《</w:t>
      </w:r>
      <w:r>
        <w:rPr>
          <w:rFonts w:hint="default" w:ascii="Times New Roman" w:hAnsi="Times New Roman" w:eastAsia="方正小标宋简体" w:cs="Times New Roman"/>
          <w:spacing w:val="6"/>
          <w:sz w:val="44"/>
          <w:szCs w:val="44"/>
        </w:rPr>
        <w:t>同心县现代设施农业大棚运营管理制度（试行）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》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的通知</w:t>
      </w:r>
    </w:p>
    <w:p w14:paraId="3404784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Nimbus Roman No9 L" w:hAnsi="Nimbus Roman No9 L" w:eastAsia="仿宋_GB2312" w:cs="Nimbus Roman No9 L"/>
          <w:sz w:val="32"/>
          <w:szCs w:val="32"/>
          <w:lang w:eastAsia="zh-CN"/>
        </w:rPr>
      </w:pPr>
    </w:p>
    <w:p w14:paraId="7DDCC0D3">
      <w:pPr>
        <w:pStyle w:val="1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0" w:firstLineChars="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各乡镇人民政府（管委会），政府各部门、直属单位：</w:t>
      </w:r>
    </w:p>
    <w:p w14:paraId="30CE81C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eastAsia="仿宋_GB2312" w:cs="Times New Roman"/>
          <w:sz w:val="32"/>
          <w:szCs w:val="32"/>
        </w:rPr>
        <w:t>《</w:t>
      </w:r>
      <w:r>
        <w:rPr>
          <w:rFonts w:hint="eastAsia" w:ascii="Times New Roman" w:eastAsia="仿宋_GB2312" w:cs="Times New Roman"/>
          <w:sz w:val="32"/>
          <w:szCs w:val="32"/>
        </w:rPr>
        <w:t>同心县现代设施农业大棚运营管理制度（试行）》</w:t>
      </w:r>
      <w:r>
        <w:rPr>
          <w:rFonts w:ascii="Times New Roman" w:eastAsia="仿宋_GB2312" w:cs="Times New Roman"/>
          <w:sz w:val="32"/>
          <w:szCs w:val="32"/>
        </w:rPr>
        <w:t>已经</w:t>
      </w:r>
      <w:r>
        <w:rPr>
          <w:rFonts w:ascii="Times New Roman" w:hAnsi="Times New Roman" w:eastAsia="仿宋_GB2312"/>
          <w:sz w:val="32"/>
          <w:szCs w:val="32"/>
        </w:rPr>
        <w:t>县十九届人民政府第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80</w:t>
      </w:r>
      <w:r>
        <w:rPr>
          <w:rFonts w:ascii="Times New Roman" w:hAnsi="Times New Roman" w:eastAsia="仿宋_GB2312"/>
          <w:sz w:val="32"/>
          <w:szCs w:val="32"/>
        </w:rPr>
        <w:t>次常务会议研究通过</w:t>
      </w:r>
      <w:r>
        <w:rPr>
          <w:rFonts w:ascii="Times New Roman" w:eastAsia="仿宋_GB2312" w:cs="Times New Roman"/>
          <w:sz w:val="32"/>
          <w:szCs w:val="32"/>
        </w:rPr>
        <w:t>，现印发给你们，</w:t>
      </w:r>
      <w:r>
        <w:rPr>
          <w:rFonts w:ascii="Times New Roman" w:hAnsi="Times New Roman" w:eastAsia="仿宋_GB2312"/>
          <w:sz w:val="32"/>
          <w:szCs w:val="32"/>
        </w:rPr>
        <w:t>请认真贯彻执行。</w:t>
      </w:r>
    </w:p>
    <w:p w14:paraId="5FC897EE">
      <w:pPr>
        <w:keepNext w:val="0"/>
        <w:keepLines w:val="0"/>
        <w:pageBreakBefore w:val="0"/>
        <w:widowControl w:val="0"/>
        <w:kinsoku/>
        <w:wordWrap/>
        <w:overflowPunct/>
        <w:topLinePunct/>
        <w:autoSpaceDE w:val="0"/>
        <w:autoSpaceDN/>
        <w:bidi w:val="0"/>
        <w:adjustRightInd w:val="0"/>
        <w:spacing w:line="560" w:lineRule="exact"/>
        <w:ind w:left="0" w:leftChars="0" w:right="0" w:rightChars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</w:p>
    <w:p w14:paraId="5FAF73BE">
      <w:pPr>
        <w:pStyle w:val="10"/>
        <w:keepNext w:val="0"/>
        <w:keepLines w:val="0"/>
        <w:pageBreakBefore w:val="0"/>
        <w:widowControl w:val="0"/>
        <w:kinsoku/>
        <w:wordWrap/>
        <w:overflowPunct/>
        <w:autoSpaceDN/>
        <w:bidi w:val="0"/>
        <w:spacing w:line="560" w:lineRule="exac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</w:p>
    <w:p w14:paraId="3A2A9367">
      <w:pPr>
        <w:pStyle w:val="11"/>
        <w:keepNext w:val="0"/>
        <w:keepLines w:val="0"/>
        <w:pageBreakBefore w:val="0"/>
        <w:widowControl w:val="0"/>
        <w:kinsoku/>
        <w:wordWrap/>
        <w:overflowPunct/>
        <w:autoSpaceDN/>
        <w:bidi w:val="0"/>
        <w:spacing w:line="560" w:lineRule="exact"/>
        <w:textAlignment w:val="auto"/>
        <w:rPr>
          <w:rFonts w:hint="eastAsia"/>
        </w:rPr>
      </w:pPr>
    </w:p>
    <w:p w14:paraId="6D7189B0">
      <w:pPr>
        <w:keepNext w:val="0"/>
        <w:keepLines w:val="0"/>
        <w:pageBreakBefore w:val="0"/>
        <w:widowControl w:val="0"/>
        <w:tabs>
          <w:tab w:val="left" w:pos="7371"/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ind w:firstLine="4320" w:firstLineChars="1350"/>
        <w:textAlignment w:val="baseline"/>
        <w:rPr>
          <w:rFonts w:ascii="Times New Roman" w:hAnsi="Times New Roman" w:cs="Times New Roman"/>
        </w:rPr>
      </w:pPr>
      <w:r>
        <w:rPr>
          <w:rFonts w:ascii="Times New Roman" w:eastAsia="仿宋_GB2312" w:cs="Times New Roman"/>
          <w:sz w:val="32"/>
          <w:szCs w:val="32"/>
        </w:rPr>
        <w:t>同心县人民政府办公室</w:t>
      </w:r>
    </w:p>
    <w:p w14:paraId="3F52B400">
      <w:pPr>
        <w:keepNext w:val="0"/>
        <w:keepLines w:val="0"/>
        <w:pageBreakBefore w:val="0"/>
        <w:widowControl w:val="0"/>
        <w:tabs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ind w:firstLine="4640" w:firstLineChars="1450"/>
        <w:textAlignment w:val="baseline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202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ascii="Times New Roman" w:eastAsia="仿宋_GB2312" w:cs="Times New Roman"/>
          <w:sz w:val="32"/>
          <w:szCs w:val="32"/>
        </w:rPr>
        <w:t>年</w:t>
      </w:r>
      <w:r>
        <w:rPr>
          <w:rFonts w:hint="eastAsia" w:asci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ascii="Times New Roman" w:eastAsia="仿宋_GB2312" w:cs="Times New Roman"/>
          <w:sz w:val="32"/>
          <w:szCs w:val="32"/>
        </w:rPr>
        <w:t>月</w:t>
      </w:r>
      <w:r>
        <w:rPr>
          <w:rFonts w:hint="eastAsia" w:ascii="Times New Roman" w:eastAsia="仿宋_GB2312" w:cs="Times New Roman"/>
          <w:sz w:val="32"/>
          <w:szCs w:val="32"/>
          <w:lang w:val="en-US" w:eastAsia="zh-CN"/>
        </w:rPr>
        <w:t>12</w:t>
      </w:r>
      <w:r>
        <w:rPr>
          <w:rFonts w:ascii="Times New Roman" w:eastAsia="仿宋_GB2312" w:cs="Times New Roman"/>
          <w:sz w:val="32"/>
          <w:szCs w:val="32"/>
        </w:rPr>
        <w:t>日</w:t>
      </w:r>
    </w:p>
    <w:p w14:paraId="7478BD91">
      <w:pPr>
        <w:keepNext w:val="0"/>
        <w:keepLines w:val="0"/>
        <w:pageBreakBefore w:val="0"/>
        <w:widowControl w:val="0"/>
        <w:tabs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textAlignment w:val="baseline"/>
        <w:rPr>
          <w:rFonts w:ascii="Times New Roman" w:hAnsi="Times New Roman" w:eastAsia="仿宋_GB2312"/>
          <w:sz w:val="32"/>
          <w:szCs w:val="32"/>
        </w:rPr>
      </w:pPr>
    </w:p>
    <w:p w14:paraId="7DD74732">
      <w:pPr>
        <w:keepNext w:val="0"/>
        <w:keepLines w:val="0"/>
        <w:pageBreakBefore w:val="0"/>
        <w:widowControl w:val="0"/>
        <w:tabs>
          <w:tab w:val="left" w:pos="7797"/>
        </w:tabs>
        <w:kinsoku/>
        <w:wordWrap/>
        <w:overflowPunct/>
        <w:autoSpaceDN/>
        <w:bidi w:val="0"/>
        <w:snapToGrid w:val="0"/>
        <w:spacing w:line="560" w:lineRule="exact"/>
        <w:ind w:firstLine="640" w:firstLineChars="200"/>
        <w:textAlignment w:val="baseline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（此件公开发布）</w:t>
      </w:r>
    </w:p>
    <w:p w14:paraId="3A5276F5">
      <w:pP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44"/>
          <w:szCs w:val="44"/>
        </w:rPr>
        <w:br w:type="page"/>
      </w:r>
    </w:p>
    <w:p w14:paraId="398619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小标宋简体" w:cs="Times New Roman"/>
          <w:w w:val="98"/>
          <w:sz w:val="44"/>
          <w:szCs w:val="44"/>
          <w:highlight w:val="none"/>
          <w:lang w:eastAsia="zh-CN"/>
        </w:rPr>
      </w:pPr>
      <w:bookmarkStart w:id="0" w:name="_GoBack"/>
      <w:bookmarkEnd w:id="0"/>
      <w:r>
        <w:rPr>
          <w:rFonts w:hint="default" w:ascii="Times New Roman" w:hAnsi="Times New Roman" w:eastAsia="方正小标宋简体" w:cs="Times New Roman"/>
          <w:w w:val="98"/>
          <w:sz w:val="44"/>
          <w:szCs w:val="44"/>
          <w:highlight w:val="none"/>
          <w:lang w:eastAsia="zh-CN"/>
        </w:rPr>
        <w:t>同心县现代设施农业大棚运营管理</w:t>
      </w:r>
      <w:r>
        <w:rPr>
          <w:rFonts w:hint="default" w:ascii="Times New Roman" w:hAnsi="Times New Roman" w:eastAsia="方正小标宋简体" w:cs="Times New Roman"/>
          <w:w w:val="98"/>
          <w:sz w:val="44"/>
          <w:szCs w:val="44"/>
          <w:highlight w:val="none"/>
          <w:lang w:val="en-US" w:eastAsia="zh-CN"/>
        </w:rPr>
        <w:t>制度（试行）</w:t>
      </w:r>
    </w:p>
    <w:p w14:paraId="1F6F86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both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</w:rPr>
      </w:pPr>
    </w:p>
    <w:p w14:paraId="2B8D9D0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60" w:lineRule="exact"/>
        <w:ind w:left="0" w:leftChars="0" w:right="0" w:rightChars="0"/>
        <w:jc w:val="center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highlight w:val="none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highlight w:val="none"/>
        </w:rPr>
        <w:t>第一章 总则</w:t>
      </w:r>
    </w:p>
    <w:p w14:paraId="447AEA7C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eastAsia" w:ascii="楷体_GB2312" w:hAnsi="楷体_GB2312" w:eastAsia="楷体_GB2312" w:cs="楷体_GB2312"/>
          <w:b/>
          <w:bCs/>
          <w:sz w:val="32"/>
          <w:szCs w:val="32"/>
          <w:highlight w:val="none"/>
        </w:rPr>
        <w:t>第一条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 xml:space="preserve"> 为规范同心县现代设施农业大棚的运营管理，提高农业生产效率，保障农产品质量与安全，促进农业可持续发展，依据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《关于加强扶贫项目资产后续管理的指导意见》（国办函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〔20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21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〕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51号）、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《宁夏现代设施农业建设规划（2023-2030年）》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《宁夏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农村集体经济组织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</w:rPr>
        <w:t>“三资”管理制度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》等法律法规，结合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同心县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实际，制定本制度。</w:t>
      </w:r>
    </w:p>
    <w:p w14:paraId="18C47DB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</w:rPr>
        <w:t>第二条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本制度所称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现代设施农业大棚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（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以下简称“大棚”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），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指由支撑骨架（土木结构、砖木结构、全钢骨架）、塑料薄膜和卷帘机组成的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冷棚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；由两侧山墙、维护后墙体、支撑骨架（土木结构、砖木结构、全钢骨架）、塑料薄膜、保温被、卷帘机和其他增温设备组成的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暖棚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及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>所有附属设施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（附属设施包括分拣车间、冷库、蓄水池、防疫室、砂砾路、护栏、消防设施、育苗设施等）。</w:t>
      </w:r>
    </w:p>
    <w:p w14:paraId="77D01FD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</w:rPr>
        <w:t>第三条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本制度适用于同心县内所有从事生产、经营、管理现代设施农业大棚（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由各类政府资金投资建设，并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确权到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农村集体经济组织）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的单位和个人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，涉及单位和个人必须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 xml:space="preserve">自觉遵守国家法律法规和本制度，接受相关部门的监督检查。 </w:t>
      </w:r>
    </w:p>
    <w:p w14:paraId="48BE829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eastAsia="zh-CN"/>
        </w:rPr>
        <w:t>第四条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县农业农村局、自然资源局、林业和草原局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水务局、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供电公司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为行业指导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和资源保障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部门，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负责选址规划、资质审查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政策制定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及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技术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指导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；各乡镇（开发区）</w:t>
      </w:r>
      <w:r>
        <w:rPr>
          <w:rFonts w:hint="eastAsia" w:ascii="Times New Roman" w:hAnsi="Times New Roman" w:eastAsia="仿宋_GB2312"/>
          <w:sz w:val="32"/>
          <w:highlight w:val="none"/>
        </w:rPr>
        <w:t>为</w:t>
      </w:r>
      <w:r>
        <w:rPr>
          <w:rFonts w:hint="eastAsia" w:ascii="Times New Roman" w:hAnsi="Times New Roman" w:eastAsia="仿宋_GB2312"/>
          <w:sz w:val="32"/>
          <w:highlight w:val="none"/>
          <w:lang w:eastAsia="zh-CN"/>
        </w:rPr>
        <w:t>监督</w:t>
      </w:r>
      <w:r>
        <w:rPr>
          <w:rFonts w:hint="eastAsia" w:ascii="Times New Roman" w:hAnsi="Times New Roman" w:eastAsia="仿宋_GB2312"/>
          <w:sz w:val="32"/>
          <w:highlight w:val="none"/>
        </w:rPr>
        <w:t>责任主体，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负责本</w:t>
      </w:r>
      <w:r>
        <w:rPr>
          <w:rFonts w:hint="eastAsia" w:ascii="Times New Roman" w:hAnsi="Times New Roman" w:eastAsia="仿宋_GB2312"/>
          <w:sz w:val="32"/>
          <w:highlight w:val="none"/>
        </w:rPr>
        <w:t>行政区域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内大棚的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资产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分配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种植规划、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组织培训、监督考核、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协调服务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、产品营销</w:t>
      </w:r>
      <w:r>
        <w:rPr>
          <w:rFonts w:ascii="Times New Roman" w:hAnsi="Times New Roman" w:eastAsia="仿宋_GB2312" w:cs="Times New Roman"/>
          <w:sz w:val="32"/>
          <w:szCs w:val="32"/>
          <w:highlight w:val="none"/>
        </w:rPr>
        <w:t>等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工作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；</w:t>
      </w:r>
      <w:r>
        <w:rPr>
          <w:rFonts w:ascii="Times New Roman" w:hAnsi="Times New Roman" w:eastAsia="仿宋_GB2312"/>
          <w:sz w:val="32"/>
          <w:highlight w:val="none"/>
        </w:rPr>
        <w:t>农村集体经济组织</w:t>
      </w:r>
      <w:r>
        <w:rPr>
          <w:rFonts w:hint="eastAsia" w:ascii="Times New Roman" w:hAnsi="Times New Roman" w:eastAsia="仿宋_GB2312"/>
          <w:sz w:val="32"/>
          <w:highlight w:val="none"/>
        </w:rPr>
        <w:t>为管理责任主体，</w:t>
      </w:r>
      <w:r>
        <w:rPr>
          <w:rFonts w:hint="eastAsia" w:ascii="Times New Roman" w:hAnsi="Times New Roman" w:eastAsia="仿宋_GB2312"/>
          <w:sz w:val="32"/>
          <w:highlight w:val="none"/>
          <w:lang w:eastAsia="zh-CN"/>
        </w:rPr>
        <w:t>享有资产所有权，</w:t>
      </w:r>
      <w:r>
        <w:rPr>
          <w:rFonts w:hint="eastAsia" w:ascii="Times New Roman" w:hAnsi="Times New Roman" w:eastAsia="仿宋_GB2312"/>
          <w:sz w:val="32"/>
          <w:highlight w:val="none"/>
        </w:rPr>
        <w:t>负责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组织实施、</w:t>
      </w:r>
      <w:r>
        <w:rPr>
          <w:rFonts w:hint="eastAsia" w:ascii="Times New Roman" w:hAnsi="Times New Roman" w:eastAsia="仿宋_GB2312"/>
          <w:sz w:val="32"/>
          <w:highlight w:val="none"/>
        </w:rPr>
        <w:t>日常经营、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维修管护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、</w:t>
      </w:r>
      <w:r>
        <w:rPr>
          <w:rFonts w:hint="eastAsia" w:ascii="Times New Roman" w:hAnsi="Times New Roman" w:eastAsia="仿宋_GB2312"/>
          <w:sz w:val="32"/>
          <w:highlight w:val="none"/>
        </w:rPr>
        <w:t>资产管理</w:t>
      </w:r>
      <w:r>
        <w:rPr>
          <w:rFonts w:hint="eastAsia" w:ascii="Times New Roman" w:hAnsi="Times New Roman" w:eastAsia="仿宋_GB2312"/>
          <w:sz w:val="32"/>
          <w:highlight w:val="none"/>
          <w:lang w:eastAsia="zh-CN"/>
        </w:rPr>
        <w:t>、</w:t>
      </w:r>
      <w:r>
        <w:rPr>
          <w:rFonts w:hint="eastAsia" w:ascii="Times New Roman" w:hAnsi="Times New Roman" w:eastAsia="仿宋_GB2312"/>
          <w:sz w:val="32"/>
          <w:highlight w:val="none"/>
        </w:rPr>
        <w:t>收益分配</w:t>
      </w:r>
      <w:r>
        <w:rPr>
          <w:rFonts w:hint="eastAsia" w:ascii="Times New Roman" w:hAnsi="Times New Roman" w:eastAsia="仿宋_GB2312"/>
          <w:sz w:val="32"/>
          <w:highlight w:val="none"/>
          <w:lang w:eastAsia="zh-CN"/>
        </w:rPr>
        <w:t>、积极配合乡镇各项决策</w:t>
      </w:r>
      <w:r>
        <w:rPr>
          <w:rFonts w:hint="eastAsia" w:ascii="Times New Roman" w:hAnsi="Times New Roman" w:eastAsia="仿宋_GB2312"/>
          <w:sz w:val="32"/>
          <w:highlight w:val="none"/>
        </w:rPr>
        <w:t>；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农村集体经济组织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脱贫户、监测对象和低收入群体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为经营</w:t>
      </w:r>
      <w:r>
        <w:rPr>
          <w:rFonts w:hint="eastAsia" w:ascii="Times New Roman" w:hAnsi="Times New Roman" w:eastAsia="仿宋_GB2312"/>
          <w:sz w:val="32"/>
          <w:highlight w:val="none"/>
          <w:lang w:eastAsia="zh-CN"/>
        </w:rPr>
        <w:t>管护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责任主体（以下简称“经营主体”），享有使用权，负责依据本乡镇种植规划进行种植管理，保障产品收益，爱护设施设备，保持棚内卫生，及时落实防灾减灾措施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</w:rPr>
        <w:t>。</w:t>
      </w:r>
    </w:p>
    <w:p w14:paraId="4F9DAF4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60" w:lineRule="exact"/>
        <w:ind w:left="0" w:leftChars="0" w:right="0" w:rightChars="0"/>
        <w:jc w:val="center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</w:rPr>
      </w:pPr>
      <w:r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</w:rPr>
        <w:t xml:space="preserve">第二章 </w:t>
      </w:r>
      <w:r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  <w:lang w:eastAsia="zh-CN"/>
        </w:rPr>
        <w:t>资产管理</w:t>
      </w:r>
    </w:p>
    <w:p w14:paraId="08288855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highlight w:val="none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eastAsia="zh-CN"/>
        </w:rPr>
        <w:t>第五条</w:t>
      </w:r>
      <w:r>
        <w:rPr>
          <w:rFonts w:hint="default" w:ascii="Times New Roman" w:hAnsi="Times New Roman" w:eastAsia="仿宋_GB2312" w:cs="Times New Roman"/>
          <w:sz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乡镇（开发区）</w:t>
      </w:r>
      <w:r>
        <w:rPr>
          <w:rFonts w:hint="eastAsia" w:ascii="Times New Roman" w:hAnsi="Times New Roman" w:eastAsia="仿宋_GB2312" w:cs="Times New Roman"/>
          <w:sz w:val="32"/>
          <w:highlight w:val="none"/>
          <w:lang w:eastAsia="zh-CN"/>
        </w:rPr>
        <w:t>人民政府（管委会）对大棚资产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负有分配、确权、监管责任。应按照规定将资产分配、确权到农村集体经济组织，并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办理移交手续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（必须包含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移交单位、移交时间、名称、数量、原值、折旧、净值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及资产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现状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等信息）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。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定期对大棚资产管理情况进行监督。</w:t>
      </w:r>
    </w:p>
    <w:p w14:paraId="7A6984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eastAsia="zh-CN"/>
        </w:rPr>
        <w:t>第六条</w:t>
      </w:r>
      <w:r>
        <w:rPr>
          <w:rFonts w:hint="default" w:ascii="Times New Roman" w:hAnsi="Times New Roman" w:eastAsia="仿宋_GB2312" w:cs="Times New Roman"/>
          <w:sz w:val="32"/>
          <w:highlight w:val="none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highlight w:val="none"/>
          <w:lang w:eastAsia="zh-CN"/>
        </w:rPr>
        <w:t>村委会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为大棚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资产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所有人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，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享有资产所有权和处置权，负有资产登记和日常管理责任。应按照规定办理产权登记手续，及时将已确权资产的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信息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（必须包括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名称、数量、原值、折旧、净值、现状、运营方式、收益等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）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录入全国农村集体资产监督管理平台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。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每年</w:t>
      </w:r>
      <w:r>
        <w:rPr>
          <w:rFonts w:hint="eastAsia" w:ascii="Times New Roman" w:hAnsi="Times New Roman" w:eastAsia="仿宋_GB2312" w:cs="Times New Roman"/>
          <w:sz w:val="32"/>
          <w:highlight w:val="none"/>
          <w:lang w:eastAsia="zh-CN"/>
        </w:rPr>
        <w:t>年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底，对所有大棚资产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进行全面清查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确定各种资产、物资等实际结存数，与账存数核对，确保账实相符、账账相符、账表相符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，</w:t>
      </w:r>
      <w:r>
        <w:rPr>
          <w:rFonts w:hint="eastAsia" w:ascii="Times New Roman" w:hAnsi="Times New Roman" w:eastAsia="仿宋_GB2312" w:cs="Times New Roman"/>
          <w:sz w:val="32"/>
          <w:highlight w:val="none"/>
          <w:lang w:eastAsia="zh-CN"/>
        </w:rPr>
        <w:t>并</w:t>
      </w:r>
      <w:r>
        <w:rPr>
          <w:rFonts w:hint="default" w:ascii="Times New Roman" w:hAnsi="Times New Roman" w:eastAsia="仿宋_GB2312" w:cs="Times New Roman"/>
          <w:sz w:val="32"/>
          <w:highlight w:val="none"/>
          <w:lang w:eastAsia="zh-CN"/>
        </w:rPr>
        <w:t>将清理核对结果上报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乡镇（开发区）</w:t>
      </w:r>
      <w:r>
        <w:rPr>
          <w:rFonts w:hint="eastAsia" w:ascii="Times New Roman" w:hAnsi="Times New Roman" w:eastAsia="仿宋_GB2312" w:cs="Times New Roman"/>
          <w:sz w:val="32"/>
          <w:highlight w:val="none"/>
          <w:lang w:eastAsia="zh-CN"/>
        </w:rPr>
        <w:t>人民政府（管委会）备案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。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大棚资产处置属重大财务事项决策，发生出售、置换、报废等资产变化时，应严格按照“四议两公开”机制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《农村集体经济组织财务制度》及有关规定执行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；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大棚资产出现毁损、丢失等情况时，应及时查明原因，按相关规定及程序处理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属于人为造成的损失，由当事人作出相应赔偿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；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属于违纪违法的，乡镇（开发区）应及时作出处理，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并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追究相关责任人责任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并追缴损失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。</w:t>
      </w:r>
    </w:p>
    <w:p w14:paraId="2F6C336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ind w:left="0" w:leftChars="0" w:right="0" w:rightChars="0" w:firstLine="640" w:firstLineChars="200"/>
        <w:textAlignment w:val="auto"/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eastAsia="zh-CN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eastAsia="zh-CN"/>
        </w:rPr>
        <w:t>第七条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农村集体经济组织结合实际情况，通过公开、公平的承包或租赁程序进行分配。在同等条件下，可依法依规对脱贫户、监测对象和低收入群体予以优先支持。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经营主体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对大棚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享有使用权，对大棚资产负有日常维护责任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应每年与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农村集体经济组织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签订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经营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承包合同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并缴纳承包费用，承包费用和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使用年限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必须在合同中注明，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对于私搭乱建、闲置荒废、随意转让或改变用途的经营主体，取消其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当年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经营资格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，由农村集体经济组织及时收回并重新分配。</w:t>
      </w:r>
    </w:p>
    <w:p w14:paraId="1FFC88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60" w:lineRule="exact"/>
        <w:ind w:left="0" w:leftChars="0" w:right="0" w:rightChars="0"/>
        <w:jc w:val="center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  <w:lang w:val="en-US" w:eastAsia="zh-CN"/>
        </w:rPr>
      </w:pPr>
      <w:r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</w:rPr>
        <w:t>第三章</w:t>
      </w:r>
      <w:r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</w:rPr>
        <w:t>运行管理</w:t>
      </w:r>
    </w:p>
    <w:p w14:paraId="0D0B492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eastAsia="zh-CN"/>
        </w:rPr>
        <w:t>第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highlight w:val="none"/>
          <w:lang w:eastAsia="zh-CN"/>
        </w:rPr>
        <w:t>八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eastAsia="zh-CN"/>
        </w:rPr>
        <w:t>条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乡镇（开发区）</w:t>
      </w:r>
      <w:r>
        <w:rPr>
          <w:rFonts w:hint="eastAsia" w:ascii="Times New Roman" w:hAnsi="Times New Roman" w:eastAsia="仿宋_GB2312" w:cs="Times New Roman"/>
          <w:sz w:val="32"/>
          <w:highlight w:val="none"/>
          <w:lang w:eastAsia="zh-CN"/>
        </w:rPr>
        <w:t>人民政府（管委会）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为大棚运行监管责任主体，应确定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1名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班子成员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负责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大棚运行监管工作，定期召开现代设施农业产业发展专题会议，分析研判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市场需求、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土壤特点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和气候条件，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发布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科学合理的年度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指导性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种植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生产计划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和营销计划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供经营主体参考，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做好育苗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、种植及销售等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工作。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每年应至少组织2场专业技术培训，提高经营主体的种植技术和管理水平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。</w:t>
      </w:r>
    </w:p>
    <w:p w14:paraId="0B5326C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第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九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条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村委会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负责大棚资产的日常维护和基础设施的维修保障。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必须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建立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健全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大棚维护保养制度，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做好大棚墙体、骨架、塑料薄膜、保温设备、通风系统的日常维护和水、电等基础设施的维修保障工作，必须在经营主体申请维修服务起1个工作日内提供上门服务并做好维修记录；原则上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每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3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年统一更换棚膜，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棚膜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质量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必须符合国家标准（GB/T4455-2019《农业用聚乙烯吹塑棚膜》）、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每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6年统一更换棉被，棉被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质量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必须符合宁夏回族自治区标准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（DB64/T 708-2011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《温室保温被》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），派专人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每天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对设施进行巡查巡检，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及时清理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园区内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农业固废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、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做好公共区域卫生清洁工作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、处理经营主体申请的报修维修工作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。</w:t>
      </w:r>
    </w:p>
    <w:p w14:paraId="2A9662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eastAsia="zh-CN"/>
        </w:rPr>
        <w:t>第十条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经营主体应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服从乡镇（开发区）和村委会管理，参考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乡镇（开发区）</w:t>
      </w:r>
      <w:r>
        <w:rPr>
          <w:rFonts w:hint="eastAsia" w:ascii="Times New Roman" w:hAnsi="Times New Roman" w:eastAsia="仿宋_GB2312" w:cs="Times New Roman"/>
          <w:sz w:val="32"/>
          <w:highlight w:val="none"/>
          <w:lang w:eastAsia="zh-CN"/>
        </w:rPr>
        <w:t>人民政府（管委会）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年度种植生产计划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根据实际情况自主选择种植品类，但需符合农产品质量安全标准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；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严格执行农产品质量安全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要求、接受技术服务团队指导，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进行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一体化、标准化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田间管理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；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及时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清理棚内残枝败叶和生产垃圾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；按时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记录种植品种、播种时间、施肥用药情况、采收日期等信息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建立健全生产档案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；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highlight w:val="none"/>
          <w:lang w:val="en-US" w:eastAsia="zh-CN"/>
        </w:rPr>
        <w:t>及时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做好病虫害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防治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及农业实情等监测预警和防控处置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工作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。</w:t>
      </w:r>
    </w:p>
    <w:p w14:paraId="1FEFF6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第十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一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条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乡镇（开发区）</w:t>
      </w:r>
      <w:r>
        <w:rPr>
          <w:rFonts w:hint="eastAsia" w:ascii="Times New Roman" w:hAnsi="Times New Roman" w:eastAsia="仿宋_GB2312" w:cs="Times New Roman"/>
          <w:sz w:val="32"/>
          <w:highlight w:val="none"/>
          <w:lang w:eastAsia="zh-CN"/>
        </w:rPr>
        <w:t>人民政府（管委会）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、县农业农村局要精准市场定位、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强化品牌建设、优化产品包装、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创新销售模式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、拓展多元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渠道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、靶向宣传推广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，保障产品收益。</w:t>
      </w:r>
    </w:p>
    <w:p w14:paraId="6D2C8E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60" w:lineRule="exact"/>
        <w:ind w:left="0" w:leftChars="0" w:right="0" w:rightChars="0"/>
        <w:jc w:val="center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</w:rPr>
      </w:pPr>
      <w:r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</w:rPr>
        <w:t>第</w:t>
      </w:r>
      <w:r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  <w:lang w:eastAsia="zh-CN"/>
        </w:rPr>
        <w:t>四</w:t>
      </w:r>
      <w:r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</w:rPr>
        <w:t>章 安全生产</w:t>
      </w:r>
    </w:p>
    <w:p w14:paraId="3F3116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</w:rPr>
        <w:t>第十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highlight w:val="none"/>
          <w:lang w:eastAsia="zh-CN"/>
        </w:rPr>
        <w:t>二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</w:rPr>
        <w:t>条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县气象局、农业农村局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highlight w:val="none"/>
          <w:lang w:eastAsia="zh-CN"/>
        </w:rPr>
        <w:t>等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行业部门应严格落实安全生产预警及行业监管责任。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定期组织应急演练，突发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极端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天气事件或安全事故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时，应及时做出灾害预警并做好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灾害处置及灾后恢复生产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指导工作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；做好农产品质量安全监管工作，不定期开展农资打假工作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。</w:t>
      </w:r>
    </w:p>
    <w:p w14:paraId="3A979D5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第十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三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条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乡镇（开发区）</w:t>
      </w:r>
      <w:r>
        <w:rPr>
          <w:rFonts w:hint="eastAsia" w:ascii="Times New Roman" w:hAnsi="Times New Roman" w:eastAsia="仿宋_GB2312" w:cs="Times New Roman"/>
          <w:sz w:val="32"/>
          <w:highlight w:val="none"/>
          <w:lang w:eastAsia="zh-CN"/>
        </w:rPr>
        <w:t>人民政府（管委会）、行政村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应落实安全生产属地管理责任，定期对大棚消防设施设备进行安全检查，防止发生生产安全事故。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每年应至少组织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2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场安全生产培训，提高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经营主体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的安全意识和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防范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水平。</w:t>
      </w:r>
    </w:p>
    <w:p w14:paraId="1C541C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第十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四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条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经营主体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应严格遵守安全生产法律法规，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履行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安全生产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主体责任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，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及时高效落实防火、防风、防低温措施，确保财产安全。</w:t>
      </w:r>
    </w:p>
    <w:p w14:paraId="199BBCD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60" w:lineRule="exact"/>
        <w:ind w:left="0" w:leftChars="0" w:right="0" w:rightChars="0"/>
        <w:jc w:val="center"/>
        <w:textAlignment w:val="auto"/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</w:rPr>
      </w:pPr>
      <w:r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</w:rPr>
        <w:t>第</w:t>
      </w:r>
      <w:r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  <w:lang w:eastAsia="zh-CN"/>
        </w:rPr>
        <w:t>五</w:t>
      </w:r>
      <w:r>
        <w:rPr>
          <w:rFonts w:hint="default" w:ascii="黑体" w:hAnsi="黑体" w:eastAsia="黑体" w:cs="黑体"/>
          <w:b w:val="0"/>
          <w:bCs w:val="0"/>
          <w:sz w:val="32"/>
          <w:szCs w:val="32"/>
          <w:highlight w:val="none"/>
        </w:rPr>
        <w:t>章 监督考核</w:t>
      </w:r>
    </w:p>
    <w:p w14:paraId="621D39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第十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五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条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乡镇（开发区）</w:t>
      </w:r>
      <w:r>
        <w:rPr>
          <w:rFonts w:hint="eastAsia" w:ascii="Times New Roman" w:hAnsi="Times New Roman" w:eastAsia="仿宋_GB2312" w:cs="Times New Roman"/>
          <w:sz w:val="32"/>
          <w:highlight w:val="none"/>
          <w:lang w:eastAsia="zh-CN"/>
        </w:rPr>
        <w:t>人民政府（管委会）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每季度对大棚运营管理情况进行监督检查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；每年组织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1次年度考核，依据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安全生产、产品质量、合规经营等综合指标对经营主体进行评价，对连续两年未达到考核标准的经营主体，经整改无效后，可依法依规调整其承包资格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；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发现管理不善、效益下降、财产损坏等行为3次以上的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经营主体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，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依法依规调整其承包资格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并照价赔偿损失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；发现管理费用使用出现违规情形时，应作为问题线索及时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eastAsia="zh-CN"/>
        </w:rPr>
        <w:t>依法依规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予以处理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。</w:t>
      </w:r>
    </w:p>
    <w:p w14:paraId="618511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第十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六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条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村委会应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定期召开大棚种植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运营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工作调度会，及时掌握大棚资产运营管护、作物生长及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生产销售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情况，协调解决种植过程中的突发问题，做好日常监督管理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，并及时向</w:t>
      </w:r>
      <w:r>
        <w:rPr>
          <w:rFonts w:hint="default" w:ascii="Times New Roman" w:hAnsi="Times New Roman" w:eastAsia="仿宋_GB2312" w:cs="Times New Roman"/>
          <w:sz w:val="32"/>
          <w:highlight w:val="none"/>
        </w:rPr>
        <w:t>乡镇（开发区）</w:t>
      </w:r>
      <w:r>
        <w:rPr>
          <w:rFonts w:hint="eastAsia" w:ascii="Times New Roman" w:hAnsi="Times New Roman" w:eastAsia="仿宋_GB2312" w:cs="Times New Roman"/>
          <w:sz w:val="32"/>
          <w:highlight w:val="none"/>
          <w:lang w:eastAsia="zh-CN"/>
        </w:rPr>
        <w:t>人民政府（管委会）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eastAsia="zh-CN"/>
        </w:rPr>
        <w:t>汇报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</w:rPr>
        <w:t>。</w:t>
      </w:r>
    </w:p>
    <w:p w14:paraId="22DD04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</w:pP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第十</w:t>
      </w:r>
      <w:r>
        <w:rPr>
          <w:rFonts w:hint="eastAsia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七</w:t>
      </w:r>
      <w:r>
        <w:rPr>
          <w:rFonts w:hint="default" w:ascii="楷体_GB2312" w:hAnsi="楷体_GB2312" w:eastAsia="楷体_GB2312" w:cs="楷体_GB2312"/>
          <w:b/>
          <w:bCs/>
          <w:sz w:val="32"/>
          <w:szCs w:val="32"/>
          <w:highlight w:val="none"/>
          <w:lang w:val="en-US" w:eastAsia="zh-CN"/>
        </w:rPr>
        <w:t>条</w:t>
      </w:r>
      <w:r>
        <w:rPr>
          <w:rFonts w:hint="default" w:ascii="Times New Roman" w:hAnsi="Times New Roman" w:eastAsia="仿宋_GB2312" w:cs="Times New Roman"/>
          <w:b/>
          <w:bCs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县财政局、农业农村局等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行业监管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部门应建立联合监管机制，依照扶贫资产管理办法，对大棚资产进行跟踪</w:t>
      </w:r>
      <w:r>
        <w:rPr>
          <w:rFonts w:hint="eastAsia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督察</w:t>
      </w:r>
      <w:r>
        <w:rPr>
          <w:rFonts w:hint="default" w:ascii="Times New Roman" w:hAnsi="Times New Roman" w:eastAsia="仿宋_GB2312" w:cs="Times New Roman"/>
          <w:sz w:val="32"/>
          <w:szCs w:val="32"/>
          <w:highlight w:val="none"/>
          <w:lang w:val="en-US" w:eastAsia="zh-CN"/>
        </w:rPr>
        <w:t>，防止资产流失及资产闲置。</w:t>
      </w:r>
    </w:p>
    <w:p w14:paraId="590C05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640" w:firstLineChars="200"/>
        <w:textAlignment w:val="auto"/>
        <w:rPr>
          <w:rFonts w:hint="eastAsia"/>
          <w:color w:val="auto"/>
          <w:lang w:val="en-US" w:eastAsia="zh-CN"/>
        </w:rPr>
      </w:pPr>
      <w:r>
        <w:rPr>
          <w:rFonts w:hint="default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  <w:t>第十八条</w:t>
      </w:r>
      <w:r>
        <w:rPr>
          <w:rFonts w:hint="eastAsia" w:ascii="楷体_GB2312" w:hAnsi="楷体_GB2312" w:eastAsia="楷体_GB2312" w:cs="楷体_GB2312"/>
          <w:b/>
          <w:bCs/>
          <w:color w:val="auto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Times New Roman" w:hAnsi="Times New Roman" w:eastAsia="仿宋_GB2312" w:cs="Times New Roman"/>
          <w:b w:val="0"/>
          <w:bCs w:val="0"/>
          <w:color w:val="auto"/>
          <w:sz w:val="32"/>
          <w:szCs w:val="32"/>
          <w:highlight w:val="none"/>
          <w:lang w:val="en-US" w:eastAsia="zh-CN"/>
        </w:rPr>
        <w:t>本制度自2025年6月13日起施行，有效期至2027年6月13日。</w:t>
      </w:r>
    </w:p>
    <w:p w14:paraId="354A6B11">
      <w:pPr>
        <w:keepNext w:val="0"/>
        <w:keepLines w:val="0"/>
        <w:pageBreakBefore w:val="0"/>
        <w:widowControl/>
        <w:wordWrap/>
        <w:topLinePunct w:val="0"/>
        <w:bidi w:val="0"/>
        <w:spacing w:line="560" w:lineRule="exact"/>
        <w:ind w:firstLine="420" w:firstLineChars="200"/>
        <w:jc w:val="both"/>
        <w:textAlignment w:val="baseline"/>
        <w:rPr>
          <w:rFonts w:hint="eastAsia"/>
          <w:lang w:val="en-US" w:eastAsia="zh-CN"/>
        </w:rPr>
      </w:pPr>
    </w:p>
    <w:sectPr>
      <w:footerReference r:id="rId3" w:type="default"/>
      <w:type w:val="continuous"/>
      <w:pgSz w:w="11850" w:h="16840"/>
      <w:pgMar w:top="2098" w:right="1474" w:bottom="1984" w:left="1587" w:header="851" w:footer="992" w:gutter="0"/>
      <w:pgNumType w:fmt="numberInDash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0CB8C74">
    <w:pPr>
      <w:pStyle w:val="1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62D9A9F">
                          <w:pPr>
                            <w:pStyle w:val="14"/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- 8 -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KVIPQyAgAAYQQAAA4AAABkcnMvZTJvRG9jLnhtbK1UzY7TMBC+I/EO&#10;lu80aRGrbt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ApUg9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162D9A9F">
                    <w:pPr>
                      <w:pStyle w:val="14"/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- 8 -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WVmZmZiMDFiNTk3Nzg3YzE1ZTRjMzg5MWMzOWI5MmEifQ=="/>
  </w:docVars>
  <w:rsids>
    <w:rsidRoot w:val="0034229B"/>
    <w:rsid w:val="00051645"/>
    <w:rsid w:val="00065221"/>
    <w:rsid w:val="00267F4D"/>
    <w:rsid w:val="00313A24"/>
    <w:rsid w:val="0034229B"/>
    <w:rsid w:val="00435F2E"/>
    <w:rsid w:val="00541216"/>
    <w:rsid w:val="005A0527"/>
    <w:rsid w:val="005C7968"/>
    <w:rsid w:val="005E7238"/>
    <w:rsid w:val="008063B5"/>
    <w:rsid w:val="00940124"/>
    <w:rsid w:val="00A9166B"/>
    <w:rsid w:val="00AD0413"/>
    <w:rsid w:val="00C34BF9"/>
    <w:rsid w:val="00C97AA7"/>
    <w:rsid w:val="00D62DD3"/>
    <w:rsid w:val="00DB61DC"/>
    <w:rsid w:val="00DC5DD6"/>
    <w:rsid w:val="00DD4B8D"/>
    <w:rsid w:val="00E64718"/>
    <w:rsid w:val="00F35D3F"/>
    <w:rsid w:val="00FB33C6"/>
    <w:rsid w:val="00FD74FA"/>
    <w:rsid w:val="05483B4C"/>
    <w:rsid w:val="06CE5164"/>
    <w:rsid w:val="0DBB6901"/>
    <w:rsid w:val="0ED77029"/>
    <w:rsid w:val="11674B97"/>
    <w:rsid w:val="1A8F7689"/>
    <w:rsid w:val="1B003E68"/>
    <w:rsid w:val="1B2473BE"/>
    <w:rsid w:val="1D791090"/>
    <w:rsid w:val="1EC9A48C"/>
    <w:rsid w:val="1F597525"/>
    <w:rsid w:val="1FF5409C"/>
    <w:rsid w:val="22F3B9C5"/>
    <w:rsid w:val="26537076"/>
    <w:rsid w:val="2A6EEE31"/>
    <w:rsid w:val="2FBC5304"/>
    <w:rsid w:val="337274DA"/>
    <w:rsid w:val="352F594C"/>
    <w:rsid w:val="35BF22DE"/>
    <w:rsid w:val="35DFDBC1"/>
    <w:rsid w:val="39E10E7A"/>
    <w:rsid w:val="3D135FC0"/>
    <w:rsid w:val="3DF34C0D"/>
    <w:rsid w:val="3E0061F5"/>
    <w:rsid w:val="3EAB0813"/>
    <w:rsid w:val="3EC960E3"/>
    <w:rsid w:val="3F6F7058"/>
    <w:rsid w:val="3F7B21E1"/>
    <w:rsid w:val="3FD78F48"/>
    <w:rsid w:val="3FF7EB41"/>
    <w:rsid w:val="41F87296"/>
    <w:rsid w:val="44C356E0"/>
    <w:rsid w:val="453F55AD"/>
    <w:rsid w:val="48400A88"/>
    <w:rsid w:val="49F71764"/>
    <w:rsid w:val="4C587F15"/>
    <w:rsid w:val="4E23601E"/>
    <w:rsid w:val="4E5515BC"/>
    <w:rsid w:val="4ED7EB90"/>
    <w:rsid w:val="4FBE64CE"/>
    <w:rsid w:val="52FFB789"/>
    <w:rsid w:val="539B8132"/>
    <w:rsid w:val="53E05F5F"/>
    <w:rsid w:val="53E6B548"/>
    <w:rsid w:val="54FE5E21"/>
    <w:rsid w:val="553D0D5E"/>
    <w:rsid w:val="56AE00B3"/>
    <w:rsid w:val="579F565B"/>
    <w:rsid w:val="57FE2A40"/>
    <w:rsid w:val="59ED1218"/>
    <w:rsid w:val="59F73FA9"/>
    <w:rsid w:val="5B73EF92"/>
    <w:rsid w:val="5D164E90"/>
    <w:rsid w:val="5D7F04BE"/>
    <w:rsid w:val="5E732623"/>
    <w:rsid w:val="5EFFB672"/>
    <w:rsid w:val="5F3ECFC4"/>
    <w:rsid w:val="5F431C2E"/>
    <w:rsid w:val="5F5735C6"/>
    <w:rsid w:val="5F8E64F0"/>
    <w:rsid w:val="5F978F32"/>
    <w:rsid w:val="5FBB7B90"/>
    <w:rsid w:val="5FBDA27F"/>
    <w:rsid w:val="5FDDD157"/>
    <w:rsid w:val="5FEAD112"/>
    <w:rsid w:val="5FF313BD"/>
    <w:rsid w:val="5FFCDB7B"/>
    <w:rsid w:val="5FFF0A55"/>
    <w:rsid w:val="5FFF1721"/>
    <w:rsid w:val="60B17711"/>
    <w:rsid w:val="62350E7A"/>
    <w:rsid w:val="66FFAD6A"/>
    <w:rsid w:val="67FA2C2E"/>
    <w:rsid w:val="692B55E8"/>
    <w:rsid w:val="6A7F0795"/>
    <w:rsid w:val="6A9C5231"/>
    <w:rsid w:val="6B5D3446"/>
    <w:rsid w:val="6BF1C83F"/>
    <w:rsid w:val="6BFB643D"/>
    <w:rsid w:val="6BFD6768"/>
    <w:rsid w:val="6D0C1903"/>
    <w:rsid w:val="6EAFB8C3"/>
    <w:rsid w:val="6EDEA292"/>
    <w:rsid w:val="6F4101B6"/>
    <w:rsid w:val="6FD7BAA1"/>
    <w:rsid w:val="6FFE305F"/>
    <w:rsid w:val="6FFE6D57"/>
    <w:rsid w:val="700F754F"/>
    <w:rsid w:val="724E2B12"/>
    <w:rsid w:val="7328AA77"/>
    <w:rsid w:val="73984CA1"/>
    <w:rsid w:val="73BF0EF5"/>
    <w:rsid w:val="73CC59A3"/>
    <w:rsid w:val="75ABFB1E"/>
    <w:rsid w:val="765EF3AA"/>
    <w:rsid w:val="7677F036"/>
    <w:rsid w:val="76CE9171"/>
    <w:rsid w:val="76EFB2A8"/>
    <w:rsid w:val="77296930"/>
    <w:rsid w:val="775F34A7"/>
    <w:rsid w:val="776FFDF3"/>
    <w:rsid w:val="777F13CA"/>
    <w:rsid w:val="77CF45CE"/>
    <w:rsid w:val="77FDA45B"/>
    <w:rsid w:val="78BF378A"/>
    <w:rsid w:val="79DDB61A"/>
    <w:rsid w:val="79FB02D1"/>
    <w:rsid w:val="7BFDBDC1"/>
    <w:rsid w:val="7BFFE94E"/>
    <w:rsid w:val="7C8F8D2C"/>
    <w:rsid w:val="7CFFA3E3"/>
    <w:rsid w:val="7DAE8FA4"/>
    <w:rsid w:val="7DCD9E2F"/>
    <w:rsid w:val="7DDDD898"/>
    <w:rsid w:val="7DEF0FB4"/>
    <w:rsid w:val="7DFE1831"/>
    <w:rsid w:val="7EBD7052"/>
    <w:rsid w:val="7EBE9211"/>
    <w:rsid w:val="7EFDA4FE"/>
    <w:rsid w:val="7EFEEA43"/>
    <w:rsid w:val="7F6E1995"/>
    <w:rsid w:val="7F7A9487"/>
    <w:rsid w:val="7F7FAB22"/>
    <w:rsid w:val="7F9F3098"/>
    <w:rsid w:val="7FDF4C20"/>
    <w:rsid w:val="7FF19C95"/>
    <w:rsid w:val="7FFB30BC"/>
    <w:rsid w:val="7FFC6076"/>
    <w:rsid w:val="7FFFD132"/>
    <w:rsid w:val="836FC826"/>
    <w:rsid w:val="8DCF3DE3"/>
    <w:rsid w:val="966AAA0C"/>
    <w:rsid w:val="97EF4535"/>
    <w:rsid w:val="9AFA8E30"/>
    <w:rsid w:val="9B59CF62"/>
    <w:rsid w:val="9FFFE333"/>
    <w:rsid w:val="A13F1E5F"/>
    <w:rsid w:val="A15F099B"/>
    <w:rsid w:val="AEDB7D3B"/>
    <w:rsid w:val="AFC30809"/>
    <w:rsid w:val="AFEB965C"/>
    <w:rsid w:val="AFFB0A02"/>
    <w:rsid w:val="AFFB471F"/>
    <w:rsid w:val="AFFB6A48"/>
    <w:rsid w:val="B7772828"/>
    <w:rsid w:val="BDDF4D7E"/>
    <w:rsid w:val="BF8E0676"/>
    <w:rsid w:val="BFBB3335"/>
    <w:rsid w:val="BFBF8EDD"/>
    <w:rsid w:val="BFFB9256"/>
    <w:rsid w:val="C4EA0D1D"/>
    <w:rsid w:val="C677183F"/>
    <w:rsid w:val="CDFF3EAC"/>
    <w:rsid w:val="CDFFFE77"/>
    <w:rsid w:val="CEE5065B"/>
    <w:rsid w:val="CEFBB423"/>
    <w:rsid w:val="CFEEB476"/>
    <w:rsid w:val="D32C0E82"/>
    <w:rsid w:val="D774CC5D"/>
    <w:rsid w:val="D7EDB400"/>
    <w:rsid w:val="D7FDFC24"/>
    <w:rsid w:val="DBFF2F54"/>
    <w:rsid w:val="DCEF71BE"/>
    <w:rsid w:val="DDFA5EC8"/>
    <w:rsid w:val="DF379329"/>
    <w:rsid w:val="DF7BE35A"/>
    <w:rsid w:val="DFFB1F1E"/>
    <w:rsid w:val="DFFE094D"/>
    <w:rsid w:val="DFFED18E"/>
    <w:rsid w:val="DFFF0D3E"/>
    <w:rsid w:val="DFFF4A42"/>
    <w:rsid w:val="E2B007BB"/>
    <w:rsid w:val="E3BD99A7"/>
    <w:rsid w:val="E3FB2B4D"/>
    <w:rsid w:val="E5EF3A4C"/>
    <w:rsid w:val="E6374FE9"/>
    <w:rsid w:val="E7AE80D7"/>
    <w:rsid w:val="EDF7F97F"/>
    <w:rsid w:val="EEFBD6A1"/>
    <w:rsid w:val="EF7B42C7"/>
    <w:rsid w:val="EF7F539A"/>
    <w:rsid w:val="EFEF09A2"/>
    <w:rsid w:val="EFFF7FDD"/>
    <w:rsid w:val="F4ED8B93"/>
    <w:rsid w:val="F5BE063E"/>
    <w:rsid w:val="F5DB2266"/>
    <w:rsid w:val="F5FCF861"/>
    <w:rsid w:val="F77DB6BC"/>
    <w:rsid w:val="F7B99F1D"/>
    <w:rsid w:val="F7D904AC"/>
    <w:rsid w:val="F7DF46E8"/>
    <w:rsid w:val="F877F38F"/>
    <w:rsid w:val="FB3EA322"/>
    <w:rsid w:val="FBFD8123"/>
    <w:rsid w:val="FBFFFE46"/>
    <w:rsid w:val="FCEFD17F"/>
    <w:rsid w:val="FCF48487"/>
    <w:rsid w:val="FCFBCC5C"/>
    <w:rsid w:val="FCFC1E61"/>
    <w:rsid w:val="FD3FF0C3"/>
    <w:rsid w:val="FDEFF2EB"/>
    <w:rsid w:val="FDF9891B"/>
    <w:rsid w:val="FDFACB29"/>
    <w:rsid w:val="FE3F110C"/>
    <w:rsid w:val="FEABB27E"/>
    <w:rsid w:val="FEBFDEC3"/>
    <w:rsid w:val="FF6F049F"/>
    <w:rsid w:val="FF6FCB40"/>
    <w:rsid w:val="FF761144"/>
    <w:rsid w:val="FF96F6D1"/>
    <w:rsid w:val="FFEF404F"/>
    <w:rsid w:val="FFF3E1BA"/>
    <w:rsid w:val="FFFEF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iPriority="99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4">
    <w:name w:val="heading 2"/>
    <w:basedOn w:val="1"/>
    <w:next w:val="1"/>
    <w:unhideWhenUsed/>
    <w:qFormat/>
    <w:uiPriority w:val="0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</w:rPr>
  </w:style>
  <w:style w:type="paragraph" w:styleId="5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21">
    <w:name w:val="Default Paragraph Font"/>
    <w:semiHidden/>
    <w:unhideWhenUsed/>
    <w:qFormat/>
    <w:uiPriority w:val="1"/>
  </w:style>
  <w:style w:type="table" w:default="1" w:styleId="1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line="300" w:lineRule="auto"/>
      <w:ind w:firstLine="420"/>
    </w:pPr>
  </w:style>
  <w:style w:type="paragraph" w:styleId="6">
    <w:name w:val="toa heading"/>
    <w:basedOn w:val="1"/>
    <w:next w:val="1"/>
    <w:unhideWhenUsed/>
    <w:qFormat/>
    <w:uiPriority w:val="99"/>
    <w:pPr>
      <w:ind w:firstLine="200" w:firstLineChars="200"/>
    </w:pPr>
    <w:rPr>
      <w:rFonts w:ascii="Times New Roman" w:hAnsi="Times New Roman"/>
    </w:rPr>
  </w:style>
  <w:style w:type="paragraph" w:styleId="7">
    <w:name w:val="index 6"/>
    <w:basedOn w:val="1"/>
    <w:next w:val="1"/>
    <w:qFormat/>
    <w:uiPriority w:val="0"/>
    <w:pPr>
      <w:ind w:left="1000" w:leftChars="1000"/>
    </w:pPr>
  </w:style>
  <w:style w:type="paragraph" w:styleId="8">
    <w:name w:val="Body Text"/>
    <w:basedOn w:val="1"/>
    <w:qFormat/>
    <w:uiPriority w:val="0"/>
    <w:pPr>
      <w:snapToGrid w:val="0"/>
      <w:spacing w:line="579" w:lineRule="exact"/>
    </w:pPr>
    <w:rPr>
      <w:rFonts w:eastAsia="仿宋_GB2312"/>
      <w:sz w:val="32"/>
      <w:szCs w:val="24"/>
    </w:rPr>
  </w:style>
  <w:style w:type="paragraph" w:styleId="9">
    <w:name w:val="Body Text Indent"/>
    <w:basedOn w:val="1"/>
    <w:next w:val="10"/>
    <w:qFormat/>
    <w:uiPriority w:val="0"/>
    <w:pPr>
      <w:spacing w:after="120"/>
      <w:ind w:left="420" w:leftChars="200"/>
    </w:pPr>
    <w:rPr>
      <w:rFonts w:hint="eastAsia" w:ascii="Times New Roman" w:hAnsi="Times New Roman" w:eastAsia="仿宋_GB2312"/>
      <w:sz w:val="32"/>
    </w:rPr>
  </w:style>
  <w:style w:type="paragraph" w:styleId="10">
    <w:name w:val="Body Text First Indent 2"/>
    <w:basedOn w:val="9"/>
    <w:next w:val="11"/>
    <w:qFormat/>
    <w:uiPriority w:val="0"/>
    <w:pPr>
      <w:ind w:left="200" w:firstLine="420" w:firstLineChars="200"/>
    </w:pPr>
  </w:style>
  <w:style w:type="paragraph" w:styleId="11">
    <w:name w:val="Body Text First Indent"/>
    <w:basedOn w:val="8"/>
    <w:next w:val="8"/>
    <w:qFormat/>
    <w:uiPriority w:val="0"/>
    <w:pPr>
      <w:ind w:firstLine="200" w:firstLineChars="200"/>
    </w:pPr>
    <w:rPr>
      <w:rFonts w:eastAsia="宋体"/>
    </w:rPr>
  </w:style>
  <w:style w:type="paragraph" w:styleId="12">
    <w:name w:val="Plain Text"/>
    <w:basedOn w:val="1"/>
    <w:unhideWhenUsed/>
    <w:qFormat/>
    <w:uiPriority w:val="0"/>
    <w:rPr>
      <w:rFonts w:ascii="宋体" w:hAnsi="Courier New" w:cs="Courier New"/>
    </w:rPr>
  </w:style>
  <w:style w:type="paragraph" w:styleId="13">
    <w:name w:val="Balloon Text"/>
    <w:basedOn w:val="1"/>
    <w:qFormat/>
    <w:uiPriority w:val="0"/>
    <w:rPr>
      <w:sz w:val="18"/>
      <w:szCs w:val="18"/>
    </w:rPr>
  </w:style>
  <w:style w:type="paragraph" w:styleId="14">
    <w:name w:val="footer"/>
    <w:basedOn w:val="1"/>
    <w:next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16">
    <w:name w:val="HTML Preformatted"/>
    <w:basedOn w:val="1"/>
    <w:link w:val="28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17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18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sz w:val="32"/>
      <w:szCs w:val="32"/>
    </w:rPr>
  </w:style>
  <w:style w:type="table" w:styleId="20">
    <w:name w:val="Table Grid"/>
    <w:basedOn w:val="19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2">
    <w:name w:val="page number"/>
    <w:basedOn w:val="21"/>
    <w:qFormat/>
    <w:uiPriority w:val="0"/>
  </w:style>
  <w:style w:type="paragraph" w:customStyle="1" w:styleId="23">
    <w:name w:val="正文首行缩进1"/>
    <w:basedOn w:val="8"/>
    <w:next w:val="8"/>
    <w:qFormat/>
    <w:uiPriority w:val="0"/>
    <w:pPr>
      <w:ind w:firstLine="420" w:firstLineChars="100"/>
    </w:pPr>
    <w:rPr>
      <w:rFonts w:ascii="Times New Roman" w:hAnsi="Times New Roman" w:cs="Times New Roman"/>
      <w:sz w:val="21"/>
    </w:rPr>
  </w:style>
  <w:style w:type="paragraph" w:customStyle="1" w:styleId="24">
    <w:name w:val="正文（缩进）"/>
    <w:basedOn w:val="25"/>
    <w:next w:val="1"/>
    <w:qFormat/>
    <w:uiPriority w:val="99"/>
    <w:pPr>
      <w:spacing w:line="360" w:lineRule="auto"/>
      <w:ind w:firstLine="480" w:firstLineChars="200"/>
    </w:pPr>
    <w:rPr>
      <w:sz w:val="24"/>
      <w:szCs w:val="24"/>
    </w:rPr>
  </w:style>
  <w:style w:type="paragraph" w:customStyle="1" w:styleId="25">
    <w:name w:val="正文(首行缩进)"/>
    <w:basedOn w:val="1"/>
    <w:qFormat/>
    <w:uiPriority w:val="0"/>
    <w:pPr>
      <w:spacing w:line="460" w:lineRule="exact"/>
      <w:ind w:firstLine="560" w:firstLineChars="200"/>
    </w:pPr>
    <w:rPr>
      <w:rFonts w:ascii="宋体" w:hAnsi="宋体"/>
      <w:snapToGrid w:val="0"/>
      <w:color w:val="000000"/>
      <w:kern w:val="0"/>
      <w:sz w:val="24"/>
      <w:szCs w:val="24"/>
    </w:rPr>
  </w:style>
  <w:style w:type="paragraph" w:customStyle="1" w:styleId="26">
    <w:name w:val="我的正文"/>
    <w:qFormat/>
    <w:uiPriority w:val="0"/>
    <w:pPr>
      <w:widowControl w:val="0"/>
      <w:spacing w:line="580" w:lineRule="exact"/>
      <w:ind w:firstLine="880" w:firstLineChars="200"/>
      <w:jc w:val="both"/>
    </w:pPr>
    <w:rPr>
      <w:rFonts w:ascii="Times New Roman" w:hAnsi="Times New Roman" w:eastAsia="仿宋_GB2312" w:cs="Times New Roman"/>
      <w:sz w:val="32"/>
      <w:szCs w:val="32"/>
      <w:lang w:val="en-US" w:eastAsia="zh-CN" w:bidi="ar-SA"/>
    </w:rPr>
  </w:style>
  <w:style w:type="paragraph" w:customStyle="1" w:styleId="27">
    <w:name w:val="UserStyle_0"/>
    <w:basedOn w:val="1"/>
    <w:qFormat/>
    <w:uiPriority w:val="0"/>
    <w:pPr>
      <w:spacing w:before="312"/>
      <w:ind w:left="210" w:right="210" w:firstLine="600"/>
      <w:contextualSpacing/>
    </w:pPr>
    <w:rPr>
      <w:rFonts w:ascii="微软雅黑" w:hAnsi="微软雅黑" w:eastAsia="微软雅黑"/>
      <w:color w:val="000000"/>
      <w:sz w:val="24"/>
      <w:szCs w:val="21"/>
    </w:rPr>
  </w:style>
  <w:style w:type="character" w:customStyle="1" w:styleId="28">
    <w:name w:val="HTML 预设格式 字符"/>
    <w:basedOn w:val="21"/>
    <w:link w:val="16"/>
    <w:qFormat/>
    <w:uiPriority w:val="99"/>
    <w:rPr>
      <w:rFonts w:ascii="宋体" w:hAnsi="宋体" w:cs="宋体"/>
      <w:sz w:val="24"/>
      <w:szCs w:val="24"/>
    </w:rPr>
  </w:style>
  <w:style w:type="character" w:customStyle="1" w:styleId="29">
    <w:name w:val="apple-converted-space"/>
    <w:basedOn w:val="21"/>
    <w:qFormat/>
    <w:uiPriority w:val="99"/>
    <w:rPr>
      <w:rFonts w:cs="Times New Roman"/>
    </w:rPr>
  </w:style>
  <w:style w:type="character" w:customStyle="1" w:styleId="30">
    <w:name w:val="NormalCharacter"/>
    <w:qFormat/>
    <w:uiPriority w:val="0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customStyle="1" w:styleId="31">
    <w:name w:val="标书正文1"/>
    <w:basedOn w:val="1"/>
    <w:qFormat/>
    <w:uiPriority w:val="0"/>
    <w:pPr>
      <w:spacing w:line="520" w:lineRule="exact"/>
      <w:ind w:firstLine="640" w:firstLineChars="200"/>
    </w:pPr>
    <w:rPr>
      <w:rFonts w:ascii="Times New Roman" w:hAnsi="Times New Roman"/>
    </w:rPr>
  </w:style>
  <w:style w:type="character" w:customStyle="1" w:styleId="32">
    <w:name w:val="UserStyle_4"/>
    <w:qFormat/>
    <w:uiPriority w:val="0"/>
    <w:rPr>
      <w:rFonts w:ascii="等线" w:hAnsi="等线" w:eastAsia="等线" w:cs="等线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7</Pages>
  <Words>2969</Words>
  <Characters>3021</Characters>
  <Lines>11</Lines>
  <Paragraphs>3</Paragraphs>
  <TotalTime>12</TotalTime>
  <ScaleCrop>false</ScaleCrop>
  <LinksUpToDate>false</LinksUpToDate>
  <CharactersWithSpaces>3046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2022-02-24T00:48:00Z</dcterms:created>
  <dc:creator>Administrator</dc:creator>
  <cp:lastModifiedBy>糟老头子</cp:lastModifiedBy>
  <cp:lastPrinted>2025-05-19T00:52:16Z</cp:lastPrinted>
  <dcterms:modified xsi:type="dcterms:W3CDTF">2025-05-19T00:58:36Z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D2987D82917B453AA27ECFFEA91650C9_13</vt:lpwstr>
  </property>
</Properties>
</file>