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JPG" ContentType="image/.jp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nts/font1.odttf" ContentType="application/vnd.openxmlformats-officedocument.obfuscatedFont"/>
  <Override PartName="/word/fonts/font2.odttf" ContentType="application/vnd.openxmlformats-officedocument.obfuscatedFont"/>
  <Override PartName="/word/fonts/font3.odttf" ContentType="application/vnd.openxmlformats-officedocument.obfuscatedFont"/>
  <Override PartName="/word/fonts/font4.odttf" ContentType="application/vnd.openxmlformats-officedocument.obfuscatedFont"/>
  <Override PartName="/word/fonts/font5.odttf" ContentType="application/vnd.openxmlformats-officedocument.obfuscatedFont"/>
  <Override PartName="/word/fonts/font6.odttf" ContentType="application/vnd.openxmlformats-officedocument.obfuscatedFont"/>
  <Override PartName="/word/fonts/font7.odttf" ContentType="application/vnd.openxmlformats-officedocument.obfuscatedFont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 w:val="0"/>
        <w:kinsoku/>
        <w:wordWrap/>
        <w:overflowPunct/>
        <w:autoSpaceDN/>
        <w:bidi w:val="0"/>
        <w:snapToGrid/>
        <w:spacing w:line="560" w:lineRule="exact"/>
        <w:textAlignment w:val="auto"/>
        <w:rPr>
          <w:rFonts w:hint="eastAsia"/>
        </w:rPr>
      </w:pPr>
      <w:bookmarkStart w:id="26" w:name="_GoBack"/>
      <w:bookmarkEnd w:id="26"/>
    </w:p>
    <w:p>
      <w:pPr>
        <w:keepNext w:val="0"/>
        <w:keepLines w:val="0"/>
        <w:pageBreakBefore w:val="0"/>
        <w:widowControl w:val="0"/>
        <w:kinsoku/>
        <w:wordWrap/>
        <w:overflowPunct/>
        <w:autoSpaceDN/>
        <w:bidi w:val="0"/>
        <w:snapToGrid/>
        <w:spacing w:line="560" w:lineRule="exact"/>
        <w:jc w:val="left"/>
        <w:textAlignment w:val="auto"/>
        <w:rPr>
          <w:rFonts w:hint="eastAsia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right="0" w:rightChars="0"/>
        <w:jc w:val="center"/>
        <w:textAlignment w:val="auto"/>
        <w:rPr>
          <w:rFonts w:hint="eastAsia" w:ascii="Nimbus Roman No9 L" w:hAnsi="Nimbus Roman No9 L" w:eastAsia="仿宋_GB2312" w:cs="Nimbus Roman No9 L"/>
          <w:sz w:val="32"/>
          <w:szCs w:val="32"/>
        </w:rPr>
      </w:pPr>
      <w:r>
        <w:rPr>
          <w:rFonts w:hint="eastAsia" w:ascii="Nimbus Roman No9 L" w:hAnsi="Nimbus Roman No9 L" w:eastAsia="仿宋_GB2312" w:cs="Nimbus Roman No9 L"/>
          <w:sz w:val="32"/>
          <w:szCs w:val="32"/>
        </w:rPr>
        <w:t>同政办</w:t>
      </w:r>
      <w:r>
        <w:rPr>
          <w:rFonts w:hint="eastAsia" w:ascii="Nimbus Roman No9 L" w:hAnsi="Nimbus Roman No9 L" w:eastAsia="仿宋_GB2312" w:cs="Nimbus Roman No9 L"/>
          <w:sz w:val="32"/>
          <w:szCs w:val="32"/>
          <w:lang w:eastAsia="zh-CN"/>
        </w:rPr>
        <w:t>规</w:t>
      </w:r>
      <w:r>
        <w:rPr>
          <w:rFonts w:hint="eastAsia" w:ascii="Nimbus Roman No9 L" w:hAnsi="Nimbus Roman No9 L" w:eastAsia="仿宋_GB2312" w:cs="Nimbus Roman No9 L"/>
          <w:sz w:val="32"/>
          <w:szCs w:val="32"/>
        </w:rPr>
        <w:t>发〔</w:t>
      </w:r>
      <w:r>
        <w:rPr>
          <w:rFonts w:hint="eastAsia" w:ascii="Times New Roman" w:hAnsi="Times New Roman" w:eastAsia="仿宋_GB2312" w:cs="Times New Roman"/>
          <w:sz w:val="32"/>
          <w:szCs w:val="22"/>
          <w:lang w:val="en-US" w:eastAsia="zh-CN"/>
        </w:rPr>
        <w:t>2023</w:t>
      </w:r>
      <w:r>
        <w:rPr>
          <w:rFonts w:hint="eastAsia" w:ascii="Nimbus Roman No9 L" w:hAnsi="Nimbus Roman No9 L" w:eastAsia="仿宋_GB2312" w:cs="Nimbus Roman No9 L"/>
          <w:sz w:val="32"/>
          <w:szCs w:val="32"/>
        </w:rPr>
        <w:t>〕</w:t>
      </w:r>
      <w:r>
        <w:rPr>
          <w:rFonts w:hint="eastAsia" w:ascii="Times New Roman" w:hAnsi="Times New Roman" w:eastAsia="仿宋_GB2312" w:cs="Times New Roman"/>
          <w:sz w:val="32"/>
          <w:szCs w:val="22"/>
          <w:lang w:val="en-US" w:eastAsia="zh-CN"/>
        </w:rPr>
        <w:t>2</w:t>
      </w:r>
      <w:r>
        <w:rPr>
          <w:rFonts w:hint="eastAsia" w:ascii="Nimbus Roman No9 L" w:hAnsi="Nimbus Roman No9 L" w:eastAsia="仿宋_GB2312" w:cs="Nimbus Roman No9 L"/>
          <w:sz w:val="32"/>
          <w:szCs w:val="32"/>
        </w:rPr>
        <w:t>号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textAlignment w:val="auto"/>
        <w:rPr>
          <w:rFonts w:hint="eastAsia"/>
        </w:rPr>
      </w:pPr>
    </w:p>
    <w:p>
      <w:pPr>
        <w:pStyle w:val="18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after="0" w:line="560" w:lineRule="exact"/>
        <w:jc w:val="left"/>
        <w:textAlignment w:val="auto"/>
        <w:rPr>
          <w:rFonts w:hint="eastAsia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center"/>
        <w:textAlignment w:val="auto"/>
        <w:rPr>
          <w:rFonts w:hint="eastAsia" w:ascii="方正小标宋简体" w:hAnsi="方正小标宋简体" w:eastAsia="方正小标宋简体" w:cs="方正小标宋简体"/>
          <w:sz w:val="44"/>
          <w:szCs w:val="44"/>
        </w:rPr>
      </w:pPr>
      <w:r>
        <w:rPr>
          <w:rFonts w:hint="eastAsia" w:ascii="方正小标宋简体" w:hAnsi="方正小标宋简体" w:eastAsia="方正小标宋简体" w:cs="方正小标宋简体"/>
          <w:sz w:val="44"/>
          <w:szCs w:val="44"/>
          <w:lang w:val="en-US" w:eastAsia="zh-CN"/>
        </w:rPr>
        <w:t>同心县人民政府办公室</w:t>
      </w:r>
      <w:r>
        <w:rPr>
          <w:rFonts w:hint="eastAsia" w:ascii="方正小标宋简体" w:hAnsi="方正小标宋简体" w:eastAsia="方正小标宋简体" w:cs="方正小标宋简体"/>
          <w:sz w:val="44"/>
          <w:szCs w:val="44"/>
        </w:rPr>
        <w:t>关于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center"/>
        <w:textAlignment w:val="auto"/>
        <w:rPr>
          <w:rFonts w:hint="eastAsia" w:ascii="方正小标宋简体" w:hAnsi="方正小标宋简体" w:eastAsia="方正小标宋简体" w:cs="方正小标宋简体"/>
          <w:sz w:val="44"/>
          <w:szCs w:val="44"/>
        </w:rPr>
      </w:pPr>
      <w:r>
        <w:rPr>
          <w:rFonts w:hint="eastAsia" w:ascii="方正小标宋简体" w:hAnsi="方正小标宋简体" w:eastAsia="方正小标宋简体" w:cs="方正小标宋简体"/>
          <w:sz w:val="44"/>
          <w:szCs w:val="44"/>
          <w:lang w:eastAsia="zh-CN"/>
        </w:rPr>
        <w:t>印发《同心县高污染禁燃区划分方案》</w:t>
      </w:r>
      <w:r>
        <w:rPr>
          <w:rFonts w:hint="eastAsia" w:ascii="方正小标宋简体" w:hAnsi="方正小标宋简体" w:eastAsia="方正小标宋简体" w:cs="方正小标宋简体"/>
          <w:sz w:val="44"/>
          <w:szCs w:val="44"/>
        </w:rPr>
        <w:t>的通知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textAlignment w:val="auto"/>
        <w:rPr>
          <w:rFonts w:hint="default" w:ascii="Nimbus Roman No9 L" w:hAnsi="Nimbus Roman No9 L" w:eastAsia="仿宋_GB2312" w:cs="Nimbus Roman No9 L"/>
          <w:sz w:val="32"/>
          <w:szCs w:val="32"/>
          <w:lang w:eastAsia="zh-CN"/>
        </w:rPr>
      </w:pPr>
    </w:p>
    <w:p>
      <w:pPr>
        <w:pStyle w:val="1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0" w:firstLineChars="0"/>
        <w:textAlignment w:val="auto"/>
        <w:rPr>
          <w:rFonts w:ascii="Times New Roman" w:hAnsi="Times New Roman" w:eastAsia="仿宋_GB2312" w:cs="Times New Roman"/>
          <w:sz w:val="32"/>
          <w:szCs w:val="32"/>
        </w:rPr>
      </w:pPr>
      <w:r>
        <w:rPr>
          <w:rFonts w:ascii="Times New Roman" w:hAnsi="Times New Roman" w:eastAsia="仿宋_GB2312" w:cs="Times New Roman"/>
          <w:sz w:val="32"/>
          <w:szCs w:val="32"/>
        </w:rPr>
        <w:t>各乡镇人民政府（管委会），政府各部门、直属单位：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ascii="Times New Roman" w:hAnsi="Times New Roman" w:eastAsia="仿宋_GB2312"/>
          <w:sz w:val="32"/>
          <w:szCs w:val="32"/>
        </w:rPr>
      </w:pPr>
      <w:r>
        <w:rPr>
          <w:rFonts w:ascii="Times New Roman" w:eastAsia="仿宋_GB2312" w:cs="Times New Roman"/>
          <w:sz w:val="32"/>
          <w:szCs w:val="32"/>
        </w:rPr>
        <w:t>《</w:t>
      </w:r>
      <w:r>
        <w:rPr>
          <w:rFonts w:hint="eastAsia" w:ascii="Times New Roman" w:eastAsia="仿宋_GB2312" w:cs="Times New Roman"/>
          <w:sz w:val="32"/>
          <w:szCs w:val="32"/>
        </w:rPr>
        <w:t>同心县</w:t>
      </w:r>
      <w:r>
        <w:rPr>
          <w:rFonts w:hint="eastAsia" w:ascii="Times New Roman" w:eastAsia="仿宋_GB2312" w:cs="Times New Roman"/>
          <w:sz w:val="32"/>
          <w:szCs w:val="32"/>
          <w:lang w:eastAsia="zh-CN"/>
        </w:rPr>
        <w:t>高污染禁燃区划分方案</w:t>
      </w:r>
      <w:r>
        <w:rPr>
          <w:rFonts w:hint="eastAsia" w:ascii="Times New Roman" w:eastAsia="仿宋_GB2312" w:cs="Times New Roman"/>
          <w:sz w:val="32"/>
          <w:szCs w:val="32"/>
        </w:rPr>
        <w:t>》</w:t>
      </w:r>
      <w:r>
        <w:rPr>
          <w:rFonts w:ascii="Times New Roman" w:eastAsia="仿宋_GB2312" w:cs="Times New Roman"/>
          <w:sz w:val="32"/>
          <w:szCs w:val="32"/>
        </w:rPr>
        <w:t>已经</w:t>
      </w:r>
      <w:r>
        <w:rPr>
          <w:rFonts w:ascii="Times New Roman" w:hAnsi="Times New Roman" w:eastAsia="仿宋_GB2312"/>
          <w:sz w:val="32"/>
          <w:szCs w:val="32"/>
        </w:rPr>
        <w:t>县十九届人民政府第</w:t>
      </w:r>
      <w:r>
        <w:rPr>
          <w:rFonts w:hint="eastAsia" w:ascii="Times New Roman" w:hAnsi="Times New Roman" w:eastAsia="仿宋_GB2312"/>
          <w:sz w:val="32"/>
          <w:szCs w:val="32"/>
          <w:lang w:val="en-US" w:eastAsia="zh-CN"/>
        </w:rPr>
        <w:t>37</w:t>
      </w:r>
      <w:r>
        <w:rPr>
          <w:rFonts w:ascii="Times New Roman" w:hAnsi="Times New Roman" w:eastAsia="仿宋_GB2312"/>
          <w:sz w:val="32"/>
          <w:szCs w:val="32"/>
        </w:rPr>
        <w:t>次常务会议研究通过</w:t>
      </w:r>
      <w:r>
        <w:rPr>
          <w:rFonts w:ascii="Times New Roman" w:eastAsia="仿宋_GB2312" w:cs="Times New Roman"/>
          <w:sz w:val="32"/>
          <w:szCs w:val="32"/>
        </w:rPr>
        <w:t>，现印发给你们，</w:t>
      </w:r>
      <w:r>
        <w:rPr>
          <w:rFonts w:ascii="Times New Roman" w:hAnsi="Times New Roman" w:eastAsia="仿宋_GB2312"/>
          <w:sz w:val="32"/>
          <w:szCs w:val="32"/>
        </w:rPr>
        <w:t>请认真贯彻执行。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/>
        <w:autoSpaceDE w:val="0"/>
        <w:autoSpaceDN/>
        <w:bidi w:val="0"/>
        <w:adjustRightInd w:val="0"/>
        <w:spacing w:line="560" w:lineRule="exact"/>
        <w:ind w:left="0" w:leftChars="0" w:right="0" w:rightChars="0" w:firstLine="0" w:firstLineChars="0"/>
        <w:jc w:val="center"/>
        <w:textAlignment w:val="auto"/>
        <w:rPr>
          <w:rFonts w:hint="eastAsia" w:ascii="方正小标宋简体" w:hAnsi="方正小标宋简体" w:eastAsia="方正小标宋简体" w:cs="方正小标宋简体"/>
          <w:b w:val="0"/>
          <w:bCs w:val="0"/>
          <w:color w:val="auto"/>
          <w:sz w:val="44"/>
          <w:szCs w:val="44"/>
        </w:rPr>
      </w:pP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autoSpaceDN/>
        <w:bidi w:val="0"/>
        <w:spacing w:line="560" w:lineRule="exact"/>
        <w:textAlignment w:val="auto"/>
        <w:rPr>
          <w:rFonts w:hint="eastAsia" w:ascii="方正小标宋简体" w:hAnsi="方正小标宋简体" w:eastAsia="方正小标宋简体" w:cs="方正小标宋简体"/>
          <w:b w:val="0"/>
          <w:bCs w:val="0"/>
          <w:color w:val="auto"/>
          <w:sz w:val="44"/>
          <w:szCs w:val="44"/>
        </w:rPr>
      </w:pPr>
    </w:p>
    <w:p>
      <w:pPr>
        <w:pStyle w:val="4"/>
        <w:keepNext w:val="0"/>
        <w:keepLines w:val="0"/>
        <w:pageBreakBefore w:val="0"/>
        <w:widowControl w:val="0"/>
        <w:kinsoku/>
        <w:wordWrap/>
        <w:overflowPunct/>
        <w:autoSpaceDN/>
        <w:bidi w:val="0"/>
        <w:spacing w:line="560" w:lineRule="exact"/>
        <w:textAlignment w:val="auto"/>
        <w:rPr>
          <w:rFonts w:hint="eastAsia"/>
        </w:rPr>
      </w:pPr>
    </w:p>
    <w:p>
      <w:pPr>
        <w:keepNext w:val="0"/>
        <w:keepLines w:val="0"/>
        <w:pageBreakBefore w:val="0"/>
        <w:widowControl w:val="0"/>
        <w:tabs>
          <w:tab w:val="left" w:pos="7371"/>
          <w:tab w:val="left" w:pos="7797"/>
        </w:tabs>
        <w:kinsoku/>
        <w:wordWrap/>
        <w:overflowPunct/>
        <w:autoSpaceDN/>
        <w:bidi w:val="0"/>
        <w:snapToGrid w:val="0"/>
        <w:spacing w:line="560" w:lineRule="exact"/>
        <w:ind w:firstLine="4320" w:firstLineChars="1350"/>
        <w:textAlignment w:val="baseline"/>
        <w:rPr>
          <w:rFonts w:ascii="Times New Roman" w:hAnsi="Times New Roman" w:cs="Times New Roman"/>
        </w:rPr>
      </w:pPr>
      <w:r>
        <w:rPr>
          <w:rFonts w:ascii="Times New Roman" w:eastAsia="仿宋_GB2312" w:cs="Times New Roman"/>
          <w:sz w:val="32"/>
          <w:szCs w:val="32"/>
        </w:rPr>
        <w:t>同心县人民政府办公室</w:t>
      </w:r>
    </w:p>
    <w:p>
      <w:pPr>
        <w:keepNext w:val="0"/>
        <w:keepLines w:val="0"/>
        <w:pageBreakBefore w:val="0"/>
        <w:widowControl w:val="0"/>
        <w:tabs>
          <w:tab w:val="left" w:pos="7797"/>
        </w:tabs>
        <w:kinsoku/>
        <w:wordWrap/>
        <w:overflowPunct/>
        <w:autoSpaceDN/>
        <w:bidi w:val="0"/>
        <w:snapToGrid w:val="0"/>
        <w:spacing w:line="560" w:lineRule="exact"/>
        <w:ind w:firstLine="4640" w:firstLineChars="1450"/>
        <w:textAlignment w:val="baseline"/>
        <w:rPr>
          <w:rFonts w:ascii="Times New Roman" w:hAnsi="Times New Roman" w:eastAsia="仿宋_GB2312" w:cs="Times New Roman"/>
          <w:sz w:val="32"/>
          <w:szCs w:val="32"/>
        </w:rPr>
      </w:pPr>
      <w:r>
        <w:rPr>
          <w:rFonts w:ascii="Times New Roman" w:hAnsi="Times New Roman" w:eastAsia="仿宋_GB2312" w:cs="Times New Roman"/>
          <w:sz w:val="32"/>
          <w:szCs w:val="32"/>
        </w:rPr>
        <w:t>202</w:t>
      </w:r>
      <w:r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  <w:t>3</w:t>
      </w:r>
      <w:r>
        <w:rPr>
          <w:rFonts w:ascii="Times New Roman" w:eastAsia="仿宋_GB2312" w:cs="Times New Roman"/>
          <w:sz w:val="32"/>
          <w:szCs w:val="32"/>
        </w:rPr>
        <w:t>年</w:t>
      </w:r>
      <w:r>
        <w:rPr>
          <w:rFonts w:hint="eastAsia" w:ascii="Times New Roman" w:eastAsia="仿宋_GB2312" w:cs="Times New Roman"/>
          <w:sz w:val="32"/>
          <w:szCs w:val="32"/>
          <w:lang w:val="en-US" w:eastAsia="zh-CN"/>
        </w:rPr>
        <w:t>5</w:t>
      </w:r>
      <w:r>
        <w:rPr>
          <w:rFonts w:ascii="Times New Roman" w:eastAsia="仿宋_GB2312" w:cs="Times New Roman"/>
          <w:sz w:val="32"/>
          <w:szCs w:val="32"/>
        </w:rPr>
        <w:t>月</w:t>
      </w:r>
      <w:r>
        <w:rPr>
          <w:rFonts w:hint="eastAsia" w:ascii="Times New Roman" w:eastAsia="仿宋_GB2312" w:cs="Times New Roman"/>
          <w:sz w:val="32"/>
          <w:szCs w:val="32"/>
          <w:lang w:val="en-US" w:eastAsia="zh-CN"/>
        </w:rPr>
        <w:t>15</w:t>
      </w:r>
      <w:r>
        <w:rPr>
          <w:rFonts w:ascii="Times New Roman" w:eastAsia="仿宋_GB2312" w:cs="Times New Roman"/>
          <w:sz w:val="32"/>
          <w:szCs w:val="32"/>
        </w:rPr>
        <w:t>日</w:t>
      </w:r>
    </w:p>
    <w:p>
      <w:pPr>
        <w:keepNext w:val="0"/>
        <w:keepLines w:val="0"/>
        <w:pageBreakBefore w:val="0"/>
        <w:widowControl w:val="0"/>
        <w:tabs>
          <w:tab w:val="left" w:pos="7797"/>
        </w:tabs>
        <w:kinsoku/>
        <w:wordWrap/>
        <w:overflowPunct/>
        <w:autoSpaceDN/>
        <w:bidi w:val="0"/>
        <w:snapToGrid w:val="0"/>
        <w:spacing w:line="560" w:lineRule="exact"/>
        <w:textAlignment w:val="baseline"/>
        <w:rPr>
          <w:rFonts w:ascii="Times New Roman" w:hAnsi="Times New Roman" w:eastAsia="仿宋_GB2312"/>
          <w:sz w:val="32"/>
          <w:szCs w:val="32"/>
        </w:rPr>
      </w:pPr>
    </w:p>
    <w:p>
      <w:pPr>
        <w:keepNext w:val="0"/>
        <w:keepLines w:val="0"/>
        <w:pageBreakBefore w:val="0"/>
        <w:widowControl w:val="0"/>
        <w:tabs>
          <w:tab w:val="left" w:pos="7797"/>
        </w:tabs>
        <w:kinsoku/>
        <w:wordWrap/>
        <w:overflowPunct/>
        <w:autoSpaceDN/>
        <w:bidi w:val="0"/>
        <w:snapToGrid w:val="0"/>
        <w:spacing w:line="560" w:lineRule="exact"/>
        <w:ind w:firstLine="640" w:firstLineChars="200"/>
        <w:textAlignment w:val="baseline"/>
        <w:rPr>
          <w:rFonts w:ascii="Times New Roman" w:hAnsi="Times New Roman" w:eastAsia="仿宋_GB2312"/>
          <w:sz w:val="32"/>
          <w:szCs w:val="32"/>
        </w:rPr>
      </w:pPr>
      <w:r>
        <w:rPr>
          <w:rFonts w:ascii="Times New Roman" w:hAnsi="Times New Roman" w:eastAsia="仿宋_GB2312"/>
          <w:sz w:val="32"/>
          <w:szCs w:val="32"/>
        </w:rPr>
        <w:t>（此件公开发布）</w:t>
      </w:r>
    </w:p>
    <w:p>
      <w:pPr>
        <w:rPr>
          <w:rFonts w:hint="eastAsia" w:ascii="方正小标宋简体" w:hAnsi="方正小标宋简体" w:eastAsia="方正小标宋简体" w:cs="方正小标宋简体"/>
          <w:b w:val="0"/>
          <w:bCs w:val="0"/>
          <w:color w:val="auto"/>
          <w:sz w:val="44"/>
          <w:szCs w:val="44"/>
        </w:rPr>
      </w:pPr>
      <w:r>
        <w:rPr>
          <w:rFonts w:hint="eastAsia" w:ascii="方正小标宋简体" w:hAnsi="方正小标宋简体" w:eastAsia="方正小标宋简体" w:cs="方正小标宋简体"/>
          <w:b w:val="0"/>
          <w:bCs w:val="0"/>
          <w:color w:val="auto"/>
          <w:sz w:val="44"/>
          <w:szCs w:val="44"/>
        </w:rPr>
        <w:br w:type="page"/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/>
        <w:autoSpaceDE w:val="0"/>
        <w:autoSpaceDN/>
        <w:bidi w:val="0"/>
        <w:adjustRightInd w:val="0"/>
        <w:spacing w:line="560" w:lineRule="exact"/>
        <w:ind w:left="0" w:leftChars="0" w:right="0" w:rightChars="0" w:firstLine="0" w:firstLineChars="0"/>
        <w:jc w:val="center"/>
        <w:textAlignment w:val="auto"/>
        <w:rPr>
          <w:rFonts w:hint="eastAsia" w:ascii="方正小标宋_GBK" w:hAnsi="方正小标宋_GBK" w:eastAsia="方正小标宋_GBK" w:cs="方正小标宋_GBK"/>
          <w:b w:val="0"/>
          <w:bCs w:val="0"/>
          <w:color w:val="auto"/>
          <w:sz w:val="44"/>
          <w:szCs w:val="44"/>
        </w:rPr>
      </w:pPr>
      <w:r>
        <w:rPr>
          <w:rFonts w:hint="eastAsia" w:ascii="方正小标宋简体" w:hAnsi="方正小标宋简体" w:eastAsia="方正小标宋简体" w:cs="方正小标宋简体"/>
          <w:b w:val="0"/>
          <w:bCs w:val="0"/>
          <w:color w:val="auto"/>
          <w:sz w:val="44"/>
          <w:szCs w:val="44"/>
        </w:rPr>
        <w:t>同心县高污染禁燃区划分方案</w:t>
      </w:r>
    </w:p>
    <w:p>
      <w:pPr>
        <w:keepNext w:val="0"/>
        <w:keepLines w:val="0"/>
        <w:pageBreakBefore w:val="0"/>
        <w:kinsoku/>
        <w:wordWrap/>
        <w:overflowPunct/>
        <w:topLinePunct/>
        <w:autoSpaceDE w:val="0"/>
        <w:autoSpaceDN/>
        <w:bidi w:val="0"/>
        <w:spacing w:line="560" w:lineRule="exact"/>
        <w:textAlignment w:val="auto"/>
        <w:outlineLvl w:val="0"/>
        <w:rPr>
          <w:rFonts w:hint="eastAsia" w:ascii="仿宋" w:hAnsi="仿宋" w:eastAsia="仿宋" w:cs="仿宋"/>
          <w:b/>
          <w:bCs/>
          <w:snapToGrid w:val="0"/>
          <w:kern w:val="0"/>
          <w:sz w:val="32"/>
          <w:szCs w:val="32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/>
        <w:autoSpaceDE w:val="0"/>
        <w:autoSpaceDN/>
        <w:bidi w:val="0"/>
        <w:adjustRightInd/>
        <w:snapToGrid/>
        <w:spacing w:line="560" w:lineRule="exact"/>
        <w:ind w:firstLine="640" w:firstLineChars="200"/>
        <w:textAlignment w:val="auto"/>
        <w:outlineLvl w:val="0"/>
        <w:rPr>
          <w:rFonts w:hint="eastAsia" w:ascii="黑体" w:hAnsi="黑体" w:eastAsia="黑体" w:cs="黑体"/>
          <w:b w:val="0"/>
          <w:bCs w:val="0"/>
          <w:snapToGrid w:val="0"/>
          <w:kern w:val="0"/>
          <w:sz w:val="32"/>
          <w:szCs w:val="32"/>
        </w:rPr>
      </w:pPr>
      <w:r>
        <w:rPr>
          <w:rFonts w:hint="eastAsia" w:ascii="黑体" w:hAnsi="黑体" w:eastAsia="黑体" w:cs="黑体"/>
          <w:b w:val="0"/>
          <w:bCs w:val="0"/>
          <w:snapToGrid w:val="0"/>
          <w:kern w:val="0"/>
          <w:sz w:val="32"/>
          <w:szCs w:val="32"/>
          <w:lang w:eastAsia="zh-CN"/>
        </w:rPr>
        <w:t>一、</w:t>
      </w:r>
      <w:r>
        <w:rPr>
          <w:rFonts w:hint="eastAsia" w:ascii="黑体" w:hAnsi="黑体" w:eastAsia="黑体" w:cs="黑体"/>
          <w:b w:val="0"/>
          <w:bCs w:val="0"/>
          <w:snapToGrid w:val="0"/>
          <w:kern w:val="0"/>
          <w:sz w:val="32"/>
          <w:szCs w:val="32"/>
        </w:rPr>
        <w:t>总则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/>
        <w:autoSpaceDE w:val="0"/>
        <w:autoSpaceDN/>
        <w:bidi w:val="0"/>
        <w:adjustRightInd/>
        <w:snapToGrid/>
        <w:spacing w:line="560" w:lineRule="exact"/>
        <w:ind w:firstLine="640" w:firstLineChars="200"/>
        <w:textAlignment w:val="auto"/>
        <w:outlineLvl w:val="1"/>
        <w:rPr>
          <w:rFonts w:hint="eastAsia" w:ascii="楷体" w:hAnsi="楷体" w:eastAsia="楷体" w:cs="楷体"/>
          <w:b/>
          <w:snapToGrid w:val="0"/>
          <w:kern w:val="0"/>
          <w:sz w:val="32"/>
          <w:szCs w:val="32"/>
        </w:rPr>
      </w:pPr>
      <w:bookmarkStart w:id="0" w:name="_Toc86850347"/>
      <w:bookmarkStart w:id="1" w:name="_Toc7368"/>
      <w:r>
        <w:rPr>
          <w:rFonts w:hint="eastAsia" w:ascii="楷体" w:hAnsi="楷体" w:eastAsia="楷体" w:cs="楷体"/>
          <w:b/>
          <w:snapToGrid w:val="0"/>
          <w:kern w:val="0"/>
          <w:sz w:val="32"/>
          <w:szCs w:val="32"/>
          <w:lang w:val="en-US" w:eastAsia="zh-CN"/>
        </w:rPr>
        <w:t>1.</w:t>
      </w:r>
      <w:r>
        <w:rPr>
          <w:rFonts w:hint="eastAsia" w:ascii="楷体" w:hAnsi="楷体" w:eastAsia="楷体" w:cs="楷体"/>
          <w:b/>
          <w:snapToGrid w:val="0"/>
          <w:kern w:val="0"/>
          <w:sz w:val="32"/>
          <w:szCs w:val="32"/>
        </w:rPr>
        <w:t>划分目的</w:t>
      </w:r>
      <w:bookmarkEnd w:id="0"/>
      <w:bookmarkEnd w:id="1"/>
    </w:p>
    <w:p>
      <w:pPr>
        <w:keepNext w:val="0"/>
        <w:keepLines w:val="0"/>
        <w:pageBreakBefore w:val="0"/>
        <w:kinsoku/>
        <w:wordWrap/>
        <w:overflowPunct/>
        <w:topLinePunct/>
        <w:autoSpaceDE w:val="0"/>
        <w:autoSpaceDN/>
        <w:bidi w:val="0"/>
        <w:spacing w:line="56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  <w:bookmarkStart w:id="2" w:name="_Hlk86848582"/>
      <w:r>
        <w:rPr>
          <w:rFonts w:hint="eastAsia" w:ascii="仿宋_GB2312" w:hAnsi="仿宋_GB2312" w:eastAsia="仿宋_GB2312" w:cs="仿宋_GB2312"/>
          <w:sz w:val="32"/>
          <w:szCs w:val="32"/>
        </w:rPr>
        <w:t>为进一步提升同心县大气环境质量、保障人民群众身体健康，推进生态文明建设，根据《中华人民共和国大气污染防治</w:t>
      </w:r>
      <w:r>
        <w:rPr>
          <w:rFonts w:hint="eastAsia" w:ascii="Times New Roman" w:hAnsi="Times New Roman" w:eastAsia="仿宋_GB2312" w:cs="Times New Roman"/>
          <w:sz w:val="32"/>
          <w:szCs w:val="32"/>
          <w:lang w:val="en-US" w:eastAsia="en-US"/>
        </w:rPr>
        <w:t>法》、《关于发布〈高污染燃料目录〉的通知》（国环规大气〔2017〕2号）和《宁夏回族自治区大气污染防治条例（2019年）》等有关规定，结合同心县实际建设情况，现就加强同心县中心城区高污染燃料禁燃区（以下简称“禁燃区”），制定</w:t>
      </w:r>
      <w:r>
        <w:rPr>
          <w:rFonts w:hint="eastAsia" w:ascii="仿宋_GB2312" w:hAnsi="仿宋_GB2312" w:eastAsia="仿宋_GB2312" w:cs="仿宋_GB2312"/>
          <w:sz w:val="32"/>
          <w:szCs w:val="32"/>
        </w:rPr>
        <w:t>本方案</w:t>
      </w:r>
      <w:bookmarkEnd w:id="2"/>
      <w:r>
        <w:rPr>
          <w:rFonts w:hint="eastAsia" w:ascii="仿宋_GB2312" w:hAnsi="仿宋_GB2312" w:eastAsia="仿宋_GB2312" w:cs="仿宋_GB2312"/>
          <w:sz w:val="32"/>
          <w:szCs w:val="32"/>
        </w:rPr>
        <w:t>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/>
        <w:autoSpaceDE w:val="0"/>
        <w:autoSpaceDN/>
        <w:bidi w:val="0"/>
        <w:adjustRightInd/>
        <w:snapToGrid/>
        <w:spacing w:line="560" w:lineRule="exact"/>
        <w:ind w:firstLine="640" w:firstLineChars="200"/>
        <w:textAlignment w:val="auto"/>
        <w:outlineLvl w:val="1"/>
        <w:rPr>
          <w:rFonts w:hint="eastAsia" w:ascii="楷体" w:hAnsi="楷体" w:eastAsia="楷体" w:cs="楷体"/>
          <w:b/>
          <w:snapToGrid w:val="0"/>
          <w:kern w:val="0"/>
          <w:sz w:val="32"/>
          <w:szCs w:val="32"/>
          <w:lang w:val="en-US" w:eastAsia="zh-CN"/>
        </w:rPr>
      </w:pPr>
      <w:bookmarkStart w:id="3" w:name="_Toc6607"/>
      <w:bookmarkStart w:id="4" w:name="_Toc86850348"/>
      <w:r>
        <w:rPr>
          <w:rFonts w:hint="eastAsia" w:ascii="楷体" w:hAnsi="楷体" w:eastAsia="楷体" w:cs="楷体"/>
          <w:b/>
          <w:snapToGrid w:val="0"/>
          <w:kern w:val="0"/>
          <w:sz w:val="32"/>
          <w:szCs w:val="32"/>
          <w:lang w:val="en-US" w:eastAsia="zh-CN"/>
        </w:rPr>
        <w:t>2.划分依据</w:t>
      </w:r>
      <w:bookmarkEnd w:id="3"/>
      <w:bookmarkEnd w:id="4"/>
    </w:p>
    <w:p>
      <w:pPr>
        <w:pStyle w:val="5"/>
        <w:keepNext w:val="0"/>
        <w:keepLines w:val="0"/>
        <w:pageBreakBefore w:val="0"/>
        <w:kinsoku/>
        <w:wordWrap/>
        <w:overflowPunct/>
        <w:topLinePunct/>
        <w:autoSpaceDE w:val="0"/>
        <w:autoSpaceDN/>
        <w:bidi w:val="0"/>
        <w:spacing w:line="560" w:lineRule="exact"/>
        <w:ind w:left="0" w:firstLine="640" w:firstLineChars="200"/>
        <w:textAlignment w:val="auto"/>
        <w:rPr>
          <w:rFonts w:hint="eastAsia" w:ascii="Times New Roman" w:hAnsi="Times New Roman" w:eastAsia="仿宋_GB2312" w:cs="Times New Roman"/>
          <w:kern w:val="2"/>
          <w:sz w:val="32"/>
          <w:szCs w:val="32"/>
          <w:lang w:val="en-US" w:eastAsia="en-US" w:bidi="ar-SA"/>
        </w:rPr>
      </w:pPr>
      <w:r>
        <w:rPr>
          <w:rFonts w:hint="eastAsia" w:ascii="Times New Roman" w:hAnsi="Times New Roman" w:cs="Times New Roman"/>
          <w:kern w:val="2"/>
          <w:sz w:val="32"/>
          <w:szCs w:val="32"/>
          <w:lang w:val="en-US" w:eastAsia="zh-CN" w:bidi="ar-SA"/>
        </w:rPr>
        <w:t>（1）</w:t>
      </w:r>
      <w:r>
        <w:rPr>
          <w:rFonts w:hint="eastAsia" w:ascii="Times New Roman" w:hAnsi="Times New Roman" w:eastAsia="仿宋_GB2312" w:cs="Times New Roman"/>
          <w:kern w:val="2"/>
          <w:sz w:val="32"/>
          <w:szCs w:val="32"/>
          <w:lang w:val="en-US" w:eastAsia="en-US" w:bidi="ar-SA"/>
        </w:rPr>
        <w:t>《中华人民共和国环境保护法》（2015年1月1日）；</w:t>
      </w:r>
    </w:p>
    <w:p>
      <w:pPr>
        <w:keepNext w:val="0"/>
        <w:keepLines w:val="0"/>
        <w:pageBreakBefore w:val="0"/>
        <w:kinsoku/>
        <w:wordWrap/>
        <w:overflowPunct/>
        <w:topLinePunct/>
        <w:autoSpaceDE w:val="0"/>
        <w:autoSpaceDN/>
        <w:bidi w:val="0"/>
        <w:spacing w:line="560" w:lineRule="exact"/>
        <w:ind w:firstLine="640" w:firstLineChars="200"/>
        <w:textAlignment w:val="auto"/>
        <w:rPr>
          <w:rFonts w:hint="eastAsia" w:ascii="Times New Roman" w:hAnsi="Times New Roman" w:eastAsia="仿宋_GB2312" w:cs="Times New Roman"/>
          <w:kern w:val="2"/>
          <w:sz w:val="32"/>
          <w:szCs w:val="32"/>
          <w:lang w:val="en-US" w:eastAsia="en-US" w:bidi="ar-SA"/>
        </w:rPr>
      </w:pPr>
      <w:r>
        <w:rPr>
          <w:rFonts w:hint="eastAsia" w:ascii="Times New Roman" w:hAnsi="Times New Roman" w:eastAsia="仿宋_GB2312" w:cs="Times New Roman"/>
          <w:kern w:val="2"/>
          <w:sz w:val="32"/>
          <w:szCs w:val="32"/>
          <w:lang w:val="en-US" w:eastAsia="zh-CN" w:bidi="ar-SA"/>
        </w:rPr>
        <w:t>（2）</w:t>
      </w:r>
      <w:r>
        <w:rPr>
          <w:rFonts w:hint="eastAsia" w:ascii="Times New Roman" w:hAnsi="Times New Roman" w:eastAsia="仿宋_GB2312" w:cs="Times New Roman"/>
          <w:kern w:val="2"/>
          <w:sz w:val="32"/>
          <w:szCs w:val="32"/>
          <w:lang w:val="en-US" w:eastAsia="en-US" w:bidi="ar-SA"/>
        </w:rPr>
        <w:t>《中华人民共和国大气污染防治法》（2018年10月26日）；</w:t>
      </w:r>
    </w:p>
    <w:p>
      <w:pPr>
        <w:pStyle w:val="17"/>
        <w:keepNext w:val="0"/>
        <w:keepLines w:val="0"/>
        <w:pageBreakBefore w:val="0"/>
        <w:widowControl/>
        <w:kinsoku/>
        <w:wordWrap/>
        <w:overflowPunct/>
        <w:topLinePunct/>
        <w:autoSpaceDE w:val="0"/>
        <w:autoSpaceDN/>
        <w:bidi w:val="0"/>
        <w:spacing w:before="0" w:beforeAutospacing="0" w:after="0" w:afterAutospacing="0" w:line="560" w:lineRule="exact"/>
        <w:ind w:firstLine="640" w:firstLineChars="200"/>
        <w:jc w:val="both"/>
        <w:textAlignment w:val="auto"/>
        <w:rPr>
          <w:rFonts w:hint="eastAsia" w:ascii="Times New Roman" w:hAnsi="Times New Roman" w:eastAsia="仿宋_GB2312" w:cs="Times New Roman"/>
          <w:kern w:val="2"/>
          <w:sz w:val="32"/>
          <w:szCs w:val="32"/>
          <w:lang w:val="en-US" w:eastAsia="en-US" w:bidi="ar-SA"/>
        </w:rPr>
      </w:pPr>
      <w:r>
        <w:rPr>
          <w:rFonts w:hint="eastAsia" w:ascii="Times New Roman" w:hAnsi="Times New Roman" w:eastAsia="仿宋_GB2312" w:cs="Times New Roman"/>
          <w:kern w:val="2"/>
          <w:sz w:val="32"/>
          <w:szCs w:val="32"/>
          <w:lang w:val="en-US" w:eastAsia="zh-CN" w:bidi="ar-SA"/>
        </w:rPr>
        <w:t>（3）</w:t>
      </w:r>
      <w:r>
        <w:rPr>
          <w:rFonts w:hint="eastAsia" w:ascii="Times New Roman" w:hAnsi="Times New Roman" w:eastAsia="仿宋_GB2312" w:cs="Times New Roman"/>
          <w:kern w:val="2"/>
          <w:sz w:val="32"/>
          <w:szCs w:val="32"/>
          <w:lang w:val="en-US" w:eastAsia="en-US" w:bidi="ar-SA"/>
        </w:rPr>
        <w:t>《宁夏回族自治区大气污染防治条例（2019年）》（2019年3月26日）；</w:t>
      </w:r>
    </w:p>
    <w:p>
      <w:pPr>
        <w:pStyle w:val="17"/>
        <w:keepNext w:val="0"/>
        <w:keepLines w:val="0"/>
        <w:pageBreakBefore w:val="0"/>
        <w:widowControl/>
        <w:kinsoku/>
        <w:wordWrap/>
        <w:overflowPunct/>
        <w:topLinePunct/>
        <w:autoSpaceDE w:val="0"/>
        <w:autoSpaceDN/>
        <w:bidi w:val="0"/>
        <w:spacing w:before="0" w:beforeAutospacing="0" w:after="0" w:afterAutospacing="0" w:line="560" w:lineRule="exact"/>
        <w:ind w:firstLine="640" w:firstLineChars="200"/>
        <w:jc w:val="both"/>
        <w:textAlignment w:val="auto"/>
        <w:rPr>
          <w:rFonts w:hint="eastAsia" w:ascii="Times New Roman" w:hAnsi="Times New Roman" w:eastAsia="仿宋_GB2312" w:cs="Times New Roman"/>
          <w:kern w:val="2"/>
          <w:sz w:val="32"/>
          <w:szCs w:val="32"/>
          <w:lang w:val="en-US" w:eastAsia="en-US" w:bidi="ar-SA"/>
        </w:rPr>
      </w:pPr>
      <w:r>
        <w:rPr>
          <w:rFonts w:hint="eastAsia" w:ascii="Times New Roman" w:hAnsi="Times New Roman" w:eastAsia="仿宋_GB2312" w:cs="Times New Roman"/>
          <w:kern w:val="2"/>
          <w:sz w:val="32"/>
          <w:szCs w:val="32"/>
          <w:lang w:val="en-US" w:eastAsia="zh-CN" w:bidi="ar-SA"/>
        </w:rPr>
        <w:t>（4）</w:t>
      </w:r>
      <w:r>
        <w:rPr>
          <w:rFonts w:hint="eastAsia" w:ascii="Times New Roman" w:hAnsi="Times New Roman" w:eastAsia="仿宋_GB2312" w:cs="Times New Roman"/>
          <w:kern w:val="2"/>
          <w:sz w:val="32"/>
          <w:szCs w:val="32"/>
          <w:lang w:val="en-US" w:eastAsia="en-US" w:bidi="ar-SA"/>
        </w:rPr>
        <w:t>《自治区人民政府办公厅关于印发宁夏回族自治区生态环境保护“十四五”规划的通知》（宁政办发〔2021〕59号）；</w:t>
      </w:r>
    </w:p>
    <w:p>
      <w:pPr>
        <w:keepNext w:val="0"/>
        <w:keepLines w:val="0"/>
        <w:pageBreakBefore w:val="0"/>
        <w:kinsoku/>
        <w:wordWrap/>
        <w:overflowPunct/>
        <w:topLinePunct/>
        <w:autoSpaceDE w:val="0"/>
        <w:autoSpaceDN/>
        <w:bidi w:val="0"/>
        <w:spacing w:line="560" w:lineRule="exact"/>
        <w:ind w:firstLine="640" w:firstLineChars="200"/>
        <w:textAlignment w:val="auto"/>
        <w:rPr>
          <w:rFonts w:hint="eastAsia" w:ascii="Times New Roman" w:hAnsi="Times New Roman" w:eastAsia="仿宋_GB2312" w:cs="Times New Roman"/>
          <w:kern w:val="2"/>
          <w:sz w:val="32"/>
          <w:szCs w:val="32"/>
          <w:lang w:val="en-US" w:eastAsia="en-US" w:bidi="ar-SA"/>
        </w:rPr>
      </w:pPr>
      <w:r>
        <w:rPr>
          <w:rFonts w:hint="eastAsia" w:ascii="Times New Roman" w:hAnsi="Times New Roman" w:eastAsia="仿宋_GB2312" w:cs="Times New Roman"/>
          <w:kern w:val="2"/>
          <w:sz w:val="32"/>
          <w:szCs w:val="32"/>
          <w:lang w:val="en-US" w:eastAsia="zh-CN" w:bidi="ar-SA"/>
        </w:rPr>
        <w:t>（5）</w:t>
      </w:r>
      <w:r>
        <w:rPr>
          <w:rFonts w:hint="eastAsia" w:ascii="Times New Roman" w:hAnsi="Times New Roman" w:eastAsia="仿宋_GB2312" w:cs="Times New Roman"/>
          <w:kern w:val="2"/>
          <w:sz w:val="32"/>
          <w:szCs w:val="32"/>
          <w:lang w:val="en-US" w:eastAsia="en-US" w:bidi="ar-SA"/>
        </w:rPr>
        <w:t>《宁夏回族自治区国民经济和社会发展第十四个五年规划和2035年远景目标纲要》（2021年4月28日）；</w:t>
      </w:r>
    </w:p>
    <w:p>
      <w:pPr>
        <w:keepNext w:val="0"/>
        <w:keepLines w:val="0"/>
        <w:pageBreakBefore w:val="0"/>
        <w:kinsoku/>
        <w:wordWrap/>
        <w:overflowPunct/>
        <w:topLinePunct/>
        <w:autoSpaceDE w:val="0"/>
        <w:autoSpaceDN/>
        <w:bidi w:val="0"/>
        <w:spacing w:line="560" w:lineRule="exact"/>
        <w:ind w:firstLine="640" w:firstLineChars="200"/>
        <w:textAlignment w:val="auto"/>
        <w:rPr>
          <w:rFonts w:hint="eastAsia" w:ascii="Times New Roman" w:hAnsi="Times New Roman" w:eastAsia="仿宋_GB2312" w:cs="Times New Roman"/>
          <w:kern w:val="2"/>
          <w:sz w:val="32"/>
          <w:szCs w:val="32"/>
          <w:lang w:val="en-US" w:eastAsia="en-US" w:bidi="ar-SA"/>
        </w:rPr>
      </w:pPr>
      <w:r>
        <w:rPr>
          <w:rFonts w:hint="eastAsia" w:ascii="Times New Roman" w:hAnsi="Times New Roman" w:eastAsia="仿宋_GB2312" w:cs="Times New Roman"/>
          <w:kern w:val="2"/>
          <w:sz w:val="32"/>
          <w:szCs w:val="32"/>
          <w:lang w:val="en-US" w:eastAsia="zh-CN" w:bidi="ar-SA"/>
        </w:rPr>
        <w:t>（6）</w:t>
      </w:r>
      <w:r>
        <w:rPr>
          <w:rFonts w:hint="eastAsia" w:ascii="Times New Roman" w:hAnsi="Times New Roman" w:eastAsia="仿宋_GB2312" w:cs="Times New Roman"/>
          <w:kern w:val="2"/>
          <w:sz w:val="32"/>
          <w:szCs w:val="32"/>
          <w:lang w:val="en-US" w:eastAsia="en-US" w:bidi="ar-SA"/>
        </w:rPr>
        <w:t>《高污染燃料目录》（国环规大气〔2017〕2号，2017年3月28号）；</w:t>
      </w:r>
    </w:p>
    <w:p>
      <w:pPr>
        <w:keepNext w:val="0"/>
        <w:keepLines w:val="0"/>
        <w:pageBreakBefore w:val="0"/>
        <w:kinsoku/>
        <w:wordWrap/>
        <w:overflowPunct/>
        <w:topLinePunct/>
        <w:autoSpaceDE w:val="0"/>
        <w:autoSpaceDN/>
        <w:bidi w:val="0"/>
        <w:spacing w:line="560" w:lineRule="exact"/>
        <w:ind w:firstLine="640" w:firstLineChars="200"/>
        <w:textAlignment w:val="auto"/>
        <w:rPr>
          <w:rFonts w:hint="eastAsia" w:ascii="Times New Roman" w:hAnsi="Times New Roman" w:eastAsia="仿宋_GB2312" w:cs="Times New Roman"/>
          <w:kern w:val="2"/>
          <w:sz w:val="32"/>
          <w:szCs w:val="32"/>
          <w:lang w:val="en-US" w:eastAsia="en-US" w:bidi="ar-SA"/>
        </w:rPr>
      </w:pPr>
      <w:bookmarkStart w:id="5" w:name="_Toc12362"/>
      <w:r>
        <w:rPr>
          <w:rFonts w:hint="eastAsia" w:ascii="Times New Roman" w:hAnsi="Times New Roman" w:eastAsia="仿宋_GB2312" w:cs="Times New Roman"/>
          <w:kern w:val="2"/>
          <w:sz w:val="32"/>
          <w:szCs w:val="32"/>
          <w:lang w:val="en-US" w:eastAsia="zh-CN" w:bidi="ar-SA"/>
        </w:rPr>
        <w:t>（7）</w:t>
      </w:r>
      <w:r>
        <w:rPr>
          <w:rFonts w:hint="eastAsia" w:ascii="Times New Roman" w:hAnsi="Times New Roman" w:eastAsia="仿宋_GB2312" w:cs="Times New Roman"/>
          <w:kern w:val="2"/>
          <w:sz w:val="32"/>
          <w:szCs w:val="32"/>
          <w:lang w:val="en-US" w:eastAsia="en-US" w:bidi="ar-SA"/>
        </w:rPr>
        <w:t>《同心县县城总体规划（2011～2030年）》；</w:t>
      </w:r>
    </w:p>
    <w:p>
      <w:pPr>
        <w:keepNext w:val="0"/>
        <w:keepLines w:val="0"/>
        <w:pageBreakBefore w:val="0"/>
        <w:kinsoku/>
        <w:wordWrap/>
        <w:overflowPunct/>
        <w:topLinePunct/>
        <w:autoSpaceDE w:val="0"/>
        <w:autoSpaceDN/>
        <w:bidi w:val="0"/>
        <w:spacing w:line="560" w:lineRule="exact"/>
        <w:ind w:firstLine="640" w:firstLineChars="200"/>
        <w:textAlignment w:val="auto"/>
        <w:rPr>
          <w:rFonts w:hint="eastAsia" w:ascii="Times New Roman" w:hAnsi="Times New Roman" w:eastAsia="仿宋_GB2312" w:cs="Times New Roman"/>
          <w:kern w:val="2"/>
          <w:sz w:val="32"/>
          <w:szCs w:val="32"/>
          <w:lang w:val="en-US" w:eastAsia="en-US" w:bidi="ar-SA"/>
        </w:rPr>
      </w:pPr>
      <w:r>
        <w:rPr>
          <w:rFonts w:hint="eastAsia" w:ascii="Times New Roman" w:hAnsi="Times New Roman" w:eastAsia="仿宋_GB2312" w:cs="Times New Roman"/>
          <w:kern w:val="2"/>
          <w:sz w:val="32"/>
          <w:szCs w:val="32"/>
          <w:lang w:val="en-US" w:eastAsia="zh-CN" w:bidi="ar-SA"/>
        </w:rPr>
        <w:t>（8）</w:t>
      </w:r>
      <w:r>
        <w:rPr>
          <w:rFonts w:hint="eastAsia" w:ascii="Times New Roman" w:hAnsi="Times New Roman" w:eastAsia="仿宋_GB2312" w:cs="Times New Roman"/>
          <w:kern w:val="2"/>
          <w:sz w:val="32"/>
          <w:szCs w:val="32"/>
          <w:lang w:val="en-US" w:eastAsia="en-US" w:bidi="ar-SA"/>
        </w:rPr>
        <w:t>《同心县县城供热专项规划（2015～2030年）》。</w:t>
      </w:r>
    </w:p>
    <w:bookmarkEnd w:id="5"/>
    <w:p>
      <w:pPr>
        <w:keepNext w:val="0"/>
        <w:keepLines w:val="0"/>
        <w:pageBreakBefore w:val="0"/>
        <w:widowControl w:val="0"/>
        <w:kinsoku/>
        <w:wordWrap/>
        <w:overflowPunct/>
        <w:topLinePunct/>
        <w:autoSpaceDE w:val="0"/>
        <w:autoSpaceDN/>
        <w:bidi w:val="0"/>
        <w:adjustRightInd/>
        <w:snapToGrid/>
        <w:spacing w:line="560" w:lineRule="exact"/>
        <w:ind w:firstLine="640" w:firstLineChars="200"/>
        <w:textAlignment w:val="auto"/>
        <w:outlineLvl w:val="1"/>
        <w:rPr>
          <w:rFonts w:hint="eastAsia" w:ascii="楷体" w:hAnsi="楷体" w:eastAsia="楷体" w:cs="楷体"/>
          <w:b/>
          <w:snapToGrid w:val="0"/>
          <w:kern w:val="0"/>
          <w:sz w:val="32"/>
          <w:szCs w:val="32"/>
          <w:lang w:val="en-US" w:eastAsia="zh-CN"/>
        </w:rPr>
      </w:pPr>
      <w:bookmarkStart w:id="6" w:name="_Toc86850349"/>
      <w:bookmarkStart w:id="7" w:name="_Toc29146"/>
      <w:r>
        <w:rPr>
          <w:rFonts w:hint="eastAsia" w:ascii="楷体" w:hAnsi="楷体" w:eastAsia="楷体" w:cs="楷体"/>
          <w:b/>
          <w:snapToGrid w:val="0"/>
          <w:kern w:val="0"/>
          <w:sz w:val="32"/>
          <w:szCs w:val="32"/>
          <w:lang w:val="en-US" w:eastAsia="zh-CN"/>
        </w:rPr>
        <w:t>3.划定原则</w:t>
      </w:r>
      <w:bookmarkEnd w:id="6"/>
      <w:bookmarkEnd w:id="7"/>
    </w:p>
    <w:p>
      <w:pPr>
        <w:keepNext w:val="0"/>
        <w:keepLines w:val="0"/>
        <w:pageBreakBefore w:val="0"/>
        <w:widowControl w:val="0"/>
        <w:kinsoku/>
        <w:wordWrap/>
        <w:overflowPunct/>
        <w:topLinePunct/>
        <w:autoSpaceDE w:val="0"/>
        <w:autoSpaceDN/>
        <w:bidi w:val="0"/>
        <w:adjustRightInd/>
        <w:snapToGrid/>
        <w:spacing w:line="560" w:lineRule="exact"/>
        <w:ind w:left="0" w:firstLine="640" w:firstLineChars="200"/>
        <w:jc w:val="both"/>
        <w:textAlignment w:val="auto"/>
        <w:rPr>
          <w:rFonts w:hint="default" w:ascii="Times New Roman" w:hAnsi="Times New Roman" w:eastAsia="仿宋_GB2312" w:cs="Times New Roman"/>
          <w:b/>
          <w:bCs/>
          <w:sz w:val="32"/>
          <w:szCs w:val="32"/>
          <w:lang w:val="en-US" w:eastAsia="en-US"/>
        </w:rPr>
      </w:pPr>
      <w:r>
        <w:rPr>
          <w:rFonts w:hint="eastAsia" w:ascii="Times New Roman" w:hAnsi="Times New Roman" w:eastAsia="仿宋_GB2312" w:cs="Times New Roman"/>
          <w:b/>
          <w:bCs/>
          <w:sz w:val="32"/>
          <w:szCs w:val="32"/>
          <w:lang w:val="en-US" w:eastAsia="zh-CN"/>
        </w:rPr>
        <w:t>（1）</w:t>
      </w:r>
      <w:r>
        <w:rPr>
          <w:rFonts w:hint="eastAsia" w:ascii="Times New Roman" w:hAnsi="Times New Roman" w:eastAsia="仿宋_GB2312" w:cs="Times New Roman"/>
          <w:b/>
          <w:bCs/>
          <w:sz w:val="32"/>
          <w:szCs w:val="32"/>
          <w:lang w:val="en-US" w:eastAsia="en-US"/>
        </w:rPr>
        <w:t>统一划定，分步实施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/>
        <w:autoSpaceDE w:val="0"/>
        <w:autoSpaceDN/>
        <w:bidi w:val="0"/>
        <w:adjustRightInd/>
        <w:snapToGrid/>
        <w:spacing w:line="560" w:lineRule="exact"/>
        <w:ind w:left="0" w:firstLine="640" w:firstLineChars="200"/>
        <w:jc w:val="both"/>
        <w:textAlignment w:val="auto"/>
        <w:rPr>
          <w:rFonts w:hint="default" w:ascii="Times New Roman" w:hAnsi="Times New Roman" w:eastAsia="仿宋_GB2312" w:cs="Times New Roman"/>
          <w:sz w:val="32"/>
          <w:szCs w:val="32"/>
          <w:lang w:val="en-US" w:eastAsia="en-US"/>
        </w:rPr>
      </w:pPr>
      <w:r>
        <w:rPr>
          <w:rFonts w:hint="eastAsia" w:ascii="Times New Roman" w:hAnsi="Times New Roman" w:eastAsia="仿宋_GB2312" w:cs="Times New Roman"/>
          <w:sz w:val="32"/>
          <w:szCs w:val="32"/>
          <w:lang w:val="en-US" w:eastAsia="en-US"/>
        </w:rPr>
        <w:t>同心县政府统一划定高污染燃料禁燃区，在划定区域内组织开展清洁能源改造、替代等相关工作。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/>
        <w:autoSpaceDE w:val="0"/>
        <w:autoSpaceDN/>
        <w:bidi w:val="0"/>
        <w:adjustRightInd/>
        <w:snapToGrid/>
        <w:spacing w:line="560" w:lineRule="exact"/>
        <w:ind w:left="0" w:firstLine="640" w:firstLineChars="200"/>
        <w:jc w:val="both"/>
        <w:textAlignment w:val="auto"/>
        <w:rPr>
          <w:rFonts w:hint="default" w:ascii="Times New Roman" w:hAnsi="Times New Roman" w:eastAsia="仿宋_GB2312" w:cs="Times New Roman"/>
          <w:b/>
          <w:bCs/>
          <w:sz w:val="32"/>
          <w:szCs w:val="32"/>
          <w:lang w:val="en-US" w:eastAsia="en-US"/>
        </w:rPr>
      </w:pPr>
      <w:r>
        <w:rPr>
          <w:rFonts w:hint="eastAsia" w:ascii="Times New Roman" w:hAnsi="Times New Roman" w:eastAsia="仿宋_GB2312" w:cs="Times New Roman"/>
          <w:b/>
          <w:bCs/>
          <w:sz w:val="32"/>
          <w:szCs w:val="32"/>
          <w:lang w:val="en-US" w:eastAsia="zh-CN"/>
        </w:rPr>
        <w:t>（2）</w:t>
      </w:r>
      <w:r>
        <w:rPr>
          <w:rFonts w:hint="eastAsia" w:ascii="Times New Roman" w:hAnsi="Times New Roman" w:eastAsia="仿宋_GB2312" w:cs="Times New Roman"/>
          <w:b/>
          <w:bCs/>
          <w:sz w:val="32"/>
          <w:szCs w:val="32"/>
          <w:lang w:val="en-US" w:eastAsia="en-US"/>
        </w:rPr>
        <w:t>突出重点，统筹兼顾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/>
        <w:autoSpaceDE w:val="0"/>
        <w:autoSpaceDN/>
        <w:bidi w:val="0"/>
        <w:adjustRightInd/>
        <w:snapToGrid/>
        <w:spacing w:line="560" w:lineRule="exact"/>
        <w:ind w:left="0" w:firstLine="640" w:firstLineChars="200"/>
        <w:jc w:val="both"/>
        <w:textAlignment w:val="auto"/>
        <w:rPr>
          <w:rFonts w:hint="default" w:ascii="Times New Roman" w:hAnsi="Times New Roman" w:eastAsia="仿宋_GB2312" w:cs="Times New Roman"/>
          <w:sz w:val="32"/>
          <w:szCs w:val="32"/>
          <w:lang w:val="en-US" w:eastAsia="en-US"/>
        </w:rPr>
      </w:pPr>
      <w:r>
        <w:rPr>
          <w:rFonts w:hint="eastAsia" w:ascii="Times New Roman" w:hAnsi="Times New Roman" w:eastAsia="仿宋_GB2312" w:cs="Times New Roman"/>
          <w:sz w:val="32"/>
          <w:szCs w:val="32"/>
          <w:lang w:val="en-US" w:eastAsia="en-US"/>
        </w:rPr>
        <w:t>以淘汰中心城区燃煤锅炉为重点，统筹推进其他使用高污染燃料设施淘汰工作。加快中心城区集中供热、天然气等基础设施建设，为高污染燃料禁燃区建设工作提供保障。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/>
        <w:autoSpaceDE w:val="0"/>
        <w:autoSpaceDN/>
        <w:bidi w:val="0"/>
        <w:adjustRightInd/>
        <w:snapToGrid/>
        <w:spacing w:line="560" w:lineRule="exact"/>
        <w:ind w:left="0" w:firstLine="640" w:firstLineChars="200"/>
        <w:jc w:val="both"/>
        <w:textAlignment w:val="auto"/>
        <w:rPr>
          <w:rFonts w:hint="default" w:ascii="Times New Roman" w:hAnsi="Times New Roman" w:eastAsia="仿宋_GB2312" w:cs="Times New Roman"/>
          <w:sz w:val="32"/>
          <w:szCs w:val="32"/>
          <w:lang w:val="en-US" w:eastAsia="en-US"/>
        </w:rPr>
      </w:pPr>
      <w:r>
        <w:rPr>
          <w:rFonts w:hint="eastAsia" w:ascii="Times New Roman" w:hAnsi="Times New Roman" w:eastAsia="仿宋_GB2312" w:cs="Times New Roman"/>
          <w:sz w:val="32"/>
          <w:szCs w:val="32"/>
          <w:lang w:val="en-US" w:eastAsia="en-US"/>
        </w:rPr>
        <w:t>根据《同心县县城供热专项规划（2015～2030年）》，规划供热范围为北到工业园一路以北300米，南至西征路，西至福银高速，东到宝中铁路。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/>
        <w:autoSpaceDE w:val="0"/>
        <w:autoSpaceDN/>
        <w:bidi w:val="0"/>
        <w:adjustRightInd/>
        <w:snapToGrid/>
        <w:spacing w:line="560" w:lineRule="exact"/>
        <w:ind w:left="0" w:firstLine="640" w:firstLineChars="200"/>
        <w:jc w:val="both"/>
        <w:textAlignment w:val="auto"/>
        <w:rPr>
          <w:rFonts w:hint="default" w:ascii="Times New Roman" w:hAnsi="Times New Roman" w:eastAsia="仿宋_GB2312" w:cs="Times New Roman"/>
          <w:b/>
          <w:bCs/>
          <w:sz w:val="32"/>
          <w:szCs w:val="32"/>
          <w:lang w:val="en-US" w:eastAsia="en-US"/>
        </w:rPr>
      </w:pPr>
      <w:r>
        <w:rPr>
          <w:rFonts w:hint="eastAsia" w:ascii="Times New Roman" w:hAnsi="Times New Roman" w:eastAsia="仿宋_GB2312" w:cs="Times New Roman"/>
          <w:b/>
          <w:bCs/>
          <w:sz w:val="32"/>
          <w:szCs w:val="32"/>
          <w:lang w:val="en-US" w:eastAsia="zh-CN"/>
        </w:rPr>
        <w:t>（3）</w:t>
      </w:r>
      <w:r>
        <w:rPr>
          <w:rFonts w:hint="eastAsia" w:ascii="Times New Roman" w:hAnsi="Times New Roman" w:eastAsia="仿宋_GB2312" w:cs="Times New Roman"/>
          <w:b/>
          <w:bCs/>
          <w:sz w:val="32"/>
          <w:szCs w:val="32"/>
          <w:lang w:val="en-US" w:eastAsia="en-US"/>
        </w:rPr>
        <w:t>结合发展，适时调整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/>
        <w:autoSpaceDE w:val="0"/>
        <w:autoSpaceDN/>
        <w:bidi w:val="0"/>
        <w:adjustRightInd/>
        <w:snapToGrid/>
        <w:spacing w:line="560" w:lineRule="exact"/>
        <w:ind w:left="0" w:firstLine="640" w:firstLineChars="200"/>
        <w:jc w:val="both"/>
        <w:textAlignment w:val="auto"/>
        <w:rPr>
          <w:rFonts w:hint="default" w:ascii="Times New Roman" w:hAnsi="Times New Roman" w:eastAsia="仿宋_GB2312" w:cs="Times New Roman"/>
          <w:sz w:val="32"/>
          <w:szCs w:val="32"/>
          <w:lang w:val="en-US" w:eastAsia="en-US"/>
        </w:rPr>
      </w:pPr>
      <w:r>
        <w:rPr>
          <w:rFonts w:hint="eastAsia" w:ascii="Times New Roman" w:hAnsi="Times New Roman" w:eastAsia="仿宋_GB2312" w:cs="Times New Roman"/>
          <w:sz w:val="32"/>
          <w:szCs w:val="32"/>
          <w:lang w:val="en-US" w:eastAsia="en-US"/>
        </w:rPr>
        <w:t>为了推进同心县禁燃区的建设，同心县政府根据城市总体规划及经济社会发展情况，结合大气污染防治工作情况，适时划定禁燃区范围。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/>
        <w:autoSpaceDE w:val="0"/>
        <w:autoSpaceDN/>
        <w:bidi w:val="0"/>
        <w:adjustRightInd/>
        <w:snapToGrid/>
        <w:spacing w:line="560" w:lineRule="exact"/>
        <w:ind w:left="0" w:firstLine="640" w:firstLineChars="200"/>
        <w:jc w:val="both"/>
        <w:textAlignment w:val="auto"/>
        <w:rPr>
          <w:rFonts w:hint="eastAsia" w:ascii="黑体" w:hAnsi="黑体" w:eastAsia="黑体" w:cs="黑体"/>
          <w:sz w:val="32"/>
          <w:szCs w:val="32"/>
          <w:lang w:val="en-US" w:eastAsia="en-US"/>
        </w:rPr>
      </w:pPr>
      <w:bookmarkStart w:id="8" w:name="_Toc86850350"/>
      <w:r>
        <w:rPr>
          <w:rFonts w:hint="eastAsia" w:ascii="黑体" w:hAnsi="黑体" w:eastAsia="黑体" w:cs="黑体"/>
          <w:sz w:val="32"/>
          <w:szCs w:val="32"/>
          <w:lang w:val="en-US" w:eastAsia="zh-CN"/>
        </w:rPr>
        <w:t>二、</w:t>
      </w:r>
      <w:r>
        <w:rPr>
          <w:rFonts w:hint="eastAsia" w:ascii="黑体" w:hAnsi="黑体" w:eastAsia="黑体" w:cs="黑体"/>
          <w:sz w:val="32"/>
          <w:szCs w:val="32"/>
          <w:lang w:val="en-US" w:eastAsia="en-US"/>
        </w:rPr>
        <w:t>禁燃区分类</w:t>
      </w:r>
      <w:bookmarkEnd w:id="8"/>
    </w:p>
    <w:p>
      <w:pPr>
        <w:keepNext w:val="0"/>
        <w:keepLines w:val="0"/>
        <w:pageBreakBefore w:val="0"/>
        <w:kinsoku/>
        <w:wordWrap/>
        <w:overflowPunct/>
        <w:topLinePunct/>
        <w:autoSpaceDE w:val="0"/>
        <w:autoSpaceDN/>
        <w:bidi w:val="0"/>
        <w:spacing w:line="56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根据《高污染燃料目录》，按照控制严格程度，将禁燃区内禁止燃用的燃料组合分为：Ⅰ类禁燃区（一般）、Ⅱ类禁燃区（较严）、Ⅲ类禁燃区（严格）。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/>
        <w:autoSpaceDE w:val="0"/>
        <w:autoSpaceDN/>
        <w:bidi w:val="0"/>
        <w:adjustRightInd/>
        <w:snapToGrid/>
        <w:spacing w:line="560" w:lineRule="exact"/>
        <w:ind w:left="0" w:firstLine="640" w:firstLineChars="200"/>
        <w:jc w:val="both"/>
        <w:textAlignment w:val="auto"/>
        <w:rPr>
          <w:rFonts w:hint="default" w:ascii="Times New Roman" w:hAnsi="Times New Roman" w:eastAsia="仿宋_GB2312" w:cs="Times New Roman"/>
          <w:sz w:val="32"/>
          <w:szCs w:val="32"/>
          <w:lang w:val="en-US" w:eastAsia="en-US"/>
        </w:rPr>
      </w:pPr>
      <w:r>
        <w:rPr>
          <w:rFonts w:hint="eastAsia" w:ascii="Times New Roman" w:hAnsi="Times New Roman" w:eastAsia="仿宋_GB2312" w:cs="Times New Roman"/>
          <w:b/>
          <w:bCs/>
          <w:sz w:val="32"/>
          <w:szCs w:val="32"/>
          <w:lang w:val="en-US" w:eastAsia="en-US"/>
        </w:rPr>
        <w:t>Ⅰ类禁燃区</w:t>
      </w:r>
      <w:r>
        <w:rPr>
          <w:rFonts w:hint="eastAsia" w:ascii="Times New Roman" w:hAnsi="Times New Roman" w:eastAsia="仿宋_GB2312" w:cs="Times New Roman"/>
          <w:sz w:val="32"/>
          <w:szCs w:val="32"/>
          <w:lang w:val="en-US" w:eastAsia="en-US"/>
        </w:rPr>
        <w:t>：单台出力小于20蒸吨/小时的锅炉和民用燃煤设备燃用的含硫量大于0.5%、灰分大于10%的原煤、散煤、煤矸石、煤泥、煤粉、水煤浆、型煤、焦炭、兰炭等煤炭及其制品。其中，型煤含硫量大于0.5%、挥发分大于12%；焦炭含硫量大于0.5%、灰分大于10%、挥发分大于5%；兰炭含硫量大于0.5%、灰分大于10%、挥发分大于10%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/>
        <w:autoSpaceDE w:val="0"/>
        <w:autoSpaceDN/>
        <w:bidi w:val="0"/>
        <w:adjustRightInd/>
        <w:snapToGrid/>
        <w:spacing w:line="560" w:lineRule="exact"/>
        <w:ind w:left="0" w:firstLine="640" w:firstLineChars="200"/>
        <w:jc w:val="both"/>
        <w:textAlignment w:val="auto"/>
        <w:rPr>
          <w:rFonts w:hint="default" w:ascii="Times New Roman" w:hAnsi="Times New Roman" w:eastAsia="仿宋_GB2312" w:cs="Times New Roman"/>
          <w:sz w:val="32"/>
          <w:szCs w:val="32"/>
          <w:lang w:val="en-US" w:eastAsia="en-US"/>
        </w:rPr>
      </w:pPr>
      <w:r>
        <w:rPr>
          <w:rFonts w:hint="eastAsia" w:ascii="Times New Roman" w:hAnsi="Times New Roman" w:eastAsia="仿宋_GB2312" w:cs="Times New Roman"/>
          <w:b/>
          <w:bCs/>
          <w:sz w:val="32"/>
          <w:szCs w:val="32"/>
          <w:lang w:val="en-US" w:eastAsia="en-US"/>
        </w:rPr>
        <w:t>Ⅱ类禁燃区：</w:t>
      </w:r>
      <w:r>
        <w:rPr>
          <w:rFonts w:hint="eastAsia" w:ascii="Times New Roman" w:hAnsi="Times New Roman" w:eastAsia="仿宋_GB2312" w:cs="Times New Roman"/>
          <w:sz w:val="32"/>
          <w:szCs w:val="32"/>
          <w:lang w:val="en-US" w:eastAsia="en-US"/>
        </w:rPr>
        <w:t>除单台出力大于等于20蒸吨/小时锅炉以外燃用的煤炭及其制品。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/>
        <w:autoSpaceDE w:val="0"/>
        <w:autoSpaceDN/>
        <w:bidi w:val="0"/>
        <w:adjustRightInd/>
        <w:snapToGrid/>
        <w:spacing w:line="560" w:lineRule="exact"/>
        <w:ind w:left="0" w:firstLine="640" w:firstLineChars="200"/>
        <w:jc w:val="both"/>
        <w:textAlignment w:val="auto"/>
        <w:rPr>
          <w:rFonts w:hint="default" w:ascii="Times New Roman" w:hAnsi="Times New Roman" w:eastAsia="仿宋_GB2312" w:cs="Times New Roman"/>
          <w:sz w:val="32"/>
          <w:szCs w:val="32"/>
          <w:lang w:val="en-US" w:eastAsia="en-US"/>
        </w:rPr>
      </w:pPr>
      <w:r>
        <w:rPr>
          <w:rFonts w:hint="eastAsia" w:ascii="Times New Roman" w:hAnsi="Times New Roman" w:eastAsia="仿宋_GB2312" w:cs="Times New Roman"/>
          <w:b/>
          <w:bCs/>
          <w:sz w:val="32"/>
          <w:szCs w:val="32"/>
          <w:lang w:val="en-US" w:eastAsia="en-US"/>
        </w:rPr>
        <w:t>Ⅲ类禁燃区：</w:t>
      </w:r>
      <w:r>
        <w:rPr>
          <w:rFonts w:hint="eastAsia" w:ascii="Times New Roman" w:hAnsi="Times New Roman" w:eastAsia="仿宋_GB2312" w:cs="Times New Roman"/>
          <w:sz w:val="32"/>
          <w:szCs w:val="32"/>
          <w:lang w:val="en-US" w:eastAsia="en-US"/>
        </w:rPr>
        <w:t>煤炭及其制品；非专用锅炉或未配置高效除尘设施的专用锅炉燃用的生物质燃料（包括生物质成型燃料和树木、秸秆、锯末、稻壳、蔗渣等）；法律法规规定的其他高污染燃料。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/>
        <w:autoSpaceDE w:val="0"/>
        <w:autoSpaceDN/>
        <w:bidi w:val="0"/>
        <w:adjustRightInd/>
        <w:snapToGrid/>
        <w:spacing w:line="560" w:lineRule="exact"/>
        <w:ind w:left="0" w:firstLine="640" w:firstLineChars="200"/>
        <w:jc w:val="both"/>
        <w:textAlignment w:val="auto"/>
        <w:rPr>
          <w:rFonts w:hint="default" w:ascii="Times New Roman" w:hAnsi="Times New Roman" w:eastAsia="仿宋_GB2312" w:cs="Times New Roman"/>
          <w:sz w:val="32"/>
          <w:szCs w:val="32"/>
          <w:lang w:val="en-US" w:eastAsia="en-US"/>
        </w:rPr>
      </w:pPr>
      <w:r>
        <w:rPr>
          <w:rFonts w:hint="eastAsia" w:ascii="Times New Roman" w:hAnsi="Times New Roman" w:eastAsia="仿宋_GB2312" w:cs="Times New Roman"/>
          <w:sz w:val="32"/>
          <w:szCs w:val="32"/>
          <w:lang w:val="en-US" w:eastAsia="en-US"/>
        </w:rPr>
        <w:t>根据生态环境部2017年3月发布的《高污染燃料目录》，结合同心县大气环境质量改善要求、能源消费结构、经济承受能力，同心县高污染燃料禁燃区（以下简称禁燃区）内禁止燃用的燃料组合为Ⅰ类。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/>
        <w:autoSpaceDE w:val="0"/>
        <w:autoSpaceDN/>
        <w:bidi w:val="0"/>
        <w:adjustRightInd/>
        <w:snapToGrid/>
        <w:spacing w:line="560" w:lineRule="exact"/>
        <w:ind w:left="0" w:firstLine="640" w:firstLineChars="200"/>
        <w:jc w:val="both"/>
        <w:textAlignment w:val="auto"/>
        <w:rPr>
          <w:rFonts w:hint="eastAsia" w:ascii="黑体" w:hAnsi="黑体" w:eastAsia="黑体" w:cs="黑体"/>
          <w:sz w:val="32"/>
          <w:szCs w:val="32"/>
          <w:lang w:val="en-US" w:eastAsia="en-US"/>
        </w:rPr>
      </w:pPr>
      <w:bookmarkStart w:id="9" w:name="_Toc86850351"/>
      <w:bookmarkStart w:id="10" w:name="_Toc26086"/>
      <w:r>
        <w:rPr>
          <w:rFonts w:hint="eastAsia" w:ascii="黑体" w:hAnsi="黑体" w:eastAsia="黑体" w:cs="黑体"/>
          <w:sz w:val="32"/>
          <w:szCs w:val="32"/>
          <w:lang w:val="en-US" w:eastAsia="zh-CN"/>
        </w:rPr>
        <w:t>三、</w:t>
      </w:r>
      <w:r>
        <w:rPr>
          <w:rFonts w:hint="eastAsia" w:ascii="黑体" w:hAnsi="黑体" w:eastAsia="黑体" w:cs="黑体"/>
          <w:sz w:val="32"/>
          <w:szCs w:val="32"/>
          <w:lang w:val="en-US" w:eastAsia="en-US"/>
        </w:rPr>
        <w:t>禁燃区划定范围</w:t>
      </w:r>
      <w:bookmarkEnd w:id="9"/>
      <w:bookmarkEnd w:id="10"/>
    </w:p>
    <w:p>
      <w:pPr>
        <w:keepNext w:val="0"/>
        <w:keepLines w:val="0"/>
        <w:pageBreakBefore w:val="0"/>
        <w:widowControl w:val="0"/>
        <w:kinsoku/>
        <w:wordWrap/>
        <w:overflowPunct/>
        <w:topLinePunct/>
        <w:autoSpaceDE w:val="0"/>
        <w:autoSpaceDN/>
        <w:bidi w:val="0"/>
        <w:adjustRightInd/>
        <w:snapToGrid/>
        <w:spacing w:line="560" w:lineRule="exact"/>
        <w:ind w:left="0" w:firstLine="640" w:firstLineChars="200"/>
        <w:jc w:val="both"/>
        <w:textAlignment w:val="auto"/>
        <w:rPr>
          <w:rFonts w:hint="default" w:ascii="Times New Roman" w:hAnsi="Times New Roman" w:eastAsia="仿宋_GB2312" w:cs="Times New Roman"/>
          <w:sz w:val="32"/>
          <w:szCs w:val="32"/>
          <w:lang w:val="en-US" w:eastAsia="en-US"/>
        </w:rPr>
      </w:pPr>
      <w:r>
        <w:rPr>
          <w:rFonts w:hint="eastAsia" w:ascii="Times New Roman" w:hAnsi="Times New Roman" w:eastAsia="仿宋_GB2312" w:cs="Times New Roman"/>
          <w:sz w:val="32"/>
          <w:szCs w:val="32"/>
          <w:lang w:val="en-US" w:eastAsia="en-US"/>
        </w:rPr>
        <w:t>根据《同心县县城总体规划（2011～2030年）》和《同心县县城供热专项规划（2015～2030年）》规划范围，结合同心县实际建设情况，主要将同心县</w:t>
      </w:r>
      <w:r>
        <w:rPr>
          <w:rFonts w:hint="default" w:ascii="Times New Roman" w:hAnsi="Times New Roman" w:eastAsia="仿宋_GB2312" w:cs="Times New Roman"/>
          <w:sz w:val="32"/>
          <w:szCs w:val="32"/>
          <w:lang w:val="en" w:eastAsia="en-US"/>
        </w:rPr>
        <w:t>城建成区</w:t>
      </w:r>
      <w:r>
        <w:rPr>
          <w:rFonts w:hint="eastAsia" w:ascii="Times New Roman" w:hAnsi="Times New Roman" w:eastAsia="仿宋_GB2312" w:cs="Times New Roman"/>
          <w:sz w:val="32"/>
          <w:szCs w:val="32"/>
          <w:lang w:val="en-US" w:eastAsia="en-US"/>
        </w:rPr>
        <w:t>划分为Ⅰ类高污染燃料禁燃区，具体划分范围如下：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/>
        <w:autoSpaceDE w:val="0"/>
        <w:autoSpaceDN/>
        <w:bidi w:val="0"/>
        <w:adjustRightInd/>
        <w:snapToGrid/>
        <w:spacing w:line="560" w:lineRule="exact"/>
        <w:ind w:left="0" w:firstLine="640" w:firstLineChars="200"/>
        <w:jc w:val="both"/>
        <w:textAlignment w:val="auto"/>
        <w:rPr>
          <w:rFonts w:hint="eastAsia" w:ascii="Times New Roman" w:hAnsi="Times New Roman" w:eastAsia="仿宋_GB2312"/>
          <w:sz w:val="32"/>
          <w:szCs w:val="32"/>
          <w:lang w:val="en-US" w:eastAsia="zh-CN"/>
        </w:rPr>
      </w:pPr>
      <w:r>
        <w:rPr>
          <w:rFonts w:hint="eastAsia" w:ascii="Times New Roman" w:hAnsi="Times New Roman" w:eastAsia="仿宋_GB2312" w:cs="Times New Roman"/>
          <w:sz w:val="32"/>
          <w:szCs w:val="32"/>
          <w:lang w:val="en-US" w:eastAsia="en-US"/>
        </w:rPr>
        <w:t>同心县中心城区：</w:t>
      </w:r>
      <w:r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  <w:t>即</w:t>
      </w:r>
      <w:r>
        <w:rPr>
          <w:rFonts w:hint="eastAsia" w:ascii="Times New Roman" w:hAnsi="Times New Roman" w:eastAsia="仿宋_GB2312"/>
          <w:sz w:val="32"/>
          <w:szCs w:val="32"/>
          <w:lang w:val="en-US" w:eastAsia="zh-CN"/>
        </w:rPr>
        <w:t>北到金桥巷（渡槽），南至平原路以南800米连接洪泉沟（北沟），西至国道344，东到农民街区域划分为高污染禁燃区。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/>
        <w:autoSpaceDE w:val="0"/>
        <w:autoSpaceDN/>
        <w:bidi w:val="0"/>
        <w:adjustRightInd/>
        <w:snapToGrid/>
        <w:spacing w:line="560" w:lineRule="exact"/>
        <w:ind w:left="0" w:firstLine="640" w:firstLineChars="200"/>
        <w:jc w:val="both"/>
        <w:textAlignment w:val="auto"/>
        <w:rPr>
          <w:rFonts w:hint="default" w:ascii="Times New Roman" w:hAnsi="Times New Roman" w:eastAsia="仿宋_GB2312" w:cs="Times New Roman"/>
          <w:sz w:val="32"/>
          <w:szCs w:val="32"/>
          <w:lang w:val="en-US" w:eastAsia="en-US"/>
        </w:rPr>
      </w:pPr>
      <w:r>
        <w:rPr>
          <w:rFonts w:hint="eastAsia" w:ascii="Times New Roman" w:hAnsi="Times New Roman" w:eastAsia="仿宋_GB2312" w:cs="Times New Roman"/>
          <w:sz w:val="32"/>
          <w:szCs w:val="32"/>
          <w:lang w:val="en-US" w:eastAsia="en-US"/>
        </w:rPr>
        <w:t>同心县禁燃区分布见图1。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/>
        <w:autoSpaceDE w:val="0"/>
        <w:autoSpaceDN/>
        <w:bidi w:val="0"/>
        <w:adjustRightInd/>
        <w:snapToGrid/>
        <w:spacing w:line="560" w:lineRule="exact"/>
        <w:ind w:left="0" w:firstLine="640" w:firstLineChars="200"/>
        <w:jc w:val="both"/>
        <w:textAlignment w:val="auto"/>
        <w:rPr>
          <w:rFonts w:hint="eastAsia" w:ascii="黑体" w:hAnsi="黑体" w:eastAsia="黑体" w:cs="黑体"/>
          <w:sz w:val="32"/>
          <w:szCs w:val="32"/>
          <w:lang w:val="en-US" w:eastAsia="en-US"/>
        </w:rPr>
      </w:pPr>
      <w:bookmarkStart w:id="11" w:name="_Toc86850352"/>
      <w:r>
        <w:rPr>
          <w:rFonts w:hint="eastAsia" w:ascii="黑体" w:hAnsi="黑体" w:eastAsia="黑体" w:cs="黑体"/>
          <w:sz w:val="32"/>
          <w:szCs w:val="32"/>
          <w:lang w:val="en-US" w:eastAsia="zh-CN"/>
        </w:rPr>
        <w:t>四、</w:t>
      </w:r>
      <w:r>
        <w:rPr>
          <w:rFonts w:hint="eastAsia" w:ascii="黑体" w:hAnsi="黑体" w:eastAsia="黑体" w:cs="黑体"/>
          <w:sz w:val="32"/>
          <w:szCs w:val="32"/>
          <w:lang w:val="en-US" w:eastAsia="en-US"/>
        </w:rPr>
        <w:t>禁燃区实施时限</w:t>
      </w:r>
      <w:bookmarkEnd w:id="11"/>
    </w:p>
    <w:p>
      <w:pPr>
        <w:keepNext w:val="0"/>
        <w:keepLines w:val="0"/>
        <w:pageBreakBefore w:val="0"/>
        <w:widowControl w:val="0"/>
        <w:kinsoku/>
        <w:wordWrap/>
        <w:overflowPunct/>
        <w:topLinePunct/>
        <w:autoSpaceDE w:val="0"/>
        <w:autoSpaceDN/>
        <w:bidi w:val="0"/>
        <w:adjustRightInd/>
        <w:snapToGrid/>
        <w:spacing w:line="560" w:lineRule="exact"/>
        <w:ind w:left="0" w:firstLine="640" w:firstLineChars="200"/>
        <w:jc w:val="both"/>
        <w:textAlignment w:val="auto"/>
        <w:rPr>
          <w:rFonts w:hint="default" w:ascii="Times New Roman" w:hAnsi="Times New Roman" w:eastAsia="仿宋_GB2312" w:cs="Times New Roman"/>
          <w:sz w:val="32"/>
          <w:szCs w:val="32"/>
          <w:lang w:val="en-US" w:eastAsia="en-US"/>
        </w:rPr>
      </w:pPr>
      <w:bookmarkStart w:id="12" w:name="_Toc18387"/>
      <w:bookmarkStart w:id="13" w:name="_Toc15877"/>
      <w:bookmarkStart w:id="14" w:name="_Toc6968"/>
      <w:bookmarkStart w:id="15" w:name="_Toc22130"/>
      <w:r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  <w:t>（1）</w:t>
      </w:r>
      <w:r>
        <w:rPr>
          <w:rFonts w:hint="eastAsia" w:ascii="Times New Roman" w:hAnsi="Times New Roman" w:eastAsia="仿宋_GB2312" w:cs="Times New Roman"/>
          <w:sz w:val="32"/>
          <w:szCs w:val="32"/>
          <w:lang w:val="en-US" w:eastAsia="en-US"/>
        </w:rPr>
        <w:t>自</w:t>
      </w:r>
      <w:r>
        <w:rPr>
          <w:rFonts w:hint="default" w:ascii="Times New Roman" w:hAnsi="Times New Roman" w:eastAsia="仿宋_GB2312" w:cs="Times New Roman"/>
          <w:sz w:val="32"/>
          <w:szCs w:val="32"/>
          <w:lang w:val="en" w:eastAsia="en-US"/>
        </w:rPr>
        <w:t>2023</w:t>
      </w:r>
      <w:r>
        <w:rPr>
          <w:rFonts w:hint="eastAsia" w:ascii="Times New Roman" w:hAnsi="Times New Roman" w:eastAsia="仿宋_GB2312" w:cs="Times New Roman"/>
          <w:sz w:val="32"/>
          <w:szCs w:val="32"/>
          <w:lang w:val="en-US" w:eastAsia="en-US"/>
        </w:rPr>
        <w:t>年4月起，在禁燃区内，除经依法批准的火力发电、集中供热等企业外，禁止销售、燃用相应高污染燃料。</w:t>
      </w:r>
      <w:bookmarkEnd w:id="12"/>
      <w:bookmarkEnd w:id="13"/>
      <w:bookmarkEnd w:id="14"/>
      <w:bookmarkEnd w:id="15"/>
    </w:p>
    <w:p>
      <w:pPr>
        <w:keepNext w:val="0"/>
        <w:keepLines w:val="0"/>
        <w:pageBreakBefore w:val="0"/>
        <w:widowControl w:val="0"/>
        <w:kinsoku/>
        <w:wordWrap/>
        <w:overflowPunct/>
        <w:topLinePunct/>
        <w:autoSpaceDE w:val="0"/>
        <w:autoSpaceDN/>
        <w:bidi w:val="0"/>
        <w:adjustRightInd/>
        <w:snapToGrid/>
        <w:spacing w:line="560" w:lineRule="exact"/>
        <w:ind w:left="0" w:firstLine="640" w:firstLineChars="200"/>
        <w:jc w:val="both"/>
        <w:textAlignment w:val="auto"/>
        <w:rPr>
          <w:rFonts w:hint="default" w:ascii="Times New Roman" w:hAnsi="Times New Roman" w:eastAsia="仿宋_GB2312" w:cs="Times New Roman"/>
          <w:sz w:val="32"/>
          <w:szCs w:val="32"/>
          <w:lang w:val="en-US" w:eastAsia="en-US"/>
        </w:rPr>
      </w:pPr>
      <w:bookmarkStart w:id="16" w:name="_Toc19654"/>
      <w:bookmarkStart w:id="17" w:name="_Toc253"/>
      <w:bookmarkStart w:id="18" w:name="_Toc3993"/>
      <w:bookmarkStart w:id="19" w:name="_Toc7929"/>
      <w:r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  <w:t>（2）</w:t>
      </w:r>
      <w:r>
        <w:rPr>
          <w:rFonts w:hint="eastAsia" w:ascii="Times New Roman" w:hAnsi="Times New Roman" w:eastAsia="仿宋_GB2312" w:cs="Times New Roman"/>
          <w:sz w:val="32"/>
          <w:szCs w:val="32"/>
          <w:lang w:val="en-US" w:eastAsia="en-US"/>
        </w:rPr>
        <w:t>禁止新建、扩建单台出力小于20蒸吨/小时燃用高污染燃料的锅炉及其他设施；已建成的，有关单位和个人应当按照要求自202</w:t>
      </w:r>
      <w:r>
        <w:rPr>
          <w:rFonts w:hint="default" w:ascii="Times New Roman" w:hAnsi="Times New Roman" w:eastAsia="仿宋_GB2312" w:cs="Times New Roman"/>
          <w:sz w:val="32"/>
          <w:szCs w:val="32"/>
          <w:lang w:val="en" w:eastAsia="en-US"/>
        </w:rPr>
        <w:t>3</w:t>
      </w:r>
      <w:r>
        <w:rPr>
          <w:rFonts w:hint="eastAsia" w:ascii="Times New Roman" w:hAnsi="Times New Roman" w:eastAsia="仿宋_GB2312" w:cs="Times New Roman"/>
          <w:sz w:val="32"/>
          <w:szCs w:val="32"/>
          <w:lang w:val="en-US" w:eastAsia="en-US"/>
        </w:rPr>
        <w:t>年4月前停止使用、并拆除，改用天然气、页岩气、液化石油气、电或其他清洁能源。禁燃区内民用燃煤设备燃用含硫量小于0.5%、灰分小于10%的煤炭及其制品的设施除外。</w:t>
      </w:r>
    </w:p>
    <w:bookmarkEnd w:id="16"/>
    <w:bookmarkEnd w:id="17"/>
    <w:bookmarkEnd w:id="18"/>
    <w:bookmarkEnd w:id="19"/>
    <w:p>
      <w:pPr>
        <w:keepNext w:val="0"/>
        <w:keepLines w:val="0"/>
        <w:pageBreakBefore w:val="0"/>
        <w:widowControl w:val="0"/>
        <w:kinsoku/>
        <w:wordWrap/>
        <w:overflowPunct/>
        <w:topLinePunct/>
        <w:autoSpaceDE w:val="0"/>
        <w:autoSpaceDN/>
        <w:bidi w:val="0"/>
        <w:adjustRightInd/>
        <w:snapToGrid/>
        <w:spacing w:line="560" w:lineRule="exact"/>
        <w:ind w:left="0" w:firstLine="640" w:firstLineChars="200"/>
        <w:jc w:val="both"/>
        <w:textAlignment w:val="auto"/>
        <w:rPr>
          <w:rFonts w:hint="default" w:ascii="Times New Roman" w:hAnsi="Times New Roman" w:eastAsia="仿宋_GB2312" w:cs="Times New Roman"/>
          <w:sz w:val="32"/>
          <w:szCs w:val="32"/>
          <w:lang w:val="en-US" w:eastAsia="en-US"/>
        </w:rPr>
      </w:pPr>
      <w:bookmarkStart w:id="20" w:name="_Toc2456"/>
      <w:bookmarkStart w:id="21" w:name="_Toc4154"/>
      <w:bookmarkStart w:id="22" w:name="_Toc1604"/>
      <w:bookmarkStart w:id="23" w:name="_Toc16140"/>
      <w:r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  <w:t>（3）</w:t>
      </w:r>
      <w:r>
        <w:rPr>
          <w:rFonts w:hint="eastAsia" w:ascii="Times New Roman" w:hAnsi="Times New Roman" w:eastAsia="仿宋_GB2312" w:cs="Times New Roman"/>
          <w:sz w:val="32"/>
          <w:szCs w:val="32"/>
          <w:lang w:val="en-US" w:eastAsia="en-US"/>
        </w:rPr>
        <w:t>对禁燃区内超出规定期限继续燃用高污染燃料的单位和个人，由生态环境部门会同市场监管局、公安局、</w:t>
      </w:r>
      <w:r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  <w:t>住建局</w:t>
      </w:r>
      <w:r>
        <w:rPr>
          <w:rFonts w:hint="eastAsia" w:ascii="Times New Roman" w:hAnsi="Times New Roman" w:eastAsia="仿宋_GB2312" w:cs="Times New Roman"/>
          <w:sz w:val="32"/>
          <w:szCs w:val="32"/>
          <w:lang w:val="en-US" w:eastAsia="en-US"/>
        </w:rPr>
        <w:t>等执法部门责令拆除或者没收其燃用高污染燃料设施，同时应加快推进禁燃区集中供热、煤改气、煤改电等工程建设。</w:t>
      </w:r>
      <w:bookmarkEnd w:id="20"/>
      <w:bookmarkEnd w:id="21"/>
      <w:bookmarkEnd w:id="22"/>
      <w:bookmarkEnd w:id="23"/>
    </w:p>
    <w:p>
      <w:pPr>
        <w:keepNext w:val="0"/>
        <w:keepLines w:val="0"/>
        <w:pageBreakBefore w:val="0"/>
        <w:widowControl w:val="0"/>
        <w:kinsoku/>
        <w:wordWrap/>
        <w:overflowPunct/>
        <w:topLinePunct/>
        <w:autoSpaceDE w:val="0"/>
        <w:autoSpaceDN/>
        <w:bidi w:val="0"/>
        <w:adjustRightInd/>
        <w:snapToGrid/>
        <w:spacing w:line="560" w:lineRule="exact"/>
        <w:ind w:left="0" w:firstLine="640" w:firstLineChars="200"/>
        <w:jc w:val="both"/>
        <w:textAlignment w:val="auto"/>
        <w:rPr>
          <w:rFonts w:hint="eastAsia" w:ascii="黑体" w:hAnsi="黑体" w:eastAsia="黑体" w:cs="黑体"/>
          <w:sz w:val="32"/>
          <w:szCs w:val="32"/>
          <w:lang w:val="en-US" w:eastAsia="en-US"/>
        </w:rPr>
      </w:pPr>
      <w:bookmarkStart w:id="24" w:name="_Toc18997"/>
      <w:bookmarkStart w:id="25" w:name="_Toc86850353"/>
      <w:r>
        <w:rPr>
          <w:rFonts w:hint="eastAsia" w:ascii="黑体" w:hAnsi="黑体" w:eastAsia="黑体" w:cs="黑体"/>
          <w:sz w:val="32"/>
          <w:szCs w:val="32"/>
          <w:lang w:val="en-US" w:eastAsia="zh-CN"/>
        </w:rPr>
        <w:t>五、</w:t>
      </w:r>
      <w:r>
        <w:rPr>
          <w:rFonts w:hint="eastAsia" w:ascii="黑体" w:hAnsi="黑体" w:eastAsia="黑体" w:cs="黑体"/>
          <w:sz w:val="32"/>
          <w:szCs w:val="32"/>
          <w:lang w:val="en-US" w:eastAsia="en-US"/>
        </w:rPr>
        <w:t>禁燃区控制措施</w:t>
      </w:r>
      <w:bookmarkEnd w:id="24"/>
      <w:bookmarkEnd w:id="25"/>
    </w:p>
    <w:p>
      <w:pPr>
        <w:keepNext w:val="0"/>
        <w:keepLines w:val="0"/>
        <w:pageBreakBefore w:val="0"/>
        <w:widowControl w:val="0"/>
        <w:kinsoku/>
        <w:wordWrap/>
        <w:overflowPunct/>
        <w:topLinePunct/>
        <w:autoSpaceDE w:val="0"/>
        <w:autoSpaceDN/>
        <w:bidi w:val="0"/>
        <w:adjustRightInd/>
        <w:snapToGrid/>
        <w:spacing w:line="560" w:lineRule="exact"/>
        <w:ind w:left="0" w:firstLine="640" w:firstLineChars="200"/>
        <w:jc w:val="both"/>
        <w:textAlignment w:val="auto"/>
        <w:rPr>
          <w:rFonts w:hint="default" w:ascii="Times New Roman" w:hAnsi="Times New Roman" w:eastAsia="仿宋_GB2312" w:cs="Times New Roman"/>
          <w:sz w:val="32"/>
          <w:szCs w:val="32"/>
          <w:lang w:val="en-US" w:eastAsia="en-US"/>
        </w:rPr>
      </w:pPr>
      <w:r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  <w:t>（1）</w:t>
      </w:r>
      <w:r>
        <w:rPr>
          <w:rFonts w:hint="eastAsia" w:ascii="Times New Roman" w:hAnsi="Times New Roman" w:eastAsia="仿宋_GB2312" w:cs="Times New Roman"/>
          <w:sz w:val="32"/>
          <w:szCs w:val="32"/>
          <w:lang w:val="en-US" w:eastAsia="en-US"/>
        </w:rPr>
        <w:t>禁燃区内禁止销售、燃用高污染燃料，禁止新建、改建、扩建高污染燃料燃用设施。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/>
        <w:autoSpaceDE w:val="0"/>
        <w:autoSpaceDN/>
        <w:bidi w:val="0"/>
        <w:adjustRightInd/>
        <w:snapToGrid/>
        <w:spacing w:line="560" w:lineRule="exact"/>
        <w:ind w:left="0" w:firstLine="640" w:firstLineChars="200"/>
        <w:jc w:val="both"/>
        <w:textAlignment w:val="auto"/>
        <w:rPr>
          <w:rFonts w:hint="default" w:ascii="Times New Roman" w:hAnsi="Times New Roman" w:eastAsia="仿宋_GB2312" w:cs="Times New Roman"/>
          <w:sz w:val="32"/>
          <w:szCs w:val="32"/>
          <w:lang w:val="en-US" w:eastAsia="en-US"/>
        </w:rPr>
      </w:pPr>
      <w:r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  <w:t>（2）</w:t>
      </w:r>
      <w:r>
        <w:rPr>
          <w:rFonts w:hint="eastAsia" w:ascii="Times New Roman" w:hAnsi="Times New Roman" w:eastAsia="仿宋_GB2312" w:cs="Times New Roman"/>
          <w:sz w:val="32"/>
          <w:szCs w:val="32"/>
          <w:lang w:val="en-US" w:eastAsia="en-US"/>
        </w:rPr>
        <w:t>禁燃区内</w:t>
      </w:r>
      <w:r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  <w:t>各级</w:t>
      </w:r>
      <w:r>
        <w:rPr>
          <w:rFonts w:hint="eastAsia" w:ascii="Times New Roman" w:hAnsi="Times New Roman" w:eastAsia="仿宋_GB2312" w:cs="Times New Roman"/>
          <w:sz w:val="32"/>
          <w:szCs w:val="32"/>
          <w:lang w:val="en-US" w:eastAsia="en-US"/>
        </w:rPr>
        <w:t>政府</w:t>
      </w:r>
      <w:r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  <w:t>或</w:t>
      </w:r>
      <w:r>
        <w:rPr>
          <w:rFonts w:hint="eastAsia" w:ascii="Times New Roman" w:hAnsi="Times New Roman" w:eastAsia="仿宋_GB2312" w:cs="Times New Roman"/>
          <w:sz w:val="32"/>
          <w:szCs w:val="32"/>
          <w:lang w:val="en-US" w:eastAsia="en-US"/>
        </w:rPr>
        <w:t>管委会应当组织生态环境、市场监管、发改、工信、自然资源、住建等部门</w:t>
      </w:r>
      <w:r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  <w:t>及豫海镇</w:t>
      </w:r>
      <w:r>
        <w:rPr>
          <w:rFonts w:hint="eastAsia" w:ascii="Times New Roman" w:hAnsi="Times New Roman" w:eastAsia="仿宋_GB2312" w:cs="Times New Roman"/>
          <w:sz w:val="32"/>
          <w:szCs w:val="32"/>
          <w:lang w:val="en-US" w:eastAsia="en-US"/>
        </w:rPr>
        <w:t>根据各自职责，加大清洁能源推广力度，加快天然气、集中供热等相关基础设施的规划、建设和管理，鼓励引导辖区内单位和个人自觉淘汰高污染燃料，依法查处禁燃区内违法生产、销售、使用相应高污染燃料的行为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/>
        <w:autoSpaceDE w:val="0"/>
        <w:autoSpaceDN/>
        <w:bidi w:val="0"/>
        <w:adjustRightInd/>
        <w:snapToGrid/>
        <w:spacing w:line="560" w:lineRule="exact"/>
        <w:ind w:left="0" w:firstLine="640" w:firstLineChars="200"/>
        <w:jc w:val="both"/>
        <w:textAlignment w:val="auto"/>
        <w:rPr>
          <w:rFonts w:hint="default" w:ascii="Times New Roman" w:hAnsi="Times New Roman" w:eastAsia="仿宋_GB2312" w:cs="Times New Roman"/>
          <w:sz w:val="32"/>
          <w:szCs w:val="32"/>
          <w:lang w:val="en-US" w:eastAsia="en-US"/>
        </w:rPr>
      </w:pPr>
      <w:r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  <w:t>（3）</w:t>
      </w:r>
      <w:r>
        <w:rPr>
          <w:rFonts w:hint="eastAsia" w:ascii="Times New Roman" w:hAnsi="Times New Roman" w:eastAsia="仿宋_GB2312" w:cs="Times New Roman"/>
          <w:sz w:val="32"/>
          <w:szCs w:val="32"/>
          <w:lang w:val="en-US" w:eastAsia="en-US"/>
        </w:rPr>
        <w:t>燃气、电力等清洁能源供应单位应加大基础设施建设力度，提供稳定、可靠、安全的高质量保障服务，满足禁燃区内清洁能源供应需求。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/>
        <w:autoSpaceDE w:val="0"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default" w:ascii="仿宋_GB2312" w:hAnsi="仿宋_GB2312" w:eastAsia="仿宋_GB2312" w:cs="仿宋_GB2312"/>
          <w:sz w:val="32"/>
          <w:szCs w:val="40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40"/>
          <w:lang w:eastAsia="zh-CN"/>
        </w:rPr>
        <w:t>本方案自</w:t>
      </w:r>
      <w:r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  <w:t>2023年6月15</w:t>
      </w:r>
      <w:r>
        <w:rPr>
          <w:rFonts w:hint="eastAsia" w:ascii="仿宋_GB2312" w:hAnsi="仿宋_GB2312" w:eastAsia="仿宋_GB2312" w:cs="仿宋_GB2312"/>
          <w:sz w:val="32"/>
          <w:szCs w:val="40"/>
          <w:lang w:val="en-US" w:eastAsia="zh-CN"/>
        </w:rPr>
        <w:t>日</w:t>
      </w:r>
      <w:r>
        <w:rPr>
          <w:rFonts w:hint="eastAsia" w:ascii="仿宋_GB2312" w:hAnsi="仿宋_GB2312" w:eastAsia="仿宋_GB2312" w:cs="仿宋_GB2312"/>
          <w:sz w:val="32"/>
          <w:szCs w:val="40"/>
          <w:lang w:eastAsia="zh-CN"/>
        </w:rPr>
        <w:t>起施行，有效期至</w:t>
      </w:r>
      <w:r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  <w:t>2028年6月15日</w:t>
      </w:r>
      <w:r>
        <w:rPr>
          <w:rFonts w:hint="eastAsia" w:ascii="仿宋_GB2312" w:hAnsi="仿宋_GB2312" w:eastAsia="仿宋_GB2312" w:cs="仿宋_GB2312"/>
          <w:sz w:val="32"/>
          <w:szCs w:val="40"/>
          <w:lang w:val="en-US" w:eastAsia="zh-CN"/>
        </w:rPr>
        <w:t>，本县原有政策措施与本方案内容不一致的，以本方案内容为准，本方案未涉及到的政策措施，国家、自治区、吴忠市有规定的从其规定。</w:t>
      </w:r>
    </w:p>
    <w:p>
      <w:pPr>
        <w:keepNext w:val="0"/>
        <w:keepLines w:val="0"/>
        <w:pageBreakBefore w:val="0"/>
        <w:kinsoku/>
        <w:wordWrap/>
        <w:overflowPunct/>
        <w:topLinePunct/>
        <w:autoSpaceDE w:val="0"/>
        <w:autoSpaceDN/>
        <w:bidi w:val="0"/>
        <w:adjustRightInd w:val="0"/>
        <w:spacing w:line="560" w:lineRule="exact"/>
        <w:ind w:left="0" w:leftChars="0" w:right="0" w:rightChars="0" w:firstLine="0" w:firstLineChars="0"/>
        <w:jc w:val="both"/>
        <w:textAlignment w:val="auto"/>
        <w:rPr>
          <w:rFonts w:hint="eastAsia" w:ascii="黑体" w:hAnsi="黑体" w:eastAsia="黑体" w:cs="黑体"/>
          <w:b w:val="0"/>
          <w:bCs w:val="0"/>
          <w:color w:val="auto"/>
          <w:sz w:val="32"/>
          <w:szCs w:val="32"/>
          <w:lang w:eastAsia="zh-CN"/>
        </w:rPr>
      </w:pPr>
    </w:p>
    <w:p>
      <w:pPr>
        <w:keepNext w:val="0"/>
        <w:keepLines w:val="0"/>
        <w:pageBreakBefore w:val="0"/>
        <w:kinsoku/>
        <w:wordWrap/>
        <w:overflowPunct/>
        <w:autoSpaceDN/>
        <w:bidi w:val="0"/>
        <w:spacing w:line="560" w:lineRule="exact"/>
        <w:textAlignment w:val="auto"/>
        <w:rPr>
          <w:rFonts w:hint="eastAsia"/>
          <w:lang w:eastAsia="zh-CN"/>
        </w:rPr>
      </w:pPr>
    </w:p>
    <w:p>
      <w:pPr>
        <w:keepNext w:val="0"/>
        <w:keepLines w:val="0"/>
        <w:pageBreakBefore w:val="0"/>
        <w:kinsoku/>
        <w:wordWrap/>
        <w:overflowPunct/>
        <w:autoSpaceDN/>
        <w:bidi w:val="0"/>
        <w:spacing w:line="560" w:lineRule="exact"/>
        <w:textAlignment w:val="auto"/>
        <w:rPr>
          <w:rFonts w:hint="eastAsia"/>
          <w:lang w:eastAsia="zh-CN"/>
        </w:rPr>
      </w:pPr>
    </w:p>
    <w:p>
      <w:pPr>
        <w:pStyle w:val="10"/>
        <w:keepNext w:val="0"/>
        <w:keepLines w:val="0"/>
        <w:pageBreakBefore w:val="0"/>
        <w:kinsoku/>
        <w:wordWrap/>
        <w:overflowPunct/>
        <w:autoSpaceDN/>
        <w:bidi w:val="0"/>
        <w:spacing w:line="560" w:lineRule="exact"/>
        <w:textAlignment w:val="auto"/>
        <w:rPr>
          <w:rFonts w:hint="eastAsia"/>
          <w:lang w:eastAsia="zh-CN"/>
        </w:rPr>
      </w:pPr>
    </w:p>
    <w:p>
      <w:pPr>
        <w:keepNext w:val="0"/>
        <w:keepLines w:val="0"/>
        <w:pageBreakBefore w:val="0"/>
        <w:kinsoku/>
        <w:wordWrap/>
        <w:overflowPunct/>
        <w:autoSpaceDN/>
        <w:bidi w:val="0"/>
        <w:spacing w:line="560" w:lineRule="exact"/>
        <w:textAlignment w:val="auto"/>
        <w:rPr>
          <w:rFonts w:hint="eastAsia"/>
          <w:lang w:eastAsia="zh-CN"/>
        </w:rPr>
      </w:pPr>
    </w:p>
    <w:p>
      <w:pPr>
        <w:pStyle w:val="10"/>
        <w:keepNext w:val="0"/>
        <w:keepLines w:val="0"/>
        <w:pageBreakBefore w:val="0"/>
        <w:kinsoku/>
        <w:wordWrap/>
        <w:overflowPunct/>
        <w:autoSpaceDN/>
        <w:bidi w:val="0"/>
        <w:spacing w:line="560" w:lineRule="exact"/>
        <w:textAlignment w:val="auto"/>
        <w:rPr>
          <w:rFonts w:hint="eastAsia"/>
          <w:lang w:eastAsia="zh-CN"/>
        </w:rPr>
      </w:pPr>
    </w:p>
    <w:p>
      <w:pPr>
        <w:keepNext w:val="0"/>
        <w:keepLines w:val="0"/>
        <w:pageBreakBefore w:val="0"/>
        <w:kinsoku/>
        <w:wordWrap/>
        <w:overflowPunct/>
        <w:autoSpaceDN/>
        <w:bidi w:val="0"/>
        <w:spacing w:line="560" w:lineRule="exact"/>
        <w:textAlignment w:val="auto"/>
        <w:rPr>
          <w:rFonts w:hint="eastAsia"/>
          <w:lang w:eastAsia="zh-CN"/>
        </w:rPr>
      </w:pPr>
    </w:p>
    <w:p>
      <w:pPr>
        <w:rPr>
          <w:rFonts w:hint="eastAsia"/>
          <w:lang w:eastAsia="zh-CN"/>
        </w:rPr>
      </w:pPr>
      <w:r>
        <w:rPr>
          <w:rFonts w:hint="eastAsia"/>
          <w:lang w:eastAsia="zh-CN"/>
        </w:rPr>
        <w:br w:type="page"/>
      </w:r>
    </w:p>
    <w:p>
      <w:pPr>
        <w:rPr>
          <w:rFonts w:hint="eastAsia"/>
          <w:lang w:eastAsia="zh-CN"/>
        </w:rPr>
      </w:pPr>
      <w:r>
        <w:rPr>
          <w:rFonts w:hint="eastAsia"/>
          <w:lang w:eastAsia="zh-CN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-50165</wp:posOffset>
            </wp:positionH>
            <wp:positionV relativeFrom="paragraph">
              <wp:posOffset>305435</wp:posOffset>
            </wp:positionV>
            <wp:extent cx="5555615" cy="7576185"/>
            <wp:effectExtent l="0" t="0" r="6985" b="5715"/>
            <wp:wrapTopAndBottom/>
            <wp:docPr id="1" name="图片 1" descr="图1同心县高污染禁燃区划分范围图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 descr="图1同心县高污染禁燃区划分范围图"/>
                    <pic:cNvPicPr>
                      <a:picLocks noChangeAspect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5555615" cy="757618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hint="eastAsia"/>
          <w:lang w:eastAsia="zh-CN"/>
        </w:rPr>
        <w:br w:type="page"/>
      </w:r>
    </w:p>
    <w:p>
      <w:pPr>
        <w:pStyle w:val="6"/>
        <w:rPr>
          <w:rFonts w:hint="eastAsia" w:ascii="仿宋_GB2312" w:hAnsi="仿宋_GB2312" w:eastAsia="仿宋_GB2312" w:cs="仿宋_GB2312"/>
          <w:b/>
          <w:bCs/>
          <w:sz w:val="32"/>
          <w:szCs w:val="32"/>
        </w:rPr>
      </w:pPr>
    </w:p>
    <w:p>
      <w:pPr>
        <w:pStyle w:val="6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firstLine="0" w:firstLineChars="0"/>
        <w:textAlignment w:val="auto"/>
      </w:pPr>
    </w:p>
    <w:p>
      <w:pPr>
        <w:pStyle w:val="5"/>
      </w:pPr>
    </w:p>
    <w:p>
      <w:pPr>
        <w:pStyle w:val="6"/>
      </w:pPr>
    </w:p>
    <w:p>
      <w:pPr>
        <w:pStyle w:val="5"/>
      </w:pPr>
    </w:p>
    <w:p>
      <w:pPr>
        <w:pStyle w:val="6"/>
      </w:pPr>
    </w:p>
    <w:p>
      <w:pPr>
        <w:pStyle w:val="5"/>
      </w:pPr>
    </w:p>
    <w:p>
      <w:pPr>
        <w:pStyle w:val="6"/>
      </w:pPr>
    </w:p>
    <w:p>
      <w:pPr>
        <w:pStyle w:val="5"/>
      </w:pPr>
    </w:p>
    <w:p>
      <w:pPr>
        <w:pStyle w:val="6"/>
      </w:pPr>
    </w:p>
    <w:p>
      <w:pPr>
        <w:pStyle w:val="5"/>
      </w:pPr>
    </w:p>
    <w:p>
      <w:pPr>
        <w:pStyle w:val="6"/>
      </w:pPr>
    </w:p>
    <w:p>
      <w:pPr>
        <w:pStyle w:val="5"/>
      </w:pPr>
    </w:p>
    <w:p>
      <w:pPr>
        <w:pStyle w:val="6"/>
      </w:pPr>
    </w:p>
    <w:p>
      <w:pPr>
        <w:pStyle w:val="5"/>
      </w:pPr>
    </w:p>
    <w:p>
      <w:pPr>
        <w:pStyle w:val="6"/>
      </w:pPr>
    </w:p>
    <w:p>
      <w:pPr>
        <w:pStyle w:val="5"/>
      </w:pPr>
    </w:p>
    <w:p>
      <w:pPr>
        <w:pStyle w:val="6"/>
      </w:pPr>
    </w:p>
    <w:p>
      <w:pPr>
        <w:pStyle w:val="5"/>
      </w:pPr>
    </w:p>
    <w:p>
      <w:pPr>
        <w:pStyle w:val="6"/>
        <w:rPr>
          <w:rFonts w:hint="eastAsia" w:ascii="Times New Roman" w:hAnsi="Times New Roman" w:eastAsia="仿宋_GB2312" w:cs="Times New Roman"/>
          <w:kern w:val="2"/>
          <w:sz w:val="32"/>
          <w:szCs w:val="32"/>
          <w:lang w:val="en-US" w:eastAsia="zh-CN" w:bidi="ar-SA"/>
        </w:rPr>
      </w:pPr>
    </w:p>
    <w:p>
      <w:pPr>
        <w:pStyle w:val="5"/>
        <w:rPr>
          <w:rFonts w:hint="eastAsia" w:ascii="Times New Roman" w:hAnsi="Times New Roman" w:eastAsia="仿宋_GB2312" w:cs="Times New Roman"/>
          <w:kern w:val="2"/>
          <w:sz w:val="32"/>
          <w:szCs w:val="32"/>
          <w:lang w:val="en-US" w:eastAsia="zh-CN" w:bidi="ar-SA"/>
        </w:rPr>
      </w:pPr>
    </w:p>
    <w:p>
      <w:pPr>
        <w:widowControl/>
        <w:spacing w:line="540" w:lineRule="exact"/>
        <w:ind w:firstLine="315" w:firstLineChars="150"/>
        <w:jc w:val="left"/>
        <w:textAlignment w:val="baseline"/>
        <w:rPr>
          <w:rFonts w:eastAsia="仿宋_GB2312"/>
          <w:sz w:val="28"/>
          <w:szCs w:val="28"/>
        </w:rPr>
      </w:pPr>
      <w:r>
        <w:rPr>
          <w:szCs w:val="22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52070</wp:posOffset>
                </wp:positionV>
                <wp:extent cx="5615940" cy="0"/>
                <wp:effectExtent l="0" t="0" r="0" b="0"/>
                <wp:wrapNone/>
                <wp:docPr id="4" name="直接连接符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5615940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margin-left:0pt;margin-top:4.1pt;height:0pt;width:442.2pt;z-index:251661312;mso-width-relative:page;mso-height-relative:page;" filled="f" stroked="t" coordsize="21600,21600" o:gfxdata="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">
                <v:fill on="f" focussize="0,0"/>
                <v:stroke color="#000000" joinstyle="round"/>
                <v:imagedata o:title=""/>
                <o:lock v:ext="edit" aspectratio="f"/>
              </v:line>
            </w:pict>
          </mc:Fallback>
        </mc:AlternateContent>
      </w:r>
      <w:r>
        <w:rPr>
          <w:rFonts w:eastAsia="仿宋_GB2312"/>
          <w:sz w:val="28"/>
          <w:szCs w:val="28"/>
        </w:rPr>
        <w:t xml:space="preserve">同心县人民政府办公室                 </w:t>
      </w:r>
      <w:r>
        <w:rPr>
          <w:rStyle w:val="28"/>
          <w:rFonts w:ascii="Times New Roman" w:hAnsi="Times New Roman" w:eastAsia="仿宋_GB2312"/>
          <w:sz w:val="28"/>
          <w:szCs w:val="28"/>
        </w:rPr>
        <w:t>202</w:t>
      </w:r>
      <w:r>
        <w:rPr>
          <w:rStyle w:val="28"/>
          <w:rFonts w:hint="eastAsia" w:ascii="Times New Roman" w:hAnsi="Times New Roman" w:eastAsia="仿宋_GB2312"/>
          <w:sz w:val="28"/>
          <w:szCs w:val="28"/>
          <w:lang w:val="en-US"/>
        </w:rPr>
        <w:t>3</w:t>
      </w:r>
      <w:r>
        <w:rPr>
          <w:rStyle w:val="28"/>
          <w:rFonts w:ascii="Times New Roman" w:eastAsia="仿宋_GB2312"/>
          <w:sz w:val="28"/>
          <w:szCs w:val="28"/>
        </w:rPr>
        <w:t>年</w:t>
      </w:r>
      <w:r>
        <w:rPr>
          <w:rStyle w:val="28"/>
          <w:rFonts w:hint="eastAsia" w:ascii="Times New Roman" w:eastAsia="仿宋_GB2312"/>
          <w:sz w:val="28"/>
          <w:szCs w:val="28"/>
          <w:lang w:val="en-US"/>
        </w:rPr>
        <w:t>5</w:t>
      </w:r>
      <w:r>
        <w:rPr>
          <w:rStyle w:val="28"/>
          <w:rFonts w:ascii="Times New Roman" w:eastAsia="仿宋_GB2312"/>
          <w:sz w:val="28"/>
          <w:szCs w:val="28"/>
        </w:rPr>
        <w:t>月</w:t>
      </w:r>
      <w:r>
        <w:rPr>
          <w:rStyle w:val="28"/>
          <w:rFonts w:hint="eastAsia" w:ascii="Times New Roman" w:eastAsia="仿宋_GB2312"/>
          <w:sz w:val="28"/>
          <w:szCs w:val="28"/>
          <w:lang w:val="en-US"/>
        </w:rPr>
        <w:t>15</w:t>
      </w:r>
      <w:r>
        <w:rPr>
          <w:rStyle w:val="28"/>
          <w:rFonts w:ascii="Times New Roman" w:eastAsia="仿宋_GB2312"/>
          <w:sz w:val="28"/>
          <w:szCs w:val="28"/>
        </w:rPr>
        <w:t>日</w:t>
      </w:r>
      <w:r>
        <w:rPr>
          <w:rFonts w:eastAsia="仿宋_GB2312"/>
          <w:sz w:val="28"/>
          <w:szCs w:val="28"/>
        </w:rPr>
        <w:t>印发</w:t>
      </w:r>
    </w:p>
    <w:p>
      <w:pPr>
        <w:widowControl/>
        <w:spacing w:line="20" w:lineRule="exact"/>
        <w:jc w:val="left"/>
        <w:textAlignment w:val="baseline"/>
        <w:rPr>
          <w:rFonts w:hint="eastAsia"/>
          <w:lang w:val="en-US" w:eastAsia="zh-CN"/>
        </w:rPr>
      </w:pPr>
      <w:r>
        <mc:AlternateContent>
          <mc:Choice Requires="wps">
            <w:drawing>
              <wp:anchor distT="0" distB="0" distL="114300" distR="114300" simplePos="0" relativeHeight="251662336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0</wp:posOffset>
                </wp:positionV>
                <wp:extent cx="5615940" cy="0"/>
                <wp:effectExtent l="0" t="0" r="0" b="0"/>
                <wp:wrapNone/>
                <wp:docPr id="3" name="直接连接符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5615940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margin-left:0pt;margin-top:0pt;height:0pt;width:442.2pt;z-index:251662336;mso-width-relative:page;mso-height-relative:page;" filled="f" stroked="t" coordsize="21600,21600" o:gfxdata="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">
                <v:fill on="f" focussize="0,0"/>
                <v:stroke color="#000000" joinstyle="round"/>
                <v:imagedata o:title=""/>
                <o:lock v:ext="edit" aspectratio="f"/>
              </v:line>
            </w:pict>
          </mc:Fallback>
        </mc:AlternateContent>
      </w:r>
    </w:p>
    <w:sectPr>
      <w:footerReference r:id="rId3" w:type="default"/>
      <w:type w:val="continuous"/>
      <w:pgSz w:w="11850" w:h="16840"/>
      <w:pgMar w:top="2098" w:right="1474" w:bottom="1984" w:left="1587" w:header="851" w:footer="992" w:gutter="0"/>
      <w:pgNumType w:fmt="numberInDash"/>
      <w:cols w:space="720" w:num="1"/>
      <w:docGrid w:type="linesAndChar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roman"/>
    <w:pitch w:val="default"/>
    <w:sig w:usb0="E0002EFF" w:usb1="C000785B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  <w:embedRegular r:id="rId1" w:fontKey="{D22D42FA-3BB9-4495-A818-0C93EA6F39AE}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  <w:embedRegular r:id="rId2" w:fontKey="{9849BEA1-70BA-46D0-9BF5-A2BC4104DBFD}"/>
  </w:font>
  <w:font w:name="Cambria">
    <w:panose1 w:val="02040503050406030204"/>
    <w:charset w:val="00"/>
    <w:family w:val="roman"/>
    <w:pitch w:val="default"/>
    <w:sig w:usb0="E00006FF" w:usb1="420024FF" w:usb2="02000000" w:usb3="00000000" w:csb0="2000019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  <w:embedRegular r:id="rId3" w:fontKey="{1C9325AE-41F6-4EE0-A3B7-4F06243203CF}"/>
  </w:font>
  <w:font w:name="微软雅黑">
    <w:panose1 w:val="020B0503020204020204"/>
    <w:charset w:val="86"/>
    <w:family w:val="swiss"/>
    <w:pitch w:val="default"/>
    <w:sig w:usb0="80000287" w:usb1="2ACF3C50" w:usb2="00000016" w:usb3="00000000" w:csb0="0004001F" w:csb1="00000000"/>
  </w:font>
  <w:font w:name="方正小标宋简体">
    <w:panose1 w:val="02000000000000000000"/>
    <w:charset w:val="86"/>
    <w:family w:val="auto"/>
    <w:pitch w:val="default"/>
    <w:sig w:usb0="A00002BF" w:usb1="184F6CFA" w:usb2="00000012" w:usb3="00000000" w:csb0="00040001" w:csb1="00000000"/>
    <w:embedRegular r:id="rId4" w:fontKey="{12B578AC-EACC-4445-845B-7952A2BCA7CC}"/>
  </w:font>
  <w:font w:name="Nimbus Roman No9 L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方正小标宋_GBK">
    <w:panose1 w:val="02000000000000000000"/>
    <w:charset w:val="86"/>
    <w:family w:val="auto"/>
    <w:pitch w:val="default"/>
    <w:sig w:usb0="A00002BF" w:usb1="38CF7CFA" w:usb2="00082016" w:usb3="00000000" w:csb0="00040001" w:csb1="00000000"/>
    <w:embedRegular r:id="rId5" w:fontKey="{C8D32AEF-D87A-453E-8F93-532C6B870381}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  <w:embedRegular r:id="rId6" w:fontKey="{2EC1D484-9DCE-4EA3-92AC-7F47FE16BCE2}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  <w:embedRegular r:id="rId7" w:fontKey="{126985F6-D524-47CF-983D-4865328F8997}"/>
  </w:font>
  <w:font w:name="Segoe Print">
    <w:panose1 w:val="02000600000000000000"/>
    <w:charset w:val="00"/>
    <w:family w:val="auto"/>
    <w:pitch w:val="default"/>
    <w:sig w:usb0="0000028F" w:usb1="00000000" w:usb2="00000000" w:usb3="00000000" w:csb0="2000009F" w:csb1="4701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14"/>
    </w:pPr>
    <w:r>
      <w:rPr>
        <w:sz w:val="18"/>
      </w:rPr>
      <mc:AlternateContent>
        <mc:Choice Requires="wps">
          <w:drawing>
            <wp:anchor distT="0" distB="0" distL="114300" distR="114300" simplePos="0" relativeHeight="251660288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9" name="文本框 9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pStyle w:val="14"/>
                            <w:rPr>
                              <w:rFonts w:hint="eastAsia" w:ascii="仿宋_GB2312" w:hAnsi="仿宋_GB2312" w:eastAsia="仿宋_GB2312" w:cs="仿宋_GB2312"/>
                              <w:sz w:val="28"/>
                              <w:szCs w:val="28"/>
                            </w:rPr>
                          </w:pP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fldChar w:fldCharType="begin"/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fldChar w:fldCharType="separate"/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t>- 8 -</w:t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outside;mso-position-horizontal-relative:margin;mso-wrap-style:none;z-index:251660288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14"/>
                      <w:rPr>
                        <w:rFonts w:hint="eastAsia" w:ascii="仿宋_GB2312" w:hAnsi="仿宋_GB2312" w:eastAsia="仿宋_GB2312" w:cs="仿宋_GB2312"/>
                        <w:sz w:val="28"/>
                        <w:szCs w:val="28"/>
                      </w:rPr>
                    </w:pP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fldChar w:fldCharType="begin"/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instrText xml:space="preserve"> PAGE  \* MERGEFORMAT </w:instrText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fldChar w:fldCharType="separate"/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t>- 8 -</w:t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0"/>
  <w:bordersDoNotSurroundFooter w:val="0"/>
  <w:documentProtection w:enforcement="0"/>
  <w:defaultTabStop w:val="420"/>
  <w:drawingGridHorizontalSpacing w:val="105"/>
  <w:drawingGridVerticalSpacing w:val="156"/>
  <w:displayHorizontalDrawingGridEvery w:val="1"/>
  <w:displayVerticalDrawingGridEvery w:val="1"/>
  <w:noPunctuationKerning w:val="1"/>
  <w:characterSpacingControl w:val="compressPunctuation"/>
  <w:hdrShapeDefaults>
    <o:shapelayout v:ext="edit">
      <o:idmap v:ext="edit" data="2"/>
    </o:shapelayout>
  </w:hdrShapeDefaults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ZDhkZDhhNjcxY2JiMTMwYzQ0ZDkwYmZkOGQwOTVhNWYifQ=="/>
  </w:docVars>
  <w:rsids>
    <w:rsidRoot w:val="0034229B"/>
    <w:rsid w:val="00051645"/>
    <w:rsid w:val="00065221"/>
    <w:rsid w:val="00267F4D"/>
    <w:rsid w:val="00313A24"/>
    <w:rsid w:val="0034229B"/>
    <w:rsid w:val="00435F2E"/>
    <w:rsid w:val="00541216"/>
    <w:rsid w:val="005A0527"/>
    <w:rsid w:val="005C7968"/>
    <w:rsid w:val="005E7238"/>
    <w:rsid w:val="008063B5"/>
    <w:rsid w:val="00940124"/>
    <w:rsid w:val="00A9166B"/>
    <w:rsid w:val="00AD0413"/>
    <w:rsid w:val="00C34BF9"/>
    <w:rsid w:val="00C97AA7"/>
    <w:rsid w:val="00D62DD3"/>
    <w:rsid w:val="00DB61DC"/>
    <w:rsid w:val="00DC5DD6"/>
    <w:rsid w:val="00DD4B8D"/>
    <w:rsid w:val="00E64718"/>
    <w:rsid w:val="00F35D3F"/>
    <w:rsid w:val="00FB33C6"/>
    <w:rsid w:val="00FD74FA"/>
    <w:rsid w:val="05483B4C"/>
    <w:rsid w:val="06CE5164"/>
    <w:rsid w:val="0DBB6901"/>
    <w:rsid w:val="0ED77029"/>
    <w:rsid w:val="11674B97"/>
    <w:rsid w:val="1A8F7689"/>
    <w:rsid w:val="1B003E68"/>
    <w:rsid w:val="1D791090"/>
    <w:rsid w:val="1EC9A48C"/>
    <w:rsid w:val="1F597525"/>
    <w:rsid w:val="1FF5409C"/>
    <w:rsid w:val="22F3B9C5"/>
    <w:rsid w:val="26537076"/>
    <w:rsid w:val="2A6EEE31"/>
    <w:rsid w:val="2FBC5304"/>
    <w:rsid w:val="337274DA"/>
    <w:rsid w:val="352F594C"/>
    <w:rsid w:val="35BF22DE"/>
    <w:rsid w:val="35DFDBC1"/>
    <w:rsid w:val="39E10E7A"/>
    <w:rsid w:val="3D135FC0"/>
    <w:rsid w:val="3DF34C0D"/>
    <w:rsid w:val="3E0061F5"/>
    <w:rsid w:val="3EAB0813"/>
    <w:rsid w:val="3EC960E3"/>
    <w:rsid w:val="3F6F7058"/>
    <w:rsid w:val="3F7B21E1"/>
    <w:rsid w:val="3FD78F48"/>
    <w:rsid w:val="3FF7EB41"/>
    <w:rsid w:val="41F87296"/>
    <w:rsid w:val="44C356E0"/>
    <w:rsid w:val="48400A88"/>
    <w:rsid w:val="49F71764"/>
    <w:rsid w:val="4C587F15"/>
    <w:rsid w:val="4E23601E"/>
    <w:rsid w:val="4E5515BC"/>
    <w:rsid w:val="4ED7EB90"/>
    <w:rsid w:val="4FBE64CE"/>
    <w:rsid w:val="522E3EEF"/>
    <w:rsid w:val="52FFB789"/>
    <w:rsid w:val="539B8132"/>
    <w:rsid w:val="53E05F5F"/>
    <w:rsid w:val="53E6B548"/>
    <w:rsid w:val="54FE5E21"/>
    <w:rsid w:val="56AE00B3"/>
    <w:rsid w:val="579F565B"/>
    <w:rsid w:val="57FE2A40"/>
    <w:rsid w:val="5B73EF92"/>
    <w:rsid w:val="5D7F04BE"/>
    <w:rsid w:val="5E732623"/>
    <w:rsid w:val="5EFFB672"/>
    <w:rsid w:val="5F3ECFC4"/>
    <w:rsid w:val="5F431C2E"/>
    <w:rsid w:val="5F5735C6"/>
    <w:rsid w:val="5F8E64F0"/>
    <w:rsid w:val="5F978F32"/>
    <w:rsid w:val="5FBB7B90"/>
    <w:rsid w:val="5FBDA27F"/>
    <w:rsid w:val="5FDDD157"/>
    <w:rsid w:val="5FEAD112"/>
    <w:rsid w:val="5FF313BD"/>
    <w:rsid w:val="5FFCDB7B"/>
    <w:rsid w:val="5FFF0A55"/>
    <w:rsid w:val="5FFF1721"/>
    <w:rsid w:val="60B17711"/>
    <w:rsid w:val="66FFAD6A"/>
    <w:rsid w:val="67FA2C2E"/>
    <w:rsid w:val="692B55E8"/>
    <w:rsid w:val="6A7F0795"/>
    <w:rsid w:val="6A9C5231"/>
    <w:rsid w:val="6B5D3446"/>
    <w:rsid w:val="6BF1C83F"/>
    <w:rsid w:val="6BFB643D"/>
    <w:rsid w:val="6BFD6768"/>
    <w:rsid w:val="6D0C1903"/>
    <w:rsid w:val="6EAFB8C3"/>
    <w:rsid w:val="6EDEA292"/>
    <w:rsid w:val="6F4101B6"/>
    <w:rsid w:val="6FD7BAA1"/>
    <w:rsid w:val="6FFE305F"/>
    <w:rsid w:val="6FFE6D57"/>
    <w:rsid w:val="7328AA77"/>
    <w:rsid w:val="73984CA1"/>
    <w:rsid w:val="73BF0EF5"/>
    <w:rsid w:val="73CC59A3"/>
    <w:rsid w:val="75ABFB1E"/>
    <w:rsid w:val="765EF3AA"/>
    <w:rsid w:val="7677F036"/>
    <w:rsid w:val="76CE9171"/>
    <w:rsid w:val="76EFB2A8"/>
    <w:rsid w:val="77296930"/>
    <w:rsid w:val="775F34A7"/>
    <w:rsid w:val="776FFDF3"/>
    <w:rsid w:val="777F13CA"/>
    <w:rsid w:val="77CF45CE"/>
    <w:rsid w:val="77FDA45B"/>
    <w:rsid w:val="78BF378A"/>
    <w:rsid w:val="79DDB61A"/>
    <w:rsid w:val="79FB02D1"/>
    <w:rsid w:val="7BFDBDC1"/>
    <w:rsid w:val="7BFFE94E"/>
    <w:rsid w:val="7C8F8D2C"/>
    <w:rsid w:val="7CFFA3E3"/>
    <w:rsid w:val="7DAE8FA4"/>
    <w:rsid w:val="7DCD9E2F"/>
    <w:rsid w:val="7DDDD898"/>
    <w:rsid w:val="7DEF0FB4"/>
    <w:rsid w:val="7DFE1831"/>
    <w:rsid w:val="7EBD7052"/>
    <w:rsid w:val="7EBE9211"/>
    <w:rsid w:val="7EFDA4FE"/>
    <w:rsid w:val="7EFEEA43"/>
    <w:rsid w:val="7F6E1995"/>
    <w:rsid w:val="7F7A9487"/>
    <w:rsid w:val="7F7FAB22"/>
    <w:rsid w:val="7F9F3098"/>
    <w:rsid w:val="7FDF4C20"/>
    <w:rsid w:val="7FF19C95"/>
    <w:rsid w:val="7FFB30BC"/>
    <w:rsid w:val="7FFC6076"/>
    <w:rsid w:val="7FFFD132"/>
    <w:rsid w:val="836FC826"/>
    <w:rsid w:val="8DCF3DE3"/>
    <w:rsid w:val="966AAA0C"/>
    <w:rsid w:val="97EF4535"/>
    <w:rsid w:val="9AFA8E30"/>
    <w:rsid w:val="9B59CF62"/>
    <w:rsid w:val="9FFFE333"/>
    <w:rsid w:val="A13F1E5F"/>
    <w:rsid w:val="A15F099B"/>
    <w:rsid w:val="AEDB7D3B"/>
    <w:rsid w:val="AFC30809"/>
    <w:rsid w:val="AFEB965C"/>
    <w:rsid w:val="AFFB0A02"/>
    <w:rsid w:val="AFFB471F"/>
    <w:rsid w:val="AFFB6A48"/>
    <w:rsid w:val="B7772828"/>
    <w:rsid w:val="BDDF4D7E"/>
    <w:rsid w:val="BF8E0676"/>
    <w:rsid w:val="BFBB3335"/>
    <w:rsid w:val="BFBF8EDD"/>
    <w:rsid w:val="BFFB9256"/>
    <w:rsid w:val="C4EA0D1D"/>
    <w:rsid w:val="C677183F"/>
    <w:rsid w:val="CDFF3EAC"/>
    <w:rsid w:val="CDFFFE77"/>
    <w:rsid w:val="CEE5065B"/>
    <w:rsid w:val="CEFBB423"/>
    <w:rsid w:val="CFEEB476"/>
    <w:rsid w:val="D32C0E82"/>
    <w:rsid w:val="D774CC5D"/>
    <w:rsid w:val="D7EDB400"/>
    <w:rsid w:val="D7FDFC24"/>
    <w:rsid w:val="DBFF2F54"/>
    <w:rsid w:val="DCEF71BE"/>
    <w:rsid w:val="DDFA5EC8"/>
    <w:rsid w:val="DF379329"/>
    <w:rsid w:val="DF7BE35A"/>
    <w:rsid w:val="DFFB1F1E"/>
    <w:rsid w:val="DFFE094D"/>
    <w:rsid w:val="DFFED18E"/>
    <w:rsid w:val="DFFF0D3E"/>
    <w:rsid w:val="DFFF4A42"/>
    <w:rsid w:val="E2B007BB"/>
    <w:rsid w:val="E3BD99A7"/>
    <w:rsid w:val="E3FB2B4D"/>
    <w:rsid w:val="E5EF3A4C"/>
    <w:rsid w:val="E6374FE9"/>
    <w:rsid w:val="E7AE80D7"/>
    <w:rsid w:val="EDF7F97F"/>
    <w:rsid w:val="EEFBD6A1"/>
    <w:rsid w:val="EF7B42C7"/>
    <w:rsid w:val="EF7F539A"/>
    <w:rsid w:val="EFEF09A2"/>
    <w:rsid w:val="EFFF7FDD"/>
    <w:rsid w:val="F4ED8B93"/>
    <w:rsid w:val="F5BE063E"/>
    <w:rsid w:val="F5DB2266"/>
    <w:rsid w:val="F5FCF861"/>
    <w:rsid w:val="F77DB6BC"/>
    <w:rsid w:val="F7B99F1D"/>
    <w:rsid w:val="F7D904AC"/>
    <w:rsid w:val="F7DF46E8"/>
    <w:rsid w:val="F877F38F"/>
    <w:rsid w:val="FB3EA322"/>
    <w:rsid w:val="FBFD8123"/>
    <w:rsid w:val="FBFFFE46"/>
    <w:rsid w:val="FCEFD17F"/>
    <w:rsid w:val="FCF48487"/>
    <w:rsid w:val="FCFBCC5C"/>
    <w:rsid w:val="FCFC1E61"/>
    <w:rsid w:val="FD3FF0C3"/>
    <w:rsid w:val="FDEFF2EB"/>
    <w:rsid w:val="FDF9891B"/>
    <w:rsid w:val="FDFACB29"/>
    <w:rsid w:val="FE3F110C"/>
    <w:rsid w:val="FEABB27E"/>
    <w:rsid w:val="FEBFDEC3"/>
    <w:rsid w:val="FF6F049F"/>
    <w:rsid w:val="FF6FCB40"/>
    <w:rsid w:val="FF761144"/>
    <w:rsid w:val="FF96F6D1"/>
    <w:rsid w:val="FFEF404F"/>
    <w:rsid w:val="FFF3E1BA"/>
    <w:rsid w:val="FFFEFF7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fillcolor="#FFFFFF" fill="t" stroke="t">
      <v:fill on="t" focussize="0,0"/>
      <v:stroke color="#000000"/>
    </o:shapedefaults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0" w:semiHidden="0" w:name="heading 2"/>
    <w:lsdException w:qFormat="1" w:uiPriority="9" w:semiHidden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qFormat="1"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qFormat="1" w:uiPriority="99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qFormat="1" w:unhideWhenUsed="0" w:uiPriority="0" w:semiHidden="0" w:name="Body Text"/>
    <w:lsdException w:qFormat="1"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qFormat="1" w:unhideWhenUsed="0" w:uiPriority="0" w:semiHidden="0" w:name="Body Text First Indent"/>
    <w:lsdException w:qFormat="1"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qFormat="1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qFormat="1" w:uiPriority="99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iPriority="0" w:name="Table Simple 1"/>
    <w:lsdException w:uiPriority="0" w:name="Table Simple 2"/>
    <w:lsdException w:uiPriority="0" w:name="Table Simple 3"/>
    <w:lsdException w:uiPriority="0" w:name="Table Classic 1"/>
    <w:lsdException w:uiPriority="0" w:name="Table Classic 2"/>
    <w:lsdException w:uiPriority="0" w:name="Table Classic 3"/>
    <w:lsdException w:uiPriority="0" w:name="Table Classic 4"/>
    <w:lsdException w:uiPriority="0" w:name="Table Colorful 1"/>
    <w:lsdException w:uiPriority="0" w:name="Table Colorful 2"/>
    <w:lsdException w:uiPriority="0" w:name="Table Colorful 3"/>
    <w:lsdException w:uiPriority="0" w:name="Table Columns 1"/>
    <w:lsdException w:uiPriority="0" w:name="Table Columns 2"/>
    <w:lsdException w:uiPriority="0" w:name="Table Columns 3"/>
    <w:lsdException w:uiPriority="0" w:name="Table Columns 4"/>
    <w:lsdException w:uiPriority="0" w:name="Table Columns 5"/>
    <w:lsdException w:uiPriority="0" w:name="Table Grid 1"/>
    <w:lsdException w:uiPriority="0" w:name="Table Grid 2"/>
    <w:lsdException w:uiPriority="0" w:name="Table Grid 3"/>
    <w:lsdException w:uiPriority="0" w:name="Table Grid 4"/>
    <w:lsdException w:uiPriority="0" w:name="Table Grid 5"/>
    <w:lsdException w:uiPriority="0" w:name="Table Grid 6"/>
    <w:lsdException w:uiPriority="0" w:name="Table Grid 7"/>
    <w:lsdException w:uiPriority="0" w:name="Table Grid 8"/>
    <w:lsdException w:uiPriority="0" w:name="Table List 1"/>
    <w:lsdException w:uiPriority="0" w:name="Table List 2"/>
    <w:lsdException w:uiPriority="0" w:name="Table List 3"/>
    <w:lsdException w:uiPriority="0" w:name="Table List 4"/>
    <w:lsdException w:uiPriority="0" w:name="Table List 5"/>
    <w:lsdException w:uiPriority="0" w:name="Table List 6"/>
    <w:lsdException w:uiPriority="0" w:name="Table List 7"/>
    <w:lsdException w:uiPriority="0" w:name="Table List 8"/>
    <w:lsdException w:uiPriority="0" w:name="Table 3D effects 1"/>
    <w:lsdException w:uiPriority="0" w:name="Table 3D effects 2"/>
    <w:lsdException w:uiPriority="0" w:name="Table 3D effects 3"/>
    <w:lsdException w:uiPriority="0" w:name="Table Contemporary"/>
    <w:lsdException w:uiPriority="0" w:name="Table Elegant"/>
    <w:lsdException w:uiPriority="0" w:name="Table Professional"/>
    <w:lsdException w:uiPriority="0" w:name="Table Subtle 1"/>
    <w:lsdException w:uiPriority="0" w:name="Table Subtle 2"/>
    <w:lsdException w:uiPriority="0" w:name="Table Web 1"/>
    <w:lsdException w:uiPriority="0" w:name="Table Web 2"/>
    <w:lsdException w:uiPriority="0" w:name="Table Web 3"/>
    <w:lsdException w:qFormat="1" w:unhideWhenUsed="0" w:uiPriority="0" w:semiHidden="0" w:name="Balloon Text"/>
    <w:lsdException w:qFormat="1" w:unhideWhenUsed="0" w:uiPriority="0" w:semiHidden="0" w:name="Table Grid"/>
    <w:lsdException w:uiPriority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paragraph" w:styleId="7">
    <w:name w:val="heading 1"/>
    <w:basedOn w:val="1"/>
    <w:next w:val="1"/>
    <w:qFormat/>
    <w:uiPriority w:val="9"/>
    <w:pPr>
      <w:keepNext/>
      <w:keepLines/>
      <w:spacing w:before="340" w:beforeLines="0" w:beforeAutospacing="0" w:after="330" w:afterLines="0" w:afterAutospacing="0" w:line="576" w:lineRule="auto"/>
      <w:outlineLvl w:val="0"/>
    </w:pPr>
    <w:rPr>
      <w:b/>
      <w:kern w:val="44"/>
      <w:sz w:val="44"/>
    </w:rPr>
  </w:style>
  <w:style w:type="paragraph" w:styleId="8">
    <w:name w:val="heading 2"/>
    <w:basedOn w:val="1"/>
    <w:next w:val="1"/>
    <w:unhideWhenUsed/>
    <w:qFormat/>
    <w:uiPriority w:val="0"/>
    <w:pPr>
      <w:keepNext/>
      <w:keepLines/>
      <w:spacing w:before="260" w:after="260" w:line="416" w:lineRule="auto"/>
      <w:outlineLvl w:val="1"/>
    </w:pPr>
    <w:rPr>
      <w:rFonts w:ascii="Cambria" w:hAnsi="Cambria"/>
      <w:b/>
      <w:bCs/>
      <w:sz w:val="32"/>
      <w:szCs w:val="32"/>
    </w:rPr>
  </w:style>
  <w:style w:type="paragraph" w:styleId="9">
    <w:name w:val="heading 3"/>
    <w:basedOn w:val="1"/>
    <w:next w:val="1"/>
    <w:unhideWhenUsed/>
    <w:qFormat/>
    <w:uiPriority w:val="9"/>
    <w:pPr>
      <w:keepNext/>
      <w:keepLines/>
      <w:spacing w:before="260" w:beforeLines="0" w:beforeAutospacing="0" w:after="260" w:afterLines="0" w:afterAutospacing="0" w:line="413" w:lineRule="auto"/>
      <w:outlineLvl w:val="2"/>
    </w:pPr>
    <w:rPr>
      <w:b/>
      <w:sz w:val="32"/>
    </w:rPr>
  </w:style>
  <w:style w:type="character" w:default="1" w:styleId="21">
    <w:name w:val="Default Paragraph Font"/>
    <w:semiHidden/>
    <w:unhideWhenUsed/>
    <w:qFormat/>
    <w:uiPriority w:val="1"/>
  </w:style>
  <w:style w:type="table" w:default="1" w:styleId="19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 First Indent 2"/>
    <w:basedOn w:val="3"/>
    <w:next w:val="4"/>
    <w:qFormat/>
    <w:uiPriority w:val="0"/>
    <w:pPr>
      <w:ind w:left="200" w:firstLine="420" w:firstLineChars="200"/>
    </w:pPr>
  </w:style>
  <w:style w:type="paragraph" w:styleId="3">
    <w:name w:val="Body Text Indent"/>
    <w:basedOn w:val="1"/>
    <w:next w:val="2"/>
    <w:qFormat/>
    <w:uiPriority w:val="0"/>
    <w:pPr>
      <w:spacing w:after="120"/>
      <w:ind w:left="420" w:leftChars="200"/>
    </w:pPr>
    <w:rPr>
      <w:rFonts w:hint="eastAsia" w:ascii="Times New Roman" w:hAnsi="Times New Roman" w:eastAsia="仿宋_GB2312"/>
      <w:sz w:val="32"/>
    </w:rPr>
  </w:style>
  <w:style w:type="paragraph" w:styleId="4">
    <w:name w:val="Body Text First Indent"/>
    <w:basedOn w:val="5"/>
    <w:next w:val="5"/>
    <w:qFormat/>
    <w:uiPriority w:val="0"/>
    <w:pPr>
      <w:ind w:firstLine="200" w:firstLineChars="200"/>
    </w:pPr>
    <w:rPr>
      <w:rFonts w:eastAsia="宋体"/>
    </w:rPr>
  </w:style>
  <w:style w:type="paragraph" w:styleId="5">
    <w:name w:val="Body Text"/>
    <w:basedOn w:val="1"/>
    <w:next w:val="6"/>
    <w:qFormat/>
    <w:uiPriority w:val="0"/>
    <w:pPr>
      <w:snapToGrid w:val="0"/>
      <w:spacing w:line="579" w:lineRule="exact"/>
    </w:pPr>
    <w:rPr>
      <w:rFonts w:eastAsia="仿宋_GB2312"/>
      <w:sz w:val="32"/>
      <w:szCs w:val="24"/>
    </w:rPr>
  </w:style>
  <w:style w:type="paragraph" w:customStyle="1" w:styleId="6">
    <w:name w:val="正文首行缩进1"/>
    <w:basedOn w:val="5"/>
    <w:next w:val="5"/>
    <w:qFormat/>
    <w:uiPriority w:val="0"/>
    <w:pPr>
      <w:ind w:firstLine="420" w:firstLineChars="100"/>
    </w:pPr>
    <w:rPr>
      <w:rFonts w:ascii="Times New Roman" w:hAnsi="Times New Roman" w:cs="Times New Roman"/>
      <w:sz w:val="21"/>
    </w:rPr>
  </w:style>
  <w:style w:type="paragraph" w:styleId="10">
    <w:name w:val="toa heading"/>
    <w:basedOn w:val="1"/>
    <w:next w:val="1"/>
    <w:unhideWhenUsed/>
    <w:qFormat/>
    <w:uiPriority w:val="99"/>
    <w:pPr>
      <w:ind w:firstLine="200" w:firstLineChars="200"/>
    </w:pPr>
    <w:rPr>
      <w:rFonts w:ascii="Times New Roman" w:hAnsi="Times New Roman"/>
    </w:rPr>
  </w:style>
  <w:style w:type="paragraph" w:styleId="11">
    <w:name w:val="index 6"/>
    <w:basedOn w:val="1"/>
    <w:next w:val="1"/>
    <w:qFormat/>
    <w:uiPriority w:val="0"/>
    <w:pPr>
      <w:ind w:left="1000" w:leftChars="1000"/>
    </w:pPr>
  </w:style>
  <w:style w:type="paragraph" w:styleId="12">
    <w:name w:val="Plain Text"/>
    <w:basedOn w:val="1"/>
    <w:unhideWhenUsed/>
    <w:qFormat/>
    <w:uiPriority w:val="0"/>
    <w:rPr>
      <w:rFonts w:ascii="宋体" w:hAnsi="Courier New" w:cs="Courier New"/>
    </w:rPr>
  </w:style>
  <w:style w:type="paragraph" w:styleId="13">
    <w:name w:val="Balloon Text"/>
    <w:basedOn w:val="1"/>
    <w:qFormat/>
    <w:uiPriority w:val="0"/>
    <w:rPr>
      <w:sz w:val="18"/>
      <w:szCs w:val="18"/>
    </w:rPr>
  </w:style>
  <w:style w:type="paragraph" w:styleId="14">
    <w:name w:val="footer"/>
    <w:basedOn w:val="1"/>
    <w:next w:val="1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15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</w:pPr>
    <w:rPr>
      <w:sz w:val="18"/>
    </w:rPr>
  </w:style>
  <w:style w:type="paragraph" w:styleId="16">
    <w:name w:val="HTML Preformatted"/>
    <w:basedOn w:val="1"/>
    <w:link w:val="26"/>
    <w:unhideWhenUsed/>
    <w:qFormat/>
    <w:uiPriority w:val="99"/>
    <w:pPr>
      <w:widowControl/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jc w:val="left"/>
    </w:pPr>
    <w:rPr>
      <w:rFonts w:ascii="宋体" w:hAnsi="宋体" w:cs="宋体"/>
      <w:kern w:val="0"/>
      <w:sz w:val="24"/>
    </w:rPr>
  </w:style>
  <w:style w:type="paragraph" w:styleId="17">
    <w:name w:val="Normal (Web)"/>
    <w:basedOn w:val="1"/>
    <w:qFormat/>
    <w:uiPriority w:val="0"/>
    <w:pPr>
      <w:spacing w:before="100" w:beforeAutospacing="1" w:after="100" w:afterAutospacing="1"/>
      <w:jc w:val="left"/>
    </w:pPr>
    <w:rPr>
      <w:kern w:val="0"/>
      <w:sz w:val="24"/>
    </w:rPr>
  </w:style>
  <w:style w:type="paragraph" w:styleId="18">
    <w:name w:val="Title"/>
    <w:basedOn w:val="1"/>
    <w:next w:val="1"/>
    <w:qFormat/>
    <w:uiPriority w:val="0"/>
    <w:pPr>
      <w:spacing w:before="240" w:after="60"/>
      <w:jc w:val="center"/>
      <w:outlineLvl w:val="0"/>
    </w:pPr>
    <w:rPr>
      <w:rFonts w:ascii="Arial" w:hAnsi="Arial" w:cs="Arial"/>
      <w:b/>
      <w:bCs/>
      <w:sz w:val="32"/>
      <w:szCs w:val="32"/>
    </w:rPr>
  </w:style>
  <w:style w:type="table" w:styleId="20">
    <w:name w:val="Table Grid"/>
    <w:basedOn w:val="19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paragraph" w:customStyle="1" w:styleId="22">
    <w:name w:val="正文（缩进）"/>
    <w:basedOn w:val="23"/>
    <w:next w:val="1"/>
    <w:qFormat/>
    <w:uiPriority w:val="99"/>
    <w:pPr>
      <w:spacing w:line="360" w:lineRule="auto"/>
      <w:ind w:firstLine="480" w:firstLineChars="200"/>
    </w:pPr>
    <w:rPr>
      <w:sz w:val="24"/>
      <w:szCs w:val="24"/>
    </w:rPr>
  </w:style>
  <w:style w:type="paragraph" w:customStyle="1" w:styleId="23">
    <w:name w:val="正文(首行缩进)"/>
    <w:basedOn w:val="1"/>
    <w:qFormat/>
    <w:uiPriority w:val="0"/>
    <w:pPr>
      <w:spacing w:line="460" w:lineRule="exact"/>
      <w:ind w:firstLine="560" w:firstLineChars="200"/>
    </w:pPr>
    <w:rPr>
      <w:rFonts w:ascii="宋体" w:hAnsi="宋体"/>
      <w:snapToGrid w:val="0"/>
      <w:color w:val="000000"/>
      <w:kern w:val="0"/>
      <w:sz w:val="24"/>
      <w:szCs w:val="24"/>
    </w:rPr>
  </w:style>
  <w:style w:type="paragraph" w:customStyle="1" w:styleId="24">
    <w:name w:val="我的正文"/>
    <w:qFormat/>
    <w:uiPriority w:val="0"/>
    <w:pPr>
      <w:widowControl w:val="0"/>
      <w:spacing w:line="580" w:lineRule="exact"/>
      <w:ind w:firstLine="880" w:firstLineChars="200"/>
      <w:jc w:val="both"/>
    </w:pPr>
    <w:rPr>
      <w:rFonts w:ascii="Times New Roman" w:hAnsi="Times New Roman" w:eastAsia="仿宋_GB2312" w:cs="Times New Roman"/>
      <w:sz w:val="32"/>
      <w:szCs w:val="32"/>
      <w:lang w:val="en-US" w:eastAsia="zh-CN" w:bidi="ar-SA"/>
    </w:rPr>
  </w:style>
  <w:style w:type="paragraph" w:customStyle="1" w:styleId="25">
    <w:name w:val="UserStyle_0"/>
    <w:basedOn w:val="1"/>
    <w:qFormat/>
    <w:uiPriority w:val="0"/>
    <w:pPr>
      <w:spacing w:before="312"/>
      <w:ind w:left="210" w:right="210" w:firstLine="600"/>
      <w:contextualSpacing/>
    </w:pPr>
    <w:rPr>
      <w:rFonts w:ascii="微软雅黑" w:hAnsi="微软雅黑" w:eastAsia="微软雅黑"/>
      <w:color w:val="000000"/>
      <w:sz w:val="24"/>
      <w:szCs w:val="21"/>
    </w:rPr>
  </w:style>
  <w:style w:type="character" w:customStyle="1" w:styleId="26">
    <w:name w:val="HTML 预设格式 字符"/>
    <w:basedOn w:val="21"/>
    <w:link w:val="16"/>
    <w:qFormat/>
    <w:uiPriority w:val="99"/>
    <w:rPr>
      <w:rFonts w:ascii="宋体" w:hAnsi="宋体" w:cs="宋体"/>
      <w:sz w:val="24"/>
      <w:szCs w:val="24"/>
    </w:rPr>
  </w:style>
  <w:style w:type="character" w:customStyle="1" w:styleId="27">
    <w:name w:val="apple-converted-space"/>
    <w:basedOn w:val="21"/>
    <w:qFormat/>
    <w:uiPriority w:val="99"/>
    <w:rPr>
      <w:rFonts w:cs="Times New Roman"/>
    </w:rPr>
  </w:style>
  <w:style w:type="character" w:customStyle="1" w:styleId="28">
    <w:name w:val="NormalCharacter"/>
    <w:qFormat/>
    <w:uiPriority w:val="0"/>
    <w:rPr>
      <w:rFonts w:ascii="Calibri" w:hAnsi="Calibri" w:eastAsia="宋体" w:cs="Times New Roman"/>
      <w:kern w:val="2"/>
      <w:sz w:val="21"/>
      <w:szCs w:val="22"/>
      <w:lang w:val="en-US" w:eastAsia="zh-CN" w:bidi="ar-SA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image" Target="media/image1.jpeg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fontTable.xml.rels><?xml version="1.0" encoding="UTF-8" standalone="yes"?>
<Relationships xmlns="http://schemas.openxmlformats.org/package/2006/relationships"><Relationship Id="rId7" Type="http://schemas.openxmlformats.org/officeDocument/2006/relationships/font" Target="fonts/font7.odttf"/><Relationship Id="rId6" Type="http://schemas.openxmlformats.org/officeDocument/2006/relationships/font" Target="fonts/font6.odttf"/><Relationship Id="rId5" Type="http://schemas.openxmlformats.org/officeDocument/2006/relationships/font" Target="fonts/font5.odttf"/><Relationship Id="rId4" Type="http://schemas.openxmlformats.org/officeDocument/2006/relationships/font" Target="fonts/font4.odttf"/><Relationship Id="rId3" Type="http://schemas.openxmlformats.org/officeDocument/2006/relationships/font" Target="fonts/font3.odttf"/><Relationship Id="rId2" Type="http://schemas.openxmlformats.org/officeDocument/2006/relationships/font" Target="fonts/font2.odttf"/><Relationship Id="rId1" Type="http://schemas.openxmlformats.org/officeDocument/2006/relationships/font" Target="fonts/font1.odttf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Microsoft</Company>
  <Pages>8</Pages>
  <Words>2129</Words>
  <Characters>2267</Characters>
  <Lines>11</Lines>
  <Paragraphs>3</Paragraphs>
  <TotalTime>75</TotalTime>
  <ScaleCrop>false</ScaleCrop>
  <LinksUpToDate>false</LinksUpToDate>
  <CharactersWithSpaces>2284</CharactersWithSpaces>
  <Application>WPS Office_12.1.0.15712_F1E327BC-269C-435d-A152-05C5408002CA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2022-02-24T00:48:00Z</dcterms:created>
  <dc:creator>Administrator</dc:creator>
  <cp:lastModifiedBy>嘉树</cp:lastModifiedBy>
  <cp:lastPrinted>2023-05-17T17:54:00Z</cp:lastPrinted>
  <dcterms:modified xsi:type="dcterms:W3CDTF">2023-12-05T07:36:48Z</dcterms:modified>
  <cp:revision>12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2052-12.1.0.15712</vt:lpwstr>
  </property>
  <property fmtid="{D5CDD505-2E9C-101B-9397-08002B2CF9AE}" pid="3" name="ICV">
    <vt:lpwstr>845AC6134BBB44F4990B1BABB514C0D4_13</vt:lpwstr>
  </property>
</Properties>
</file>