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7F3D81">
      <w:pPr>
        <w:pStyle w:val="2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bookmarkStart w:id="1" w:name="_GoBack"/>
      <w:bookmarkEnd w:id="1"/>
      <w:bookmarkStart w:id="0" w:name="_Hlk506124962"/>
      <w:bookmarkEnd w:id="0"/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附件1</w:t>
      </w:r>
    </w:p>
    <w:p w14:paraId="34B691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6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kern w:val="2"/>
          <w:sz w:val="36"/>
          <w:szCs w:val="36"/>
          <w:lang w:val="en-US" w:eastAsia="zh-CN" w:bidi="ar-SA"/>
        </w:rPr>
      </w:pPr>
      <w:r>
        <w:rPr>
          <w:rFonts w:hint="default" w:ascii="Times New Roman" w:hAnsi="Times New Roman" w:eastAsia="方正小标宋简体" w:cs="Times New Roman"/>
          <w:color w:val="auto"/>
          <w:kern w:val="2"/>
          <w:sz w:val="36"/>
          <w:szCs w:val="36"/>
          <w:lang w:val="en-US" w:eastAsia="zh-CN" w:bidi="ar-SA"/>
        </w:rPr>
        <w:t>同心县中小企业数字化转型城市试点绩效目标</w:t>
      </w:r>
    </w:p>
    <w:tbl>
      <w:tblPr>
        <w:tblStyle w:val="12"/>
        <w:tblW w:w="9084" w:type="dxa"/>
        <w:tblInd w:w="9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3"/>
        <w:gridCol w:w="1193"/>
        <w:gridCol w:w="4040"/>
        <w:gridCol w:w="1093"/>
        <w:gridCol w:w="987"/>
        <w:gridCol w:w="968"/>
      </w:tblGrid>
      <w:tr w14:paraId="6F14A6BC">
        <w:trPr>
          <w:trHeight w:val="820" w:hRule="atLeast"/>
        </w:trPr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472E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52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055E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  <w:t>指标</w:t>
            </w:r>
          </w:p>
        </w:tc>
        <w:tc>
          <w:tcPr>
            <w:tcW w:w="1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A8BB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  <w:t>2025年</w:t>
            </w: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kern w:val="0"/>
                <w:sz w:val="24"/>
                <w:szCs w:val="24"/>
                <w:lang w:val="en-US" w:eastAsia="zh-CN" w:bidi="ar"/>
              </w:rPr>
              <w:t>10月</w:t>
            </w: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0052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  <w:t>2026年</w:t>
            </w: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kern w:val="0"/>
                <w:sz w:val="24"/>
                <w:szCs w:val="24"/>
                <w:lang w:val="en-US" w:eastAsia="zh-CN" w:bidi="ar"/>
              </w:rPr>
              <w:t>10月</w:t>
            </w: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4ABB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  <w:t>总目标</w:t>
            </w:r>
          </w:p>
        </w:tc>
      </w:tr>
      <w:tr w14:paraId="6E3DBF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D8A1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bidi="ar"/>
              </w:rPr>
              <w:t>1</w:t>
            </w:r>
          </w:p>
        </w:tc>
        <w:tc>
          <w:tcPr>
            <w:tcW w:w="52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ECC0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bidi="ar"/>
              </w:rPr>
              <w:t>拟改造企业数量（家）</w:t>
            </w:r>
          </w:p>
        </w:tc>
        <w:tc>
          <w:tcPr>
            <w:tcW w:w="1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593A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  <w:t>25</w:t>
            </w: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1B49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  <w:t>12</w:t>
            </w: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4F15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  <w:t>37</w:t>
            </w:r>
          </w:p>
        </w:tc>
      </w:tr>
      <w:tr w14:paraId="65A215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9A8E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bidi="ar"/>
              </w:rPr>
              <w:t>2</w:t>
            </w:r>
          </w:p>
        </w:tc>
        <w:tc>
          <w:tcPr>
            <w:tcW w:w="11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958B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bidi="ar"/>
              </w:rPr>
              <w:t>其中</w:t>
            </w:r>
          </w:p>
        </w:tc>
        <w:tc>
          <w:tcPr>
            <w:tcW w:w="4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38DA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bidi="ar"/>
              </w:rPr>
              <w:t>拟改造规上工业中小企业数量（家）</w:t>
            </w:r>
          </w:p>
        </w:tc>
        <w:tc>
          <w:tcPr>
            <w:tcW w:w="1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2F12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  <w:t>23</w:t>
            </w: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1B64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  <w:t>11</w:t>
            </w: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0144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  <w:t>34</w:t>
            </w:r>
          </w:p>
        </w:tc>
      </w:tr>
      <w:tr w14:paraId="31947F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2472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bidi="ar"/>
              </w:rPr>
              <w:t>3</w:t>
            </w:r>
          </w:p>
        </w:tc>
        <w:tc>
          <w:tcPr>
            <w:tcW w:w="11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2346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4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</w:rPr>
            </w:pPr>
          </w:p>
        </w:tc>
        <w:tc>
          <w:tcPr>
            <w:tcW w:w="4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4C70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bidi="ar"/>
              </w:rPr>
              <w:t>拟改造规下工业中小企业数量（家）</w:t>
            </w:r>
          </w:p>
        </w:tc>
        <w:tc>
          <w:tcPr>
            <w:tcW w:w="1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71B6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E9F8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71E2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  <w:t>3</w:t>
            </w:r>
          </w:p>
        </w:tc>
      </w:tr>
      <w:tr w14:paraId="776109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281C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bidi="ar"/>
              </w:rPr>
              <w:t>4</w:t>
            </w:r>
          </w:p>
        </w:tc>
        <w:tc>
          <w:tcPr>
            <w:tcW w:w="52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5F5A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bidi="ar"/>
              </w:rPr>
              <w:t>拟改造企业中专精特新“小巨人”企业数量（家）（含实施期新增数量）</w:t>
            </w:r>
          </w:p>
        </w:tc>
        <w:tc>
          <w:tcPr>
            <w:tcW w:w="1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5060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  <w:t>0</w:t>
            </w: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6A25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  <w:t>1</w:t>
            </w: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E0BA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  <w:t>1</w:t>
            </w:r>
          </w:p>
        </w:tc>
      </w:tr>
      <w:tr w14:paraId="0865F9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</w:trPr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3EDB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bidi="ar"/>
              </w:rPr>
              <w:t>5</w:t>
            </w:r>
          </w:p>
        </w:tc>
        <w:tc>
          <w:tcPr>
            <w:tcW w:w="52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872D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bidi="ar"/>
              </w:rPr>
              <w:t>拟改造企业中专精特新中小企业数量（家）</w:t>
            </w:r>
          </w:p>
          <w:p w14:paraId="06B2CC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bidi="ar"/>
              </w:rPr>
              <w:t>（含实施期新增数量）</w:t>
            </w:r>
          </w:p>
        </w:tc>
        <w:tc>
          <w:tcPr>
            <w:tcW w:w="1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B932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  <w:t>12</w:t>
            </w: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4276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  <w:t>3</w:t>
            </w: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97D2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  <w:t>15</w:t>
            </w:r>
          </w:p>
        </w:tc>
      </w:tr>
      <w:tr w14:paraId="1CFFC2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5733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 w:bidi="ar"/>
              </w:rPr>
              <w:t>6</w:t>
            </w:r>
          </w:p>
        </w:tc>
        <w:tc>
          <w:tcPr>
            <w:tcW w:w="52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E743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bidi="ar"/>
              </w:rPr>
              <w:t>拟上云用云中小企业数量（家）</w:t>
            </w:r>
          </w:p>
        </w:tc>
        <w:tc>
          <w:tcPr>
            <w:tcW w:w="1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040B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  <w:t>28</w:t>
            </w: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67F0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  <w:t>8</w:t>
            </w: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CF42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  <w:t>36</w:t>
            </w:r>
          </w:p>
        </w:tc>
      </w:tr>
      <w:tr w14:paraId="159E9B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DE60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 w:bidi="ar"/>
              </w:rPr>
              <w:t>7</w:t>
            </w:r>
          </w:p>
        </w:tc>
        <w:tc>
          <w:tcPr>
            <w:tcW w:w="52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5046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bidi="ar"/>
              </w:rPr>
              <w:t>拟培育新增数字化车间、智能工厂数量（个）</w:t>
            </w:r>
          </w:p>
        </w:tc>
        <w:tc>
          <w:tcPr>
            <w:tcW w:w="1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54B8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  <w:t>1</w:t>
            </w: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09D0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  <w:t>1</w:t>
            </w: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7046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  <w:t>2</w:t>
            </w:r>
          </w:p>
        </w:tc>
      </w:tr>
      <w:tr w14:paraId="07F7770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C961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 w:bidi="ar"/>
              </w:rPr>
              <w:t>8</w:t>
            </w:r>
          </w:p>
        </w:tc>
        <w:tc>
          <w:tcPr>
            <w:tcW w:w="52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F5FB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bidi="ar"/>
              </w:rPr>
              <w:t>拟打造数字化水平四级试点企业数量（家）</w:t>
            </w:r>
          </w:p>
        </w:tc>
        <w:tc>
          <w:tcPr>
            <w:tcW w:w="1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80BA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228E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1968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  <w:t>4</w:t>
            </w:r>
          </w:p>
        </w:tc>
      </w:tr>
      <w:tr w14:paraId="7DB179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</w:trPr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B260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 w:bidi="ar"/>
              </w:rPr>
              <w:t>9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CF9F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bidi="ar"/>
              </w:rPr>
              <w:t>复制推广目标</w:t>
            </w:r>
          </w:p>
        </w:tc>
        <w:tc>
          <w:tcPr>
            <w:tcW w:w="4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E139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bidi="ar"/>
              </w:rPr>
              <w:t>打造数字化转型标杆企业数量（个）</w:t>
            </w:r>
          </w:p>
        </w:tc>
        <w:tc>
          <w:tcPr>
            <w:tcW w:w="1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2B9E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3A16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69C3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  <w:t>4</w:t>
            </w:r>
          </w:p>
        </w:tc>
      </w:tr>
      <w:tr w14:paraId="2BE147C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1D3D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highlight w:val="none"/>
                <w:lang w:val="en-US" w:eastAsia="zh-CN" w:bidi="ar"/>
              </w:rPr>
              <w:t>10</w:t>
            </w:r>
          </w:p>
        </w:tc>
        <w:tc>
          <w:tcPr>
            <w:tcW w:w="11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F414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highlight w:val="none"/>
                <w:lang w:bidi="ar"/>
              </w:rPr>
              <w:t>中小企业创新能力提升目标</w:t>
            </w:r>
          </w:p>
        </w:tc>
        <w:tc>
          <w:tcPr>
            <w:tcW w:w="4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6B26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highlight w:val="none"/>
                <w:lang w:bidi="ar"/>
              </w:rPr>
              <w:t>培育新增高新技术企业数量（家）</w:t>
            </w:r>
          </w:p>
        </w:tc>
        <w:tc>
          <w:tcPr>
            <w:tcW w:w="1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812F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highlight w:val="none"/>
                <w:lang w:val="en-US" w:eastAsia="zh-CN"/>
              </w:rPr>
              <w:t>2</w:t>
            </w: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8F56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7103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highlight w:val="none"/>
                <w:lang w:val="en-US" w:eastAsia="zh-CN"/>
              </w:rPr>
              <w:t>3</w:t>
            </w:r>
          </w:p>
        </w:tc>
      </w:tr>
      <w:tr w14:paraId="4C7099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2CFB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highlight w:val="none"/>
                <w:lang w:val="en-US" w:eastAsia="zh-CN" w:bidi="ar"/>
              </w:rPr>
              <w:t>11</w:t>
            </w:r>
          </w:p>
        </w:tc>
        <w:tc>
          <w:tcPr>
            <w:tcW w:w="11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E438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highlight w:val="none"/>
              </w:rPr>
            </w:pPr>
          </w:p>
        </w:tc>
        <w:tc>
          <w:tcPr>
            <w:tcW w:w="4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A9C8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highlight w:val="none"/>
                <w:lang w:bidi="ar"/>
              </w:rPr>
              <w:t>培育新增科技型中小企业数量（家）</w:t>
            </w:r>
          </w:p>
        </w:tc>
        <w:tc>
          <w:tcPr>
            <w:tcW w:w="1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65AF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highlight w:val="none"/>
                <w:lang w:val="en-US" w:eastAsia="zh-CN"/>
              </w:rPr>
              <w:t>5</w:t>
            </w: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E626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highlight w:val="none"/>
                <w:lang w:val="en-US" w:eastAsia="zh-CN"/>
              </w:rPr>
              <w:t>2</w:t>
            </w: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76FB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highlight w:val="none"/>
                <w:lang w:val="en-US" w:eastAsia="zh-CN"/>
              </w:rPr>
              <w:t>7</w:t>
            </w:r>
          </w:p>
        </w:tc>
      </w:tr>
      <w:tr w14:paraId="51F865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F03F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highlight w:val="none"/>
                <w:lang w:val="en-US" w:eastAsia="zh-CN" w:bidi="ar"/>
              </w:rPr>
              <w:t>12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3B24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highlight w:val="none"/>
                <w:lang w:bidi="ar"/>
              </w:rPr>
              <w:t>“链式”转型目标</w:t>
            </w:r>
          </w:p>
        </w:tc>
        <w:tc>
          <w:tcPr>
            <w:tcW w:w="4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E4F7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highlight w:val="none"/>
                <w:lang w:bidi="ar"/>
              </w:rPr>
              <w:t>打造“链式”数字化转型典型案例数量（个）</w:t>
            </w:r>
          </w:p>
        </w:tc>
        <w:tc>
          <w:tcPr>
            <w:tcW w:w="1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0B57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B2EF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highlight w:val="none"/>
                <w:lang w:val="en-US" w:eastAsia="zh-CN"/>
              </w:rPr>
              <w:t>0</w:t>
            </w: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63DC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</w:tr>
      <w:tr w14:paraId="5CDE4EB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5" w:hRule="atLeast"/>
        </w:trPr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08DE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 w:bidi="ar"/>
              </w:rPr>
              <w:t>13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8397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bidi="ar"/>
              </w:rPr>
              <w:t>具有创新性或者地方特色的典型做法及模式</w:t>
            </w:r>
          </w:p>
        </w:tc>
        <w:tc>
          <w:tcPr>
            <w:tcW w:w="4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1D59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bidi="ar"/>
              </w:rPr>
              <w:t>围绕吴忠市细分行业数字化转型路径，人工智能、工业互联网赋能产业转型升级，数字赋能一二三产融合发展，以及中小企业“链式”转型、集群转型、人才培养等方面，提炼总结具有创新性或者地方特色的典型做法及模式数量（个）</w:t>
            </w:r>
          </w:p>
        </w:tc>
        <w:tc>
          <w:tcPr>
            <w:tcW w:w="1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43E6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4604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  <w:t>0</w:t>
            </w: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1ABB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  <w:t>1</w:t>
            </w:r>
          </w:p>
        </w:tc>
      </w:tr>
    </w:tbl>
    <w:p w14:paraId="406210DE"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spacing w:line="560" w:lineRule="exact"/>
        <w:ind w:left="0" w:leftChars="0" w:firstLine="0" w:firstLineChars="0"/>
        <w:rPr>
          <w:rFonts w:hint="default" w:ascii="Times New Roman" w:hAnsi="Times New Roman" w:cs="Times New Roman"/>
          <w:lang w:val="en-US" w:eastAsia="zh-CN"/>
        </w:rPr>
        <w:sectPr>
          <w:headerReference r:id="rId5" w:type="default"/>
          <w:footerReference r:id="rId6" w:type="default"/>
          <w:pgSz w:w="11906" w:h="16838"/>
          <w:pgMar w:top="2098" w:right="1474" w:bottom="1984" w:left="1587" w:header="851" w:footer="992" w:gutter="0"/>
          <w:pgNumType w:fmt="numberInDash"/>
          <w:cols w:space="720" w:num="1"/>
          <w:rtlGutter w:val="0"/>
          <w:docGrid w:linePitch="312" w:charSpace="0"/>
        </w:sectPr>
      </w:pPr>
    </w:p>
    <w:p w14:paraId="322F349D">
      <w:pPr>
        <w:pStyle w:val="2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附件2</w:t>
      </w:r>
    </w:p>
    <w:p w14:paraId="067AF9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6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cs="Times New Roman"/>
          <w:lang w:eastAsia="zh-CN"/>
        </w:rPr>
      </w:pPr>
      <w:r>
        <w:rPr>
          <w:rFonts w:hint="default" w:ascii="Times New Roman" w:hAnsi="Times New Roman" w:eastAsia="方正小标宋简体" w:cs="Times New Roman"/>
          <w:color w:val="auto"/>
          <w:kern w:val="2"/>
          <w:sz w:val="36"/>
          <w:szCs w:val="36"/>
          <w:lang w:val="en-US" w:eastAsia="zh-CN" w:bidi="ar-SA"/>
        </w:rPr>
        <w:t>同心县中小企业数字化转型城市试点工作推进计划及责任分工</w:t>
      </w:r>
    </w:p>
    <w:tbl>
      <w:tblPr>
        <w:tblStyle w:val="13"/>
        <w:tblW w:w="12769" w:type="dxa"/>
        <w:tblInd w:w="1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5"/>
        <w:gridCol w:w="7084"/>
        <w:gridCol w:w="1710"/>
        <w:gridCol w:w="3270"/>
      </w:tblGrid>
      <w:tr w14:paraId="5A6232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  <w:tblHeader/>
        </w:trPr>
        <w:tc>
          <w:tcPr>
            <w:tcW w:w="705" w:type="dxa"/>
            <w:noWrap w:val="0"/>
            <w:vAlign w:val="center"/>
          </w:tcPr>
          <w:p w14:paraId="5C8357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</w:rPr>
              <w:t>序号</w:t>
            </w:r>
          </w:p>
        </w:tc>
        <w:tc>
          <w:tcPr>
            <w:tcW w:w="7084" w:type="dxa"/>
            <w:noWrap w:val="0"/>
            <w:vAlign w:val="center"/>
          </w:tcPr>
          <w:p w14:paraId="6651F0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</w:rPr>
              <w:t>工作内容</w:t>
            </w:r>
          </w:p>
        </w:tc>
        <w:tc>
          <w:tcPr>
            <w:tcW w:w="1710" w:type="dxa"/>
            <w:noWrap w:val="0"/>
            <w:vAlign w:val="center"/>
          </w:tcPr>
          <w:p w14:paraId="73ECDB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highlight w:val="yellow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</w:rPr>
              <w:t>完成时限</w:t>
            </w:r>
          </w:p>
        </w:tc>
        <w:tc>
          <w:tcPr>
            <w:tcW w:w="3270" w:type="dxa"/>
            <w:noWrap w:val="0"/>
            <w:vAlign w:val="center"/>
          </w:tcPr>
          <w:p w14:paraId="16FDF8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highlight w:val="yellow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</w:rPr>
              <w:t>责任单位</w:t>
            </w:r>
          </w:p>
        </w:tc>
      </w:tr>
      <w:tr w14:paraId="74AB81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</w:trPr>
        <w:tc>
          <w:tcPr>
            <w:tcW w:w="705" w:type="dxa"/>
            <w:noWrap w:val="0"/>
            <w:vAlign w:val="center"/>
          </w:tcPr>
          <w:p w14:paraId="3BB503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084" w:type="dxa"/>
            <w:noWrap w:val="0"/>
            <w:vAlign w:val="center"/>
          </w:tcPr>
          <w:p w14:paraId="580F18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宣贯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数字化转型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相关政策。</w:t>
            </w:r>
          </w:p>
        </w:tc>
        <w:tc>
          <w:tcPr>
            <w:tcW w:w="1710" w:type="dxa"/>
            <w:noWrap w:val="0"/>
            <w:vAlign w:val="center"/>
          </w:tcPr>
          <w:p w14:paraId="1ABBE8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2024年1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月</w:t>
            </w:r>
          </w:p>
        </w:tc>
        <w:tc>
          <w:tcPr>
            <w:tcW w:w="3270" w:type="dxa"/>
            <w:noWrap w:val="0"/>
            <w:vAlign w:val="center"/>
          </w:tcPr>
          <w:p w14:paraId="67C697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工信商务局、工业园区</w:t>
            </w:r>
          </w:p>
        </w:tc>
      </w:tr>
      <w:tr w14:paraId="47DDD0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705" w:type="dxa"/>
            <w:noWrap w:val="0"/>
            <w:vAlign w:val="center"/>
          </w:tcPr>
          <w:p w14:paraId="1D1584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7084" w:type="dxa"/>
            <w:noWrap w:val="0"/>
            <w:vAlign w:val="center"/>
          </w:tcPr>
          <w:p w14:paraId="09B918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配合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综合集成服务商面向第一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阶段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拟改造中小企业，开展“一对一”入企调研诊断，出具数字化诊断报告，梳理形成试点企业需求、问题和场景清单及供需适配库。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第一阶段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应完成改造总目标65%以上企业的诊断工作。</w:t>
            </w:r>
          </w:p>
        </w:tc>
        <w:tc>
          <w:tcPr>
            <w:tcW w:w="1710" w:type="dxa"/>
            <w:noWrap w:val="0"/>
            <w:vAlign w:val="center"/>
          </w:tcPr>
          <w:p w14:paraId="6A7884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2024年1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月</w:t>
            </w:r>
          </w:p>
        </w:tc>
        <w:tc>
          <w:tcPr>
            <w:tcW w:w="3270" w:type="dxa"/>
            <w:noWrap w:val="0"/>
            <w:vAlign w:val="center"/>
          </w:tcPr>
          <w:p w14:paraId="3C6CE2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工信商务局、工业园区、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数字化服务商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、智库支撑机构</w:t>
            </w:r>
          </w:p>
        </w:tc>
      </w:tr>
      <w:tr w14:paraId="7E22FF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705" w:type="dxa"/>
            <w:noWrap w:val="0"/>
            <w:vAlign w:val="center"/>
          </w:tcPr>
          <w:p w14:paraId="61EEB8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7084" w:type="dxa"/>
            <w:noWrap w:val="0"/>
            <w:vAlign w:val="center"/>
          </w:tcPr>
          <w:p w14:paraId="719C65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遴选第一阶段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</w:rPr>
              <w:t>数字化改造试点企业，组织试点企业申报入库。</w:t>
            </w:r>
          </w:p>
        </w:tc>
        <w:tc>
          <w:tcPr>
            <w:tcW w:w="1710" w:type="dxa"/>
            <w:noWrap w:val="0"/>
            <w:vAlign w:val="center"/>
          </w:tcPr>
          <w:p w14:paraId="34BD13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2024年1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月</w:t>
            </w:r>
          </w:p>
        </w:tc>
        <w:tc>
          <w:tcPr>
            <w:tcW w:w="3270" w:type="dxa"/>
            <w:noWrap w:val="0"/>
            <w:vAlign w:val="center"/>
          </w:tcPr>
          <w:p w14:paraId="3EA82B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工信商务局、工业园区</w:t>
            </w:r>
          </w:p>
        </w:tc>
      </w:tr>
      <w:tr w14:paraId="6F035E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05" w:type="dxa"/>
            <w:noWrap w:val="0"/>
            <w:vAlign w:val="center"/>
          </w:tcPr>
          <w:p w14:paraId="18C43C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7084" w:type="dxa"/>
            <w:noWrap w:val="0"/>
            <w:vAlign w:val="center"/>
          </w:tcPr>
          <w:p w14:paraId="1B1D29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分行业常态化组织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开展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第一阶段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试点企业线下供需对接会、人才培训会，邀请中小企业、数字化服务商、金融机构参加，拓展资源对接渠道。</w:t>
            </w:r>
          </w:p>
        </w:tc>
        <w:tc>
          <w:tcPr>
            <w:tcW w:w="1710" w:type="dxa"/>
            <w:noWrap w:val="0"/>
            <w:vAlign w:val="center"/>
          </w:tcPr>
          <w:p w14:paraId="36C0F5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年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月</w:t>
            </w:r>
          </w:p>
        </w:tc>
        <w:tc>
          <w:tcPr>
            <w:tcW w:w="3270" w:type="dxa"/>
            <w:noWrap w:val="0"/>
            <w:vAlign w:val="center"/>
          </w:tcPr>
          <w:p w14:paraId="712F93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工信商务局、工业园区、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数字化服务商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、智库支撑机构</w:t>
            </w:r>
          </w:p>
        </w:tc>
      </w:tr>
      <w:tr w14:paraId="72E220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05" w:type="dxa"/>
            <w:noWrap w:val="0"/>
            <w:vAlign w:val="center"/>
          </w:tcPr>
          <w:p w14:paraId="231D80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7084" w:type="dxa"/>
            <w:noWrap w:val="0"/>
            <w:vAlign w:val="center"/>
          </w:tcPr>
          <w:p w14:paraId="3EE589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</w:rPr>
              <w:t>实施试点企业数字化改造，做好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lang w:eastAsia="zh-CN"/>
              </w:rPr>
              <w:t>企业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</w:rPr>
              <w:t>数字化改造整体规划，出具改造方案，明确改造目标、改造项目投资金额、项目建设内容等。开展全流程监督服务工作，监督服务单位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lang w:eastAsia="zh-CN"/>
              </w:rPr>
              <w:t>负责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</w:rPr>
              <w:t>审核服务商与试点企业的诊断报告、合同、改造方案，并建立“一企一档”，督促服务商按照改造方案推进数字化转型实施工作，及时发现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lang w:eastAsia="zh-CN"/>
              </w:rPr>
              <w:t>并解决相关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</w:rPr>
              <w:t>问题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</w:rPr>
              <w:t>确保改造工作按计划推进。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lang w:eastAsia="zh-CN"/>
              </w:rPr>
              <w:t>第一阶段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</w:rPr>
              <w:t>应完成改造总目标65%以上企业的改造工作，并完成专精特新中小企业、专精特新“小巨人”企业培育及改造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</w:rPr>
              <w:t>高新技术企业、科技型中小企业培育目标。</w:t>
            </w:r>
          </w:p>
        </w:tc>
        <w:tc>
          <w:tcPr>
            <w:tcW w:w="1710" w:type="dxa"/>
            <w:noWrap w:val="0"/>
            <w:vAlign w:val="center"/>
          </w:tcPr>
          <w:p w14:paraId="649B74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</w:rPr>
              <w:t>2025年5月</w:t>
            </w:r>
          </w:p>
        </w:tc>
        <w:tc>
          <w:tcPr>
            <w:tcW w:w="3270" w:type="dxa"/>
            <w:noWrap w:val="0"/>
            <w:vAlign w:val="center"/>
          </w:tcPr>
          <w:p w14:paraId="03EDDE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工信商务局、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工业园区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lang w:eastAsia="zh-CN"/>
              </w:rPr>
              <w:t>科技局，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</w:rPr>
              <w:t>数字化服务商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lang w:eastAsia="zh-CN"/>
              </w:rPr>
              <w:t>、智库支撑机构</w:t>
            </w:r>
          </w:p>
        </w:tc>
      </w:tr>
      <w:tr w14:paraId="2BC9D8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</w:trPr>
        <w:tc>
          <w:tcPr>
            <w:tcW w:w="705" w:type="dxa"/>
            <w:noWrap w:val="0"/>
            <w:vAlign w:val="center"/>
          </w:tcPr>
          <w:p w14:paraId="1955B1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7084" w:type="dxa"/>
            <w:noWrap w:val="0"/>
            <w:vAlign w:val="center"/>
          </w:tcPr>
          <w:p w14:paraId="7B1A86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引导中小企业上云上平台，深度应用工业互联网平台、SaaS（软件即服务）化服务等，应完成第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一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年上云用云绩效目标。</w:t>
            </w:r>
          </w:p>
        </w:tc>
        <w:tc>
          <w:tcPr>
            <w:tcW w:w="1710" w:type="dxa"/>
            <w:noWrap w:val="0"/>
            <w:vAlign w:val="center"/>
          </w:tcPr>
          <w:p w14:paraId="1E7AF2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2025年5月</w:t>
            </w:r>
          </w:p>
        </w:tc>
        <w:tc>
          <w:tcPr>
            <w:tcW w:w="3270" w:type="dxa"/>
            <w:noWrap w:val="0"/>
            <w:vAlign w:val="center"/>
          </w:tcPr>
          <w:p w14:paraId="424CA0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工信商务局、工业园区、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数字化服务商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、智库支撑机构</w:t>
            </w:r>
          </w:p>
        </w:tc>
      </w:tr>
      <w:tr w14:paraId="5A5AD5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8" w:hRule="atLeast"/>
        </w:trPr>
        <w:tc>
          <w:tcPr>
            <w:tcW w:w="705" w:type="dxa"/>
            <w:noWrap w:val="0"/>
            <w:vAlign w:val="center"/>
          </w:tcPr>
          <w:p w14:paraId="71486F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7084" w:type="dxa"/>
            <w:noWrap w:val="0"/>
            <w:vAlign w:val="center"/>
          </w:tcPr>
          <w:p w14:paraId="24225B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配合市工信局做好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数字化转型评测验收，对试点企业开展数字化水平评测。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第一阶段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应完成改造总目标65%以上企业的评测验收工作。</w:t>
            </w:r>
          </w:p>
        </w:tc>
        <w:tc>
          <w:tcPr>
            <w:tcW w:w="1710" w:type="dxa"/>
            <w:noWrap w:val="0"/>
            <w:vAlign w:val="center"/>
          </w:tcPr>
          <w:p w14:paraId="7259C4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2025年7月</w:t>
            </w:r>
          </w:p>
        </w:tc>
        <w:tc>
          <w:tcPr>
            <w:tcW w:w="3270" w:type="dxa"/>
            <w:noWrap w:val="0"/>
            <w:vAlign w:val="center"/>
          </w:tcPr>
          <w:p w14:paraId="5AAE53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工信商务局、工业园区、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数字化服务商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、智库支撑机构、评测验收机构</w:t>
            </w:r>
          </w:p>
        </w:tc>
      </w:tr>
      <w:tr w14:paraId="64EAA2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</w:trPr>
        <w:tc>
          <w:tcPr>
            <w:tcW w:w="705" w:type="dxa"/>
            <w:noWrap w:val="0"/>
            <w:vAlign w:val="center"/>
          </w:tcPr>
          <w:p w14:paraId="534DAE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7084" w:type="dxa"/>
            <w:noWrap w:val="0"/>
            <w:vAlign w:val="center"/>
          </w:tcPr>
          <w:p w14:paraId="672F1B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加强数字化转型复制推广，遴选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第一阶段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数字化改造标杆企业、数字化车间及智能工厂，完成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第一阶段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标杆企业、数字化车间及智能工厂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培育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绩效目标。</w:t>
            </w:r>
          </w:p>
        </w:tc>
        <w:tc>
          <w:tcPr>
            <w:tcW w:w="1710" w:type="dxa"/>
            <w:noWrap w:val="0"/>
            <w:vAlign w:val="center"/>
          </w:tcPr>
          <w:p w14:paraId="63E30A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2025年7月</w:t>
            </w:r>
          </w:p>
        </w:tc>
        <w:tc>
          <w:tcPr>
            <w:tcW w:w="3270" w:type="dxa"/>
            <w:noWrap w:val="0"/>
            <w:vAlign w:val="center"/>
          </w:tcPr>
          <w:p w14:paraId="1FF3AA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工信商务局、工业园区、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数字化服务商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、智库支撑机构</w:t>
            </w:r>
          </w:p>
        </w:tc>
      </w:tr>
      <w:tr w14:paraId="6C95FD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705" w:type="dxa"/>
            <w:noWrap w:val="0"/>
            <w:vAlign w:val="center"/>
          </w:tcPr>
          <w:p w14:paraId="619D60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7084" w:type="dxa"/>
            <w:noWrap w:val="0"/>
            <w:vAlign w:val="center"/>
          </w:tcPr>
          <w:p w14:paraId="735E3C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遴选“链式”转型产品或服务，征集“链式”转型案例，总结提炼“链式”数字化转型典型做法。应完成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第一阶段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“链式”转型案例绩效目标。</w:t>
            </w:r>
          </w:p>
        </w:tc>
        <w:tc>
          <w:tcPr>
            <w:tcW w:w="1710" w:type="dxa"/>
            <w:noWrap w:val="0"/>
            <w:vAlign w:val="center"/>
          </w:tcPr>
          <w:p w14:paraId="289D47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2025年7月</w:t>
            </w:r>
          </w:p>
        </w:tc>
        <w:tc>
          <w:tcPr>
            <w:tcW w:w="3270" w:type="dxa"/>
            <w:noWrap w:val="0"/>
            <w:vAlign w:val="center"/>
          </w:tcPr>
          <w:p w14:paraId="1F7612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工信商务局、工业园区、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数字化服务商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、智库支撑机构</w:t>
            </w:r>
          </w:p>
        </w:tc>
      </w:tr>
      <w:tr w14:paraId="197EEB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705" w:type="dxa"/>
            <w:noWrap w:val="0"/>
            <w:vAlign w:val="center"/>
          </w:tcPr>
          <w:p w14:paraId="6515EE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7084" w:type="dxa"/>
            <w:noWrap w:val="0"/>
            <w:vAlign w:val="center"/>
          </w:tcPr>
          <w:p w14:paraId="2D822C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推动中小企业集群化转型，建设工业互联网平台、“中央工厂”，降低集群内中小企业转型成本。</w:t>
            </w:r>
          </w:p>
        </w:tc>
        <w:tc>
          <w:tcPr>
            <w:tcW w:w="1710" w:type="dxa"/>
            <w:noWrap w:val="0"/>
            <w:vAlign w:val="center"/>
          </w:tcPr>
          <w:p w14:paraId="40DDBC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2025年7月</w:t>
            </w:r>
          </w:p>
        </w:tc>
        <w:tc>
          <w:tcPr>
            <w:tcW w:w="3270" w:type="dxa"/>
            <w:noWrap w:val="0"/>
            <w:vAlign w:val="center"/>
          </w:tcPr>
          <w:p w14:paraId="78CD5F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工信商务局、工业园区、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数字化服务商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、智库支撑机构</w:t>
            </w:r>
          </w:p>
        </w:tc>
      </w:tr>
      <w:tr w14:paraId="7E1DDE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705" w:type="dxa"/>
            <w:noWrap w:val="0"/>
            <w:vAlign w:val="center"/>
          </w:tcPr>
          <w:p w14:paraId="6117CA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7084" w:type="dxa"/>
            <w:noWrap w:val="0"/>
            <w:vAlign w:val="center"/>
          </w:tcPr>
          <w:p w14:paraId="5B40DB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遴选企业级工业互联网平台、行业级工业互联网平台、产业链供应链平台。</w:t>
            </w:r>
          </w:p>
        </w:tc>
        <w:tc>
          <w:tcPr>
            <w:tcW w:w="1710" w:type="dxa"/>
            <w:noWrap w:val="0"/>
            <w:vAlign w:val="center"/>
          </w:tcPr>
          <w:p w14:paraId="5E6E02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2025年7月</w:t>
            </w:r>
          </w:p>
        </w:tc>
        <w:tc>
          <w:tcPr>
            <w:tcW w:w="3270" w:type="dxa"/>
            <w:noWrap w:val="0"/>
            <w:vAlign w:val="center"/>
          </w:tcPr>
          <w:p w14:paraId="29F42A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工信商务局、工业园区、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数字化服务商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、智库支撑机构</w:t>
            </w:r>
          </w:p>
        </w:tc>
      </w:tr>
      <w:tr w14:paraId="4AC1A9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3" w:hRule="atLeast"/>
        </w:trPr>
        <w:tc>
          <w:tcPr>
            <w:tcW w:w="705" w:type="dxa"/>
            <w:noWrap w:val="0"/>
            <w:vAlign w:val="center"/>
          </w:tcPr>
          <w:p w14:paraId="2239EC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7084" w:type="dxa"/>
            <w:noWrap w:val="0"/>
            <w:vAlign w:val="center"/>
          </w:tcPr>
          <w:p w14:paraId="1D07D0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按照工业和信息化部、财政部文件要求，梳理城市试点工作第一年工作相关资料，汇总完善相关佐证材料。</w:t>
            </w:r>
          </w:p>
        </w:tc>
        <w:tc>
          <w:tcPr>
            <w:tcW w:w="1710" w:type="dxa"/>
            <w:noWrap w:val="0"/>
            <w:vAlign w:val="center"/>
          </w:tcPr>
          <w:p w14:paraId="485588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2025年9月</w:t>
            </w:r>
          </w:p>
        </w:tc>
        <w:tc>
          <w:tcPr>
            <w:tcW w:w="3270" w:type="dxa"/>
            <w:noWrap w:val="0"/>
            <w:vAlign w:val="center"/>
          </w:tcPr>
          <w:p w14:paraId="00A606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工信商务局、工业园区、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数字化服务商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、智库支撑机构、评测验收机构</w:t>
            </w:r>
          </w:p>
        </w:tc>
      </w:tr>
      <w:tr w14:paraId="21DF3C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3" w:hRule="atLeast"/>
        </w:trPr>
        <w:tc>
          <w:tcPr>
            <w:tcW w:w="705" w:type="dxa"/>
            <w:noWrap w:val="0"/>
            <w:vAlign w:val="center"/>
          </w:tcPr>
          <w:p w14:paraId="12D6D9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7084" w:type="dxa"/>
            <w:noWrap w:val="0"/>
            <w:vAlign w:val="center"/>
          </w:tcPr>
          <w:p w14:paraId="3A40EB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组织综合集成服务商面向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第二阶段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拟改造试点企业，开展入企调研诊断，出具数字化诊断报告，梳理形成试点企业需求、问题和场景清单及供需适配库。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第二阶段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应完成所有试点企业的诊断工作。</w:t>
            </w:r>
          </w:p>
        </w:tc>
        <w:tc>
          <w:tcPr>
            <w:tcW w:w="1710" w:type="dxa"/>
            <w:noWrap w:val="0"/>
            <w:vAlign w:val="center"/>
          </w:tcPr>
          <w:p w14:paraId="19E149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2025年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10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月</w:t>
            </w:r>
          </w:p>
        </w:tc>
        <w:tc>
          <w:tcPr>
            <w:tcW w:w="3270" w:type="dxa"/>
            <w:noWrap w:val="0"/>
            <w:vAlign w:val="center"/>
          </w:tcPr>
          <w:p w14:paraId="3EED7E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工信商务局、工业园区、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数字化服务商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、智库支撑机构、评测验收机构</w:t>
            </w:r>
          </w:p>
        </w:tc>
      </w:tr>
      <w:tr w14:paraId="1CCA53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3" w:hRule="atLeast"/>
        </w:trPr>
        <w:tc>
          <w:tcPr>
            <w:tcW w:w="705" w:type="dxa"/>
            <w:noWrap w:val="0"/>
            <w:vAlign w:val="center"/>
          </w:tcPr>
          <w:p w14:paraId="65A242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7084" w:type="dxa"/>
            <w:noWrap w:val="0"/>
            <w:vAlign w:val="center"/>
          </w:tcPr>
          <w:p w14:paraId="330DDA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对试点行业中小企业进行二次摸底，形成试点企业摸底清单，遴选出第二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阶段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数字化改造试点企业，组织试点企业申报入库。</w:t>
            </w:r>
          </w:p>
        </w:tc>
        <w:tc>
          <w:tcPr>
            <w:tcW w:w="1710" w:type="dxa"/>
            <w:noWrap w:val="0"/>
            <w:vAlign w:val="center"/>
          </w:tcPr>
          <w:p w14:paraId="7A9821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2025年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12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月</w:t>
            </w:r>
          </w:p>
        </w:tc>
        <w:tc>
          <w:tcPr>
            <w:tcW w:w="3270" w:type="dxa"/>
            <w:noWrap w:val="0"/>
            <w:vAlign w:val="center"/>
          </w:tcPr>
          <w:p w14:paraId="74B4B2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工信商务局、工业园区、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数字化服务商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、智库支撑机构</w:t>
            </w:r>
          </w:p>
        </w:tc>
      </w:tr>
      <w:tr w14:paraId="79F626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</w:trPr>
        <w:tc>
          <w:tcPr>
            <w:tcW w:w="705" w:type="dxa"/>
            <w:noWrap w:val="0"/>
            <w:vAlign w:val="center"/>
          </w:tcPr>
          <w:p w14:paraId="51BF08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7084" w:type="dxa"/>
            <w:noWrap w:val="0"/>
            <w:vAlign w:val="center"/>
          </w:tcPr>
          <w:p w14:paraId="05161A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分行业常态化组织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开展第二阶段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试点企业线下供需对接会、人才培训会，邀请中小企业、数字化服务商、金融机构参加，拓展资源对接渠道。</w:t>
            </w:r>
          </w:p>
        </w:tc>
        <w:tc>
          <w:tcPr>
            <w:tcW w:w="1710" w:type="dxa"/>
            <w:noWrap w:val="0"/>
            <w:vAlign w:val="center"/>
          </w:tcPr>
          <w:p w14:paraId="070EEF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6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年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月</w:t>
            </w:r>
          </w:p>
        </w:tc>
        <w:tc>
          <w:tcPr>
            <w:tcW w:w="3270" w:type="dxa"/>
            <w:noWrap w:val="0"/>
            <w:vAlign w:val="center"/>
          </w:tcPr>
          <w:p w14:paraId="7BD37F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工信商务局、工业园区、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数字化服务商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、智库支撑机构</w:t>
            </w:r>
          </w:p>
        </w:tc>
      </w:tr>
      <w:tr w14:paraId="75EEB1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705" w:type="dxa"/>
            <w:noWrap w:val="0"/>
            <w:vAlign w:val="center"/>
          </w:tcPr>
          <w:p w14:paraId="736E94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7084" w:type="dxa"/>
            <w:noWrap w:val="0"/>
            <w:vAlign w:val="center"/>
          </w:tcPr>
          <w:p w14:paraId="0889BC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yellow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</w:rPr>
              <w:t>实施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lang w:eastAsia="zh-CN"/>
              </w:rPr>
              <w:t>第二阶段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</w:rPr>
              <w:t>试点企业数字化改造，做好数字化改造整体规划，出具改造方案，明确改造目标、改造项目投资金额、项目建设内容等。开展全流程监督服务工作，全流程监督服务单位审核服务商与试点企业的诊断报告、合同、改造方案，并建立“一企一档”，督促服务商按照改造方案推进数字化转型实施工作，及时发现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lang w:eastAsia="zh-CN"/>
              </w:rPr>
              <w:t>并解决相关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</w:rPr>
              <w:t>问题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</w:rPr>
              <w:t>确保改造工作按计划推进。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lang w:eastAsia="zh-CN"/>
              </w:rPr>
              <w:t>第二阶段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</w:rPr>
              <w:t>应完成所有试点企业的改造目标，并完成专精特新中小企业、专精特新“小巨人”企业培育及改造、高新技术企业、科技型中小企业培育目标。</w:t>
            </w:r>
          </w:p>
        </w:tc>
        <w:tc>
          <w:tcPr>
            <w:tcW w:w="1710" w:type="dxa"/>
            <w:noWrap w:val="0"/>
            <w:vAlign w:val="center"/>
          </w:tcPr>
          <w:p w14:paraId="351AE1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2026年5月</w:t>
            </w:r>
          </w:p>
        </w:tc>
        <w:tc>
          <w:tcPr>
            <w:tcW w:w="3270" w:type="dxa"/>
            <w:noWrap w:val="0"/>
            <w:vAlign w:val="center"/>
          </w:tcPr>
          <w:p w14:paraId="4D8B2B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工信商务局、工业园区、科技局、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数字化服务商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、智库支撑机构</w:t>
            </w:r>
          </w:p>
        </w:tc>
      </w:tr>
      <w:tr w14:paraId="58FAE9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3" w:hRule="atLeast"/>
        </w:trPr>
        <w:tc>
          <w:tcPr>
            <w:tcW w:w="705" w:type="dxa"/>
            <w:noWrap w:val="0"/>
            <w:vAlign w:val="center"/>
          </w:tcPr>
          <w:p w14:paraId="7F8D55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7084" w:type="dxa"/>
            <w:noWrap w:val="0"/>
            <w:vAlign w:val="center"/>
          </w:tcPr>
          <w:p w14:paraId="355341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引导中小企业上云上平台，深度应用工业互联网平台、SaaS（软件即服务）化服务等，应完成第二年上云用云绩效目标。</w:t>
            </w:r>
          </w:p>
        </w:tc>
        <w:tc>
          <w:tcPr>
            <w:tcW w:w="1710" w:type="dxa"/>
            <w:noWrap w:val="0"/>
            <w:vAlign w:val="center"/>
          </w:tcPr>
          <w:p w14:paraId="09ED70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2026年5月</w:t>
            </w:r>
          </w:p>
        </w:tc>
        <w:tc>
          <w:tcPr>
            <w:tcW w:w="3270" w:type="dxa"/>
            <w:noWrap w:val="0"/>
            <w:vAlign w:val="center"/>
          </w:tcPr>
          <w:p w14:paraId="75DFC0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工信商务局、工业园区、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数字化服务商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、智库支撑机构</w:t>
            </w:r>
          </w:p>
        </w:tc>
      </w:tr>
      <w:tr w14:paraId="5E6047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8" w:hRule="atLeast"/>
        </w:trPr>
        <w:tc>
          <w:tcPr>
            <w:tcW w:w="705" w:type="dxa"/>
            <w:noWrap w:val="0"/>
            <w:vAlign w:val="center"/>
          </w:tcPr>
          <w:p w14:paraId="0228A8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18</w:t>
            </w:r>
          </w:p>
        </w:tc>
        <w:tc>
          <w:tcPr>
            <w:tcW w:w="7084" w:type="dxa"/>
            <w:noWrap w:val="0"/>
            <w:vAlign w:val="center"/>
          </w:tcPr>
          <w:p w14:paraId="0A9FCD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配合市工信局做好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数字化转型评测验收，对试点企业开展数字化水平评测。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第二阶段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应完成所有试点企业的评测验收工作。</w:t>
            </w:r>
          </w:p>
        </w:tc>
        <w:tc>
          <w:tcPr>
            <w:tcW w:w="1710" w:type="dxa"/>
            <w:noWrap w:val="0"/>
            <w:vAlign w:val="center"/>
          </w:tcPr>
          <w:p w14:paraId="3BA1F1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2026年5月</w:t>
            </w:r>
          </w:p>
        </w:tc>
        <w:tc>
          <w:tcPr>
            <w:tcW w:w="3270" w:type="dxa"/>
            <w:noWrap w:val="0"/>
            <w:vAlign w:val="center"/>
          </w:tcPr>
          <w:p w14:paraId="10BBA5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工信商务局、工业园区、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数字化服务商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、智库支撑机构、评测验收机构</w:t>
            </w:r>
          </w:p>
        </w:tc>
      </w:tr>
      <w:tr w14:paraId="059D04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0" w:hRule="atLeast"/>
        </w:trPr>
        <w:tc>
          <w:tcPr>
            <w:tcW w:w="705" w:type="dxa"/>
            <w:noWrap w:val="0"/>
            <w:vAlign w:val="center"/>
          </w:tcPr>
          <w:p w14:paraId="3E077B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7084" w:type="dxa"/>
            <w:noWrap w:val="0"/>
            <w:vAlign w:val="center"/>
          </w:tcPr>
          <w:p w14:paraId="3B1088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加强数字化转型复制推广，遴选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第二阶段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数字化改造标杆企业、数字化车间及智能工厂，完成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第二阶段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标杆企业、数字化车间及智能工厂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培育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绩效目标。</w:t>
            </w:r>
          </w:p>
        </w:tc>
        <w:tc>
          <w:tcPr>
            <w:tcW w:w="1710" w:type="dxa"/>
            <w:noWrap w:val="0"/>
            <w:vAlign w:val="center"/>
          </w:tcPr>
          <w:p w14:paraId="6A329A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2026年7月</w:t>
            </w:r>
          </w:p>
        </w:tc>
        <w:tc>
          <w:tcPr>
            <w:tcW w:w="3270" w:type="dxa"/>
            <w:noWrap w:val="0"/>
            <w:vAlign w:val="center"/>
          </w:tcPr>
          <w:p w14:paraId="0E4627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工信商务局、工业园区、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数字化服务商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、智库支撑机构</w:t>
            </w:r>
          </w:p>
        </w:tc>
      </w:tr>
      <w:tr w14:paraId="17A626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8" w:hRule="atLeast"/>
        </w:trPr>
        <w:tc>
          <w:tcPr>
            <w:tcW w:w="705" w:type="dxa"/>
            <w:noWrap w:val="0"/>
            <w:vAlign w:val="center"/>
          </w:tcPr>
          <w:p w14:paraId="464DA7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7084" w:type="dxa"/>
            <w:noWrap w:val="0"/>
            <w:vAlign w:val="center"/>
          </w:tcPr>
          <w:p w14:paraId="1F2653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遴选“链式”转型产品或服务，征集“链式”转型案例，总结提炼“链式”数字化转型典型做法。应完成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第二阶段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“链式”转型案例绩效目标。</w:t>
            </w:r>
          </w:p>
        </w:tc>
        <w:tc>
          <w:tcPr>
            <w:tcW w:w="1710" w:type="dxa"/>
            <w:noWrap w:val="0"/>
            <w:vAlign w:val="center"/>
          </w:tcPr>
          <w:p w14:paraId="22AB24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2026年7月</w:t>
            </w:r>
          </w:p>
        </w:tc>
        <w:tc>
          <w:tcPr>
            <w:tcW w:w="3270" w:type="dxa"/>
            <w:noWrap w:val="0"/>
            <w:vAlign w:val="center"/>
          </w:tcPr>
          <w:p w14:paraId="0A1F3F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工信商务局、工业园区、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数字化服务商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、智库支撑机构</w:t>
            </w:r>
          </w:p>
        </w:tc>
      </w:tr>
      <w:tr w14:paraId="3BAEB4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3" w:hRule="atLeast"/>
        </w:trPr>
        <w:tc>
          <w:tcPr>
            <w:tcW w:w="705" w:type="dxa"/>
            <w:noWrap w:val="0"/>
            <w:vAlign w:val="center"/>
          </w:tcPr>
          <w:p w14:paraId="59496D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21</w:t>
            </w:r>
          </w:p>
        </w:tc>
        <w:tc>
          <w:tcPr>
            <w:tcW w:w="7084" w:type="dxa"/>
            <w:noWrap w:val="0"/>
            <w:vAlign w:val="center"/>
          </w:tcPr>
          <w:p w14:paraId="147EEA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推动中小企业集群化转型，建设工业互联网平台、“中央工厂”，降低集群内中小企业转型成本。</w:t>
            </w:r>
          </w:p>
        </w:tc>
        <w:tc>
          <w:tcPr>
            <w:tcW w:w="1710" w:type="dxa"/>
            <w:noWrap w:val="0"/>
            <w:vAlign w:val="center"/>
          </w:tcPr>
          <w:p w14:paraId="02EE9E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2026年7月</w:t>
            </w:r>
          </w:p>
        </w:tc>
        <w:tc>
          <w:tcPr>
            <w:tcW w:w="3270" w:type="dxa"/>
            <w:noWrap w:val="0"/>
            <w:vAlign w:val="center"/>
          </w:tcPr>
          <w:p w14:paraId="423FE1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工信商务局、工业园区、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数字化服务商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、智库支撑机构</w:t>
            </w:r>
          </w:p>
        </w:tc>
      </w:tr>
      <w:tr w14:paraId="16EEC6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3" w:hRule="atLeast"/>
        </w:trPr>
        <w:tc>
          <w:tcPr>
            <w:tcW w:w="705" w:type="dxa"/>
            <w:noWrap w:val="0"/>
            <w:vAlign w:val="center"/>
          </w:tcPr>
          <w:p w14:paraId="1CA5B5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22</w:t>
            </w:r>
          </w:p>
        </w:tc>
        <w:tc>
          <w:tcPr>
            <w:tcW w:w="7084" w:type="dxa"/>
            <w:noWrap w:val="0"/>
            <w:vAlign w:val="center"/>
          </w:tcPr>
          <w:p w14:paraId="30BEC7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按照工业和信息化部、财政部要求，梳理试点城市获批以来开展的工作及相关资料，汇总完善相关佐证材料。</w:t>
            </w:r>
          </w:p>
        </w:tc>
        <w:tc>
          <w:tcPr>
            <w:tcW w:w="1710" w:type="dxa"/>
            <w:noWrap w:val="0"/>
            <w:vAlign w:val="center"/>
          </w:tcPr>
          <w:p w14:paraId="32393E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2026年10月</w:t>
            </w:r>
          </w:p>
        </w:tc>
        <w:tc>
          <w:tcPr>
            <w:tcW w:w="3270" w:type="dxa"/>
            <w:noWrap w:val="0"/>
            <w:vAlign w:val="center"/>
          </w:tcPr>
          <w:p w14:paraId="60DF7F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工信商务局、工业园区、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数字化服务商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、智库支撑机构、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数字化服务商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、智库支撑机构、评测验收机构</w:t>
            </w:r>
          </w:p>
        </w:tc>
      </w:tr>
    </w:tbl>
    <w:p w14:paraId="501B0EDC">
      <w:pP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br w:type="page"/>
      </w:r>
    </w:p>
    <w:p w14:paraId="559C94D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40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ectPr>
          <w:footerReference r:id="rId7" w:type="default"/>
          <w:pgSz w:w="16838" w:h="11906" w:orient="landscape"/>
          <w:pgMar w:top="1587" w:right="2098" w:bottom="1474" w:left="1984" w:header="851" w:footer="992" w:gutter="0"/>
          <w:pgNumType w:fmt="numberInDash"/>
          <w:cols w:space="0" w:num="1"/>
          <w:rtlGutter w:val="0"/>
          <w:docGrid w:type="lines" w:linePitch="442" w:charSpace="0"/>
        </w:sectPr>
      </w:pPr>
    </w:p>
    <w:p w14:paraId="32097E0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400" w:lineRule="exact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附件3</w:t>
      </w:r>
    </w:p>
    <w:p w14:paraId="363FD8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56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kern w:val="2"/>
          <w:sz w:val="44"/>
          <w:szCs w:val="44"/>
          <w:lang w:val="en-US" w:eastAsia="zh-CN" w:bidi="ar-SA"/>
        </w:rPr>
      </w:pPr>
      <w:r>
        <w:rPr>
          <w:rFonts w:hint="default" w:ascii="Times New Roman" w:hAnsi="Times New Roman" w:eastAsia="方正小标宋简体" w:cs="Times New Roman"/>
          <w:color w:val="auto"/>
          <w:kern w:val="2"/>
          <w:sz w:val="44"/>
          <w:szCs w:val="44"/>
          <w:lang w:val="en-US" w:eastAsia="zh-CN" w:bidi="ar-SA"/>
        </w:rPr>
        <w:t>拟改造企业名单</w:t>
      </w:r>
    </w:p>
    <w:p w14:paraId="59E1B32A">
      <w:pPr>
        <w:pStyle w:val="2"/>
        <w:rPr>
          <w:rFonts w:hint="default" w:ascii="Times New Roman" w:hAnsi="Times New Roman" w:cs="Times New Roman"/>
          <w:lang w:val="en-US" w:eastAsia="zh-CN"/>
        </w:rPr>
      </w:pPr>
    </w:p>
    <w:tbl>
      <w:tblPr>
        <w:tblStyle w:val="12"/>
        <w:tblW w:w="5515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1"/>
        <w:gridCol w:w="4281"/>
        <w:gridCol w:w="818"/>
        <w:gridCol w:w="2828"/>
        <w:gridCol w:w="1185"/>
      </w:tblGrid>
      <w:tr w14:paraId="071870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1D5C4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1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10DA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40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4871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企业类型</w:t>
            </w:r>
          </w:p>
        </w:tc>
        <w:tc>
          <w:tcPr>
            <w:tcW w:w="141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15F2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所属行业</w:t>
            </w:r>
          </w:p>
        </w:tc>
        <w:tc>
          <w:tcPr>
            <w:tcW w:w="5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290B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所属片区</w:t>
            </w:r>
          </w:p>
        </w:tc>
      </w:tr>
      <w:tr w14:paraId="5A7DF5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DCEA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142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3DAC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同心县祥福粮油食品有限公司</w:t>
            </w:r>
          </w:p>
        </w:tc>
        <w:tc>
          <w:tcPr>
            <w:tcW w:w="409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44F5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4EF2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食品加工制造</w:t>
            </w:r>
          </w:p>
        </w:tc>
        <w:tc>
          <w:tcPr>
            <w:tcW w:w="593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446C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园区外</w:t>
            </w:r>
          </w:p>
        </w:tc>
      </w:tr>
      <w:tr w14:paraId="6F2460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1648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7B0C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宁夏荣华牧业控股有限公司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CA8B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9A70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食品加工制造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0AFE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1DB245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F87C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400D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宁夏泰昆荣华饲料有限责任公司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8124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A015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食品加工制造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4B93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6F95A2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3486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1648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宁夏五谷丰生物科技发展有限公司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1F71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4D6B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食品加工制造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A996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60F3D2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C70B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47F7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宁夏金福莱食品科技有限公司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A117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4569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食品加工制造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8B8A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633168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311A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4293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宁夏瑞加祥肉食品有限公司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9A5A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6E95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食品加工制造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360E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园区外</w:t>
            </w:r>
          </w:p>
        </w:tc>
      </w:tr>
      <w:tr w14:paraId="6ED313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DEAC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E63C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宁夏回达滩羊肉食品有限公司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6F8A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448A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食品加工制造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4641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园区外</w:t>
            </w:r>
          </w:p>
        </w:tc>
      </w:tr>
      <w:tr w14:paraId="5C57D4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ABFF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0BC8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宁夏伊杨沁健康食品有限公司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C250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B712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食品加工制造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303D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27A766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27EA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7467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宁夏迎福食品科技有限公司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D9B2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D816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食品加工制造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96F2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73D3B5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51F8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3F33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宁夏润德生物科技有限责任公司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C207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EEEF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食品加工制造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FFD9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园区外</w:t>
            </w:r>
          </w:p>
        </w:tc>
      </w:tr>
      <w:tr w14:paraId="1F09AD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B15B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1C90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宁夏圣峰百年农牧开发有限公司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17BF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F4CD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食品加工制造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B9C0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园区外</w:t>
            </w:r>
          </w:p>
        </w:tc>
      </w:tr>
      <w:tr w14:paraId="6B45FA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077C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FF5E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宁夏菊花台庄园枸杞种植有限公司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A39E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E469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食品加工制造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F8DF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园区外</w:t>
            </w:r>
          </w:p>
        </w:tc>
      </w:tr>
      <w:tr w14:paraId="56CF34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27BB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441E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同心县齐雅德食品有限公司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753E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规下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B37F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食品加工制造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4AA9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园区外</w:t>
            </w:r>
          </w:p>
        </w:tc>
      </w:tr>
      <w:tr w14:paraId="6802E1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8254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2F6D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宁夏伊兴羊绒制品有限公司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1847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13DA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纺织服装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04AF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34ADE3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EF5B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7470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宁夏同心宏业工贸有限责任公司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EA7F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29AB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纺织服装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2350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099AEF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5CF4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BAA0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宁夏同心祥福绒毛制品有限公司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3718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53A7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纺织服装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D0C7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090CE8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D6C7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C129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同心县金昌绒毛制品有限公司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3F71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222B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纺织服装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7891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1A5B69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8236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CC6A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pacing w:val="-6"/>
                <w:sz w:val="24"/>
                <w:szCs w:val="24"/>
                <w:u w:val="none"/>
                <w:lang w:eastAsia="zh-CN"/>
              </w:rPr>
              <w:t>宁夏同心县军翔绒毛制品有限责任公司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6E2A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27D0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纺织服装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1A25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0B8D18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4AA2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419F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同心县鑫源绒业有限责任公司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14A5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66AD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纺织服装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DE60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492839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D4D3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2B13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宁夏大斌家纺科技有限公司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2DF8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D9FD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纺织服装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A03B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1073CB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60A5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5FAF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中核（宁夏）同心防护科技有限公司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62DF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EA9C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纺织服装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3ADD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09DDF0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8656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1327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宁夏瑞祥龙皮草科技有限公司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820F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98A3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纺织服装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9A52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702031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72D8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EBB8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宁夏羊博士皮草科技有限公司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E778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CA2B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纺织服装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69EE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199C96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10C4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ABB6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宁夏同心羊春绒业有限公司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2935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2166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纺织服装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CCFB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0AAE3D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8BED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C803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英利新能源（宁夏）有限公司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43CB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F8C9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装备制造及零部件制造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4093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4F0C49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C225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A5F4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上能电气（宁夏）有限公司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8BAD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8ECF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装备制造及零部件制造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197F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4CAF2A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6355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1D01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宁夏光翔众一新能源有限公司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269B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C1F1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装备制造及零部件制造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4099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0BBCA8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02F1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630E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宁夏同心山泰钢结构有限公司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3D96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DCA7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装备制造及零部件制造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88C4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5CF400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A423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A271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同心县稀土电缆有限公司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DB17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56E0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装备制造及零部件制造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D02B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0E520A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DBEF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28F4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华储飞轮（宁夏）科技有限公司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1506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规下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59B4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装备制造及零部件制造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D135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7D9D0F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9C5D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222E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同心县禾望科技有限公司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1976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1ED0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装备制造及零部件制造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82A9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434F47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18B5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A276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宁夏瑞鸿煤炭贸易有限公司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C509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C158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燃料加工业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8196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园区外</w:t>
            </w:r>
          </w:p>
        </w:tc>
      </w:tr>
      <w:tr w14:paraId="61275B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222D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072B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宁夏瑞鸿韦二矿业有限公司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909A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6484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燃料加工业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BE8B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园区外</w:t>
            </w:r>
          </w:p>
        </w:tc>
      </w:tr>
      <w:tr w14:paraId="491F36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526B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B4A0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宁夏银山能源化工有限公司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AD9C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AC06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燃料加工业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5D6B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54F149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EB2C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A92D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宁夏华平科瑞能源化工有限公司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6089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74E9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燃料加工业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0F76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63764B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5712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380D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宁夏同德爱心循环能源科技有限公司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46F9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规上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3DB9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基础化学品制造业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5B23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  <w:tr w14:paraId="405BBE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A021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2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8E17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pacing w:val="-6"/>
                <w:sz w:val="24"/>
                <w:szCs w:val="24"/>
                <w:u w:val="none"/>
                <w:lang w:eastAsia="zh-CN"/>
              </w:rPr>
              <w:t>湖南中核热盐科技有限公司同心分公司</w:t>
            </w:r>
          </w:p>
        </w:tc>
        <w:tc>
          <w:tcPr>
            <w:tcW w:w="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C7F4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规下</w:t>
            </w:r>
          </w:p>
        </w:tc>
        <w:tc>
          <w:tcPr>
            <w:tcW w:w="1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5931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基础化学品制造业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9E44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园区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</w:t>
            </w:r>
          </w:p>
        </w:tc>
      </w:tr>
    </w:tbl>
    <w:p w14:paraId="61904C4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40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sectPr>
      <w:pgSz w:w="11906" w:h="16838"/>
      <w:pgMar w:top="2098" w:right="1474" w:bottom="1984" w:left="1587" w:header="851" w:footer="992" w:gutter="0"/>
      <w:pgNumType w:fmt="numberInDash"/>
      <w:cols w:space="0" w:num="1"/>
      <w:rtlGutter w:val="0"/>
      <w:docGrid w:type="lines" w:linePitch="44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C5F0A87">
    <w:pPr>
      <w:pStyle w:val="9"/>
      <w:ind w:firstLine="360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3905239">
                          <w:pPr>
                            <w:pStyle w:val="9"/>
                            <w:ind w:firstLine="0" w:firstLineChars="0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bxmbQxAgAAY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CG8Zm0MQIAAGM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3905239">
                    <w:pPr>
                      <w:pStyle w:val="9"/>
                      <w:ind w:firstLine="0" w:firstLineChars="0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FE1755">
    <w:pPr>
      <w:pStyle w:val="9"/>
      <w:tabs>
        <w:tab w:val="left" w:pos="6581"/>
        <w:tab w:val="clear" w:pos="4153"/>
      </w:tabs>
      <w:rPr>
        <w:rFonts w:hint="eastAsia" w:eastAsia="宋体"/>
        <w:lang w:eastAsia="zh-CN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5987FE2">
                          <w:pPr>
                            <w:pStyle w:val="9"/>
                            <w:ind w:left="0" w:leftChars="0" w:firstLine="0" w:firstLineChars="0"/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5987FE2">
                    <w:pPr>
                      <w:pStyle w:val="9"/>
                      <w:ind w:left="0" w:leftChars="0" w:firstLine="0" w:firstLineChars="0"/>
                    </w:pPr>
                    <w:r>
                      <w:rPr>
                        <w:rFonts w:hint="eastAsia" w:asciiTheme="minorEastAsia" w:hAnsiTheme="minorEastAsia" w:eastAsiaTheme="minorEastAsia" w:cstheme="minorEastAsia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  <w:lang w:eastAsia="zh-CN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BA83FDE">
    <w:pPr>
      <w:pStyle w:val="10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221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JmNjczODg2NmFmNTc4OTZmZmNiZjg5MDM2ZjZlN2UifQ=="/>
  </w:docVars>
  <w:rsids>
    <w:rsidRoot w:val="680D2F67"/>
    <w:rsid w:val="009444C8"/>
    <w:rsid w:val="00FC206D"/>
    <w:rsid w:val="010D427B"/>
    <w:rsid w:val="01205D5C"/>
    <w:rsid w:val="012E2A11"/>
    <w:rsid w:val="01E44FDB"/>
    <w:rsid w:val="023A0C1C"/>
    <w:rsid w:val="026779BA"/>
    <w:rsid w:val="02702D13"/>
    <w:rsid w:val="029C3B08"/>
    <w:rsid w:val="02BA3F8E"/>
    <w:rsid w:val="02BC4DEB"/>
    <w:rsid w:val="02FB2EFC"/>
    <w:rsid w:val="03035935"/>
    <w:rsid w:val="033F6241"/>
    <w:rsid w:val="034F5D29"/>
    <w:rsid w:val="03CC5D27"/>
    <w:rsid w:val="03EC0177"/>
    <w:rsid w:val="04693B13"/>
    <w:rsid w:val="04695C6C"/>
    <w:rsid w:val="04A70542"/>
    <w:rsid w:val="04B3444F"/>
    <w:rsid w:val="04C66C1A"/>
    <w:rsid w:val="04C71BDF"/>
    <w:rsid w:val="0560562F"/>
    <w:rsid w:val="05D67331"/>
    <w:rsid w:val="05ED3472"/>
    <w:rsid w:val="064F561D"/>
    <w:rsid w:val="068A5032"/>
    <w:rsid w:val="074C3905"/>
    <w:rsid w:val="076646E5"/>
    <w:rsid w:val="079254DA"/>
    <w:rsid w:val="07944D6D"/>
    <w:rsid w:val="088378AE"/>
    <w:rsid w:val="089A1277"/>
    <w:rsid w:val="09594501"/>
    <w:rsid w:val="09D166D1"/>
    <w:rsid w:val="0A097C36"/>
    <w:rsid w:val="0A206DCD"/>
    <w:rsid w:val="0A70218E"/>
    <w:rsid w:val="0A876E4C"/>
    <w:rsid w:val="0AB13EC9"/>
    <w:rsid w:val="0B0D380B"/>
    <w:rsid w:val="0B3B07CF"/>
    <w:rsid w:val="0B9730BE"/>
    <w:rsid w:val="0C927A82"/>
    <w:rsid w:val="0D4C7ED9"/>
    <w:rsid w:val="0D505F74"/>
    <w:rsid w:val="0DC857B1"/>
    <w:rsid w:val="0E2055ED"/>
    <w:rsid w:val="0E285ADE"/>
    <w:rsid w:val="0E286250"/>
    <w:rsid w:val="0E80692A"/>
    <w:rsid w:val="0E8C2C83"/>
    <w:rsid w:val="0EB16245"/>
    <w:rsid w:val="0F081EC3"/>
    <w:rsid w:val="0F3612AE"/>
    <w:rsid w:val="0F7E3A23"/>
    <w:rsid w:val="0FDC3796"/>
    <w:rsid w:val="1070041D"/>
    <w:rsid w:val="107A6B0B"/>
    <w:rsid w:val="113413B0"/>
    <w:rsid w:val="117A14B8"/>
    <w:rsid w:val="11BD3153"/>
    <w:rsid w:val="11FE79DA"/>
    <w:rsid w:val="12030E3B"/>
    <w:rsid w:val="12617F82"/>
    <w:rsid w:val="12631F4C"/>
    <w:rsid w:val="12687563"/>
    <w:rsid w:val="127F48AC"/>
    <w:rsid w:val="130D310F"/>
    <w:rsid w:val="139D323C"/>
    <w:rsid w:val="13F76DF0"/>
    <w:rsid w:val="14A779A2"/>
    <w:rsid w:val="15D52590"/>
    <w:rsid w:val="15EC04AB"/>
    <w:rsid w:val="16F8689A"/>
    <w:rsid w:val="16F94C2D"/>
    <w:rsid w:val="17297264"/>
    <w:rsid w:val="173E0892"/>
    <w:rsid w:val="180B10BC"/>
    <w:rsid w:val="18477C1A"/>
    <w:rsid w:val="185F4F64"/>
    <w:rsid w:val="18AE3CD4"/>
    <w:rsid w:val="18DA0A8E"/>
    <w:rsid w:val="18E436BB"/>
    <w:rsid w:val="18F02389"/>
    <w:rsid w:val="19103ABE"/>
    <w:rsid w:val="19214221"/>
    <w:rsid w:val="194A5C14"/>
    <w:rsid w:val="194B192D"/>
    <w:rsid w:val="19505997"/>
    <w:rsid w:val="19946E8F"/>
    <w:rsid w:val="1A11228E"/>
    <w:rsid w:val="1A1D3EB4"/>
    <w:rsid w:val="1A295829"/>
    <w:rsid w:val="1A6000FA"/>
    <w:rsid w:val="1B1F4E7E"/>
    <w:rsid w:val="1B83540D"/>
    <w:rsid w:val="1C27223D"/>
    <w:rsid w:val="1C400181"/>
    <w:rsid w:val="1CCE39BD"/>
    <w:rsid w:val="1D28001A"/>
    <w:rsid w:val="1DBB05FE"/>
    <w:rsid w:val="1E125D3E"/>
    <w:rsid w:val="1E2A7DC2"/>
    <w:rsid w:val="1E426EBA"/>
    <w:rsid w:val="1E7A22F1"/>
    <w:rsid w:val="1EA06A09"/>
    <w:rsid w:val="1EA26BE1"/>
    <w:rsid w:val="1EF328AA"/>
    <w:rsid w:val="1EF77D63"/>
    <w:rsid w:val="1F016D75"/>
    <w:rsid w:val="1F422EEA"/>
    <w:rsid w:val="1F9A2D26"/>
    <w:rsid w:val="1F9E2816"/>
    <w:rsid w:val="1FC74F20"/>
    <w:rsid w:val="1FD0596B"/>
    <w:rsid w:val="206D21E8"/>
    <w:rsid w:val="207D067D"/>
    <w:rsid w:val="20DB53A4"/>
    <w:rsid w:val="21A60481"/>
    <w:rsid w:val="21C10A3D"/>
    <w:rsid w:val="21DA1AFF"/>
    <w:rsid w:val="22001566"/>
    <w:rsid w:val="222F450C"/>
    <w:rsid w:val="224570A8"/>
    <w:rsid w:val="2264745D"/>
    <w:rsid w:val="227D2BB6"/>
    <w:rsid w:val="227E692E"/>
    <w:rsid w:val="22A02719"/>
    <w:rsid w:val="22A75E85"/>
    <w:rsid w:val="22CA1B74"/>
    <w:rsid w:val="22DF6260"/>
    <w:rsid w:val="239F6B5C"/>
    <w:rsid w:val="24360360"/>
    <w:rsid w:val="244903E2"/>
    <w:rsid w:val="246D0A09"/>
    <w:rsid w:val="24961D0D"/>
    <w:rsid w:val="24C06D8A"/>
    <w:rsid w:val="24CA5E5B"/>
    <w:rsid w:val="24D90223"/>
    <w:rsid w:val="259C15A5"/>
    <w:rsid w:val="268E261B"/>
    <w:rsid w:val="26D1527F"/>
    <w:rsid w:val="27457A1B"/>
    <w:rsid w:val="2767173F"/>
    <w:rsid w:val="276A5E9A"/>
    <w:rsid w:val="278176C0"/>
    <w:rsid w:val="27895B59"/>
    <w:rsid w:val="27D05536"/>
    <w:rsid w:val="27E50DCB"/>
    <w:rsid w:val="28212236"/>
    <w:rsid w:val="29345F99"/>
    <w:rsid w:val="29745A9F"/>
    <w:rsid w:val="2A0B6CFA"/>
    <w:rsid w:val="2AD0584D"/>
    <w:rsid w:val="2AFA28CA"/>
    <w:rsid w:val="2B400C25"/>
    <w:rsid w:val="2B82123D"/>
    <w:rsid w:val="2BA415C7"/>
    <w:rsid w:val="2BAE3215"/>
    <w:rsid w:val="2BB043A5"/>
    <w:rsid w:val="2BD31A99"/>
    <w:rsid w:val="2C05030B"/>
    <w:rsid w:val="2C097269"/>
    <w:rsid w:val="2C574608"/>
    <w:rsid w:val="2C8D7E9A"/>
    <w:rsid w:val="2CE132A0"/>
    <w:rsid w:val="2CEA709A"/>
    <w:rsid w:val="2D095368"/>
    <w:rsid w:val="2DED5686"/>
    <w:rsid w:val="2F0F6309"/>
    <w:rsid w:val="2F81180C"/>
    <w:rsid w:val="2FBC2844"/>
    <w:rsid w:val="300C557A"/>
    <w:rsid w:val="3035730D"/>
    <w:rsid w:val="30E6401D"/>
    <w:rsid w:val="314A4B65"/>
    <w:rsid w:val="319E43E2"/>
    <w:rsid w:val="32432DA9"/>
    <w:rsid w:val="32D674F8"/>
    <w:rsid w:val="33043FA7"/>
    <w:rsid w:val="33150A95"/>
    <w:rsid w:val="33E228F6"/>
    <w:rsid w:val="34050C5E"/>
    <w:rsid w:val="3409704A"/>
    <w:rsid w:val="342908A0"/>
    <w:rsid w:val="343B642D"/>
    <w:rsid w:val="345C5511"/>
    <w:rsid w:val="34742E4B"/>
    <w:rsid w:val="34F36D08"/>
    <w:rsid w:val="353A5F72"/>
    <w:rsid w:val="35645510"/>
    <w:rsid w:val="35B46497"/>
    <w:rsid w:val="35F03248"/>
    <w:rsid w:val="35F40F8A"/>
    <w:rsid w:val="35F42D38"/>
    <w:rsid w:val="3639652D"/>
    <w:rsid w:val="366217B8"/>
    <w:rsid w:val="367D79C0"/>
    <w:rsid w:val="368F35B7"/>
    <w:rsid w:val="36A36A74"/>
    <w:rsid w:val="36C34715"/>
    <w:rsid w:val="373D1B83"/>
    <w:rsid w:val="3782149E"/>
    <w:rsid w:val="378D51F2"/>
    <w:rsid w:val="37A27085"/>
    <w:rsid w:val="38003C16"/>
    <w:rsid w:val="38F706CD"/>
    <w:rsid w:val="39322FCA"/>
    <w:rsid w:val="396401D4"/>
    <w:rsid w:val="39A71695"/>
    <w:rsid w:val="3A1430A0"/>
    <w:rsid w:val="3A68296F"/>
    <w:rsid w:val="3A905C8A"/>
    <w:rsid w:val="3B2C681C"/>
    <w:rsid w:val="3BB6283D"/>
    <w:rsid w:val="3BB92704"/>
    <w:rsid w:val="3BF770DE"/>
    <w:rsid w:val="3C4165AB"/>
    <w:rsid w:val="3C942B7F"/>
    <w:rsid w:val="3CAD3C40"/>
    <w:rsid w:val="3CBB635D"/>
    <w:rsid w:val="3D4E71D1"/>
    <w:rsid w:val="3D566086"/>
    <w:rsid w:val="3D62771D"/>
    <w:rsid w:val="3E7013C9"/>
    <w:rsid w:val="3F8778D8"/>
    <w:rsid w:val="3F9A39F4"/>
    <w:rsid w:val="3FCE7CE8"/>
    <w:rsid w:val="40585F20"/>
    <w:rsid w:val="40A23387"/>
    <w:rsid w:val="40F17534"/>
    <w:rsid w:val="413A5E87"/>
    <w:rsid w:val="41F22153"/>
    <w:rsid w:val="41F93484"/>
    <w:rsid w:val="42B17DC2"/>
    <w:rsid w:val="42F36189"/>
    <w:rsid w:val="43560B8E"/>
    <w:rsid w:val="43811983"/>
    <w:rsid w:val="43DB4A94"/>
    <w:rsid w:val="43FE4D82"/>
    <w:rsid w:val="441E3CAE"/>
    <w:rsid w:val="44246EDE"/>
    <w:rsid w:val="443F7874"/>
    <w:rsid w:val="448D5200"/>
    <w:rsid w:val="44C935E1"/>
    <w:rsid w:val="452A2788"/>
    <w:rsid w:val="45703A5D"/>
    <w:rsid w:val="457B2B2E"/>
    <w:rsid w:val="45BD3146"/>
    <w:rsid w:val="460F11DA"/>
    <w:rsid w:val="46372FBF"/>
    <w:rsid w:val="46574067"/>
    <w:rsid w:val="46E4489A"/>
    <w:rsid w:val="473E081F"/>
    <w:rsid w:val="482E20D9"/>
    <w:rsid w:val="484336AB"/>
    <w:rsid w:val="486E1F78"/>
    <w:rsid w:val="48876A5D"/>
    <w:rsid w:val="4919662F"/>
    <w:rsid w:val="4A044128"/>
    <w:rsid w:val="4A370FED"/>
    <w:rsid w:val="4A604F87"/>
    <w:rsid w:val="4AA541A9"/>
    <w:rsid w:val="4B2F18DD"/>
    <w:rsid w:val="4B3C2D5F"/>
    <w:rsid w:val="4B4C0AC8"/>
    <w:rsid w:val="4B5146DF"/>
    <w:rsid w:val="4B6D6184"/>
    <w:rsid w:val="4B79502C"/>
    <w:rsid w:val="4BA86B5F"/>
    <w:rsid w:val="4BE13907"/>
    <w:rsid w:val="4BEC649C"/>
    <w:rsid w:val="4C8B005F"/>
    <w:rsid w:val="4CD81552"/>
    <w:rsid w:val="4CFF4AFF"/>
    <w:rsid w:val="4D430005"/>
    <w:rsid w:val="4D5123C6"/>
    <w:rsid w:val="4D5F1A85"/>
    <w:rsid w:val="4D8207D1"/>
    <w:rsid w:val="4DC31516"/>
    <w:rsid w:val="4E353A96"/>
    <w:rsid w:val="4E4A7541"/>
    <w:rsid w:val="4E911651"/>
    <w:rsid w:val="4F275265"/>
    <w:rsid w:val="4F42646A"/>
    <w:rsid w:val="4FB8497E"/>
    <w:rsid w:val="4FE70DC0"/>
    <w:rsid w:val="4FF97471"/>
    <w:rsid w:val="50025AB6"/>
    <w:rsid w:val="500B5652"/>
    <w:rsid w:val="51B22A66"/>
    <w:rsid w:val="51CB0999"/>
    <w:rsid w:val="522265CC"/>
    <w:rsid w:val="53395DD6"/>
    <w:rsid w:val="534E1882"/>
    <w:rsid w:val="53794425"/>
    <w:rsid w:val="53966D85"/>
    <w:rsid w:val="53990623"/>
    <w:rsid w:val="53CD5ADF"/>
    <w:rsid w:val="53F11E25"/>
    <w:rsid w:val="541C372E"/>
    <w:rsid w:val="54342AC1"/>
    <w:rsid w:val="549E4143"/>
    <w:rsid w:val="54B716A8"/>
    <w:rsid w:val="54F40EBF"/>
    <w:rsid w:val="55342CF9"/>
    <w:rsid w:val="554F18E1"/>
    <w:rsid w:val="556D11D3"/>
    <w:rsid w:val="55A82D9F"/>
    <w:rsid w:val="56665134"/>
    <w:rsid w:val="566969D2"/>
    <w:rsid w:val="56C37E91"/>
    <w:rsid w:val="57DB56AE"/>
    <w:rsid w:val="58482F6B"/>
    <w:rsid w:val="589A10C5"/>
    <w:rsid w:val="58A27F7A"/>
    <w:rsid w:val="58CB127E"/>
    <w:rsid w:val="59B60492"/>
    <w:rsid w:val="59C30CC7"/>
    <w:rsid w:val="5A24333C"/>
    <w:rsid w:val="5A623D90"/>
    <w:rsid w:val="5A9A1850"/>
    <w:rsid w:val="5ADC3431"/>
    <w:rsid w:val="5B23040F"/>
    <w:rsid w:val="5BAA161F"/>
    <w:rsid w:val="5BD34611"/>
    <w:rsid w:val="5BDD5DA4"/>
    <w:rsid w:val="5BE663CF"/>
    <w:rsid w:val="5C1403EC"/>
    <w:rsid w:val="5C4E28F2"/>
    <w:rsid w:val="5C841FC5"/>
    <w:rsid w:val="5CB364D3"/>
    <w:rsid w:val="5CFA7B5F"/>
    <w:rsid w:val="5D50269A"/>
    <w:rsid w:val="5DB22A0D"/>
    <w:rsid w:val="5DD72473"/>
    <w:rsid w:val="5DDF5B1F"/>
    <w:rsid w:val="5DE0757A"/>
    <w:rsid w:val="5DF04B89"/>
    <w:rsid w:val="5E2A4C99"/>
    <w:rsid w:val="5EEC1F4F"/>
    <w:rsid w:val="5EF3152F"/>
    <w:rsid w:val="5F70492E"/>
    <w:rsid w:val="60575AEE"/>
    <w:rsid w:val="60EB0726"/>
    <w:rsid w:val="60EF1026"/>
    <w:rsid w:val="611F6F3D"/>
    <w:rsid w:val="61952D71"/>
    <w:rsid w:val="61B56F70"/>
    <w:rsid w:val="61CC7E57"/>
    <w:rsid w:val="62167EB9"/>
    <w:rsid w:val="62BB05B6"/>
    <w:rsid w:val="63273E9D"/>
    <w:rsid w:val="632C14B3"/>
    <w:rsid w:val="636729B9"/>
    <w:rsid w:val="63B86661"/>
    <w:rsid w:val="63C17E4E"/>
    <w:rsid w:val="647C3D75"/>
    <w:rsid w:val="64B90B25"/>
    <w:rsid w:val="6531690D"/>
    <w:rsid w:val="653F54CE"/>
    <w:rsid w:val="656C4C34"/>
    <w:rsid w:val="657D7DA4"/>
    <w:rsid w:val="65A2780B"/>
    <w:rsid w:val="65F51FEE"/>
    <w:rsid w:val="662A7F2C"/>
    <w:rsid w:val="664D68D0"/>
    <w:rsid w:val="671958AB"/>
    <w:rsid w:val="6750233B"/>
    <w:rsid w:val="67C577E1"/>
    <w:rsid w:val="67DC5256"/>
    <w:rsid w:val="67E565E0"/>
    <w:rsid w:val="680D2F67"/>
    <w:rsid w:val="686A0AB4"/>
    <w:rsid w:val="688345E5"/>
    <w:rsid w:val="694B0980"/>
    <w:rsid w:val="69966CB4"/>
    <w:rsid w:val="69CC12FA"/>
    <w:rsid w:val="6A2E56A6"/>
    <w:rsid w:val="6A334ED5"/>
    <w:rsid w:val="6A5A521D"/>
    <w:rsid w:val="6A5D4A86"/>
    <w:rsid w:val="6A6B0B13"/>
    <w:rsid w:val="6A752D10"/>
    <w:rsid w:val="6AAA6F57"/>
    <w:rsid w:val="6ACF4DB3"/>
    <w:rsid w:val="6B1B1D26"/>
    <w:rsid w:val="6B3A3BBF"/>
    <w:rsid w:val="6B630CAF"/>
    <w:rsid w:val="6B6E00ED"/>
    <w:rsid w:val="6BEF6070"/>
    <w:rsid w:val="6C247F7B"/>
    <w:rsid w:val="6C305B70"/>
    <w:rsid w:val="6C335661"/>
    <w:rsid w:val="6C417D7E"/>
    <w:rsid w:val="6CBA7B30"/>
    <w:rsid w:val="6D231231"/>
    <w:rsid w:val="6D7D470B"/>
    <w:rsid w:val="6D864791"/>
    <w:rsid w:val="6E657628"/>
    <w:rsid w:val="6E9A5523"/>
    <w:rsid w:val="6E9D3265"/>
    <w:rsid w:val="6EF410D7"/>
    <w:rsid w:val="6F174E77"/>
    <w:rsid w:val="6F243100"/>
    <w:rsid w:val="6F887A72"/>
    <w:rsid w:val="6FCC67C6"/>
    <w:rsid w:val="6FF9271D"/>
    <w:rsid w:val="701A0F9B"/>
    <w:rsid w:val="70934920"/>
    <w:rsid w:val="70CA2498"/>
    <w:rsid w:val="7150636D"/>
    <w:rsid w:val="716C7F12"/>
    <w:rsid w:val="717608FC"/>
    <w:rsid w:val="71AA0173"/>
    <w:rsid w:val="71E13C65"/>
    <w:rsid w:val="7274190D"/>
    <w:rsid w:val="729B7ABC"/>
    <w:rsid w:val="729F57FE"/>
    <w:rsid w:val="72D0216B"/>
    <w:rsid w:val="72EB459F"/>
    <w:rsid w:val="732A5BB6"/>
    <w:rsid w:val="737E3FB7"/>
    <w:rsid w:val="74113372"/>
    <w:rsid w:val="743D707D"/>
    <w:rsid w:val="74624D35"/>
    <w:rsid w:val="747D56CB"/>
    <w:rsid w:val="74821A87"/>
    <w:rsid w:val="74926913"/>
    <w:rsid w:val="74E72942"/>
    <w:rsid w:val="74FA31C0"/>
    <w:rsid w:val="75834F63"/>
    <w:rsid w:val="76404C02"/>
    <w:rsid w:val="7682346D"/>
    <w:rsid w:val="769136B0"/>
    <w:rsid w:val="76AA5525"/>
    <w:rsid w:val="77304C77"/>
    <w:rsid w:val="777B6BED"/>
    <w:rsid w:val="77D53A70"/>
    <w:rsid w:val="77D575CC"/>
    <w:rsid w:val="78AD0549"/>
    <w:rsid w:val="78DF26B6"/>
    <w:rsid w:val="791660EE"/>
    <w:rsid w:val="794E324E"/>
    <w:rsid w:val="79911824"/>
    <w:rsid w:val="79A100AE"/>
    <w:rsid w:val="79B3393D"/>
    <w:rsid w:val="79DA45C8"/>
    <w:rsid w:val="7A5B64AE"/>
    <w:rsid w:val="7AF406B1"/>
    <w:rsid w:val="7B1C2483"/>
    <w:rsid w:val="7B1E3FEC"/>
    <w:rsid w:val="7BFA1CF7"/>
    <w:rsid w:val="7C0028A7"/>
    <w:rsid w:val="7C06244A"/>
    <w:rsid w:val="7C6D071B"/>
    <w:rsid w:val="7D43322A"/>
    <w:rsid w:val="7D8C66DD"/>
    <w:rsid w:val="7DE14F1D"/>
    <w:rsid w:val="7E2F6C16"/>
    <w:rsid w:val="7E342E45"/>
    <w:rsid w:val="7E7E6C0F"/>
    <w:rsid w:val="7E837D82"/>
    <w:rsid w:val="7EBB576E"/>
    <w:rsid w:val="7EDC7492"/>
    <w:rsid w:val="7F1A5AAF"/>
    <w:rsid w:val="7F4C67EC"/>
    <w:rsid w:val="7FAC50B6"/>
    <w:rsid w:val="7FB87EFF"/>
    <w:rsid w:val="7FCB7C32"/>
    <w:rsid w:val="7FD36AE7"/>
    <w:rsid w:val="A69F8BBE"/>
    <w:rsid w:val="ACFEB6AB"/>
    <w:rsid w:val="F72B8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spacing w:line="600" w:lineRule="exact"/>
      <w:ind w:firstLine="643" w:firstLineChars="200"/>
      <w:jc w:val="both"/>
    </w:pPr>
    <w:rPr>
      <w:rFonts w:ascii="Times New Roman" w:hAnsi="Times New Roman" w:eastAsia="仿宋_GB2312" w:cstheme="minorBidi"/>
      <w:kern w:val="2"/>
      <w:sz w:val="32"/>
      <w:szCs w:val="24"/>
      <w:lang w:val="en-US" w:eastAsia="zh-CN" w:bidi="ar-SA"/>
    </w:rPr>
  </w:style>
  <w:style w:type="paragraph" w:styleId="3">
    <w:name w:val="heading 1"/>
    <w:basedOn w:val="1"/>
    <w:next w:val="1"/>
    <w:autoRedefine/>
    <w:qFormat/>
    <w:uiPriority w:val="0"/>
    <w:pPr>
      <w:keepNext/>
      <w:keepLines/>
      <w:spacing w:before="50" w:beforeLines="50" w:after="50" w:afterLines="50" w:line="560" w:lineRule="exact"/>
      <w:ind w:firstLine="640" w:firstLineChars="200"/>
      <w:jc w:val="left"/>
      <w:outlineLvl w:val="0"/>
    </w:pPr>
    <w:rPr>
      <w:rFonts w:ascii="Times New Roman" w:hAnsi="Times New Roman" w:eastAsia="黑体"/>
      <w:kern w:val="44"/>
    </w:rPr>
  </w:style>
  <w:style w:type="paragraph" w:styleId="4">
    <w:name w:val="heading 2"/>
    <w:basedOn w:val="1"/>
    <w:next w:val="1"/>
    <w:autoRedefine/>
    <w:unhideWhenUsed/>
    <w:qFormat/>
    <w:uiPriority w:val="0"/>
    <w:pPr>
      <w:keepNext/>
      <w:keepLines/>
      <w:spacing w:before="50" w:beforeLines="50" w:after="50" w:afterLines="50" w:line="560" w:lineRule="exact"/>
      <w:ind w:firstLine="602"/>
      <w:jc w:val="left"/>
      <w:outlineLvl w:val="1"/>
    </w:pPr>
    <w:rPr>
      <w:rFonts w:ascii="Arial" w:hAnsi="Arial" w:eastAsia="楷体"/>
      <w:b/>
    </w:rPr>
  </w:style>
  <w:style w:type="paragraph" w:styleId="5">
    <w:name w:val="heading 3"/>
    <w:basedOn w:val="1"/>
    <w:next w:val="1"/>
    <w:autoRedefine/>
    <w:unhideWhenUsed/>
    <w:qFormat/>
    <w:uiPriority w:val="0"/>
    <w:pPr>
      <w:keepNext/>
      <w:keepLines/>
      <w:spacing w:before="50" w:beforeLines="50" w:after="50" w:afterLines="50"/>
      <w:ind w:firstLine="640"/>
      <w:jc w:val="left"/>
      <w:outlineLvl w:val="2"/>
    </w:pPr>
    <w:rPr>
      <w:rFonts w:cs="Times New Roman"/>
      <w:b/>
      <w:szCs w:val="22"/>
    </w:rPr>
  </w:style>
  <w:style w:type="character" w:default="1" w:styleId="14">
    <w:name w:val="Default Paragraph Font"/>
    <w:autoRedefine/>
    <w:semiHidden/>
    <w:qFormat/>
    <w:uiPriority w:val="0"/>
  </w:style>
  <w:style w:type="table" w:default="1" w:styleId="1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黑体" w:hAnsi="Calibri" w:eastAsia="黑体" w:cs="黑体"/>
      <w:color w:val="000000"/>
      <w:sz w:val="24"/>
      <w:szCs w:val="24"/>
      <w:lang w:val="en-US" w:eastAsia="zh-CN" w:bidi="ar-SA"/>
    </w:rPr>
  </w:style>
  <w:style w:type="paragraph" w:styleId="6">
    <w:name w:val="caption"/>
    <w:basedOn w:val="1"/>
    <w:next w:val="1"/>
    <w:autoRedefine/>
    <w:unhideWhenUsed/>
    <w:qFormat/>
    <w:uiPriority w:val="0"/>
    <w:rPr>
      <w:rFonts w:ascii="Arial" w:hAnsi="Arial" w:eastAsia="宋体"/>
      <w:sz w:val="18"/>
    </w:rPr>
  </w:style>
  <w:style w:type="paragraph" w:styleId="7">
    <w:name w:val="Body Text Indent"/>
    <w:basedOn w:val="1"/>
    <w:next w:val="1"/>
    <w:autoRedefine/>
    <w:qFormat/>
    <w:uiPriority w:val="0"/>
    <w:pPr>
      <w:ind w:left="420"/>
    </w:pPr>
    <w:rPr>
      <w:rFonts w:ascii="仿宋_GB2312" w:eastAsia="仿宋_GB2312"/>
      <w:sz w:val="32"/>
    </w:rPr>
  </w:style>
  <w:style w:type="paragraph" w:styleId="8">
    <w:name w:val="Balloon Text"/>
    <w:basedOn w:val="1"/>
    <w:autoRedefine/>
    <w:qFormat/>
    <w:uiPriority w:val="0"/>
    <w:rPr>
      <w:sz w:val="18"/>
      <w:szCs w:val="18"/>
    </w:rPr>
  </w:style>
  <w:style w:type="paragraph" w:styleId="9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eastAsia="宋体"/>
      <w:sz w:val="28"/>
      <w:szCs w:val="18"/>
    </w:rPr>
  </w:style>
  <w:style w:type="paragraph" w:styleId="10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1">
    <w:name w:val="Body Text First Indent 2"/>
    <w:basedOn w:val="7"/>
    <w:next w:val="8"/>
    <w:autoRedefine/>
    <w:qFormat/>
    <w:uiPriority w:val="0"/>
    <w:pPr>
      <w:spacing w:after="120"/>
      <w:ind w:left="200" w:leftChars="200" w:firstLine="420" w:firstLineChars="200"/>
    </w:pPr>
    <w:rPr>
      <w:rFonts w:ascii="Times New Roman"/>
    </w:rPr>
  </w:style>
  <w:style w:type="table" w:styleId="13">
    <w:name w:val="Table Grid"/>
    <w:basedOn w:val="1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5">
    <w:name w:val="引用1"/>
    <w:next w:val="1"/>
    <w:autoRedefine/>
    <w:qFormat/>
    <w:uiPriority w:val="0"/>
    <w:pPr>
      <w:wordWrap w:val="0"/>
      <w:spacing w:before="200" w:after="160"/>
      <w:ind w:left="864" w:right="864"/>
      <w:jc w:val="center"/>
    </w:pPr>
    <w:rPr>
      <w:rFonts w:ascii="Calibri" w:hAnsi="Calibri" w:eastAsia="宋体" w:cs="Times New Roman"/>
      <w:i/>
      <w:sz w:val="21"/>
      <w:lang w:val="en-US" w:eastAsia="zh-CN" w:bidi="ar-SA"/>
    </w:rPr>
  </w:style>
  <w:style w:type="paragraph" w:customStyle="1" w:styleId="16">
    <w:name w:val="图专栏"/>
    <w:autoRedefine/>
    <w:qFormat/>
    <w:uiPriority w:val="0"/>
    <w:pPr>
      <w:widowControl w:val="0"/>
      <w:spacing w:line="600" w:lineRule="exact"/>
      <w:jc w:val="center"/>
    </w:pPr>
    <w:rPr>
      <w:rFonts w:ascii="Times New Roman" w:hAnsi="Times New Roman" w:eastAsia="仿宋" w:cs="Times New Roman"/>
      <w:b/>
      <w:kern w:val="2"/>
      <w:sz w:val="28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7054</Words>
  <Characters>7248</Characters>
  <Lines>0</Lines>
  <Paragraphs>0</Paragraphs>
  <TotalTime>99</TotalTime>
  <ScaleCrop>false</ScaleCrop>
  <LinksUpToDate>false</LinksUpToDate>
  <CharactersWithSpaces>7396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2024-01-10T16:03:00Z</dcterms:created>
  <dc:creator>懒喵喵%</dc:creator>
  <cp:lastModifiedBy>嘉树</cp:lastModifiedBy>
  <cp:lastPrinted>2024-02-08T00:26:00Z</cp:lastPrinted>
  <dcterms:modified xsi:type="dcterms:W3CDTF">2024-12-31T08:29:07Z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1F333D3952464CE4934CA6DEE802B3D8_13</vt:lpwstr>
  </property>
  <property fmtid="{D5CDD505-2E9C-101B-9397-08002B2CF9AE}" pid="4" name="KSOTemplateDocerSaveRecord">
    <vt:lpwstr>eyJoZGlkIjoiMzhiMjdiYTkzYzYyYjEzZGJiYmY5MGU4NTIwYjI4MzMiLCJ1c2VySWQiOiI0Mzg2MzIxNzIifQ==</vt:lpwstr>
  </property>
</Properties>
</file>