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hAnsi="宋体" w:eastAsia="仿宋_GB2312" w:cs="宋体"/>
          <w:b/>
        </w:rPr>
      </w:pPr>
      <w:r>
        <w:rPr>
          <w:rFonts w:hint="eastAsia" w:ascii="仿宋_GB2312" w:hAnsi="宋体" w:eastAsia="仿宋_GB2312" w:cs="宋体"/>
          <w:b/>
        </w:rPr>
        <w:t>附件：</w:t>
      </w:r>
    </w:p>
    <w:p>
      <w:pPr>
        <w:spacing w:line="560" w:lineRule="exact"/>
        <w:jc w:val="center"/>
        <w:rPr>
          <w:rFonts w:ascii="方正小标宋简体" w:hAnsi="黑体" w:eastAsia="方正小标宋简体"/>
          <w:sz w:val="44"/>
          <w:szCs w:val="44"/>
        </w:rPr>
      </w:pPr>
      <w:bookmarkStart w:id="0" w:name="_GoBack"/>
      <w:r>
        <w:rPr>
          <w:rFonts w:hint="eastAsia" w:ascii="方正小标宋简体" w:hAnsi="黑体" w:eastAsia="方正小标宋简体"/>
          <w:sz w:val="44"/>
          <w:szCs w:val="44"/>
        </w:rPr>
        <w:t>全市安全生产综合督查发现问题清单</w:t>
      </w:r>
    </w:p>
    <w:bookmarkEnd w:id="0"/>
    <w:p>
      <w:pPr>
        <w:pStyle w:val="2"/>
        <w:ind w:left="640" w:firstLine="640"/>
      </w:pPr>
    </w:p>
    <w:tbl>
      <w:tblPr>
        <w:tblStyle w:val="7"/>
        <w:tblW w:w="13609"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1701"/>
        <w:gridCol w:w="9781"/>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2"/>
              <w:ind w:left="0" w:leftChars="0" w:firstLine="0" w:firstLineChars="0"/>
              <w:jc w:val="center"/>
              <w:rPr>
                <w:rFonts w:ascii="黑体" w:hAnsi="黑体" w:eastAsia="黑体"/>
                <w:sz w:val="28"/>
                <w:szCs w:val="28"/>
              </w:rPr>
            </w:pPr>
            <w:r>
              <w:rPr>
                <w:rFonts w:hint="eastAsia" w:ascii="黑体" w:hAnsi="黑体" w:eastAsia="黑体"/>
                <w:sz w:val="28"/>
                <w:szCs w:val="28"/>
              </w:rPr>
              <w:t>序号</w:t>
            </w:r>
          </w:p>
        </w:tc>
        <w:tc>
          <w:tcPr>
            <w:tcW w:w="1701" w:type="dxa"/>
          </w:tcPr>
          <w:p>
            <w:pPr>
              <w:pStyle w:val="2"/>
              <w:ind w:left="0" w:leftChars="0" w:firstLine="0" w:firstLineChars="0"/>
              <w:jc w:val="center"/>
              <w:rPr>
                <w:rFonts w:ascii="黑体" w:hAnsi="黑体" w:eastAsia="黑体"/>
                <w:sz w:val="28"/>
                <w:szCs w:val="28"/>
              </w:rPr>
            </w:pPr>
            <w:r>
              <w:rPr>
                <w:rFonts w:hint="eastAsia" w:ascii="黑体" w:hAnsi="黑体" w:eastAsia="黑体"/>
                <w:sz w:val="28"/>
                <w:szCs w:val="28"/>
              </w:rPr>
              <w:t>部门或企业</w:t>
            </w:r>
          </w:p>
        </w:tc>
        <w:tc>
          <w:tcPr>
            <w:tcW w:w="9781" w:type="dxa"/>
          </w:tcPr>
          <w:p>
            <w:pPr>
              <w:pStyle w:val="2"/>
              <w:ind w:left="0" w:leftChars="0" w:firstLine="0" w:firstLineChars="0"/>
              <w:jc w:val="center"/>
              <w:rPr>
                <w:rFonts w:ascii="黑体" w:hAnsi="黑体" w:eastAsia="黑体"/>
                <w:sz w:val="28"/>
                <w:szCs w:val="28"/>
              </w:rPr>
            </w:pPr>
            <w:r>
              <w:rPr>
                <w:rFonts w:hint="eastAsia" w:ascii="黑体" w:hAnsi="黑体" w:eastAsia="黑体"/>
                <w:sz w:val="28"/>
                <w:szCs w:val="28"/>
              </w:rPr>
              <w:t>发现问题</w:t>
            </w:r>
          </w:p>
        </w:tc>
        <w:tc>
          <w:tcPr>
            <w:tcW w:w="1276" w:type="dxa"/>
          </w:tcPr>
          <w:p>
            <w:pPr>
              <w:pStyle w:val="2"/>
              <w:ind w:left="0" w:leftChars="0" w:firstLine="0" w:firstLineChars="0"/>
              <w:jc w:val="center"/>
              <w:rPr>
                <w:rFonts w:ascii="黑体" w:hAnsi="黑体" w:eastAsia="黑体"/>
                <w:sz w:val="28"/>
                <w:szCs w:val="28"/>
              </w:rPr>
            </w:pPr>
            <w:r>
              <w:rPr>
                <w:rFonts w:hint="eastAsia" w:ascii="黑体" w:hAnsi="黑体" w:eastAsia="黑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1</w:t>
            </w:r>
          </w:p>
        </w:tc>
        <w:tc>
          <w:tcPr>
            <w:tcW w:w="170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应急管理局</w:t>
            </w:r>
          </w:p>
        </w:tc>
        <w:tc>
          <w:tcPr>
            <w:tcW w:w="9781" w:type="dxa"/>
            <w:vAlign w:val="center"/>
          </w:tcPr>
          <w:p>
            <w:pPr>
              <w:pStyle w:val="2"/>
              <w:spacing w:line="320" w:lineRule="exact"/>
              <w:ind w:left="0" w:leftChars="0" w:firstLine="0" w:firstLineChars="0"/>
              <w:rPr>
                <w:rFonts w:ascii="仿宋_GB2312" w:eastAsia="仿宋_GB2312"/>
                <w:sz w:val="24"/>
              </w:rPr>
            </w:pPr>
            <w:r>
              <w:rPr>
                <w:rFonts w:hint="eastAsia" w:ascii="仿宋_GB2312" w:eastAsia="仿宋_GB2312"/>
                <w:sz w:val="24"/>
              </w:rPr>
              <w:t>1.危化品专项整治三年行动无2021年攻坚任务清单；</w:t>
            </w:r>
          </w:p>
          <w:p>
            <w:pPr>
              <w:pStyle w:val="2"/>
              <w:spacing w:line="320" w:lineRule="exact"/>
              <w:ind w:left="0" w:leftChars="0" w:firstLine="0" w:firstLineChars="0"/>
              <w:rPr>
                <w:rFonts w:ascii="仿宋_GB2312" w:eastAsia="仿宋_GB2312"/>
                <w:sz w:val="24"/>
              </w:rPr>
            </w:pPr>
            <w:r>
              <w:rPr>
                <w:rFonts w:hint="eastAsia" w:ascii="仿宋_GB2312" w:eastAsia="仿宋_GB2312"/>
                <w:sz w:val="24"/>
              </w:rPr>
              <w:t>2.未按照《关于认真贯彻落实习近平总书记重要指示精神进一步加强当前危险化学品安全生产工作的通知》（吴安委办发〔2021〕24号）要求对工业园区安全生产准入情况、属地安全监管情况、化学品储存情况、安全措施落实情况开展排查。</w:t>
            </w:r>
          </w:p>
          <w:p>
            <w:pPr>
              <w:pStyle w:val="2"/>
              <w:spacing w:line="320" w:lineRule="exact"/>
              <w:ind w:left="0" w:leftChars="0" w:firstLine="0" w:firstLineChars="0"/>
              <w:rPr>
                <w:rFonts w:ascii="仿宋_GB2312" w:eastAsia="仿宋_GB2312"/>
                <w:sz w:val="24"/>
              </w:rPr>
            </w:pPr>
            <w:r>
              <w:rPr>
                <w:rFonts w:hint="eastAsia" w:ascii="仿宋_GB2312" w:eastAsia="仿宋_GB2312"/>
                <w:sz w:val="24"/>
              </w:rPr>
              <w:t>3.城市公共设施体检责任不明确，城市公共设施底数不清楚，问题隐患清单和整改清单未建立，除市政设施体检外，其它公共设施专项体检工作均未开展，工作任务严重滞后。</w:t>
            </w:r>
          </w:p>
          <w:p>
            <w:pPr>
              <w:pStyle w:val="2"/>
              <w:spacing w:line="320" w:lineRule="exact"/>
              <w:ind w:left="0" w:leftChars="0" w:firstLine="0" w:firstLineChars="0"/>
              <w:rPr>
                <w:rFonts w:ascii="仿宋_GB2312" w:eastAsia="仿宋_GB2312"/>
                <w:sz w:val="24"/>
              </w:rPr>
            </w:pPr>
            <w:r>
              <w:rPr>
                <w:rFonts w:hint="eastAsia" w:ascii="仿宋_GB2312" w:eastAsia="仿宋_GB2312"/>
                <w:sz w:val="24"/>
              </w:rPr>
              <w:t>4.城市老旧房屋排查整治未启动。</w:t>
            </w:r>
          </w:p>
          <w:p>
            <w:pPr>
              <w:pStyle w:val="2"/>
              <w:spacing w:line="320" w:lineRule="exact"/>
              <w:ind w:left="0" w:leftChars="0" w:firstLine="0" w:firstLineChars="0"/>
              <w:rPr>
                <w:rFonts w:ascii="仿宋_GB2312" w:eastAsia="仿宋_GB2312"/>
                <w:sz w:val="24"/>
              </w:rPr>
            </w:pPr>
            <w:r>
              <w:rPr>
                <w:rFonts w:hint="eastAsia" w:ascii="仿宋_GB2312" w:eastAsia="仿宋_GB2312"/>
                <w:sz w:val="24"/>
              </w:rPr>
              <w:t>5.煤矿安全生产大排查中，检查出韦二煤矿（高瓦斯矿井）74项问题隐患，煤矿安全监管人员数量不足，业务能力不强，只针对其中4项问题隐患进行了处罚，处罚力度不够，不能起到警示教育企业的成效。</w:t>
            </w:r>
          </w:p>
          <w:p>
            <w:pPr>
              <w:pStyle w:val="2"/>
              <w:spacing w:line="320" w:lineRule="exact"/>
              <w:ind w:left="0" w:leftChars="0" w:firstLine="0" w:firstLineChars="0"/>
              <w:rPr>
                <w:rFonts w:ascii="仿宋_GB2312" w:eastAsia="仿宋_GB2312"/>
                <w:sz w:val="24"/>
              </w:rPr>
            </w:pPr>
            <w:r>
              <w:rPr>
                <w:rFonts w:hint="eastAsia" w:ascii="仿宋_GB2312" w:eastAsia="仿宋_GB2312"/>
                <w:sz w:val="24"/>
              </w:rPr>
              <w:t>6.非煤矿山安全生产大排查中，已对辖区内7家非煤矿山企业进行检查，但没有将日常监管执法的大排查区别开来。</w:t>
            </w:r>
          </w:p>
        </w:tc>
        <w:tc>
          <w:tcPr>
            <w:tcW w:w="1276" w:type="dxa"/>
          </w:tcPr>
          <w:p>
            <w:pPr>
              <w:pStyle w:val="2"/>
              <w:spacing w:line="320" w:lineRule="exact"/>
              <w:ind w:left="0" w:leftChars="0" w:firstLine="0" w:firstLineChars="0"/>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2</w:t>
            </w:r>
          </w:p>
        </w:tc>
        <w:tc>
          <w:tcPr>
            <w:tcW w:w="170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住房和城乡建设局</w:t>
            </w:r>
          </w:p>
        </w:tc>
        <w:tc>
          <w:tcPr>
            <w:tcW w:w="9781" w:type="dxa"/>
            <w:vAlign w:val="center"/>
          </w:tcPr>
          <w:p>
            <w:pPr>
              <w:pStyle w:val="2"/>
              <w:spacing w:line="320" w:lineRule="exact"/>
              <w:ind w:left="0" w:leftChars="0" w:firstLine="0" w:firstLineChars="0"/>
              <w:jc w:val="left"/>
              <w:rPr>
                <w:rFonts w:ascii="仿宋_GB2312" w:eastAsia="仿宋_GB2312"/>
                <w:sz w:val="24"/>
              </w:rPr>
            </w:pPr>
            <w:r>
              <w:rPr>
                <w:rFonts w:hint="eastAsia" w:ascii="仿宋_GB2312" w:eastAsia="仿宋_GB2312"/>
                <w:sz w:val="24"/>
              </w:rPr>
              <w:t>“双百”专项整治行动无落实资料。</w:t>
            </w:r>
          </w:p>
        </w:tc>
        <w:tc>
          <w:tcPr>
            <w:tcW w:w="1276" w:type="dxa"/>
            <w:vAlign w:val="center"/>
          </w:tcPr>
          <w:p>
            <w:pPr>
              <w:pStyle w:val="2"/>
              <w:spacing w:line="320" w:lineRule="exact"/>
              <w:ind w:left="0" w:leftChars="0" w:firstLine="0" w:firstLineChars="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3</w:t>
            </w:r>
          </w:p>
        </w:tc>
        <w:tc>
          <w:tcPr>
            <w:tcW w:w="170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文化体育与广电局</w:t>
            </w:r>
          </w:p>
        </w:tc>
        <w:tc>
          <w:tcPr>
            <w:tcW w:w="9781" w:type="dxa"/>
            <w:vAlign w:val="center"/>
          </w:tcPr>
          <w:p>
            <w:pPr>
              <w:pStyle w:val="2"/>
              <w:spacing w:line="320" w:lineRule="exact"/>
              <w:ind w:left="0" w:leftChars="0" w:firstLine="0" w:firstLineChars="0"/>
              <w:jc w:val="left"/>
              <w:rPr>
                <w:rFonts w:ascii="仿宋_GB2312" w:eastAsia="仿宋_GB2312"/>
                <w:sz w:val="24"/>
              </w:rPr>
            </w:pPr>
            <w:r>
              <w:rPr>
                <w:rFonts w:hint="eastAsia" w:ascii="仿宋_GB2312" w:eastAsia="仿宋_GB2312"/>
                <w:sz w:val="24"/>
              </w:rPr>
              <w:t>未观看《生命重要泰山》专题片。</w:t>
            </w:r>
          </w:p>
        </w:tc>
        <w:tc>
          <w:tcPr>
            <w:tcW w:w="1276" w:type="dxa"/>
            <w:vAlign w:val="center"/>
          </w:tcPr>
          <w:p>
            <w:pPr>
              <w:pStyle w:val="2"/>
              <w:spacing w:line="320" w:lineRule="exact"/>
              <w:ind w:left="0" w:leftChars="0" w:firstLine="0" w:firstLineChars="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4</w:t>
            </w:r>
          </w:p>
        </w:tc>
        <w:tc>
          <w:tcPr>
            <w:tcW w:w="1701" w:type="dxa"/>
            <w:vAlign w:val="center"/>
          </w:tcPr>
          <w:p>
            <w:pPr>
              <w:pStyle w:val="2"/>
              <w:spacing w:line="320" w:lineRule="exact"/>
              <w:ind w:left="0" w:leftChars="0" w:firstLine="0" w:firstLineChars="0"/>
              <w:jc w:val="center"/>
              <w:rPr>
                <w:rFonts w:ascii="仿宋_GB2312" w:eastAsia="仿宋_GB2312"/>
                <w:sz w:val="24"/>
              </w:rPr>
            </w:pPr>
            <w:r>
              <w:rPr>
                <w:rFonts w:hint="eastAsia" w:ascii="仿宋_GB2312" w:eastAsia="仿宋_GB2312"/>
                <w:sz w:val="24"/>
              </w:rPr>
              <w:t>兴俊清洁能源有限公司</w:t>
            </w:r>
          </w:p>
        </w:tc>
        <w:tc>
          <w:tcPr>
            <w:tcW w:w="9781" w:type="dxa"/>
            <w:vAlign w:val="center"/>
          </w:tcPr>
          <w:p>
            <w:pPr>
              <w:pStyle w:val="2"/>
              <w:spacing w:line="320" w:lineRule="exact"/>
              <w:ind w:left="0" w:leftChars="0" w:firstLine="0" w:firstLineChars="0"/>
              <w:jc w:val="left"/>
              <w:rPr>
                <w:rFonts w:ascii="仿宋_GB2312" w:eastAsia="仿宋_GB2312"/>
                <w:sz w:val="24"/>
              </w:rPr>
            </w:pPr>
            <w:r>
              <w:rPr>
                <w:rFonts w:hint="eastAsia" w:ascii="仿宋_GB2312" w:eastAsia="仿宋_GB2312"/>
                <w:sz w:val="24"/>
              </w:rPr>
              <w:t>1.安全生产专项整治三年行动方案不实，实用性不强；</w:t>
            </w:r>
          </w:p>
          <w:p>
            <w:pPr>
              <w:pStyle w:val="2"/>
              <w:spacing w:line="320" w:lineRule="exact"/>
              <w:ind w:left="0" w:leftChars="0" w:firstLine="0" w:firstLineChars="0"/>
              <w:jc w:val="left"/>
              <w:rPr>
                <w:rFonts w:ascii="仿宋_GB2312" w:eastAsia="仿宋_GB2312"/>
                <w:sz w:val="24"/>
              </w:rPr>
            </w:pPr>
            <w:r>
              <w:rPr>
                <w:rFonts w:hint="eastAsia" w:ascii="仿宋_GB2312" w:eastAsia="仿宋_GB2312"/>
                <w:sz w:val="24"/>
              </w:rPr>
              <w:t>2.安全生产月部署不到位；</w:t>
            </w:r>
          </w:p>
          <w:p>
            <w:pPr>
              <w:pStyle w:val="2"/>
              <w:spacing w:line="320" w:lineRule="exact"/>
              <w:ind w:left="0" w:leftChars="0" w:firstLine="0" w:firstLineChars="0"/>
              <w:jc w:val="left"/>
              <w:rPr>
                <w:rFonts w:ascii="仿宋_GB2312" w:eastAsia="仿宋_GB2312"/>
                <w:sz w:val="24"/>
              </w:rPr>
            </w:pPr>
            <w:r>
              <w:rPr>
                <w:rFonts w:hint="eastAsia" w:ascii="仿宋_GB2312" w:eastAsia="仿宋_GB2312"/>
                <w:sz w:val="24"/>
              </w:rPr>
              <w:t>3.企业法人、实际控制人安全理念树的不牢，安全职责履行不到位。</w:t>
            </w:r>
          </w:p>
        </w:tc>
        <w:tc>
          <w:tcPr>
            <w:tcW w:w="1276" w:type="dxa"/>
            <w:vAlign w:val="center"/>
          </w:tcPr>
          <w:p>
            <w:pPr>
              <w:pStyle w:val="2"/>
              <w:spacing w:line="320" w:lineRule="exact"/>
              <w:ind w:left="0" w:leftChars="0" w:firstLine="0" w:firstLineChars="0"/>
              <w:jc w:val="center"/>
              <w:rPr>
                <w:rFonts w:ascii="仿宋_GB2312" w:eastAsia="仿宋_GB2312"/>
                <w:sz w:val="24"/>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E50E63"/>
    <w:rsid w:val="3BE50E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仿宋" w:cs="Times New Roman"/>
      <w:kern w:val="2"/>
      <w:sz w:val="32"/>
      <w:szCs w:val="22"/>
      <w:lang w:val="en-US" w:eastAsia="zh-CN" w:bidi="ar-SA"/>
    </w:rPr>
  </w:style>
  <w:style w:type="character" w:default="1" w:styleId="8">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customStyle="1" w:styleId="2">
    <w:name w:val="BodyText1I2"/>
    <w:basedOn w:val="3"/>
    <w:qFormat/>
    <w:uiPriority w:val="0"/>
    <w:pPr>
      <w:spacing w:after="0"/>
      <w:ind w:firstLine="200" w:firstLineChars="200"/>
    </w:pPr>
    <w:rPr>
      <w:rFonts w:ascii="Calibri" w:hAnsi="Calibri"/>
    </w:rPr>
  </w:style>
  <w:style w:type="paragraph" w:customStyle="1" w:styleId="3">
    <w:name w:val="BodyTextIndent"/>
    <w:basedOn w:val="1"/>
    <w:next w:val="4"/>
    <w:qFormat/>
    <w:uiPriority w:val="0"/>
    <w:pPr>
      <w:spacing w:after="120"/>
      <w:ind w:left="200" w:leftChars="200"/>
      <w:textAlignment w:val="baseline"/>
    </w:pPr>
    <w:rPr>
      <w:rFonts w:ascii="Times New Roman" w:hAnsi="Times New Roman" w:eastAsia="宋体"/>
      <w:szCs w:val="24"/>
    </w:rPr>
  </w:style>
  <w:style w:type="paragraph" w:customStyle="1" w:styleId="4">
    <w:name w:val="NormalIndent"/>
    <w:basedOn w:val="1"/>
    <w:qFormat/>
    <w:uiPriority w:val="0"/>
    <w:pPr>
      <w:ind w:firstLine="200" w:firstLineChars="200"/>
      <w:textAlignment w:val="baseline"/>
    </w:pPr>
    <w:rPr>
      <w:rFonts w:ascii="Times New Roman" w:hAnsi="Times New Roman"/>
      <w:szCs w:val="24"/>
    </w:rPr>
  </w:style>
  <w:style w:type="paragraph" w:styleId="5">
    <w:name w:val="footer"/>
    <w:basedOn w:val="1"/>
    <w:unhideWhenUsed/>
    <w:qFormat/>
    <w:uiPriority w:val="99"/>
    <w:pPr>
      <w:tabs>
        <w:tab w:val="center" w:pos="4153"/>
        <w:tab w:val="right" w:pos="8306"/>
      </w:tabs>
      <w:snapToGrid w:val="0"/>
      <w:jc w:val="left"/>
    </w:pPr>
    <w:rPr>
      <w:kern w:val="0"/>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2021-08-09T07:52:00Z</dcterms:created>
  <dc:creator>何安归</dc:creator>
  <cp:lastModifiedBy>何安归</cp:lastModifiedBy>
  <dcterms:modified xsi:type="dcterms:W3CDTF">2021-08-09T07:52:39Z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B24BD305F1434C06B8A42AD055BF0960</vt:lpwstr>
  </property>
</Properties>
</file>