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pacing w:beforeAutospacing="0" w:afterAutospacing="0" w:line="560" w:lineRule="exact"/>
        <w:jc w:val="both"/>
        <w:rPr>
          <w:rFonts w:ascii="仿宋_GB2312" w:eastAsia="仿宋_GB2312" w:hAnsiTheme="majorEastAsia" w:cstheme="majorEastAsia"/>
          <w:b/>
          <w:bCs/>
          <w:sz w:val="32"/>
          <w:szCs w:val="32"/>
        </w:rPr>
      </w:pPr>
      <w:r>
        <w:rPr>
          <w:rFonts w:hint="eastAsia" w:ascii="仿宋_GB2312" w:eastAsia="仿宋_GB2312" w:hAnsiTheme="majorEastAsia" w:cstheme="majorEastAsia"/>
          <w:b/>
          <w:bCs/>
          <w:sz w:val="32"/>
          <w:szCs w:val="32"/>
        </w:rPr>
        <w:t>附件1：</w:t>
      </w:r>
    </w:p>
    <w:p>
      <w:pPr>
        <w:pStyle w:val="2"/>
        <w:widowControl/>
        <w:spacing w:beforeAutospacing="0" w:afterAutospacing="0" w:line="560" w:lineRule="exact"/>
        <w:jc w:val="center"/>
        <w:rPr>
          <w:rFonts w:ascii="方正小标宋_GBK" w:hAnsi="方正小标宋_GBK" w:eastAsia="方正小标宋_GBK" w:cs="方正小标宋_GBK"/>
          <w:sz w:val="44"/>
          <w:szCs w:val="44"/>
        </w:rPr>
      </w:pPr>
    </w:p>
    <w:p>
      <w:pPr>
        <w:pStyle w:val="2"/>
        <w:widowControl/>
        <w:spacing w:beforeAutospacing="0" w:afterAutospacing="0" w:line="560" w:lineRule="exact"/>
        <w:jc w:val="center"/>
        <w:rPr>
          <w:rFonts w:ascii="方正小标宋简体" w:hAnsi="方正小标宋_GBK" w:eastAsia="方正小标宋简体" w:cs="方正小标宋_GBK"/>
          <w:sz w:val="44"/>
          <w:szCs w:val="44"/>
        </w:rPr>
      </w:pPr>
      <w:r>
        <w:rPr>
          <w:rFonts w:hint="eastAsia" w:ascii="方正小标宋简体" w:hAnsi="方正小标宋_GBK" w:eastAsia="方正小标宋简体" w:cs="方正小标宋_GBK"/>
          <w:sz w:val="44"/>
          <w:szCs w:val="44"/>
        </w:rPr>
        <w:t>同心县野外火源治理和查处违规用火行为</w:t>
      </w:r>
    </w:p>
    <w:p>
      <w:pPr>
        <w:pStyle w:val="2"/>
        <w:widowControl/>
        <w:spacing w:beforeAutospacing="0" w:afterAutospacing="0" w:line="560" w:lineRule="exact"/>
        <w:jc w:val="center"/>
        <w:rPr>
          <w:rFonts w:ascii="方正小标宋简体" w:hAnsi="方正小标宋_GBK" w:eastAsia="方正小标宋简体" w:cs="方正小标宋_GBK"/>
          <w:sz w:val="44"/>
          <w:szCs w:val="44"/>
        </w:rPr>
      </w:pPr>
      <w:r>
        <w:rPr>
          <w:rFonts w:hint="eastAsia" w:ascii="方正小标宋简体" w:hAnsi="方正小标宋_GBK" w:eastAsia="方正小标宋简体" w:cs="方正小标宋_GBK"/>
          <w:sz w:val="44"/>
          <w:szCs w:val="44"/>
        </w:rPr>
        <w:t>专项行动领导小组</w:t>
      </w:r>
    </w:p>
    <w:p>
      <w:pPr>
        <w:pStyle w:val="2"/>
        <w:widowControl/>
        <w:spacing w:beforeAutospacing="0" w:afterAutospacing="0" w:line="560" w:lineRule="exact"/>
        <w:jc w:val="both"/>
        <w:rPr>
          <w:rFonts w:ascii="方正小标宋_GBK" w:hAnsi="方正小标宋_GBK" w:eastAsia="方正小标宋_GBK" w:cs="方正小标宋_GBK"/>
          <w:sz w:val="44"/>
          <w:szCs w:val="44"/>
        </w:rPr>
      </w:pPr>
    </w:p>
    <w:p>
      <w:pPr>
        <w:pStyle w:val="2"/>
        <w:widowControl/>
        <w:spacing w:beforeAutospacing="0" w:afterAutospacing="0" w:line="560" w:lineRule="exact"/>
        <w:ind w:firstLine="640" w:firstLineChars="200"/>
        <w:jc w:val="both"/>
        <w:rPr>
          <w:rFonts w:ascii="仿宋_GB2312" w:hAnsi="仿宋" w:eastAsia="仿宋_GB2312" w:cs="仿宋"/>
          <w:sz w:val="32"/>
          <w:szCs w:val="32"/>
        </w:rPr>
      </w:pPr>
      <w:r>
        <w:rPr>
          <w:rFonts w:hint="eastAsia" w:ascii="仿宋_GB2312" w:hAnsi="黑体" w:eastAsia="仿宋_GB2312" w:cs="黑体"/>
          <w:sz w:val="32"/>
          <w:szCs w:val="32"/>
        </w:rPr>
        <w:t>组    长：</w:t>
      </w:r>
      <w:r>
        <w:rPr>
          <w:rFonts w:hint="eastAsia" w:ascii="仿宋_GB2312" w:hAnsi="仿宋" w:eastAsia="仿宋_GB2312" w:cs="仿宋"/>
          <w:sz w:val="32"/>
          <w:szCs w:val="32"/>
        </w:rPr>
        <w:t>马千里    同心县人民政府常务副县长</w:t>
      </w:r>
    </w:p>
    <w:p>
      <w:pPr>
        <w:pStyle w:val="2"/>
        <w:widowControl/>
        <w:spacing w:beforeAutospacing="0" w:afterAutospacing="0" w:line="560" w:lineRule="exact"/>
        <w:ind w:firstLine="640" w:firstLineChars="200"/>
        <w:jc w:val="both"/>
        <w:rPr>
          <w:rFonts w:ascii="仿宋_GB2312" w:hAnsi="仿宋" w:eastAsia="仿宋_GB2312" w:cs="仿宋"/>
          <w:sz w:val="32"/>
          <w:szCs w:val="32"/>
        </w:rPr>
      </w:pPr>
      <w:r>
        <w:rPr>
          <w:rFonts w:hint="eastAsia" w:ascii="仿宋_GB2312" w:hAnsi="黑体" w:eastAsia="仿宋_GB2312" w:cs="黑体"/>
          <w:sz w:val="32"/>
          <w:szCs w:val="32"/>
        </w:rPr>
        <w:t>副 组 长：</w:t>
      </w:r>
      <w:r>
        <w:rPr>
          <w:rFonts w:hint="eastAsia" w:ascii="仿宋_GB2312" w:hAnsi="仿宋" w:eastAsia="仿宋_GB2312" w:cs="仿宋"/>
          <w:sz w:val="32"/>
          <w:szCs w:val="32"/>
        </w:rPr>
        <w:t>马汉骏    同心县应急管理局局长</w:t>
      </w:r>
    </w:p>
    <w:p>
      <w:pPr>
        <w:pStyle w:val="2"/>
        <w:widowControl/>
        <w:spacing w:beforeAutospacing="0" w:afterAutospacing="0" w:line="560" w:lineRule="exact"/>
        <w:ind w:firstLine="640" w:firstLineChars="200"/>
        <w:jc w:val="both"/>
        <w:rPr>
          <w:rFonts w:ascii="仿宋_GB2312" w:hAnsi="仿宋" w:eastAsia="仿宋_GB2312" w:cs="仿宋"/>
          <w:sz w:val="32"/>
          <w:szCs w:val="32"/>
        </w:rPr>
      </w:pPr>
      <w:r>
        <w:rPr>
          <w:rFonts w:hint="eastAsia" w:ascii="仿宋_GB2312" w:hAnsi="仿宋" w:eastAsia="仿宋_GB2312" w:cs="仿宋"/>
          <w:sz w:val="32"/>
          <w:szCs w:val="32"/>
        </w:rPr>
        <w:t xml:space="preserve">          丁  文    同心县自然资源局局长</w:t>
      </w:r>
    </w:p>
    <w:p>
      <w:pPr>
        <w:pStyle w:val="2"/>
        <w:widowControl/>
        <w:spacing w:beforeAutospacing="0" w:afterAutospacing="0" w:line="560" w:lineRule="exact"/>
        <w:ind w:firstLine="640" w:firstLineChars="200"/>
        <w:jc w:val="both"/>
        <w:rPr>
          <w:rFonts w:ascii="仿宋_GB2312" w:hAnsi="仿宋" w:eastAsia="仿宋_GB2312" w:cs="仿宋"/>
          <w:sz w:val="32"/>
          <w:szCs w:val="32"/>
        </w:rPr>
      </w:pPr>
      <w:r>
        <w:rPr>
          <w:rFonts w:hint="eastAsia" w:ascii="仿宋_GB2312" w:hAnsi="仿宋" w:eastAsia="仿宋_GB2312" w:cs="仿宋"/>
          <w:sz w:val="32"/>
          <w:szCs w:val="32"/>
        </w:rPr>
        <w:t xml:space="preserve">          李志国    同心县公安局政委</w:t>
      </w:r>
    </w:p>
    <w:p>
      <w:pPr>
        <w:pStyle w:val="2"/>
        <w:widowControl/>
        <w:spacing w:beforeAutospacing="0" w:afterAutospacing="0" w:line="560" w:lineRule="exact"/>
        <w:ind w:firstLine="640" w:firstLineChars="200"/>
        <w:jc w:val="both"/>
        <w:rPr>
          <w:rFonts w:ascii="仿宋_GB2312" w:hAnsi="仿宋" w:eastAsia="仿宋_GB2312" w:cs="仿宋"/>
          <w:sz w:val="32"/>
          <w:szCs w:val="32"/>
        </w:rPr>
      </w:pPr>
      <w:r>
        <w:rPr>
          <w:rFonts w:hint="eastAsia" w:ascii="仿宋_GB2312" w:hAnsi="黑体" w:eastAsia="仿宋_GB2312" w:cs="黑体"/>
          <w:sz w:val="32"/>
          <w:szCs w:val="32"/>
        </w:rPr>
        <w:t>成    员：</w:t>
      </w:r>
      <w:r>
        <w:rPr>
          <w:rFonts w:hint="eastAsia" w:ascii="仿宋_GB2312" w:hAnsi="仿宋" w:eastAsia="仿宋_GB2312" w:cs="仿宋"/>
          <w:sz w:val="32"/>
          <w:szCs w:val="32"/>
        </w:rPr>
        <w:t>马  峰    同心县文广局局长</w:t>
      </w:r>
    </w:p>
    <w:p>
      <w:pPr>
        <w:pStyle w:val="2"/>
        <w:widowControl/>
        <w:spacing w:beforeAutospacing="0" w:afterAutospacing="0" w:line="560" w:lineRule="exact"/>
        <w:ind w:firstLine="640" w:firstLineChars="200"/>
        <w:jc w:val="both"/>
        <w:rPr>
          <w:rFonts w:ascii="仿宋_GB2312" w:hAnsi="仿宋" w:eastAsia="仿宋_GB2312" w:cs="仿宋"/>
          <w:sz w:val="32"/>
          <w:szCs w:val="32"/>
        </w:rPr>
      </w:pPr>
      <w:r>
        <w:rPr>
          <w:rFonts w:hint="eastAsia" w:ascii="仿宋_GB2312" w:hAnsi="仿宋" w:eastAsia="仿宋_GB2312" w:cs="仿宋"/>
          <w:sz w:val="32"/>
          <w:szCs w:val="32"/>
        </w:rPr>
        <w:t xml:space="preserve">          周志江    同心县民政局局长</w:t>
      </w:r>
    </w:p>
    <w:p>
      <w:pPr>
        <w:pStyle w:val="2"/>
        <w:widowControl/>
        <w:spacing w:beforeAutospacing="0" w:afterAutospacing="0" w:line="560" w:lineRule="exact"/>
        <w:ind w:firstLine="640" w:firstLineChars="200"/>
        <w:jc w:val="both"/>
        <w:rPr>
          <w:rFonts w:ascii="仿宋_GB2312" w:hAnsi="仿宋" w:eastAsia="仿宋_GB2312" w:cs="仿宋"/>
          <w:sz w:val="32"/>
          <w:szCs w:val="32"/>
        </w:rPr>
      </w:pPr>
      <w:r>
        <w:rPr>
          <w:rFonts w:hint="eastAsia" w:ascii="仿宋_GB2312" w:hAnsi="仿宋" w:eastAsia="仿宋_GB2312" w:cs="仿宋"/>
          <w:sz w:val="32"/>
          <w:szCs w:val="32"/>
        </w:rPr>
        <w:t xml:space="preserve">          杨  林    同心县教育局局长</w:t>
      </w:r>
    </w:p>
    <w:p>
      <w:pPr>
        <w:pStyle w:val="2"/>
        <w:widowControl/>
        <w:spacing w:beforeAutospacing="0" w:afterAutospacing="0" w:line="560" w:lineRule="exact"/>
        <w:ind w:firstLine="640" w:firstLineChars="200"/>
        <w:jc w:val="both"/>
        <w:rPr>
          <w:rFonts w:ascii="仿宋_GB2312" w:hAnsi="仿宋" w:eastAsia="仿宋_GB2312" w:cs="仿宋"/>
          <w:sz w:val="32"/>
          <w:szCs w:val="32"/>
        </w:rPr>
      </w:pPr>
      <w:r>
        <w:rPr>
          <w:rFonts w:hint="eastAsia" w:ascii="仿宋_GB2312" w:hAnsi="仿宋" w:eastAsia="仿宋_GB2312" w:cs="仿宋"/>
          <w:sz w:val="32"/>
          <w:szCs w:val="32"/>
        </w:rPr>
        <w:t xml:space="preserve">          苏泽军    同心县生态林场场长</w:t>
      </w:r>
    </w:p>
    <w:p>
      <w:pPr>
        <w:pStyle w:val="2"/>
        <w:widowControl/>
        <w:spacing w:beforeAutospacing="0" w:afterAutospacing="0" w:line="560" w:lineRule="exact"/>
        <w:ind w:firstLine="640" w:firstLineChars="200"/>
        <w:jc w:val="both"/>
        <w:rPr>
          <w:rFonts w:ascii="仿宋_GB2312" w:hAnsi="仿宋" w:eastAsia="仿宋_GB2312" w:cs="仿宋"/>
          <w:sz w:val="32"/>
          <w:szCs w:val="32"/>
        </w:rPr>
      </w:pPr>
      <w:r>
        <w:rPr>
          <w:rFonts w:hint="eastAsia" w:ascii="仿宋_GB2312" w:hAnsi="仿宋" w:eastAsia="仿宋_GB2312" w:cs="仿宋"/>
          <w:sz w:val="32"/>
          <w:szCs w:val="32"/>
        </w:rPr>
        <w:t xml:space="preserve">          马海谦    同心县应急管理局副局长 </w:t>
      </w:r>
    </w:p>
    <w:p>
      <w:pPr>
        <w:pStyle w:val="2"/>
        <w:widowControl/>
        <w:spacing w:beforeAutospacing="0" w:afterAutospacing="0" w:line="560" w:lineRule="exact"/>
        <w:ind w:firstLine="640" w:firstLineChars="200"/>
        <w:jc w:val="both"/>
        <w:rPr>
          <w:rFonts w:ascii="仿宋_GB2312" w:hAnsi="仿宋" w:eastAsia="仿宋_GB2312" w:cs="仿宋"/>
          <w:sz w:val="32"/>
          <w:szCs w:val="32"/>
        </w:rPr>
      </w:pPr>
      <w:r>
        <w:rPr>
          <w:rFonts w:hint="eastAsia" w:ascii="仿宋_GB2312" w:hAnsi="仿宋" w:eastAsia="仿宋_GB2312" w:cs="仿宋"/>
          <w:sz w:val="32"/>
          <w:szCs w:val="32"/>
        </w:rPr>
        <w:t xml:space="preserve">          马京生    同心县应急管理保障中心主任</w:t>
      </w:r>
    </w:p>
    <w:p>
      <w:pPr>
        <w:pStyle w:val="2"/>
        <w:widowControl/>
        <w:spacing w:beforeAutospacing="0" w:afterAutospacing="0" w:line="560" w:lineRule="exact"/>
        <w:ind w:firstLine="640" w:firstLineChars="200"/>
        <w:jc w:val="both"/>
        <w:rPr>
          <w:rFonts w:ascii="仿宋_GB2312" w:hAnsi="仿宋" w:eastAsia="仿宋_GB2312" w:cs="仿宋"/>
          <w:sz w:val="32"/>
          <w:szCs w:val="32"/>
        </w:rPr>
      </w:pPr>
      <w:r>
        <w:rPr>
          <w:rFonts w:hint="eastAsia" w:ascii="仿宋_GB2312" w:hAnsi="仿宋" w:eastAsia="仿宋_GB2312" w:cs="仿宋"/>
          <w:sz w:val="32"/>
          <w:szCs w:val="32"/>
        </w:rPr>
        <w:t>同心县野外火源治理和查处违规用火行为专项行动领导小组办公室设在县应急管理指挥部办公室，县应急管理局局长马汉骏同志担任办公室主任，同心县自然资源局局长丁文、同心县公安局政委李志国两位同志担任办公室副主任，办公室主要负责处理同心县野外火源治理和查处违规用火行为专项行动日常工作事务。</w:t>
      </w:r>
    </w:p>
    <w:p>
      <w:pPr>
        <w:pStyle w:val="2"/>
        <w:widowControl/>
        <w:spacing w:beforeAutospacing="0" w:afterAutospacing="0" w:line="560" w:lineRule="exact"/>
        <w:ind w:firstLine="640" w:firstLineChars="200"/>
        <w:jc w:val="both"/>
        <w:rPr>
          <w:rFonts w:ascii="仿宋" w:hAnsi="仿宋" w:eastAsia="仿宋" w:cs="仿宋"/>
          <w:sz w:val="32"/>
          <w:szCs w:val="32"/>
        </w:rPr>
      </w:pPr>
    </w:p>
    <w:p>
      <w:pPr>
        <w:rPr>
          <w:rFonts w:ascii="仿宋_GB2312" w:hAnsi="仿宋" w:eastAsia="仿宋_GB2312" w:cs="仿宋"/>
          <w:b/>
          <w:bCs/>
          <w:sz w:val="32"/>
          <w:szCs w:val="32"/>
        </w:rPr>
      </w:pPr>
    </w:p>
    <w:p>
      <w:pPr>
        <w:rPr>
          <w:rFonts w:ascii="仿宋_GB2312" w:hAnsi="仿宋" w:eastAsia="仿宋_GB2312" w:cs="仿宋"/>
          <w:b/>
          <w:bCs/>
          <w:sz w:val="36"/>
          <w:szCs w:val="36"/>
        </w:rPr>
      </w:pPr>
      <w:r>
        <w:rPr>
          <w:rFonts w:hint="eastAsia" w:ascii="仿宋_GB2312" w:hAnsi="仿宋" w:eastAsia="仿宋_GB2312" w:cs="仿宋"/>
          <w:b/>
          <w:bCs/>
          <w:sz w:val="32"/>
          <w:szCs w:val="32"/>
        </w:rPr>
        <w:t>附件2：</w:t>
      </w:r>
    </w:p>
    <w:p>
      <w:pPr>
        <w:spacing w:beforeLines="100" w:line="540" w:lineRule="exact"/>
        <w:jc w:val="center"/>
        <w:rPr>
          <w:rFonts w:ascii="方正小标宋简体" w:hAnsi="方正小标宋_GBK" w:eastAsia="方正小标宋简体" w:cs="方正小标宋_GBK"/>
          <w:bCs/>
          <w:sz w:val="44"/>
          <w:szCs w:val="44"/>
        </w:rPr>
      </w:pPr>
      <w:r>
        <w:rPr>
          <w:rFonts w:hint="eastAsia" w:ascii="方正小标宋简体" w:hAnsi="方正小标宋_GBK" w:eastAsia="方正小标宋简体" w:cs="方正小标宋_GBK"/>
          <w:bCs/>
          <w:sz w:val="44"/>
          <w:szCs w:val="44"/>
        </w:rPr>
        <w:t>野外火源治理专项行动统计表</w:t>
      </w:r>
    </w:p>
    <w:p>
      <w:pPr>
        <w:spacing w:line="560" w:lineRule="exact"/>
        <w:jc w:val="center"/>
        <w:rPr>
          <w:rFonts w:ascii="方正小标宋简体" w:hAnsi="方正小标宋_GBK" w:eastAsia="方正小标宋简体" w:cs="方正小标宋_GBK"/>
          <w:bCs/>
          <w:sz w:val="28"/>
          <w:szCs w:val="28"/>
        </w:rPr>
      </w:pPr>
    </w:p>
    <w:tbl>
      <w:tblPr>
        <w:tblStyle w:val="4"/>
        <w:tblW w:w="87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90"/>
        <w:gridCol w:w="43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390" w:type="dxa"/>
          </w:tcPr>
          <w:p>
            <w:pPr>
              <w:spacing w:line="580" w:lineRule="exact"/>
              <w:jc w:val="center"/>
              <w:rPr>
                <w:rFonts w:ascii="黑体" w:hAnsi="黑体" w:eastAsia="黑体" w:cs="仿宋"/>
                <w:sz w:val="28"/>
                <w:szCs w:val="28"/>
              </w:rPr>
            </w:pPr>
            <w:r>
              <w:rPr>
                <w:rFonts w:hint="eastAsia" w:ascii="黑体" w:hAnsi="黑体" w:eastAsia="黑体" w:cs="仿宋"/>
                <w:sz w:val="28"/>
                <w:szCs w:val="28"/>
              </w:rPr>
              <w:t>项  目</w:t>
            </w:r>
          </w:p>
        </w:tc>
        <w:tc>
          <w:tcPr>
            <w:tcW w:w="4390" w:type="dxa"/>
          </w:tcPr>
          <w:p>
            <w:pPr>
              <w:spacing w:line="580" w:lineRule="exact"/>
              <w:jc w:val="center"/>
              <w:rPr>
                <w:rFonts w:ascii="黑体" w:hAnsi="黑体" w:eastAsia="黑体" w:cs="仿宋"/>
                <w:sz w:val="28"/>
                <w:szCs w:val="28"/>
              </w:rPr>
            </w:pPr>
            <w:r>
              <w:rPr>
                <w:rFonts w:hint="eastAsia" w:ascii="黑体" w:hAnsi="黑体" w:eastAsia="黑体" w:cs="仿宋"/>
                <w:sz w:val="28"/>
                <w:szCs w:val="28"/>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制定专项行动方案（个）</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派出检查组数量（个）</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设立检查站（含临时）（个）</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出动人员数量（人次）</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排查火灾隐患（处）</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发放整改通知书（份）</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整改火灾隐患（处）</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发放宣传品数量（件）</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悬挂标语（幅）</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广播电视等媒体报道（次）</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发送短信（条）</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查处、制止违规用火数量（起）</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罚款金额（元）</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行政处罚人员（人）</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刑事处罚人员(人）</w:t>
            </w:r>
          </w:p>
        </w:tc>
        <w:tc>
          <w:tcPr>
            <w:tcW w:w="4390"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追责问责人员（人）</w:t>
            </w:r>
          </w:p>
        </w:tc>
        <w:tc>
          <w:tcPr>
            <w:tcW w:w="4390" w:type="dxa"/>
          </w:tcPr>
          <w:p>
            <w:pPr>
              <w:spacing w:line="58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390"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其他成效</w:t>
            </w:r>
          </w:p>
        </w:tc>
        <w:tc>
          <w:tcPr>
            <w:tcW w:w="4390" w:type="dxa"/>
          </w:tcPr>
          <w:p>
            <w:pPr>
              <w:spacing w:line="580" w:lineRule="exact"/>
              <w:jc w:val="center"/>
              <w:rPr>
                <w:rFonts w:ascii="仿宋" w:hAnsi="仿宋" w:eastAsia="仿宋" w:cs="仿宋"/>
                <w:sz w:val="28"/>
                <w:szCs w:val="28"/>
              </w:rPr>
            </w:pPr>
          </w:p>
        </w:tc>
      </w:tr>
    </w:tbl>
    <w:p>
      <w:pPr>
        <w:rPr>
          <w:rFonts w:ascii="仿宋_GB2312" w:hAnsi="仿宋" w:eastAsia="仿宋_GB2312" w:cs="仿宋"/>
          <w:b/>
          <w:bCs/>
          <w:sz w:val="32"/>
          <w:szCs w:val="32"/>
        </w:rPr>
      </w:pPr>
      <w:r>
        <w:rPr>
          <w:rFonts w:hint="eastAsia" w:ascii="仿宋_GB2312" w:hAnsi="仿宋" w:eastAsia="仿宋_GB2312" w:cs="仿宋"/>
          <w:b/>
          <w:bCs/>
          <w:sz w:val="32"/>
          <w:szCs w:val="32"/>
        </w:rPr>
        <w:t>附件3：</w:t>
      </w:r>
    </w:p>
    <w:p>
      <w:pPr>
        <w:spacing w:beforeLines="100" w:line="560" w:lineRule="exact"/>
        <w:jc w:val="center"/>
        <w:rPr>
          <w:rFonts w:ascii="方正小标宋简体" w:hAnsi="方正小标宋_GBK" w:eastAsia="方正小标宋简体" w:cs="方正小标宋_GBK"/>
          <w:bCs/>
          <w:sz w:val="44"/>
          <w:szCs w:val="44"/>
        </w:rPr>
      </w:pPr>
      <w:r>
        <w:rPr>
          <w:rFonts w:hint="eastAsia" w:ascii="方正小标宋简体" w:hAnsi="方正小标宋_GBK" w:eastAsia="方正小标宋简体" w:cs="方正小标宋_GBK"/>
          <w:bCs/>
          <w:sz w:val="44"/>
          <w:szCs w:val="44"/>
        </w:rPr>
        <w:t>查处违规用火行为专项行动统计表</w:t>
      </w:r>
    </w:p>
    <w:p>
      <w:pPr>
        <w:jc w:val="center"/>
        <w:rPr>
          <w:rFonts w:ascii="方正小标宋_GBK" w:hAnsi="方正小标宋_GBK" w:eastAsia="方正小标宋_GBK" w:cs="方正小标宋_GBK"/>
          <w:b/>
          <w:bCs/>
          <w:sz w:val="10"/>
          <w:szCs w:val="10"/>
        </w:rPr>
      </w:pPr>
    </w:p>
    <w:tbl>
      <w:tblPr>
        <w:tblStyle w:val="4"/>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52"/>
        <w:gridCol w:w="2552"/>
        <w:gridCol w:w="29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52" w:type="dxa"/>
          </w:tcPr>
          <w:p>
            <w:pPr>
              <w:spacing w:line="580" w:lineRule="exact"/>
              <w:jc w:val="center"/>
              <w:rPr>
                <w:rFonts w:ascii="黑体" w:hAnsi="黑体" w:eastAsia="黑体" w:cs="仿宋"/>
                <w:sz w:val="32"/>
                <w:szCs w:val="32"/>
              </w:rPr>
            </w:pPr>
            <w:r>
              <w:rPr>
                <w:rFonts w:hint="eastAsia" w:ascii="黑体" w:hAnsi="黑体" w:eastAsia="黑体" w:cs="仿宋"/>
                <w:sz w:val="32"/>
                <w:szCs w:val="32"/>
              </w:rPr>
              <w:t>项  目</w:t>
            </w:r>
          </w:p>
        </w:tc>
        <w:tc>
          <w:tcPr>
            <w:tcW w:w="5528" w:type="dxa"/>
            <w:gridSpan w:val="2"/>
          </w:tcPr>
          <w:p>
            <w:pPr>
              <w:spacing w:line="580" w:lineRule="exact"/>
              <w:jc w:val="center"/>
              <w:rPr>
                <w:rFonts w:ascii="黑体" w:hAnsi="黑体" w:eastAsia="黑体" w:cs="仿宋"/>
                <w:sz w:val="32"/>
                <w:szCs w:val="32"/>
              </w:rPr>
            </w:pPr>
            <w:r>
              <w:rPr>
                <w:rFonts w:hint="eastAsia" w:ascii="黑体" w:hAnsi="黑体" w:eastAsia="黑体" w:cs="仿宋"/>
                <w:sz w:val="32"/>
                <w:szCs w:val="32"/>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出动人员数量（人次）</w:t>
            </w:r>
          </w:p>
        </w:tc>
        <w:tc>
          <w:tcPr>
            <w:tcW w:w="5528" w:type="dxa"/>
            <w:gridSpan w:val="2"/>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接收火警数量（起）</w:t>
            </w:r>
          </w:p>
        </w:tc>
        <w:tc>
          <w:tcPr>
            <w:tcW w:w="5528" w:type="dxa"/>
            <w:gridSpan w:val="2"/>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36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派出检查组数量（个）</w:t>
            </w:r>
          </w:p>
        </w:tc>
        <w:tc>
          <w:tcPr>
            <w:tcW w:w="5528" w:type="dxa"/>
            <w:gridSpan w:val="2"/>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3652" w:type="dxa"/>
            <w:vMerge w:val="restart"/>
          </w:tcPr>
          <w:p>
            <w:pPr>
              <w:spacing w:line="580" w:lineRule="exact"/>
              <w:jc w:val="center"/>
              <w:rPr>
                <w:rFonts w:ascii="仿宋_GB2312" w:hAnsi="仿宋" w:eastAsia="仿宋_GB2312" w:cs="仿宋"/>
                <w:sz w:val="28"/>
                <w:szCs w:val="28"/>
              </w:rPr>
            </w:pPr>
          </w:p>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受理案件数量（起）</w:t>
            </w:r>
          </w:p>
        </w:tc>
        <w:tc>
          <w:tcPr>
            <w:tcW w:w="25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总数</w:t>
            </w:r>
          </w:p>
        </w:tc>
        <w:tc>
          <w:tcPr>
            <w:tcW w:w="2976"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3652" w:type="dxa"/>
            <w:vMerge w:val="continue"/>
          </w:tcPr>
          <w:p>
            <w:pPr>
              <w:spacing w:line="580" w:lineRule="exact"/>
              <w:jc w:val="center"/>
              <w:rPr>
                <w:rFonts w:ascii="仿宋_GB2312" w:eastAsia="仿宋_GB2312"/>
                <w:sz w:val="28"/>
                <w:szCs w:val="28"/>
              </w:rPr>
            </w:pPr>
          </w:p>
        </w:tc>
        <w:tc>
          <w:tcPr>
            <w:tcW w:w="2552" w:type="dxa"/>
          </w:tcPr>
          <w:p>
            <w:pPr>
              <w:spacing w:line="580" w:lineRule="exact"/>
              <w:jc w:val="center"/>
              <w:rPr>
                <w:rFonts w:ascii="仿宋_GB2312" w:eastAsia="仿宋_GB2312"/>
                <w:sz w:val="28"/>
                <w:szCs w:val="28"/>
              </w:rPr>
            </w:pPr>
            <w:r>
              <w:rPr>
                <w:rFonts w:hint="eastAsia" w:ascii="仿宋_GB2312" w:hAnsi="仿宋" w:eastAsia="仿宋_GB2312" w:cs="仿宋"/>
                <w:sz w:val="28"/>
                <w:szCs w:val="28"/>
              </w:rPr>
              <w:t>行政案件</w:t>
            </w:r>
          </w:p>
        </w:tc>
        <w:tc>
          <w:tcPr>
            <w:tcW w:w="2976"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3652" w:type="dxa"/>
            <w:vMerge w:val="continue"/>
          </w:tcPr>
          <w:p>
            <w:pPr>
              <w:spacing w:line="580" w:lineRule="exact"/>
              <w:jc w:val="center"/>
              <w:rPr>
                <w:rFonts w:ascii="仿宋_GB2312" w:hAnsi="仿宋" w:eastAsia="仿宋_GB2312" w:cs="仿宋"/>
                <w:sz w:val="28"/>
                <w:szCs w:val="28"/>
              </w:rPr>
            </w:pPr>
          </w:p>
        </w:tc>
        <w:tc>
          <w:tcPr>
            <w:tcW w:w="25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刑事案件</w:t>
            </w:r>
          </w:p>
        </w:tc>
        <w:tc>
          <w:tcPr>
            <w:tcW w:w="2976"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52" w:type="dxa"/>
            <w:vMerge w:val="restart"/>
          </w:tcPr>
          <w:p>
            <w:pPr>
              <w:spacing w:line="580" w:lineRule="exact"/>
              <w:jc w:val="center"/>
              <w:rPr>
                <w:rFonts w:ascii="仿宋_GB2312" w:hAnsi="仿宋" w:eastAsia="仿宋_GB2312" w:cs="仿宋"/>
                <w:sz w:val="28"/>
                <w:szCs w:val="28"/>
              </w:rPr>
            </w:pPr>
          </w:p>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查处/破获案件数量（起）</w:t>
            </w:r>
          </w:p>
        </w:tc>
        <w:tc>
          <w:tcPr>
            <w:tcW w:w="25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总数</w:t>
            </w:r>
          </w:p>
        </w:tc>
        <w:tc>
          <w:tcPr>
            <w:tcW w:w="2976"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52" w:type="dxa"/>
            <w:vMerge w:val="continue"/>
          </w:tcPr>
          <w:p>
            <w:pPr>
              <w:spacing w:line="580" w:lineRule="exact"/>
              <w:jc w:val="center"/>
              <w:rPr>
                <w:rFonts w:ascii="仿宋_GB2312" w:hAnsi="仿宋" w:eastAsia="仿宋_GB2312" w:cs="仿宋"/>
                <w:sz w:val="28"/>
                <w:szCs w:val="28"/>
              </w:rPr>
            </w:pPr>
          </w:p>
        </w:tc>
        <w:tc>
          <w:tcPr>
            <w:tcW w:w="25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行政案件</w:t>
            </w:r>
          </w:p>
        </w:tc>
        <w:tc>
          <w:tcPr>
            <w:tcW w:w="2976"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52" w:type="dxa"/>
            <w:vMerge w:val="continue"/>
          </w:tcPr>
          <w:p>
            <w:pPr>
              <w:spacing w:line="580" w:lineRule="exact"/>
              <w:jc w:val="center"/>
              <w:rPr>
                <w:rFonts w:ascii="仿宋_GB2312" w:hAnsi="仿宋" w:eastAsia="仿宋_GB2312" w:cs="仿宋"/>
                <w:sz w:val="28"/>
                <w:szCs w:val="28"/>
              </w:rPr>
            </w:pPr>
          </w:p>
        </w:tc>
        <w:tc>
          <w:tcPr>
            <w:tcW w:w="25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刑事案件</w:t>
            </w:r>
          </w:p>
        </w:tc>
        <w:tc>
          <w:tcPr>
            <w:tcW w:w="2976"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52" w:type="dxa"/>
            <w:vMerge w:val="restart"/>
          </w:tcPr>
          <w:p>
            <w:pPr>
              <w:spacing w:line="580" w:lineRule="exact"/>
              <w:jc w:val="center"/>
              <w:rPr>
                <w:rFonts w:ascii="仿宋_GB2312" w:hAnsi="仿宋" w:eastAsia="仿宋_GB2312" w:cs="仿宋"/>
                <w:sz w:val="28"/>
                <w:szCs w:val="28"/>
              </w:rPr>
            </w:pPr>
          </w:p>
          <w:p>
            <w:pPr>
              <w:spacing w:line="580" w:lineRule="exact"/>
              <w:jc w:val="center"/>
              <w:rPr>
                <w:rFonts w:ascii="仿宋_GB2312" w:hAnsi="仿宋" w:eastAsia="仿宋_GB2312" w:cs="仿宋"/>
                <w:sz w:val="28"/>
                <w:szCs w:val="28"/>
              </w:rPr>
            </w:pPr>
          </w:p>
          <w:p>
            <w:pPr>
              <w:spacing w:line="580" w:lineRule="exact"/>
              <w:jc w:val="center"/>
              <w:rPr>
                <w:rFonts w:ascii="仿宋_GB2312" w:hAnsi="仿宋" w:eastAsia="仿宋_GB2312" w:cs="仿宋"/>
                <w:sz w:val="28"/>
                <w:szCs w:val="28"/>
              </w:rPr>
            </w:pPr>
          </w:p>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打击处理和教育人员（人次）</w:t>
            </w:r>
          </w:p>
        </w:tc>
        <w:tc>
          <w:tcPr>
            <w:tcW w:w="25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总数</w:t>
            </w:r>
          </w:p>
        </w:tc>
        <w:tc>
          <w:tcPr>
            <w:tcW w:w="2976"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52" w:type="dxa"/>
            <w:vMerge w:val="continue"/>
          </w:tcPr>
          <w:p>
            <w:pPr>
              <w:spacing w:line="580" w:lineRule="exact"/>
              <w:jc w:val="center"/>
              <w:rPr>
                <w:rFonts w:ascii="仿宋_GB2312" w:hAnsi="仿宋" w:eastAsia="仿宋_GB2312" w:cs="仿宋"/>
                <w:sz w:val="28"/>
                <w:szCs w:val="28"/>
              </w:rPr>
            </w:pPr>
          </w:p>
        </w:tc>
        <w:tc>
          <w:tcPr>
            <w:tcW w:w="25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行政处罚</w:t>
            </w:r>
          </w:p>
        </w:tc>
        <w:tc>
          <w:tcPr>
            <w:tcW w:w="2976"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52" w:type="dxa"/>
            <w:vMerge w:val="continue"/>
          </w:tcPr>
          <w:p>
            <w:pPr>
              <w:spacing w:line="580" w:lineRule="exact"/>
              <w:jc w:val="center"/>
              <w:rPr>
                <w:rFonts w:ascii="仿宋_GB2312" w:hAnsi="仿宋" w:eastAsia="仿宋_GB2312" w:cs="仿宋"/>
                <w:sz w:val="28"/>
                <w:szCs w:val="28"/>
              </w:rPr>
            </w:pPr>
          </w:p>
        </w:tc>
        <w:tc>
          <w:tcPr>
            <w:tcW w:w="25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刑事拘留</w:t>
            </w:r>
          </w:p>
        </w:tc>
        <w:tc>
          <w:tcPr>
            <w:tcW w:w="2976"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52" w:type="dxa"/>
            <w:vMerge w:val="continue"/>
          </w:tcPr>
          <w:p>
            <w:pPr>
              <w:spacing w:line="580" w:lineRule="exact"/>
              <w:jc w:val="center"/>
              <w:rPr>
                <w:rFonts w:ascii="仿宋_GB2312" w:hAnsi="仿宋" w:eastAsia="仿宋_GB2312" w:cs="仿宋"/>
                <w:sz w:val="28"/>
                <w:szCs w:val="28"/>
              </w:rPr>
            </w:pPr>
          </w:p>
        </w:tc>
        <w:tc>
          <w:tcPr>
            <w:tcW w:w="25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逮捕</w:t>
            </w:r>
          </w:p>
        </w:tc>
        <w:tc>
          <w:tcPr>
            <w:tcW w:w="2976"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52" w:type="dxa"/>
            <w:vMerge w:val="continue"/>
          </w:tcPr>
          <w:p>
            <w:pPr>
              <w:spacing w:line="580" w:lineRule="exact"/>
              <w:jc w:val="center"/>
              <w:rPr>
                <w:rFonts w:ascii="仿宋_GB2312" w:hAnsi="仿宋" w:eastAsia="仿宋_GB2312" w:cs="仿宋"/>
                <w:sz w:val="28"/>
                <w:szCs w:val="28"/>
              </w:rPr>
            </w:pPr>
          </w:p>
        </w:tc>
        <w:tc>
          <w:tcPr>
            <w:tcW w:w="25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移送起诉</w:t>
            </w:r>
          </w:p>
        </w:tc>
        <w:tc>
          <w:tcPr>
            <w:tcW w:w="2976"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52" w:type="dxa"/>
            <w:vMerge w:val="continue"/>
          </w:tcPr>
          <w:p>
            <w:pPr>
              <w:spacing w:line="580" w:lineRule="exact"/>
              <w:jc w:val="center"/>
              <w:rPr>
                <w:rFonts w:ascii="仿宋_GB2312" w:hAnsi="仿宋" w:eastAsia="仿宋_GB2312" w:cs="仿宋"/>
                <w:sz w:val="28"/>
                <w:szCs w:val="28"/>
              </w:rPr>
            </w:pPr>
          </w:p>
        </w:tc>
        <w:tc>
          <w:tcPr>
            <w:tcW w:w="25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教育、劝阻人员</w:t>
            </w:r>
          </w:p>
        </w:tc>
        <w:tc>
          <w:tcPr>
            <w:tcW w:w="2976" w:type="dxa"/>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36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罚款人金额（元）</w:t>
            </w:r>
          </w:p>
        </w:tc>
        <w:tc>
          <w:tcPr>
            <w:tcW w:w="5528" w:type="dxa"/>
            <w:gridSpan w:val="2"/>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36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追责问责人员（人）</w:t>
            </w:r>
          </w:p>
        </w:tc>
        <w:tc>
          <w:tcPr>
            <w:tcW w:w="5528" w:type="dxa"/>
            <w:gridSpan w:val="2"/>
          </w:tcPr>
          <w:p>
            <w:pPr>
              <w:spacing w:line="580" w:lineRule="exact"/>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52" w:type="dxa"/>
          </w:tcPr>
          <w:p>
            <w:pPr>
              <w:spacing w:line="580" w:lineRule="exact"/>
              <w:jc w:val="center"/>
              <w:rPr>
                <w:rFonts w:ascii="仿宋_GB2312" w:hAnsi="仿宋" w:eastAsia="仿宋_GB2312" w:cs="仿宋"/>
                <w:sz w:val="28"/>
                <w:szCs w:val="28"/>
              </w:rPr>
            </w:pPr>
            <w:r>
              <w:rPr>
                <w:rFonts w:hint="eastAsia" w:ascii="仿宋_GB2312" w:hAnsi="仿宋" w:eastAsia="仿宋_GB2312" w:cs="仿宋"/>
                <w:sz w:val="28"/>
                <w:szCs w:val="28"/>
              </w:rPr>
              <w:t>其他成效</w:t>
            </w:r>
          </w:p>
        </w:tc>
        <w:tc>
          <w:tcPr>
            <w:tcW w:w="5528" w:type="dxa"/>
            <w:gridSpan w:val="2"/>
          </w:tcPr>
          <w:p>
            <w:pPr>
              <w:spacing w:line="580" w:lineRule="exact"/>
              <w:jc w:val="center"/>
              <w:rPr>
                <w:rFonts w:ascii="仿宋_GB2312" w:hAnsi="仿宋" w:eastAsia="仿宋_GB2312" w:cs="仿宋"/>
                <w:sz w:val="28"/>
                <w:szCs w:val="28"/>
              </w:rPr>
            </w:pP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2000000000000000000"/>
    <w:charset w:val="86"/>
    <w:family w:val="script"/>
    <w:pitch w:val="default"/>
    <w:sig w:usb0="A00002BF" w:usb1="38CF7CFA" w:usb2="00082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BEE340F"/>
    <w:rsid w:val="4BEE34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kern w:val="0"/>
      <w:sz w:val="24"/>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2021-05-28T09:04:00Z</dcterms:created>
  <dc:creator>同心县应急管理局收文员</dc:creator>
  <cp:lastModifiedBy>同心县应急管理局收文员</cp:lastModifiedBy>
  <dcterms:modified xsi:type="dcterms:W3CDTF">2021-05-28T09:06:03Z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EC753B8CAAB04FB6A94E3BAF96696E94</vt:lpwstr>
  </property>
</Properties>
</file>