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left"/>
        <w:rPr>
          <w:rFonts w:ascii="Times New Roman" w:hAnsi="Times New Roman" w:eastAsia="黑体" w:cs="Times New Roman"/>
          <w:kern w:val="0"/>
          <w:sz w:val="28"/>
          <w:szCs w:val="28"/>
        </w:rPr>
      </w:pPr>
      <w:r>
        <w:rPr>
          <w:rFonts w:ascii="Times New Roman" w:hAnsi="Times New Roman" w:eastAsia="黑体" w:cs="Times New Roman"/>
          <w:kern w:val="0"/>
          <w:sz w:val="28"/>
          <w:szCs w:val="28"/>
        </w:rPr>
        <w:t>附件：</w:t>
      </w:r>
    </w:p>
    <w:p>
      <w:pPr>
        <w:widowControl/>
        <w:spacing w:afterLines="50" w:line="500" w:lineRule="exact"/>
        <w:jc w:val="center"/>
        <w:rPr>
          <w:rFonts w:ascii="Times New Roman" w:hAnsi="Times New Roman" w:eastAsia="方正小标宋简体" w:cs="Times New Roman"/>
          <w:b/>
          <w:bCs/>
          <w:sz w:val="36"/>
          <w:szCs w:val="36"/>
        </w:rPr>
      </w:pPr>
      <w:bookmarkStart w:id="0" w:name="_GoBack"/>
      <w:r>
        <w:rPr>
          <w:rFonts w:ascii="Times New Roman" w:hAnsi="Times New Roman" w:eastAsia="方正小标宋简体" w:cs="Times New Roman"/>
          <w:sz w:val="36"/>
          <w:szCs w:val="36"/>
        </w:rPr>
        <w:t>同心县教育局推进义务教育优质均衡发展工作</w:t>
      </w:r>
      <w:r>
        <w:rPr>
          <w:rFonts w:ascii="Times New Roman" w:hAnsi="Times New Roman" w:eastAsia="方正小标宋简体" w:cs="Times New Roman"/>
          <w:b/>
          <w:bCs/>
          <w:sz w:val="36"/>
          <w:szCs w:val="36"/>
        </w:rPr>
        <w:t>责任分工表</w:t>
      </w:r>
    </w:p>
    <w:bookmarkEnd w:id="0"/>
    <w:tbl>
      <w:tblPr>
        <w:tblStyle w:val="7"/>
        <w:tblW w:w="13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3700"/>
        <w:gridCol w:w="5257"/>
        <w:gridCol w:w="953"/>
        <w:gridCol w:w="1446"/>
        <w:gridCol w:w="15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838" w:type="dxa"/>
            <w:vAlign w:val="center"/>
          </w:tcPr>
          <w:p>
            <w:pPr>
              <w:widowControl/>
              <w:spacing w:line="360" w:lineRule="exact"/>
              <w:jc w:val="center"/>
              <w:rPr>
                <w:rFonts w:ascii="Times New Roman" w:hAnsi="Times New Roman" w:eastAsia="华文中宋" w:cs="Times New Roman"/>
                <w:b/>
                <w:bCs/>
                <w:sz w:val="24"/>
              </w:rPr>
            </w:pPr>
            <w:r>
              <w:rPr>
                <w:rFonts w:ascii="Times New Roman" w:hAnsi="Times New Roman" w:eastAsia="仿宋" w:cs="Times New Roman"/>
                <w:b/>
                <w:bCs/>
                <w:sz w:val="24"/>
              </w:rPr>
              <w:t>一级指标</w:t>
            </w:r>
          </w:p>
        </w:tc>
        <w:tc>
          <w:tcPr>
            <w:tcW w:w="3700" w:type="dxa"/>
            <w:vAlign w:val="center"/>
          </w:tcPr>
          <w:p>
            <w:pPr>
              <w:widowControl/>
              <w:spacing w:line="360" w:lineRule="exact"/>
              <w:jc w:val="center"/>
              <w:rPr>
                <w:rFonts w:ascii="Times New Roman" w:hAnsi="Times New Roman" w:eastAsia="仿宋" w:cs="Times New Roman"/>
                <w:b/>
                <w:bCs/>
                <w:sz w:val="24"/>
              </w:rPr>
            </w:pPr>
            <w:r>
              <w:rPr>
                <w:rFonts w:ascii="Times New Roman" w:hAnsi="Times New Roman" w:eastAsia="仿宋" w:cs="Times New Roman"/>
                <w:b/>
                <w:bCs/>
                <w:sz w:val="24"/>
              </w:rPr>
              <w:t>二级指标</w:t>
            </w:r>
          </w:p>
        </w:tc>
        <w:tc>
          <w:tcPr>
            <w:tcW w:w="5257" w:type="dxa"/>
            <w:vAlign w:val="center"/>
          </w:tcPr>
          <w:p>
            <w:pPr>
              <w:widowControl/>
              <w:spacing w:line="360" w:lineRule="exact"/>
              <w:jc w:val="center"/>
              <w:rPr>
                <w:rFonts w:ascii="Times New Roman" w:hAnsi="Times New Roman" w:eastAsia="仿宋" w:cs="Times New Roman"/>
                <w:b/>
                <w:bCs/>
                <w:sz w:val="24"/>
              </w:rPr>
            </w:pPr>
            <w:r>
              <w:rPr>
                <w:rFonts w:ascii="Times New Roman" w:hAnsi="Times New Roman" w:eastAsia="仿宋" w:cs="Times New Roman"/>
                <w:b/>
                <w:bCs/>
                <w:sz w:val="24"/>
              </w:rPr>
              <w:t>评估要点</w:t>
            </w:r>
          </w:p>
        </w:tc>
        <w:tc>
          <w:tcPr>
            <w:tcW w:w="953" w:type="dxa"/>
            <w:vAlign w:val="center"/>
          </w:tcPr>
          <w:p>
            <w:pPr>
              <w:widowControl/>
              <w:spacing w:line="360" w:lineRule="exact"/>
              <w:jc w:val="center"/>
              <w:rPr>
                <w:rFonts w:ascii="Times New Roman" w:hAnsi="Times New Roman" w:eastAsia="华文中宋" w:cs="Times New Roman"/>
                <w:b/>
                <w:bCs/>
                <w:sz w:val="24"/>
              </w:rPr>
            </w:pPr>
            <w:r>
              <w:rPr>
                <w:rFonts w:ascii="Times New Roman" w:hAnsi="Times New Roman" w:eastAsia="仿宋" w:cs="Times New Roman"/>
                <w:b/>
                <w:bCs/>
                <w:sz w:val="28"/>
                <w:szCs w:val="28"/>
              </w:rPr>
              <w:t>牵头股室</w:t>
            </w:r>
          </w:p>
        </w:tc>
        <w:tc>
          <w:tcPr>
            <w:tcW w:w="1446" w:type="dxa"/>
            <w:vAlign w:val="center"/>
          </w:tcPr>
          <w:p>
            <w:pPr>
              <w:widowControl/>
              <w:spacing w:line="360" w:lineRule="exact"/>
              <w:jc w:val="center"/>
              <w:rPr>
                <w:rFonts w:ascii="Times New Roman" w:hAnsi="Times New Roman" w:eastAsia="仿宋" w:cs="Times New Roman"/>
                <w:b/>
                <w:bCs/>
                <w:sz w:val="24"/>
              </w:rPr>
            </w:pPr>
            <w:r>
              <w:rPr>
                <w:rFonts w:ascii="Times New Roman" w:hAnsi="Times New Roman" w:eastAsia="仿宋" w:cs="Times New Roman"/>
                <w:b/>
                <w:bCs/>
                <w:sz w:val="28"/>
                <w:szCs w:val="28"/>
              </w:rPr>
              <w:t>配合单位</w:t>
            </w:r>
          </w:p>
        </w:tc>
        <w:tc>
          <w:tcPr>
            <w:tcW w:w="1576" w:type="dxa"/>
            <w:vAlign w:val="center"/>
          </w:tcPr>
          <w:p>
            <w:pPr>
              <w:widowControl/>
              <w:spacing w:line="360" w:lineRule="exact"/>
              <w:jc w:val="center"/>
              <w:rPr>
                <w:rFonts w:ascii="Times New Roman" w:hAnsi="Times New Roman" w:eastAsia="华文中宋" w:cs="Times New Roman"/>
                <w:b/>
                <w:bCs/>
                <w:sz w:val="24"/>
              </w:rPr>
            </w:pPr>
            <w:r>
              <w:rPr>
                <w:rFonts w:ascii="Times New Roman" w:hAnsi="Times New Roman" w:eastAsia="仿宋" w:cs="Times New Roman"/>
                <w:b/>
                <w:bCs/>
                <w:sz w:val="24"/>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Merge w:val="restart"/>
            <w:vAlign w:val="center"/>
          </w:tcPr>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资</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源</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配</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置</w:t>
            </w:r>
          </w:p>
        </w:tc>
        <w:tc>
          <w:tcPr>
            <w:tcW w:w="3700"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1.每百名学生拥有高于规定学历教师数小学达到4.2人以上；初中达到5.3人以上。</w:t>
            </w:r>
          </w:p>
        </w:tc>
        <w:tc>
          <w:tcPr>
            <w:tcW w:w="5257"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学校专任教师学历达标情况。</w:t>
            </w:r>
          </w:p>
        </w:tc>
        <w:tc>
          <w:tcPr>
            <w:tcW w:w="953"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tc>
        <w:tc>
          <w:tcPr>
            <w:tcW w:w="144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7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838" w:type="dxa"/>
            <w:vMerge w:val="continue"/>
          </w:tcPr>
          <w:p>
            <w:pPr>
              <w:widowControl/>
              <w:jc w:val="center"/>
              <w:rPr>
                <w:rFonts w:ascii="Times New Roman" w:hAnsi="Times New Roman" w:eastAsia="仿宋_GB2312" w:cs="Times New Roman"/>
                <w:sz w:val="32"/>
                <w:szCs w:val="32"/>
              </w:rPr>
            </w:pPr>
          </w:p>
        </w:tc>
        <w:tc>
          <w:tcPr>
            <w:tcW w:w="3700"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2.每百名学生拥有县级以上骨干教师数小学初中均达到1人以上。</w:t>
            </w:r>
          </w:p>
        </w:tc>
        <w:tc>
          <w:tcPr>
            <w:tcW w:w="5257"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县级及以上骨干教师认定文件和证书复印件。</w:t>
            </w:r>
          </w:p>
        </w:tc>
        <w:tc>
          <w:tcPr>
            <w:tcW w:w="953"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师培中心</w:t>
            </w:r>
          </w:p>
        </w:tc>
        <w:tc>
          <w:tcPr>
            <w:tcW w:w="144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7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5" w:hRule="atLeast"/>
          <w:jc w:val="center"/>
        </w:trPr>
        <w:tc>
          <w:tcPr>
            <w:tcW w:w="838" w:type="dxa"/>
            <w:vMerge w:val="continue"/>
          </w:tcPr>
          <w:p>
            <w:pPr>
              <w:widowControl/>
              <w:jc w:val="center"/>
              <w:rPr>
                <w:rFonts w:ascii="Times New Roman" w:hAnsi="Times New Roman" w:eastAsia="仿宋_GB2312" w:cs="Times New Roman"/>
                <w:sz w:val="32"/>
                <w:szCs w:val="32"/>
              </w:rPr>
            </w:pPr>
          </w:p>
        </w:tc>
        <w:tc>
          <w:tcPr>
            <w:tcW w:w="3700"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3.每百名学生拥有体育、艺术（美术、音乐）专任教师数小学初中均达到0.9人以上。</w:t>
            </w:r>
          </w:p>
        </w:tc>
        <w:tc>
          <w:tcPr>
            <w:tcW w:w="5257"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1.按标准配备专职体育、艺术（音乐、美术）专任教师情况；</w:t>
            </w:r>
          </w:p>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2.对50人以上不足100人的农村小规模学校和教学点，通过交流轮岗、兼职、走教等形式满足体育、艺术（美术、音乐）教师数量。</w:t>
            </w:r>
          </w:p>
        </w:tc>
        <w:tc>
          <w:tcPr>
            <w:tcW w:w="953"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tc>
        <w:tc>
          <w:tcPr>
            <w:tcW w:w="144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文体股</w:t>
            </w:r>
          </w:p>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7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Merge w:val="continue"/>
          </w:tcPr>
          <w:p>
            <w:pPr>
              <w:widowControl/>
              <w:jc w:val="center"/>
              <w:rPr>
                <w:rFonts w:ascii="Times New Roman" w:hAnsi="Times New Roman" w:eastAsia="仿宋_GB2312" w:cs="Times New Roman"/>
                <w:sz w:val="32"/>
                <w:szCs w:val="32"/>
              </w:rPr>
            </w:pPr>
          </w:p>
        </w:tc>
        <w:tc>
          <w:tcPr>
            <w:tcW w:w="3700"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4.生均教学及辅助用房面积小学达到4.5平方米以上；初中达到5.8平方米以上。</w:t>
            </w:r>
          </w:p>
        </w:tc>
        <w:tc>
          <w:tcPr>
            <w:tcW w:w="5257"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1.科学合理布局教学及辅助用房，按标准配足配齐教学及辅助用房；</w:t>
            </w:r>
          </w:p>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2.教学及辅助用房建设达到国家和自治区标准；3.提高专用教室使用率。</w:t>
            </w:r>
          </w:p>
        </w:tc>
        <w:tc>
          <w:tcPr>
            <w:tcW w:w="953"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项目办</w:t>
            </w:r>
          </w:p>
        </w:tc>
        <w:tc>
          <w:tcPr>
            <w:tcW w:w="144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7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Merge w:val="continue"/>
          </w:tcPr>
          <w:p>
            <w:pPr>
              <w:widowControl/>
              <w:jc w:val="center"/>
              <w:rPr>
                <w:rFonts w:ascii="Times New Roman" w:hAnsi="Times New Roman" w:eastAsia="仿宋_GB2312" w:cs="Times New Roman"/>
                <w:sz w:val="32"/>
                <w:szCs w:val="32"/>
              </w:rPr>
            </w:pPr>
          </w:p>
        </w:tc>
        <w:tc>
          <w:tcPr>
            <w:tcW w:w="3700"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5.生均体育运动场馆面积小学达到7.5平方米以上；初中达到10.2平方米以上。</w:t>
            </w:r>
          </w:p>
        </w:tc>
        <w:tc>
          <w:tcPr>
            <w:tcW w:w="5257"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1.科学合理布局体育运动场馆，按标准规划建设学校体育运动场馆，生均面积达到标准；</w:t>
            </w:r>
          </w:p>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2.提高体育运动场馆使用率，充分发挥作用。</w:t>
            </w:r>
          </w:p>
        </w:tc>
        <w:tc>
          <w:tcPr>
            <w:tcW w:w="953"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项目办</w:t>
            </w:r>
          </w:p>
        </w:tc>
        <w:tc>
          <w:tcPr>
            <w:tcW w:w="144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文体股</w:t>
            </w:r>
          </w:p>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7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Merge w:val="continue"/>
          </w:tcPr>
          <w:p>
            <w:pPr>
              <w:widowControl/>
              <w:jc w:val="center"/>
              <w:rPr>
                <w:rFonts w:ascii="Times New Roman" w:hAnsi="Times New Roman" w:eastAsia="仿宋_GB2312" w:cs="Times New Roman"/>
                <w:sz w:val="32"/>
                <w:szCs w:val="32"/>
              </w:rPr>
            </w:pPr>
          </w:p>
        </w:tc>
        <w:tc>
          <w:tcPr>
            <w:tcW w:w="3700"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6.生均教学仪器设备值小学达到2000元以上；初中达到2500元以上</w:t>
            </w:r>
          </w:p>
        </w:tc>
        <w:tc>
          <w:tcPr>
            <w:tcW w:w="5257"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1.按照《宁夏中小学教育技术装备标准》配齐配足教学仪器设备，且生均教学仪器设备值达到规定要求；</w:t>
            </w:r>
          </w:p>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2.教学仪器设备更新机制建立及落实情况。</w:t>
            </w:r>
          </w:p>
        </w:tc>
        <w:tc>
          <w:tcPr>
            <w:tcW w:w="953"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tc>
        <w:tc>
          <w:tcPr>
            <w:tcW w:w="144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教研室</w:t>
            </w:r>
          </w:p>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7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38" w:type="dxa"/>
            <w:vMerge w:val="continue"/>
          </w:tcPr>
          <w:p>
            <w:pPr>
              <w:widowControl/>
              <w:jc w:val="center"/>
              <w:rPr>
                <w:rFonts w:ascii="Times New Roman" w:hAnsi="Times New Roman" w:eastAsia="仿宋_GB2312" w:cs="Times New Roman"/>
                <w:sz w:val="32"/>
                <w:szCs w:val="32"/>
              </w:rPr>
            </w:pPr>
          </w:p>
        </w:tc>
        <w:tc>
          <w:tcPr>
            <w:tcW w:w="3700"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7.每百名学生拥有网络多媒体教室数小学达到2.3间以上;初中达到2.4间以上。</w:t>
            </w:r>
          </w:p>
        </w:tc>
        <w:tc>
          <w:tcPr>
            <w:tcW w:w="5257" w:type="dxa"/>
            <w:vAlign w:val="center"/>
          </w:tcPr>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1.网络多媒体教室建设数量不低于自治区标准；</w:t>
            </w:r>
          </w:p>
          <w:p>
            <w:pPr>
              <w:widowControl/>
              <w:spacing w:line="280" w:lineRule="exact"/>
              <w:rPr>
                <w:rFonts w:ascii="Times New Roman" w:hAnsi="Times New Roman" w:eastAsia="仿宋_GB2312" w:cs="Times New Roman"/>
                <w:sz w:val="24"/>
              </w:rPr>
            </w:pPr>
            <w:r>
              <w:rPr>
                <w:rFonts w:ascii="Times New Roman" w:hAnsi="Times New Roman" w:eastAsia="仿宋_GB2312" w:cs="Times New Roman"/>
                <w:sz w:val="24"/>
              </w:rPr>
              <w:t>2.网络多媒体教室设备配备、管理、更新及运行情况。</w:t>
            </w:r>
          </w:p>
        </w:tc>
        <w:tc>
          <w:tcPr>
            <w:tcW w:w="953"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信息办</w:t>
            </w:r>
          </w:p>
        </w:tc>
        <w:tc>
          <w:tcPr>
            <w:tcW w:w="144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76" w:type="dxa"/>
            <w:vAlign w:val="center"/>
          </w:tcPr>
          <w:p>
            <w:pPr>
              <w:widowControl/>
              <w:spacing w:line="280" w:lineRule="exact"/>
              <w:jc w:val="center"/>
              <w:rPr>
                <w:rFonts w:ascii="Times New Roman" w:hAnsi="Times New Roman" w:eastAsia="仿宋_GB2312" w:cs="Times New Roman"/>
                <w:sz w:val="24"/>
              </w:rPr>
            </w:pPr>
            <w:r>
              <w:rPr>
                <w:rFonts w:ascii="Times New Roman" w:hAnsi="Times New Roman" w:eastAsia="仿宋_GB2312" w:cs="Times New Roman"/>
                <w:sz w:val="24"/>
              </w:rPr>
              <w:t>2023年12月</w:t>
            </w:r>
          </w:p>
        </w:tc>
      </w:tr>
    </w:tbl>
    <w:p>
      <w:pPr>
        <w:widowControl/>
        <w:spacing w:afterLines="50" w:line="500" w:lineRule="exact"/>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同心县教育局推进义务教育优质均衡发展工作责任分工表</w:t>
      </w:r>
    </w:p>
    <w:tbl>
      <w:tblPr>
        <w:tblStyle w:val="7"/>
        <w:tblW w:w="140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540"/>
        <w:gridCol w:w="4940"/>
        <w:gridCol w:w="1460"/>
        <w:gridCol w:w="1522"/>
        <w:gridCol w:w="16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910" w:type="dxa"/>
            <w:vAlign w:val="center"/>
          </w:tcPr>
          <w:p>
            <w:pPr>
              <w:widowControl/>
              <w:spacing w:line="44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一级指标</w:t>
            </w:r>
          </w:p>
        </w:tc>
        <w:tc>
          <w:tcPr>
            <w:tcW w:w="3540" w:type="dxa"/>
            <w:vAlign w:val="center"/>
          </w:tcPr>
          <w:p>
            <w:pPr>
              <w:widowControl/>
              <w:spacing w:line="44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二级指标</w:t>
            </w:r>
          </w:p>
        </w:tc>
        <w:tc>
          <w:tcPr>
            <w:tcW w:w="4940" w:type="dxa"/>
            <w:vAlign w:val="center"/>
          </w:tcPr>
          <w:p>
            <w:pPr>
              <w:widowControl/>
              <w:spacing w:line="44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评估要点</w:t>
            </w:r>
          </w:p>
        </w:tc>
        <w:tc>
          <w:tcPr>
            <w:tcW w:w="1460"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牵头股室</w:t>
            </w:r>
          </w:p>
        </w:tc>
        <w:tc>
          <w:tcPr>
            <w:tcW w:w="1522"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配合单位</w:t>
            </w:r>
          </w:p>
        </w:tc>
        <w:tc>
          <w:tcPr>
            <w:tcW w:w="1637" w:type="dxa"/>
            <w:vAlign w:val="center"/>
          </w:tcPr>
          <w:p>
            <w:pPr>
              <w:widowControl/>
              <w:spacing w:line="44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0" w:hRule="atLeast"/>
          <w:jc w:val="center"/>
        </w:trPr>
        <w:tc>
          <w:tcPr>
            <w:tcW w:w="910" w:type="dxa"/>
            <w:vMerge w:val="restart"/>
            <w:vAlign w:val="center"/>
          </w:tcPr>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政</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府</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保</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障</w:t>
            </w:r>
          </w:p>
        </w:tc>
        <w:tc>
          <w:tcPr>
            <w:tcW w:w="354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1.县域内义务教育学校规划布局合理，符合国家规定要求。</w:t>
            </w:r>
          </w:p>
        </w:tc>
        <w:tc>
          <w:tcPr>
            <w:tcW w:w="494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1.义务教育阶段学校布局专项规划，纳入本地国土空间总体规划和控制性详细规划。</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2.中小学布局调整方案（人口、密度等）；</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3.义务教育学校分布图。</w:t>
            </w:r>
          </w:p>
        </w:tc>
        <w:tc>
          <w:tcPr>
            <w:tcW w:w="14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522"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项目办</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tc>
        <w:tc>
          <w:tcPr>
            <w:tcW w:w="1637"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0" w:hRule="atLeast"/>
          <w:jc w:val="center"/>
        </w:trPr>
        <w:tc>
          <w:tcPr>
            <w:tcW w:w="910" w:type="dxa"/>
            <w:vMerge w:val="continue"/>
          </w:tcPr>
          <w:p>
            <w:pPr>
              <w:widowControl/>
              <w:jc w:val="center"/>
              <w:rPr>
                <w:rFonts w:ascii="Times New Roman" w:hAnsi="Times New Roman" w:eastAsia="仿宋_GB2312" w:cs="Times New Roman"/>
                <w:sz w:val="32"/>
                <w:szCs w:val="32"/>
              </w:rPr>
            </w:pPr>
          </w:p>
        </w:tc>
        <w:tc>
          <w:tcPr>
            <w:tcW w:w="354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2.县域内城乡义务教育学校建设标准统一、教师编制标准统一、生均公用经费基准定额统一、基本装备配置标准统一。</w:t>
            </w:r>
          </w:p>
        </w:tc>
        <w:tc>
          <w:tcPr>
            <w:tcW w:w="494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落实国家和自治区“四统一”要求。</w:t>
            </w:r>
          </w:p>
        </w:tc>
        <w:tc>
          <w:tcPr>
            <w:tcW w:w="14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522"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项目办</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tc>
        <w:tc>
          <w:tcPr>
            <w:tcW w:w="1637"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0" w:hRule="atLeast"/>
          <w:jc w:val="center"/>
        </w:trPr>
        <w:tc>
          <w:tcPr>
            <w:tcW w:w="910" w:type="dxa"/>
            <w:vMerge w:val="continue"/>
          </w:tcPr>
          <w:p>
            <w:pPr>
              <w:widowControl/>
              <w:jc w:val="center"/>
              <w:rPr>
                <w:rFonts w:ascii="Times New Roman" w:hAnsi="Times New Roman" w:eastAsia="仿宋_GB2312" w:cs="Times New Roman"/>
                <w:sz w:val="32"/>
                <w:szCs w:val="32"/>
              </w:rPr>
            </w:pPr>
          </w:p>
        </w:tc>
        <w:tc>
          <w:tcPr>
            <w:tcW w:w="354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3.所有小学、初中每12 个班级配备音乐、美术专用教室1 间以上；其中，每间音乐专用教室面积不小于 96 平方米，每间美术专用教室面积不小于 90 平方米。</w:t>
            </w:r>
          </w:p>
        </w:tc>
        <w:tc>
          <w:tcPr>
            <w:tcW w:w="494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1.音乐、美术专用教室建设达标情况；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2.音乐、美术专用教室建设设计平面图。</w:t>
            </w:r>
          </w:p>
        </w:tc>
        <w:tc>
          <w:tcPr>
            <w:tcW w:w="14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项目办</w:t>
            </w:r>
          </w:p>
        </w:tc>
        <w:tc>
          <w:tcPr>
            <w:tcW w:w="1522"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37"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bl>
    <w:p>
      <w:pPr>
        <w:widowControl/>
        <w:spacing w:afterLines="50" w:line="500" w:lineRule="exact"/>
        <w:jc w:val="center"/>
        <w:rPr>
          <w:rFonts w:ascii="Times New Roman" w:hAnsi="Times New Roman" w:eastAsia="方正小标宋简体" w:cs="Times New Roman"/>
          <w:sz w:val="36"/>
          <w:szCs w:val="36"/>
        </w:rPr>
      </w:pPr>
    </w:p>
    <w:p>
      <w:pPr>
        <w:widowControl/>
        <w:spacing w:afterLines="50" w:line="500" w:lineRule="exact"/>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同心县教育局推进义务教育优质均衡发展工作责任分工表</w:t>
      </w:r>
    </w:p>
    <w:tbl>
      <w:tblPr>
        <w:tblStyle w:val="7"/>
        <w:tblW w:w="14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9"/>
        <w:gridCol w:w="4580"/>
        <w:gridCol w:w="4200"/>
        <w:gridCol w:w="1400"/>
        <w:gridCol w:w="1560"/>
        <w:gridCol w:w="15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849"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一级指标</w:t>
            </w:r>
          </w:p>
        </w:tc>
        <w:tc>
          <w:tcPr>
            <w:tcW w:w="4580"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二级指标</w:t>
            </w:r>
          </w:p>
        </w:tc>
        <w:tc>
          <w:tcPr>
            <w:tcW w:w="4200"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评估要点</w:t>
            </w:r>
          </w:p>
        </w:tc>
        <w:tc>
          <w:tcPr>
            <w:tcW w:w="1400"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牵头股室</w:t>
            </w:r>
          </w:p>
        </w:tc>
        <w:tc>
          <w:tcPr>
            <w:tcW w:w="1560"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配合单位</w:t>
            </w:r>
          </w:p>
        </w:tc>
        <w:tc>
          <w:tcPr>
            <w:tcW w:w="1589"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849" w:type="dxa"/>
            <w:vMerge w:val="restart"/>
            <w:vAlign w:val="center"/>
          </w:tcPr>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政</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府</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保</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障</w:t>
            </w:r>
          </w:p>
        </w:tc>
        <w:tc>
          <w:tcPr>
            <w:tcW w:w="458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4.所有小学.初中规模不超过2000 人，九年一贯制学校、十二年一贯制学校义务教育阶段规模不超过 2500 人。</w:t>
            </w:r>
          </w:p>
        </w:tc>
        <w:tc>
          <w:tcPr>
            <w:tcW w:w="42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学校规模达标情况。</w:t>
            </w:r>
          </w:p>
        </w:tc>
        <w:tc>
          <w:tcPr>
            <w:tcW w:w="14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5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项目办</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2023年9月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849" w:type="dxa"/>
            <w:vMerge w:val="continue"/>
          </w:tcPr>
          <w:p>
            <w:pPr>
              <w:widowControl/>
              <w:jc w:val="center"/>
              <w:rPr>
                <w:rFonts w:ascii="Times New Roman" w:hAnsi="Times New Roman" w:eastAsia="仿宋_GB2312" w:cs="Times New Roman"/>
                <w:sz w:val="32"/>
                <w:szCs w:val="32"/>
              </w:rPr>
            </w:pPr>
          </w:p>
        </w:tc>
        <w:tc>
          <w:tcPr>
            <w:tcW w:w="458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5.小学、初中所有班级学生数分别不超过 45 人、50 人。</w:t>
            </w:r>
          </w:p>
        </w:tc>
        <w:tc>
          <w:tcPr>
            <w:tcW w:w="42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班额达标情况。</w:t>
            </w:r>
          </w:p>
        </w:tc>
        <w:tc>
          <w:tcPr>
            <w:tcW w:w="14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5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2023年9月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849" w:type="dxa"/>
            <w:vMerge w:val="continue"/>
          </w:tcPr>
          <w:p>
            <w:pPr>
              <w:widowControl/>
              <w:jc w:val="center"/>
              <w:rPr>
                <w:rFonts w:ascii="Times New Roman" w:hAnsi="Times New Roman" w:eastAsia="仿宋_GB2312" w:cs="Times New Roman"/>
                <w:sz w:val="32"/>
                <w:szCs w:val="32"/>
              </w:rPr>
            </w:pPr>
          </w:p>
        </w:tc>
        <w:tc>
          <w:tcPr>
            <w:tcW w:w="458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6.不足 100 名学生村小学和教学点按 100 名学生核定公用经费。</w:t>
            </w:r>
          </w:p>
        </w:tc>
        <w:tc>
          <w:tcPr>
            <w:tcW w:w="42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按标准拨付生均公用经费情况。</w:t>
            </w:r>
          </w:p>
        </w:tc>
        <w:tc>
          <w:tcPr>
            <w:tcW w:w="14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tc>
        <w:tc>
          <w:tcPr>
            <w:tcW w:w="15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jc w:val="center"/>
        </w:trPr>
        <w:tc>
          <w:tcPr>
            <w:tcW w:w="849" w:type="dxa"/>
            <w:vMerge w:val="continue"/>
          </w:tcPr>
          <w:p>
            <w:pPr>
              <w:widowControl/>
              <w:jc w:val="center"/>
              <w:rPr>
                <w:rFonts w:ascii="Times New Roman" w:hAnsi="Times New Roman" w:eastAsia="仿宋_GB2312" w:cs="Times New Roman"/>
                <w:sz w:val="32"/>
                <w:szCs w:val="32"/>
              </w:rPr>
            </w:pPr>
          </w:p>
        </w:tc>
        <w:tc>
          <w:tcPr>
            <w:tcW w:w="458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7.特殊教育学校生均公用经费不低于 6000 元。</w:t>
            </w:r>
          </w:p>
        </w:tc>
        <w:tc>
          <w:tcPr>
            <w:tcW w:w="42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按标准拨付特殊教育公用经费情况。</w:t>
            </w:r>
          </w:p>
        </w:tc>
        <w:tc>
          <w:tcPr>
            <w:tcW w:w="14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tc>
        <w:tc>
          <w:tcPr>
            <w:tcW w:w="15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特教学校</w:t>
            </w:r>
          </w:p>
        </w:tc>
        <w:tc>
          <w:tcPr>
            <w:tcW w:w="15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0" w:hRule="atLeast"/>
          <w:jc w:val="center"/>
        </w:trPr>
        <w:tc>
          <w:tcPr>
            <w:tcW w:w="849" w:type="dxa"/>
            <w:vMerge w:val="continue"/>
          </w:tcPr>
          <w:p>
            <w:pPr>
              <w:widowControl/>
              <w:jc w:val="center"/>
              <w:rPr>
                <w:rFonts w:ascii="Times New Roman" w:hAnsi="Times New Roman" w:eastAsia="仿宋_GB2312" w:cs="Times New Roman"/>
                <w:sz w:val="32"/>
                <w:szCs w:val="32"/>
              </w:rPr>
            </w:pPr>
          </w:p>
        </w:tc>
        <w:tc>
          <w:tcPr>
            <w:tcW w:w="458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8.全县义务教育学校教师平均工资收入水平不低于当地公务员平均工资收入水平，按规定足额核定教师绩效工资总量。</w:t>
            </w:r>
          </w:p>
        </w:tc>
        <w:tc>
          <w:tcPr>
            <w:tcW w:w="42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1.全县公务员平均工资收入和义务教育学校教师平均工资收入情况；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2.教师绩效工资核定发放情况。</w:t>
            </w:r>
          </w:p>
        </w:tc>
        <w:tc>
          <w:tcPr>
            <w:tcW w:w="14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tc>
        <w:tc>
          <w:tcPr>
            <w:tcW w:w="15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849" w:type="dxa"/>
            <w:vMerge w:val="continue"/>
          </w:tcPr>
          <w:p>
            <w:pPr>
              <w:widowControl/>
              <w:jc w:val="center"/>
              <w:rPr>
                <w:rFonts w:ascii="Times New Roman" w:hAnsi="Times New Roman" w:eastAsia="仿宋_GB2312" w:cs="Times New Roman"/>
                <w:sz w:val="32"/>
                <w:szCs w:val="32"/>
              </w:rPr>
            </w:pPr>
          </w:p>
        </w:tc>
        <w:tc>
          <w:tcPr>
            <w:tcW w:w="458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9.教师 5 年 360 学时培训完成率达到 100%。</w:t>
            </w:r>
          </w:p>
        </w:tc>
        <w:tc>
          <w:tcPr>
            <w:tcW w:w="42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教师培训机制建立及培训达标情况。</w:t>
            </w:r>
          </w:p>
        </w:tc>
        <w:tc>
          <w:tcPr>
            <w:tcW w:w="14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师资培训中心</w:t>
            </w:r>
          </w:p>
        </w:tc>
        <w:tc>
          <w:tcPr>
            <w:tcW w:w="156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5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bl>
    <w:p>
      <w:pPr>
        <w:widowControl/>
        <w:spacing w:afterLines="50" w:line="500" w:lineRule="exact"/>
        <w:jc w:val="center"/>
        <w:rPr>
          <w:rFonts w:ascii="Times New Roman" w:hAnsi="Times New Roman" w:eastAsia="方正小标宋简体" w:cs="Times New Roman"/>
          <w:sz w:val="36"/>
          <w:szCs w:val="36"/>
        </w:rPr>
      </w:pPr>
    </w:p>
    <w:p>
      <w:pPr>
        <w:widowControl/>
        <w:spacing w:afterLines="50" w:line="500" w:lineRule="exact"/>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同心县教育局推进义务教育优质均衡发展工作责任分工表</w:t>
      </w:r>
    </w:p>
    <w:tbl>
      <w:tblPr>
        <w:tblStyle w:val="7"/>
        <w:tblW w:w="142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4120"/>
        <w:gridCol w:w="4400"/>
        <w:gridCol w:w="1520"/>
        <w:gridCol w:w="1489"/>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atLeast"/>
          <w:jc w:val="center"/>
        </w:trPr>
        <w:tc>
          <w:tcPr>
            <w:tcW w:w="955"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一级指标</w:t>
            </w:r>
          </w:p>
        </w:tc>
        <w:tc>
          <w:tcPr>
            <w:tcW w:w="4120"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二级指标</w:t>
            </w:r>
          </w:p>
        </w:tc>
        <w:tc>
          <w:tcPr>
            <w:tcW w:w="4400"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评估要点</w:t>
            </w:r>
          </w:p>
        </w:tc>
        <w:tc>
          <w:tcPr>
            <w:tcW w:w="1520"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牵头股室</w:t>
            </w:r>
          </w:p>
        </w:tc>
        <w:tc>
          <w:tcPr>
            <w:tcW w:w="1489"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配合单位</w:t>
            </w:r>
          </w:p>
        </w:tc>
        <w:tc>
          <w:tcPr>
            <w:tcW w:w="1800"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0" w:hRule="atLeast"/>
          <w:jc w:val="center"/>
        </w:trPr>
        <w:tc>
          <w:tcPr>
            <w:tcW w:w="955" w:type="dxa"/>
            <w:vMerge w:val="restart"/>
            <w:vAlign w:val="center"/>
          </w:tcPr>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政</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府</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保</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障</w:t>
            </w:r>
          </w:p>
        </w:tc>
        <w:tc>
          <w:tcPr>
            <w:tcW w:w="41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10.县级教育行政部门在核定的教职工编制总额和岗位总量内，统筹分配各校教职工编制和岗位数量。</w:t>
            </w:r>
          </w:p>
        </w:tc>
        <w:tc>
          <w:tcPr>
            <w:tcW w:w="44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1.教职工编制总额核定情况；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2.教育部门统筹调配教职工情况；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3.推行中小学教师“县管校聘”情况。</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tc>
        <w:tc>
          <w:tcPr>
            <w:tcW w:w="14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8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955" w:type="dxa"/>
            <w:vMerge w:val="continue"/>
          </w:tcPr>
          <w:p>
            <w:pPr>
              <w:widowControl/>
              <w:jc w:val="center"/>
              <w:rPr>
                <w:rFonts w:ascii="Times New Roman" w:hAnsi="Times New Roman" w:eastAsia="仿宋_GB2312" w:cs="Times New Roman"/>
                <w:sz w:val="32"/>
                <w:szCs w:val="32"/>
              </w:rPr>
            </w:pPr>
          </w:p>
        </w:tc>
        <w:tc>
          <w:tcPr>
            <w:tcW w:w="41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11.全县每年交流轮岗教师的比例不低于符合交流条件教师总数的 10%；其中，骨干教师不低于交流轮岗教师总数的 20%。</w:t>
            </w:r>
          </w:p>
        </w:tc>
        <w:tc>
          <w:tcPr>
            <w:tcW w:w="44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教师交流轮岗机制建立及落实情况。</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tc>
        <w:tc>
          <w:tcPr>
            <w:tcW w:w="14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师培中心</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8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0" w:hRule="atLeast"/>
          <w:jc w:val="center"/>
        </w:trPr>
        <w:tc>
          <w:tcPr>
            <w:tcW w:w="955" w:type="dxa"/>
            <w:vMerge w:val="continue"/>
          </w:tcPr>
          <w:p>
            <w:pPr>
              <w:widowControl/>
              <w:jc w:val="center"/>
              <w:rPr>
                <w:rFonts w:ascii="Times New Roman" w:hAnsi="Times New Roman" w:eastAsia="仿宋_GB2312" w:cs="Times New Roman"/>
                <w:sz w:val="32"/>
                <w:szCs w:val="32"/>
              </w:rPr>
            </w:pPr>
          </w:p>
        </w:tc>
        <w:tc>
          <w:tcPr>
            <w:tcW w:w="41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12.专任教师持有教师资格证上岗率达到 100%。</w:t>
            </w:r>
          </w:p>
        </w:tc>
        <w:tc>
          <w:tcPr>
            <w:tcW w:w="44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专任教师持证上岗情况。</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tc>
        <w:tc>
          <w:tcPr>
            <w:tcW w:w="14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8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jc w:val="center"/>
        </w:trPr>
        <w:tc>
          <w:tcPr>
            <w:tcW w:w="955" w:type="dxa"/>
            <w:vMerge w:val="continue"/>
          </w:tcPr>
          <w:p>
            <w:pPr>
              <w:widowControl/>
              <w:jc w:val="center"/>
              <w:rPr>
                <w:rFonts w:ascii="Times New Roman" w:hAnsi="Times New Roman" w:eastAsia="仿宋_GB2312" w:cs="Times New Roman"/>
                <w:sz w:val="32"/>
                <w:szCs w:val="32"/>
              </w:rPr>
            </w:pPr>
          </w:p>
        </w:tc>
        <w:tc>
          <w:tcPr>
            <w:tcW w:w="41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13.城区和镇区公办小学、初中（均不含寄宿制学校）就近划片入学比例分别达到 100%、95%以上。</w:t>
            </w:r>
          </w:p>
        </w:tc>
        <w:tc>
          <w:tcPr>
            <w:tcW w:w="44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义务教育学校落实就近划片入学情况。</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4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8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955" w:type="dxa"/>
            <w:vMerge w:val="continue"/>
          </w:tcPr>
          <w:p>
            <w:pPr>
              <w:widowControl/>
              <w:jc w:val="center"/>
              <w:rPr>
                <w:rFonts w:ascii="Times New Roman" w:hAnsi="Times New Roman" w:eastAsia="仿宋_GB2312" w:cs="Times New Roman"/>
                <w:sz w:val="32"/>
                <w:szCs w:val="32"/>
              </w:rPr>
            </w:pPr>
          </w:p>
        </w:tc>
        <w:tc>
          <w:tcPr>
            <w:tcW w:w="41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14.全县优质高中招生名额分配比例不低于 50%，并向农村初中倾斜</w:t>
            </w:r>
          </w:p>
        </w:tc>
        <w:tc>
          <w:tcPr>
            <w:tcW w:w="44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根据宁夏政策核查，优质高中招生指标到校不低于60%。</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4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各中学</w:t>
            </w:r>
          </w:p>
        </w:tc>
        <w:tc>
          <w:tcPr>
            <w:tcW w:w="18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5" w:type="dxa"/>
            <w:vMerge w:val="continue"/>
          </w:tcPr>
          <w:p>
            <w:pPr>
              <w:widowControl/>
              <w:jc w:val="center"/>
              <w:rPr>
                <w:rFonts w:ascii="Times New Roman" w:hAnsi="Times New Roman" w:eastAsia="仿宋_GB2312" w:cs="Times New Roman"/>
                <w:sz w:val="32"/>
                <w:szCs w:val="32"/>
              </w:rPr>
            </w:pPr>
          </w:p>
        </w:tc>
        <w:tc>
          <w:tcPr>
            <w:tcW w:w="41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15.留守儿童关爱体系健全，全县符合条件的随迁子女在公办学校和政府购买服务的民办学校就读的比例不低于85%。</w:t>
            </w:r>
          </w:p>
        </w:tc>
        <w:tc>
          <w:tcPr>
            <w:tcW w:w="440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1.县、乡（镇）、村建立农村留守儿童关爱服务体系和救助保护机制情况；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2.学校建立留守儿童结对帮扶机制情况；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3.落实随迁子女就学保障情况。</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489"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资助中心</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80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bl>
    <w:p>
      <w:pPr>
        <w:widowControl/>
        <w:spacing w:afterLines="50" w:line="500" w:lineRule="exact"/>
        <w:jc w:val="center"/>
        <w:rPr>
          <w:rFonts w:ascii="Times New Roman" w:hAnsi="Times New Roman" w:eastAsia="方正小标宋简体" w:cs="Times New Roman"/>
          <w:sz w:val="36"/>
          <w:szCs w:val="36"/>
        </w:rPr>
      </w:pPr>
    </w:p>
    <w:p>
      <w:pPr>
        <w:widowControl/>
        <w:spacing w:afterLines="50" w:line="500" w:lineRule="exact"/>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同心县教育局推进义务教育优质均衡发展工作责任分工表</w:t>
      </w:r>
    </w:p>
    <w:tbl>
      <w:tblPr>
        <w:tblStyle w:val="7"/>
        <w:tblW w:w="142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
        <w:gridCol w:w="4020"/>
        <w:gridCol w:w="4805"/>
        <w:gridCol w:w="1530"/>
        <w:gridCol w:w="1350"/>
        <w:gridCol w:w="1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jc w:val="center"/>
        </w:trPr>
        <w:tc>
          <w:tcPr>
            <w:tcW w:w="915"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一级指标</w:t>
            </w:r>
          </w:p>
        </w:tc>
        <w:tc>
          <w:tcPr>
            <w:tcW w:w="4020"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二级指标</w:t>
            </w:r>
          </w:p>
        </w:tc>
        <w:tc>
          <w:tcPr>
            <w:tcW w:w="4805"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评估要点</w:t>
            </w:r>
          </w:p>
        </w:tc>
        <w:tc>
          <w:tcPr>
            <w:tcW w:w="1530"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牵头股室</w:t>
            </w:r>
          </w:p>
        </w:tc>
        <w:tc>
          <w:tcPr>
            <w:tcW w:w="1350"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配合单位</w:t>
            </w:r>
          </w:p>
        </w:tc>
        <w:tc>
          <w:tcPr>
            <w:tcW w:w="1650"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5" w:hRule="atLeast"/>
          <w:jc w:val="center"/>
        </w:trPr>
        <w:tc>
          <w:tcPr>
            <w:tcW w:w="915" w:type="dxa"/>
            <w:vMerge w:val="restart"/>
            <w:vAlign w:val="center"/>
          </w:tcPr>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教</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育</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质</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量</w:t>
            </w:r>
          </w:p>
        </w:tc>
        <w:tc>
          <w:tcPr>
            <w:tcW w:w="40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1.全县初中三年巩固率达到 95%以上。</w:t>
            </w:r>
          </w:p>
        </w:tc>
        <w:tc>
          <w:tcPr>
            <w:tcW w:w="480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1.初中三年巩固率达标情况；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 xml:space="preserve">2.义务教育学校控辍保学成果巩固提升情况。 </w:t>
            </w:r>
          </w:p>
        </w:tc>
        <w:tc>
          <w:tcPr>
            <w:tcW w:w="153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3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915" w:type="dxa"/>
            <w:vMerge w:val="continue"/>
          </w:tcPr>
          <w:p>
            <w:pPr>
              <w:widowControl/>
              <w:jc w:val="center"/>
              <w:rPr>
                <w:rFonts w:ascii="Times New Roman" w:hAnsi="Times New Roman" w:eastAsia="仿宋_GB2312" w:cs="Times New Roman"/>
                <w:sz w:val="32"/>
                <w:szCs w:val="32"/>
              </w:rPr>
            </w:pPr>
          </w:p>
        </w:tc>
        <w:tc>
          <w:tcPr>
            <w:tcW w:w="40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2.全县残疾儿童少年入学率达到95%以上。</w:t>
            </w:r>
          </w:p>
        </w:tc>
        <w:tc>
          <w:tcPr>
            <w:tcW w:w="480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残疾儿童少年入学率达标情况。</w:t>
            </w:r>
          </w:p>
        </w:tc>
        <w:tc>
          <w:tcPr>
            <w:tcW w:w="153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3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jc w:val="center"/>
        </w:trPr>
        <w:tc>
          <w:tcPr>
            <w:tcW w:w="915" w:type="dxa"/>
            <w:vMerge w:val="continue"/>
          </w:tcPr>
          <w:p>
            <w:pPr>
              <w:widowControl/>
              <w:jc w:val="center"/>
              <w:rPr>
                <w:rFonts w:ascii="Times New Roman" w:hAnsi="Times New Roman" w:eastAsia="仿宋_GB2312" w:cs="Times New Roman"/>
                <w:sz w:val="32"/>
                <w:szCs w:val="32"/>
              </w:rPr>
            </w:pPr>
          </w:p>
        </w:tc>
        <w:tc>
          <w:tcPr>
            <w:tcW w:w="40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3.所有学校制定章程，实现学校管理与教学信息化。</w:t>
            </w:r>
          </w:p>
        </w:tc>
        <w:tc>
          <w:tcPr>
            <w:tcW w:w="480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1.学校章程建设及执行情况；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2.推进区域内集团化办学情况；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3.教育信息化建设、管理、运用情况。</w:t>
            </w:r>
          </w:p>
        </w:tc>
        <w:tc>
          <w:tcPr>
            <w:tcW w:w="153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3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信息办</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2023年12月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915" w:type="dxa"/>
            <w:vMerge w:val="continue"/>
          </w:tcPr>
          <w:p>
            <w:pPr>
              <w:widowControl/>
              <w:jc w:val="center"/>
              <w:rPr>
                <w:rFonts w:ascii="Times New Roman" w:hAnsi="Times New Roman" w:eastAsia="仿宋_GB2312" w:cs="Times New Roman"/>
                <w:sz w:val="32"/>
                <w:szCs w:val="32"/>
              </w:rPr>
            </w:pPr>
          </w:p>
        </w:tc>
        <w:tc>
          <w:tcPr>
            <w:tcW w:w="40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4.全县所有学校按照不低于学校年度公用经费预算总额的5%安排教师培训经费。</w:t>
            </w:r>
          </w:p>
        </w:tc>
        <w:tc>
          <w:tcPr>
            <w:tcW w:w="480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学校按标准落实教师培训经费情况。</w:t>
            </w:r>
          </w:p>
        </w:tc>
        <w:tc>
          <w:tcPr>
            <w:tcW w:w="153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师资培训中心</w:t>
            </w:r>
          </w:p>
        </w:tc>
        <w:tc>
          <w:tcPr>
            <w:tcW w:w="13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2021年12月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jc w:val="center"/>
        </w:trPr>
        <w:tc>
          <w:tcPr>
            <w:tcW w:w="915" w:type="dxa"/>
            <w:vMerge w:val="continue"/>
          </w:tcPr>
          <w:p>
            <w:pPr>
              <w:widowControl/>
              <w:jc w:val="center"/>
              <w:rPr>
                <w:rFonts w:ascii="Times New Roman" w:hAnsi="Times New Roman" w:eastAsia="仿宋_GB2312" w:cs="Times New Roman"/>
                <w:sz w:val="32"/>
                <w:szCs w:val="32"/>
              </w:rPr>
            </w:pPr>
          </w:p>
        </w:tc>
        <w:tc>
          <w:tcPr>
            <w:tcW w:w="40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5.教师能熟练运用信息化手段组织教学，设施设备利用率达到较高水平。</w:t>
            </w:r>
          </w:p>
        </w:tc>
        <w:tc>
          <w:tcPr>
            <w:tcW w:w="480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1.教师信息化应用能力达到标准情况；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2.学校信息化设施设备使用情况；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3.“三个课堂”普及应用情况。</w:t>
            </w:r>
          </w:p>
        </w:tc>
        <w:tc>
          <w:tcPr>
            <w:tcW w:w="153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信息办</w:t>
            </w:r>
          </w:p>
        </w:tc>
        <w:tc>
          <w:tcPr>
            <w:tcW w:w="13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教研室</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jc w:val="center"/>
        </w:trPr>
        <w:tc>
          <w:tcPr>
            <w:tcW w:w="915" w:type="dxa"/>
            <w:vMerge w:val="continue"/>
          </w:tcPr>
          <w:p>
            <w:pPr>
              <w:widowControl/>
              <w:jc w:val="center"/>
              <w:rPr>
                <w:rFonts w:ascii="Times New Roman" w:hAnsi="Times New Roman" w:eastAsia="仿宋_GB2312" w:cs="Times New Roman"/>
                <w:sz w:val="32"/>
                <w:szCs w:val="32"/>
              </w:rPr>
            </w:pPr>
          </w:p>
        </w:tc>
        <w:tc>
          <w:tcPr>
            <w:tcW w:w="4020"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6.所有学校德育工作、校园文化建设水平达到良好以上。</w:t>
            </w:r>
          </w:p>
        </w:tc>
        <w:tc>
          <w:tcPr>
            <w:tcW w:w="480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1.落实习近平新时代中国特色社会主义思想进教材、进课堂、进师生头脑及社会主义核心价值观进校园情况；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 xml:space="preserve">2.“一校一案”落实《德育工作指南》情况；        </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3.推进校园环境、文化育人等情况。</w:t>
            </w:r>
          </w:p>
        </w:tc>
        <w:tc>
          <w:tcPr>
            <w:tcW w:w="153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党建办</w:t>
            </w:r>
          </w:p>
        </w:tc>
        <w:tc>
          <w:tcPr>
            <w:tcW w:w="13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团工委</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bl>
    <w:p>
      <w:pPr>
        <w:widowControl/>
        <w:spacing w:afterLines="50" w:line="500" w:lineRule="exact"/>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同心县教育局推进义务教育优质均衡发展工作责任分工表</w:t>
      </w:r>
    </w:p>
    <w:tbl>
      <w:tblPr>
        <w:tblStyle w:val="7"/>
        <w:tblW w:w="14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3665"/>
        <w:gridCol w:w="4775"/>
        <w:gridCol w:w="1520"/>
        <w:gridCol w:w="1425"/>
        <w:gridCol w:w="16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965" w:type="dxa"/>
            <w:vAlign w:val="center"/>
          </w:tcPr>
          <w:p>
            <w:pPr>
              <w:widowControl/>
              <w:spacing w:line="50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一级指标</w:t>
            </w:r>
          </w:p>
        </w:tc>
        <w:tc>
          <w:tcPr>
            <w:tcW w:w="3665" w:type="dxa"/>
            <w:vAlign w:val="center"/>
          </w:tcPr>
          <w:p>
            <w:pPr>
              <w:widowControl/>
              <w:spacing w:line="50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二级指标</w:t>
            </w:r>
          </w:p>
        </w:tc>
        <w:tc>
          <w:tcPr>
            <w:tcW w:w="4775" w:type="dxa"/>
            <w:vAlign w:val="center"/>
          </w:tcPr>
          <w:p>
            <w:pPr>
              <w:widowControl/>
              <w:spacing w:line="50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评估要点</w:t>
            </w:r>
          </w:p>
        </w:tc>
        <w:tc>
          <w:tcPr>
            <w:tcW w:w="1520" w:type="dxa"/>
            <w:vAlign w:val="center"/>
          </w:tcPr>
          <w:p>
            <w:pPr>
              <w:widowControl/>
              <w:spacing w:line="36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牵头股室</w:t>
            </w:r>
          </w:p>
        </w:tc>
        <w:tc>
          <w:tcPr>
            <w:tcW w:w="1425"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配合单位</w:t>
            </w:r>
          </w:p>
        </w:tc>
        <w:tc>
          <w:tcPr>
            <w:tcW w:w="1650" w:type="dxa"/>
            <w:vAlign w:val="center"/>
          </w:tcPr>
          <w:p>
            <w:pPr>
              <w:widowControl/>
              <w:spacing w:line="50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7" w:hRule="atLeast"/>
          <w:jc w:val="center"/>
        </w:trPr>
        <w:tc>
          <w:tcPr>
            <w:tcW w:w="965" w:type="dxa"/>
            <w:vMerge w:val="restart"/>
            <w:vAlign w:val="center"/>
          </w:tcPr>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教</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育</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质</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量</w:t>
            </w:r>
          </w:p>
        </w:tc>
        <w:tc>
          <w:tcPr>
            <w:tcW w:w="366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7.课程开齐开足，教学秩序规范，综合实践活动有效开展。</w:t>
            </w:r>
          </w:p>
        </w:tc>
        <w:tc>
          <w:tcPr>
            <w:tcW w:w="477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1.落实国家课程标准，开齐开足开好课程情况；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2.坚持“五育并举”，德育、体育、美育、劳动教育课程开设、教师保障、基地建设、评价监测等情况；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3.建设各类综合实践基地，多渠道、多形式开展综合实践活动情况；</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教研室</w:t>
            </w:r>
          </w:p>
        </w:tc>
        <w:tc>
          <w:tcPr>
            <w:tcW w:w="1425"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计财股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人事股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项目办</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0" w:hRule="atLeast"/>
          <w:jc w:val="center"/>
        </w:trPr>
        <w:tc>
          <w:tcPr>
            <w:tcW w:w="965" w:type="dxa"/>
            <w:vMerge w:val="continue"/>
          </w:tcPr>
          <w:p>
            <w:pPr>
              <w:widowControl/>
              <w:jc w:val="center"/>
              <w:rPr>
                <w:rFonts w:ascii="Times New Roman" w:hAnsi="Times New Roman" w:eastAsia="仿宋_GB2312" w:cs="Times New Roman"/>
                <w:sz w:val="32"/>
                <w:szCs w:val="32"/>
              </w:rPr>
            </w:pPr>
          </w:p>
        </w:tc>
        <w:tc>
          <w:tcPr>
            <w:tcW w:w="366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8.无过重课业负担</w:t>
            </w:r>
          </w:p>
        </w:tc>
        <w:tc>
          <w:tcPr>
            <w:tcW w:w="477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1.落实国家、自治区关于减轻学生课业负担措施情况；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2.规范整治线上线下校外培训（辅导）机构情况；</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 xml:space="preserve">3.落实促进中小学生身心健康发展十条措施情况；                  </w:t>
            </w:r>
          </w:p>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4.建立并落实课后服务工作情况。</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tc>
        <w:tc>
          <w:tcPr>
            <w:tcW w:w="1425"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办公室</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教育工会</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0" w:hRule="atLeast"/>
          <w:jc w:val="center"/>
        </w:trPr>
        <w:tc>
          <w:tcPr>
            <w:tcW w:w="965" w:type="dxa"/>
            <w:vMerge w:val="continue"/>
          </w:tcPr>
          <w:p>
            <w:pPr>
              <w:widowControl/>
              <w:jc w:val="center"/>
              <w:rPr>
                <w:rFonts w:ascii="Times New Roman" w:hAnsi="Times New Roman" w:eastAsia="仿宋_GB2312" w:cs="Times New Roman"/>
                <w:sz w:val="32"/>
                <w:szCs w:val="32"/>
              </w:rPr>
            </w:pPr>
          </w:p>
        </w:tc>
        <w:tc>
          <w:tcPr>
            <w:tcW w:w="366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9.在国家义务教育质量监测中，相关科目学生学业水平达到Ⅲ级以上，且校际差异率低于 0.15</w:t>
            </w:r>
          </w:p>
        </w:tc>
        <w:tc>
          <w:tcPr>
            <w:tcW w:w="4775" w:type="dxa"/>
            <w:vAlign w:val="center"/>
          </w:tcPr>
          <w:p>
            <w:pPr>
              <w:widowControl/>
              <w:spacing w:line="360" w:lineRule="exact"/>
              <w:rPr>
                <w:rFonts w:ascii="Times New Roman" w:hAnsi="Times New Roman" w:eastAsia="仿宋_GB2312" w:cs="Times New Roman"/>
                <w:sz w:val="24"/>
              </w:rPr>
            </w:pPr>
            <w:r>
              <w:rPr>
                <w:rFonts w:ascii="Times New Roman" w:hAnsi="Times New Roman" w:eastAsia="仿宋_GB2312" w:cs="Times New Roman"/>
                <w:sz w:val="24"/>
              </w:rPr>
              <w:t>国家教育质量监测反馈结果分析、整改、落实情况。</w:t>
            </w:r>
          </w:p>
        </w:tc>
        <w:tc>
          <w:tcPr>
            <w:tcW w:w="152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督导室</w:t>
            </w:r>
          </w:p>
        </w:tc>
        <w:tc>
          <w:tcPr>
            <w:tcW w:w="1425"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教研室</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教育股</w:t>
            </w:r>
          </w:p>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各学校</w:t>
            </w:r>
          </w:p>
        </w:tc>
        <w:tc>
          <w:tcPr>
            <w:tcW w:w="1650" w:type="dxa"/>
            <w:vAlign w:val="center"/>
          </w:tcPr>
          <w:p>
            <w:pPr>
              <w:widowControl/>
              <w:spacing w:line="360" w:lineRule="exact"/>
              <w:jc w:val="center"/>
              <w:rPr>
                <w:rFonts w:ascii="Times New Roman" w:hAnsi="Times New Roman" w:eastAsia="仿宋_GB2312" w:cs="Times New Roman"/>
                <w:sz w:val="24"/>
              </w:rPr>
            </w:pPr>
            <w:r>
              <w:rPr>
                <w:rFonts w:ascii="Times New Roman" w:hAnsi="Times New Roman" w:eastAsia="仿宋_GB2312" w:cs="Times New Roman"/>
                <w:sz w:val="24"/>
              </w:rPr>
              <w:t>2022年12月</w:t>
            </w:r>
          </w:p>
        </w:tc>
      </w:tr>
    </w:tbl>
    <w:p>
      <w:pPr>
        <w:widowControl/>
        <w:spacing w:afterLines="50" w:line="500" w:lineRule="exact"/>
        <w:jc w:val="center"/>
        <w:rPr>
          <w:rFonts w:ascii="Times New Roman" w:hAnsi="Times New Roman" w:eastAsia="方正小标宋简体" w:cs="Times New Roman"/>
          <w:sz w:val="36"/>
          <w:szCs w:val="36"/>
        </w:rPr>
      </w:pPr>
    </w:p>
    <w:p>
      <w:pPr>
        <w:widowControl/>
        <w:spacing w:afterLines="50" w:line="500" w:lineRule="exact"/>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同心县教育局推进义务教育优质均衡发展工作责任分工表</w:t>
      </w:r>
    </w:p>
    <w:tbl>
      <w:tblPr>
        <w:tblStyle w:val="7"/>
        <w:tblW w:w="140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
        <w:gridCol w:w="1261"/>
        <w:gridCol w:w="2209"/>
        <w:gridCol w:w="4940"/>
        <w:gridCol w:w="1570"/>
        <w:gridCol w:w="1520"/>
        <w:gridCol w:w="1605"/>
      </w:tblGrid>
      <w:tr>
        <w:tblPrEx>
          <w:tblCellMar>
            <w:top w:w="0" w:type="dxa"/>
            <w:left w:w="108" w:type="dxa"/>
            <w:bottom w:w="0" w:type="dxa"/>
            <w:right w:w="108" w:type="dxa"/>
          </w:tblCellMar>
        </w:tblPrEx>
        <w:trPr>
          <w:trHeight w:val="918" w:hRule="atLeast"/>
          <w:jc w:val="center"/>
        </w:trPr>
        <w:tc>
          <w:tcPr>
            <w:tcW w:w="985" w:type="dxa"/>
            <w:vAlign w:val="center"/>
          </w:tcPr>
          <w:p>
            <w:pPr>
              <w:widowControl/>
              <w:spacing w:line="50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一级指标</w:t>
            </w:r>
          </w:p>
        </w:tc>
        <w:tc>
          <w:tcPr>
            <w:tcW w:w="3470" w:type="dxa"/>
            <w:gridSpan w:val="2"/>
            <w:vAlign w:val="center"/>
          </w:tcPr>
          <w:p>
            <w:pPr>
              <w:widowControl/>
              <w:spacing w:line="50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二级指标</w:t>
            </w:r>
          </w:p>
        </w:tc>
        <w:tc>
          <w:tcPr>
            <w:tcW w:w="4940" w:type="dxa"/>
            <w:vAlign w:val="center"/>
          </w:tcPr>
          <w:p>
            <w:pPr>
              <w:widowControl/>
              <w:spacing w:line="50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评估要点</w:t>
            </w:r>
          </w:p>
        </w:tc>
        <w:tc>
          <w:tcPr>
            <w:tcW w:w="1570" w:type="dxa"/>
            <w:vAlign w:val="center"/>
          </w:tcPr>
          <w:p>
            <w:pPr>
              <w:widowControl/>
              <w:spacing w:line="360" w:lineRule="exact"/>
              <w:jc w:val="center"/>
              <w:rPr>
                <w:rFonts w:ascii="Times New Roman" w:hAnsi="Times New Roman" w:eastAsia="仿宋" w:cs="Times New Roman"/>
                <w:b/>
                <w:bCs/>
                <w:sz w:val="32"/>
                <w:szCs w:val="32"/>
              </w:rPr>
            </w:pPr>
            <w:r>
              <w:rPr>
                <w:rFonts w:ascii="Times New Roman" w:hAnsi="Times New Roman" w:eastAsia="仿宋" w:cs="Times New Roman"/>
                <w:b/>
                <w:bCs/>
                <w:sz w:val="28"/>
                <w:szCs w:val="28"/>
              </w:rPr>
              <w:t>牵头股室</w:t>
            </w:r>
          </w:p>
        </w:tc>
        <w:tc>
          <w:tcPr>
            <w:tcW w:w="1520" w:type="dxa"/>
            <w:vAlign w:val="center"/>
          </w:tcPr>
          <w:p>
            <w:pPr>
              <w:widowControl/>
              <w:spacing w:line="360" w:lineRule="exact"/>
              <w:jc w:val="center"/>
              <w:rPr>
                <w:rFonts w:ascii="Times New Roman" w:hAnsi="Times New Roman" w:eastAsia="仿宋" w:cs="Times New Roman"/>
                <w:b/>
                <w:bCs/>
                <w:sz w:val="28"/>
                <w:szCs w:val="28"/>
              </w:rPr>
            </w:pPr>
            <w:r>
              <w:rPr>
                <w:rFonts w:ascii="Times New Roman" w:hAnsi="Times New Roman" w:eastAsia="仿宋" w:cs="Times New Roman"/>
                <w:b/>
                <w:bCs/>
                <w:sz w:val="28"/>
                <w:szCs w:val="28"/>
              </w:rPr>
              <w:t>配合单位</w:t>
            </w:r>
          </w:p>
        </w:tc>
        <w:tc>
          <w:tcPr>
            <w:tcW w:w="1605" w:type="dxa"/>
            <w:vAlign w:val="center"/>
          </w:tcPr>
          <w:p>
            <w:pPr>
              <w:widowControl/>
              <w:spacing w:line="500" w:lineRule="exact"/>
              <w:jc w:val="center"/>
              <w:rPr>
                <w:rFonts w:ascii="Times New Roman" w:hAnsi="Times New Roman" w:eastAsia="华文中宋" w:cs="Times New Roman"/>
                <w:b/>
                <w:bCs/>
                <w:sz w:val="32"/>
                <w:szCs w:val="32"/>
              </w:rPr>
            </w:pPr>
            <w:r>
              <w:rPr>
                <w:rFonts w:ascii="Times New Roman" w:hAnsi="Times New Roman" w:eastAsia="仿宋" w:cs="Times New Roman"/>
                <w:b/>
                <w:bCs/>
                <w:sz w:val="28"/>
                <w:szCs w:val="28"/>
              </w:rPr>
              <w:t>完成时限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2" w:hRule="atLeast"/>
          <w:jc w:val="center"/>
        </w:trPr>
        <w:tc>
          <w:tcPr>
            <w:tcW w:w="985" w:type="dxa"/>
            <w:vAlign w:val="center"/>
          </w:tcPr>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社会</w:t>
            </w:r>
          </w:p>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认可度</w:t>
            </w:r>
          </w:p>
        </w:tc>
        <w:tc>
          <w:tcPr>
            <w:tcW w:w="3470" w:type="dxa"/>
            <w:gridSpan w:val="2"/>
            <w:vAlign w:val="center"/>
          </w:tcPr>
          <w:p>
            <w:pPr>
              <w:widowControl/>
              <w:spacing w:line="36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社会认可度达到85%以上</w:t>
            </w:r>
          </w:p>
        </w:tc>
        <w:tc>
          <w:tcPr>
            <w:tcW w:w="4940" w:type="dxa"/>
            <w:vAlign w:val="center"/>
          </w:tcPr>
          <w:p>
            <w:pPr>
              <w:widowControl/>
              <w:spacing w:line="36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县级人民政府及有关职能部门落实教育公平政策、推动优质资源共享；义务教育学校规范办学行为、实施素质教育、考试评估制度改革、提高教育质量等方面取得的成效。</w:t>
            </w:r>
          </w:p>
        </w:tc>
        <w:tc>
          <w:tcPr>
            <w:tcW w:w="1570" w:type="dxa"/>
            <w:vAlign w:val="center"/>
          </w:tcPr>
          <w:p>
            <w:pPr>
              <w:widowControl/>
              <w:spacing w:line="36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办公室</w:t>
            </w:r>
          </w:p>
        </w:tc>
        <w:tc>
          <w:tcPr>
            <w:tcW w:w="1520" w:type="dxa"/>
            <w:vAlign w:val="center"/>
          </w:tcPr>
          <w:p>
            <w:pPr>
              <w:widowControl/>
              <w:spacing w:line="36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督导室</w:t>
            </w:r>
          </w:p>
          <w:p>
            <w:pPr>
              <w:widowControl/>
              <w:spacing w:line="36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教研室</w:t>
            </w:r>
          </w:p>
          <w:p>
            <w:pPr>
              <w:widowControl/>
              <w:spacing w:line="36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文体股</w:t>
            </w:r>
          </w:p>
          <w:p>
            <w:pPr>
              <w:widowControl/>
              <w:spacing w:line="36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纪检室</w:t>
            </w:r>
          </w:p>
          <w:p>
            <w:pPr>
              <w:widowControl/>
              <w:spacing w:line="36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各学校</w:t>
            </w:r>
          </w:p>
        </w:tc>
        <w:tc>
          <w:tcPr>
            <w:tcW w:w="1605" w:type="dxa"/>
            <w:vAlign w:val="center"/>
          </w:tcPr>
          <w:p>
            <w:pPr>
              <w:widowControl/>
              <w:spacing w:line="36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2022年12月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0" w:hRule="atLeast"/>
          <w:jc w:val="center"/>
        </w:trPr>
        <w:tc>
          <w:tcPr>
            <w:tcW w:w="985" w:type="dxa"/>
            <w:vAlign w:val="center"/>
          </w:tcPr>
          <w:p>
            <w:pPr>
              <w:widowControl/>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备注</w:t>
            </w:r>
          </w:p>
        </w:tc>
        <w:tc>
          <w:tcPr>
            <w:tcW w:w="1261" w:type="dxa"/>
            <w:vAlign w:val="center"/>
          </w:tcPr>
          <w:p>
            <w:pPr>
              <w:widowControl/>
              <w:spacing w:line="400" w:lineRule="exact"/>
              <w:ind w:firstLine="560" w:firstLineChars="200"/>
              <w:rPr>
                <w:rFonts w:ascii="Times New Roman" w:hAnsi="Times New Roman" w:eastAsia="仿宋_GB2312" w:cs="Times New Roman"/>
                <w:sz w:val="28"/>
                <w:szCs w:val="28"/>
              </w:rPr>
            </w:pPr>
          </w:p>
        </w:tc>
        <w:tc>
          <w:tcPr>
            <w:tcW w:w="11844" w:type="dxa"/>
            <w:gridSpan w:val="5"/>
            <w:vAlign w:val="center"/>
          </w:tcPr>
          <w:p>
            <w:pPr>
              <w:widowControl/>
              <w:spacing w:line="400" w:lineRule="exact"/>
              <w:rPr>
                <w:rFonts w:ascii="Times New Roman" w:hAnsi="Times New Roman" w:eastAsia="仿宋_GB2312" w:cs="Times New Roman"/>
                <w:sz w:val="28"/>
                <w:szCs w:val="28"/>
              </w:rPr>
            </w:pPr>
            <w:r>
              <w:rPr>
                <w:rFonts w:ascii="Times New Roman" w:hAnsi="Times New Roman" w:eastAsia="仿宋_GB2312" w:cs="Times New Roman"/>
                <w:sz w:val="24"/>
              </w:rPr>
              <w:t xml:space="preserve">    </w:t>
            </w:r>
            <w:r>
              <w:rPr>
                <w:rFonts w:ascii="Times New Roman" w:hAnsi="Times New Roman" w:eastAsia="仿宋_GB2312" w:cs="Times New Roman"/>
                <w:sz w:val="28"/>
                <w:szCs w:val="28"/>
              </w:rPr>
              <w:t>有下列情况之一的县不予认定义务教育优质均衡发展县。</w:t>
            </w:r>
          </w:p>
          <w:p>
            <w:pPr>
              <w:widowControl/>
              <w:spacing w:line="400" w:lineRule="exact"/>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    1.存在以考试方式招生；     </w:t>
            </w:r>
          </w:p>
          <w:p>
            <w:pPr>
              <w:widowControl/>
              <w:spacing w:line="400" w:lineRule="exact"/>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2.存在违规择校行为；    </w:t>
            </w:r>
          </w:p>
          <w:p>
            <w:pPr>
              <w:widowControl/>
              <w:spacing w:line="400" w:lineRule="exact"/>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3.存在重点学校或重点班；</w:t>
            </w:r>
          </w:p>
          <w:p>
            <w:pPr>
              <w:widowControl/>
              <w:spacing w:line="400" w:lineRule="exact"/>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 xml:space="preserve">4.存在“有编不补”或长期聘用编外教师的情况； </w:t>
            </w:r>
          </w:p>
          <w:p>
            <w:pPr>
              <w:widowControl/>
              <w:spacing w:line="400" w:lineRule="exact"/>
              <w:ind w:firstLine="560" w:firstLineChars="200"/>
              <w:rPr>
                <w:rFonts w:ascii="Times New Roman" w:hAnsi="Times New Roman" w:eastAsia="仿宋_GB2312" w:cs="Times New Roman"/>
                <w:sz w:val="28"/>
                <w:szCs w:val="28"/>
              </w:rPr>
            </w:pPr>
            <w:r>
              <w:rPr>
                <w:rFonts w:ascii="Times New Roman" w:hAnsi="Times New Roman" w:eastAsia="仿宋_GB2312" w:cs="Times New Roman"/>
                <w:sz w:val="28"/>
                <w:szCs w:val="28"/>
              </w:rPr>
              <w:t>5.教育系统存在重大安全责任事故和严重违纪违规事件；</w:t>
            </w:r>
          </w:p>
          <w:p>
            <w:pPr>
              <w:widowControl/>
              <w:spacing w:line="400" w:lineRule="exact"/>
              <w:ind w:firstLine="560" w:firstLineChars="200"/>
              <w:rPr>
                <w:rFonts w:ascii="Times New Roman" w:hAnsi="Times New Roman" w:eastAsia="仿宋_GB2312" w:cs="Times New Roman"/>
                <w:sz w:val="32"/>
                <w:szCs w:val="32"/>
              </w:rPr>
            </w:pPr>
            <w:r>
              <w:rPr>
                <w:rFonts w:ascii="Times New Roman" w:hAnsi="Times New Roman" w:eastAsia="仿宋_GB2312" w:cs="Times New Roman"/>
                <w:sz w:val="28"/>
                <w:szCs w:val="28"/>
              </w:rPr>
              <w:t>6.有弄虚作假行为。</w:t>
            </w:r>
          </w:p>
        </w:tc>
      </w:tr>
    </w:tbl>
    <w:p>
      <w:pPr>
        <w:adjustRightInd w:val="0"/>
        <w:snapToGrid w:val="0"/>
        <w:spacing w:line="560" w:lineRule="exact"/>
        <w:rPr>
          <w:rFonts w:ascii="Times New Roman" w:hAnsi="Times New Roman" w:eastAsia="仿宋" w:cs="Times New Roman"/>
          <w:sz w:val="32"/>
          <w:szCs w:val="32"/>
        </w:rPr>
      </w:pPr>
    </w:p>
    <w:sectPr>
      <w:headerReference r:id="rId3" w:type="default"/>
      <w:footerReference r:id="rId4" w:type="default"/>
      <w:pgSz w:w="16838" w:h="11906" w:orient="landscape"/>
      <w:pgMar w:top="1417" w:right="1304" w:bottom="1304" w:left="1304" w:header="851" w:footer="992" w:gutter="0"/>
      <w:pgNumType w:fmt="numberInDash" w:start="9"/>
      <w:cols w:space="0" w:num="1"/>
      <w:docGrid w:type="lines" w:linePitch="3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D1E7842-6398-4568-A039-10FF85866883}"/>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script"/>
    <w:pitch w:val="default"/>
    <w:sig w:usb0="00000001" w:usb1="080E0000" w:usb2="00000000" w:usb3="00000000" w:csb0="00040000" w:csb1="00000000"/>
    <w:embedRegular r:id="rId2" w:fontKey="{1875CC8F-FE3F-4840-A339-D03EC06AE76A}"/>
  </w:font>
  <w:font w:name="仿宋_GB2312">
    <w:panose1 w:val="02010609030101010101"/>
    <w:charset w:val="86"/>
    <w:family w:val="modern"/>
    <w:pitch w:val="default"/>
    <w:sig w:usb0="00000001" w:usb1="080E0000" w:usb2="00000000" w:usb3="00000000" w:csb0="00040000" w:csb1="00000000"/>
    <w:embedRegular r:id="rId3" w:fontKey="{46A9C490-CE85-4077-9517-B5B248095F6A}"/>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embedRegular r:id="rId4" w:fontKey="{4B28ACFE-C8AF-4D6D-8240-5EC13B44585B}"/>
  </w:font>
  <w:font w:name="华文中宋">
    <w:panose1 w:val="02010600040101010101"/>
    <w:charset w:val="86"/>
    <w:family w:val="auto"/>
    <w:pitch w:val="default"/>
    <w:sig w:usb0="00000287" w:usb1="080F0000" w:usb2="00000000" w:usb3="00000000" w:csb0="0004009F" w:csb1="DFD70000"/>
    <w:embedRegular r:id="rId5" w:fontKey="{EBE69386-7841-48E1-AC3B-38DCA3BA147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1027" o:spid="_x0000_s1027" o:spt="202" type="#_x0000_t202" style="position:absolute;left:0pt;margin-top:-16pt;height:144pt;width:144pt;mso-position-horizontal:center;mso-position-horizontal-relative:margin;mso-wrap-style:none;z-index:251659264;mso-width-relative:page;mso-height-relative:page;" filled="f" stroked="f" coordsize="21600,21600">
          <v:path/>
          <v:fill on="f" focussize="0,0"/>
          <v:stroke on="f" weight="0.5pt"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- 9 -</w:t>
                </w:r>
                <w:r>
                  <w:rPr>
                    <w:rFonts w:hint="eastAsia"/>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1"/>
  <w:bordersDoNotSurroundFooter w:val="1"/>
  <w:documentProtection w:enforcement="0"/>
  <w:defaultTabStop w:val="420"/>
  <w:drawingGridVerticalSpacing w:val="161"/>
  <w:displayVerticalDrawingGridEvery w:val="2"/>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84609"/>
    <w:rsid w:val="00077866"/>
    <w:rsid w:val="000B149D"/>
    <w:rsid w:val="00106197"/>
    <w:rsid w:val="0020331E"/>
    <w:rsid w:val="00220F2C"/>
    <w:rsid w:val="0025203B"/>
    <w:rsid w:val="00264863"/>
    <w:rsid w:val="002F1B97"/>
    <w:rsid w:val="00484609"/>
    <w:rsid w:val="004A3CB9"/>
    <w:rsid w:val="004A6117"/>
    <w:rsid w:val="007405B8"/>
    <w:rsid w:val="008765D6"/>
    <w:rsid w:val="008D09A5"/>
    <w:rsid w:val="00920BDF"/>
    <w:rsid w:val="00935C90"/>
    <w:rsid w:val="00A13C18"/>
    <w:rsid w:val="00A54CB6"/>
    <w:rsid w:val="00AC4329"/>
    <w:rsid w:val="00AE16D8"/>
    <w:rsid w:val="00C86E60"/>
    <w:rsid w:val="00D06A6A"/>
    <w:rsid w:val="00D148F9"/>
    <w:rsid w:val="00E53A49"/>
    <w:rsid w:val="00ED02F0"/>
    <w:rsid w:val="00F93B36"/>
    <w:rsid w:val="025A3DD1"/>
    <w:rsid w:val="03233F71"/>
    <w:rsid w:val="0484319B"/>
    <w:rsid w:val="06F02EAA"/>
    <w:rsid w:val="09497086"/>
    <w:rsid w:val="0BE54B52"/>
    <w:rsid w:val="0EDB320E"/>
    <w:rsid w:val="113E395D"/>
    <w:rsid w:val="12677A7B"/>
    <w:rsid w:val="1347657F"/>
    <w:rsid w:val="167021CB"/>
    <w:rsid w:val="1A13170F"/>
    <w:rsid w:val="209625D0"/>
    <w:rsid w:val="220242AC"/>
    <w:rsid w:val="22366C1B"/>
    <w:rsid w:val="23E658D8"/>
    <w:rsid w:val="26EE1034"/>
    <w:rsid w:val="2B456FDA"/>
    <w:rsid w:val="2BB910BD"/>
    <w:rsid w:val="2C0A08B7"/>
    <w:rsid w:val="2CA46AF7"/>
    <w:rsid w:val="2E445224"/>
    <w:rsid w:val="2FC736E8"/>
    <w:rsid w:val="2FD507DA"/>
    <w:rsid w:val="314E541B"/>
    <w:rsid w:val="338407C1"/>
    <w:rsid w:val="33C97869"/>
    <w:rsid w:val="349C09F3"/>
    <w:rsid w:val="355C78E5"/>
    <w:rsid w:val="35B43D67"/>
    <w:rsid w:val="373E249F"/>
    <w:rsid w:val="392D43C2"/>
    <w:rsid w:val="39A40F07"/>
    <w:rsid w:val="3BDD7823"/>
    <w:rsid w:val="3C6F53C2"/>
    <w:rsid w:val="3CB8260D"/>
    <w:rsid w:val="3E245FF9"/>
    <w:rsid w:val="3F19380F"/>
    <w:rsid w:val="41490140"/>
    <w:rsid w:val="42C3368F"/>
    <w:rsid w:val="42F909AD"/>
    <w:rsid w:val="43BE753F"/>
    <w:rsid w:val="44212656"/>
    <w:rsid w:val="463D68D4"/>
    <w:rsid w:val="471B575A"/>
    <w:rsid w:val="47724100"/>
    <w:rsid w:val="48270418"/>
    <w:rsid w:val="486B135F"/>
    <w:rsid w:val="488021D7"/>
    <w:rsid w:val="49684C6B"/>
    <w:rsid w:val="49C262A1"/>
    <w:rsid w:val="4B9F28EF"/>
    <w:rsid w:val="4BFF350A"/>
    <w:rsid w:val="4CA569B7"/>
    <w:rsid w:val="4D543F6F"/>
    <w:rsid w:val="4F4144A2"/>
    <w:rsid w:val="516A09A6"/>
    <w:rsid w:val="521C606F"/>
    <w:rsid w:val="52824ADB"/>
    <w:rsid w:val="53570F87"/>
    <w:rsid w:val="55CD5880"/>
    <w:rsid w:val="55F06AD3"/>
    <w:rsid w:val="568C760E"/>
    <w:rsid w:val="57483CA2"/>
    <w:rsid w:val="58626398"/>
    <w:rsid w:val="5DD47C60"/>
    <w:rsid w:val="5F5F2BD8"/>
    <w:rsid w:val="5F6E00CA"/>
    <w:rsid w:val="60130489"/>
    <w:rsid w:val="602940B1"/>
    <w:rsid w:val="608136BD"/>
    <w:rsid w:val="61430E08"/>
    <w:rsid w:val="63995C6C"/>
    <w:rsid w:val="63DB6B9C"/>
    <w:rsid w:val="641C3B52"/>
    <w:rsid w:val="666173B1"/>
    <w:rsid w:val="683408FE"/>
    <w:rsid w:val="69DC1498"/>
    <w:rsid w:val="6A067E3F"/>
    <w:rsid w:val="6ACA6107"/>
    <w:rsid w:val="6CFE006A"/>
    <w:rsid w:val="6D167226"/>
    <w:rsid w:val="6FA228F2"/>
    <w:rsid w:val="702A2A68"/>
    <w:rsid w:val="70881AFF"/>
    <w:rsid w:val="71FC5212"/>
    <w:rsid w:val="74392BF6"/>
    <w:rsid w:val="75BD53E0"/>
    <w:rsid w:val="75E8405B"/>
    <w:rsid w:val="771062D0"/>
    <w:rsid w:val="77643E48"/>
    <w:rsid w:val="785C5CBC"/>
    <w:rsid w:val="7C1839CF"/>
    <w:rsid w:val="7D9A7961"/>
    <w:rsid w:val="7DA734EC"/>
    <w:rsid w:val="7FD761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jc w:val="left"/>
      <w:outlineLvl w:val="0"/>
    </w:pPr>
    <w:rPr>
      <w:rFonts w:hint="eastAsia" w:ascii="宋体" w:hAnsi="宋体" w:eastAsia="宋体" w:cs="Times New Roman"/>
      <w:b/>
      <w:kern w:val="44"/>
      <w:sz w:val="48"/>
      <w:szCs w:val="48"/>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qFormat/>
    <w:uiPriority w:val="0"/>
    <w:pPr>
      <w:jc w:val="left"/>
    </w:pPr>
    <w:rPr>
      <w:rFonts w:cs="Times New Roman"/>
      <w:kern w:val="0"/>
      <w:sz w:val="24"/>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
    <w:name w:val="page number"/>
    <w:basedOn w:val="8"/>
    <w:qFormat/>
    <w:uiPriority w:val="0"/>
  </w:style>
  <w:style w:type="character" w:styleId="10">
    <w:name w:val="FollowedHyperlink"/>
    <w:basedOn w:val="8"/>
    <w:qFormat/>
    <w:uiPriority w:val="0"/>
    <w:rPr>
      <w:color w:val="333333"/>
      <w:u w:val="none"/>
    </w:rPr>
  </w:style>
  <w:style w:type="character" w:styleId="11">
    <w:name w:val="Emphasis"/>
    <w:basedOn w:val="8"/>
    <w:qFormat/>
    <w:uiPriority w:val="0"/>
  </w:style>
  <w:style w:type="character" w:styleId="12">
    <w:name w:val="Hyperlink"/>
    <w:basedOn w:val="8"/>
    <w:qFormat/>
    <w:uiPriority w:val="0"/>
    <w:rPr>
      <w:color w:val="333333"/>
      <w:u w:val="none"/>
    </w:rPr>
  </w:style>
  <w:style w:type="character" w:customStyle="1" w:styleId="13">
    <w:name w:val="zgzc"/>
    <w:basedOn w:val="8"/>
    <w:qFormat/>
    <w:uiPriority w:val="0"/>
  </w:style>
  <w:style w:type="character" w:customStyle="1" w:styleId="14">
    <w:name w:val="cur"/>
    <w:basedOn w:val="8"/>
    <w:qFormat/>
    <w:uiPriority w:val="0"/>
    <w:rPr>
      <w:shd w:val="clear" w:color="auto" w:fill="5577AD"/>
    </w:rPr>
  </w:style>
  <w:style w:type="character" w:customStyle="1" w:styleId="15">
    <w:name w:val="cur1"/>
    <w:basedOn w:val="8"/>
    <w:qFormat/>
    <w:uiPriority w:val="0"/>
    <w:rPr>
      <w:shd w:val="clear" w:color="auto" w:fill="E32927"/>
    </w:rPr>
  </w:style>
  <w:style w:type="character" w:customStyle="1" w:styleId="16">
    <w:name w:val="cur2"/>
    <w:basedOn w:val="8"/>
    <w:qFormat/>
    <w:uiPriority w:val="0"/>
    <w:rPr>
      <w:shd w:val="clear" w:color="auto" w:fill="1E5192"/>
    </w:rPr>
  </w:style>
  <w:style w:type="character" w:customStyle="1" w:styleId="17">
    <w:name w:val="cur3"/>
    <w:basedOn w:val="8"/>
    <w:qFormat/>
    <w:uiPriority w:val="0"/>
    <w:rPr>
      <w:shd w:val="clear" w:color="auto" w:fill="FE0000"/>
    </w:rPr>
  </w:style>
  <w:style w:type="character" w:customStyle="1" w:styleId="18">
    <w:name w:val="cur4"/>
    <w:basedOn w:val="8"/>
    <w:qFormat/>
    <w:uiPriority w:val="0"/>
  </w:style>
  <w:style w:type="character" w:customStyle="1" w:styleId="19">
    <w:name w:val="cur5"/>
    <w:basedOn w:val="8"/>
    <w:qFormat/>
    <w:uiPriority w:val="0"/>
  </w:style>
  <w:style w:type="character" w:customStyle="1" w:styleId="20">
    <w:name w:val="hover23"/>
    <w:basedOn w:val="8"/>
    <w:qFormat/>
    <w:uiPriority w:val="0"/>
    <w:rPr>
      <w:shd w:val="clear" w:color="auto" w:fill="5577AD"/>
    </w:rPr>
  </w:style>
  <w:style w:type="character" w:customStyle="1" w:styleId="21">
    <w:name w:val="hover24"/>
    <w:basedOn w:val="8"/>
    <w:qFormat/>
    <w:uiPriority w:val="0"/>
    <w:rPr>
      <w:shd w:val="clear" w:color="auto" w:fill="E32927"/>
    </w:rPr>
  </w:style>
  <w:style w:type="character" w:customStyle="1" w:styleId="22">
    <w:name w:val="hover25"/>
    <w:basedOn w:val="8"/>
    <w:qFormat/>
    <w:uiPriority w:val="0"/>
    <w:rPr>
      <w:shd w:val="clear" w:color="auto" w:fill="1E5192"/>
    </w:rPr>
  </w:style>
  <w:style w:type="character" w:customStyle="1" w:styleId="23">
    <w:name w:val="hover26"/>
    <w:basedOn w:val="8"/>
    <w:qFormat/>
    <w:uiPriority w:val="0"/>
    <w:rPr>
      <w:shd w:val="clear" w:color="auto" w:fill="FE0000"/>
    </w:rPr>
  </w:style>
  <w:style w:type="character" w:customStyle="1" w:styleId="24">
    <w:name w:val="hover27"/>
    <w:basedOn w:val="8"/>
    <w:qFormat/>
    <w:uiPriority w:val="0"/>
  </w:style>
  <w:style w:type="character" w:customStyle="1" w:styleId="25">
    <w:name w:val="hover28"/>
    <w:basedOn w:val="8"/>
    <w:qFormat/>
    <w:uiPriority w:val="0"/>
    <w:rPr>
      <w:color w:val="AFAFB1"/>
    </w:rPr>
  </w:style>
  <w:style w:type="character" w:customStyle="1" w:styleId="26">
    <w:name w:val="total"/>
    <w:basedOn w:val="8"/>
    <w:qFormat/>
    <w:uiPriority w:val="0"/>
    <w:rPr>
      <w:color w:val="0284D0"/>
    </w:rPr>
  </w:style>
  <w:style w:type="character" w:customStyle="1" w:styleId="27">
    <w:name w:val="ztmc"/>
    <w:basedOn w:val="8"/>
    <w:qFormat/>
    <w:uiPriority w:val="0"/>
  </w:style>
  <w:style w:type="character" w:customStyle="1" w:styleId="28">
    <w:name w:val="ztmc1"/>
    <w:basedOn w:val="8"/>
    <w:qFormat/>
    <w:uiPriority w:val="0"/>
  </w:style>
  <w:style w:type="character" w:customStyle="1" w:styleId="29">
    <w:name w:val="tyxy"/>
    <w:basedOn w:val="8"/>
    <w:qFormat/>
    <w:uiPriority w:val="0"/>
  </w:style>
  <w:style w:type="character" w:customStyle="1" w:styleId="30">
    <w:name w:val="tyxy1"/>
    <w:basedOn w:val="8"/>
    <w:qFormat/>
    <w:uiPriority w:val="0"/>
  </w:style>
  <w:style w:type="character" w:customStyle="1" w:styleId="31">
    <w:name w:val="first-child2"/>
    <w:basedOn w:val="8"/>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1134</Words>
  <Characters>6464</Characters>
  <Lines>53</Lines>
  <Paragraphs>15</Paragraphs>
  <TotalTime>0</TotalTime>
  <ScaleCrop>false</ScaleCrop>
  <LinksUpToDate>false</LinksUpToDate>
  <CharactersWithSpaces>7583</CharactersWithSpaces>
  <Application>WPS Office_11.1.0.11284_F1E327BC-269C-435d-A152-05C5408002CA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2021-08-20T09:06:00Z</dcterms:created>
  <dc:creator>lenovo</dc:creator>
  <cp:lastModifiedBy>✨ XIAN✨</cp:lastModifiedBy>
  <cp:lastPrinted>2021-08-23T10:26:00Z</cp:lastPrinted>
  <dcterms:modified xsi:type="dcterms:W3CDTF">2021-12-28T05:39:17Z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2052-11.1.0.11284</vt:lpwstr>
  </property>
  <property fmtid="{D5CDD505-2E9C-101B-9397-08002B2CF9AE}" pid="3" name="ICV">
    <vt:lpwstr>FB72AD4DFC8F4F398B1B1DC900AE3F7A</vt:lpwstr>
  </property>
</Properties>
</file>