
<file path=[Content_Types].xml><?xml version="1.0" encoding="utf-8"?>
<Types xmlns="http://schemas.openxmlformats.org/package/2006/content-types">
  <Default Extension="xml" ContentType="application/xml"/>
  <Default Extension="bin" ContentType="application/vnd.openxmlformats-officedocument.oleObject"/>
  <Default Extension="jpeg" ContentType="image/jpeg"/>
  <Default Extension="JPG" ContentType="image/.jpg"/>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2520" w:firstLine="420"/>
        <w:rPr>
          <w:rFonts w:eastAsia="仿宋_GB2312" w:cs="仿宋_GB2312"/>
          <w:color w:val="auto"/>
          <w:sz w:val="36"/>
          <w:szCs w:val="36"/>
        </w:rPr>
      </w:pPr>
      <w:bookmarkStart w:id="0" w:name="_Hlk57883707"/>
    </w:p>
    <w:p>
      <w:pPr>
        <w:rPr>
          <w:rFonts w:eastAsia="仿宋_GB2312" w:cs="仿宋_GB2312"/>
          <w:color w:val="auto"/>
          <w:sz w:val="36"/>
          <w:szCs w:val="36"/>
        </w:rPr>
      </w:pPr>
    </w:p>
    <w:p>
      <w:pPr>
        <w:rPr>
          <w:rFonts w:eastAsia="仿宋_GB2312" w:cs="仿宋_GB2312"/>
          <w:color w:val="auto"/>
          <w:sz w:val="36"/>
          <w:szCs w:val="36"/>
        </w:rPr>
      </w:pPr>
    </w:p>
    <w:p>
      <w:pPr>
        <w:rPr>
          <w:rFonts w:eastAsia="仿宋_GB2312" w:cs="仿宋_GB2312"/>
          <w:color w:val="auto"/>
          <w:sz w:val="36"/>
          <w:szCs w:val="36"/>
        </w:rPr>
      </w:pPr>
    </w:p>
    <w:bookmarkEnd w:id="0"/>
    <w:p>
      <w:pPr>
        <w:adjustRightInd w:val="0"/>
        <w:snapToGrid w:val="0"/>
        <w:jc w:val="center"/>
        <w:outlineLvl w:val="0"/>
        <w:rPr>
          <w:rFonts w:eastAsia="方正小标宋_GBK"/>
          <w:bCs/>
          <w:color w:val="auto"/>
          <w:sz w:val="72"/>
          <w:szCs w:val="72"/>
        </w:rPr>
      </w:pPr>
      <w:bookmarkStart w:id="1" w:name="_Toc15714"/>
      <w:r>
        <w:rPr>
          <w:rFonts w:hint="eastAsia" w:eastAsia="方正小标宋_GBK"/>
          <w:bCs/>
          <w:color w:val="auto"/>
          <w:sz w:val="72"/>
          <w:szCs w:val="72"/>
        </w:rPr>
        <w:t>建设项目环境影响报告表</w:t>
      </w:r>
      <w:bookmarkEnd w:id="1"/>
    </w:p>
    <w:p>
      <w:pPr>
        <w:adjustRightInd w:val="0"/>
        <w:snapToGrid w:val="0"/>
        <w:spacing w:before="192" w:beforeLines="80"/>
        <w:jc w:val="center"/>
        <w:rPr>
          <w:rFonts w:eastAsia="楷体_GB2312"/>
          <w:bCs/>
          <w:color w:val="auto"/>
          <w:sz w:val="48"/>
          <w:szCs w:val="48"/>
        </w:rPr>
      </w:pPr>
      <w:r>
        <w:rPr>
          <w:rFonts w:hint="eastAsia" w:eastAsia="楷体_GB2312"/>
          <w:bCs/>
          <w:color w:val="auto"/>
          <w:sz w:val="48"/>
          <w:szCs w:val="48"/>
        </w:rPr>
        <w:t>（生态影响类）</w:t>
      </w:r>
    </w:p>
    <w:p>
      <w:pPr>
        <w:adjustRightInd w:val="0"/>
        <w:snapToGrid w:val="0"/>
        <w:spacing w:line="288" w:lineRule="auto"/>
        <w:jc w:val="center"/>
        <w:rPr>
          <w:rFonts w:eastAsia="华文仿宋" w:cs="华文仿宋"/>
          <w:color w:val="auto"/>
          <w:kern w:val="44"/>
          <w:sz w:val="44"/>
          <w:szCs w:val="44"/>
        </w:rPr>
      </w:pPr>
      <w:bookmarkStart w:id="2" w:name="_Hlk57883728"/>
    </w:p>
    <w:p>
      <w:pPr>
        <w:jc w:val="center"/>
        <w:rPr>
          <w:rFonts w:eastAsia="仿宋"/>
          <w:color w:val="auto"/>
          <w:sz w:val="52"/>
          <w:szCs w:val="52"/>
        </w:rPr>
      </w:pPr>
    </w:p>
    <w:p>
      <w:pPr>
        <w:ind w:firstLine="1040"/>
        <w:rPr>
          <w:rFonts w:eastAsia="仿宋"/>
          <w:color w:val="auto"/>
          <w:sz w:val="44"/>
          <w:szCs w:val="44"/>
        </w:rPr>
      </w:pPr>
    </w:p>
    <w:p>
      <w:pPr>
        <w:ind w:firstLine="1040"/>
        <w:rPr>
          <w:rFonts w:eastAsia="仿宋"/>
          <w:color w:val="auto"/>
          <w:sz w:val="44"/>
          <w:szCs w:val="44"/>
        </w:rPr>
      </w:pPr>
    </w:p>
    <w:p>
      <w:pPr>
        <w:ind w:firstLine="1040"/>
        <w:rPr>
          <w:rFonts w:eastAsia="仿宋"/>
          <w:color w:val="auto"/>
          <w:sz w:val="44"/>
          <w:szCs w:val="44"/>
        </w:rPr>
      </w:pPr>
    </w:p>
    <w:p>
      <w:pPr>
        <w:ind w:firstLine="1040"/>
        <w:rPr>
          <w:rFonts w:eastAsia="仿宋"/>
          <w:color w:val="auto"/>
          <w:sz w:val="44"/>
          <w:szCs w:val="44"/>
        </w:rPr>
      </w:pPr>
    </w:p>
    <w:bookmarkEnd w:id="2"/>
    <w:p>
      <w:pPr>
        <w:adjustRightInd w:val="0"/>
        <w:snapToGrid w:val="0"/>
        <w:spacing w:line="288" w:lineRule="auto"/>
        <w:ind w:left="2877" w:leftChars="513" w:hanging="1800" w:hangingChars="500"/>
        <w:rPr>
          <w:rFonts w:hint="default" w:eastAsia="仿宋_GB2312"/>
          <w:color w:val="auto"/>
          <w:sz w:val="36"/>
          <w:szCs w:val="36"/>
          <w:u w:val="single"/>
          <w:lang w:val="en-US"/>
        </w:rPr>
      </w:pPr>
      <w:r>
        <w:rPr>
          <w:rFonts w:hint="eastAsia" w:eastAsia="仿宋_GB2312"/>
          <w:color w:val="auto"/>
          <w:sz w:val="36"/>
          <w:szCs w:val="36"/>
        </w:rPr>
        <w:t>项目名称：</w:t>
      </w:r>
      <w:r>
        <w:rPr>
          <w:rFonts w:hint="eastAsia" w:eastAsia="仿宋_GB2312"/>
          <w:color w:val="auto"/>
          <w:sz w:val="36"/>
          <w:szCs w:val="36"/>
          <w:u w:val="single"/>
          <w:lang w:val="en-US" w:eastAsia="zh-CN"/>
        </w:rPr>
        <w:t xml:space="preserve">同心县张家塬乡折腰沟村内涝外排工程（二期）                          </w:t>
      </w:r>
    </w:p>
    <w:p>
      <w:pPr>
        <w:adjustRightInd w:val="0"/>
        <w:snapToGrid w:val="0"/>
        <w:spacing w:line="288" w:lineRule="auto"/>
        <w:ind w:firstLine="1040"/>
        <w:rPr>
          <w:rFonts w:hint="default" w:eastAsia="仿宋_GB2312"/>
          <w:color w:val="auto"/>
          <w:sz w:val="36"/>
          <w:szCs w:val="36"/>
          <w:u w:val="single"/>
          <w:lang w:val="en-US" w:eastAsia="zh-CN"/>
        </w:rPr>
      </w:pPr>
      <w:r>
        <w:rPr>
          <w:rFonts w:hint="eastAsia" w:eastAsia="仿宋_GB2312"/>
          <w:color w:val="auto"/>
          <w:sz w:val="36"/>
          <w:szCs w:val="36"/>
        </w:rPr>
        <w:t>建设单位（盖章）：</w:t>
      </w:r>
      <w:r>
        <w:rPr>
          <w:rFonts w:hint="eastAsia" w:eastAsia="仿宋_GB2312"/>
          <w:color w:val="auto"/>
          <w:sz w:val="36"/>
          <w:szCs w:val="36"/>
          <w:u w:val="single"/>
          <w:lang w:val="en-US" w:eastAsia="zh-CN"/>
        </w:rPr>
        <w:t xml:space="preserve">    同心县水务局              </w:t>
      </w:r>
    </w:p>
    <w:p>
      <w:pPr>
        <w:adjustRightInd w:val="0"/>
        <w:snapToGrid w:val="0"/>
        <w:spacing w:line="288" w:lineRule="auto"/>
        <w:ind w:firstLine="1040"/>
        <w:rPr>
          <w:rFonts w:hint="default" w:eastAsia="仿宋_GB2312"/>
          <w:color w:val="auto"/>
          <w:sz w:val="36"/>
          <w:szCs w:val="36"/>
          <w:u w:val="single"/>
          <w:lang w:val="en-US" w:eastAsia="zh-CN"/>
        </w:rPr>
      </w:pPr>
      <w:r>
        <w:rPr>
          <w:rFonts w:hint="eastAsia" w:eastAsia="仿宋_GB2312"/>
          <w:color w:val="auto"/>
          <w:sz w:val="36"/>
          <w:szCs w:val="36"/>
        </w:rPr>
        <w:t>编制日期：</w:t>
      </w:r>
      <w:r>
        <w:rPr>
          <w:rFonts w:hint="eastAsia" w:eastAsia="仿宋_GB2312"/>
          <w:color w:val="auto"/>
          <w:sz w:val="36"/>
          <w:szCs w:val="36"/>
          <w:u w:val="single"/>
          <w:lang w:val="en-US" w:eastAsia="zh-CN"/>
        </w:rPr>
        <w:t xml:space="preserve">           </w:t>
      </w:r>
      <w:r>
        <w:rPr>
          <w:rFonts w:eastAsia="仿宋"/>
          <w:color w:val="auto"/>
          <w:sz w:val="36"/>
          <w:szCs w:val="36"/>
          <w:u w:val="single"/>
        </w:rPr>
        <w:t>二〇二</w:t>
      </w:r>
      <w:r>
        <w:rPr>
          <w:rFonts w:hint="eastAsia" w:eastAsia="仿宋"/>
          <w:color w:val="auto"/>
          <w:sz w:val="36"/>
          <w:szCs w:val="36"/>
          <w:u w:val="single"/>
          <w:lang w:val="en-US" w:eastAsia="zh-CN"/>
        </w:rPr>
        <w:t>四</w:t>
      </w:r>
      <w:r>
        <w:rPr>
          <w:rFonts w:eastAsia="仿宋"/>
          <w:color w:val="auto"/>
          <w:sz w:val="36"/>
          <w:szCs w:val="36"/>
          <w:u w:val="single"/>
        </w:rPr>
        <w:t>年</w:t>
      </w:r>
      <w:r>
        <w:rPr>
          <w:rFonts w:hint="eastAsia" w:eastAsia="仿宋"/>
          <w:color w:val="auto"/>
          <w:sz w:val="36"/>
          <w:szCs w:val="36"/>
          <w:u w:val="single"/>
          <w:lang w:val="en-US" w:eastAsia="zh-CN"/>
        </w:rPr>
        <w:t>一</w:t>
      </w:r>
      <w:r>
        <w:rPr>
          <w:rFonts w:eastAsia="仿宋"/>
          <w:color w:val="auto"/>
          <w:sz w:val="36"/>
          <w:szCs w:val="36"/>
          <w:u w:val="single"/>
        </w:rPr>
        <w:t>月</w:t>
      </w:r>
      <w:r>
        <w:rPr>
          <w:rFonts w:hint="eastAsia" w:eastAsia="仿宋_GB2312"/>
          <w:color w:val="auto"/>
          <w:sz w:val="36"/>
          <w:szCs w:val="36"/>
          <w:u w:val="single"/>
          <w:lang w:val="en-US" w:eastAsia="zh-CN"/>
        </w:rPr>
        <w:t xml:space="preserve">                         </w:t>
      </w:r>
    </w:p>
    <w:p>
      <w:pPr>
        <w:adjustRightInd w:val="0"/>
        <w:snapToGrid w:val="0"/>
        <w:spacing w:line="288" w:lineRule="auto"/>
        <w:ind w:firstLine="1040"/>
        <w:rPr>
          <w:rFonts w:eastAsia="仿宋_GB2312"/>
          <w:color w:val="auto"/>
          <w:sz w:val="36"/>
          <w:szCs w:val="36"/>
          <w:u w:val="single"/>
        </w:rPr>
      </w:pPr>
    </w:p>
    <w:p>
      <w:pPr>
        <w:adjustRightInd w:val="0"/>
        <w:snapToGrid w:val="0"/>
        <w:spacing w:line="288" w:lineRule="auto"/>
        <w:ind w:firstLine="1040"/>
        <w:rPr>
          <w:rFonts w:eastAsia="仿宋_GB2312"/>
          <w:color w:val="auto"/>
          <w:sz w:val="36"/>
          <w:szCs w:val="36"/>
        </w:rPr>
      </w:pPr>
    </w:p>
    <w:p>
      <w:pPr>
        <w:adjustRightInd w:val="0"/>
        <w:snapToGrid w:val="0"/>
        <w:spacing w:line="288" w:lineRule="auto"/>
        <w:ind w:firstLine="1040"/>
        <w:rPr>
          <w:rFonts w:eastAsia="仿宋_GB2312"/>
          <w:color w:val="auto"/>
          <w:sz w:val="36"/>
          <w:szCs w:val="36"/>
        </w:rPr>
      </w:pPr>
    </w:p>
    <w:p>
      <w:pPr>
        <w:adjustRightInd w:val="0"/>
        <w:snapToGrid w:val="0"/>
        <w:spacing w:line="288" w:lineRule="auto"/>
        <w:ind w:firstLine="1040"/>
        <w:rPr>
          <w:rFonts w:eastAsia="仿宋_GB2312"/>
          <w:color w:val="auto"/>
          <w:sz w:val="36"/>
          <w:szCs w:val="36"/>
        </w:rPr>
      </w:pPr>
    </w:p>
    <w:p>
      <w:pPr>
        <w:adjustRightInd w:val="0"/>
        <w:snapToGrid w:val="0"/>
        <w:spacing w:line="288" w:lineRule="auto"/>
        <w:ind w:firstLine="1040"/>
        <w:rPr>
          <w:rFonts w:eastAsia="仿宋_GB2312"/>
          <w:color w:val="auto"/>
          <w:sz w:val="36"/>
          <w:szCs w:val="36"/>
        </w:rPr>
      </w:pPr>
    </w:p>
    <w:p>
      <w:pPr>
        <w:adjustRightInd w:val="0"/>
        <w:snapToGrid w:val="0"/>
        <w:spacing w:line="288" w:lineRule="auto"/>
        <w:jc w:val="center"/>
        <w:outlineLvl w:val="0"/>
        <w:rPr>
          <w:rFonts w:eastAsia="仿宋_GB2312"/>
          <w:color w:val="auto"/>
          <w:sz w:val="36"/>
          <w:szCs w:val="36"/>
        </w:rPr>
        <w:sectPr>
          <w:footerReference r:id="rId3" w:type="default"/>
          <w:footerReference r:id="rId4" w:type="even"/>
          <w:pgSz w:w="11906" w:h="16838"/>
          <w:pgMar w:top="1701" w:right="1531" w:bottom="1701" w:left="1531" w:header="851" w:footer="1077" w:gutter="0"/>
          <w:pgBorders>
            <w:top w:val="none" w:sz="0" w:space="0"/>
            <w:left w:val="none" w:sz="0" w:space="0"/>
            <w:bottom w:val="none" w:sz="0" w:space="0"/>
            <w:right w:val="none" w:sz="0" w:space="0"/>
          </w:pgBorders>
          <w:pgNumType w:start="21"/>
          <w:cols w:space="720" w:num="1"/>
          <w:docGrid w:linePitch="312" w:charSpace="0"/>
        </w:sectPr>
      </w:pPr>
      <w:bookmarkStart w:id="3" w:name="_Toc23791"/>
      <w:r>
        <w:rPr>
          <w:rFonts w:hint="eastAsia" w:eastAsia="楷体_GB2312"/>
          <w:color w:val="auto"/>
          <w:sz w:val="36"/>
          <w:szCs w:val="36"/>
        </w:rPr>
        <w:t>中华人民共和国生态环境部制</w:t>
      </w:r>
      <w:bookmarkEnd w:id="3"/>
    </w:p>
    <w:p>
      <w:pPr>
        <w:pStyle w:val="20"/>
        <w:jc w:val="center"/>
        <w:outlineLvl w:val="0"/>
        <w:rPr>
          <w:rFonts w:hint="default" w:ascii="Times New Roman" w:hAnsi="Times New Roman" w:eastAsia="黑体" w:cs="Times New Roman"/>
          <w:snapToGrid w:val="0"/>
          <w:color w:val="auto"/>
          <w:sz w:val="30"/>
          <w:szCs w:val="30"/>
        </w:rPr>
      </w:pPr>
      <w:bookmarkStart w:id="4" w:name="_Toc9016"/>
      <w:r>
        <w:rPr>
          <w:rFonts w:hint="default" w:ascii="Times New Roman" w:hAnsi="Times New Roman" w:eastAsia="黑体" w:cs="Times New Roman"/>
          <w:snapToGrid w:val="0"/>
          <w:color w:val="auto"/>
          <w:sz w:val="30"/>
          <w:szCs w:val="30"/>
        </w:rPr>
        <w:t>一、建设项目基本情况</w:t>
      </w:r>
      <w:bookmarkEnd w:id="4"/>
    </w:p>
    <w:tbl>
      <w:tblPr>
        <w:tblStyle w:val="24"/>
        <w:tblW w:w="903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0" w:type="dxa"/>
          <w:bottom w:w="0" w:type="dxa"/>
          <w:right w:w="0" w:type="dxa"/>
        </w:tblCellMar>
      </w:tblPr>
      <w:tblGrid>
        <w:gridCol w:w="1460"/>
        <w:gridCol w:w="2502"/>
        <w:gridCol w:w="2217"/>
        <w:gridCol w:w="9"/>
        <w:gridCol w:w="285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建设项目名称</w:t>
            </w:r>
          </w:p>
        </w:tc>
        <w:tc>
          <w:tcPr>
            <w:tcW w:w="7319" w:type="dxa"/>
            <w:gridSpan w:val="4"/>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lang w:eastAsia="zh-CN"/>
              </w:rPr>
              <w:t>同心县</w:t>
            </w:r>
            <w:r>
              <w:rPr>
                <w:rFonts w:hint="eastAsia" w:cs="Times New Roman"/>
                <w:color w:val="auto"/>
                <w:sz w:val="24"/>
                <w:szCs w:val="24"/>
                <w:lang w:eastAsia="zh-CN"/>
              </w:rPr>
              <w:t>张家塬</w:t>
            </w:r>
            <w:r>
              <w:rPr>
                <w:rFonts w:hint="default" w:ascii="Times New Roman" w:hAnsi="Times New Roman" w:cs="Times New Roman"/>
                <w:color w:val="auto"/>
                <w:sz w:val="24"/>
                <w:szCs w:val="24"/>
                <w:lang w:eastAsia="zh-CN"/>
              </w:rPr>
              <w:t>乡折腰沟村内涝外排工程（二期）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项目代码</w:t>
            </w:r>
          </w:p>
        </w:tc>
        <w:tc>
          <w:tcPr>
            <w:tcW w:w="7319" w:type="dxa"/>
            <w:gridSpan w:val="4"/>
            <w:vAlign w:val="center"/>
          </w:tcPr>
          <w:p>
            <w:pPr>
              <w:adjustRightInd w:val="0"/>
              <w:snapToGrid w:val="0"/>
              <w:jc w:val="center"/>
              <w:rPr>
                <w:rFonts w:hint="default"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2303-640324-19-01-590677</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建设单位联系人</w:t>
            </w:r>
          </w:p>
        </w:tc>
        <w:tc>
          <w:tcPr>
            <w:tcW w:w="2549" w:type="dxa"/>
            <w:vAlign w:val="center"/>
          </w:tcPr>
          <w:p>
            <w:pPr>
              <w:adjustRightInd w:val="0"/>
              <w:snapToGrid w:val="0"/>
              <w:jc w:val="center"/>
              <w:rPr>
                <w:rFonts w:hint="eastAsia" w:ascii="Times New Roman" w:hAnsi="Times New Roman" w:eastAsia="宋体" w:cs="Times New Roman"/>
                <w:color w:val="auto"/>
                <w:sz w:val="24"/>
                <w:szCs w:val="24"/>
                <w:lang w:eastAsia="zh-CN"/>
              </w:rPr>
            </w:pPr>
            <w:r>
              <w:rPr>
                <w:rFonts w:hint="eastAsia" w:cs="Times New Roman"/>
                <w:color w:val="auto"/>
                <w:sz w:val="24"/>
                <w:szCs w:val="24"/>
                <w:lang w:eastAsia="zh-CN"/>
              </w:rPr>
              <w:t>李祥</w:t>
            </w:r>
          </w:p>
        </w:tc>
        <w:tc>
          <w:tcPr>
            <w:tcW w:w="2228" w:type="dxa"/>
            <w:gridSpan w:val="2"/>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联系方式</w:t>
            </w:r>
          </w:p>
        </w:tc>
        <w:tc>
          <w:tcPr>
            <w:tcW w:w="2542" w:type="dxa"/>
            <w:vAlign w:val="center"/>
          </w:tcPr>
          <w:p>
            <w:pPr>
              <w:adjustRightInd w:val="0"/>
              <w:snapToGrid w:val="0"/>
              <w:jc w:val="center"/>
              <w:rPr>
                <w:rFonts w:hint="default" w:ascii="Times New Roman" w:hAnsi="Times New Roman" w:cs="Times New Roman"/>
                <w:color w:val="auto"/>
                <w:sz w:val="24"/>
                <w:szCs w:val="24"/>
              </w:rPr>
            </w:pPr>
            <w:r>
              <w:rPr>
                <w:rFonts w:hint="eastAsia"/>
                <w:color w:val="auto"/>
                <w:sz w:val="24"/>
                <w:szCs w:val="24"/>
              </w:rPr>
              <w:t>138</w:t>
            </w:r>
            <w:r>
              <w:rPr>
                <w:rFonts w:hint="eastAsia"/>
                <w:color w:val="auto"/>
                <w:sz w:val="24"/>
                <w:szCs w:val="24"/>
                <w:lang w:val="en-US" w:eastAsia="zh-CN"/>
              </w:rPr>
              <w:t>****</w:t>
            </w:r>
            <w:r>
              <w:rPr>
                <w:rFonts w:hint="eastAsia"/>
                <w:color w:val="auto"/>
                <w:sz w:val="24"/>
                <w:szCs w:val="24"/>
              </w:rPr>
              <w:t>7393</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建设地点</w:t>
            </w:r>
          </w:p>
        </w:tc>
        <w:tc>
          <w:tcPr>
            <w:tcW w:w="7319" w:type="dxa"/>
            <w:gridSpan w:val="4"/>
            <w:vAlign w:val="center"/>
          </w:tcPr>
          <w:p>
            <w:pPr>
              <w:widowControl/>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u w:val="single"/>
              </w:rPr>
              <w:t>宁夏</w:t>
            </w:r>
            <w:r>
              <w:rPr>
                <w:rFonts w:hint="eastAsia" w:cs="Times New Roman"/>
                <w:color w:val="auto"/>
                <w:sz w:val="24"/>
                <w:szCs w:val="24"/>
                <w:u w:val="single"/>
                <w:lang w:eastAsia="zh-CN"/>
              </w:rPr>
              <w:t>回族</w:t>
            </w:r>
            <w:r>
              <w:rPr>
                <w:rFonts w:hint="default" w:ascii="Times New Roman" w:hAnsi="Times New Roman" w:cs="Times New Roman"/>
                <w:color w:val="auto"/>
                <w:sz w:val="24"/>
                <w:szCs w:val="24"/>
              </w:rPr>
              <w:t>自治区</w:t>
            </w:r>
            <w:r>
              <w:rPr>
                <w:rFonts w:hint="default" w:ascii="Times New Roman" w:hAnsi="Times New Roman" w:cs="Times New Roman"/>
                <w:color w:val="auto"/>
                <w:sz w:val="24"/>
                <w:szCs w:val="24"/>
                <w:u w:val="single"/>
              </w:rPr>
              <w:t>吴忠</w:t>
            </w:r>
            <w:r>
              <w:rPr>
                <w:rFonts w:hint="default" w:ascii="Times New Roman" w:hAnsi="Times New Roman" w:cs="Times New Roman"/>
                <w:color w:val="auto"/>
                <w:sz w:val="24"/>
                <w:szCs w:val="24"/>
              </w:rPr>
              <w:t>市</w:t>
            </w:r>
            <w:r>
              <w:rPr>
                <w:rFonts w:hint="default" w:ascii="Times New Roman" w:hAnsi="Times New Roman" w:cs="Times New Roman"/>
                <w:color w:val="auto"/>
                <w:sz w:val="24"/>
                <w:szCs w:val="24"/>
                <w:u w:val="single"/>
              </w:rPr>
              <w:t>同心</w:t>
            </w:r>
            <w:r>
              <w:rPr>
                <w:rFonts w:hint="default" w:ascii="Times New Roman" w:hAnsi="Times New Roman" w:cs="Times New Roman"/>
                <w:color w:val="auto"/>
                <w:sz w:val="24"/>
                <w:szCs w:val="24"/>
              </w:rPr>
              <w:t>县</w:t>
            </w:r>
            <w:r>
              <w:rPr>
                <w:rFonts w:hint="eastAsia" w:cs="Times New Roman"/>
                <w:color w:val="auto"/>
                <w:sz w:val="24"/>
                <w:szCs w:val="24"/>
                <w:u w:val="single"/>
                <w:lang w:eastAsia="zh-CN"/>
              </w:rPr>
              <w:t>张家塬</w:t>
            </w:r>
            <w:r>
              <w:rPr>
                <w:rFonts w:hint="default" w:ascii="Times New Roman" w:hAnsi="Times New Roman" w:cs="Times New Roman"/>
                <w:color w:val="auto"/>
                <w:sz w:val="24"/>
                <w:szCs w:val="24"/>
              </w:rPr>
              <w:t>乡</w:t>
            </w:r>
            <w:r>
              <w:rPr>
                <w:rFonts w:hint="eastAsia" w:cs="Times New Roman"/>
                <w:color w:val="auto"/>
                <w:sz w:val="24"/>
                <w:szCs w:val="24"/>
                <w:u w:val="single"/>
                <w:lang w:eastAsia="zh-CN"/>
              </w:rPr>
              <w:t>折腰沟</w:t>
            </w:r>
            <w:r>
              <w:rPr>
                <w:rFonts w:hint="default" w:ascii="Times New Roman" w:hAnsi="Times New Roman" w:cs="Times New Roman"/>
                <w:color w:val="auto"/>
                <w:sz w:val="24"/>
                <w:szCs w:val="24"/>
              </w:rPr>
              <w:t>村</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地理坐标</w:t>
            </w:r>
          </w:p>
        </w:tc>
        <w:tc>
          <w:tcPr>
            <w:tcW w:w="7319" w:type="dxa"/>
            <w:gridSpan w:val="4"/>
            <w:vAlign w:val="center"/>
          </w:tcPr>
          <w:p>
            <w:pPr>
              <w:adjustRightInd w:val="0"/>
              <w:snapToGrid w:val="0"/>
              <w:jc w:val="center"/>
              <w:rPr>
                <w:rFonts w:hint="default" w:ascii="Times New Roman" w:hAnsi="Times New Roman" w:cs="Times New Roman"/>
                <w:color w:val="auto"/>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15"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建设项目</w:t>
            </w:r>
          </w:p>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行业类别</w:t>
            </w:r>
          </w:p>
        </w:tc>
        <w:tc>
          <w:tcPr>
            <w:tcW w:w="2549" w:type="dxa"/>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五十一、水利；127.防洪除涝工程中其他</w:t>
            </w:r>
          </w:p>
        </w:tc>
        <w:tc>
          <w:tcPr>
            <w:tcW w:w="2218" w:type="dxa"/>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用地（用海）面积（m</w:t>
            </w:r>
            <w:r>
              <w:rPr>
                <w:rFonts w:hint="default" w:ascii="Times New Roman" w:hAnsi="Times New Roman" w:cs="Times New Roman"/>
                <w:color w:val="auto"/>
                <w:sz w:val="24"/>
                <w:szCs w:val="24"/>
                <w:vertAlign w:val="superscript"/>
              </w:rPr>
              <w:t>2</w:t>
            </w:r>
            <w:r>
              <w:rPr>
                <w:rFonts w:hint="default" w:ascii="Times New Roman" w:hAnsi="Times New Roman" w:cs="Times New Roman"/>
                <w:color w:val="auto"/>
                <w:sz w:val="24"/>
                <w:szCs w:val="24"/>
              </w:rPr>
              <w:t>）/长度（km）</w:t>
            </w:r>
          </w:p>
        </w:tc>
        <w:tc>
          <w:tcPr>
            <w:tcW w:w="2552" w:type="dxa"/>
            <w:gridSpan w:val="2"/>
            <w:vAlign w:val="center"/>
          </w:tcPr>
          <w:p>
            <w:pPr>
              <w:adjustRightInd w:val="0"/>
              <w:snapToGrid w:val="0"/>
              <w:jc w:val="center"/>
              <w:rPr>
                <w:rFonts w:hint="default" w:ascii="Times New Roman" w:hAnsi="Times New Roman" w:cs="Times New Roman"/>
                <w:color w:val="auto"/>
                <w:sz w:val="24"/>
                <w:szCs w:val="24"/>
              </w:rPr>
            </w:pPr>
            <w:r>
              <w:rPr>
                <w:rFonts w:hint="eastAsia" w:cs="Times New Roman"/>
                <w:color w:val="auto"/>
                <w:sz w:val="24"/>
                <w:szCs w:val="24"/>
                <w:lang w:val="en-US" w:eastAsia="zh-CN"/>
              </w:rPr>
              <w:t>新建沟道防护65.81m，边坡整治10433m</w:t>
            </w:r>
            <w:r>
              <w:rPr>
                <w:rFonts w:hint="eastAsia" w:cs="Times New Roman"/>
                <w:color w:val="auto"/>
                <w:sz w:val="24"/>
                <w:szCs w:val="24"/>
                <w:vertAlign w:val="superscript"/>
                <w:lang w:val="en-US" w:eastAsia="zh-CN"/>
              </w:rPr>
              <w:t>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04"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建设性质</w:t>
            </w:r>
          </w:p>
        </w:tc>
        <w:tc>
          <w:tcPr>
            <w:tcW w:w="2549" w:type="dxa"/>
            <w:vAlign w:val="center"/>
          </w:tcPr>
          <w:p>
            <w:pPr>
              <w:adjustRightInd w:val="0"/>
              <w:snapToGrid w:val="0"/>
              <w:jc w:val="left"/>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☑新建（迁建）</w:t>
            </w:r>
          </w:p>
          <w:p>
            <w:pPr>
              <w:adjustRightInd w:val="0"/>
              <w:snapToGrid w:val="0"/>
              <w:jc w:val="left"/>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□改建</w:t>
            </w:r>
          </w:p>
          <w:p>
            <w:pPr>
              <w:adjustRightInd w:val="0"/>
              <w:snapToGrid w:val="0"/>
              <w:jc w:val="left"/>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□扩建</w:t>
            </w:r>
          </w:p>
          <w:p>
            <w:pPr>
              <w:adjustRightInd w:val="0"/>
              <w:snapToGrid w:val="0"/>
              <w:jc w:val="left"/>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□技术改造</w:t>
            </w:r>
          </w:p>
        </w:tc>
        <w:tc>
          <w:tcPr>
            <w:tcW w:w="2218" w:type="dxa"/>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建设项目</w:t>
            </w:r>
          </w:p>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申报情形</w:t>
            </w:r>
          </w:p>
        </w:tc>
        <w:tc>
          <w:tcPr>
            <w:tcW w:w="2552" w:type="dxa"/>
            <w:gridSpan w:val="2"/>
            <w:vAlign w:val="center"/>
          </w:tcPr>
          <w:p>
            <w:pPr>
              <w:adjustRightInd w:val="0"/>
              <w:snapToGrid w:val="0"/>
              <w:jc w:val="left"/>
              <w:rPr>
                <w:rFonts w:hint="default" w:ascii="Times New Roman" w:hAnsi="Times New Roman" w:cs="Times New Roman"/>
                <w:color w:val="auto"/>
                <w:sz w:val="24"/>
                <w:szCs w:val="24"/>
              </w:rPr>
            </w:pPr>
            <w:r>
              <w:rPr>
                <w:rFonts w:hint="default" w:ascii="Times New Roman" w:hAnsi="Times New Roman" w:cs="Times New Roman"/>
                <w:color w:val="auto"/>
                <w:sz w:val="24"/>
                <w:szCs w:val="24"/>
              </w:rPr>
              <w:t>☑首次申报项目</w:t>
            </w:r>
          </w:p>
          <w:p>
            <w:pPr>
              <w:adjustRightInd w:val="0"/>
              <w:snapToGrid w:val="0"/>
              <w:jc w:val="left"/>
              <w:rPr>
                <w:rFonts w:hint="default" w:ascii="Times New Roman" w:hAnsi="Times New Roman" w:cs="Times New Roman"/>
                <w:color w:val="auto"/>
                <w:sz w:val="24"/>
                <w:szCs w:val="24"/>
              </w:rPr>
            </w:pPr>
            <w:r>
              <w:rPr>
                <w:rFonts w:hint="default" w:ascii="Times New Roman" w:hAnsi="Times New Roman" w:cs="Times New Roman"/>
                <w:color w:val="auto"/>
                <w:sz w:val="24"/>
                <w:szCs w:val="24"/>
              </w:rPr>
              <w:t>□不予批准后再次申报项目</w:t>
            </w:r>
          </w:p>
          <w:p>
            <w:pPr>
              <w:adjustRightInd w:val="0"/>
              <w:snapToGrid w:val="0"/>
              <w:jc w:val="left"/>
              <w:rPr>
                <w:rFonts w:hint="default" w:ascii="Times New Roman" w:hAnsi="Times New Roman" w:cs="Times New Roman"/>
                <w:color w:val="auto"/>
                <w:sz w:val="24"/>
                <w:szCs w:val="24"/>
              </w:rPr>
            </w:pPr>
            <w:r>
              <w:rPr>
                <w:rFonts w:hint="default" w:ascii="Times New Roman" w:hAnsi="Times New Roman" w:cs="Times New Roman"/>
                <w:color w:val="auto"/>
                <w:sz w:val="24"/>
                <w:szCs w:val="24"/>
              </w:rPr>
              <w:t>□超五年重新审核项目</w:t>
            </w:r>
          </w:p>
          <w:p>
            <w:pPr>
              <w:adjustRightInd w:val="0"/>
              <w:snapToGrid w:val="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62"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项目审批（核准/</w:t>
            </w:r>
          </w:p>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备案）部门（选填）</w:t>
            </w:r>
          </w:p>
        </w:tc>
        <w:tc>
          <w:tcPr>
            <w:tcW w:w="2549" w:type="dxa"/>
            <w:vAlign w:val="center"/>
          </w:tcPr>
          <w:p>
            <w:pPr>
              <w:adjustRightInd w:val="0"/>
              <w:snapToGrid w:val="0"/>
              <w:jc w:val="center"/>
              <w:rPr>
                <w:rFonts w:hint="eastAsia" w:ascii="Times New Roman" w:hAnsi="Times New Roman" w:eastAsia="宋体" w:cs="Times New Roman"/>
                <w:color w:val="auto"/>
                <w:sz w:val="24"/>
                <w:szCs w:val="24"/>
                <w:lang w:eastAsia="zh-CN"/>
              </w:rPr>
            </w:pPr>
            <w:r>
              <w:rPr>
                <w:rFonts w:hint="eastAsia" w:cs="Times New Roman"/>
                <w:color w:val="auto"/>
                <w:sz w:val="24"/>
                <w:szCs w:val="24"/>
                <w:lang w:val="en-US" w:eastAsia="zh-CN"/>
              </w:rPr>
              <w:t>同心县发展和改革局</w:t>
            </w:r>
          </w:p>
        </w:tc>
        <w:tc>
          <w:tcPr>
            <w:tcW w:w="2218" w:type="dxa"/>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项目审批（核准/</w:t>
            </w:r>
          </w:p>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备案）文号（选填）</w:t>
            </w:r>
          </w:p>
        </w:tc>
        <w:tc>
          <w:tcPr>
            <w:tcW w:w="2552" w:type="dxa"/>
            <w:gridSpan w:val="2"/>
            <w:vAlign w:val="center"/>
          </w:tcPr>
          <w:p>
            <w:pPr>
              <w:adjustRightInd w:val="0"/>
              <w:snapToGrid w:val="0"/>
              <w:jc w:val="center"/>
              <w:rPr>
                <w:rFonts w:hint="eastAsia" w:ascii="Times New Roman" w:hAnsi="Times New Roman" w:eastAsia="宋体" w:cs="Times New Roman"/>
                <w:color w:val="auto"/>
                <w:sz w:val="24"/>
                <w:szCs w:val="24"/>
                <w:lang w:eastAsia="zh-CN"/>
              </w:rPr>
            </w:pPr>
            <w:r>
              <w:rPr>
                <w:rFonts w:hint="eastAsia" w:cs="Times New Roman"/>
                <w:color w:val="auto"/>
                <w:sz w:val="24"/>
                <w:szCs w:val="24"/>
                <w:lang w:val="en-US" w:eastAsia="zh-CN"/>
              </w:rPr>
              <w:t>同发改审发</w:t>
            </w:r>
            <w:r>
              <w:rPr>
                <w:rFonts w:hint="default" w:ascii="Times New Roman" w:hAnsi="Times New Roman" w:eastAsia="宋体" w:cs="Times New Roman"/>
                <w:color w:val="auto"/>
                <w:sz w:val="24"/>
                <w:szCs w:val="24"/>
                <w:lang w:val="en-US" w:eastAsia="zh-CN"/>
              </w:rPr>
              <w:t>[</w:t>
            </w:r>
            <w:r>
              <w:rPr>
                <w:rFonts w:hint="eastAsia" w:ascii="Times New Roman" w:hAnsi="Times New Roman" w:eastAsia="宋体" w:cs="Times New Roman"/>
                <w:color w:val="auto"/>
                <w:sz w:val="24"/>
                <w:szCs w:val="24"/>
                <w:lang w:val="en-US" w:eastAsia="zh-CN"/>
              </w:rPr>
              <w:t>2023</w:t>
            </w:r>
            <w:r>
              <w:rPr>
                <w:rFonts w:hint="default" w:ascii="Times New Roman" w:hAnsi="Times New Roman" w:eastAsia="宋体" w:cs="Times New Roman"/>
                <w:color w:val="auto"/>
                <w:sz w:val="24"/>
                <w:szCs w:val="24"/>
                <w:lang w:val="en-US" w:eastAsia="zh-CN"/>
              </w:rPr>
              <w:t>]</w:t>
            </w:r>
            <w:r>
              <w:rPr>
                <w:rFonts w:hint="eastAsia" w:ascii="Times New Roman" w:hAnsi="Times New Roman" w:eastAsia="宋体" w:cs="Times New Roman"/>
                <w:color w:val="auto"/>
                <w:sz w:val="24"/>
                <w:szCs w:val="24"/>
                <w:lang w:val="en-US" w:eastAsia="zh-CN"/>
              </w:rPr>
              <w:t>86</w:t>
            </w:r>
            <w:r>
              <w:rPr>
                <w:rFonts w:hint="default" w:ascii="Times New Roman" w:hAnsi="Times New Roman" w:eastAsia="宋体" w:cs="Times New Roman"/>
                <w:color w:val="auto"/>
                <w:sz w:val="24"/>
                <w:szCs w:val="24"/>
                <w:lang w:val="en-US" w:eastAsia="zh-CN"/>
              </w:rPr>
              <w:t>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总投资（万元）</w:t>
            </w:r>
          </w:p>
        </w:tc>
        <w:tc>
          <w:tcPr>
            <w:tcW w:w="2549" w:type="dxa"/>
            <w:vAlign w:val="center"/>
          </w:tcPr>
          <w:p>
            <w:pPr>
              <w:adjustRightInd w:val="0"/>
              <w:snapToGrid w:val="0"/>
              <w:jc w:val="center"/>
              <w:rPr>
                <w:rFonts w:hint="default"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320.27</w:t>
            </w:r>
          </w:p>
        </w:tc>
        <w:tc>
          <w:tcPr>
            <w:tcW w:w="2218"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环保投资（万元）</w:t>
            </w:r>
          </w:p>
        </w:tc>
        <w:tc>
          <w:tcPr>
            <w:tcW w:w="2552" w:type="dxa"/>
            <w:gridSpan w:val="2"/>
            <w:vAlign w:val="center"/>
          </w:tcPr>
          <w:p>
            <w:pPr>
              <w:adjustRightInd w:val="0"/>
              <w:snapToGrid w:val="0"/>
              <w:jc w:val="center"/>
              <w:rPr>
                <w:rFonts w:hint="default"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78.31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4"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环保投资占比（%）</w:t>
            </w:r>
          </w:p>
        </w:tc>
        <w:tc>
          <w:tcPr>
            <w:tcW w:w="2549" w:type="dxa"/>
            <w:vAlign w:val="center"/>
          </w:tcPr>
          <w:p>
            <w:pPr>
              <w:adjustRightInd w:val="0"/>
              <w:snapToGrid w:val="0"/>
              <w:jc w:val="center"/>
              <w:rPr>
                <w:rFonts w:hint="default"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24.25</w:t>
            </w:r>
          </w:p>
        </w:tc>
        <w:tc>
          <w:tcPr>
            <w:tcW w:w="2218"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施工工期</w:t>
            </w:r>
          </w:p>
        </w:tc>
        <w:tc>
          <w:tcPr>
            <w:tcW w:w="2552" w:type="dxa"/>
            <w:gridSpan w:val="2"/>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2个月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是否开工建设</w:t>
            </w:r>
          </w:p>
        </w:tc>
        <w:tc>
          <w:tcPr>
            <w:tcW w:w="7319" w:type="dxa"/>
            <w:gridSpan w:val="4"/>
            <w:vAlign w:val="center"/>
          </w:tcPr>
          <w:p>
            <w:pPr>
              <w:adjustRightInd w:val="0"/>
              <w:snapToGrid w:val="0"/>
              <w:ind w:firstLine="105"/>
              <w:jc w:val="left"/>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☑否</w:t>
            </w:r>
          </w:p>
          <w:p>
            <w:pPr>
              <w:adjustRightInd w:val="0"/>
              <w:snapToGrid w:val="0"/>
              <w:ind w:firstLine="92"/>
              <w:jc w:val="left"/>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04" w:hRule="atLeast"/>
          <w:jc w:val="center"/>
        </w:trPr>
        <w:tc>
          <w:tcPr>
            <w:tcW w:w="1720" w:type="dxa"/>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jc w:val="center"/>
              <w:textAlignment w:val="auto"/>
              <w:rPr>
                <w:rFonts w:hint="default" w:ascii="Times New Roman" w:hAnsi="Times New Roman" w:cs="Times New Roman"/>
                <w:color w:val="auto"/>
                <w:kern w:val="0"/>
                <w:sz w:val="24"/>
                <w:szCs w:val="24"/>
              </w:rPr>
            </w:pPr>
            <w:r>
              <w:rPr>
                <w:rFonts w:hint="default" w:ascii="Times New Roman" w:hAnsi="Times New Roman" w:cs="Times New Roman"/>
                <w:color w:val="auto"/>
                <w:kern w:val="0"/>
                <w:sz w:val="24"/>
                <w:szCs w:val="24"/>
              </w:rPr>
              <w:t>专项评价设置情况</w:t>
            </w:r>
          </w:p>
        </w:tc>
        <w:tc>
          <w:tcPr>
            <w:tcW w:w="7319" w:type="dxa"/>
            <w:gridSpan w:val="4"/>
            <w:tcMar>
              <w:top w:w="16" w:type="dxa"/>
              <w:left w:w="16" w:type="dxa"/>
              <w:right w:w="16" w:type="dxa"/>
            </w:tcMar>
            <w:vAlign w:val="center"/>
          </w:tcPr>
          <w:p>
            <w:pPr>
              <w:pStyle w:val="6"/>
              <w:spacing w:line="360" w:lineRule="auto"/>
              <w:ind w:firstLine="480" w:firstLineChars="200"/>
              <w:rPr>
                <w:rFonts w:hAnsi="宋体"/>
                <w:color w:val="auto"/>
                <w:sz w:val="24"/>
                <w:szCs w:val="24"/>
              </w:rPr>
            </w:pPr>
            <w:r>
              <w:rPr>
                <w:rFonts w:hint="eastAsia" w:hAnsi="宋体"/>
                <w:color w:val="auto"/>
                <w:sz w:val="24"/>
                <w:szCs w:val="24"/>
              </w:rPr>
              <w:t>根据《建设项目环境影响报告表编制技术指南》专项评价设置原则表，见下表</w:t>
            </w:r>
            <w:r>
              <w:rPr>
                <w:rFonts w:hint="eastAsia" w:hAnsi="宋体"/>
                <w:color w:val="auto"/>
                <w:sz w:val="24"/>
                <w:szCs w:val="24"/>
                <w:lang w:val="en-US" w:eastAsia="zh-CN"/>
              </w:rPr>
              <w:t>1-1</w:t>
            </w:r>
            <w:r>
              <w:rPr>
                <w:rFonts w:hint="eastAsia" w:hAnsi="宋体"/>
                <w:color w:val="auto"/>
                <w:sz w:val="24"/>
                <w:szCs w:val="24"/>
              </w:rPr>
              <w:t>。</w:t>
            </w:r>
          </w:p>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imes New Roman" w:hAnsi="Times New Roman" w:eastAsia="宋体" w:cs="Times New Roman"/>
                <w:b/>
                <w:bCs/>
                <w:color w:val="auto"/>
                <w:sz w:val="21"/>
                <w:szCs w:val="21"/>
                <w:lang w:val="en-US" w:eastAsia="zh-CN"/>
              </w:rPr>
            </w:pPr>
            <w:r>
              <w:rPr>
                <w:rFonts w:hint="eastAsia" w:ascii="Times New Roman" w:hAnsi="Times New Roman" w:eastAsia="宋体" w:cs="Times New Roman"/>
                <w:b/>
                <w:bCs/>
                <w:color w:val="auto"/>
                <w:sz w:val="21"/>
                <w:szCs w:val="21"/>
                <w:lang w:val="en-US" w:eastAsia="zh-CN"/>
              </w:rPr>
              <w:t>表</w:t>
            </w:r>
            <w:r>
              <w:rPr>
                <w:rFonts w:hint="default" w:ascii="Times New Roman" w:hAnsi="Times New Roman" w:eastAsia="宋体" w:cs="Times New Roman"/>
                <w:b/>
                <w:bCs/>
                <w:color w:val="auto"/>
                <w:sz w:val="21"/>
                <w:szCs w:val="21"/>
                <w:lang w:val="en-US" w:eastAsia="zh-CN"/>
              </w:rPr>
              <w:t>1</w:t>
            </w:r>
            <w:r>
              <w:rPr>
                <w:rFonts w:hint="eastAsia" w:cs="Times New Roman"/>
                <w:b/>
                <w:bCs/>
                <w:color w:val="auto"/>
                <w:sz w:val="21"/>
                <w:szCs w:val="21"/>
                <w:lang w:val="en-US" w:eastAsia="zh-CN"/>
              </w:rPr>
              <w:t>-1</w:t>
            </w:r>
            <w:r>
              <w:rPr>
                <w:rFonts w:hint="default" w:ascii="Times New Roman" w:hAnsi="Times New Roman" w:eastAsia="宋体" w:cs="Times New Roman"/>
                <w:b/>
                <w:bCs/>
                <w:color w:val="auto"/>
                <w:sz w:val="21"/>
                <w:szCs w:val="21"/>
                <w:lang w:val="en-US" w:eastAsia="zh-CN"/>
              </w:rPr>
              <w:t xml:space="preserve">    </w:t>
            </w:r>
            <w:r>
              <w:rPr>
                <w:rFonts w:hint="eastAsia" w:ascii="Times New Roman" w:hAnsi="Times New Roman" w:eastAsia="宋体" w:cs="Times New Roman"/>
                <w:b/>
                <w:bCs/>
                <w:color w:val="auto"/>
                <w:sz w:val="21"/>
                <w:szCs w:val="21"/>
                <w:lang w:val="en-US" w:eastAsia="zh-CN"/>
              </w:rPr>
              <w:t>专项评价设置原则表（节选）</w:t>
            </w:r>
          </w:p>
          <w:tbl>
            <w:tblPr>
              <w:tblStyle w:val="24"/>
              <w:tblW w:w="7378"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1226"/>
              <w:gridCol w:w="2753"/>
              <w:gridCol w:w="3399"/>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226" w:type="dxa"/>
                  <w:tcBorders>
                    <w:tl2br w:val="nil"/>
                    <w:tr2bl w:val="nil"/>
                  </w:tcBorders>
                  <w:noWrap w:val="0"/>
                  <w:vAlign w:val="center"/>
                </w:tcPr>
                <w:p>
                  <w:pPr>
                    <w:pStyle w:val="81"/>
                    <w:rPr>
                      <w:b/>
                      <w:bCs/>
                      <w:color w:val="auto"/>
                      <w:sz w:val="21"/>
                      <w:szCs w:val="21"/>
                    </w:rPr>
                  </w:pPr>
                  <w:r>
                    <w:rPr>
                      <w:rFonts w:hint="eastAsia"/>
                      <w:b/>
                      <w:bCs/>
                      <w:color w:val="auto"/>
                      <w:sz w:val="21"/>
                      <w:szCs w:val="21"/>
                    </w:rPr>
                    <w:t>专项评价的类别</w:t>
                  </w:r>
                </w:p>
              </w:tc>
              <w:tc>
                <w:tcPr>
                  <w:tcW w:w="2753" w:type="dxa"/>
                  <w:tcBorders>
                    <w:tl2br w:val="nil"/>
                    <w:tr2bl w:val="nil"/>
                  </w:tcBorders>
                  <w:noWrap w:val="0"/>
                  <w:vAlign w:val="center"/>
                </w:tcPr>
                <w:p>
                  <w:pPr>
                    <w:pStyle w:val="81"/>
                    <w:rPr>
                      <w:b/>
                      <w:bCs/>
                      <w:color w:val="auto"/>
                      <w:sz w:val="21"/>
                      <w:szCs w:val="21"/>
                    </w:rPr>
                  </w:pPr>
                  <w:r>
                    <w:rPr>
                      <w:rFonts w:hint="eastAsia"/>
                      <w:b/>
                      <w:bCs/>
                      <w:color w:val="auto"/>
                      <w:sz w:val="21"/>
                      <w:szCs w:val="21"/>
                    </w:rPr>
                    <w:t>涉及项目类别</w:t>
                  </w:r>
                </w:p>
              </w:tc>
              <w:tc>
                <w:tcPr>
                  <w:tcW w:w="3399" w:type="dxa"/>
                  <w:tcBorders>
                    <w:tl2br w:val="nil"/>
                    <w:tr2bl w:val="nil"/>
                  </w:tcBorders>
                  <w:noWrap w:val="0"/>
                  <w:vAlign w:val="center"/>
                </w:tcPr>
                <w:p>
                  <w:pPr>
                    <w:pStyle w:val="81"/>
                    <w:rPr>
                      <w:b/>
                      <w:bCs/>
                      <w:color w:val="auto"/>
                      <w:sz w:val="21"/>
                      <w:szCs w:val="21"/>
                    </w:rPr>
                  </w:pPr>
                  <w:r>
                    <w:rPr>
                      <w:rFonts w:hint="eastAsia"/>
                      <w:b/>
                      <w:bCs/>
                      <w:color w:val="auto"/>
                      <w:sz w:val="21"/>
                      <w:szCs w:val="21"/>
                    </w:rPr>
                    <w:t>本项目情况</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226" w:type="dxa"/>
                  <w:tcBorders>
                    <w:tl2br w:val="nil"/>
                    <w:tr2bl w:val="nil"/>
                  </w:tcBorders>
                  <w:noWrap w:val="0"/>
                  <w:vAlign w:val="center"/>
                </w:tcPr>
                <w:p>
                  <w:pPr>
                    <w:pStyle w:val="81"/>
                    <w:rPr>
                      <w:rFonts w:hint="eastAsia"/>
                      <w:color w:val="auto"/>
                      <w:sz w:val="21"/>
                      <w:szCs w:val="21"/>
                    </w:rPr>
                  </w:pPr>
                  <w:r>
                    <w:rPr>
                      <w:rFonts w:hint="eastAsia"/>
                      <w:color w:val="auto"/>
                      <w:sz w:val="21"/>
                      <w:szCs w:val="21"/>
                    </w:rPr>
                    <w:t>地表水</w:t>
                  </w:r>
                </w:p>
              </w:tc>
              <w:tc>
                <w:tcPr>
                  <w:tcW w:w="2753" w:type="dxa"/>
                  <w:tcBorders>
                    <w:tl2br w:val="nil"/>
                    <w:tr2bl w:val="nil"/>
                  </w:tcBorders>
                  <w:noWrap w:val="0"/>
                  <w:vAlign w:val="center"/>
                </w:tcPr>
                <w:p>
                  <w:pPr>
                    <w:pStyle w:val="81"/>
                    <w:rPr>
                      <w:rFonts w:hint="eastAsia"/>
                      <w:color w:val="auto"/>
                      <w:sz w:val="21"/>
                      <w:szCs w:val="21"/>
                    </w:rPr>
                  </w:pPr>
                  <w:r>
                    <w:rPr>
                      <w:rFonts w:hint="eastAsia"/>
                      <w:color w:val="auto"/>
                      <w:sz w:val="21"/>
                      <w:szCs w:val="21"/>
                    </w:rPr>
                    <w:t>防洪工程：包含水库的项目</w:t>
                  </w:r>
                </w:p>
              </w:tc>
              <w:tc>
                <w:tcPr>
                  <w:tcW w:w="3399" w:type="dxa"/>
                  <w:tcBorders>
                    <w:tl2br w:val="nil"/>
                    <w:tr2bl w:val="nil"/>
                  </w:tcBorders>
                  <w:noWrap w:val="0"/>
                  <w:vAlign w:val="center"/>
                </w:tcPr>
                <w:p>
                  <w:pPr>
                    <w:pStyle w:val="81"/>
                    <w:rPr>
                      <w:rFonts w:hint="eastAsia"/>
                      <w:color w:val="auto"/>
                      <w:sz w:val="21"/>
                      <w:szCs w:val="21"/>
                    </w:rPr>
                  </w:pPr>
                  <w:r>
                    <w:rPr>
                      <w:rFonts w:hint="eastAsia"/>
                      <w:color w:val="auto"/>
                      <w:sz w:val="21"/>
                      <w:szCs w:val="21"/>
                    </w:rPr>
                    <w:t>本项目为</w:t>
                  </w:r>
                  <w:r>
                    <w:rPr>
                      <w:rFonts w:hint="eastAsia"/>
                      <w:color w:val="auto"/>
                      <w:sz w:val="21"/>
                      <w:szCs w:val="21"/>
                      <w:lang w:eastAsia="zh-CN"/>
                    </w:rPr>
                    <w:t>防洪</w:t>
                  </w:r>
                  <w:r>
                    <w:rPr>
                      <w:rFonts w:hint="eastAsia"/>
                      <w:color w:val="auto"/>
                      <w:sz w:val="21"/>
                      <w:szCs w:val="21"/>
                    </w:rPr>
                    <w:t>工程，不包含水库</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226" w:type="dxa"/>
                  <w:tcBorders>
                    <w:tl2br w:val="nil"/>
                    <w:tr2bl w:val="nil"/>
                  </w:tcBorders>
                  <w:noWrap w:val="0"/>
                  <w:vAlign w:val="center"/>
                </w:tcPr>
                <w:p>
                  <w:pPr>
                    <w:pStyle w:val="81"/>
                    <w:rPr>
                      <w:rFonts w:hint="eastAsia"/>
                      <w:color w:val="auto"/>
                      <w:sz w:val="21"/>
                      <w:szCs w:val="21"/>
                    </w:rPr>
                  </w:pPr>
                  <w:r>
                    <w:rPr>
                      <w:rFonts w:hint="eastAsia"/>
                      <w:color w:val="auto"/>
                      <w:sz w:val="21"/>
                      <w:szCs w:val="21"/>
                    </w:rPr>
                    <w:t>生态</w:t>
                  </w:r>
                </w:p>
              </w:tc>
              <w:tc>
                <w:tcPr>
                  <w:tcW w:w="2753" w:type="dxa"/>
                  <w:tcBorders>
                    <w:tl2br w:val="nil"/>
                    <w:tr2bl w:val="nil"/>
                  </w:tcBorders>
                  <w:noWrap w:val="0"/>
                  <w:vAlign w:val="center"/>
                </w:tcPr>
                <w:p>
                  <w:pPr>
                    <w:pStyle w:val="81"/>
                    <w:rPr>
                      <w:rFonts w:hint="eastAsia"/>
                      <w:color w:val="auto"/>
                      <w:sz w:val="21"/>
                      <w:szCs w:val="21"/>
                    </w:rPr>
                  </w:pPr>
                  <w:r>
                    <w:rPr>
                      <w:rFonts w:hint="eastAsia"/>
                      <w:color w:val="auto"/>
                      <w:sz w:val="21"/>
                      <w:szCs w:val="21"/>
                    </w:rPr>
                    <w:t>涉及环境敏感区（不包括饮用水水源保护区，以居住、医疗卫生、文化教育、科研、行政办公为主要功能的区域，以及文物保护单位）的项目</w:t>
                  </w:r>
                </w:p>
              </w:tc>
              <w:tc>
                <w:tcPr>
                  <w:tcW w:w="3399" w:type="dxa"/>
                  <w:tcBorders>
                    <w:tl2br w:val="nil"/>
                    <w:tr2bl w:val="nil"/>
                  </w:tcBorders>
                  <w:noWrap w:val="0"/>
                  <w:vAlign w:val="center"/>
                </w:tcPr>
                <w:p>
                  <w:pPr>
                    <w:pStyle w:val="81"/>
                    <w:rPr>
                      <w:rFonts w:hint="eastAsia"/>
                      <w:color w:val="auto"/>
                      <w:sz w:val="21"/>
                      <w:szCs w:val="21"/>
                    </w:rPr>
                  </w:pPr>
                  <w:r>
                    <w:rPr>
                      <w:rFonts w:hint="eastAsia"/>
                      <w:color w:val="auto"/>
                      <w:sz w:val="21"/>
                      <w:szCs w:val="21"/>
                    </w:rPr>
                    <w:t>本项目为</w:t>
                  </w:r>
                  <w:r>
                    <w:rPr>
                      <w:rFonts w:hint="eastAsia"/>
                      <w:color w:val="auto"/>
                      <w:sz w:val="21"/>
                      <w:szCs w:val="21"/>
                      <w:lang w:eastAsia="zh-CN"/>
                    </w:rPr>
                    <w:t>防洪</w:t>
                  </w:r>
                  <w:r>
                    <w:rPr>
                      <w:rFonts w:hint="eastAsia"/>
                      <w:color w:val="auto"/>
                      <w:sz w:val="21"/>
                      <w:szCs w:val="21"/>
                    </w:rPr>
                    <w:t>工程</w:t>
                  </w:r>
                  <w:r>
                    <w:rPr>
                      <w:rFonts w:hint="eastAsia"/>
                      <w:color w:val="auto"/>
                      <w:sz w:val="21"/>
                      <w:szCs w:val="21"/>
                      <w:lang w:eastAsia="zh-CN"/>
                    </w:rPr>
                    <w:t>，</w:t>
                  </w:r>
                  <w:r>
                    <w:rPr>
                      <w:rFonts w:hint="eastAsia"/>
                      <w:color w:val="auto"/>
                      <w:sz w:val="21"/>
                      <w:szCs w:val="21"/>
                    </w:rPr>
                    <w:t>根据《建设项目环境保护影响评价分类管理名录（2</w:t>
                  </w:r>
                  <w:r>
                    <w:rPr>
                      <w:color w:val="auto"/>
                      <w:sz w:val="21"/>
                      <w:szCs w:val="21"/>
                    </w:rPr>
                    <w:t>021</w:t>
                  </w:r>
                  <w:r>
                    <w:rPr>
                      <w:rFonts w:hint="eastAsia"/>
                      <w:color w:val="auto"/>
                      <w:sz w:val="21"/>
                      <w:szCs w:val="21"/>
                    </w:rPr>
                    <w:t>年版）》1</w:t>
                  </w:r>
                  <w:r>
                    <w:rPr>
                      <w:color w:val="auto"/>
                      <w:sz w:val="21"/>
                      <w:szCs w:val="21"/>
                    </w:rPr>
                    <w:t>27</w:t>
                  </w:r>
                  <w:r>
                    <w:rPr>
                      <w:rFonts w:hint="eastAsia"/>
                      <w:color w:val="auto"/>
                      <w:sz w:val="21"/>
                      <w:szCs w:val="21"/>
                    </w:rPr>
                    <w:t>防洪除涝工程未给出环境敏感区</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7378" w:type="dxa"/>
                  <w:gridSpan w:val="3"/>
                  <w:tcBorders>
                    <w:tl2br w:val="nil"/>
                    <w:tr2bl w:val="nil"/>
                  </w:tcBorders>
                  <w:noWrap w:val="0"/>
                  <w:vAlign w:val="center"/>
                </w:tcPr>
                <w:p>
                  <w:pPr>
                    <w:pStyle w:val="81"/>
                    <w:jc w:val="both"/>
                    <w:rPr>
                      <w:rFonts w:hint="eastAsia"/>
                      <w:color w:val="auto"/>
                      <w:sz w:val="21"/>
                      <w:szCs w:val="21"/>
                    </w:rPr>
                  </w:pPr>
                  <w:r>
                    <w:rPr>
                      <w:rFonts w:hint="eastAsia"/>
                      <w:color w:val="auto"/>
                      <w:sz w:val="21"/>
                      <w:szCs w:val="21"/>
                    </w:rPr>
                    <w:t>注：“涉及环境敏感区”是指建设项目位于、穿（跨）越（无害化通过的除外）环境敏感区，或环境影响范围涵盖环境敏感区。环境敏感区是指（建设项目环境影响评价分类管理名录）中针对该类项目所列的敏感区</w:t>
                  </w:r>
                </w:p>
              </w:tc>
            </w:tr>
          </w:tbl>
          <w:p>
            <w:pPr>
              <w:keepNext w:val="0"/>
              <w:keepLines w:val="0"/>
              <w:pageBreakBefore w:val="0"/>
              <w:widowControl w:val="0"/>
              <w:kinsoku/>
              <w:wordWrap/>
              <w:overflowPunct/>
              <w:topLinePunct w:val="0"/>
              <w:autoSpaceDE w:val="0"/>
              <w:autoSpaceDN w:val="0"/>
              <w:bidi w:val="0"/>
              <w:adjustRightInd w:val="0"/>
              <w:snapToGrid w:val="0"/>
              <w:spacing w:before="157" w:beforeLines="50" w:after="157" w:afterLines="50"/>
              <w:ind w:firstLine="480" w:firstLineChars="200"/>
              <w:jc w:val="both"/>
              <w:textAlignment w:val="auto"/>
              <w:rPr>
                <w:rFonts w:hint="default" w:ascii="Times New Roman" w:hAnsi="Times New Roman" w:cs="Times New Roman"/>
                <w:color w:val="auto"/>
                <w:kern w:val="0"/>
                <w:sz w:val="24"/>
                <w:szCs w:val="24"/>
              </w:rPr>
            </w:pPr>
            <w:r>
              <w:rPr>
                <w:rFonts w:hint="eastAsia" w:hAnsi="宋体"/>
                <w:color w:val="auto"/>
                <w:sz w:val="24"/>
                <w:szCs w:val="24"/>
              </w:rPr>
              <w:t>综上所述，本项目不设置专项评价。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jc w:val="center"/>
        </w:trPr>
        <w:tc>
          <w:tcPr>
            <w:tcW w:w="1720" w:type="dxa"/>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jc w:val="center"/>
              <w:textAlignment w:val="auto"/>
              <w:rPr>
                <w:rFonts w:hint="default" w:ascii="Times New Roman" w:hAnsi="Times New Roman" w:cs="Times New Roman"/>
                <w:color w:val="auto"/>
                <w:kern w:val="0"/>
                <w:szCs w:val="21"/>
              </w:rPr>
            </w:pPr>
            <w:r>
              <w:rPr>
                <w:rFonts w:hint="default" w:ascii="Times New Roman" w:hAnsi="Times New Roman" w:cs="Times New Roman"/>
                <w:color w:val="auto"/>
                <w:sz w:val="24"/>
                <w:szCs w:val="24"/>
              </w:rPr>
              <w:t>规划情况</w:t>
            </w:r>
          </w:p>
        </w:tc>
        <w:tc>
          <w:tcPr>
            <w:tcW w:w="7319" w:type="dxa"/>
            <w:gridSpan w:val="4"/>
            <w:tcMar>
              <w:top w:w="16" w:type="dxa"/>
              <w:left w:w="16" w:type="dxa"/>
              <w:right w:w="16" w:type="dxa"/>
            </w:tcMar>
            <w:vAlign w:val="center"/>
          </w:tcPr>
          <w:p>
            <w:pPr>
              <w:autoSpaceDE w:val="0"/>
              <w:autoSpaceDN w:val="0"/>
              <w:adjustRightInd w:val="0"/>
              <w:snapToGrid w:val="0"/>
              <w:spacing w:line="360" w:lineRule="auto"/>
              <w:ind w:firstLine="480" w:firstLineChars="200"/>
              <w:jc w:val="left"/>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规划名称：《宁夏回族自治区水安全保障</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十四五</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规划》</w:t>
            </w:r>
          </w:p>
          <w:p>
            <w:pPr>
              <w:autoSpaceDE w:val="0"/>
              <w:autoSpaceDN w:val="0"/>
              <w:adjustRightInd w:val="0"/>
              <w:snapToGrid w:val="0"/>
              <w:spacing w:line="360" w:lineRule="auto"/>
              <w:ind w:firstLine="480" w:firstLineChars="200"/>
              <w:jc w:val="left"/>
              <w:rPr>
                <w:rFonts w:hint="default" w:ascii="Times New Roman" w:hAnsi="Times New Roman" w:eastAsia="宋体" w:cs="Times New Roman"/>
                <w:color w:val="auto"/>
                <w:sz w:val="24"/>
                <w:lang w:val="en-US" w:eastAsia="zh-CN"/>
              </w:rPr>
            </w:pPr>
            <w:r>
              <w:rPr>
                <w:rFonts w:hint="eastAsia" w:cs="Times New Roman"/>
                <w:color w:val="auto"/>
                <w:sz w:val="24"/>
                <w:lang w:val="en-US" w:eastAsia="zh-CN"/>
              </w:rPr>
              <w:t>审批</w:t>
            </w:r>
            <w:r>
              <w:rPr>
                <w:rFonts w:hint="default" w:ascii="Times New Roman" w:hAnsi="Times New Roman" w:eastAsia="宋体" w:cs="Times New Roman"/>
                <w:color w:val="auto"/>
                <w:sz w:val="24"/>
                <w:lang w:val="en-US" w:eastAsia="zh-CN"/>
              </w:rPr>
              <w:t>机关：宁夏回族自治区人民政府办公厅</w:t>
            </w:r>
          </w:p>
          <w:p>
            <w:pPr>
              <w:autoSpaceDE w:val="0"/>
              <w:autoSpaceDN w:val="0"/>
              <w:adjustRightInd w:val="0"/>
              <w:snapToGrid w:val="0"/>
              <w:spacing w:line="360" w:lineRule="auto"/>
              <w:ind w:firstLine="480" w:firstLineChars="200"/>
              <w:jc w:val="left"/>
              <w:rPr>
                <w:rFonts w:hint="default" w:ascii="Times New Roman" w:hAnsi="Times New Roman" w:eastAsia="宋体" w:cs="Times New Roman"/>
                <w:color w:val="auto"/>
                <w:sz w:val="24"/>
                <w:lang w:val="en-US" w:eastAsia="zh-CN"/>
              </w:rPr>
            </w:pPr>
            <w:r>
              <w:rPr>
                <w:rFonts w:hint="eastAsia" w:cs="Times New Roman"/>
                <w:color w:val="auto"/>
                <w:sz w:val="24"/>
                <w:lang w:val="en-US" w:eastAsia="zh-CN"/>
              </w:rPr>
              <w:t>审批</w:t>
            </w:r>
            <w:r>
              <w:rPr>
                <w:rFonts w:hint="default" w:ascii="Times New Roman" w:hAnsi="Times New Roman" w:eastAsia="宋体" w:cs="Times New Roman"/>
                <w:color w:val="auto"/>
                <w:sz w:val="24"/>
                <w:lang w:val="en-US" w:eastAsia="zh-CN"/>
              </w:rPr>
              <w:t>文件名称：自治区人民政府办公厅关于印发宁夏回族自治区水安全保障</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十四五</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规划的通知</w:t>
            </w:r>
          </w:p>
          <w:p>
            <w:pPr>
              <w:autoSpaceDE w:val="0"/>
              <w:autoSpaceDN w:val="0"/>
              <w:adjustRightInd w:val="0"/>
              <w:snapToGrid w:val="0"/>
              <w:spacing w:line="360" w:lineRule="auto"/>
              <w:ind w:firstLine="480" w:firstLineChars="200"/>
              <w:jc w:val="left"/>
              <w:rPr>
                <w:rFonts w:hint="default" w:ascii="Times New Roman" w:hAnsi="Times New Roman" w:eastAsia="宋体" w:cs="Times New Roman"/>
                <w:color w:val="auto"/>
                <w:kern w:val="0"/>
                <w:sz w:val="24"/>
                <w:lang w:eastAsia="zh-CN"/>
              </w:rPr>
            </w:pPr>
            <w:r>
              <w:rPr>
                <w:rFonts w:hint="eastAsia" w:cs="Times New Roman"/>
                <w:color w:val="auto"/>
                <w:sz w:val="24"/>
                <w:lang w:val="en-US" w:eastAsia="zh-CN"/>
              </w:rPr>
              <w:t>审批</w:t>
            </w:r>
            <w:r>
              <w:rPr>
                <w:rFonts w:hint="default" w:ascii="Times New Roman" w:hAnsi="Times New Roman" w:eastAsia="宋体" w:cs="Times New Roman"/>
                <w:color w:val="auto"/>
                <w:sz w:val="24"/>
                <w:lang w:val="en-US" w:eastAsia="zh-CN"/>
              </w:rPr>
              <w:t>文号：宁政办发〔2021〕82号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jc w:val="center"/>
        </w:trPr>
        <w:tc>
          <w:tcPr>
            <w:tcW w:w="1720" w:type="dxa"/>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jc w:val="center"/>
              <w:textAlignment w:val="auto"/>
              <w:rPr>
                <w:rFonts w:hint="default" w:ascii="Times New Roman" w:hAnsi="Times New Roman" w:cs="Times New Roman"/>
                <w:color w:val="auto"/>
                <w:sz w:val="24"/>
                <w:szCs w:val="24"/>
              </w:rPr>
            </w:pPr>
            <w:r>
              <w:rPr>
                <w:rFonts w:hint="default" w:ascii="Times New Roman" w:hAnsi="Times New Roman" w:cs="Times New Roman"/>
                <w:color w:val="auto"/>
                <w:sz w:val="24"/>
                <w:szCs w:val="24"/>
              </w:rPr>
              <w:t>规划环境影响</w:t>
            </w:r>
          </w:p>
          <w:p>
            <w:pPr>
              <w:keepNext w:val="0"/>
              <w:keepLines w:val="0"/>
              <w:pageBreakBefore w:val="0"/>
              <w:widowControl w:val="0"/>
              <w:kinsoku/>
              <w:wordWrap/>
              <w:overflowPunct/>
              <w:topLinePunct w:val="0"/>
              <w:autoSpaceDE w:val="0"/>
              <w:autoSpaceDN w:val="0"/>
              <w:bidi w:val="0"/>
              <w:adjustRightInd w:val="0"/>
              <w:snapToGrid w:val="0"/>
              <w:jc w:val="center"/>
              <w:textAlignment w:val="auto"/>
              <w:rPr>
                <w:rFonts w:hint="default" w:ascii="Times New Roman" w:hAnsi="Times New Roman" w:cs="Times New Roman"/>
                <w:color w:val="auto"/>
                <w:kern w:val="0"/>
                <w:szCs w:val="21"/>
              </w:rPr>
            </w:pPr>
            <w:r>
              <w:rPr>
                <w:rFonts w:hint="default" w:ascii="Times New Roman" w:hAnsi="Times New Roman" w:cs="Times New Roman"/>
                <w:color w:val="auto"/>
                <w:sz w:val="24"/>
                <w:szCs w:val="24"/>
              </w:rPr>
              <w:t>评价情况</w:t>
            </w:r>
          </w:p>
        </w:tc>
        <w:tc>
          <w:tcPr>
            <w:tcW w:w="7319" w:type="dxa"/>
            <w:gridSpan w:val="4"/>
            <w:tcMar>
              <w:top w:w="16" w:type="dxa"/>
              <w:left w:w="16" w:type="dxa"/>
              <w:right w:w="16" w:type="dxa"/>
            </w:tcMar>
            <w:vAlign w:val="center"/>
          </w:tcPr>
          <w:p>
            <w:pPr>
              <w:autoSpaceDE w:val="0"/>
              <w:autoSpaceDN w:val="0"/>
              <w:adjustRightInd w:val="0"/>
              <w:snapToGrid w:val="0"/>
              <w:spacing w:line="360" w:lineRule="auto"/>
              <w:ind w:firstLine="480" w:firstLineChars="200"/>
              <w:jc w:val="left"/>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规划名称：《宁夏回族自治区水安全保障</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十四五</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规环境影响报告书》</w:t>
            </w:r>
          </w:p>
          <w:p>
            <w:pPr>
              <w:autoSpaceDE w:val="0"/>
              <w:autoSpaceDN w:val="0"/>
              <w:adjustRightInd w:val="0"/>
              <w:snapToGrid w:val="0"/>
              <w:spacing w:line="360" w:lineRule="auto"/>
              <w:ind w:firstLine="480" w:firstLineChars="200"/>
              <w:jc w:val="left"/>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kern w:val="0"/>
                <w:sz w:val="24"/>
                <w:szCs w:val="24"/>
                <w:lang w:val="en-US" w:eastAsia="zh-CN"/>
              </w:rPr>
              <w:t>召集</w:t>
            </w:r>
            <w:r>
              <w:rPr>
                <w:rFonts w:hint="eastAsia" w:cs="Times New Roman"/>
                <w:color w:val="auto"/>
                <w:sz w:val="24"/>
                <w:lang w:val="en-US" w:eastAsia="zh-CN"/>
              </w:rPr>
              <w:t>审查</w:t>
            </w:r>
            <w:r>
              <w:rPr>
                <w:rFonts w:hint="default" w:ascii="Times New Roman" w:hAnsi="Times New Roman" w:eastAsia="宋体" w:cs="Times New Roman"/>
                <w:color w:val="auto"/>
                <w:sz w:val="24"/>
                <w:lang w:val="en-US" w:eastAsia="zh-CN"/>
              </w:rPr>
              <w:t>机关：宁夏回族自治区生态环境厅</w:t>
            </w:r>
          </w:p>
          <w:p>
            <w:pPr>
              <w:autoSpaceDE w:val="0"/>
              <w:autoSpaceDN w:val="0"/>
              <w:adjustRightInd w:val="0"/>
              <w:snapToGrid w:val="0"/>
              <w:spacing w:line="360" w:lineRule="auto"/>
              <w:ind w:firstLine="480" w:firstLineChars="200"/>
              <w:jc w:val="left"/>
              <w:rPr>
                <w:rFonts w:hint="default" w:ascii="Times New Roman" w:hAnsi="Times New Roman" w:eastAsia="宋体" w:cs="Times New Roman"/>
                <w:color w:val="auto"/>
                <w:sz w:val="24"/>
                <w:lang w:val="en-US" w:eastAsia="zh-CN"/>
              </w:rPr>
            </w:pPr>
            <w:r>
              <w:rPr>
                <w:rFonts w:hint="eastAsia" w:cs="Times New Roman"/>
                <w:color w:val="auto"/>
                <w:sz w:val="24"/>
                <w:lang w:val="en-US" w:eastAsia="zh-CN"/>
              </w:rPr>
              <w:t>审查</w:t>
            </w:r>
            <w:r>
              <w:rPr>
                <w:rFonts w:hint="default" w:ascii="Times New Roman" w:hAnsi="Times New Roman" w:eastAsia="宋体" w:cs="Times New Roman"/>
                <w:color w:val="auto"/>
                <w:sz w:val="24"/>
                <w:lang w:val="en-US" w:eastAsia="zh-CN"/>
              </w:rPr>
              <w:t>文件名称：《自治区生态环境厅关于&lt;宁夏水安全保障</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十四五</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规环境影响报告书&gt;审查意见的函》</w:t>
            </w:r>
          </w:p>
          <w:p>
            <w:pPr>
              <w:autoSpaceDE w:val="0"/>
              <w:autoSpaceDN w:val="0"/>
              <w:adjustRightInd w:val="0"/>
              <w:snapToGrid w:val="0"/>
              <w:spacing w:line="360" w:lineRule="auto"/>
              <w:ind w:firstLine="480" w:firstLineChars="200"/>
              <w:jc w:val="left"/>
              <w:rPr>
                <w:rFonts w:hint="default" w:ascii="Times New Roman" w:hAnsi="Times New Roman" w:cs="Times New Roman"/>
                <w:color w:val="auto"/>
                <w:kern w:val="0"/>
                <w:sz w:val="24"/>
              </w:rPr>
            </w:pPr>
            <w:r>
              <w:rPr>
                <w:rFonts w:hint="eastAsia" w:cs="Times New Roman"/>
                <w:color w:val="auto"/>
                <w:sz w:val="24"/>
                <w:lang w:val="en-US" w:eastAsia="zh-CN"/>
              </w:rPr>
              <w:t>审查</w:t>
            </w:r>
            <w:r>
              <w:rPr>
                <w:rFonts w:hint="default" w:ascii="Times New Roman" w:hAnsi="Times New Roman" w:eastAsia="宋体" w:cs="Times New Roman"/>
                <w:color w:val="auto"/>
                <w:sz w:val="24"/>
                <w:lang w:val="en-US" w:eastAsia="zh-CN"/>
              </w:rPr>
              <w:t>文号：宁环函〔2021〕721号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23" w:hRule="atLeast"/>
          <w:jc w:val="center"/>
        </w:trPr>
        <w:tc>
          <w:tcPr>
            <w:tcW w:w="1720" w:type="dxa"/>
            <w:tcMar>
              <w:top w:w="16" w:type="dxa"/>
              <w:left w:w="16" w:type="dxa"/>
              <w:right w:w="16" w:type="dxa"/>
            </w:tcMar>
            <w:vAlign w:val="center"/>
          </w:tcPr>
          <w:p>
            <w:pPr>
              <w:autoSpaceDE w:val="0"/>
              <w:autoSpaceDN w:val="0"/>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规划及</w:t>
            </w:r>
            <w:r>
              <w:rPr>
                <w:rFonts w:hint="default" w:ascii="Times New Roman" w:hAnsi="Times New Roman" w:cs="Times New Roman"/>
                <w:color w:val="auto"/>
                <w:sz w:val="24"/>
                <w:szCs w:val="24"/>
              </w:rPr>
              <w:t>规划环境影响评价</w:t>
            </w:r>
            <w:r>
              <w:rPr>
                <w:rFonts w:hint="default" w:ascii="Times New Roman" w:hAnsi="Times New Roman" w:cs="Times New Roman"/>
                <w:color w:val="auto"/>
                <w:kern w:val="0"/>
                <w:sz w:val="24"/>
                <w:szCs w:val="24"/>
              </w:rPr>
              <w:t>符合性分析</w:t>
            </w:r>
          </w:p>
        </w:tc>
        <w:tc>
          <w:tcPr>
            <w:tcW w:w="7319" w:type="dxa"/>
            <w:gridSpan w:val="4"/>
            <w:tcMar>
              <w:top w:w="16" w:type="dxa"/>
              <w:left w:w="16" w:type="dxa"/>
              <w:right w:w="16" w:type="dxa"/>
            </w:tcMar>
            <w:vAlign w:val="center"/>
          </w:tcPr>
          <w:p>
            <w:pPr>
              <w:adjustRightInd w:val="0"/>
              <w:spacing w:line="360" w:lineRule="auto"/>
              <w:ind w:firstLine="482" w:firstLineChars="200"/>
              <w:rPr>
                <w:rFonts w:hint="default" w:ascii="Times New Roman" w:hAnsi="Times New Roman" w:eastAsia="宋体" w:cs="Times New Roman"/>
                <w:b/>
                <w:bCs/>
                <w:color w:val="auto"/>
                <w:sz w:val="24"/>
                <w:lang w:val="en-US" w:eastAsia="zh-CN"/>
              </w:rPr>
            </w:pPr>
            <w:r>
              <w:rPr>
                <w:rFonts w:hint="default" w:ascii="Times New Roman" w:hAnsi="Times New Roman" w:eastAsia="宋体" w:cs="Times New Roman"/>
                <w:b/>
                <w:bCs/>
                <w:color w:val="auto"/>
                <w:sz w:val="24"/>
                <w:lang w:val="en-US" w:eastAsia="zh-CN"/>
              </w:rPr>
              <w:t>1、与《宁夏回族自治区水安全保障</w:t>
            </w:r>
            <w:r>
              <w:rPr>
                <w:rFonts w:hint="eastAsia" w:cs="Times New Roman"/>
                <w:b/>
                <w:bCs/>
                <w:color w:val="auto"/>
                <w:sz w:val="24"/>
                <w:lang w:val="en-US" w:eastAsia="zh-CN"/>
              </w:rPr>
              <w:t>“</w:t>
            </w:r>
            <w:r>
              <w:rPr>
                <w:rFonts w:hint="default" w:ascii="Times New Roman" w:hAnsi="Times New Roman" w:eastAsia="宋体" w:cs="Times New Roman"/>
                <w:b/>
                <w:bCs/>
                <w:color w:val="auto"/>
                <w:sz w:val="24"/>
                <w:lang w:val="en-US" w:eastAsia="zh-CN"/>
              </w:rPr>
              <w:t>十四五</w:t>
            </w:r>
            <w:r>
              <w:rPr>
                <w:rFonts w:hint="eastAsia" w:cs="Times New Roman"/>
                <w:b/>
                <w:bCs/>
                <w:color w:val="auto"/>
                <w:sz w:val="24"/>
                <w:lang w:val="en-US" w:eastAsia="zh-CN"/>
              </w:rPr>
              <w:t>”</w:t>
            </w:r>
            <w:r>
              <w:rPr>
                <w:rFonts w:hint="default" w:ascii="Times New Roman" w:hAnsi="Times New Roman" w:eastAsia="宋体" w:cs="Times New Roman"/>
                <w:b/>
                <w:bCs/>
                <w:color w:val="auto"/>
                <w:sz w:val="24"/>
                <w:lang w:val="en-US" w:eastAsia="zh-CN"/>
              </w:rPr>
              <w:t>规划》符合性分析</w:t>
            </w:r>
          </w:p>
          <w:p>
            <w:pPr>
              <w:adjustRightInd w:val="0"/>
              <w:spacing w:line="360" w:lineRule="auto"/>
              <w:ind w:firstLine="480" w:firstLineChars="200"/>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《宁夏回族自治区水安全保障</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十四五</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规划》（宁政办发〔2021〕82号）指出，</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以五个地级市为重点，统筹推进城市建设与河湖湿地、排水防涝设施建设、水环境改善、水生态修复等工作，通过完善河道、管网、蓄滞洪区、泵站等，畅通洪水涝水出路，加快补齐城市防洪排涝短板，完善城市防洪排涝减灾体系。加快完善重点城市防洪工程体系：通过堤防及河道整治、贺兰山东麓防洪体系建设、外围排洪沟道治理等，形成城市良性水循环系统，构建城市防洪圈，提高城市防洪标准。……卫宁防治区完善重点山洪沟道上游的导洪堤和拦洪库建设，对下游泄洪、排洪沟道拓宽疏通，提高排泄洪水能力。</w:t>
            </w:r>
            <w:r>
              <w:rPr>
                <w:rFonts w:hint="eastAsia" w:cs="Times New Roman"/>
                <w:color w:val="auto"/>
                <w:sz w:val="24"/>
                <w:lang w:val="en-US" w:eastAsia="zh-CN"/>
              </w:rPr>
              <w:t>”</w:t>
            </w:r>
          </w:p>
          <w:p>
            <w:pPr>
              <w:adjustRightInd w:val="0"/>
              <w:spacing w:line="360" w:lineRule="auto"/>
              <w:ind w:firstLine="480" w:firstLineChars="200"/>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本项目在一期工程基础上，续建排洪通道，将洪水排泄至折腰沟主沟道，完善防洪工程布局，彻底解决项目保护区洪水侵害问题。因此，符合《宁夏回族自治区水安全保障</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十四五</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规划》要求。</w:t>
            </w:r>
          </w:p>
          <w:p>
            <w:pPr>
              <w:adjustRightInd w:val="0"/>
              <w:spacing w:line="360" w:lineRule="auto"/>
              <w:ind w:firstLine="482" w:firstLineChars="200"/>
              <w:rPr>
                <w:rFonts w:hint="default" w:ascii="Times New Roman" w:hAnsi="Times New Roman" w:eastAsia="宋体" w:cs="Times New Roman"/>
                <w:b/>
                <w:bCs/>
                <w:color w:val="auto"/>
                <w:sz w:val="24"/>
                <w:lang w:val="en-US" w:eastAsia="zh-CN"/>
              </w:rPr>
            </w:pPr>
            <w:r>
              <w:rPr>
                <w:rFonts w:hint="default" w:ascii="Times New Roman" w:hAnsi="Times New Roman" w:eastAsia="宋体" w:cs="Times New Roman"/>
                <w:b/>
                <w:bCs/>
                <w:color w:val="auto"/>
                <w:sz w:val="24"/>
                <w:lang w:val="en-US" w:eastAsia="zh-CN"/>
              </w:rPr>
              <w:t>2、《宁夏回族自治区水安全保障</w:t>
            </w:r>
            <w:r>
              <w:rPr>
                <w:rFonts w:hint="eastAsia" w:cs="Times New Roman"/>
                <w:b/>
                <w:bCs/>
                <w:color w:val="auto"/>
                <w:sz w:val="24"/>
                <w:lang w:val="en-US" w:eastAsia="zh-CN"/>
              </w:rPr>
              <w:t>“</w:t>
            </w:r>
            <w:r>
              <w:rPr>
                <w:rFonts w:hint="default" w:ascii="Times New Roman" w:hAnsi="Times New Roman" w:eastAsia="宋体" w:cs="Times New Roman"/>
                <w:b/>
                <w:bCs/>
                <w:color w:val="auto"/>
                <w:sz w:val="24"/>
                <w:lang w:val="en-US" w:eastAsia="zh-CN"/>
              </w:rPr>
              <w:t>十四五</w:t>
            </w:r>
            <w:r>
              <w:rPr>
                <w:rFonts w:hint="eastAsia" w:cs="Times New Roman"/>
                <w:b/>
                <w:bCs/>
                <w:color w:val="auto"/>
                <w:sz w:val="24"/>
                <w:lang w:val="en-US" w:eastAsia="zh-CN"/>
              </w:rPr>
              <w:t>”</w:t>
            </w:r>
            <w:r>
              <w:rPr>
                <w:rFonts w:hint="default" w:ascii="Times New Roman" w:hAnsi="Times New Roman" w:eastAsia="宋体" w:cs="Times New Roman"/>
                <w:b/>
                <w:bCs/>
                <w:color w:val="auto"/>
                <w:sz w:val="24"/>
                <w:lang w:val="en-US" w:eastAsia="zh-CN"/>
              </w:rPr>
              <w:t>规</w:t>
            </w:r>
            <w:r>
              <w:rPr>
                <w:rFonts w:hint="eastAsia" w:cs="Times New Roman"/>
                <w:b/>
                <w:bCs/>
                <w:color w:val="auto"/>
                <w:sz w:val="24"/>
                <w:lang w:val="en-US" w:eastAsia="zh-CN"/>
              </w:rPr>
              <w:t>划</w:t>
            </w:r>
            <w:r>
              <w:rPr>
                <w:rFonts w:hint="default" w:ascii="Times New Roman" w:hAnsi="Times New Roman" w:eastAsia="宋体" w:cs="Times New Roman"/>
                <w:b/>
                <w:bCs/>
                <w:color w:val="auto"/>
                <w:sz w:val="24"/>
                <w:lang w:val="en-US" w:eastAsia="zh-CN"/>
              </w:rPr>
              <w:t>环境影响报告书》及审查意见符合性分析</w:t>
            </w:r>
          </w:p>
          <w:p>
            <w:pPr>
              <w:adjustRightInd w:val="0"/>
              <w:spacing w:line="360" w:lineRule="auto"/>
              <w:ind w:firstLine="480" w:firstLineChars="200"/>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《宁夏回族自治区水安全保障</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十四五</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规划</w:t>
            </w:r>
            <w:r>
              <w:rPr>
                <w:rFonts w:hint="eastAsia" w:cs="Times New Roman"/>
                <w:color w:val="auto"/>
                <w:sz w:val="24"/>
                <w:lang w:val="en-US" w:eastAsia="zh-CN"/>
              </w:rPr>
              <w:t>环境影响报告书</w:t>
            </w:r>
            <w:r>
              <w:rPr>
                <w:rFonts w:hint="default" w:ascii="Times New Roman" w:hAnsi="Times New Roman" w:eastAsia="宋体" w:cs="Times New Roman"/>
                <w:color w:val="auto"/>
                <w:sz w:val="24"/>
                <w:lang w:val="en-US" w:eastAsia="zh-CN"/>
              </w:rPr>
              <w:t>》以</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一河三山</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生态</w:t>
            </w:r>
            <w:bookmarkStart w:id="28" w:name="_GoBack"/>
            <w:r>
              <w:rPr>
                <w:rFonts w:hint="default" w:ascii="Times New Roman" w:hAnsi="Times New Roman" w:eastAsia="宋体" w:cs="Times New Roman"/>
                <w:color w:val="auto"/>
                <w:sz w:val="24"/>
                <w:lang w:val="en-US" w:eastAsia="zh-CN"/>
              </w:rPr>
              <w:t>坐标</w:t>
            </w:r>
            <w:bookmarkEnd w:id="28"/>
            <w:r>
              <w:rPr>
                <w:rFonts w:hint="default" w:ascii="Times New Roman" w:hAnsi="Times New Roman" w:eastAsia="宋体" w:cs="Times New Roman"/>
                <w:color w:val="auto"/>
                <w:sz w:val="24"/>
                <w:lang w:val="en-US" w:eastAsia="zh-CN"/>
              </w:rPr>
              <w:t>构建</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一带三区</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总体水利基础设施布局，统筹考虑了水资源开发与生态环境保护，保障区域供水安全和生态安全，强调水资源节约集约利用，有利于全区水环境质量改善。《宁夏回族自治区水安全保障</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十四五</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规环境影响报告书》在规划方案环境合理性论证的基础上，提出了优化调整建议和减缓不良环境影响的对策措施。加强水生态修复和水环境治理：统筹流域、区域，通过水土流失综合治理、重点河湖生态修复、水系连通和水美乡村建设、盐碱地改良和地下水超采区治理，推进水环境质量持续稳定改善、维护水生态系统安全，助力黄河流域生态保护和高质量发展先行区建设。</w:t>
            </w:r>
          </w:p>
          <w:p>
            <w:pPr>
              <w:adjustRightInd w:val="0"/>
              <w:spacing w:line="360" w:lineRule="auto"/>
              <w:ind w:firstLine="480" w:firstLineChars="200"/>
              <w:rPr>
                <w:rFonts w:hint="default" w:ascii="Times New Roman" w:hAnsi="Times New Roman" w:eastAsia="宋体" w:cs="Times New Roman"/>
                <w:color w:val="auto"/>
                <w:kern w:val="0"/>
                <w:lang w:val="en-US" w:eastAsia="zh-CN"/>
              </w:rPr>
            </w:pPr>
            <w:r>
              <w:rPr>
                <w:rFonts w:hint="default" w:ascii="Times New Roman" w:hAnsi="Times New Roman" w:eastAsia="宋体" w:cs="Times New Roman"/>
                <w:color w:val="auto"/>
                <w:sz w:val="24"/>
                <w:lang w:val="en-US" w:eastAsia="zh-CN"/>
              </w:rPr>
              <w:t>本项目在一期工程基础上，续建排洪通道，将洪水排泄至折腰沟主沟道，完善防洪工程布局，彻底解决项目保护区洪水侵害问题；本项目施工现场定期洒水，运输车辆加盖篷布，项目设置临时施工营地1处，租用附近民房设置，临时施工营地待项目结束后恢复，施工废水经沉淀池处理后洒水降尘；项目污染物均采取合理可行的污染防治措施。因此，符合规</w:t>
            </w:r>
            <w:r>
              <w:rPr>
                <w:rFonts w:hint="eastAsia" w:cs="Times New Roman"/>
                <w:color w:val="auto"/>
                <w:sz w:val="24"/>
                <w:lang w:val="en-US" w:eastAsia="zh-CN"/>
              </w:rPr>
              <w:t>划</w:t>
            </w:r>
            <w:r>
              <w:rPr>
                <w:rFonts w:hint="default" w:ascii="Times New Roman" w:hAnsi="Times New Roman" w:eastAsia="宋体" w:cs="Times New Roman"/>
                <w:color w:val="auto"/>
                <w:sz w:val="24"/>
                <w:lang w:val="en-US" w:eastAsia="zh-CN"/>
              </w:rPr>
              <w:t>环境影响报告书及批复要求。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431" w:hRule="atLeast"/>
          <w:jc w:val="center"/>
        </w:trPr>
        <w:tc>
          <w:tcPr>
            <w:tcW w:w="1720" w:type="dxa"/>
            <w:tcMar>
              <w:top w:w="16" w:type="dxa"/>
              <w:left w:w="16" w:type="dxa"/>
              <w:right w:w="16" w:type="dxa"/>
            </w:tcMar>
            <w:vAlign w:val="center"/>
          </w:tcPr>
          <w:p>
            <w:pPr>
              <w:autoSpaceDE w:val="0"/>
              <w:autoSpaceDN w:val="0"/>
              <w:adjustRightInd w:val="0"/>
              <w:snapToGrid w:val="0"/>
              <w:jc w:val="center"/>
              <w:rPr>
                <w:rFonts w:hint="default" w:ascii="Times New Roman" w:hAnsi="Times New Roman" w:cs="Times New Roman"/>
                <w:color w:val="auto"/>
                <w:kern w:val="0"/>
                <w:szCs w:val="21"/>
              </w:rPr>
            </w:pPr>
            <w:bookmarkStart w:id="5" w:name="_Hlk56690880"/>
            <w:r>
              <w:rPr>
                <w:rFonts w:hint="default" w:ascii="Times New Roman" w:hAnsi="Times New Roman" w:cs="Times New Roman"/>
                <w:color w:val="auto"/>
                <w:kern w:val="0"/>
                <w:sz w:val="24"/>
                <w:szCs w:val="24"/>
              </w:rPr>
              <w:t>其他符合性分析</w:t>
            </w:r>
            <w:bookmarkEnd w:id="5"/>
          </w:p>
        </w:tc>
        <w:tc>
          <w:tcPr>
            <w:tcW w:w="7319" w:type="dxa"/>
            <w:gridSpan w:val="4"/>
            <w:tcMar>
              <w:top w:w="16" w:type="dxa"/>
              <w:left w:w="16" w:type="dxa"/>
              <w:right w:w="16" w:type="dxa"/>
            </w:tcMar>
            <w:vAlign w:val="center"/>
          </w:tcPr>
          <w:p>
            <w:pPr>
              <w:adjustRightInd w:val="0"/>
              <w:snapToGrid w:val="0"/>
              <w:spacing w:line="360" w:lineRule="auto"/>
              <w:ind w:firstLine="482" w:firstLineChars="200"/>
              <w:rPr>
                <w:rFonts w:hint="default" w:ascii="Times New Roman" w:hAnsi="Times New Roman" w:cs="Times New Roman"/>
                <w:b/>
                <w:bCs/>
                <w:color w:val="auto"/>
                <w:sz w:val="24"/>
              </w:rPr>
            </w:pPr>
            <w:r>
              <w:rPr>
                <w:rFonts w:hint="eastAsia" w:cs="Times New Roman"/>
                <w:b/>
                <w:bCs/>
                <w:color w:val="auto"/>
                <w:sz w:val="24"/>
                <w:lang w:val="en-US" w:eastAsia="zh-CN"/>
              </w:rPr>
              <w:t>1</w:t>
            </w:r>
            <w:r>
              <w:rPr>
                <w:rFonts w:hint="default" w:ascii="Times New Roman" w:hAnsi="Times New Roman" w:cs="Times New Roman"/>
                <w:b/>
                <w:bCs/>
                <w:color w:val="auto"/>
                <w:sz w:val="24"/>
              </w:rPr>
              <w:t>、</w:t>
            </w:r>
            <w:r>
              <w:rPr>
                <w:rFonts w:hint="eastAsia" w:cs="Times New Roman"/>
                <w:b/>
                <w:bCs/>
                <w:color w:val="auto"/>
                <w:sz w:val="24"/>
                <w:lang w:eastAsia="zh-CN"/>
              </w:rPr>
              <w:t>“</w:t>
            </w:r>
            <w:r>
              <w:rPr>
                <w:rFonts w:hint="default" w:ascii="Times New Roman" w:hAnsi="Times New Roman" w:cs="Times New Roman"/>
                <w:b/>
                <w:bCs/>
                <w:color w:val="auto"/>
                <w:sz w:val="24"/>
              </w:rPr>
              <w:t>三线一单</w:t>
            </w:r>
            <w:r>
              <w:rPr>
                <w:rFonts w:hint="eastAsia" w:cs="Times New Roman"/>
                <w:b/>
                <w:bCs/>
                <w:color w:val="auto"/>
                <w:sz w:val="24"/>
                <w:lang w:eastAsia="zh-CN"/>
              </w:rPr>
              <w:t>”</w:t>
            </w:r>
            <w:r>
              <w:rPr>
                <w:rFonts w:hint="default" w:ascii="Times New Roman" w:hAnsi="Times New Roman" w:cs="Times New Roman"/>
                <w:b/>
                <w:bCs/>
                <w:color w:val="auto"/>
                <w:sz w:val="24"/>
              </w:rPr>
              <w:t>符合性分析</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lang w:val="en-US" w:eastAsia="zh-CN"/>
              </w:rPr>
              <w:t>吴忠市人民政府已发布“吴忠市人民政府关于实施“三线一单”生态环境分区管控的意见”吴政规发〔2021〕2号，本项目与吴忠市“三线一单”符合性分析如下：</w:t>
            </w:r>
          </w:p>
          <w:p>
            <w:pPr>
              <w:adjustRightInd w:val="0"/>
              <w:spacing w:line="360" w:lineRule="auto"/>
              <w:ind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（1）生态保护红线</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lang w:eastAsia="zh-CN"/>
              </w:rPr>
              <w:t>根据《</w:t>
            </w:r>
            <w:r>
              <w:rPr>
                <w:rFonts w:hint="default" w:ascii="Times New Roman" w:hAnsi="Times New Roman" w:cs="Times New Roman"/>
                <w:color w:val="auto"/>
                <w:sz w:val="24"/>
                <w:lang w:val="en-US" w:eastAsia="zh-CN"/>
              </w:rPr>
              <w:t>吴忠市关于实施</w:t>
            </w:r>
            <w:r>
              <w:rPr>
                <w:rFonts w:hint="eastAsia" w:cs="Times New Roman"/>
                <w:color w:val="auto"/>
                <w:sz w:val="24"/>
                <w:lang w:val="en-US" w:eastAsia="zh-CN"/>
              </w:rPr>
              <w:t>“</w:t>
            </w:r>
            <w:r>
              <w:rPr>
                <w:rFonts w:hint="default" w:ascii="Times New Roman" w:hAnsi="Times New Roman" w:cs="Times New Roman"/>
                <w:color w:val="auto"/>
                <w:sz w:val="24"/>
                <w:lang w:val="en-US" w:eastAsia="zh-CN"/>
              </w:rPr>
              <w:t>三线一单</w:t>
            </w:r>
            <w:r>
              <w:rPr>
                <w:rFonts w:hint="eastAsia" w:cs="Times New Roman"/>
                <w:color w:val="auto"/>
                <w:sz w:val="24"/>
                <w:lang w:val="en-US" w:eastAsia="zh-CN"/>
              </w:rPr>
              <w:t>”</w:t>
            </w:r>
            <w:r>
              <w:rPr>
                <w:rFonts w:hint="default" w:ascii="Times New Roman" w:hAnsi="Times New Roman" w:cs="Times New Roman"/>
                <w:color w:val="auto"/>
                <w:sz w:val="24"/>
                <w:lang w:val="en-US" w:eastAsia="zh-CN"/>
              </w:rPr>
              <w:t>生态环境分区管控的意见</w:t>
            </w:r>
            <w:r>
              <w:rPr>
                <w:rFonts w:hint="default" w:ascii="Times New Roman" w:hAnsi="Times New Roman" w:cs="Times New Roman"/>
                <w:color w:val="auto"/>
                <w:sz w:val="24"/>
                <w:lang w:eastAsia="zh-CN"/>
              </w:rPr>
              <w:t>》，</w:t>
            </w:r>
            <w:r>
              <w:rPr>
                <w:rFonts w:hint="default" w:ascii="Times New Roman" w:hAnsi="Times New Roman" w:cs="Times New Roman"/>
                <w:color w:val="auto"/>
                <w:sz w:val="24"/>
                <w:lang w:val="en-US" w:eastAsia="zh-CN"/>
              </w:rPr>
              <w:t>生态保护红线原则上按禁止开发区域的要求进行管理。严禁不符合主体功能定位的各类开发活动，严禁任意改变用途。确保生态保护红线内</w:t>
            </w:r>
            <w:r>
              <w:rPr>
                <w:rFonts w:hint="eastAsia" w:cs="Times New Roman"/>
                <w:color w:val="auto"/>
                <w:sz w:val="24"/>
                <w:lang w:val="en-US" w:eastAsia="zh-CN"/>
              </w:rPr>
              <w:t>“</w:t>
            </w:r>
            <w:r>
              <w:rPr>
                <w:rFonts w:hint="default" w:ascii="Times New Roman" w:hAnsi="Times New Roman" w:cs="Times New Roman"/>
                <w:color w:val="auto"/>
                <w:sz w:val="24"/>
                <w:lang w:val="en-US" w:eastAsia="zh-CN"/>
              </w:rPr>
              <w:t>生态功能不降低，面积不减少，性质不改变</w:t>
            </w:r>
            <w:r>
              <w:rPr>
                <w:rFonts w:hint="eastAsia" w:cs="Times New Roman"/>
                <w:color w:val="auto"/>
                <w:sz w:val="24"/>
                <w:lang w:val="en-US" w:eastAsia="zh-CN"/>
              </w:rPr>
              <w:t>”</w:t>
            </w:r>
            <w:r>
              <w:rPr>
                <w:rFonts w:hint="default" w:ascii="Times New Roman" w:hAnsi="Times New Roman" w:cs="Times New Roman"/>
                <w:color w:val="auto"/>
                <w:sz w:val="24"/>
                <w:lang w:val="en-US" w:eastAsia="zh-CN"/>
              </w:rPr>
              <w:t>。</w:t>
            </w:r>
          </w:p>
          <w:p>
            <w:pPr>
              <w:adjustRightInd w:val="0"/>
              <w:spacing w:line="360" w:lineRule="auto"/>
              <w:ind w:firstLine="480" w:firstLineChars="200"/>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对照吴忠市生态保护红线图，本项目用地不在吴忠市划定的生态红线范围内，本项目建设不占用生态红线，本项目与吴忠市生态保护红线位置关系见附图1。</w:t>
            </w:r>
          </w:p>
          <w:p>
            <w:pPr>
              <w:adjustRightInd w:val="0"/>
              <w:spacing w:line="360" w:lineRule="auto"/>
              <w:ind w:firstLine="480" w:firstLineChars="200"/>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因此，本项目建设符合吴忠市生态保护红线要求。</w:t>
            </w:r>
          </w:p>
          <w:p>
            <w:pPr>
              <w:adjustRightInd w:val="0"/>
              <w:spacing w:line="360" w:lineRule="auto"/>
              <w:ind w:firstLine="480" w:firstLineChars="200"/>
              <w:rPr>
                <w:rFonts w:hint="eastAsia" w:ascii="Times New Roman" w:hAnsi="Times New Roman" w:eastAsia="宋体" w:cs="Times New Roman"/>
                <w:color w:val="auto"/>
                <w:sz w:val="24"/>
                <w:shd w:val="clear" w:color="FFFFFF" w:fill="D9D9D9"/>
                <w:lang w:eastAsia="zh-CN"/>
              </w:rPr>
            </w:pPr>
            <w:r>
              <w:rPr>
                <w:rFonts w:hint="eastAsia" w:ascii="Times New Roman" w:hAnsi="Times New Roman" w:eastAsia="宋体" w:cs="Times New Roman"/>
                <w:color w:val="auto"/>
                <w:sz w:val="24"/>
                <w:lang w:eastAsia="zh-CN"/>
              </w:rPr>
              <w:t>（2）环境质量底线</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lang w:val="en-US" w:eastAsia="zh-CN"/>
              </w:rPr>
              <w:t>①水环境质量底线及分区管控符合性分析</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rPr>
              <w:t>根据《</w:t>
            </w:r>
            <w:r>
              <w:rPr>
                <w:rFonts w:hint="default" w:ascii="Times New Roman" w:hAnsi="Times New Roman" w:cs="Times New Roman"/>
                <w:color w:val="auto"/>
                <w:sz w:val="24"/>
                <w:lang w:eastAsia="zh-CN"/>
              </w:rPr>
              <w:t>吴忠市</w:t>
            </w:r>
            <w:r>
              <w:rPr>
                <w:rFonts w:hint="default" w:ascii="Times New Roman" w:hAnsi="Times New Roman" w:cs="Times New Roman"/>
                <w:color w:val="auto"/>
                <w:sz w:val="24"/>
              </w:rPr>
              <w:t>人民政府关于实施</w:t>
            </w:r>
            <w:r>
              <w:rPr>
                <w:rFonts w:hint="eastAsia" w:cs="Times New Roman"/>
                <w:color w:val="auto"/>
                <w:sz w:val="24"/>
                <w:lang w:eastAsia="zh-CN"/>
              </w:rPr>
              <w:t>“</w:t>
            </w:r>
            <w:r>
              <w:rPr>
                <w:rFonts w:hint="default" w:ascii="Times New Roman" w:hAnsi="Times New Roman" w:cs="Times New Roman"/>
                <w:color w:val="auto"/>
                <w:sz w:val="24"/>
              </w:rPr>
              <w:t>三线一单</w:t>
            </w:r>
            <w:r>
              <w:rPr>
                <w:rFonts w:hint="eastAsia" w:cs="Times New Roman"/>
                <w:color w:val="auto"/>
                <w:sz w:val="24"/>
                <w:lang w:eastAsia="zh-CN"/>
              </w:rPr>
              <w:t>”</w:t>
            </w:r>
            <w:r>
              <w:rPr>
                <w:rFonts w:hint="default" w:ascii="Times New Roman" w:hAnsi="Times New Roman" w:cs="Times New Roman"/>
                <w:color w:val="auto"/>
                <w:sz w:val="24"/>
              </w:rPr>
              <w:t>生态环境分区管控的意见》（吴政规发〔2021〕2号）</w:t>
            </w:r>
            <w:r>
              <w:rPr>
                <w:rFonts w:hint="default" w:ascii="Times New Roman" w:hAnsi="Times New Roman" w:cs="Times New Roman"/>
                <w:color w:val="auto"/>
                <w:sz w:val="24"/>
                <w:lang w:val="en-US" w:eastAsia="zh-CN"/>
              </w:rPr>
              <w:t>，将吴忠市水环境分区管控划分为水环境优先保护区、水环境重点管控区、水环境一般管控区</w:t>
            </w:r>
            <w:r>
              <w:rPr>
                <w:rFonts w:hint="eastAsia" w:ascii="Times New Roman" w:hAnsi="Times New Roman" w:cs="Times New Roman"/>
                <w:color w:val="auto"/>
                <w:sz w:val="24"/>
                <w:lang w:val="en-US" w:eastAsia="zh-CN"/>
              </w:rPr>
              <w:t>。</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lang w:val="en-US" w:eastAsia="zh-CN"/>
              </w:rPr>
              <w:t>根据吴忠市水环境分区管控区划分，本项目位于水环境一般管控区</w:t>
            </w:r>
            <w:r>
              <w:rPr>
                <w:rFonts w:hint="eastAsia" w:ascii="Times New Roman" w:hAnsi="Times New Roman" w:cs="Times New Roman"/>
                <w:color w:val="auto"/>
                <w:sz w:val="24"/>
                <w:lang w:val="en-US" w:eastAsia="zh-CN"/>
              </w:rPr>
              <w:t>，本项目与吴忠市水环境分区管控区位置关系图见附图2</w:t>
            </w:r>
            <w:r>
              <w:rPr>
                <w:rFonts w:hint="default" w:ascii="Times New Roman" w:hAnsi="Times New Roman" w:cs="Times New Roman"/>
                <w:color w:val="auto"/>
                <w:sz w:val="24"/>
                <w:lang w:val="en-US" w:eastAsia="zh-CN"/>
              </w:rPr>
              <w:t>。</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lang w:val="en-US" w:eastAsia="zh-CN"/>
              </w:rPr>
              <w:t>水环境一般管控区：对水环境问题相对较少，对区域影响程度较轻的一般控制单元，落实普适性治理要求，加强污染预防。</w:t>
            </w:r>
          </w:p>
          <w:p>
            <w:pPr>
              <w:pStyle w:val="74"/>
              <w:adjustRightInd w:val="0"/>
              <w:snapToGrid w:val="0"/>
              <w:rPr>
                <w:rFonts w:hint="eastAsia"/>
                <w:color w:val="auto"/>
              </w:rPr>
            </w:pPr>
            <w:r>
              <w:rPr>
                <w:rFonts w:hint="eastAsia"/>
                <w:color w:val="auto"/>
              </w:rPr>
              <w:t>本项目营运期无</w:t>
            </w:r>
            <w:r>
              <w:rPr>
                <w:rFonts w:hint="eastAsia" w:hAnsi="宋体"/>
                <w:color w:val="auto"/>
                <w:szCs w:val="24"/>
              </w:rPr>
              <w:t>废水产生，施工期废水</w:t>
            </w:r>
            <w:r>
              <w:rPr>
                <w:rFonts w:hint="eastAsia" w:hAnsi="宋体"/>
                <w:color w:val="auto"/>
                <w:szCs w:val="24"/>
                <w:lang w:val="en-US" w:eastAsia="zh-CN"/>
              </w:rPr>
              <w:t>蒸发损耗不外排</w:t>
            </w:r>
            <w:r>
              <w:rPr>
                <w:rFonts w:hint="eastAsia" w:hAnsi="宋体"/>
                <w:color w:val="auto"/>
                <w:szCs w:val="24"/>
              </w:rPr>
              <w:t>。</w:t>
            </w:r>
            <w:r>
              <w:rPr>
                <w:rFonts w:hint="eastAsia"/>
                <w:color w:val="auto"/>
                <w:szCs w:val="24"/>
              </w:rPr>
              <w:t>因此，本项目建设与</w:t>
            </w:r>
            <w:r>
              <w:rPr>
                <w:rFonts w:hint="eastAsia"/>
                <w:color w:val="auto"/>
                <w:szCs w:val="24"/>
                <w:lang w:eastAsia="zh-CN"/>
              </w:rPr>
              <w:t>吴忠</w:t>
            </w:r>
            <w:r>
              <w:rPr>
                <w:rFonts w:hint="eastAsia"/>
                <w:color w:val="auto"/>
                <w:szCs w:val="24"/>
              </w:rPr>
              <w:t>市水环境质量底线及分区管控要求相符合。</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lang w:val="en-US" w:eastAsia="zh-CN"/>
              </w:rPr>
              <w:t>②大气环境质量底线及分区管控符合性分析</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lang w:val="en-US" w:eastAsia="zh-CN"/>
              </w:rPr>
              <w:t>基于大气环境脆弱性、敏感性、重要性评价结果，考虑大气污染传输规律和城市用地特征，识别网格单元主导属性，将吴忠市划分为大气环境优先保护区、大气环境重点管控区和大气环境一般管控区。</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lang w:val="en-US" w:eastAsia="zh-CN"/>
              </w:rPr>
              <w:t>对照吴忠市大气环境分区管控图，本项目位于</w:t>
            </w:r>
            <w:r>
              <w:rPr>
                <w:rFonts w:hint="eastAsia" w:ascii="Times New Roman" w:hAnsi="Times New Roman" w:cs="Times New Roman"/>
                <w:color w:val="auto"/>
                <w:sz w:val="24"/>
                <w:lang w:val="en-US" w:eastAsia="zh-CN"/>
              </w:rPr>
              <w:t>吴忠市大气环境</w:t>
            </w:r>
            <w:r>
              <w:rPr>
                <w:rFonts w:hint="default" w:ascii="Times New Roman" w:hAnsi="Times New Roman" w:cs="Times New Roman"/>
                <w:color w:val="auto"/>
                <w:sz w:val="24"/>
                <w:lang w:val="en-US" w:eastAsia="zh-CN"/>
              </w:rPr>
              <w:t>一般管控区，</w:t>
            </w:r>
            <w:r>
              <w:rPr>
                <w:rFonts w:hint="eastAsia" w:ascii="Times New Roman" w:hAnsi="Times New Roman" w:cs="Times New Roman"/>
                <w:color w:val="auto"/>
                <w:sz w:val="24"/>
                <w:lang w:val="en-US" w:eastAsia="zh-CN"/>
              </w:rPr>
              <w:t>本项目与吴忠市大气环境分区管控区位置关系图见附图3。</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lang w:val="en-US" w:eastAsia="zh-CN"/>
              </w:rPr>
              <w:t>一般管控区管控要求：贯彻实施区域性大气污染物综合排放标准，深化重点行业污染治理，强力推进国家和自治区确定的各项产业结构调整措施，加强机动车排气污染治理。对现有涉废气排放工业、企业加强监督管理和执法检查，定期开展清洁生产审核，推动现有重点企业生态化、循环化改造。新建、改建、扩建项目，满足产业准入、总量控制、排放标准等管理制度要求的前提下，实行工业项目进园、集约高效发展。</w:t>
            </w:r>
          </w:p>
          <w:p>
            <w:pPr>
              <w:pStyle w:val="74"/>
              <w:adjustRightInd w:val="0"/>
              <w:snapToGrid w:val="0"/>
              <w:rPr>
                <w:rFonts w:hint="eastAsia"/>
                <w:color w:val="auto"/>
              </w:rPr>
            </w:pPr>
            <w:r>
              <w:rPr>
                <w:rFonts w:hint="eastAsia"/>
                <w:color w:val="auto"/>
              </w:rPr>
              <w:t>本项目位于</w:t>
            </w:r>
            <w:r>
              <w:rPr>
                <w:rFonts w:hint="eastAsia"/>
                <w:color w:val="auto"/>
                <w:lang w:val="en-US" w:eastAsia="zh-CN"/>
              </w:rPr>
              <w:t>吴忠</w:t>
            </w:r>
            <w:r>
              <w:rPr>
                <w:rFonts w:hint="eastAsia"/>
                <w:color w:val="auto"/>
              </w:rPr>
              <w:t>市大气环境一般管控区，</w:t>
            </w:r>
            <w:r>
              <w:rPr>
                <w:rFonts w:hint="eastAsia" w:hAnsi="宋体"/>
                <w:color w:val="auto"/>
                <w:kern w:val="0"/>
                <w:szCs w:val="24"/>
              </w:rPr>
              <w:t>营运期无废气产生</w:t>
            </w:r>
            <w:r>
              <w:rPr>
                <w:rFonts w:hint="eastAsia" w:hAnsi="宋体"/>
                <w:color w:val="auto"/>
                <w:szCs w:val="24"/>
                <w:lang w:eastAsia="zh-CN"/>
              </w:rPr>
              <w:t>；</w:t>
            </w:r>
            <w:r>
              <w:rPr>
                <w:rFonts w:hint="eastAsia"/>
                <w:color w:val="auto"/>
              </w:rPr>
              <w:t>项目不属于工业项目，</w:t>
            </w:r>
            <w:r>
              <w:rPr>
                <w:rFonts w:hint="eastAsia" w:hAnsi="宋体"/>
                <w:color w:val="auto"/>
                <w:sz w:val="24"/>
              </w:rPr>
              <w:t>为</w:t>
            </w:r>
            <w:r>
              <w:rPr>
                <w:rFonts w:hint="eastAsia" w:hAnsi="宋体"/>
                <w:color w:val="auto"/>
                <w:sz w:val="24"/>
                <w:szCs w:val="24"/>
                <w:lang w:val="en-US" w:eastAsia="zh-CN"/>
              </w:rPr>
              <w:t>防洪除涝</w:t>
            </w:r>
            <w:r>
              <w:rPr>
                <w:rFonts w:hint="eastAsia" w:hAnsi="宋体"/>
                <w:color w:val="auto"/>
                <w:sz w:val="24"/>
                <w:szCs w:val="24"/>
              </w:rPr>
              <w:t>项目</w:t>
            </w:r>
            <w:r>
              <w:rPr>
                <w:rFonts w:hint="eastAsia" w:hAnsi="宋体"/>
                <w:color w:val="auto"/>
                <w:sz w:val="24"/>
              </w:rPr>
              <w:t>，</w:t>
            </w:r>
            <w:r>
              <w:rPr>
                <w:rFonts w:hint="eastAsia"/>
                <w:color w:val="auto"/>
              </w:rPr>
              <w:t>项目实施后，对周边环境影响较小，因此，本项目与</w:t>
            </w:r>
            <w:r>
              <w:rPr>
                <w:rFonts w:hint="eastAsia"/>
                <w:color w:val="auto"/>
                <w:lang w:val="en-US" w:eastAsia="zh-CN"/>
              </w:rPr>
              <w:t>吴忠</w:t>
            </w:r>
            <w:r>
              <w:rPr>
                <w:rFonts w:hint="eastAsia"/>
                <w:color w:val="auto"/>
                <w:szCs w:val="24"/>
              </w:rPr>
              <w:t>市大气环境质量底线及分区管控要求相符合。</w:t>
            </w:r>
          </w:p>
          <w:p>
            <w:pPr>
              <w:adjustRightInd w:val="0"/>
              <w:spacing w:line="360" w:lineRule="auto"/>
              <w:ind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③土壤环境质量底线及分区管控符合性分析</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rPr>
              <w:t>根据《</w:t>
            </w:r>
            <w:r>
              <w:rPr>
                <w:rFonts w:hint="default" w:ascii="Times New Roman" w:hAnsi="Times New Roman" w:cs="Times New Roman"/>
                <w:color w:val="auto"/>
                <w:sz w:val="24"/>
                <w:lang w:eastAsia="zh-CN"/>
              </w:rPr>
              <w:t>吴忠市</w:t>
            </w:r>
            <w:r>
              <w:rPr>
                <w:rFonts w:hint="default" w:ascii="Times New Roman" w:hAnsi="Times New Roman" w:cs="Times New Roman"/>
                <w:color w:val="auto"/>
                <w:sz w:val="24"/>
              </w:rPr>
              <w:t>人民政府关于实施</w:t>
            </w:r>
            <w:r>
              <w:rPr>
                <w:rFonts w:hint="eastAsia" w:cs="Times New Roman"/>
                <w:color w:val="auto"/>
                <w:sz w:val="24"/>
                <w:lang w:eastAsia="zh-CN"/>
              </w:rPr>
              <w:t>“</w:t>
            </w:r>
            <w:r>
              <w:rPr>
                <w:rFonts w:hint="default" w:ascii="Times New Roman" w:hAnsi="Times New Roman" w:cs="Times New Roman"/>
                <w:color w:val="auto"/>
                <w:sz w:val="24"/>
              </w:rPr>
              <w:t>三线一单</w:t>
            </w:r>
            <w:r>
              <w:rPr>
                <w:rFonts w:hint="eastAsia" w:cs="Times New Roman"/>
                <w:color w:val="auto"/>
                <w:sz w:val="24"/>
                <w:lang w:eastAsia="zh-CN"/>
              </w:rPr>
              <w:t>”</w:t>
            </w:r>
            <w:r>
              <w:rPr>
                <w:rFonts w:hint="default" w:ascii="Times New Roman" w:hAnsi="Times New Roman" w:cs="Times New Roman"/>
                <w:color w:val="auto"/>
                <w:sz w:val="24"/>
              </w:rPr>
              <w:t>生态环境分区管控的意见》（吴政规发〔2021〕2号）</w:t>
            </w:r>
            <w:r>
              <w:rPr>
                <w:rFonts w:hint="default" w:ascii="Times New Roman" w:hAnsi="Times New Roman" w:cs="Times New Roman"/>
                <w:color w:val="auto"/>
                <w:sz w:val="24"/>
                <w:lang w:val="en-US" w:eastAsia="zh-CN"/>
              </w:rPr>
              <w:t>，将吴忠土壤污染风险管控分区分为农用地优先保护区、建设用地土壤污染风险重点管控区和一般管控区</w:t>
            </w:r>
            <w:r>
              <w:rPr>
                <w:rFonts w:hint="eastAsia" w:ascii="Times New Roman" w:hAnsi="Times New Roman" w:cs="Times New Roman"/>
                <w:color w:val="auto"/>
                <w:sz w:val="24"/>
                <w:lang w:val="en-US" w:eastAsia="zh-CN"/>
              </w:rPr>
              <w:t>。</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eastAsia" w:cs="Times New Roman"/>
                <w:color w:val="auto"/>
                <w:sz w:val="24"/>
                <w:lang w:val="en-US" w:eastAsia="zh-CN"/>
              </w:rPr>
              <w:t>对照吴忠市土壤污染风险分区管控图，</w:t>
            </w:r>
            <w:r>
              <w:rPr>
                <w:rFonts w:hint="default" w:ascii="Times New Roman" w:hAnsi="Times New Roman" w:cs="Times New Roman"/>
                <w:color w:val="auto"/>
                <w:sz w:val="24"/>
                <w:lang w:val="en-US" w:eastAsia="zh-CN"/>
              </w:rPr>
              <w:t>本项目位于一般管控区</w:t>
            </w:r>
            <w:r>
              <w:rPr>
                <w:rFonts w:hint="eastAsia" w:ascii="Times New Roman" w:hAnsi="Times New Roman" w:cs="Times New Roman"/>
                <w:color w:val="auto"/>
                <w:sz w:val="24"/>
                <w:lang w:val="en-US" w:eastAsia="zh-CN"/>
              </w:rPr>
              <w:t>，本项目与吴忠市土壤污染风险分区管控区位置关系图见附图4</w:t>
            </w:r>
            <w:r>
              <w:rPr>
                <w:rFonts w:hint="eastAsia" w:cs="Times New Roman"/>
                <w:color w:val="auto"/>
                <w:sz w:val="24"/>
                <w:lang w:val="en-US" w:eastAsia="zh-CN"/>
              </w:rPr>
              <w:t>。</w:t>
            </w:r>
          </w:p>
          <w:p>
            <w:pPr>
              <w:adjustRightInd w:val="0"/>
              <w:spacing w:line="360" w:lineRule="auto"/>
              <w:ind w:firstLine="480" w:firstLineChars="200"/>
              <w:rPr>
                <w:rFonts w:hint="default" w:ascii="Times New Roman" w:hAnsi="Times New Roman" w:cs="Times New Roman"/>
                <w:color w:val="auto"/>
                <w:sz w:val="24"/>
                <w:lang w:eastAsia="zh-CN"/>
              </w:rPr>
            </w:pPr>
            <w:r>
              <w:rPr>
                <w:rFonts w:hint="default" w:ascii="Times New Roman" w:hAnsi="Times New Roman" w:cs="Times New Roman"/>
                <w:color w:val="auto"/>
                <w:sz w:val="24"/>
                <w:lang w:eastAsia="zh-CN"/>
              </w:rPr>
              <w:t>一般管控区</w:t>
            </w:r>
            <w:r>
              <w:rPr>
                <w:rFonts w:hint="eastAsia" w:ascii="Times New Roman" w:hAnsi="Times New Roman" w:cs="Times New Roman"/>
                <w:color w:val="auto"/>
                <w:sz w:val="24"/>
                <w:lang w:eastAsia="zh-CN"/>
              </w:rPr>
              <w:t>要求</w:t>
            </w:r>
            <w:r>
              <w:rPr>
                <w:rFonts w:hint="default" w:ascii="Times New Roman" w:hAnsi="Times New Roman" w:cs="Times New Roman"/>
                <w:color w:val="auto"/>
                <w:sz w:val="24"/>
                <w:lang w:eastAsia="zh-CN"/>
              </w:rPr>
              <w:t>：在编制国土空间规划等相关规划时，应充分考虑污染地块的环境风险，合理确定土地用途。禁止在居民区、学校、医疗和养老机构等周边新建有色金属冶炼、焦化等行业企业。排放重点污染物的建设项目，在开展环境影响评价时，要增加对土壤环境影响的评价内容，并提出防范土壤污染的具体措施；需要建设的土壤污染防治设施，要与主体工程同时设计、同时施工、同时投产使用。</w:t>
            </w:r>
          </w:p>
          <w:p>
            <w:pPr>
              <w:adjustRightInd w:val="0"/>
              <w:spacing w:line="360" w:lineRule="auto"/>
              <w:ind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w:t>
            </w:r>
            <w:r>
              <w:rPr>
                <w:rFonts w:hint="default" w:ascii="Times New Roman" w:hAnsi="Times New Roman" w:cs="Times New Roman"/>
                <w:color w:val="auto"/>
                <w:sz w:val="24"/>
                <w:lang w:val="en-US" w:eastAsia="zh-CN"/>
              </w:rPr>
              <w:t>属于</w:t>
            </w:r>
            <w:r>
              <w:rPr>
                <w:rFonts w:hint="eastAsia" w:ascii="Times New Roman" w:hAnsi="Times New Roman" w:cs="Times New Roman"/>
                <w:color w:val="auto"/>
                <w:sz w:val="24"/>
                <w:lang w:val="en-US" w:eastAsia="zh-CN"/>
              </w:rPr>
              <w:t>防洪除涝</w:t>
            </w:r>
            <w:r>
              <w:rPr>
                <w:rFonts w:hint="default" w:ascii="Times New Roman" w:hAnsi="Times New Roman" w:cs="Times New Roman"/>
                <w:color w:val="auto"/>
                <w:sz w:val="24"/>
              </w:rPr>
              <w:t>项目，营运期无废水、废气、噪声、固废产生，项目建设不会改变区域土壤环境质量现状，不会突破区域土壤环境质量底线。项目不属于</w:t>
            </w:r>
            <w:r>
              <w:rPr>
                <w:rFonts w:hint="default" w:ascii="Times New Roman" w:hAnsi="Times New Roman" w:cs="Times New Roman"/>
                <w:color w:val="auto"/>
                <w:sz w:val="24"/>
                <w:lang w:val="en-US" w:eastAsia="zh-CN"/>
              </w:rPr>
              <w:t>有色金属冶炼、石油加工、化工、焦化、电镀、制革等行业企业，不属于</w:t>
            </w:r>
            <w:r>
              <w:rPr>
                <w:rFonts w:hint="default" w:ascii="Times New Roman" w:hAnsi="Times New Roman" w:cs="Times New Roman"/>
                <w:color w:val="auto"/>
                <w:sz w:val="24"/>
              </w:rPr>
              <w:t>排放重点污染物的建设项目</w:t>
            </w:r>
            <w:r>
              <w:rPr>
                <w:rFonts w:hint="default" w:ascii="Times New Roman" w:hAnsi="Times New Roman" w:cs="Times New Roman"/>
                <w:color w:val="auto"/>
                <w:sz w:val="24"/>
                <w:lang w:eastAsia="zh-CN"/>
              </w:rPr>
              <w:t>，</w:t>
            </w:r>
            <w:r>
              <w:rPr>
                <w:rFonts w:hint="default" w:ascii="Times New Roman" w:hAnsi="Times New Roman" w:cs="Times New Roman"/>
                <w:color w:val="auto"/>
                <w:sz w:val="24"/>
                <w:lang w:val="en-US" w:eastAsia="zh-CN"/>
              </w:rPr>
              <w:t>项目不占用基本农田</w:t>
            </w:r>
            <w:r>
              <w:rPr>
                <w:rFonts w:hint="default" w:ascii="Times New Roman" w:hAnsi="Times New Roman" w:cs="Times New Roman"/>
                <w:color w:val="auto"/>
                <w:sz w:val="24"/>
              </w:rPr>
              <w:t>。因此，本项目用地符合土壤分区管控要求。</w:t>
            </w:r>
          </w:p>
          <w:p>
            <w:pPr>
              <w:adjustRightInd w:val="0"/>
              <w:spacing w:line="360" w:lineRule="auto"/>
              <w:ind w:firstLine="480" w:firstLineChars="200"/>
              <w:rPr>
                <w:rFonts w:hint="eastAsia" w:ascii="Times New Roman" w:hAnsi="Times New Roman" w:eastAsia="宋体" w:cs="Times New Roman"/>
                <w:color w:val="auto"/>
                <w:sz w:val="24"/>
                <w:lang w:eastAsia="zh-CN"/>
              </w:rPr>
            </w:pPr>
            <w:r>
              <w:rPr>
                <w:rFonts w:hint="default" w:ascii="Times New Roman" w:hAnsi="Times New Roman" w:cs="Times New Roman"/>
                <w:color w:val="auto"/>
                <w:sz w:val="24"/>
              </w:rPr>
              <w:t>（3）资源利用上线</w:t>
            </w:r>
            <w:r>
              <w:rPr>
                <w:rFonts w:hint="eastAsia" w:cs="Times New Roman"/>
                <w:color w:val="auto"/>
                <w:sz w:val="24"/>
                <w:lang w:eastAsia="zh-CN"/>
              </w:rPr>
              <w:t>及分区管控</w:t>
            </w:r>
          </w:p>
          <w:p>
            <w:pPr>
              <w:pStyle w:val="74"/>
              <w:adjustRightInd w:val="0"/>
              <w:snapToGrid w:val="0"/>
              <w:rPr>
                <w:rFonts w:hint="eastAsia" w:ascii="宋体" w:hAnsi="宋体" w:cs="宋体"/>
                <w:color w:val="auto"/>
                <w:kern w:val="0"/>
                <w:szCs w:val="24"/>
              </w:rPr>
            </w:pPr>
            <w:r>
              <w:rPr>
                <w:rFonts w:hint="eastAsia" w:ascii="宋体" w:hAnsi="宋体" w:cs="宋体"/>
                <w:color w:val="auto"/>
                <w:kern w:val="0"/>
                <w:szCs w:val="24"/>
              </w:rPr>
              <w:t>为有效改善区域大气环境质量，提出</w:t>
            </w:r>
            <w:r>
              <w:rPr>
                <w:rFonts w:hint="eastAsia" w:ascii="宋体" w:hAnsi="宋体" w:cs="宋体"/>
                <w:color w:val="auto"/>
                <w:kern w:val="0"/>
                <w:szCs w:val="24"/>
                <w:lang w:val="en-US" w:eastAsia="zh-CN"/>
              </w:rPr>
              <w:t>吴忠</w:t>
            </w:r>
            <w:r>
              <w:rPr>
                <w:rFonts w:hint="eastAsia" w:ascii="宋体" w:hAnsi="宋体" w:cs="宋体"/>
                <w:color w:val="auto"/>
                <w:kern w:val="0"/>
                <w:szCs w:val="24"/>
              </w:rPr>
              <w:t>市能源利用上线管控指标共三项：能源（煤炭）资源利用上线、水资源利用上线、</w:t>
            </w:r>
            <w:r>
              <w:rPr>
                <w:rFonts w:hint="eastAsia" w:ascii="宋体" w:hAnsi="宋体" w:cs="宋体"/>
                <w:color w:val="auto"/>
                <w:kern w:val="0"/>
                <w:szCs w:val="24"/>
                <w:lang w:eastAsia="zh-CN"/>
              </w:rPr>
              <w:t>土地资源利用</w:t>
            </w:r>
            <w:r>
              <w:rPr>
                <w:rFonts w:hint="eastAsia" w:ascii="宋体" w:hAnsi="宋体" w:cs="宋体"/>
                <w:color w:val="auto"/>
                <w:kern w:val="0"/>
                <w:szCs w:val="24"/>
              </w:rPr>
              <w:t>上线。</w:t>
            </w:r>
          </w:p>
          <w:p>
            <w:pPr>
              <w:pStyle w:val="74"/>
              <w:adjustRightInd w:val="0"/>
              <w:snapToGrid w:val="0"/>
              <w:rPr>
                <w:rFonts w:hint="eastAsia" w:ascii="宋体" w:hAnsi="宋体" w:cs="宋体"/>
                <w:color w:val="auto"/>
                <w:kern w:val="0"/>
                <w:szCs w:val="24"/>
              </w:rPr>
            </w:pPr>
            <w:r>
              <w:rPr>
                <w:rFonts w:hint="eastAsia" w:ascii="宋体" w:hAnsi="宋体" w:cs="宋体"/>
                <w:color w:val="auto"/>
                <w:kern w:val="0"/>
                <w:szCs w:val="24"/>
              </w:rPr>
              <w:t>本项目能耗主要集中在施工期，施工期较短，主要能源消耗为电及水，</w:t>
            </w:r>
            <w:r>
              <w:rPr>
                <w:rFonts w:hint="eastAsia" w:hAnsi="宋体"/>
                <w:color w:val="auto"/>
              </w:rPr>
              <w:t>项目用水、用电</w:t>
            </w:r>
            <w:r>
              <w:rPr>
                <w:rFonts w:hint="eastAsia" w:ascii="宋体" w:hAnsi="宋体" w:cs="宋体"/>
                <w:color w:val="auto"/>
                <w:kern w:val="0"/>
                <w:szCs w:val="24"/>
              </w:rPr>
              <w:t>消耗量相对整个区域来说较小，因此，项目建设符合资源利用上线的要求。</w:t>
            </w:r>
          </w:p>
          <w:p>
            <w:pPr>
              <w:adjustRightInd w:val="0"/>
              <w:spacing w:line="360" w:lineRule="auto"/>
              <w:ind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（4）</w:t>
            </w:r>
            <w:r>
              <w:rPr>
                <w:rFonts w:hint="eastAsia" w:cs="Times New Roman"/>
                <w:color w:val="auto"/>
                <w:sz w:val="24"/>
                <w:lang w:eastAsia="zh-CN"/>
              </w:rPr>
              <w:t>环境管控单元与</w:t>
            </w:r>
            <w:r>
              <w:rPr>
                <w:rFonts w:hint="default" w:ascii="Times New Roman" w:hAnsi="Times New Roman" w:cs="Times New Roman"/>
                <w:color w:val="auto"/>
                <w:sz w:val="24"/>
              </w:rPr>
              <w:t>准入清单</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eastAsia" w:cs="Times New Roman"/>
                <w:color w:val="auto"/>
                <w:sz w:val="24"/>
                <w:lang w:val="en-US" w:eastAsia="zh-CN"/>
              </w:rPr>
              <w:t>本项目位于吴忠市同心县张家塬乡，与吴忠市生态环境准入清单对照，属于优先保护单元，项目与吴忠市环境管控单元位置关系图见附图5。</w:t>
            </w:r>
          </w:p>
          <w:p>
            <w:pPr>
              <w:adjustRightInd w:val="0"/>
              <w:spacing w:line="360" w:lineRule="auto"/>
              <w:ind w:firstLine="480" w:firstLineChars="200"/>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优先保护单元：为生态保护红线、一般生态空间、水环境优先保护区、大气环境优先保护区的并集。优先保护单元以严格保护生态环境、严格限制产业发展为导向，禁止或限制大规模的工业开发和城镇建设。</w:t>
            </w:r>
          </w:p>
          <w:p>
            <w:pPr>
              <w:adjustRightInd w:val="0"/>
              <w:spacing w:line="360" w:lineRule="auto"/>
              <w:ind w:firstLine="480" w:firstLineChars="200"/>
              <w:rPr>
                <w:rFonts w:hint="default"/>
                <w:color w:val="auto"/>
              </w:rPr>
            </w:pPr>
            <w:r>
              <w:rPr>
                <w:rFonts w:hint="default" w:ascii="Times New Roman" w:hAnsi="Times New Roman" w:eastAsia="宋体" w:cs="Times New Roman"/>
                <w:color w:val="auto"/>
                <w:sz w:val="24"/>
                <w:lang w:val="en-US" w:eastAsia="zh-CN"/>
              </w:rPr>
              <w:t>本项目为在一期工程基础上，续建排洪通道，将洪水排泄至折腰沟主沟道，完善防洪工程布局，彻底解决项目保护区洪水侵害问题，属于防洪除涝工程，改造后可增强同心县</w:t>
            </w:r>
            <w:r>
              <w:rPr>
                <w:rFonts w:hint="eastAsia" w:cs="Times New Roman"/>
                <w:color w:val="auto"/>
                <w:sz w:val="24"/>
                <w:lang w:val="en-US" w:eastAsia="zh-CN"/>
              </w:rPr>
              <w:t>张家塬</w:t>
            </w:r>
            <w:r>
              <w:rPr>
                <w:rFonts w:hint="default" w:ascii="Times New Roman" w:hAnsi="Times New Roman" w:eastAsia="宋体" w:cs="Times New Roman"/>
                <w:color w:val="auto"/>
                <w:sz w:val="24"/>
                <w:lang w:val="en-US" w:eastAsia="zh-CN"/>
              </w:rPr>
              <w:t>乡的防洪能力，项目建设过程中以生态环境保护优先为原则，确保不会发生大规模、高强度的开发建设活动，保证生态环境功能不降低，符合区域生态环境保护的基本要求。因此</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本项目建设符合吴忠市优先保护单元的管控要求。</w:t>
            </w:r>
          </w:p>
          <w:p>
            <w:pPr>
              <w:adjustRightInd w:val="0"/>
              <w:spacing w:line="360" w:lineRule="auto"/>
              <w:ind w:firstLine="480" w:firstLineChars="200"/>
              <w:jc w:val="left"/>
              <w:rPr>
                <w:rFonts w:hint="default" w:ascii="Times New Roman" w:hAnsi="Times New Roman" w:cs="Times New Roman"/>
                <w:color w:val="auto"/>
                <w:sz w:val="24"/>
                <w:lang w:val="en-US" w:eastAsia="zh-CN"/>
              </w:rPr>
            </w:pPr>
            <w:r>
              <w:rPr>
                <w:rFonts w:hint="default" w:ascii="Times New Roman" w:hAnsi="Times New Roman" w:cs="Times New Roman"/>
                <w:color w:val="auto"/>
                <w:sz w:val="24"/>
                <w:lang w:val="en-US" w:eastAsia="zh-CN"/>
              </w:rPr>
              <w:t>项目与吴忠市环境管控单元生态环境准入清单符合性分析见下表</w:t>
            </w:r>
            <w:r>
              <w:rPr>
                <w:rFonts w:hint="eastAsia" w:cs="Times New Roman"/>
                <w:color w:val="auto"/>
                <w:sz w:val="24"/>
                <w:lang w:val="en-US" w:eastAsia="zh-CN"/>
              </w:rPr>
              <w:t>1-2</w:t>
            </w:r>
            <w:r>
              <w:rPr>
                <w:rFonts w:hint="default" w:ascii="Times New Roman" w:hAnsi="Times New Roman" w:cs="Times New Roman"/>
                <w:color w:val="auto"/>
                <w:sz w:val="24"/>
                <w:lang w:val="en-US" w:eastAsia="zh-CN"/>
              </w:rPr>
              <w:t>。</w:t>
            </w:r>
          </w:p>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表1-2生态环境准入清单</w:t>
            </w:r>
            <w:r>
              <w:rPr>
                <w:rFonts w:hint="eastAsia" w:ascii="Times New Roman" w:hAnsi="Times New Roman" w:eastAsia="宋体" w:cs="Times New Roman"/>
                <w:b/>
                <w:bCs/>
                <w:color w:val="auto"/>
                <w:sz w:val="21"/>
                <w:szCs w:val="21"/>
                <w:lang w:val="en-US" w:eastAsia="zh-CN"/>
              </w:rPr>
              <w:t>一览表</w:t>
            </w:r>
          </w:p>
          <w:tbl>
            <w:tblPr>
              <w:tblStyle w:val="25"/>
              <w:tblW w:w="7143"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096"/>
              <w:gridCol w:w="723"/>
              <w:gridCol w:w="859"/>
              <w:gridCol w:w="2264"/>
              <w:gridCol w:w="1582"/>
              <w:gridCol w:w="61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9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kern w:val="0"/>
                      <w:sz w:val="21"/>
                      <w:szCs w:val="21"/>
                      <w:vertAlign w:val="baseline"/>
                      <w:lang w:val="en-US" w:eastAsia="zh-CN"/>
                    </w:rPr>
                  </w:pPr>
                  <w:r>
                    <w:rPr>
                      <w:rFonts w:hint="eastAsia" w:ascii="宋体" w:hAnsi="宋体" w:eastAsia="宋体" w:cs="宋体"/>
                      <w:b/>
                      <w:bCs/>
                      <w:color w:val="auto"/>
                      <w:kern w:val="0"/>
                      <w:sz w:val="21"/>
                      <w:szCs w:val="21"/>
                      <w:vertAlign w:val="baseline"/>
                      <w:lang w:val="en-US" w:eastAsia="zh-CN"/>
                    </w:rPr>
                    <w:t>环境管控单元名称</w:t>
                  </w:r>
                </w:p>
              </w:tc>
              <w:tc>
                <w:tcPr>
                  <w:tcW w:w="723"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kern w:val="0"/>
                      <w:sz w:val="21"/>
                      <w:szCs w:val="21"/>
                      <w:vertAlign w:val="baseline"/>
                      <w:lang w:val="en-US" w:eastAsia="zh-CN"/>
                    </w:rPr>
                  </w:pPr>
                  <w:r>
                    <w:rPr>
                      <w:rFonts w:hint="eastAsia" w:ascii="宋体" w:hAnsi="宋体" w:eastAsia="宋体" w:cs="宋体"/>
                      <w:b/>
                      <w:bCs/>
                      <w:color w:val="auto"/>
                      <w:kern w:val="0"/>
                      <w:sz w:val="21"/>
                      <w:szCs w:val="21"/>
                      <w:vertAlign w:val="baseline"/>
                      <w:lang w:val="en-US" w:eastAsia="zh-CN"/>
                    </w:rPr>
                    <w:t>要素属性</w:t>
                  </w:r>
                </w:p>
              </w:tc>
              <w:tc>
                <w:tcPr>
                  <w:tcW w:w="859"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kern w:val="0"/>
                      <w:sz w:val="21"/>
                      <w:szCs w:val="21"/>
                      <w:vertAlign w:val="baseline"/>
                      <w:lang w:val="en-US" w:eastAsia="zh-CN"/>
                    </w:rPr>
                  </w:pPr>
                  <w:r>
                    <w:rPr>
                      <w:rFonts w:hint="eastAsia" w:ascii="宋体" w:hAnsi="宋体" w:eastAsia="宋体" w:cs="宋体"/>
                      <w:b/>
                      <w:bCs/>
                      <w:color w:val="auto"/>
                      <w:kern w:val="0"/>
                      <w:sz w:val="21"/>
                      <w:szCs w:val="21"/>
                      <w:vertAlign w:val="baseline"/>
                      <w:lang w:val="en-US" w:eastAsia="zh-CN"/>
                    </w:rPr>
                    <w:t>管控单元分类</w:t>
                  </w:r>
                </w:p>
              </w:tc>
              <w:tc>
                <w:tcPr>
                  <w:tcW w:w="2264"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kern w:val="0"/>
                      <w:sz w:val="21"/>
                      <w:szCs w:val="21"/>
                      <w:vertAlign w:val="baseline"/>
                      <w:lang w:val="en-US" w:eastAsia="zh-CN"/>
                    </w:rPr>
                  </w:pPr>
                  <w:r>
                    <w:rPr>
                      <w:rFonts w:hint="eastAsia" w:ascii="宋体" w:hAnsi="宋体" w:eastAsia="宋体" w:cs="宋体"/>
                      <w:b/>
                      <w:bCs/>
                      <w:color w:val="auto"/>
                      <w:kern w:val="0"/>
                      <w:sz w:val="21"/>
                      <w:szCs w:val="21"/>
                      <w:vertAlign w:val="baseline"/>
                      <w:lang w:val="en-US" w:eastAsia="zh-CN"/>
                    </w:rPr>
                    <w:t>管控要求（空间布局约束）</w:t>
                  </w:r>
                </w:p>
              </w:tc>
              <w:tc>
                <w:tcPr>
                  <w:tcW w:w="1582"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kern w:val="0"/>
                      <w:sz w:val="21"/>
                      <w:szCs w:val="21"/>
                      <w:vertAlign w:val="baseline"/>
                      <w:lang w:val="en-US" w:eastAsia="zh-CN"/>
                    </w:rPr>
                  </w:pPr>
                  <w:r>
                    <w:rPr>
                      <w:rFonts w:hint="eastAsia" w:ascii="宋体" w:hAnsi="宋体" w:eastAsia="宋体" w:cs="宋体"/>
                      <w:b/>
                      <w:bCs/>
                      <w:color w:val="auto"/>
                      <w:kern w:val="0"/>
                      <w:sz w:val="21"/>
                      <w:szCs w:val="21"/>
                      <w:vertAlign w:val="baseline"/>
                      <w:lang w:val="en-US" w:eastAsia="zh-CN"/>
                    </w:rPr>
                    <w:t>本项目情况</w:t>
                  </w:r>
                </w:p>
              </w:tc>
              <w:tc>
                <w:tcPr>
                  <w:tcW w:w="619"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kern w:val="0"/>
                      <w:sz w:val="21"/>
                      <w:szCs w:val="21"/>
                      <w:vertAlign w:val="baseline"/>
                      <w:lang w:val="en-US" w:eastAsia="zh-CN"/>
                    </w:rPr>
                  </w:pPr>
                  <w:r>
                    <w:rPr>
                      <w:rFonts w:hint="eastAsia" w:ascii="宋体" w:hAnsi="宋体" w:eastAsia="宋体" w:cs="宋体"/>
                      <w:b/>
                      <w:bCs/>
                      <w:color w:val="auto"/>
                      <w:kern w:val="0"/>
                      <w:sz w:val="21"/>
                      <w:szCs w:val="21"/>
                      <w:vertAlign w:val="baseline"/>
                      <w:lang w:val="en-US" w:eastAsia="zh-CN"/>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9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kern w:val="0"/>
                      <w:sz w:val="21"/>
                      <w:szCs w:val="21"/>
                      <w:vertAlign w:val="baseline"/>
                      <w:lang w:val="en-US" w:eastAsia="zh-CN"/>
                    </w:rPr>
                  </w:pPr>
                  <w:r>
                    <w:rPr>
                      <w:rFonts w:hint="eastAsia" w:ascii="宋体" w:hAnsi="宋体" w:eastAsia="宋体" w:cs="宋体"/>
                      <w:color w:val="auto"/>
                      <w:kern w:val="0"/>
                      <w:sz w:val="21"/>
                      <w:szCs w:val="21"/>
                      <w:vertAlign w:val="baseline"/>
                      <w:lang w:val="en-US" w:eastAsia="zh-CN"/>
                    </w:rPr>
                    <w:t>同心县张家塬乡,王团镇、马高庄乡生态红线优先保护单元</w:t>
                  </w:r>
                </w:p>
              </w:tc>
              <w:tc>
                <w:tcPr>
                  <w:tcW w:w="723"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kern w:val="0"/>
                      <w:sz w:val="21"/>
                      <w:szCs w:val="21"/>
                      <w:vertAlign w:val="baseline"/>
                      <w:lang w:val="en-US" w:eastAsia="zh-CN"/>
                    </w:rPr>
                  </w:pPr>
                  <w:r>
                    <w:rPr>
                      <w:rFonts w:hint="eastAsia" w:ascii="宋体" w:hAnsi="宋体" w:eastAsia="宋体" w:cs="宋体"/>
                      <w:color w:val="auto"/>
                      <w:kern w:val="0"/>
                      <w:sz w:val="21"/>
                      <w:szCs w:val="21"/>
                      <w:vertAlign w:val="baseline"/>
                      <w:lang w:val="en-US" w:eastAsia="zh-CN"/>
                    </w:rPr>
                    <w:t>生态保护红线-农用地优先保护区</w:t>
                  </w:r>
                </w:p>
              </w:tc>
              <w:tc>
                <w:tcPr>
                  <w:tcW w:w="859"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1"/>
                      <w:szCs w:val="21"/>
                      <w:vertAlign w:val="baseline"/>
                      <w:lang w:val="en-US" w:eastAsia="zh-CN"/>
                    </w:rPr>
                  </w:pPr>
                  <w:r>
                    <w:rPr>
                      <w:rFonts w:hint="eastAsia" w:ascii="宋体" w:hAnsi="宋体" w:eastAsia="宋体" w:cs="宋体"/>
                      <w:color w:val="auto"/>
                      <w:kern w:val="0"/>
                      <w:sz w:val="21"/>
                      <w:szCs w:val="21"/>
                      <w:vertAlign w:val="baseline"/>
                      <w:lang w:val="en-US" w:eastAsia="zh-CN"/>
                    </w:rPr>
                    <w:t>优先保护单元</w:t>
                  </w:r>
                </w:p>
              </w:tc>
              <w:tc>
                <w:tcPr>
                  <w:tcW w:w="2264"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kern w:val="0"/>
                      <w:sz w:val="21"/>
                      <w:szCs w:val="21"/>
                      <w:vertAlign w:val="baseline"/>
                      <w:lang w:val="en-US" w:eastAsia="zh-CN"/>
                    </w:rPr>
                  </w:pPr>
                  <w:r>
                    <w:rPr>
                      <w:rFonts w:hint="eastAsia" w:ascii="宋体" w:hAnsi="宋体" w:eastAsia="宋体" w:cs="宋体"/>
                      <w:color w:val="auto"/>
                      <w:kern w:val="0"/>
                      <w:sz w:val="21"/>
                      <w:szCs w:val="21"/>
                      <w:vertAlign w:val="baseline"/>
                      <w:lang w:val="en-US" w:eastAsia="zh-CN"/>
                    </w:rPr>
                    <w:t>1.中部干旱半干旱水土流失、罗山生物多样性维护、防风固沙生态保护红线生态保护原则上按禁止开发区域的要求进行管理。（依据《宁夏回族自治区生态保护红线管理条例》）</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kern w:val="0"/>
                      <w:sz w:val="21"/>
                      <w:szCs w:val="21"/>
                      <w:vertAlign w:val="baseline"/>
                      <w:lang w:val="en-US" w:eastAsia="zh-CN"/>
                    </w:rPr>
                  </w:pPr>
                  <w:r>
                    <w:rPr>
                      <w:rFonts w:hint="eastAsia" w:ascii="宋体" w:hAnsi="宋体" w:eastAsia="宋体" w:cs="宋体"/>
                      <w:color w:val="auto"/>
                      <w:kern w:val="0"/>
                      <w:sz w:val="21"/>
                      <w:szCs w:val="21"/>
                      <w:vertAlign w:val="baseline"/>
                      <w:lang w:val="en-US" w:eastAsia="zh-CN"/>
                    </w:rPr>
                    <w:t>2.不得开展《宁夏回族自治区国家重点生态功能区产业准入清单》中同心县的产业准入清单外的产业项目活动。</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kern w:val="0"/>
                      <w:sz w:val="21"/>
                      <w:szCs w:val="21"/>
                      <w:vertAlign w:val="baseline"/>
                      <w:lang w:val="en-US" w:eastAsia="zh-CN"/>
                    </w:rPr>
                  </w:pPr>
                  <w:r>
                    <w:rPr>
                      <w:rFonts w:hint="eastAsia" w:ascii="宋体" w:hAnsi="宋体" w:eastAsia="宋体" w:cs="宋体"/>
                      <w:color w:val="auto"/>
                      <w:kern w:val="0"/>
                      <w:sz w:val="21"/>
                      <w:szCs w:val="21"/>
                      <w:vertAlign w:val="baseline"/>
                      <w:lang w:val="en-US" w:eastAsia="zh-CN"/>
                    </w:rPr>
                    <w:t>3.严格区域矿产资源开发项目审批。</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kern w:val="0"/>
                      <w:sz w:val="21"/>
                      <w:szCs w:val="21"/>
                      <w:vertAlign w:val="baseline"/>
                      <w:lang w:val="en-US" w:eastAsia="zh-CN"/>
                    </w:rPr>
                  </w:pPr>
                  <w:r>
                    <w:rPr>
                      <w:rFonts w:hint="eastAsia" w:ascii="宋体" w:hAnsi="宋体" w:eastAsia="宋体" w:cs="宋体"/>
                      <w:color w:val="auto"/>
                      <w:kern w:val="0"/>
                      <w:sz w:val="21"/>
                      <w:szCs w:val="21"/>
                      <w:vertAlign w:val="baseline"/>
                      <w:lang w:val="en-US" w:eastAsia="zh-CN"/>
                    </w:rPr>
                    <w:t>4.除国家重大战略项目以及对生态功能不造成破坏的八类有限人为活动之外，严格禁止开发性、生产性建设活动。（依据《关于在国土空间规划中统筹划定落实三条控制线的指导意见》第四条）</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kern w:val="0"/>
                      <w:sz w:val="21"/>
                      <w:szCs w:val="21"/>
                      <w:vertAlign w:val="baseline"/>
                      <w:lang w:val="en-US" w:eastAsia="zh-CN"/>
                    </w:rPr>
                  </w:pPr>
                  <w:r>
                    <w:rPr>
                      <w:rFonts w:hint="eastAsia" w:ascii="宋体" w:hAnsi="宋体" w:eastAsia="宋体" w:cs="宋体"/>
                      <w:color w:val="auto"/>
                      <w:kern w:val="0"/>
                      <w:sz w:val="21"/>
                      <w:szCs w:val="21"/>
                      <w:vertAlign w:val="baseline"/>
                      <w:lang w:val="en-US" w:eastAsia="zh-CN"/>
                    </w:rPr>
                    <w:t>5.开展的其他开发利用类项目不得损害该区域防风固沙和生物多样性。</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kern w:val="0"/>
                      <w:sz w:val="21"/>
                      <w:szCs w:val="21"/>
                      <w:vertAlign w:val="baseline"/>
                      <w:lang w:val="en-US" w:eastAsia="zh-CN"/>
                    </w:rPr>
                  </w:pPr>
                  <w:r>
                    <w:rPr>
                      <w:rFonts w:hint="eastAsia" w:ascii="宋体" w:hAnsi="宋体" w:eastAsia="宋体" w:cs="宋体"/>
                      <w:color w:val="auto"/>
                      <w:kern w:val="0"/>
                      <w:sz w:val="21"/>
                      <w:szCs w:val="21"/>
                      <w:vertAlign w:val="baseline"/>
                      <w:lang w:val="en-US" w:eastAsia="zh-CN"/>
                    </w:rPr>
                    <w:t>6.区域内划入永久基本农田的优先保护类耕地，除法律规定的重点建设项目选址确实无法避让外，不得擅自占用。（依据《国务院关于印发土壤污染防治行动计划的通知》（国发〔2016〕31 号））</w:t>
                  </w:r>
                </w:p>
              </w:tc>
              <w:tc>
                <w:tcPr>
                  <w:tcW w:w="1582"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kern w:val="0"/>
                      <w:sz w:val="21"/>
                      <w:szCs w:val="21"/>
                      <w:vertAlign w:val="baseline"/>
                      <w:lang w:val="en-US" w:eastAsia="zh-CN"/>
                    </w:rPr>
                  </w:pPr>
                  <w:r>
                    <w:rPr>
                      <w:rFonts w:hint="eastAsia" w:ascii="宋体" w:hAnsi="宋体" w:eastAsia="宋体" w:cs="宋体"/>
                      <w:color w:val="auto"/>
                      <w:kern w:val="0"/>
                      <w:sz w:val="21"/>
                      <w:szCs w:val="21"/>
                      <w:vertAlign w:val="baseline"/>
                      <w:lang w:val="en-US" w:eastAsia="zh-CN"/>
                    </w:rPr>
                    <w:t>本项目属于同心县</w:t>
                  </w:r>
                  <w:r>
                    <w:rPr>
                      <w:rFonts w:hint="eastAsia" w:ascii="宋体" w:hAnsi="宋体" w:cs="宋体"/>
                      <w:color w:val="auto"/>
                      <w:kern w:val="0"/>
                      <w:sz w:val="21"/>
                      <w:szCs w:val="21"/>
                      <w:vertAlign w:val="baseline"/>
                      <w:lang w:val="en-US" w:eastAsia="zh-CN"/>
                    </w:rPr>
                    <w:t>张家塬</w:t>
                  </w:r>
                  <w:r>
                    <w:rPr>
                      <w:rFonts w:hint="eastAsia" w:ascii="宋体" w:hAnsi="宋体" w:eastAsia="宋体" w:cs="宋体"/>
                      <w:color w:val="auto"/>
                      <w:kern w:val="0"/>
                      <w:sz w:val="21"/>
                      <w:szCs w:val="21"/>
                      <w:vertAlign w:val="baseline"/>
                      <w:lang w:val="en-US" w:eastAsia="zh-CN"/>
                    </w:rPr>
                    <w:t>乡折腰沟村内涝外排工程（二期），属于国家重大战略项目以及对生态功能不造成破坏的八类有限人为活动项目之一，建设过程中通过采取各项污染防治措施，不会对周边生态环境造成破坏。</w:t>
                  </w:r>
                </w:p>
              </w:tc>
              <w:tc>
                <w:tcPr>
                  <w:tcW w:w="619"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1"/>
                      <w:szCs w:val="21"/>
                      <w:vertAlign w:val="baseline"/>
                      <w:lang w:val="en-US" w:eastAsia="zh-CN"/>
                    </w:rPr>
                  </w:pPr>
                  <w:r>
                    <w:rPr>
                      <w:rFonts w:hint="eastAsia" w:ascii="宋体" w:hAnsi="宋体" w:eastAsia="宋体" w:cs="宋体"/>
                      <w:color w:val="auto"/>
                      <w:kern w:val="0"/>
                      <w:sz w:val="21"/>
                      <w:szCs w:val="21"/>
                      <w:vertAlign w:val="baseline"/>
                      <w:lang w:val="en-US" w:eastAsia="zh-CN"/>
                    </w:rPr>
                    <w:t>符合</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80" w:firstLineChars="200"/>
              <w:textAlignment w:val="auto"/>
              <w:rPr>
                <w:rFonts w:hint="default" w:ascii="Times New Roman" w:hAnsi="Times New Roman" w:eastAsia="宋体" w:cs="Times New Roman"/>
                <w:snapToGrid w:val="0"/>
                <w:color w:val="auto"/>
                <w:kern w:val="0"/>
                <w:sz w:val="24"/>
              </w:rPr>
            </w:pPr>
            <w:r>
              <w:rPr>
                <w:rFonts w:hint="default" w:ascii="Times New Roman" w:hAnsi="Times New Roman" w:eastAsia="宋体" w:cs="Times New Roman"/>
                <w:snapToGrid w:val="0"/>
                <w:color w:val="auto"/>
                <w:kern w:val="0"/>
                <w:sz w:val="24"/>
                <w:lang w:val="en-US" w:eastAsia="zh-CN"/>
              </w:rPr>
              <w:t>根据上表可知，本项目的建设符合</w:t>
            </w:r>
            <w:r>
              <w:rPr>
                <w:rFonts w:hint="eastAsia" w:cs="Times New Roman"/>
                <w:snapToGrid w:val="0"/>
                <w:color w:val="auto"/>
                <w:kern w:val="0"/>
                <w:sz w:val="24"/>
                <w:lang w:val="en-US" w:eastAsia="zh-CN"/>
              </w:rPr>
              <w:t>“</w:t>
            </w:r>
            <w:r>
              <w:rPr>
                <w:rFonts w:hint="default" w:ascii="Times New Roman" w:hAnsi="Times New Roman" w:eastAsia="宋体" w:cs="Times New Roman"/>
                <w:snapToGrid w:val="0"/>
                <w:color w:val="auto"/>
                <w:kern w:val="0"/>
                <w:sz w:val="24"/>
                <w:lang w:val="en-US" w:eastAsia="zh-CN"/>
              </w:rPr>
              <w:t>三线一单</w:t>
            </w:r>
            <w:r>
              <w:rPr>
                <w:rFonts w:hint="eastAsia" w:cs="Times New Roman"/>
                <w:snapToGrid w:val="0"/>
                <w:color w:val="auto"/>
                <w:kern w:val="0"/>
                <w:sz w:val="24"/>
                <w:lang w:val="en-US" w:eastAsia="zh-CN"/>
              </w:rPr>
              <w:t>”</w:t>
            </w:r>
            <w:r>
              <w:rPr>
                <w:rFonts w:hint="default" w:ascii="Times New Roman" w:hAnsi="Times New Roman" w:eastAsia="宋体" w:cs="Times New Roman"/>
                <w:snapToGrid w:val="0"/>
                <w:color w:val="auto"/>
                <w:kern w:val="0"/>
                <w:sz w:val="24"/>
                <w:lang w:val="en-US" w:eastAsia="zh-CN"/>
              </w:rPr>
              <w:t>生态环境管控相关要求。</w:t>
            </w:r>
          </w:p>
          <w:p>
            <w:pPr>
              <w:keepNext w:val="0"/>
              <w:keepLines w:val="0"/>
              <w:pageBreakBefore w:val="0"/>
              <w:widowControl w:val="0"/>
              <w:kinsoku/>
              <w:wordWrap/>
              <w:overflowPunct/>
              <w:topLinePunct w:val="0"/>
              <w:autoSpaceDE/>
              <w:autoSpaceDN/>
              <w:bidi w:val="0"/>
              <w:adjustRightInd w:val="0"/>
              <w:spacing w:before="157" w:beforeLines="50" w:line="360" w:lineRule="auto"/>
              <w:ind w:firstLine="480" w:firstLineChars="200"/>
              <w:jc w:val="left"/>
              <w:textAlignment w:val="auto"/>
              <w:rPr>
                <w:rFonts w:hint="default" w:ascii="Times New Roman" w:hAnsi="Times New Roman" w:cs="Times New Roman"/>
                <w:color w:val="auto"/>
                <w:sz w:val="24"/>
              </w:rPr>
            </w:pPr>
            <w:r>
              <w:rPr>
                <w:rFonts w:hint="default" w:ascii="Times New Roman" w:hAnsi="Times New Roman" w:cs="Times New Roman"/>
                <w:color w:val="auto"/>
                <w:sz w:val="24"/>
              </w:rPr>
              <w:t>综上所述，本项目符合</w:t>
            </w:r>
            <w:r>
              <w:rPr>
                <w:rFonts w:hint="default" w:ascii="Times New Roman" w:hAnsi="Times New Roman" w:cs="Times New Roman"/>
                <w:snapToGrid w:val="0"/>
                <w:color w:val="auto"/>
                <w:kern w:val="0"/>
                <w:sz w:val="24"/>
              </w:rPr>
              <w:t>《吴忠市人民政府关于实施</w:t>
            </w:r>
            <w:r>
              <w:rPr>
                <w:rFonts w:hint="eastAsia" w:cs="Times New Roman"/>
                <w:snapToGrid w:val="0"/>
                <w:color w:val="auto"/>
                <w:kern w:val="0"/>
                <w:sz w:val="24"/>
                <w:lang w:eastAsia="zh-CN"/>
              </w:rPr>
              <w:t>“</w:t>
            </w:r>
            <w:r>
              <w:rPr>
                <w:rFonts w:hint="default" w:ascii="Times New Roman" w:hAnsi="Times New Roman" w:cs="Times New Roman"/>
                <w:snapToGrid w:val="0"/>
                <w:color w:val="auto"/>
                <w:kern w:val="0"/>
                <w:sz w:val="24"/>
              </w:rPr>
              <w:t>三线一单</w:t>
            </w:r>
            <w:r>
              <w:rPr>
                <w:rFonts w:hint="eastAsia" w:cs="Times New Roman"/>
                <w:snapToGrid w:val="0"/>
                <w:color w:val="auto"/>
                <w:kern w:val="0"/>
                <w:sz w:val="24"/>
                <w:lang w:eastAsia="zh-CN"/>
              </w:rPr>
              <w:t>”</w:t>
            </w:r>
            <w:r>
              <w:rPr>
                <w:rFonts w:hint="default" w:ascii="Times New Roman" w:hAnsi="Times New Roman" w:cs="Times New Roman"/>
                <w:snapToGrid w:val="0"/>
                <w:color w:val="auto"/>
                <w:kern w:val="0"/>
                <w:sz w:val="24"/>
              </w:rPr>
              <w:t>生态环境分区管控的意见》中</w:t>
            </w:r>
            <w:r>
              <w:rPr>
                <w:rFonts w:hint="default" w:ascii="Times New Roman" w:hAnsi="Times New Roman" w:cs="Times New Roman"/>
                <w:color w:val="auto"/>
                <w:sz w:val="24"/>
              </w:rPr>
              <w:t>生态环境分区管控的要求。</w:t>
            </w:r>
          </w:p>
          <w:p>
            <w:pPr>
              <w:pStyle w:val="74"/>
              <w:keepNext w:val="0"/>
              <w:keepLines w:val="0"/>
              <w:pageBreakBefore w:val="0"/>
              <w:widowControl w:val="0"/>
              <w:numPr>
                <w:ilvl w:val="0"/>
                <w:numId w:val="0"/>
              </w:numPr>
              <w:kinsoku/>
              <w:wordWrap/>
              <w:overflowPunct/>
              <w:topLinePunct w:val="0"/>
              <w:autoSpaceDE/>
              <w:autoSpaceDN/>
              <w:bidi w:val="0"/>
              <w:adjustRightInd w:val="0"/>
              <w:snapToGrid w:val="0"/>
              <w:ind w:firstLine="482" w:firstLineChars="200"/>
              <w:textAlignment w:val="auto"/>
              <w:rPr>
                <w:rFonts w:hint="eastAsia" w:hAnsi="宋体"/>
                <w:b/>
                <w:bCs/>
                <w:color w:val="auto"/>
                <w:lang w:val="en-US" w:eastAsia="zh-CN"/>
              </w:rPr>
            </w:pPr>
            <w:r>
              <w:rPr>
                <w:rFonts w:hint="eastAsia" w:ascii="Times New Roman" w:hAnsi="Times New Roman" w:eastAsia="宋体" w:cs="Times New Roman"/>
                <w:b/>
                <w:bCs/>
                <w:color w:val="auto"/>
                <w:sz w:val="24"/>
                <w:szCs w:val="24"/>
                <w:highlight w:val="none"/>
                <w:lang w:val="en-US" w:eastAsia="zh-CN"/>
              </w:rPr>
              <w:t>2、与</w:t>
            </w:r>
            <w:r>
              <w:rPr>
                <w:rFonts w:hint="default" w:ascii="Times New Roman" w:hAnsi="Times New Roman" w:eastAsia="宋体" w:cs="Times New Roman"/>
                <w:b/>
                <w:bCs/>
                <w:color w:val="auto"/>
                <w:sz w:val="24"/>
                <w:szCs w:val="24"/>
                <w:highlight w:val="none"/>
                <w:lang w:val="en-US" w:eastAsia="zh-CN"/>
              </w:rPr>
              <w:t>《黄河流域生态保护和高质量发展规划纲要》</w:t>
            </w:r>
            <w:r>
              <w:rPr>
                <w:rFonts w:hint="eastAsia" w:ascii="Times New Roman" w:hAnsi="Times New Roman" w:eastAsia="宋体" w:cs="Times New Roman"/>
                <w:b/>
                <w:bCs/>
                <w:color w:val="auto"/>
                <w:sz w:val="24"/>
                <w:szCs w:val="24"/>
                <w:highlight w:val="none"/>
                <w:lang w:val="en-US" w:eastAsia="zh-CN"/>
              </w:rPr>
              <w:t>符合性分析</w:t>
            </w:r>
          </w:p>
          <w:p>
            <w:pPr>
              <w:pStyle w:val="74"/>
              <w:adjustRightInd w:val="0"/>
              <w:snapToGrid w:val="0"/>
              <w:rPr>
                <w:rFonts w:hint="eastAsia" w:ascii="Times New Roman" w:hAnsi="Times New Roman" w:eastAsia="宋体" w:cs="Times New Roman"/>
                <w:color w:val="auto"/>
                <w:kern w:val="0"/>
                <w:lang w:val="en-US" w:eastAsia="zh-CN"/>
              </w:rPr>
            </w:pPr>
            <w:r>
              <w:rPr>
                <w:rFonts w:hint="eastAsia" w:ascii="Times New Roman" w:hAnsi="Times New Roman" w:eastAsia="宋体" w:cs="Times New Roman"/>
                <w:color w:val="auto"/>
                <w:kern w:val="0"/>
                <w:lang w:val="en-US" w:eastAsia="zh-CN"/>
              </w:rPr>
              <w:t>《黄河流域生态保护和高质量发展规划纲要》提出“有效提升防洪能力。实施河道和滩区综合提升治理工程，增强防洪能力，确保堤防不决口。加快河段控导工程续建加固，加强险工险段和薄弱堤防治理，提升主槽排洪输沙功能，有效控制游荡性河段河势。开展下游“二级悬河”治理，降低黄河大堤安全风险。加快推进宁蒙等河段堤防工程达标。统筹黄河干支流防洪体系建设，加强黑河、白河、湟水河、洮河、渭河、汾河、沁河等重点支流防洪安全，联防联控暴雨等引发的突发性洪水。加强黄淮海流域防洪体系协同，优化沿黄蓄滞洪区、防洪水库、排涝泵站等建设布局，提高防洪避险能力。以防洪为前提规范蓄滞洪区各类开发建设活动并控制人口规模。建立应对凌汛长效机制，强化上中游水库防凌联合调度，发挥应急分凌区作用，确保防凌安全。实施病险水库除险加固，消除安全隐患。”</w:t>
            </w:r>
          </w:p>
          <w:p>
            <w:pPr>
              <w:pStyle w:val="74"/>
              <w:adjustRightInd w:val="0"/>
              <w:snapToGrid w:val="0"/>
              <w:rPr>
                <w:rFonts w:hint="default" w:ascii="Times New Roman" w:hAnsi="Times New Roman" w:cs="Times New Roman"/>
                <w:b/>
                <w:bCs/>
                <w:color w:val="auto"/>
                <w:sz w:val="24"/>
              </w:rPr>
            </w:pPr>
            <w:r>
              <w:rPr>
                <w:rFonts w:hint="default" w:ascii="Times New Roman" w:hAnsi="Times New Roman" w:eastAsia="宋体" w:cs="Times New Roman"/>
                <w:color w:val="auto"/>
                <w:sz w:val="24"/>
                <w:lang w:val="en-US" w:eastAsia="zh-CN"/>
              </w:rPr>
              <w:t>本项目在一期工程基础上，续建排洪通道，将洪水排泄至折腰沟主沟道，完善防洪工程布局，彻底解决项目保护区洪水侵害问题</w:t>
            </w:r>
            <w:r>
              <w:rPr>
                <w:rFonts w:hint="eastAsia" w:ascii="宋体" w:hAnsi="宋体" w:cs="宋体"/>
                <w:color w:val="auto"/>
                <w:kern w:val="0"/>
                <w:szCs w:val="24"/>
              </w:rPr>
              <w:t>。因此，本项目的建设符合</w:t>
            </w:r>
            <w:r>
              <w:rPr>
                <w:rFonts w:hint="eastAsia" w:ascii="Times New Roman" w:hAnsi="Times New Roman" w:eastAsia="宋体" w:cs="Times New Roman"/>
                <w:color w:val="auto"/>
                <w:kern w:val="0"/>
                <w:lang w:val="en-US" w:eastAsia="zh-CN"/>
              </w:rPr>
              <w:t>《黄河流域生态保护和高质量发展规划纲要》</w:t>
            </w:r>
            <w:r>
              <w:rPr>
                <w:rFonts w:hint="eastAsia" w:ascii="宋体" w:hAnsi="宋体" w:cs="宋体"/>
                <w:color w:val="auto"/>
                <w:kern w:val="0"/>
                <w:szCs w:val="24"/>
              </w:rPr>
              <w:t>要求。</w:t>
            </w:r>
          </w:p>
          <w:p>
            <w:pPr>
              <w:pStyle w:val="74"/>
              <w:adjustRightInd w:val="0"/>
              <w:snapToGrid w:val="0"/>
              <w:ind w:firstLine="482"/>
              <w:rPr>
                <w:rFonts w:ascii="宋体" w:hAnsi="宋体" w:cs="宋体"/>
                <w:b/>
                <w:bCs/>
                <w:color w:val="auto"/>
                <w:kern w:val="0"/>
                <w:szCs w:val="24"/>
                <w:highlight w:val="none"/>
              </w:rPr>
            </w:pPr>
            <w:r>
              <w:rPr>
                <w:rFonts w:hint="eastAsia" w:cs="宋体"/>
                <w:b/>
                <w:bCs/>
                <w:color w:val="auto"/>
                <w:kern w:val="0"/>
                <w:szCs w:val="24"/>
                <w:highlight w:val="none"/>
                <w:lang w:val="en-US" w:eastAsia="zh-CN"/>
              </w:rPr>
              <w:t>3、</w:t>
            </w:r>
            <w:r>
              <w:rPr>
                <w:rFonts w:hint="eastAsia" w:ascii="宋体" w:hAnsi="宋体" w:cs="宋体"/>
                <w:b/>
                <w:bCs/>
                <w:color w:val="auto"/>
                <w:kern w:val="0"/>
                <w:szCs w:val="24"/>
                <w:highlight w:val="none"/>
              </w:rPr>
              <w:t>与《宁夏回族自治区生态环境保护“十四五”规划》符合性分析</w:t>
            </w:r>
          </w:p>
          <w:p>
            <w:pPr>
              <w:pStyle w:val="74"/>
              <w:adjustRightInd w:val="0"/>
              <w:snapToGrid w:val="0"/>
              <w:rPr>
                <w:rFonts w:hint="eastAsia" w:ascii="宋体" w:hAnsi="宋体" w:cs="宋体"/>
                <w:color w:val="auto"/>
                <w:kern w:val="0"/>
                <w:szCs w:val="24"/>
                <w:highlight w:val="none"/>
              </w:rPr>
            </w:pPr>
            <w:r>
              <w:rPr>
                <w:rFonts w:hint="eastAsia" w:ascii="宋体" w:hAnsi="宋体" w:cs="宋体"/>
                <w:color w:val="auto"/>
                <w:kern w:val="0"/>
                <w:szCs w:val="24"/>
                <w:highlight w:val="none"/>
              </w:rPr>
              <w:t>根据《宁夏回族自治区生态环境保护“十四五”规划》中内容：“开展河湖岸线保护修复。强化岸线管控，实施最严格的黄河岸线保护制度和河湖水域岸线用途管制，推进沙湖、阅海等重点湖泊及黄河滩地治理。开展河湖生态缓冲带修复、建设，到2025年，修复、建设河湖生态缓冲带65.6公里。”</w:t>
            </w:r>
          </w:p>
          <w:p>
            <w:pPr>
              <w:pStyle w:val="74"/>
              <w:adjustRightInd w:val="0"/>
              <w:snapToGrid w:val="0"/>
              <w:rPr>
                <w:rFonts w:ascii="宋体" w:hAnsi="宋体" w:cs="宋体"/>
                <w:color w:val="auto"/>
                <w:kern w:val="0"/>
                <w:szCs w:val="24"/>
                <w:highlight w:val="none"/>
              </w:rPr>
            </w:pPr>
            <w:r>
              <w:rPr>
                <w:rFonts w:hint="default" w:ascii="Times New Roman" w:hAnsi="Times New Roman" w:eastAsia="宋体" w:cs="Times New Roman"/>
                <w:color w:val="auto"/>
                <w:sz w:val="24"/>
                <w:lang w:val="en-US" w:eastAsia="zh-CN"/>
              </w:rPr>
              <w:t>本项目在一期工程基础上，续建排洪通道，将洪水排泄至折腰沟主沟道，完善防洪工程布局，彻底解决项目保护区洪水侵害问题</w:t>
            </w:r>
            <w:r>
              <w:rPr>
                <w:rFonts w:hint="eastAsia" w:ascii="宋体" w:hAnsi="宋体" w:cs="宋体"/>
                <w:color w:val="auto"/>
                <w:kern w:val="0"/>
                <w:szCs w:val="24"/>
                <w:highlight w:val="none"/>
              </w:rPr>
              <w:t>。因此，本项目的建设符合《宁夏回族自治区生态环境保护“十四五”规划》要求。</w:t>
            </w:r>
          </w:p>
          <w:p>
            <w:pPr>
              <w:pStyle w:val="74"/>
              <w:adjustRightInd w:val="0"/>
              <w:snapToGrid w:val="0"/>
              <w:ind w:firstLine="482"/>
              <w:rPr>
                <w:rFonts w:ascii="宋体" w:hAnsi="宋体" w:cs="宋体"/>
                <w:b/>
                <w:bCs/>
                <w:color w:val="auto"/>
                <w:kern w:val="0"/>
                <w:szCs w:val="24"/>
              </w:rPr>
            </w:pPr>
            <w:r>
              <w:rPr>
                <w:rFonts w:hint="eastAsia" w:cs="宋体"/>
                <w:b/>
                <w:bCs/>
                <w:color w:val="auto"/>
                <w:kern w:val="0"/>
                <w:szCs w:val="24"/>
                <w:lang w:val="en-US" w:eastAsia="zh-CN"/>
              </w:rPr>
              <w:t>4、</w:t>
            </w:r>
            <w:r>
              <w:rPr>
                <w:rFonts w:hint="eastAsia" w:ascii="宋体" w:hAnsi="宋体" w:cs="宋体"/>
                <w:b/>
                <w:bCs/>
                <w:color w:val="auto"/>
                <w:kern w:val="0"/>
                <w:szCs w:val="24"/>
              </w:rPr>
              <w:t>与《宁夏回族自治区水生态环境保护“十四五”规划》符合性分析</w:t>
            </w:r>
          </w:p>
          <w:p>
            <w:pPr>
              <w:pStyle w:val="74"/>
              <w:adjustRightInd w:val="0"/>
              <w:snapToGrid w:val="0"/>
              <w:rPr>
                <w:color w:val="auto"/>
                <w:kern w:val="0"/>
              </w:rPr>
            </w:pPr>
            <w:r>
              <w:rPr>
                <w:rFonts w:hint="eastAsia"/>
                <w:color w:val="auto"/>
                <w:kern w:val="0"/>
              </w:rPr>
              <w:t>根据《宁夏回族自治区水生态环境保护“十四五”规划》中内容：“开展河湖岸线保护与修复。实施清水河、苦水河、典农河、红柳沟、渝河、茹河、泾河、葫芦河等重点河湖岸线保护与利用规划，对与规划不相符的各类生产、生活、经营、建设等活动，依法依规开展清理整治。强化岸线管控，严格落实分区管理和用途管制，岸线利用项目建设必须符合规划和相关法律法规要求，与规划和相关法律法规要求不符的一律不得许可，切实保障河势稳定和防洪、供水、航运及生态安全。按照生态优先、自然修复为主的原则，对河湖缓冲带进行生态修复，加强生态缓冲带拦截污染、净化水体，提升生态系统完整性等功能。到2025年，全区新增修复河湖生态缓冲带65.6公里”。</w:t>
            </w:r>
          </w:p>
          <w:p>
            <w:pPr>
              <w:pStyle w:val="74"/>
              <w:adjustRightInd w:val="0"/>
              <w:snapToGrid w:val="0"/>
              <w:rPr>
                <w:rFonts w:hint="eastAsia" w:ascii="宋体" w:hAnsi="宋体" w:cs="宋体"/>
                <w:color w:val="auto"/>
                <w:kern w:val="0"/>
                <w:szCs w:val="24"/>
              </w:rPr>
            </w:pPr>
            <w:r>
              <w:rPr>
                <w:rFonts w:hint="default" w:ascii="Times New Roman" w:hAnsi="Times New Roman" w:eastAsia="宋体" w:cs="Times New Roman"/>
                <w:color w:val="auto"/>
                <w:sz w:val="24"/>
                <w:lang w:val="en-US" w:eastAsia="zh-CN"/>
              </w:rPr>
              <w:t>本项目在一期工程基础上，续建排洪通道，将洪水排泄至折腰沟主沟道，完善防洪工程布局，彻底解决项目保护区洪水侵害问题</w:t>
            </w:r>
            <w:r>
              <w:rPr>
                <w:rFonts w:hint="eastAsia" w:ascii="宋体" w:hAnsi="宋体" w:cs="宋体"/>
                <w:color w:val="auto"/>
                <w:kern w:val="0"/>
                <w:szCs w:val="24"/>
              </w:rPr>
              <w:t>。因此，本项目的建设符合《</w:t>
            </w:r>
            <w:r>
              <w:rPr>
                <w:rFonts w:hint="eastAsia"/>
                <w:color w:val="auto"/>
                <w:kern w:val="0"/>
              </w:rPr>
              <w:t>宁夏回族自治区水生态环境保护“十四五”规划</w:t>
            </w:r>
            <w:r>
              <w:rPr>
                <w:rFonts w:hint="eastAsia" w:ascii="宋体" w:hAnsi="宋体" w:cs="宋体"/>
                <w:color w:val="auto"/>
                <w:kern w:val="0"/>
                <w:szCs w:val="24"/>
              </w:rPr>
              <w:t>》要求。</w:t>
            </w:r>
          </w:p>
          <w:p>
            <w:pPr>
              <w:pStyle w:val="74"/>
              <w:numPr>
                <w:ilvl w:val="0"/>
                <w:numId w:val="2"/>
              </w:numPr>
              <w:adjustRightInd w:val="0"/>
              <w:snapToGrid w:val="0"/>
              <w:rPr>
                <w:rFonts w:hint="eastAsia" w:ascii="Times New Roman" w:hAnsi="Times New Roman" w:eastAsia="宋体" w:cs="Times New Roman"/>
                <w:b/>
                <w:bCs/>
                <w:color w:val="auto"/>
                <w:sz w:val="24"/>
                <w:lang w:val="en-US" w:eastAsia="zh-CN"/>
              </w:rPr>
            </w:pPr>
            <w:r>
              <w:rPr>
                <w:rFonts w:hint="default" w:ascii="Times New Roman" w:hAnsi="Times New Roman" w:eastAsia="宋体" w:cs="Times New Roman"/>
                <w:b/>
                <w:bCs/>
                <w:color w:val="auto"/>
                <w:sz w:val="24"/>
                <w:lang w:val="en-US" w:eastAsia="zh-CN"/>
              </w:rPr>
              <w:t>与《水利建设项目(河湖整治与防洪除涝工程)环境影响评价文件审批原则(试行)》符合性分析</w:t>
            </w:r>
          </w:p>
          <w:p>
            <w:pPr>
              <w:adjustRightInd w:val="0"/>
              <w:spacing w:line="360" w:lineRule="auto"/>
              <w:ind w:firstLine="480" w:firstLineChars="200"/>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本项目属于</w:t>
            </w:r>
            <w:r>
              <w:rPr>
                <w:rFonts w:hint="eastAsia" w:cs="Times New Roman"/>
                <w:color w:val="auto"/>
                <w:sz w:val="24"/>
                <w:lang w:val="en-US" w:eastAsia="zh-CN"/>
              </w:rPr>
              <w:t>防洪除涝</w:t>
            </w:r>
            <w:r>
              <w:rPr>
                <w:rFonts w:hint="default" w:ascii="Times New Roman" w:hAnsi="Times New Roman" w:eastAsia="宋体" w:cs="Times New Roman"/>
                <w:color w:val="auto"/>
                <w:sz w:val="24"/>
                <w:lang w:val="en-US" w:eastAsia="zh-CN"/>
              </w:rPr>
              <w:t>工程，</w:t>
            </w:r>
            <w:r>
              <w:rPr>
                <w:rFonts w:hint="eastAsia" w:cs="Times New Roman"/>
                <w:color w:val="auto"/>
                <w:sz w:val="24"/>
                <w:lang w:val="en-US" w:eastAsia="zh-CN"/>
              </w:rPr>
              <w:t>本项目</w:t>
            </w:r>
            <w:r>
              <w:rPr>
                <w:rFonts w:hint="default" w:ascii="Times New Roman" w:hAnsi="Times New Roman" w:eastAsia="宋体" w:cs="Times New Roman"/>
                <w:color w:val="auto"/>
                <w:sz w:val="24"/>
                <w:lang w:val="en-US" w:eastAsia="zh-CN"/>
              </w:rPr>
              <w:t>与《水利建设项目（河湖整治与防洪除涝工程）环境影响评价文件审批原则（试行）》符合性分析见下表</w:t>
            </w:r>
            <w:r>
              <w:rPr>
                <w:rFonts w:hint="eastAsia" w:cs="Times New Roman"/>
                <w:color w:val="auto"/>
                <w:sz w:val="24"/>
                <w:lang w:val="en-US" w:eastAsia="zh-CN"/>
              </w:rPr>
              <w:t>1-3</w:t>
            </w:r>
            <w:r>
              <w:rPr>
                <w:rFonts w:hint="default" w:ascii="Times New Roman" w:hAnsi="Times New Roman" w:eastAsia="宋体" w:cs="Times New Roman"/>
                <w:color w:val="auto"/>
                <w:sz w:val="24"/>
                <w:lang w:val="en-US" w:eastAsia="zh-CN"/>
              </w:rPr>
              <w:t>。</w:t>
            </w:r>
          </w:p>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表1-</w:t>
            </w:r>
            <w:r>
              <w:rPr>
                <w:rFonts w:hint="eastAsia" w:cs="Times New Roman"/>
                <w:b/>
                <w:bCs/>
                <w:color w:val="auto"/>
                <w:sz w:val="21"/>
                <w:szCs w:val="21"/>
                <w:lang w:val="en-US" w:eastAsia="zh-CN"/>
              </w:rPr>
              <w:t>3</w:t>
            </w:r>
            <w:r>
              <w:rPr>
                <w:rFonts w:hint="default" w:ascii="Times New Roman" w:hAnsi="Times New Roman" w:eastAsia="宋体" w:cs="Times New Roman"/>
                <w:b/>
                <w:bCs/>
                <w:color w:val="auto"/>
                <w:sz w:val="21"/>
                <w:szCs w:val="21"/>
                <w:lang w:val="en-US" w:eastAsia="zh-CN"/>
              </w:rPr>
              <w:t>与《水利建设项目(河湖整治与防洪除涝工程)环境影响评价文件</w:t>
            </w:r>
          </w:p>
          <w:p>
            <w:pPr>
              <w:pStyle w:val="74"/>
              <w:widowControl w:val="0"/>
              <w:numPr>
                <w:ilvl w:val="0"/>
                <w:numId w:val="0"/>
              </w:numPr>
              <w:adjustRightInd w:val="0"/>
              <w:snapToGrid w:val="0"/>
              <w:spacing w:line="360" w:lineRule="auto"/>
              <w:jc w:val="both"/>
              <w:rPr>
                <w:rFonts w:hint="default" w:ascii="Times New Roman" w:hAnsi="Times New Roman" w:eastAsia="宋体" w:cs="Times New Roman"/>
                <w:b/>
                <w:bCs/>
                <w:color w:val="auto"/>
                <w:sz w:val="24"/>
                <w:lang w:val="en-US" w:eastAsia="zh-CN"/>
              </w:rPr>
            </w:pPr>
            <w:r>
              <w:rPr>
                <w:rFonts w:hint="default" w:ascii="Times New Roman" w:hAnsi="Times New Roman" w:eastAsia="宋体" w:cs="Times New Roman"/>
                <w:b/>
                <w:bCs/>
                <w:color w:val="auto"/>
                <w:sz w:val="21"/>
                <w:szCs w:val="21"/>
                <w:lang w:val="en-US" w:eastAsia="zh-CN"/>
              </w:rPr>
              <w:t>审批原则(试行)》符合性分析</w:t>
            </w:r>
          </w:p>
          <w:tbl>
            <w:tblPr>
              <w:tblStyle w:val="25"/>
              <w:tblW w:w="497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667"/>
              <w:gridCol w:w="3891"/>
              <w:gridCol w:w="1996"/>
              <w:gridCol w:w="91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03"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序号</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相关要求</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本项目情况</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27"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第一条本原则适用于河湖整治与防洪除涝工程环境影响评价文件的审批，工程建设内容包括疏浚、堤防建设、闸坝闸站建设、岸线治理、水系连通、蓄（</w:t>
                  </w:r>
                  <w:r>
                    <w:rPr>
                      <w:rFonts w:hint="eastAsia" w:cs="Times New Roman"/>
                      <w:color w:val="auto"/>
                      <w:sz w:val="21"/>
                      <w:szCs w:val="21"/>
                      <w:lang w:val="en-US" w:eastAsia="zh-CN"/>
                    </w:rPr>
                    <w:t>滞</w:t>
                  </w:r>
                  <w:r>
                    <w:rPr>
                      <w:rFonts w:hint="default" w:ascii="Times New Roman" w:hAnsi="Times New Roman" w:eastAsia="宋体" w:cs="Times New Roman"/>
                      <w:color w:val="auto"/>
                      <w:sz w:val="21"/>
                      <w:szCs w:val="21"/>
                      <w:lang w:val="en-US" w:eastAsia="zh-CN"/>
                    </w:rPr>
                    <w:t>）洪区建设、排涝治理等（引调水、防洪水库等水利枢纽工程除外）。其他类似工程可参照执行。</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本项目属于</w:t>
                  </w:r>
                  <w:r>
                    <w:rPr>
                      <w:rFonts w:hint="eastAsia" w:cs="Times New Roman"/>
                      <w:color w:val="auto"/>
                      <w:sz w:val="21"/>
                      <w:szCs w:val="21"/>
                      <w:lang w:val="en-US" w:eastAsia="zh-CN"/>
                    </w:rPr>
                    <w:t>防洪除涝</w:t>
                  </w:r>
                  <w:r>
                    <w:rPr>
                      <w:rFonts w:hint="default" w:ascii="Times New Roman" w:hAnsi="Times New Roman" w:eastAsia="宋体" w:cs="Times New Roman"/>
                      <w:color w:val="auto"/>
                      <w:sz w:val="21"/>
                      <w:szCs w:val="21"/>
                      <w:lang w:val="en-US" w:eastAsia="zh-CN"/>
                    </w:rPr>
                    <w:t>工程，工程实施将提高其抵御洪水灾害的能力，减轻</w:t>
                  </w:r>
                  <w:r>
                    <w:rPr>
                      <w:rFonts w:hint="eastAsia" w:cs="Times New Roman"/>
                      <w:color w:val="auto"/>
                      <w:sz w:val="21"/>
                      <w:szCs w:val="21"/>
                      <w:lang w:val="en-US" w:eastAsia="zh-CN"/>
                    </w:rPr>
                    <w:t>保护</w:t>
                  </w:r>
                  <w:r>
                    <w:rPr>
                      <w:rFonts w:hint="default" w:ascii="Times New Roman" w:hAnsi="Times New Roman" w:eastAsia="宋体" w:cs="Times New Roman"/>
                      <w:color w:val="auto"/>
                      <w:sz w:val="21"/>
                      <w:szCs w:val="21"/>
                      <w:lang w:val="en-US" w:eastAsia="zh-CN"/>
                    </w:rPr>
                    <w:t>区内广大居民生命财产的损失</w:t>
                  </w:r>
                  <w:r>
                    <w:rPr>
                      <w:rFonts w:hint="eastAsia" w:cs="Times New Roman"/>
                      <w:color w:val="auto"/>
                      <w:sz w:val="21"/>
                      <w:szCs w:val="21"/>
                      <w:lang w:val="en-US" w:eastAsia="zh-CN"/>
                    </w:rPr>
                    <w:t>。</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317"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2</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二条项目符合环境保护相关法律法规和政策要求，与主体功能区规划、生态功能区划、水环境功能区划、水功能区划、生态环境保护规划、流域综合规划、防洪规划等相协调，满足相关规划环评要求。工程涉及岸线调整(治导线变化)、裁弯取直、围垦水面和占用河湖滩地等建设内容的，充分论证了方案环境可行性，最大程度保持了河湖自然形态，最大限度维护了河湖健康、生态系统功能和生物多样性。</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本项目符合环境保护相关法律法规和政策要求，与主体功能区规划、生态功能区划、水环境功能区划、水功能区划、生态环境保护规划、流域综合规划、防洪规划等相协调，满足相关规划环评要求。</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93"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3</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三条工程选址选线、施工布置原则上不占用自然保护区风景名胜区、世界文化和自然遗产地以及其他生态保护红线等环境敏感区中法律法规禁止占用的区域，并与饮用水水源保护区的保护要求相协调。法律法规、政策另有规定的从其规定。</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本项目治理段位于张家塬乡</w:t>
                  </w:r>
                  <w:r>
                    <w:rPr>
                      <w:rFonts w:hint="eastAsia" w:cs="Times New Roman"/>
                      <w:color w:val="auto"/>
                      <w:sz w:val="21"/>
                      <w:szCs w:val="21"/>
                      <w:lang w:val="en-US" w:eastAsia="zh-CN"/>
                    </w:rPr>
                    <w:t>折腰沟村</w:t>
                  </w:r>
                  <w:r>
                    <w:rPr>
                      <w:rFonts w:hint="default" w:ascii="Times New Roman" w:hAnsi="Times New Roman" w:eastAsia="宋体" w:cs="Times New Roman"/>
                      <w:color w:val="auto"/>
                      <w:sz w:val="21"/>
                      <w:szCs w:val="21"/>
                      <w:lang w:val="en-US" w:eastAsia="zh-CN"/>
                    </w:rPr>
                    <w:t>，项目选址唯一，工程选址选线、施工布置不占用自然保护区风景名胜区、世界文化和自然遗产地以及其他生态保护红线等环境敏感区中法律法规禁止占用的区域，对"下游饮用水水源保护区无明显影响</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2749"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4</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四条项目实施改变水动力条件或水文过程且对水质产生不利影响的，提出了工程优化调整、科学调度、实施区域流域水污染防治等措施。对地下水环境产生不利影响或次生环境影响的，提出了优化工程设计、导排、防护等针对性的防治措施。</w:t>
                  </w:r>
                </w:p>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在采取上述措施后，对水环境的不利影响能够得到缓解和控制，居民用水安全能够得到保障，相关区域不会出现显著的土壤潜育化、沼泽化、盐碱化等次生环境问题。</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项目实施不会改变水动力条件或水文过程。</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5</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第五条项目对鱼类等水生生物的徊游通道及</w:t>
                  </w:r>
                  <w:r>
                    <w:rPr>
                      <w:rFonts w:hint="eastAsia" w:cs="Times New Roman"/>
                      <w:color w:val="auto"/>
                      <w:sz w:val="21"/>
                      <w:szCs w:val="21"/>
                      <w:lang w:val="en-US" w:eastAsia="zh-CN"/>
                    </w:rPr>
                    <w:t>“</w:t>
                  </w:r>
                  <w:r>
                    <w:rPr>
                      <w:rFonts w:hint="default" w:ascii="Times New Roman" w:hAnsi="Times New Roman" w:eastAsia="宋体" w:cs="Times New Roman"/>
                      <w:color w:val="auto"/>
                      <w:sz w:val="21"/>
                      <w:szCs w:val="21"/>
                      <w:lang w:val="en-US" w:eastAsia="zh-CN"/>
                    </w:rPr>
                    <w:t>三场</w:t>
                  </w:r>
                  <w:r>
                    <w:rPr>
                      <w:rFonts w:hint="eastAsia" w:cs="Times New Roman"/>
                      <w:color w:val="auto"/>
                      <w:sz w:val="21"/>
                      <w:szCs w:val="21"/>
                      <w:lang w:val="en-US" w:eastAsia="zh-CN"/>
                    </w:rPr>
                    <w:t>”</w:t>
                  </w:r>
                  <w:r>
                    <w:rPr>
                      <w:rFonts w:hint="default" w:ascii="Times New Roman" w:hAnsi="Times New Roman" w:eastAsia="宋体" w:cs="Times New Roman"/>
                      <w:color w:val="auto"/>
                      <w:sz w:val="21"/>
                      <w:szCs w:val="21"/>
                      <w:lang w:val="en-US" w:eastAsia="zh-CN"/>
                    </w:rPr>
                    <w:t>等重要生境、物种多样性及资源量等产生不利影响的，提出了下泄生态流量、恢复鱼类徊游通道、采用生态友好型护岸(坡、底)、生态修复、增殖放流等措施。</w:t>
                  </w:r>
                </w:p>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在采取上述措施后，对水生生物的不利影响能够得到缓解和控制，不会造成原有珍稀濒危保护、区域特有或重要经济水生生物在相关河段消失，不会对相关河段水生生态系统造成重大不利影响。</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本项目不涉及项目对鱼类等水生生物的徊游通道及三场</w:t>
                  </w:r>
                  <w:r>
                    <w:rPr>
                      <w:rFonts w:hint="eastAsia" w:cs="Times New Roman"/>
                      <w:color w:val="auto"/>
                      <w:sz w:val="21"/>
                      <w:szCs w:val="21"/>
                      <w:lang w:val="en-US" w:eastAsia="zh-CN"/>
                    </w:rPr>
                    <w:t>”</w:t>
                  </w:r>
                  <w:r>
                    <w:rPr>
                      <w:rFonts w:hint="default" w:ascii="Times New Roman" w:hAnsi="Times New Roman" w:eastAsia="宋体" w:cs="Times New Roman"/>
                      <w:color w:val="auto"/>
                      <w:sz w:val="21"/>
                      <w:szCs w:val="21"/>
                      <w:lang w:val="en-US" w:eastAsia="zh-CN"/>
                    </w:rPr>
                    <w:t>等重要生境</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19"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6</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六条项目对湿地生态系统结构和功能、河湖生态缓冲带造成不利影响的，提出了优化工程设计及调度运行方案、生态修复等措施。对珍稀濒危保护植物造成不利影响的，提出了避让、原位防护、移栽等措施。对陆生珍稀濒危保护动物及其生境造成不利影响的，提出了避让、救护、迁徙廊道构建、生境再造等措施。对景观产生不利影响的，提出了避让、优化设计、景观塑造等措施。</w:t>
                  </w:r>
                </w:p>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在采取上述措施后，对湿地以及陆生动植物的不利影响能够得到缓解和控制，与区域景观相协调，不会造成原有珍稀濒危保护动植物在相关区域消失，不会对陆生生态系统造成重大不利影响。</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本项目不涉及湿地生态系统结构和功能、河湖生态缓冲带，施工范围不涉及珍稀濒危保护植物</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666"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7</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七条项目施工组织方案具有环境合理性，对料场、弃土（渣）场等施工场地提出了水土流失防治和生态修复等措施。根据环境保护相关标准和要求，对施工期各类废（污）水、扬尘、废气、噪声、固体废物等提出了防治或处置措施。其中，涉水施工涉及饮用水水源保护区或取水口并可能对水质造成不利影响的，提出了避让、施工方案优化、污染物控制等措施;涉水施工对鱼类等水生生物及其重要生境造成不利影响的，提出了避让、施工方案优化、控制施工噪声等措施；针对清淤、疏浚等产生的淤泥，提出了符合相关规定的处置或综合利用方案。</w:t>
                  </w:r>
                </w:p>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在采取上述措施后，施工期的不利环境影响能够得到缓解和控制，不会对周围环境和敏感保护目标造成重大不利影响。</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本项目周边生态环境良好，无明显环境制约因素，施工期采取了有效的生态环境保护措施。项目不涉及饮用水水源保护区或取水口；涉水施工期较短，不涉及清淤、疏浚，无淤泥产生</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79"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8</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第八条项目移民安置的选址和建设方式具有环境合理性，提出了生态保护、污水处理、固体废物处置等措施。</w:t>
                  </w:r>
                </w:p>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针对蓄滞洪区的环境污染、新增占地涉及污染场地等，提出了环境管理对策建议。</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本项目不涉及移民安置、蓄滞洪区环境污染、新增占地涉及污染场地</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79"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9</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第九条项目存在河湖水质污染、富营养化或外来物种入侵等环境风险的，提出了针对性的风险防范措施以及环境应急预案编制、建立必要的应急联动机制等要求。</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本</w:t>
                  </w:r>
                  <w:r>
                    <w:rPr>
                      <w:rFonts w:hint="default" w:ascii="Times New Roman" w:hAnsi="Times New Roman" w:eastAsia="宋体" w:cs="Times New Roman"/>
                      <w:color w:val="auto"/>
                      <w:sz w:val="21"/>
                      <w:szCs w:val="21"/>
                      <w:lang w:val="en-US" w:eastAsia="zh-CN"/>
                    </w:rPr>
                    <w:t>项目为</w:t>
                  </w:r>
                  <w:r>
                    <w:rPr>
                      <w:rFonts w:hint="eastAsia" w:cs="Times New Roman"/>
                      <w:color w:val="auto"/>
                      <w:sz w:val="21"/>
                      <w:szCs w:val="21"/>
                      <w:lang w:val="en-US" w:eastAsia="zh-CN"/>
                    </w:rPr>
                    <w:t>防洪除涝</w:t>
                  </w:r>
                  <w:r>
                    <w:rPr>
                      <w:rFonts w:hint="default" w:ascii="Times New Roman" w:hAnsi="Times New Roman" w:eastAsia="宋体" w:cs="Times New Roman"/>
                      <w:color w:val="auto"/>
                      <w:sz w:val="21"/>
                      <w:szCs w:val="21"/>
                      <w:lang w:val="en-US" w:eastAsia="zh-CN"/>
                    </w:rPr>
                    <w:t>工程，不存在河湖水质污染、富营养化或外来物种入侵等环境风险</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831"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10</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第十条改、扩建项目在全面梳理了与项目有关的现有工程环境问题基础上，提出了与项目相适应的</w:t>
                  </w:r>
                  <w:r>
                    <w:rPr>
                      <w:rFonts w:hint="eastAsia" w:cs="Times New Roman"/>
                      <w:color w:val="auto"/>
                      <w:sz w:val="21"/>
                      <w:szCs w:val="21"/>
                      <w:lang w:val="en-US" w:eastAsia="zh-CN"/>
                    </w:rPr>
                    <w:t>“</w:t>
                  </w:r>
                  <w:r>
                    <w:rPr>
                      <w:rFonts w:hint="default" w:ascii="Times New Roman" w:hAnsi="Times New Roman" w:eastAsia="宋体" w:cs="Times New Roman"/>
                      <w:color w:val="auto"/>
                      <w:sz w:val="21"/>
                      <w:szCs w:val="21"/>
                      <w:lang w:val="en-US" w:eastAsia="zh-CN"/>
                    </w:rPr>
                    <w:t>以新带老</w:t>
                  </w:r>
                  <w:r>
                    <w:rPr>
                      <w:rFonts w:hint="eastAsia" w:cs="Times New Roman"/>
                      <w:color w:val="auto"/>
                      <w:sz w:val="21"/>
                      <w:szCs w:val="21"/>
                      <w:lang w:val="en-US" w:eastAsia="zh-CN"/>
                    </w:rPr>
                    <w:t>”</w:t>
                  </w:r>
                  <w:r>
                    <w:rPr>
                      <w:rFonts w:hint="default" w:ascii="Times New Roman" w:hAnsi="Times New Roman" w:eastAsia="宋体" w:cs="Times New Roman"/>
                      <w:color w:val="auto"/>
                      <w:sz w:val="21"/>
                      <w:szCs w:val="21"/>
                      <w:lang w:val="en-US" w:eastAsia="zh-CN"/>
                    </w:rPr>
                    <w:t>措施。</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本项目为新建项目</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11</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十一条按相关导则及规定要求,制定了水环境、生态等环境监测计划，明确了监测网点、因子、频次等有关要求，提出了开展环境影响后评价及根据监测评估结果优化环境保护措施的要求。根据需要和相关规定，提出了环境保护设计、开展相关科学研究、环境管理等要求。</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本次评价按相关导则及规定要求，制定了水环境、大气、声环境等环境监测计划，明确了监测网点、因子、频次等有关要求，提出了根据监测评估结果优化环境保护措施的要求</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2231"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12</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第十二条对环境保护措施进行了深入论证，建设单位主体责任、投资估算、时间节点、预期效果明确，确保科学有效、安全可行、绿色协调。</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本环评对环境保护措施进行了深入论证。建设单位主体责任、投资估算、时间节点、预期效果明确，确保科学有效、安全可行、绿色协调。</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bl>
          <w:p>
            <w:pPr>
              <w:pStyle w:val="74"/>
              <w:keepNext w:val="0"/>
              <w:keepLines w:val="0"/>
              <w:pageBreakBefore w:val="0"/>
              <w:widowControl w:val="0"/>
              <w:numPr>
                <w:ilvl w:val="0"/>
                <w:numId w:val="0"/>
              </w:numPr>
              <w:kinsoku/>
              <w:wordWrap/>
              <w:overflowPunct/>
              <w:topLinePunct w:val="0"/>
              <w:autoSpaceDE/>
              <w:autoSpaceDN/>
              <w:bidi w:val="0"/>
              <w:adjustRightInd w:val="0"/>
              <w:snapToGrid w:val="0"/>
              <w:ind w:firstLine="482" w:firstLineChars="200"/>
              <w:textAlignment w:val="auto"/>
              <w:rPr>
                <w:rFonts w:hint="eastAsia" w:hAnsi="宋体"/>
                <w:b/>
                <w:color w:val="auto"/>
                <w:lang w:val="en-US" w:eastAsia="zh-CN"/>
              </w:rPr>
            </w:pPr>
            <w:r>
              <w:rPr>
                <w:rFonts w:hint="eastAsia" w:ascii="Times New Roman" w:hAnsi="Times New Roman" w:cs="Times New Roman"/>
                <w:b/>
                <w:bCs/>
                <w:color w:val="auto"/>
                <w:sz w:val="24"/>
                <w:szCs w:val="24"/>
                <w:highlight w:val="none"/>
                <w:lang w:val="en-US" w:eastAsia="zh-CN"/>
              </w:rPr>
              <w:t>6</w:t>
            </w:r>
            <w:r>
              <w:rPr>
                <w:rFonts w:hint="eastAsia" w:ascii="Times New Roman" w:hAnsi="Times New Roman" w:eastAsia="宋体" w:cs="Times New Roman"/>
                <w:b/>
                <w:bCs/>
                <w:color w:val="auto"/>
                <w:sz w:val="24"/>
                <w:szCs w:val="24"/>
                <w:highlight w:val="none"/>
                <w:lang w:val="en-US" w:eastAsia="zh-CN"/>
              </w:rPr>
              <w:t>、与</w:t>
            </w:r>
            <w:r>
              <w:rPr>
                <w:rFonts w:hint="default" w:ascii="Times New Roman" w:hAnsi="Times New Roman" w:eastAsia="宋体" w:cs="Times New Roman"/>
                <w:b/>
                <w:bCs/>
                <w:color w:val="auto"/>
                <w:sz w:val="24"/>
                <w:szCs w:val="24"/>
                <w:highlight w:val="none"/>
                <w:lang w:val="en-US" w:eastAsia="zh-CN"/>
              </w:rPr>
              <w:t>《黄河流域综合规划（2012～2030）》</w:t>
            </w:r>
            <w:r>
              <w:rPr>
                <w:rFonts w:hint="eastAsia" w:ascii="Times New Roman" w:hAnsi="Times New Roman" w:eastAsia="宋体" w:cs="Times New Roman"/>
                <w:b/>
                <w:bCs/>
                <w:color w:val="auto"/>
                <w:sz w:val="24"/>
                <w:szCs w:val="24"/>
                <w:highlight w:val="none"/>
                <w:lang w:val="en-US" w:eastAsia="zh-CN"/>
              </w:rPr>
              <w:t>符合性分析</w:t>
            </w:r>
          </w:p>
          <w:p>
            <w:pPr>
              <w:pStyle w:val="74"/>
              <w:adjustRightInd w:val="0"/>
              <w:snapToGrid w:val="0"/>
              <w:rPr>
                <w:rFonts w:hint="eastAsia" w:ascii="Times New Roman" w:hAnsi="Times New Roman" w:eastAsia="宋体" w:cs="Times New Roman"/>
                <w:color w:val="auto"/>
                <w:kern w:val="0"/>
                <w:lang w:val="en-US" w:eastAsia="zh-CN"/>
              </w:rPr>
            </w:pPr>
            <w:r>
              <w:rPr>
                <w:rFonts w:hint="eastAsia" w:ascii="Times New Roman" w:hAnsi="Times New Roman" w:eastAsia="宋体" w:cs="Times New Roman"/>
                <w:color w:val="auto"/>
                <w:kern w:val="0"/>
                <w:lang w:val="en-US" w:eastAsia="zh-CN"/>
              </w:rPr>
              <w:t>《黄河流域综合规划（2012～2030）》中提出“要完善流域水沙调控和防洪减淤措施。加快古贤、东庄水利枢纽前期工作，深入论证黑山峡河段开发方案，构建以干流骨干水利枢纽为主体的水沙调控体系。加强下游干流堤防、河道整治、蓄滞洪区等工程建设，开展下游滩区和河口综合治理。加快上中游干流及支流重点河段防洪工程建设，继续实施病险水库（闸）除险加固、城市防洪工程建设和山洪地质灾害防治。完善水沙监测、洪水预报和水库调度决策支持系统等非工程措施。”</w:t>
            </w:r>
          </w:p>
          <w:p>
            <w:pPr>
              <w:pStyle w:val="74"/>
              <w:adjustRightInd w:val="0"/>
              <w:snapToGrid w:val="0"/>
              <w:rPr>
                <w:rFonts w:hint="default" w:ascii="Times New Roman" w:hAnsi="Times New Roman" w:eastAsia="宋体" w:cs="Times New Roman"/>
                <w:b/>
                <w:bCs/>
                <w:color w:val="auto"/>
                <w:sz w:val="24"/>
                <w:szCs w:val="24"/>
                <w:highlight w:val="none"/>
                <w:lang w:val="en-US" w:eastAsia="zh-CN"/>
              </w:rPr>
            </w:pPr>
            <w:r>
              <w:rPr>
                <w:rFonts w:hint="default" w:ascii="Times New Roman" w:hAnsi="Times New Roman" w:eastAsia="宋体" w:cs="Times New Roman"/>
                <w:color w:val="auto"/>
                <w:sz w:val="24"/>
                <w:lang w:val="en-US" w:eastAsia="zh-CN"/>
              </w:rPr>
              <w:t>本项目续建排洪通道，将洪水排泄至折腰沟主沟道，完善防洪工程布局，彻底解决项目保护区洪水侵害问题</w:t>
            </w:r>
            <w:r>
              <w:rPr>
                <w:rFonts w:hint="eastAsia" w:ascii="宋体" w:hAnsi="宋体" w:cs="宋体"/>
                <w:color w:val="auto"/>
                <w:kern w:val="0"/>
                <w:szCs w:val="24"/>
              </w:rPr>
              <w:t>。因此，本项目的建设符合</w:t>
            </w:r>
            <w:r>
              <w:rPr>
                <w:rFonts w:hint="eastAsia" w:ascii="Times New Roman" w:hAnsi="Times New Roman" w:eastAsia="宋体" w:cs="Times New Roman"/>
                <w:color w:val="auto"/>
                <w:kern w:val="0"/>
                <w:lang w:val="en-US" w:eastAsia="zh-CN"/>
              </w:rPr>
              <w:t>《黄河流域综合规划（2012～2030）》</w:t>
            </w:r>
            <w:r>
              <w:rPr>
                <w:rFonts w:hint="eastAsia" w:ascii="宋体" w:hAnsi="宋体" w:cs="宋体"/>
                <w:color w:val="auto"/>
                <w:kern w:val="0"/>
                <w:szCs w:val="24"/>
              </w:rPr>
              <w:t>要求。</w:t>
            </w:r>
          </w:p>
          <w:p>
            <w:pPr>
              <w:pStyle w:val="74"/>
              <w:keepNext w:val="0"/>
              <w:keepLines w:val="0"/>
              <w:pageBreakBefore w:val="0"/>
              <w:widowControl w:val="0"/>
              <w:numPr>
                <w:ilvl w:val="0"/>
                <w:numId w:val="0"/>
              </w:numPr>
              <w:kinsoku/>
              <w:wordWrap/>
              <w:overflowPunct/>
              <w:topLinePunct w:val="0"/>
              <w:autoSpaceDE/>
              <w:autoSpaceDN/>
              <w:bidi w:val="0"/>
              <w:adjustRightInd w:val="0"/>
              <w:snapToGrid w:val="0"/>
              <w:ind w:firstLine="482" w:firstLineChars="200"/>
              <w:textAlignment w:val="auto"/>
              <w:rPr>
                <w:rFonts w:hint="default" w:ascii="Times New Roman" w:hAnsi="Times New Roman" w:eastAsia="宋体" w:cs="Times New Roman"/>
                <w:b/>
                <w:bCs/>
                <w:color w:val="auto"/>
                <w:sz w:val="24"/>
                <w:szCs w:val="24"/>
                <w:highlight w:val="none"/>
                <w:lang w:val="en-US" w:eastAsia="zh-CN"/>
              </w:rPr>
            </w:pPr>
            <w:r>
              <w:rPr>
                <w:rFonts w:hint="eastAsia"/>
                <w:b/>
                <w:color w:val="auto"/>
                <w:lang w:val="en-US" w:eastAsia="zh-CN"/>
              </w:rPr>
              <w:t>7、</w:t>
            </w:r>
            <w:r>
              <w:rPr>
                <w:rFonts w:hint="eastAsia" w:hAnsi="宋体"/>
                <w:b/>
                <w:color w:val="auto"/>
                <w:lang w:val="en-US" w:eastAsia="zh-CN"/>
              </w:rPr>
              <w:t>与</w:t>
            </w:r>
            <w:r>
              <w:rPr>
                <w:rFonts w:hint="default" w:ascii="Times New Roman" w:hAnsi="Times New Roman" w:eastAsia="宋体" w:cs="Times New Roman"/>
                <w:b/>
                <w:bCs/>
                <w:color w:val="auto"/>
                <w:sz w:val="24"/>
                <w:szCs w:val="24"/>
                <w:highlight w:val="none"/>
                <w:lang w:val="en-US" w:eastAsia="zh-CN"/>
              </w:rPr>
              <w:t>《宁夏黄河流域生态保护和高质量发展先行区水利专项规划》</w:t>
            </w:r>
            <w:r>
              <w:rPr>
                <w:rFonts w:hint="eastAsia" w:ascii="Times New Roman" w:hAnsi="Times New Roman" w:eastAsia="宋体" w:cs="Times New Roman"/>
                <w:b/>
                <w:bCs/>
                <w:color w:val="auto"/>
                <w:sz w:val="24"/>
                <w:szCs w:val="24"/>
                <w:highlight w:val="none"/>
                <w:lang w:val="en-US" w:eastAsia="zh-CN"/>
              </w:rPr>
              <w:t>符合性分析</w:t>
            </w:r>
          </w:p>
          <w:p>
            <w:pPr>
              <w:pStyle w:val="74"/>
              <w:adjustRightInd w:val="0"/>
              <w:snapToGrid w:val="0"/>
              <w:rPr>
                <w:rFonts w:hint="eastAsia" w:ascii="Times New Roman" w:hAnsi="Times New Roman" w:eastAsia="宋体" w:cs="Times New Roman"/>
                <w:color w:val="auto"/>
                <w:kern w:val="0"/>
                <w:lang w:val="en-US" w:eastAsia="zh-CN"/>
              </w:rPr>
            </w:pPr>
            <w:r>
              <w:rPr>
                <w:rFonts w:hint="eastAsia" w:ascii="Times New Roman" w:hAnsi="Times New Roman" w:eastAsia="宋体" w:cs="Times New Roman"/>
                <w:color w:val="auto"/>
                <w:kern w:val="0"/>
                <w:lang w:val="en-US" w:eastAsia="zh-CN"/>
              </w:rPr>
              <w:t>《宁夏黄河流域生态保护和高质量发展先行区水利专项规划》中提出“开展中小河流提标治理。按照生态治河理念，以保证防洪排水安全为基础，结合水美乡村建设，打造宜居水环境。疏通中小河流防洪排水脉络，实施堤防护岸达标建设，注重保护河流的生态功能，积极探索有效的生态治理措施，妥善处理好防洪与生态的关系。维护河流自然形态，改善河流生境，实现“河畅、岸固、水清、景美”，维持河道行洪能力和生态环境功能。”</w:t>
            </w:r>
          </w:p>
          <w:p>
            <w:pPr>
              <w:pStyle w:val="74"/>
              <w:adjustRightInd w:val="0"/>
              <w:snapToGrid w:val="0"/>
              <w:rPr>
                <w:rFonts w:hint="eastAsia" w:ascii="宋体" w:hAnsi="宋体" w:cs="宋体"/>
                <w:color w:val="auto"/>
                <w:kern w:val="0"/>
                <w:szCs w:val="24"/>
              </w:rPr>
            </w:pPr>
            <w:r>
              <w:rPr>
                <w:rFonts w:hint="default" w:ascii="Times New Roman" w:hAnsi="Times New Roman" w:eastAsia="宋体" w:cs="Times New Roman"/>
                <w:color w:val="auto"/>
                <w:sz w:val="24"/>
                <w:lang w:val="en-US" w:eastAsia="zh-CN"/>
              </w:rPr>
              <w:t>本项目续建排洪通道，将洪水排泄至折腰沟主沟道，完善防洪工程布局，彻底解决项目保护区洪水侵害问题</w:t>
            </w:r>
            <w:r>
              <w:rPr>
                <w:rFonts w:hint="eastAsia" w:ascii="宋体" w:hAnsi="宋体" w:cs="宋体"/>
                <w:color w:val="auto"/>
                <w:kern w:val="0"/>
                <w:szCs w:val="24"/>
              </w:rPr>
              <w:t>。因此，本项目的建设符合</w:t>
            </w:r>
            <w:r>
              <w:rPr>
                <w:rFonts w:hint="eastAsia" w:ascii="Times New Roman" w:hAnsi="Times New Roman" w:eastAsia="宋体" w:cs="Times New Roman"/>
                <w:color w:val="auto"/>
                <w:kern w:val="0"/>
                <w:lang w:val="en-US" w:eastAsia="zh-CN"/>
              </w:rPr>
              <w:t>《宁夏黄河流域生态保护和高质量发展先行区水利专项规划》</w:t>
            </w:r>
            <w:r>
              <w:rPr>
                <w:rFonts w:hint="eastAsia" w:ascii="宋体" w:hAnsi="宋体" w:cs="宋体"/>
                <w:color w:val="auto"/>
                <w:kern w:val="0"/>
                <w:szCs w:val="24"/>
              </w:rPr>
              <w:t>要求。</w:t>
            </w:r>
          </w:p>
          <w:p>
            <w:pPr>
              <w:adjustRightInd w:val="0"/>
              <w:spacing w:line="360" w:lineRule="auto"/>
              <w:ind w:firstLine="482" w:firstLineChars="200"/>
              <w:rPr>
                <w:rFonts w:hint="default" w:ascii="Times New Roman" w:hAnsi="Times New Roman" w:cs="Times New Roman"/>
                <w:b/>
                <w:bCs/>
                <w:color w:val="auto"/>
                <w:sz w:val="24"/>
              </w:rPr>
            </w:pPr>
            <w:r>
              <w:rPr>
                <w:rFonts w:hint="eastAsia" w:cs="Times New Roman"/>
                <w:b/>
                <w:bCs/>
                <w:color w:val="auto"/>
                <w:sz w:val="24"/>
                <w:lang w:val="en-US" w:eastAsia="zh-CN"/>
              </w:rPr>
              <w:t>8</w:t>
            </w:r>
            <w:r>
              <w:rPr>
                <w:rFonts w:hint="default" w:ascii="Times New Roman" w:hAnsi="Times New Roman" w:cs="Times New Roman"/>
                <w:b/>
                <w:bCs/>
                <w:color w:val="auto"/>
                <w:sz w:val="24"/>
              </w:rPr>
              <w:t>、产业政策符合性</w:t>
            </w:r>
          </w:p>
          <w:p>
            <w:pPr>
              <w:adjustRightInd w:val="0"/>
              <w:spacing w:line="360" w:lineRule="auto"/>
              <w:ind w:firstLine="480" w:firstLineChars="200"/>
              <w:rPr>
                <w:rFonts w:hint="default" w:ascii="Times New Roman" w:hAnsi="Times New Roman" w:cs="Times New Roman"/>
                <w:color w:val="auto"/>
                <w:kern w:val="0"/>
                <w:szCs w:val="21"/>
              </w:rPr>
            </w:pPr>
            <w:r>
              <w:rPr>
                <w:rFonts w:hAnsi="宋体"/>
                <w:color w:val="auto"/>
                <w:sz w:val="24"/>
              </w:rPr>
              <w:t>本项目</w:t>
            </w:r>
            <w:r>
              <w:rPr>
                <w:rFonts w:hint="eastAsia" w:hAnsi="宋体"/>
                <w:color w:val="auto"/>
                <w:sz w:val="24"/>
              </w:rPr>
              <w:t>为</w:t>
            </w:r>
            <w:r>
              <w:rPr>
                <w:rFonts w:hint="default" w:ascii="Times New Roman" w:hAnsi="Times New Roman" w:eastAsia="宋体" w:cs="Times New Roman"/>
                <w:color w:val="auto"/>
                <w:kern w:val="2"/>
                <w:sz w:val="24"/>
                <w:szCs w:val="24"/>
                <w:lang w:val="en-US" w:eastAsia="zh-CN"/>
              </w:rPr>
              <w:t>同心县</w:t>
            </w:r>
            <w:r>
              <w:rPr>
                <w:rFonts w:hint="eastAsia" w:cs="Times New Roman"/>
                <w:color w:val="auto"/>
                <w:kern w:val="2"/>
                <w:sz w:val="24"/>
                <w:szCs w:val="24"/>
                <w:lang w:val="en-US" w:eastAsia="zh-CN"/>
              </w:rPr>
              <w:t>张家塬</w:t>
            </w:r>
            <w:r>
              <w:rPr>
                <w:rFonts w:hint="default" w:ascii="Times New Roman" w:hAnsi="Times New Roman" w:eastAsia="宋体" w:cs="Times New Roman"/>
                <w:color w:val="auto"/>
                <w:kern w:val="2"/>
                <w:sz w:val="24"/>
                <w:szCs w:val="24"/>
                <w:lang w:val="en-US" w:eastAsia="zh-CN"/>
              </w:rPr>
              <w:t>乡折腰沟村内涝外排工程（二期）</w:t>
            </w:r>
            <w:r>
              <w:rPr>
                <w:rFonts w:hint="eastAsia" w:hAnsi="宋体"/>
                <w:color w:val="auto"/>
                <w:sz w:val="24"/>
              </w:rPr>
              <w:t>，</w:t>
            </w:r>
            <w:r>
              <w:rPr>
                <w:rFonts w:hAnsi="宋体"/>
                <w:color w:val="auto"/>
                <w:sz w:val="24"/>
              </w:rPr>
              <w:t>根据</w:t>
            </w:r>
            <w:r>
              <w:rPr>
                <w:rFonts w:hAnsi="宋体"/>
                <w:snapToGrid w:val="0"/>
                <w:color w:val="auto"/>
                <w:sz w:val="24"/>
              </w:rPr>
              <w:t>《产业结构调整指导目录</w:t>
            </w:r>
            <w:r>
              <w:rPr>
                <w:rFonts w:hint="eastAsia" w:hAnsi="宋体"/>
                <w:snapToGrid w:val="0"/>
                <w:color w:val="auto"/>
                <w:sz w:val="24"/>
                <w:lang w:eastAsia="zh-CN"/>
              </w:rPr>
              <w:t>（</w:t>
            </w:r>
            <w:r>
              <w:rPr>
                <w:rFonts w:hint="eastAsia"/>
                <w:snapToGrid w:val="0"/>
                <w:color w:val="auto"/>
                <w:sz w:val="24"/>
                <w:lang w:val="en-US" w:eastAsia="zh-CN"/>
              </w:rPr>
              <w:t>2024</w:t>
            </w:r>
            <w:r>
              <w:rPr>
                <w:rFonts w:hAnsi="宋体"/>
                <w:snapToGrid w:val="0"/>
                <w:color w:val="auto"/>
                <w:sz w:val="24"/>
              </w:rPr>
              <w:t>年本</w:t>
            </w:r>
            <w:r>
              <w:rPr>
                <w:rFonts w:hint="eastAsia" w:hAnsi="宋体"/>
                <w:snapToGrid w:val="0"/>
                <w:color w:val="auto"/>
                <w:sz w:val="24"/>
                <w:lang w:eastAsia="zh-CN"/>
              </w:rPr>
              <w:t>）</w:t>
            </w:r>
            <w:r>
              <w:rPr>
                <w:rFonts w:hAnsi="宋体"/>
                <w:snapToGrid w:val="0"/>
                <w:color w:val="auto"/>
                <w:sz w:val="24"/>
              </w:rPr>
              <w:t>》</w:t>
            </w:r>
            <w:r>
              <w:rPr>
                <w:rFonts w:hint="eastAsia" w:hAnsi="宋体"/>
                <w:snapToGrid w:val="0"/>
                <w:color w:val="auto"/>
                <w:sz w:val="24"/>
                <w:lang w:eastAsia="zh-CN"/>
              </w:rPr>
              <w:t>鼓励类中</w:t>
            </w:r>
            <w:r>
              <w:rPr>
                <w:rFonts w:hint="eastAsia"/>
                <w:color w:val="auto"/>
                <w:sz w:val="24"/>
              </w:rPr>
              <w:t>“</w:t>
            </w:r>
            <w:r>
              <w:rPr>
                <w:rFonts w:hAnsi="宋体"/>
                <w:color w:val="auto"/>
                <w:sz w:val="24"/>
              </w:rPr>
              <w:t>二</w:t>
            </w:r>
            <w:r>
              <w:rPr>
                <w:rFonts w:hint="eastAsia" w:hAnsi="宋体"/>
                <w:color w:val="auto"/>
                <w:sz w:val="24"/>
              </w:rPr>
              <w:t>水利</w:t>
            </w:r>
            <w:r>
              <w:rPr>
                <w:rFonts w:hAnsi="宋体"/>
                <w:color w:val="auto"/>
                <w:sz w:val="24"/>
              </w:rPr>
              <w:t>中</w:t>
            </w:r>
            <w:r>
              <w:rPr>
                <w:rFonts w:hint="eastAsia" w:hAnsi="宋体"/>
                <w:color w:val="auto"/>
                <w:sz w:val="24"/>
                <w:lang w:val="en-US" w:eastAsia="zh-CN"/>
              </w:rPr>
              <w:t>3.防洪提升工程</w:t>
            </w:r>
            <w:r>
              <w:rPr>
                <w:rFonts w:hint="eastAsia"/>
                <w:color w:val="auto"/>
                <w:sz w:val="24"/>
              </w:rPr>
              <w:t>”</w:t>
            </w:r>
            <w:r>
              <w:rPr>
                <w:rFonts w:hAnsi="宋体"/>
                <w:color w:val="auto"/>
                <w:sz w:val="24"/>
              </w:rPr>
              <w:t>，</w:t>
            </w:r>
            <w:r>
              <w:rPr>
                <w:rFonts w:hint="eastAsia" w:hAnsi="宋体"/>
                <w:color w:val="auto"/>
                <w:sz w:val="24"/>
                <w:lang w:eastAsia="zh-CN"/>
              </w:rPr>
              <w:t>则本项目</w:t>
            </w:r>
            <w:r>
              <w:rPr>
                <w:rFonts w:hint="eastAsia" w:hAnsi="宋体"/>
                <w:color w:val="auto"/>
                <w:sz w:val="24"/>
              </w:rPr>
              <w:t>为鼓励类项目</w:t>
            </w:r>
            <w:r>
              <w:rPr>
                <w:rFonts w:hint="default" w:ascii="Times New Roman" w:hAnsi="Times New Roman" w:cs="Times New Roman"/>
                <w:color w:val="auto"/>
                <w:sz w:val="24"/>
              </w:rPr>
              <w:t>。因此</w:t>
            </w:r>
            <w:r>
              <w:rPr>
                <w:rFonts w:hint="eastAsia" w:cs="Times New Roman"/>
                <w:color w:val="auto"/>
                <w:sz w:val="24"/>
                <w:lang w:eastAsia="zh-CN"/>
              </w:rPr>
              <w:t>，</w:t>
            </w:r>
            <w:r>
              <w:rPr>
                <w:rFonts w:hint="default" w:ascii="Times New Roman" w:hAnsi="Times New Roman" w:cs="Times New Roman"/>
                <w:color w:val="auto"/>
                <w:sz w:val="24"/>
              </w:rPr>
              <w:t>本项目的建设符合国家相关产业政策要求。</w:t>
            </w:r>
          </w:p>
        </w:tc>
      </w:tr>
    </w:tbl>
    <w:p>
      <w:pPr>
        <w:spacing w:line="360" w:lineRule="auto"/>
        <w:rPr>
          <w:rFonts w:hint="default" w:ascii="Times New Roman" w:hAnsi="Times New Roman" w:eastAsia="黑体" w:cs="Times New Roman"/>
          <w:color w:val="auto"/>
          <w:sz w:val="30"/>
        </w:rPr>
        <w:sectPr>
          <w:footerReference r:id="rId5" w:type="default"/>
          <w:pgSz w:w="11906" w:h="16838"/>
          <w:pgMar w:top="1701" w:right="1531" w:bottom="1701" w:left="1531" w:header="851" w:footer="1077" w:gutter="0"/>
          <w:pgBorders>
            <w:top w:val="none" w:sz="0" w:space="0"/>
            <w:left w:val="none" w:sz="0" w:space="0"/>
            <w:bottom w:val="none" w:sz="0" w:space="0"/>
            <w:right w:val="none" w:sz="0" w:space="0"/>
          </w:pgBorders>
          <w:pgNumType w:start="1"/>
          <w:cols w:space="720" w:num="1"/>
          <w:docGrid w:linePitch="312" w:charSpace="0"/>
        </w:sectPr>
      </w:pPr>
    </w:p>
    <w:p>
      <w:pPr>
        <w:pStyle w:val="20"/>
        <w:jc w:val="center"/>
        <w:outlineLvl w:val="0"/>
        <w:rPr>
          <w:rFonts w:hint="default" w:ascii="Times New Roman" w:hAnsi="Times New Roman" w:eastAsia="黑体" w:cs="Times New Roman"/>
          <w:snapToGrid w:val="0"/>
          <w:color w:val="auto"/>
          <w:sz w:val="30"/>
          <w:szCs w:val="30"/>
        </w:rPr>
      </w:pPr>
      <w:bookmarkStart w:id="6" w:name="_Toc25281"/>
      <w:r>
        <w:rPr>
          <w:rFonts w:hint="default" w:ascii="Times New Roman" w:hAnsi="Times New Roman" w:eastAsia="黑体" w:cs="Times New Roman"/>
          <w:snapToGrid w:val="0"/>
          <w:color w:val="auto"/>
          <w:sz w:val="30"/>
          <w:szCs w:val="30"/>
        </w:rPr>
        <w:t>二、建设内容</w:t>
      </w:r>
      <w:bookmarkEnd w:id="6"/>
    </w:p>
    <w:tbl>
      <w:tblPr>
        <w:tblStyle w:val="24"/>
        <w:tblW w:w="852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04"/>
        <w:gridCol w:w="771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97" w:hRule="atLeast"/>
          <w:jc w:val="center"/>
        </w:trPr>
        <w:tc>
          <w:tcPr>
            <w:tcW w:w="804"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地理位置</w:t>
            </w:r>
          </w:p>
        </w:tc>
        <w:tc>
          <w:tcPr>
            <w:tcW w:w="7718" w:type="dxa"/>
            <w:vAlign w:val="center"/>
          </w:tcPr>
          <w:p>
            <w:pPr>
              <w:pStyle w:val="8"/>
              <w:spacing w:before="0" w:after="0" w:line="360" w:lineRule="auto"/>
              <w:ind w:right="0" w:firstLine="480" w:firstLineChars="200"/>
              <w:rPr>
                <w:rFonts w:hint="default" w:ascii="Times New Roman" w:hAnsi="Times New Roman" w:cs="Times New Roman"/>
                <w:color w:val="auto"/>
                <w:kern w:val="0"/>
                <w:szCs w:val="21"/>
              </w:rPr>
            </w:pPr>
            <w:r>
              <w:rPr>
                <w:rFonts w:hint="eastAsia" w:cs="Times New Roman"/>
                <w:color w:val="auto"/>
                <w:kern w:val="2"/>
                <w:sz w:val="24"/>
                <w:szCs w:val="24"/>
                <w:lang w:val="en-US" w:eastAsia="zh-CN"/>
              </w:rPr>
              <w:t>本</w:t>
            </w:r>
            <w:r>
              <w:rPr>
                <w:rFonts w:hint="default" w:ascii="Times New Roman" w:hAnsi="Times New Roman" w:eastAsia="宋体" w:cs="Times New Roman"/>
                <w:color w:val="auto"/>
                <w:kern w:val="2"/>
                <w:sz w:val="24"/>
                <w:szCs w:val="24"/>
                <w:lang w:val="en-US" w:eastAsia="zh-CN"/>
              </w:rPr>
              <w:t>项目位于吴忠市同心县</w:t>
            </w:r>
            <w:r>
              <w:rPr>
                <w:rFonts w:hint="eastAsia" w:cs="Times New Roman"/>
                <w:color w:val="auto"/>
                <w:kern w:val="2"/>
                <w:sz w:val="24"/>
                <w:szCs w:val="24"/>
                <w:lang w:val="en-US" w:eastAsia="zh-CN"/>
              </w:rPr>
              <w:t>张家塬</w:t>
            </w:r>
            <w:r>
              <w:rPr>
                <w:rFonts w:hint="default" w:ascii="Times New Roman" w:hAnsi="Times New Roman" w:eastAsia="宋体" w:cs="Times New Roman"/>
                <w:color w:val="auto"/>
                <w:kern w:val="2"/>
                <w:sz w:val="24"/>
                <w:szCs w:val="24"/>
                <w:lang w:val="en-US" w:eastAsia="zh-CN"/>
              </w:rPr>
              <w:t>乡折腰沟村</w:t>
            </w:r>
            <w:r>
              <w:rPr>
                <w:rFonts w:hint="eastAsia" w:ascii="Times New Roman" w:hAnsi="Times New Roman" w:eastAsia="宋体" w:cs="Times New Roman"/>
                <w:color w:val="auto"/>
                <w:kern w:val="2"/>
                <w:sz w:val="24"/>
                <w:szCs w:val="24"/>
                <w:lang w:val="en-US" w:eastAsia="zh-CN"/>
              </w:rPr>
              <w:t>南侧300m处</w:t>
            </w:r>
            <w:r>
              <w:rPr>
                <w:rFonts w:hint="eastAsia" w:cs="Times New Roman"/>
                <w:color w:val="auto"/>
                <w:kern w:val="2"/>
                <w:sz w:val="24"/>
                <w:szCs w:val="24"/>
                <w:lang w:val="en-US" w:eastAsia="zh-CN"/>
              </w:rPr>
              <w:t>，项目地理位置见附图6</w:t>
            </w:r>
            <w:r>
              <w:rPr>
                <w:rFonts w:hint="default" w:ascii="Times New Roman" w:hAnsi="Times New Roman" w:eastAsia="宋体" w:cs="Times New Roman"/>
                <w:color w:val="auto"/>
                <w:kern w:val="2"/>
                <w:sz w:val="24"/>
                <w:szCs w:val="24"/>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17" w:hRule="atLeast"/>
          <w:jc w:val="center"/>
        </w:trPr>
        <w:tc>
          <w:tcPr>
            <w:tcW w:w="804"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项目组成及规模</w:t>
            </w:r>
          </w:p>
        </w:tc>
        <w:tc>
          <w:tcPr>
            <w:tcW w:w="7718"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cs="Times New Roman"/>
                <w:b/>
                <w:bCs/>
                <w:color w:val="auto"/>
                <w:kern w:val="0"/>
                <w:sz w:val="24"/>
                <w:lang w:val="en-US" w:eastAsia="zh-CN"/>
              </w:rPr>
            </w:pPr>
            <w:r>
              <w:rPr>
                <w:rFonts w:hint="eastAsia" w:cs="Times New Roman"/>
                <w:b/>
                <w:bCs/>
                <w:color w:val="auto"/>
                <w:kern w:val="0"/>
                <w:sz w:val="24"/>
                <w:lang w:val="en-US" w:eastAsia="zh-CN"/>
              </w:rPr>
              <w:t>一、项目背景及必要性</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lang w:val="en-US" w:eastAsia="zh-CN"/>
              </w:rPr>
              <w:t>1、项目</w:t>
            </w:r>
            <w:r>
              <w:rPr>
                <w:rFonts w:hint="eastAsia" w:cs="Times New Roman"/>
                <w:b/>
                <w:bCs/>
                <w:color w:val="auto"/>
                <w:kern w:val="0"/>
                <w:sz w:val="24"/>
                <w:lang w:val="en-US" w:eastAsia="zh-CN"/>
              </w:rPr>
              <w:t>背景</w:t>
            </w:r>
          </w:p>
          <w:p>
            <w:pPr>
              <w:pStyle w:val="8"/>
              <w:spacing w:before="0" w:after="0" w:line="360" w:lineRule="auto"/>
              <w:ind w:right="0" w:firstLine="480" w:firstLineChars="200"/>
              <w:rPr>
                <w:rFonts w:hint="default" w:ascii="Times New Roman" w:hAnsi="Times New Roman" w:eastAsia="宋体" w:cs="Times New Roman"/>
                <w:color w:val="auto"/>
                <w:kern w:val="2"/>
                <w:sz w:val="24"/>
                <w:szCs w:val="24"/>
                <w:lang w:val="en-US" w:eastAsia="zh-CN"/>
              </w:rPr>
            </w:pPr>
            <w:r>
              <w:rPr>
                <w:rFonts w:hint="default" w:ascii="Times New Roman" w:hAnsi="Times New Roman" w:eastAsia="宋体" w:cs="Times New Roman"/>
                <w:color w:val="auto"/>
                <w:kern w:val="2"/>
                <w:sz w:val="24"/>
                <w:szCs w:val="24"/>
                <w:lang w:val="en-US" w:eastAsia="zh-CN"/>
              </w:rPr>
              <w:t>本工程位于同心县折腰沟村南侧约300m处的村内生产路交汇处冲沟，冲沟顶高程1527.60m，冲沟底高程1469.40m（至折腰沟主沟），项目区已于2022年实施“同心县张家塬乡折腰沟村内涝外排工程”（以下简称一期工程），该工程主要建设内容为：改造混凝土路面129m，修筑路面导水墙232m，建设排洪槽104.5m（排洪槽末端至冲沟二级台地，末端高程1504.65m），沟道防护30m，整治冲沟地形4367m</w:t>
            </w:r>
            <w:r>
              <w:rPr>
                <w:rFonts w:hint="default" w:ascii="Times New Roman" w:hAnsi="Times New Roman" w:eastAsia="宋体" w:cs="Times New Roman"/>
                <w:color w:val="auto"/>
                <w:kern w:val="2"/>
                <w:sz w:val="24"/>
                <w:szCs w:val="24"/>
                <w:vertAlign w:val="superscript"/>
                <w:lang w:val="en-US" w:eastAsia="zh-CN"/>
              </w:rPr>
              <w:t>2</w:t>
            </w:r>
            <w:r>
              <w:rPr>
                <w:rFonts w:hint="default" w:ascii="Times New Roman" w:hAnsi="Times New Roman" w:eastAsia="宋体" w:cs="Times New Roman"/>
                <w:color w:val="auto"/>
                <w:kern w:val="2"/>
                <w:sz w:val="24"/>
                <w:szCs w:val="24"/>
                <w:lang w:val="en-US" w:eastAsia="zh-CN"/>
              </w:rPr>
              <w:t>。通过一期工程的实施，目前，大部分洪水可以汇集至排洪槽，下泄至已建工程末端，通过现状下游冲沟排至折腰沟，减轻了洪水对折腰沟村居民生产生活的威胁。但是，由于一期工程投资来源为乡村振兴衔接资金，为限额设计，工程仅建设至冲沟内二级台地，高差23m，而冲沟总高差58m，已建工程末端仍为高差约30m的窄深式冲沟，存在进一步淘刷风险，已建工程未能彻底解决洪水入沟问题。</w:t>
            </w:r>
          </w:p>
          <w:p>
            <w:pPr>
              <w:pStyle w:val="8"/>
              <w:spacing w:before="0" w:after="0" w:line="360" w:lineRule="auto"/>
              <w:ind w:right="0" w:firstLine="480" w:firstLineChars="200"/>
              <w:rPr>
                <w:rFonts w:hint="default" w:ascii="Times New Roman" w:hAnsi="Times New Roman" w:eastAsia="宋体" w:cs="Times New Roman"/>
                <w:color w:val="auto"/>
                <w:kern w:val="2"/>
                <w:sz w:val="24"/>
                <w:szCs w:val="24"/>
                <w:lang w:val="en-US" w:eastAsia="zh-CN"/>
              </w:rPr>
            </w:pPr>
            <w:r>
              <w:rPr>
                <w:rFonts w:hint="default" w:ascii="Times New Roman" w:hAnsi="Times New Roman" w:eastAsia="宋体" w:cs="Times New Roman"/>
                <w:color w:val="auto"/>
                <w:kern w:val="2"/>
                <w:sz w:val="24"/>
                <w:szCs w:val="24"/>
                <w:lang w:val="en-US" w:eastAsia="zh-CN"/>
              </w:rPr>
              <w:t>经现场查勘，在经历了2022年几次洪水之后，工程末端冲沟进一步向上游侵蚀，部分已建格宾护底已出现塌落现象，若继续蔓延，将危及上游消力池及排洪槽安全。因此，本项目在已建工程基础上，在现状消力池末端续建排洪槽至冲沟底，将洪水排泄至折腰沟主沟道，完善防洪工程布局，彻底解决项目区洪水侵害问题，切实保障当地居民的生产生活安全。</w:t>
            </w:r>
          </w:p>
          <w:p>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ind w:firstLine="482" w:firstLineChars="200"/>
              <w:textAlignment w:val="auto"/>
              <w:rPr>
                <w:rFonts w:hint="eastAsia" w:cs="Times New Roman"/>
                <w:b/>
                <w:bCs/>
                <w:color w:val="auto"/>
                <w:kern w:val="0"/>
                <w:sz w:val="24"/>
                <w:lang w:val="en-US" w:eastAsia="zh-CN"/>
              </w:rPr>
            </w:pPr>
            <w:r>
              <w:rPr>
                <w:rFonts w:hint="eastAsia" w:cs="Times New Roman"/>
                <w:b/>
                <w:bCs/>
                <w:color w:val="auto"/>
                <w:kern w:val="0"/>
                <w:sz w:val="24"/>
                <w:lang w:val="en-US" w:eastAsia="zh-CN"/>
              </w:rPr>
              <w:t>工程现状</w:t>
            </w:r>
          </w:p>
          <w:p>
            <w:pPr>
              <w:pStyle w:val="8"/>
              <w:spacing w:before="0" w:after="0" w:line="360" w:lineRule="auto"/>
              <w:ind w:right="0" w:firstLine="480" w:firstLineChars="200"/>
              <w:rPr>
                <w:rFonts w:hint="default" w:ascii="Times New Roman" w:hAnsi="Times New Roman" w:eastAsia="宋体" w:cs="Times New Roman"/>
                <w:color w:val="auto"/>
                <w:kern w:val="2"/>
                <w:sz w:val="24"/>
                <w:szCs w:val="24"/>
                <w:lang w:val="en-US" w:eastAsia="zh-CN"/>
              </w:rPr>
            </w:pPr>
            <w:r>
              <w:rPr>
                <w:rFonts w:hint="default" w:ascii="Times New Roman" w:hAnsi="Times New Roman" w:eastAsia="宋体" w:cs="Times New Roman"/>
                <w:color w:val="auto"/>
                <w:kern w:val="2"/>
                <w:sz w:val="24"/>
                <w:szCs w:val="24"/>
                <w:lang w:val="en-US" w:eastAsia="zh-CN"/>
              </w:rPr>
              <w:t>根据现场调查，同心县</w:t>
            </w:r>
            <w:r>
              <w:rPr>
                <w:rFonts w:hint="eastAsia" w:cs="Times New Roman"/>
                <w:color w:val="auto"/>
                <w:kern w:val="2"/>
                <w:sz w:val="24"/>
                <w:szCs w:val="24"/>
                <w:lang w:val="en-US" w:eastAsia="zh-CN"/>
              </w:rPr>
              <w:t>张家塬</w:t>
            </w:r>
            <w:r>
              <w:rPr>
                <w:rFonts w:hint="default" w:ascii="Times New Roman" w:hAnsi="Times New Roman" w:eastAsia="宋体" w:cs="Times New Roman"/>
                <w:color w:val="auto"/>
                <w:kern w:val="2"/>
                <w:sz w:val="24"/>
                <w:szCs w:val="24"/>
                <w:lang w:val="en-US" w:eastAsia="zh-CN"/>
              </w:rPr>
              <w:t>乡折腰沟村内涝外排工程存在以下病险问题：</w:t>
            </w:r>
          </w:p>
          <w:p>
            <w:pPr>
              <w:pStyle w:val="8"/>
              <w:spacing w:before="0" w:after="0" w:line="360" w:lineRule="auto"/>
              <w:ind w:right="0" w:firstLine="480" w:firstLineChars="200"/>
              <w:rPr>
                <w:rFonts w:hint="default" w:ascii="Times New Roman" w:hAnsi="Times New Roman" w:eastAsia="宋体" w:cs="Times New Roman"/>
                <w:color w:val="auto"/>
                <w:kern w:val="2"/>
                <w:sz w:val="24"/>
                <w:szCs w:val="24"/>
                <w:lang w:val="en-US" w:eastAsia="zh-CN"/>
              </w:rPr>
            </w:pPr>
            <w:r>
              <w:rPr>
                <w:rFonts w:hint="default" w:ascii="Times New Roman" w:hAnsi="Times New Roman" w:eastAsia="宋体" w:cs="Times New Roman"/>
                <w:color w:val="auto"/>
                <w:kern w:val="2"/>
                <w:sz w:val="24"/>
                <w:szCs w:val="24"/>
                <w:lang w:val="en-US" w:eastAsia="zh-CN"/>
              </w:rPr>
              <w:t>（1）虽然一期工程打通了洪水入沟通道，减轻了洪水对折腰沟村居民生产生活的威胁，但是防洪工程布局不完善，未能彻底解决洪水入沟问题。</w:t>
            </w:r>
          </w:p>
          <w:p>
            <w:pPr>
              <w:pStyle w:val="8"/>
              <w:spacing w:before="0" w:after="0" w:line="360" w:lineRule="auto"/>
              <w:ind w:right="0" w:firstLine="480" w:firstLineChars="200"/>
              <w:rPr>
                <w:rFonts w:hint="default" w:ascii="Times New Roman" w:hAnsi="Times New Roman" w:eastAsia="宋体" w:cs="Times New Roman"/>
                <w:color w:val="auto"/>
                <w:kern w:val="2"/>
                <w:sz w:val="24"/>
                <w:szCs w:val="24"/>
                <w:lang w:val="en-US" w:eastAsia="zh-CN"/>
              </w:rPr>
            </w:pPr>
            <w:r>
              <w:rPr>
                <w:rFonts w:hint="default" w:ascii="Times New Roman" w:hAnsi="Times New Roman" w:eastAsia="宋体" w:cs="Times New Roman"/>
                <w:color w:val="auto"/>
                <w:kern w:val="2"/>
                <w:sz w:val="24"/>
                <w:szCs w:val="24"/>
                <w:lang w:val="en-US" w:eastAsia="zh-CN"/>
              </w:rPr>
              <w:t>（2）一期工程结束位置为冲沟内二级台地，未接入折腰沟主沟，工程末端仍存在高差约30m窄深式冲沟，两岸边坡陡峭，现状冲沟进一步向上游侵蚀，部分已建格宾护底已出现塌落现象，若继续蔓延，将危及上游已建消力池及排洪槽安全，影响防洪工程正常使用。</w:t>
            </w:r>
          </w:p>
          <w:p>
            <w:pPr>
              <w:pStyle w:val="8"/>
              <w:spacing w:before="0" w:after="0" w:line="360" w:lineRule="auto"/>
              <w:ind w:right="0" w:firstLine="480" w:firstLineChars="200"/>
              <w:rPr>
                <w:rFonts w:hint="default" w:ascii="Times New Roman" w:hAnsi="Times New Roman" w:eastAsia="宋体" w:cs="Times New Roman"/>
                <w:color w:val="auto"/>
                <w:kern w:val="2"/>
                <w:sz w:val="24"/>
                <w:szCs w:val="24"/>
                <w:lang w:val="en-US" w:eastAsia="zh-CN"/>
              </w:rPr>
            </w:pPr>
            <w:r>
              <w:rPr>
                <w:rFonts w:hint="default" w:ascii="Times New Roman" w:hAnsi="Times New Roman" w:eastAsia="宋体" w:cs="Times New Roman"/>
                <w:color w:val="auto"/>
                <w:kern w:val="2"/>
                <w:sz w:val="24"/>
                <w:szCs w:val="24"/>
                <w:lang w:val="en-US" w:eastAsia="zh-CN"/>
              </w:rPr>
              <w:t>因此，通过本项目的实施，在一期工程基础上，续建排洪通道，将洪水排泄至折腰沟主沟道，完善防洪工程布局，满足10年一遇标准洪水安全下泄，彻底解决项目保护区洪水侵害问题，减轻洪水对折腰沟村居民生产生活的威胁、为社会经济发展提供安全保障。</w:t>
            </w:r>
          </w:p>
          <w:tbl>
            <w:tblPr>
              <w:tblStyle w:val="25"/>
              <w:tblW w:w="753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769"/>
              <w:gridCol w:w="377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351" w:hRule="atLeast"/>
                <w:jc w:val="center"/>
              </w:trPr>
              <w:tc>
                <w:tcPr>
                  <w:tcW w:w="3769" w:type="dxa"/>
                  <w:tcBorders>
                    <w:tl2br w:val="nil"/>
                    <w:tr2bl w:val="nil"/>
                  </w:tcBorders>
                </w:tcPr>
                <w:p>
                  <w:pPr>
                    <w:pStyle w:val="8"/>
                    <w:numPr>
                      <w:ilvl w:val="0"/>
                      <w:numId w:val="0"/>
                    </w:numPr>
                    <w:ind w:right="113" w:rightChars="0"/>
                    <w:rPr>
                      <w:rFonts w:hint="default"/>
                      <w:color w:val="auto"/>
                      <w:vertAlign w:val="baseline"/>
                      <w:lang w:val="en-US" w:eastAsia="zh-CN"/>
                    </w:rPr>
                  </w:pPr>
                  <w:r>
                    <w:rPr>
                      <w:rFonts w:hint="eastAsia" w:eastAsia="宋体"/>
                      <w:color w:val="auto"/>
                      <w:highlight w:val="none"/>
                      <w:lang w:eastAsia="zh-CN"/>
                    </w:rPr>
                    <w:drawing>
                      <wp:inline distT="0" distB="0" distL="114300" distR="114300">
                        <wp:extent cx="2523490" cy="1944370"/>
                        <wp:effectExtent l="0" t="0" r="10160" b="17780"/>
                        <wp:docPr id="18" name="图片 9" descr="微信图片_20230201095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9" descr="微信图片_20230201095708"/>
                                <pic:cNvPicPr>
                                  <a:picLocks noChangeAspect="1"/>
                                </pic:cNvPicPr>
                              </pic:nvPicPr>
                              <pic:blipFill>
                                <a:blip r:embed="rId7"/>
                                <a:srcRect t="16266" b="6551"/>
                                <a:stretch>
                                  <a:fillRect/>
                                </a:stretch>
                              </pic:blipFill>
                              <pic:spPr>
                                <a:xfrm>
                                  <a:off x="0" y="0"/>
                                  <a:ext cx="2523490" cy="1944370"/>
                                </a:xfrm>
                                <a:prstGeom prst="rect">
                                  <a:avLst/>
                                </a:prstGeom>
                                <a:noFill/>
                                <a:ln>
                                  <a:noFill/>
                                </a:ln>
                              </pic:spPr>
                            </pic:pic>
                          </a:graphicData>
                        </a:graphic>
                      </wp:inline>
                    </w:drawing>
                  </w:r>
                </w:p>
              </w:tc>
              <w:tc>
                <w:tcPr>
                  <w:tcW w:w="3770" w:type="dxa"/>
                  <w:tcBorders>
                    <w:tl2br w:val="nil"/>
                    <w:tr2bl w:val="nil"/>
                  </w:tcBorders>
                </w:tcPr>
                <w:p>
                  <w:pPr>
                    <w:pStyle w:val="8"/>
                    <w:numPr>
                      <w:ilvl w:val="0"/>
                      <w:numId w:val="0"/>
                    </w:numPr>
                    <w:ind w:right="113" w:rightChars="0"/>
                    <w:rPr>
                      <w:rFonts w:hint="default"/>
                      <w:color w:val="auto"/>
                      <w:vertAlign w:val="baseline"/>
                      <w:lang w:val="en-US" w:eastAsia="zh-CN"/>
                    </w:rPr>
                  </w:pPr>
                  <w:r>
                    <w:rPr>
                      <w:rFonts w:hint="eastAsia" w:eastAsia="黑体"/>
                      <w:color w:val="auto"/>
                      <w:highlight w:val="none"/>
                      <w:lang w:eastAsia="zh-CN"/>
                    </w:rPr>
                    <w:drawing>
                      <wp:inline distT="0" distB="0" distL="114300" distR="114300">
                        <wp:extent cx="2541905" cy="1933575"/>
                        <wp:effectExtent l="0" t="0" r="10795" b="9525"/>
                        <wp:docPr id="20" name="图片 10" descr="微信图片_20230201095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0" descr="微信图片_20230201095718"/>
                                <pic:cNvPicPr>
                                  <a:picLocks noChangeAspect="1"/>
                                </pic:cNvPicPr>
                              </pic:nvPicPr>
                              <pic:blipFill>
                                <a:blip r:embed="rId8"/>
                                <a:srcRect t="8507"/>
                                <a:stretch>
                                  <a:fillRect/>
                                </a:stretch>
                              </pic:blipFill>
                              <pic:spPr>
                                <a:xfrm>
                                  <a:off x="0" y="0"/>
                                  <a:ext cx="2541905" cy="1933575"/>
                                </a:xfrm>
                                <a:prstGeom prst="rect">
                                  <a:avLst/>
                                </a:prstGeom>
                                <a:noFill/>
                                <a:ln>
                                  <a:noFill/>
                                </a:ln>
                              </pic:spPr>
                            </pic:pic>
                          </a:graphicData>
                        </a:graphic>
                      </wp:inline>
                    </w:drawing>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3769" w:type="dxa"/>
                  <w:tcBorders>
                    <w:tl2br w:val="nil"/>
                    <w:tr2bl w:val="nil"/>
                  </w:tcBorders>
                  <w:vAlign w:val="center"/>
                </w:tcPr>
                <w:p>
                  <w:pPr>
                    <w:pStyle w:val="8"/>
                    <w:keepNext w:val="0"/>
                    <w:keepLines w:val="0"/>
                    <w:pageBreakBefore w:val="0"/>
                    <w:widowControl/>
                    <w:numPr>
                      <w:ilvl w:val="0"/>
                      <w:numId w:val="0"/>
                    </w:numPr>
                    <w:kinsoku/>
                    <w:wordWrap/>
                    <w:overflowPunct/>
                    <w:topLinePunct w:val="0"/>
                    <w:autoSpaceDE/>
                    <w:autoSpaceDN/>
                    <w:bidi w:val="0"/>
                    <w:adjustRightInd/>
                    <w:snapToGrid w:val="0"/>
                    <w:spacing w:before="0" w:after="0" w:line="240" w:lineRule="auto"/>
                    <w:ind w:right="0" w:rightChars="0"/>
                    <w:jc w:val="center"/>
                    <w:textAlignment w:val="auto"/>
                    <w:rPr>
                      <w:rFonts w:hint="default"/>
                      <w:color w:val="auto"/>
                      <w:vertAlign w:val="baseline"/>
                      <w:lang w:val="en-US" w:eastAsia="zh-CN"/>
                    </w:rPr>
                  </w:pPr>
                  <w:r>
                    <w:rPr>
                      <w:rFonts w:hint="eastAsia" w:ascii="Times New Roman" w:hAnsi="Times New Roman" w:cs="Times New Roman"/>
                      <w:b w:val="0"/>
                      <w:bCs/>
                      <w:color w:val="auto"/>
                      <w:sz w:val="21"/>
                      <w:szCs w:val="21"/>
                      <w:vertAlign w:val="baseline"/>
                      <w:lang w:val="en-US" w:eastAsia="zh-CN"/>
                    </w:rPr>
                    <w:t>一期工程现状图</w:t>
                  </w:r>
                </w:p>
              </w:tc>
              <w:tc>
                <w:tcPr>
                  <w:tcW w:w="3770" w:type="dxa"/>
                  <w:tcBorders>
                    <w:tl2br w:val="nil"/>
                    <w:tr2bl w:val="nil"/>
                  </w:tcBorders>
                </w:tcPr>
                <w:p>
                  <w:pPr>
                    <w:pStyle w:val="8"/>
                    <w:keepNext w:val="0"/>
                    <w:keepLines w:val="0"/>
                    <w:pageBreakBefore w:val="0"/>
                    <w:widowControl/>
                    <w:numPr>
                      <w:ilvl w:val="0"/>
                      <w:numId w:val="0"/>
                    </w:numPr>
                    <w:kinsoku/>
                    <w:wordWrap/>
                    <w:overflowPunct/>
                    <w:topLinePunct w:val="0"/>
                    <w:autoSpaceDE/>
                    <w:autoSpaceDN/>
                    <w:bidi w:val="0"/>
                    <w:adjustRightInd/>
                    <w:snapToGrid w:val="0"/>
                    <w:spacing w:before="0" w:after="0" w:line="240" w:lineRule="auto"/>
                    <w:ind w:right="0" w:rightChars="0"/>
                    <w:jc w:val="center"/>
                    <w:textAlignment w:val="auto"/>
                    <w:rPr>
                      <w:rFonts w:hint="default"/>
                      <w:color w:val="auto"/>
                      <w:vertAlign w:val="baseline"/>
                      <w:lang w:val="en-US" w:eastAsia="zh-CN"/>
                    </w:rPr>
                  </w:pPr>
                  <w:r>
                    <w:rPr>
                      <w:rFonts w:hint="eastAsia" w:ascii="Times New Roman" w:hAnsi="Times New Roman" w:eastAsia="宋体" w:cs="Times New Roman"/>
                      <w:b w:val="0"/>
                      <w:bCs/>
                      <w:color w:val="auto"/>
                      <w:sz w:val="21"/>
                      <w:szCs w:val="21"/>
                      <w:vertAlign w:val="baseline"/>
                      <w:lang w:val="en-US" w:eastAsia="zh-CN"/>
                    </w:rPr>
                    <w:t>一期排洪槽现状图</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40" w:hRule="atLeast"/>
                <w:jc w:val="center"/>
              </w:trPr>
              <w:tc>
                <w:tcPr>
                  <w:tcW w:w="3769" w:type="dxa"/>
                  <w:tcBorders>
                    <w:tl2br w:val="nil"/>
                    <w:tr2bl w:val="nil"/>
                  </w:tcBorders>
                </w:tcPr>
                <w:p>
                  <w:pPr>
                    <w:pStyle w:val="8"/>
                    <w:numPr>
                      <w:ilvl w:val="0"/>
                      <w:numId w:val="0"/>
                    </w:numPr>
                    <w:ind w:right="113" w:rightChars="0"/>
                    <w:rPr>
                      <w:rFonts w:hint="default"/>
                      <w:color w:val="auto"/>
                      <w:vertAlign w:val="baseline"/>
                      <w:lang w:val="en-US" w:eastAsia="zh-CN"/>
                    </w:rPr>
                  </w:pPr>
                  <w:r>
                    <w:rPr>
                      <w:rFonts w:hint="eastAsia" w:eastAsia="黑体"/>
                      <w:color w:val="auto"/>
                      <w:highlight w:val="none"/>
                    </w:rPr>
                    <w:drawing>
                      <wp:inline distT="0" distB="0" distL="114300" distR="114300">
                        <wp:extent cx="2461895" cy="2016125"/>
                        <wp:effectExtent l="0" t="0" r="14605" b="3175"/>
                        <wp:docPr id="21" name="图片 11" descr="微信图片_20221215093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1" descr="微信图片_20221215093748"/>
                                <pic:cNvPicPr>
                                  <a:picLocks noChangeAspect="1"/>
                                </pic:cNvPicPr>
                              </pic:nvPicPr>
                              <pic:blipFill>
                                <a:blip r:embed="rId9"/>
                                <a:stretch>
                                  <a:fillRect/>
                                </a:stretch>
                              </pic:blipFill>
                              <pic:spPr>
                                <a:xfrm>
                                  <a:off x="0" y="0"/>
                                  <a:ext cx="2461895" cy="2016125"/>
                                </a:xfrm>
                                <a:prstGeom prst="rect">
                                  <a:avLst/>
                                </a:prstGeom>
                                <a:noFill/>
                                <a:ln>
                                  <a:noFill/>
                                </a:ln>
                              </pic:spPr>
                            </pic:pic>
                          </a:graphicData>
                        </a:graphic>
                      </wp:inline>
                    </w:drawing>
                  </w:r>
                </w:p>
              </w:tc>
              <w:tc>
                <w:tcPr>
                  <w:tcW w:w="3770" w:type="dxa"/>
                  <w:tcBorders>
                    <w:tl2br w:val="nil"/>
                    <w:tr2bl w:val="nil"/>
                  </w:tcBorders>
                </w:tcPr>
                <w:p>
                  <w:pPr>
                    <w:pStyle w:val="8"/>
                    <w:numPr>
                      <w:ilvl w:val="0"/>
                      <w:numId w:val="0"/>
                    </w:numPr>
                    <w:ind w:right="113" w:rightChars="0"/>
                    <w:rPr>
                      <w:rFonts w:hint="default"/>
                      <w:color w:val="auto"/>
                      <w:vertAlign w:val="baseline"/>
                      <w:lang w:val="en-US" w:eastAsia="zh-CN"/>
                    </w:rPr>
                  </w:pPr>
                  <w:r>
                    <w:rPr>
                      <w:rFonts w:hint="eastAsia"/>
                      <w:color w:val="auto"/>
                      <w:highlight w:val="none"/>
                      <w:lang w:eastAsia="zh-CN"/>
                    </w:rPr>
                    <w:drawing>
                      <wp:inline distT="0" distB="0" distL="114300" distR="114300">
                        <wp:extent cx="2639695" cy="1978025"/>
                        <wp:effectExtent l="0" t="0" r="8255" b="3175"/>
                        <wp:docPr id="22" name="图片 12" descr="微信图片_20221215093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2" descr="微信图片_20221215093710"/>
                                <pic:cNvPicPr>
                                  <a:picLocks noChangeAspect="1"/>
                                </pic:cNvPicPr>
                              </pic:nvPicPr>
                              <pic:blipFill>
                                <a:blip r:embed="rId10"/>
                                <a:stretch>
                                  <a:fillRect/>
                                </a:stretch>
                              </pic:blipFill>
                              <pic:spPr>
                                <a:xfrm>
                                  <a:off x="0" y="0"/>
                                  <a:ext cx="2639695" cy="1978025"/>
                                </a:xfrm>
                                <a:prstGeom prst="rect">
                                  <a:avLst/>
                                </a:prstGeom>
                                <a:noFill/>
                                <a:ln>
                                  <a:noFill/>
                                </a:ln>
                              </pic:spPr>
                            </pic:pic>
                          </a:graphicData>
                        </a:graphic>
                      </wp:inline>
                    </w:drawing>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3769" w:type="dxa"/>
                  <w:tcBorders>
                    <w:tl2br w:val="nil"/>
                    <w:tr2bl w:val="nil"/>
                  </w:tcBorders>
                </w:tcPr>
                <w:p>
                  <w:pPr>
                    <w:pStyle w:val="8"/>
                    <w:keepNext w:val="0"/>
                    <w:keepLines w:val="0"/>
                    <w:pageBreakBefore w:val="0"/>
                    <w:widowControl/>
                    <w:numPr>
                      <w:ilvl w:val="0"/>
                      <w:numId w:val="0"/>
                    </w:numPr>
                    <w:kinsoku/>
                    <w:wordWrap/>
                    <w:overflowPunct/>
                    <w:topLinePunct w:val="0"/>
                    <w:autoSpaceDE/>
                    <w:autoSpaceDN/>
                    <w:bidi w:val="0"/>
                    <w:adjustRightInd/>
                    <w:snapToGrid w:val="0"/>
                    <w:spacing w:before="0" w:after="0" w:line="260" w:lineRule="auto"/>
                    <w:ind w:right="113" w:rightChars="0"/>
                    <w:jc w:val="center"/>
                    <w:textAlignment w:val="auto"/>
                    <w:rPr>
                      <w:rFonts w:hint="default"/>
                      <w:color w:val="auto"/>
                      <w:vertAlign w:val="baseline"/>
                      <w:lang w:val="en-US" w:eastAsia="zh-CN"/>
                    </w:rPr>
                  </w:pPr>
                  <w:r>
                    <w:rPr>
                      <w:rFonts w:hint="eastAsia" w:ascii="Times New Roman" w:hAnsi="Times New Roman" w:cs="Times New Roman"/>
                      <w:b w:val="0"/>
                      <w:bCs/>
                      <w:color w:val="auto"/>
                      <w:kern w:val="0"/>
                      <w:sz w:val="21"/>
                      <w:szCs w:val="21"/>
                      <w:lang w:val="en-US" w:eastAsia="zh-CN" w:bidi="ar"/>
                    </w:rPr>
                    <w:t>一期工程格宾护底冲毁现状图</w:t>
                  </w:r>
                </w:p>
              </w:tc>
              <w:tc>
                <w:tcPr>
                  <w:tcW w:w="3770" w:type="dxa"/>
                  <w:tcBorders>
                    <w:tl2br w:val="nil"/>
                    <w:tr2bl w:val="nil"/>
                  </w:tcBorders>
                </w:tcPr>
                <w:p>
                  <w:pPr>
                    <w:pStyle w:val="8"/>
                    <w:keepNext w:val="0"/>
                    <w:keepLines w:val="0"/>
                    <w:pageBreakBefore w:val="0"/>
                    <w:widowControl/>
                    <w:numPr>
                      <w:ilvl w:val="0"/>
                      <w:numId w:val="0"/>
                    </w:numPr>
                    <w:kinsoku/>
                    <w:wordWrap/>
                    <w:overflowPunct/>
                    <w:topLinePunct w:val="0"/>
                    <w:autoSpaceDE/>
                    <w:autoSpaceDN/>
                    <w:bidi w:val="0"/>
                    <w:adjustRightInd/>
                    <w:snapToGrid w:val="0"/>
                    <w:spacing w:before="0" w:after="0" w:line="260" w:lineRule="auto"/>
                    <w:ind w:right="0" w:rightChars="0"/>
                    <w:jc w:val="center"/>
                    <w:textAlignment w:val="auto"/>
                    <w:rPr>
                      <w:rFonts w:hint="default"/>
                      <w:color w:val="auto"/>
                      <w:vertAlign w:val="baseline"/>
                      <w:lang w:val="en-US" w:eastAsia="zh-CN"/>
                    </w:rPr>
                  </w:pPr>
                  <w:r>
                    <w:rPr>
                      <w:rFonts w:hint="default" w:ascii="Times New Roman" w:hAnsi="Times New Roman" w:eastAsia="宋体" w:cs="Times New Roman"/>
                      <w:b w:val="0"/>
                      <w:bCs/>
                      <w:color w:val="auto"/>
                      <w:sz w:val="21"/>
                      <w:szCs w:val="21"/>
                      <w:vertAlign w:val="baseline"/>
                      <w:lang w:val="en-US" w:eastAsia="zh-CN"/>
                    </w:rPr>
                    <w:t>一期工程下游冲毁现状图</w:t>
                  </w:r>
                </w:p>
              </w:tc>
            </w:tr>
          </w:tbl>
          <w:p>
            <w:pPr>
              <w:keepNext w:val="0"/>
              <w:keepLines w:val="0"/>
              <w:pageBreakBefore w:val="0"/>
              <w:widowControl w:val="0"/>
              <w:numPr>
                <w:ilvl w:val="0"/>
                <w:numId w:val="0"/>
              </w:numPr>
              <w:kinsoku/>
              <w:wordWrap/>
              <w:overflowPunct/>
              <w:topLinePunct w:val="0"/>
              <w:autoSpaceDE/>
              <w:autoSpaceDN/>
              <w:bidi w:val="0"/>
              <w:adjustRightInd w:val="0"/>
              <w:snapToGrid w:val="0"/>
              <w:spacing w:before="157" w:beforeLines="50" w:line="360" w:lineRule="auto"/>
              <w:ind w:firstLine="482" w:firstLineChars="200"/>
              <w:textAlignment w:val="auto"/>
              <w:rPr>
                <w:rFonts w:hint="default" w:ascii="Times New Roman" w:hAnsi="Times New Roman" w:cs="Times New Roman"/>
                <w:b/>
                <w:bCs/>
                <w:color w:val="auto"/>
                <w:kern w:val="2"/>
                <w:sz w:val="24"/>
                <w:szCs w:val="24"/>
                <w:lang w:val="en-US" w:eastAsia="zh-CN"/>
              </w:rPr>
            </w:pPr>
            <w:r>
              <w:rPr>
                <w:rFonts w:hint="eastAsia" w:ascii="Times New Roman" w:hAnsi="Times New Roman" w:eastAsia="宋体" w:cs="Times New Roman"/>
                <w:b/>
                <w:bCs/>
                <w:color w:val="auto"/>
                <w:kern w:val="0"/>
                <w:sz w:val="24"/>
                <w:lang w:val="en-US" w:eastAsia="zh-CN"/>
              </w:rPr>
              <w:t>二、工程建设内容</w:t>
            </w:r>
          </w:p>
          <w:p>
            <w:pPr>
              <w:pStyle w:val="76"/>
              <w:keepNext w:val="0"/>
              <w:keepLines w:val="0"/>
              <w:pageBreakBefore w:val="0"/>
              <w:widowControl w:val="0"/>
              <w:kinsoku/>
              <w:wordWrap/>
              <w:overflowPunct/>
              <w:topLinePunct w:val="0"/>
              <w:autoSpaceDE/>
              <w:autoSpaceDN/>
              <w:bidi w:val="0"/>
              <w:adjustRightInd/>
              <w:snapToGrid w:val="0"/>
              <w:spacing w:before="0" w:after="0"/>
              <w:textAlignment w:val="auto"/>
              <w:rPr>
                <w:rFonts w:hint="default" w:ascii="Times New Roman" w:hAnsi="宋体" w:eastAsia="宋体" w:cs="Times New Roman"/>
                <w:color w:val="auto"/>
                <w:highlight w:val="none"/>
                <w:lang w:val="en-US" w:eastAsia="zh-CN"/>
              </w:rPr>
            </w:pPr>
            <w:r>
              <w:rPr>
                <w:rFonts w:hint="default" w:ascii="Times New Roman" w:hAnsi="宋体" w:eastAsia="宋体" w:cs="Times New Roman"/>
                <w:color w:val="auto"/>
                <w:highlight w:val="none"/>
                <w:lang w:val="en-US" w:eastAsia="zh-CN"/>
              </w:rPr>
              <w:t>本项目在一期工程基础上，续建排洪通道，将洪水排泄至折腰沟主沟道，完善防洪工程布局，彻底解决项目保护区洪水侵害问题。本工程不涉及清淤工程。</w:t>
            </w:r>
          </w:p>
          <w:p>
            <w:pPr>
              <w:pStyle w:val="76"/>
              <w:keepNext w:val="0"/>
              <w:keepLines w:val="0"/>
              <w:pageBreakBefore w:val="0"/>
              <w:widowControl w:val="0"/>
              <w:kinsoku/>
              <w:wordWrap/>
              <w:overflowPunct/>
              <w:topLinePunct w:val="0"/>
              <w:autoSpaceDE/>
              <w:autoSpaceDN/>
              <w:bidi w:val="0"/>
              <w:adjustRightInd/>
              <w:snapToGrid w:val="0"/>
              <w:spacing w:before="0" w:after="0"/>
              <w:textAlignment w:val="auto"/>
              <w:rPr>
                <w:rFonts w:hint="default" w:ascii="Times New Roman" w:hAnsi="Times New Roman" w:cs="Times New Roman"/>
                <w:color w:val="auto"/>
                <w:kern w:val="2"/>
                <w:sz w:val="24"/>
                <w:szCs w:val="24"/>
              </w:rPr>
            </w:pPr>
            <w:r>
              <w:rPr>
                <w:rFonts w:hint="default" w:ascii="Times New Roman" w:hAnsi="宋体" w:eastAsia="宋体" w:cs="Times New Roman"/>
                <w:color w:val="auto"/>
                <w:highlight w:val="none"/>
                <w:lang w:val="en-US" w:eastAsia="zh-CN"/>
              </w:rPr>
              <w:t>工程具体建设内容包括：</w:t>
            </w:r>
            <w:r>
              <w:rPr>
                <w:rFonts w:hint="eastAsia" w:ascii="Times New Roman" w:hAnsi="宋体" w:eastAsia="宋体" w:cs="Times New Roman"/>
                <w:color w:val="auto"/>
                <w:highlight w:val="none"/>
              </w:rPr>
              <w:t>续建排洪槽</w:t>
            </w:r>
            <w:r>
              <w:rPr>
                <w:rFonts w:ascii="Times New Roman" w:hAnsi="宋体" w:eastAsia="宋体" w:cs="Times New Roman"/>
                <w:color w:val="auto"/>
                <w:highlight w:val="none"/>
              </w:rPr>
              <w:t>1</w:t>
            </w:r>
            <w:r>
              <w:rPr>
                <w:rFonts w:hint="eastAsia" w:ascii="Times New Roman" w:hAnsi="宋体" w:eastAsia="宋体" w:cs="Times New Roman"/>
                <w:color w:val="auto"/>
                <w:highlight w:val="none"/>
              </w:rPr>
              <w:t>条（长度130</w:t>
            </w:r>
            <w:r>
              <w:rPr>
                <w:rFonts w:ascii="Times New Roman" w:hAnsi="宋体" w:eastAsia="宋体" w:cs="Times New Roman"/>
                <w:color w:val="auto"/>
                <w:highlight w:val="none"/>
              </w:rPr>
              <w:t>m</w:t>
            </w:r>
            <w:r>
              <w:rPr>
                <w:rFonts w:hint="eastAsia" w:ascii="Times New Roman" w:hAnsi="宋体" w:eastAsia="宋体" w:cs="Times New Roman"/>
                <w:color w:val="auto"/>
                <w:highlight w:val="none"/>
              </w:rPr>
              <w:t>），新建沟道防护65.81</w:t>
            </w:r>
            <w:r>
              <w:rPr>
                <w:rFonts w:ascii="Times New Roman" w:hAnsi="宋体" w:eastAsia="宋体" w:cs="Times New Roman"/>
                <w:color w:val="auto"/>
                <w:highlight w:val="none"/>
              </w:rPr>
              <w:t>m</w:t>
            </w:r>
            <w:r>
              <w:rPr>
                <w:rFonts w:hint="eastAsia" w:ascii="Times New Roman" w:hAnsi="宋体" w:eastAsia="宋体" w:cs="Times New Roman"/>
                <w:color w:val="auto"/>
                <w:highlight w:val="none"/>
                <w:lang w:eastAsia="zh-CN"/>
              </w:rPr>
              <w:t>（</w:t>
            </w:r>
            <w:r>
              <w:rPr>
                <w:rFonts w:hint="eastAsia" w:ascii="Times New Roman" w:hAnsi="宋体" w:eastAsia="宋体" w:cs="Times New Roman"/>
                <w:color w:val="auto"/>
                <w:highlight w:val="none"/>
                <w:lang w:val="en-US" w:eastAsia="zh-CN"/>
              </w:rPr>
              <w:t>海漫及下游沟道防护段</w:t>
            </w:r>
            <w:r>
              <w:rPr>
                <w:rFonts w:hint="eastAsia" w:ascii="Times New Roman" w:hAnsi="宋体" w:eastAsia="宋体" w:cs="Times New Roman"/>
                <w:color w:val="auto"/>
                <w:highlight w:val="none"/>
                <w:lang w:eastAsia="zh-CN"/>
              </w:rPr>
              <w:t>）</w:t>
            </w:r>
            <w:r>
              <w:rPr>
                <w:rFonts w:hint="eastAsia" w:ascii="Times New Roman" w:hAnsi="宋体" w:eastAsia="宋体" w:cs="Times New Roman"/>
                <w:color w:val="auto"/>
                <w:highlight w:val="none"/>
              </w:rPr>
              <w:t>，边坡</w:t>
            </w:r>
            <w:r>
              <w:rPr>
                <w:rFonts w:hint="eastAsia" w:ascii="Times New Roman" w:hAnsi="宋体" w:eastAsia="宋体" w:cs="Times New Roman"/>
                <w:color w:val="auto"/>
                <w:highlight w:val="none"/>
                <w:lang w:val="en-US" w:eastAsia="zh-CN"/>
              </w:rPr>
              <w:t>整治</w:t>
            </w:r>
            <w:r>
              <w:rPr>
                <w:rFonts w:hint="eastAsia" w:ascii="Times New Roman" w:hAnsi="宋体" w:eastAsia="宋体" w:cs="Times New Roman"/>
                <w:color w:val="auto"/>
                <w:highlight w:val="none"/>
              </w:rPr>
              <w:t>10433</w:t>
            </w:r>
            <w:r>
              <w:rPr>
                <w:rFonts w:hint="eastAsia" w:ascii="Times New Roman" w:hAnsi="宋体" w:eastAsia="宋体" w:cs="Times New Roman"/>
                <w:color w:val="auto"/>
                <w:highlight w:val="none"/>
                <w:lang w:val="en-US" w:eastAsia="zh-CN"/>
              </w:rPr>
              <w:t>m</w:t>
            </w:r>
            <w:r>
              <w:rPr>
                <w:rFonts w:hint="eastAsia" w:ascii="Times New Roman" w:hAnsi="宋体" w:eastAsia="宋体" w:cs="Times New Roman"/>
                <w:color w:val="auto"/>
                <w:highlight w:val="none"/>
                <w:vertAlign w:val="superscript"/>
                <w:lang w:val="en-US" w:eastAsia="zh-CN"/>
              </w:rPr>
              <w:t>2</w:t>
            </w:r>
            <w:r>
              <w:rPr>
                <w:rFonts w:hint="eastAsia" w:ascii="Times New Roman" w:hAnsi="宋体" w:eastAsia="宋体" w:cs="Times New Roman"/>
                <w:color w:val="auto"/>
                <w:highlight w:val="none"/>
              </w:rPr>
              <w:t>（</w:t>
            </w:r>
            <w:r>
              <w:rPr>
                <w:rFonts w:hint="eastAsia" w:ascii="Times New Roman" w:hAnsi="宋体" w:eastAsia="宋体" w:cs="Times New Roman"/>
                <w:color w:val="auto"/>
                <w:highlight w:val="none"/>
                <w:lang w:val="en-US" w:eastAsia="zh-CN"/>
              </w:rPr>
              <w:t>新建</w:t>
            </w:r>
            <w:r>
              <w:rPr>
                <w:rFonts w:hint="eastAsia" w:ascii="Times New Roman" w:hAnsi="宋体" w:eastAsia="宋体" w:cs="Times New Roman"/>
                <w:color w:val="auto"/>
                <w:highlight w:val="none"/>
              </w:rPr>
              <w:t>边坡排水沟920m）</w:t>
            </w:r>
            <w:r>
              <w:rPr>
                <w:rFonts w:ascii="Times New Roman" w:hAnsi="宋体" w:eastAsia="宋体" w:cs="Times New Roman"/>
                <w:color w:val="auto"/>
                <w:highlight w:val="none"/>
              </w:rPr>
              <w:t>。</w:t>
            </w:r>
            <w:r>
              <w:rPr>
                <w:rFonts w:hint="eastAsia" w:hAnsi="Times New Roman" w:cs="Times New Roman"/>
                <w:color w:val="auto"/>
                <w:kern w:val="2"/>
                <w:sz w:val="24"/>
                <w:szCs w:val="24"/>
                <w:lang w:val="en-US" w:eastAsia="zh-CN"/>
              </w:rPr>
              <w:t>项目具体建设内容</w:t>
            </w:r>
            <w:r>
              <w:rPr>
                <w:rFonts w:hint="default" w:ascii="Times New Roman" w:hAnsi="Times New Roman" w:cs="Times New Roman"/>
                <w:color w:val="auto"/>
                <w:kern w:val="2"/>
                <w:sz w:val="24"/>
                <w:szCs w:val="24"/>
                <w:lang w:val="en-US" w:eastAsia="zh-CN"/>
              </w:rPr>
              <w:t>见表2-1。</w:t>
            </w:r>
          </w:p>
          <w:p>
            <w:pPr>
              <w:widowControl/>
              <w:adjustRightInd w:val="0"/>
              <w:snapToGrid w:val="0"/>
              <w:jc w:val="center"/>
              <w:rPr>
                <w:rFonts w:hint="default" w:ascii="Times New Roman" w:hAnsi="Times New Roman" w:cs="Times New Roman"/>
                <w:b/>
                <w:bCs/>
                <w:color w:val="auto"/>
                <w:kern w:val="0"/>
                <w:szCs w:val="21"/>
                <w:lang w:bidi="ar"/>
              </w:rPr>
            </w:pPr>
            <w:r>
              <w:rPr>
                <w:rFonts w:hint="default" w:ascii="Times New Roman" w:hAnsi="Times New Roman" w:cs="Times New Roman"/>
                <w:b/>
                <w:bCs/>
                <w:color w:val="auto"/>
                <w:kern w:val="0"/>
                <w:szCs w:val="21"/>
                <w:lang w:bidi="ar"/>
              </w:rPr>
              <w:t>表2-1本项目主要工程内容一览表</w:t>
            </w:r>
          </w:p>
          <w:tbl>
            <w:tblPr>
              <w:tblStyle w:val="24"/>
              <w:tblW w:w="4997"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37"/>
              <w:gridCol w:w="435"/>
              <w:gridCol w:w="720"/>
              <w:gridCol w:w="557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1" w:hRule="atLeast"/>
                <w:tblHeader/>
                <w:jc w:val="center"/>
              </w:trPr>
              <w:tc>
                <w:tcPr>
                  <w:tcW w:w="493" w:type="pct"/>
                  <w:tcBorders>
                    <w:tl2br w:val="nil"/>
                    <w:tr2bl w:val="nil"/>
                  </w:tcBorders>
                  <w:vAlign w:val="center"/>
                </w:tcPr>
                <w:p>
                  <w:pPr>
                    <w:jc w:val="center"/>
                    <w:rPr>
                      <w:rFonts w:hint="default" w:ascii="Times New Roman" w:hAnsi="Times New Roman" w:cs="Times New Roman"/>
                      <w:b/>
                      <w:color w:val="auto"/>
                      <w:szCs w:val="21"/>
                    </w:rPr>
                  </w:pPr>
                  <w:r>
                    <w:rPr>
                      <w:rFonts w:hint="default" w:ascii="Times New Roman" w:hAnsi="Times New Roman" w:cs="Times New Roman"/>
                      <w:b/>
                      <w:color w:val="auto"/>
                      <w:szCs w:val="21"/>
                    </w:rPr>
                    <w:t>项目名称</w:t>
                  </w:r>
                </w:p>
              </w:tc>
              <w:tc>
                <w:tcPr>
                  <w:tcW w:w="773" w:type="pct"/>
                  <w:gridSpan w:val="2"/>
                  <w:tcBorders>
                    <w:tl2br w:val="nil"/>
                    <w:tr2bl w:val="nil"/>
                  </w:tcBorders>
                  <w:vAlign w:val="center"/>
                </w:tcPr>
                <w:p>
                  <w:pPr>
                    <w:jc w:val="center"/>
                    <w:rPr>
                      <w:rFonts w:hint="default" w:ascii="Times New Roman" w:hAnsi="Times New Roman" w:cs="Times New Roman"/>
                      <w:b/>
                      <w:color w:val="auto"/>
                      <w:szCs w:val="21"/>
                    </w:rPr>
                  </w:pPr>
                  <w:r>
                    <w:rPr>
                      <w:rFonts w:hint="default" w:ascii="Times New Roman" w:hAnsi="Times New Roman" w:cs="Times New Roman"/>
                      <w:b/>
                      <w:color w:val="auto"/>
                      <w:szCs w:val="21"/>
                    </w:rPr>
                    <w:t>工程名称</w:t>
                  </w:r>
                </w:p>
              </w:tc>
              <w:tc>
                <w:tcPr>
                  <w:tcW w:w="3733" w:type="pct"/>
                  <w:tcBorders>
                    <w:tl2br w:val="nil"/>
                    <w:tr2bl w:val="nil"/>
                  </w:tcBorders>
                  <w:vAlign w:val="center"/>
                </w:tcPr>
                <w:p>
                  <w:pPr>
                    <w:jc w:val="center"/>
                    <w:rPr>
                      <w:rFonts w:hint="default" w:ascii="Times New Roman" w:hAnsi="Times New Roman" w:cs="Times New Roman"/>
                      <w:b/>
                      <w:color w:val="auto"/>
                      <w:szCs w:val="21"/>
                    </w:rPr>
                  </w:pPr>
                  <w:r>
                    <w:rPr>
                      <w:rFonts w:hint="default" w:ascii="Times New Roman" w:hAnsi="Times New Roman" w:cs="Times New Roman"/>
                      <w:b/>
                      <w:color w:val="auto"/>
                      <w:szCs w:val="21"/>
                    </w:rPr>
                    <w:t>建设内容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93" w:type="pct"/>
                  <w:vMerge w:val="restart"/>
                  <w:tcBorders>
                    <w:tl2br w:val="nil"/>
                    <w:tr2bl w:val="nil"/>
                  </w:tcBorders>
                  <w:vAlign w:val="center"/>
                </w:tcPr>
                <w:p>
                  <w:pPr>
                    <w:jc w:val="center"/>
                    <w:rPr>
                      <w:rFonts w:hint="default" w:ascii="Times New Roman" w:hAnsi="Times New Roman" w:cs="Times New Roman"/>
                      <w:color w:val="auto"/>
                      <w:szCs w:val="21"/>
                    </w:rPr>
                  </w:pPr>
                  <w:r>
                    <w:rPr>
                      <w:rFonts w:hint="default" w:ascii="Times New Roman" w:hAnsi="Times New Roman" w:cs="Times New Roman"/>
                      <w:color w:val="auto"/>
                      <w:szCs w:val="21"/>
                    </w:rPr>
                    <w:t>主体工程</w:t>
                  </w:r>
                </w:p>
              </w:tc>
              <w:tc>
                <w:tcPr>
                  <w:tcW w:w="773" w:type="pct"/>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outlineLvl w:val="9"/>
                    <w:rPr>
                      <w:rFonts w:hint="default" w:ascii="Times New Roman" w:hAnsi="Times New Roman" w:cs="Times New Roman"/>
                      <w:color w:val="auto"/>
                      <w:szCs w:val="21"/>
                    </w:rPr>
                  </w:pPr>
                  <w:r>
                    <w:rPr>
                      <w:rFonts w:hint="eastAsia" w:ascii="Times New Roman" w:hAnsi="Times New Roman" w:cs="Times New Roman"/>
                      <w:color w:val="auto"/>
                      <w:spacing w:val="0"/>
                      <w:sz w:val="21"/>
                      <w:szCs w:val="21"/>
                      <w:lang w:val="en-US" w:eastAsia="zh-CN"/>
                    </w:rPr>
                    <w:t>排洪槽</w:t>
                  </w:r>
                </w:p>
              </w:tc>
              <w:tc>
                <w:tcPr>
                  <w:tcW w:w="37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left"/>
                    <w:textAlignment w:val="auto"/>
                    <w:rPr>
                      <w:rFonts w:hint="default" w:ascii="Times New Roman" w:hAnsi="Times New Roman" w:cs="Times New Roman"/>
                      <w:color w:val="auto"/>
                      <w:szCs w:val="21"/>
                    </w:rPr>
                  </w:pPr>
                  <w:r>
                    <w:rPr>
                      <w:rFonts w:hint="default" w:ascii="Times New Roman" w:hAnsi="Times New Roman" w:eastAsia="宋体" w:cs="Times New Roman"/>
                      <w:b w:val="0"/>
                      <w:bCs w:val="0"/>
                      <w:color w:val="auto"/>
                      <w:spacing w:val="0"/>
                      <w:sz w:val="21"/>
                      <w:szCs w:val="21"/>
                      <w:vertAlign w:val="baseline"/>
                      <w:lang w:val="en-US" w:eastAsia="zh-CN"/>
                    </w:rPr>
                    <w:t>排洪槽前端设置3.63m水平段与一期消力池衔接；陡槽段平面略偏向于左岸山坡方向布置，陡槽末端下至冲沟底后，沿现状冲沟主沟方向布置，平面平顺转弯，陡槽段平面投影长度106.37m。陡槽末端布置综合式消力池，消力池宽5m，消力池总长15m；消力池下游设等宽钢筋混凝土护坦长5m，海漫防护段长度30m。</w:t>
                  </w:r>
                  <w:r>
                    <w:rPr>
                      <w:rFonts w:hint="default" w:ascii="Times New Roman" w:hAnsi="Times New Roman" w:eastAsia="宋体" w:cs="Times New Roman"/>
                      <w:b w:val="0"/>
                      <w:bCs w:val="0"/>
                      <w:color w:val="auto"/>
                      <w:spacing w:val="0"/>
                      <w:sz w:val="21"/>
                      <w:szCs w:val="21"/>
                      <w:vertAlign w:val="baseline"/>
                    </w:rPr>
                    <w:t>对海漫下游沟道边坡进行</w:t>
                  </w:r>
                  <w:r>
                    <w:rPr>
                      <w:rFonts w:hint="default" w:ascii="Times New Roman" w:hAnsi="Times New Roman" w:eastAsia="宋体" w:cs="Times New Roman"/>
                      <w:b w:val="0"/>
                      <w:bCs w:val="0"/>
                      <w:color w:val="auto"/>
                      <w:spacing w:val="0"/>
                      <w:sz w:val="21"/>
                      <w:szCs w:val="21"/>
                      <w:vertAlign w:val="baseline"/>
                      <w:lang w:val="en-US" w:eastAsia="zh-CN"/>
                    </w:rPr>
                    <w:t>防护</w:t>
                  </w:r>
                  <w:r>
                    <w:rPr>
                      <w:rFonts w:hint="default" w:ascii="Times New Roman" w:hAnsi="Times New Roman" w:eastAsia="宋体" w:cs="Times New Roman"/>
                      <w:b w:val="0"/>
                      <w:bCs w:val="0"/>
                      <w:color w:val="auto"/>
                      <w:spacing w:val="0"/>
                      <w:sz w:val="21"/>
                      <w:szCs w:val="21"/>
                      <w:vertAlign w:val="baseline"/>
                    </w:rPr>
                    <w:t>，以保护两岸岸坡稳定，其中，左岸砌护长度36.18m；右岸砌护长度8.8m，</w:t>
                  </w:r>
                  <w:r>
                    <w:rPr>
                      <w:rFonts w:hint="default" w:ascii="Times New Roman" w:hAnsi="Times New Roman" w:eastAsia="宋体" w:cs="Times New Roman"/>
                      <w:b w:val="0"/>
                      <w:bCs w:val="0"/>
                      <w:color w:val="auto"/>
                      <w:spacing w:val="0"/>
                      <w:sz w:val="21"/>
                      <w:szCs w:val="21"/>
                      <w:vertAlign w:val="baseline"/>
                      <w:lang w:val="en-US" w:eastAsia="zh-CN"/>
                    </w:rPr>
                    <w:t>共计44.98</w:t>
                  </w:r>
                  <w:r>
                    <w:rPr>
                      <w:rFonts w:hint="default" w:ascii="Times New Roman" w:hAnsi="Times New Roman" w:eastAsia="宋体" w:cs="Times New Roman"/>
                      <w:b w:val="0"/>
                      <w:bCs w:val="0"/>
                      <w:color w:val="auto"/>
                      <w:spacing w:val="0"/>
                      <w:sz w:val="21"/>
                      <w:szCs w:val="21"/>
                      <w:vertAlign w:val="baseline"/>
                    </w:rPr>
                    <w:t>m</w:t>
                  </w:r>
                  <w:r>
                    <w:rPr>
                      <w:rFonts w:hint="default" w:ascii="Times New Roman" w:hAnsi="Times New Roman" w:eastAsia="宋体" w:cs="Times New Roman"/>
                      <w:b w:val="0"/>
                      <w:bCs w:val="0"/>
                      <w:color w:val="auto"/>
                      <w:spacing w:val="0"/>
                      <w:sz w:val="21"/>
                      <w:szCs w:val="21"/>
                      <w:vertAlign w:val="baseline"/>
                      <w:lang w:eastAsia="zh-CN"/>
                    </w:rPr>
                    <w:t>（</w:t>
                  </w:r>
                  <w:r>
                    <w:rPr>
                      <w:rFonts w:hint="default" w:ascii="Times New Roman" w:hAnsi="Times New Roman" w:eastAsia="宋体" w:cs="Times New Roman"/>
                      <w:b w:val="0"/>
                      <w:bCs w:val="0"/>
                      <w:color w:val="auto"/>
                      <w:spacing w:val="0"/>
                      <w:sz w:val="21"/>
                      <w:szCs w:val="21"/>
                      <w:vertAlign w:val="baseline"/>
                      <w:lang w:val="en-US" w:eastAsia="zh-CN"/>
                    </w:rPr>
                    <w:t>单岸砌护</w:t>
                  </w:r>
                  <w:r>
                    <w:rPr>
                      <w:rFonts w:hint="default" w:ascii="Times New Roman" w:hAnsi="Times New Roman" w:eastAsia="宋体" w:cs="Times New Roman"/>
                      <w:b w:val="0"/>
                      <w:bCs w:val="0"/>
                      <w:color w:val="auto"/>
                      <w:spacing w:val="0"/>
                      <w:sz w:val="21"/>
                      <w:szCs w:val="21"/>
                      <w:vertAlign w:val="baseline"/>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93"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tcBorders>
                    <w:tl2br w:val="nil"/>
                    <w:tr2bl w:val="nil"/>
                  </w:tcBorders>
                  <w:vAlign w:val="center"/>
                </w:tcPr>
                <w:p>
                  <w:pPr>
                    <w:keepNext w:val="0"/>
                    <w:keepLines w:val="0"/>
                    <w:widowControl/>
                    <w:suppressLineNumbers w:val="0"/>
                    <w:jc w:val="center"/>
                    <w:rPr>
                      <w:rFonts w:hint="default" w:ascii="Times New Roman" w:hAnsi="Times New Roman" w:cs="Times New Roman"/>
                      <w:color w:val="auto"/>
                      <w:szCs w:val="21"/>
                    </w:rPr>
                  </w:pPr>
                  <w:r>
                    <w:rPr>
                      <w:rFonts w:hint="eastAsia" w:ascii="宋体" w:hAnsi="宋体" w:cs="宋体"/>
                      <w:color w:val="auto"/>
                      <w:kern w:val="0"/>
                      <w:sz w:val="21"/>
                      <w:szCs w:val="21"/>
                      <w:lang w:val="en-US" w:eastAsia="zh-CN" w:bidi="ar"/>
                    </w:rPr>
                    <w:t>边坡防护工程</w:t>
                  </w:r>
                </w:p>
              </w:tc>
              <w:tc>
                <w:tcPr>
                  <w:tcW w:w="373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jc w:val="left"/>
                    <w:textAlignment w:val="auto"/>
                    <w:rPr>
                      <w:rFonts w:hint="default" w:ascii="Times New Roman" w:hAnsi="Times New Roman" w:eastAsia="宋体" w:cs="Times New Roman"/>
                      <w:b w:val="0"/>
                      <w:bCs w:val="0"/>
                      <w:color w:val="auto"/>
                      <w:spacing w:val="0"/>
                      <w:sz w:val="21"/>
                      <w:szCs w:val="21"/>
                      <w:highlight w:val="none"/>
                      <w:vertAlign w:val="baseline"/>
                      <w:lang w:val="en-US" w:eastAsia="zh-CN"/>
                    </w:rPr>
                  </w:pPr>
                  <w:r>
                    <w:rPr>
                      <w:rFonts w:hint="default" w:ascii="Times New Roman" w:hAnsi="Times New Roman" w:eastAsia="宋体" w:cs="Times New Roman"/>
                      <w:b w:val="0"/>
                      <w:bCs w:val="0"/>
                      <w:color w:val="auto"/>
                      <w:spacing w:val="0"/>
                      <w:sz w:val="21"/>
                      <w:szCs w:val="21"/>
                      <w:highlight w:val="none"/>
                      <w:vertAlign w:val="baseline"/>
                      <w:lang w:val="en-US" w:eastAsia="zh-CN"/>
                    </w:rPr>
                    <w:t>本工程主要边坡开挖部位为陡槽和消力池段，永久开挖边坡</w:t>
                  </w:r>
                </w:p>
                <w:p>
                  <w:pPr>
                    <w:keepNext w:val="0"/>
                    <w:keepLines w:val="0"/>
                    <w:pageBreakBefore w:val="0"/>
                    <w:widowControl/>
                    <w:suppressLineNumbers w:val="0"/>
                    <w:kinsoku/>
                    <w:wordWrap/>
                    <w:overflowPunct/>
                    <w:topLinePunct w:val="0"/>
                    <w:autoSpaceDE/>
                    <w:autoSpaceDN/>
                    <w:bidi w:val="0"/>
                    <w:adjustRightInd w:val="0"/>
                    <w:snapToGrid w:val="0"/>
                    <w:jc w:val="left"/>
                    <w:textAlignment w:val="auto"/>
                    <w:rPr>
                      <w:rFonts w:hint="default" w:ascii="Times New Roman" w:hAnsi="Times New Roman" w:cs="Times New Roman"/>
                      <w:color w:val="auto"/>
                      <w:szCs w:val="21"/>
                    </w:rPr>
                  </w:pPr>
                  <w:r>
                    <w:rPr>
                      <w:rFonts w:hint="default" w:ascii="Times New Roman" w:hAnsi="Times New Roman" w:eastAsia="宋体" w:cs="Times New Roman"/>
                      <w:b w:val="0"/>
                      <w:bCs w:val="0"/>
                      <w:color w:val="auto"/>
                      <w:spacing w:val="0"/>
                      <w:sz w:val="21"/>
                      <w:szCs w:val="21"/>
                      <w:highlight w:val="none"/>
                      <w:vertAlign w:val="baseline"/>
                      <w:lang w:val="en-US" w:eastAsia="zh-CN"/>
                    </w:rPr>
                    <w:t>坡比1:1.5，每5m高设置1级马道，马道宽度2.0m，永久开挖的底部高程以排洪槽和消力池的侧墙顶高程作为控制。对排洪建筑物两侧50m范围内的落水洞、坑槽等进行回填处理。在坡顶及每级马道坡脚设置排水沟，排水沟均采用C25混凝土结构，尺寸为0.3x0.3m，壁厚0.15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493" w:type="pct"/>
                  <w:vMerge w:val="restart"/>
                  <w:tcBorders>
                    <w:tl2br w:val="nil"/>
                    <w:tr2bl w:val="nil"/>
                  </w:tcBorders>
                  <w:vAlign w:val="center"/>
                </w:tcPr>
                <w:p>
                  <w:pPr>
                    <w:jc w:val="left"/>
                    <w:rPr>
                      <w:rFonts w:hint="default" w:ascii="Times New Roman" w:hAnsi="Times New Roman" w:cs="Times New Roman"/>
                      <w:color w:val="auto"/>
                      <w:szCs w:val="21"/>
                    </w:rPr>
                  </w:pPr>
                  <w:r>
                    <w:rPr>
                      <w:rFonts w:hint="default" w:ascii="Times New Roman" w:hAnsi="Times New Roman" w:cs="Times New Roman"/>
                      <w:color w:val="auto"/>
                      <w:szCs w:val="21"/>
                    </w:rPr>
                    <w:t>临时工程</w:t>
                  </w:r>
                </w:p>
              </w:tc>
              <w:tc>
                <w:tcPr>
                  <w:tcW w:w="773" w:type="pct"/>
                  <w:gridSpan w:val="2"/>
                  <w:tcBorders>
                    <w:tl2br w:val="nil"/>
                    <w:tr2bl w:val="nil"/>
                  </w:tcBorders>
                  <w:vAlign w:val="center"/>
                </w:tcPr>
                <w:p>
                  <w:pPr>
                    <w:jc w:val="center"/>
                    <w:rPr>
                      <w:rFonts w:hint="default" w:ascii="Times New Roman" w:hAnsi="Times New Roman" w:cs="Times New Roman"/>
                      <w:color w:val="auto"/>
                      <w:szCs w:val="21"/>
                    </w:rPr>
                  </w:pPr>
                  <w:r>
                    <w:rPr>
                      <w:rFonts w:hint="default" w:ascii="Times New Roman" w:hAnsi="Times New Roman" w:cs="Times New Roman"/>
                      <w:color w:val="auto"/>
                      <w:szCs w:val="21"/>
                      <w:lang w:bidi="zh-CN"/>
                    </w:rPr>
                    <w:t>临时施工道路</w:t>
                  </w:r>
                </w:p>
              </w:tc>
              <w:tc>
                <w:tcPr>
                  <w:tcW w:w="3733" w:type="pct"/>
                  <w:tcBorders>
                    <w:tl2br w:val="nil"/>
                    <w:tr2bl w:val="nil"/>
                  </w:tcBorders>
                  <w:vAlign w:val="center"/>
                </w:tcPr>
                <w:p>
                  <w:pPr>
                    <w:rPr>
                      <w:rFonts w:hint="eastAsia" w:ascii="Times New Roman" w:hAnsi="Times New Roman" w:eastAsia="宋体" w:cs="Times New Roman"/>
                      <w:color w:val="auto"/>
                      <w:szCs w:val="21"/>
                      <w:lang w:eastAsia="zh-CN"/>
                    </w:rPr>
                  </w:pPr>
                  <w:r>
                    <w:rPr>
                      <w:rFonts w:hint="default" w:ascii="Times New Roman" w:hAnsi="Times New Roman" w:eastAsia="宋体" w:cs="Times New Roman"/>
                      <w:bCs/>
                      <w:color w:val="auto"/>
                      <w:spacing w:val="0"/>
                      <w:sz w:val="21"/>
                      <w:szCs w:val="21"/>
                    </w:rPr>
                    <w:t>工程区所在的折腰沟村有混凝土路面的乡道和村内道路，路面宽度4~6m，满足</w:t>
                  </w:r>
                  <w:r>
                    <w:rPr>
                      <w:rFonts w:hint="eastAsia" w:cs="Times New Roman"/>
                      <w:bCs/>
                      <w:color w:val="auto"/>
                      <w:spacing w:val="0"/>
                      <w:sz w:val="21"/>
                      <w:szCs w:val="21"/>
                      <w:lang w:eastAsia="zh-CN"/>
                    </w:rPr>
                    <w:t>对</w:t>
                  </w:r>
                  <w:r>
                    <w:rPr>
                      <w:rFonts w:hint="default" w:ascii="Times New Roman" w:hAnsi="Times New Roman" w:eastAsia="宋体" w:cs="Times New Roman"/>
                      <w:bCs/>
                      <w:color w:val="auto"/>
                      <w:spacing w:val="0"/>
                      <w:sz w:val="21"/>
                      <w:szCs w:val="21"/>
                    </w:rPr>
                    <w:t>外连接施工要求，</w:t>
                  </w:r>
                  <w:r>
                    <w:rPr>
                      <w:rFonts w:hint="eastAsia" w:ascii="Times New Roman" w:hAnsi="Times New Roman" w:eastAsia="宋体" w:cs="Times New Roman"/>
                      <w:bCs/>
                      <w:color w:val="auto"/>
                      <w:spacing w:val="0"/>
                      <w:sz w:val="21"/>
                      <w:szCs w:val="21"/>
                      <w:lang w:val="en-US" w:eastAsia="zh-CN"/>
                    </w:rPr>
                    <w:t>可作为本项目</w:t>
                  </w:r>
                  <w:r>
                    <w:rPr>
                      <w:rFonts w:hint="eastAsia" w:cs="Times New Roman"/>
                      <w:bCs/>
                      <w:color w:val="auto"/>
                      <w:spacing w:val="0"/>
                      <w:sz w:val="21"/>
                      <w:szCs w:val="21"/>
                      <w:lang w:val="en-US" w:eastAsia="zh-CN"/>
                    </w:rPr>
                    <w:t>对外</w:t>
                  </w:r>
                  <w:r>
                    <w:rPr>
                      <w:rFonts w:hint="eastAsia" w:ascii="Times New Roman" w:hAnsi="Times New Roman" w:eastAsia="宋体" w:cs="Times New Roman"/>
                      <w:bCs/>
                      <w:color w:val="auto"/>
                      <w:spacing w:val="0"/>
                      <w:sz w:val="21"/>
                      <w:szCs w:val="21"/>
                      <w:lang w:val="en-US" w:eastAsia="zh-CN"/>
                    </w:rPr>
                    <w:t>施工道路。</w:t>
                  </w:r>
                  <w:r>
                    <w:rPr>
                      <w:rFonts w:hint="eastAsia" w:cs="Times New Roman"/>
                      <w:bCs/>
                      <w:color w:val="auto"/>
                      <w:spacing w:val="0"/>
                      <w:sz w:val="21"/>
                      <w:szCs w:val="21"/>
                      <w:lang w:val="en-US" w:eastAsia="zh-CN"/>
                    </w:rPr>
                    <w:t>从村内道路到工程区，</w:t>
                  </w:r>
                  <w:r>
                    <w:rPr>
                      <w:rFonts w:hint="eastAsia"/>
                      <w:color w:val="auto"/>
                      <w:highlight w:val="none"/>
                    </w:rPr>
                    <w:t>新建</w:t>
                  </w:r>
                  <w:r>
                    <w:rPr>
                      <w:rFonts w:hint="eastAsia"/>
                      <w:color w:val="auto"/>
                      <w:highlight w:val="none"/>
                      <w:lang w:eastAsia="zh-CN"/>
                    </w:rPr>
                    <w:t>施工道路</w:t>
                  </w:r>
                  <w:r>
                    <w:rPr>
                      <w:rFonts w:hint="eastAsia"/>
                      <w:color w:val="auto"/>
                      <w:highlight w:val="none"/>
                      <w:lang w:val="en-US" w:eastAsia="zh-CN"/>
                    </w:rPr>
                    <w:t>1.1k</w:t>
                  </w:r>
                  <w:r>
                    <w:rPr>
                      <w:rFonts w:hint="eastAsia"/>
                      <w:color w:val="auto"/>
                      <w:highlight w:val="none"/>
                    </w:rPr>
                    <w:t>m，路面宽5m，</w:t>
                  </w:r>
                  <w:r>
                    <w:rPr>
                      <w:rFonts w:hint="eastAsia"/>
                      <w:color w:val="auto"/>
                      <w:highlight w:val="none"/>
                      <w:lang w:eastAsia="zh-CN"/>
                    </w:rPr>
                    <w:t>占地面积</w:t>
                  </w:r>
                  <w:r>
                    <w:rPr>
                      <w:rFonts w:hint="eastAsia"/>
                      <w:color w:val="auto"/>
                      <w:highlight w:val="none"/>
                      <w:lang w:val="en-US" w:eastAsia="zh-CN"/>
                    </w:rPr>
                    <w:t>8.25亩，</w:t>
                  </w:r>
                  <w:r>
                    <w:rPr>
                      <w:rFonts w:hint="eastAsia"/>
                      <w:color w:val="auto"/>
                      <w:highlight w:val="none"/>
                    </w:rPr>
                    <w:t>砂砾石路面</w:t>
                  </w:r>
                  <w:r>
                    <w:rPr>
                      <w:rFonts w:hint="eastAsia"/>
                      <w:color w:val="auto"/>
                      <w:highlight w:val="none"/>
                      <w:lang w:eastAsia="zh-CN"/>
                    </w:rPr>
                    <w:t>，</w:t>
                  </w:r>
                  <w:r>
                    <w:rPr>
                      <w:rFonts w:hint="eastAsia"/>
                      <w:color w:val="auto"/>
                      <w:szCs w:val="21"/>
                      <w:lang w:val="en-US" w:eastAsia="zh-CN"/>
                    </w:rPr>
                    <w:t>项目施工结束后对临时施工道路进行整治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493"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tcBorders>
                    <w:tl2br w:val="nil"/>
                    <w:tr2bl w:val="nil"/>
                  </w:tcBorders>
                  <w:vAlign w:val="center"/>
                </w:tcPr>
                <w:p>
                  <w:pPr>
                    <w:jc w:val="center"/>
                    <w:rPr>
                      <w:rFonts w:hint="default" w:ascii="Times New Roman" w:hAnsi="Times New Roman" w:cs="Times New Roman"/>
                      <w:color w:val="auto"/>
                      <w:szCs w:val="21"/>
                    </w:rPr>
                  </w:pPr>
                  <w:r>
                    <w:rPr>
                      <w:rFonts w:hint="default" w:ascii="Times New Roman" w:hAnsi="Times New Roman" w:cs="Times New Roman"/>
                      <w:color w:val="auto"/>
                      <w:szCs w:val="21"/>
                      <w:lang w:bidi="zh-CN"/>
                    </w:rPr>
                    <w:t>施工</w:t>
                  </w:r>
                  <w:r>
                    <w:rPr>
                      <w:rFonts w:hint="eastAsia" w:cs="Times New Roman"/>
                      <w:color w:val="auto"/>
                      <w:szCs w:val="21"/>
                      <w:lang w:bidi="zh-CN"/>
                    </w:rPr>
                    <w:t>营地</w:t>
                  </w:r>
                </w:p>
              </w:tc>
              <w:tc>
                <w:tcPr>
                  <w:tcW w:w="3733" w:type="pct"/>
                  <w:tcBorders>
                    <w:tl2br w:val="nil"/>
                    <w:tr2bl w:val="nil"/>
                  </w:tcBorders>
                  <w:vAlign w:val="center"/>
                </w:tcPr>
                <w:p>
                  <w:pPr>
                    <w:rPr>
                      <w:rFonts w:hint="default" w:ascii="Times New Roman" w:hAnsi="Times New Roman" w:cs="Times New Roman"/>
                      <w:color w:val="auto"/>
                      <w:szCs w:val="21"/>
                    </w:rPr>
                  </w:pPr>
                  <w:r>
                    <w:rPr>
                      <w:rFonts w:hint="eastAsia"/>
                      <w:color w:val="auto"/>
                      <w:szCs w:val="21"/>
                      <w:lang w:val="en-US" w:eastAsia="zh-CN"/>
                    </w:rPr>
                    <w:t>项目设置施工营地1处，租用附近民房，施工营地设有机械停放场、施工仓库、施工办公区</w:t>
                  </w:r>
                  <w:r>
                    <w:rPr>
                      <w:rFonts w:hint="eastAsia"/>
                      <w:color w:val="auto"/>
                      <w:szCs w:val="21"/>
                      <w:lang w:eastAsia="zh-CN"/>
                    </w:rPr>
                    <w:t>；</w:t>
                  </w:r>
                  <w:r>
                    <w:rPr>
                      <w:rFonts w:hint="eastAsia"/>
                      <w:color w:val="auto"/>
                      <w:szCs w:val="21"/>
                    </w:rPr>
                    <w:t>主要用于项目施工人员办公、施工设备及施工材料存放。施工营地内</w:t>
                  </w:r>
                  <w:r>
                    <w:rPr>
                      <w:rFonts w:hint="eastAsia"/>
                      <w:color w:val="auto"/>
                      <w:szCs w:val="21"/>
                      <w:lang w:val="en-US" w:eastAsia="zh-CN"/>
                    </w:rPr>
                    <w:t>办公</w:t>
                  </w:r>
                  <w:r>
                    <w:rPr>
                      <w:rFonts w:hint="eastAsia"/>
                      <w:color w:val="auto"/>
                      <w:szCs w:val="21"/>
                    </w:rPr>
                    <w:t>区</w:t>
                  </w:r>
                  <w:r>
                    <w:rPr>
                      <w:rFonts w:hint="eastAsia"/>
                      <w:color w:val="auto"/>
                      <w:szCs w:val="21"/>
                      <w:lang w:val="en-US" w:eastAsia="zh-CN"/>
                    </w:rPr>
                    <w:t>不提供</w:t>
                  </w:r>
                  <w:r>
                    <w:rPr>
                      <w:rFonts w:hint="eastAsia"/>
                      <w:color w:val="auto"/>
                      <w:szCs w:val="21"/>
                    </w:rPr>
                    <w:t>食宿</w:t>
                  </w:r>
                  <w:r>
                    <w:rPr>
                      <w:rFonts w:hint="eastAsia"/>
                      <w:color w:val="auto"/>
                      <w:szCs w:val="21"/>
                      <w:lang w:eastAsia="zh-CN"/>
                    </w:rPr>
                    <w:t>，</w:t>
                  </w:r>
                  <w:r>
                    <w:rPr>
                      <w:rFonts w:hint="eastAsia"/>
                      <w:color w:val="auto"/>
                      <w:szCs w:val="21"/>
                      <w:lang w:val="en-US" w:eastAsia="zh-CN"/>
                    </w:rPr>
                    <w:t>设置环保旱厕1座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493" w:type="pct"/>
                  <w:vMerge w:val="continue"/>
                  <w:tcBorders>
                    <w:tl2br w:val="nil"/>
                    <w:tr2bl w:val="nil"/>
                  </w:tcBorders>
                  <w:vAlign w:val="center"/>
                </w:tcPr>
                <w:p>
                  <w:pPr>
                    <w:jc w:val="center"/>
                    <w:rPr>
                      <w:rFonts w:hint="eastAsia" w:ascii="Times New Roman" w:hAnsi="Times New Roman" w:eastAsia="宋体" w:cs="Times New Roman"/>
                      <w:color w:val="auto"/>
                      <w:szCs w:val="21"/>
                      <w:lang w:eastAsia="zh-CN"/>
                    </w:rPr>
                  </w:pPr>
                </w:p>
              </w:tc>
              <w:tc>
                <w:tcPr>
                  <w:tcW w:w="773" w:type="pct"/>
                  <w:gridSpan w:val="2"/>
                  <w:tcBorders>
                    <w:tl2br w:val="nil"/>
                    <w:tr2bl w:val="nil"/>
                  </w:tcBorders>
                  <w:vAlign w:val="center"/>
                </w:tcPr>
                <w:p>
                  <w:pPr>
                    <w:adjustRightInd w:val="0"/>
                    <w:snapToGrid w:val="0"/>
                    <w:jc w:val="center"/>
                    <w:rPr>
                      <w:rFonts w:hint="default" w:ascii="Times New Roman" w:hAnsi="Times New Roman" w:eastAsia="宋体" w:cs="Times New Roman"/>
                      <w:color w:val="auto"/>
                      <w:spacing w:val="0"/>
                      <w:kern w:val="2"/>
                      <w:sz w:val="21"/>
                      <w:szCs w:val="21"/>
                      <w:highlight w:val="none"/>
                      <w:lang w:val="en-US" w:eastAsia="zh-CN" w:bidi="ar-SA"/>
                    </w:rPr>
                  </w:pPr>
                  <w:r>
                    <w:rPr>
                      <w:rFonts w:hint="default" w:ascii="Times New Roman" w:hAnsi="Times New Roman" w:eastAsia="宋体" w:cs="Times New Roman"/>
                      <w:bCs/>
                      <w:color w:val="auto"/>
                      <w:spacing w:val="0"/>
                      <w:sz w:val="21"/>
                      <w:szCs w:val="21"/>
                    </w:rPr>
                    <w:t>取土场</w:t>
                  </w:r>
                </w:p>
              </w:tc>
              <w:tc>
                <w:tcPr>
                  <w:tcW w:w="37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left"/>
                    <w:textAlignment w:val="auto"/>
                    <w:rPr>
                      <w:rFonts w:hint="default" w:ascii="Times New Roman" w:hAnsi="Times New Roman" w:eastAsia="宋体" w:cs="Times New Roman"/>
                      <w:color w:val="auto"/>
                      <w:spacing w:val="0"/>
                      <w:kern w:val="2"/>
                      <w:sz w:val="21"/>
                      <w:szCs w:val="21"/>
                      <w:highlight w:val="none"/>
                      <w:lang w:val="en-US" w:eastAsia="zh-CN" w:bidi="ar-SA"/>
                    </w:rPr>
                  </w:pPr>
                  <w:r>
                    <w:rPr>
                      <w:rFonts w:hint="default" w:ascii="Times New Roman" w:hAnsi="Times New Roman" w:eastAsia="宋体" w:cs="Times New Roman"/>
                      <w:bCs/>
                      <w:color w:val="auto"/>
                      <w:spacing w:val="0"/>
                      <w:sz w:val="21"/>
                      <w:szCs w:val="21"/>
                    </w:rPr>
                    <w:t>本项目</w:t>
                  </w:r>
                  <w:r>
                    <w:rPr>
                      <w:rFonts w:hint="eastAsia" w:cs="Times New Roman"/>
                      <w:bCs/>
                      <w:color w:val="auto"/>
                      <w:spacing w:val="0"/>
                      <w:sz w:val="21"/>
                      <w:szCs w:val="21"/>
                      <w:lang w:eastAsia="zh-CN"/>
                    </w:rPr>
                    <w:t>挖方全部回填</w:t>
                  </w:r>
                  <w:r>
                    <w:rPr>
                      <w:rFonts w:hint="default" w:ascii="Times New Roman" w:hAnsi="Times New Roman" w:eastAsia="宋体" w:cs="Times New Roman"/>
                      <w:bCs/>
                      <w:color w:val="auto"/>
                      <w:spacing w:val="0"/>
                      <w:sz w:val="21"/>
                      <w:szCs w:val="21"/>
                      <w:lang w:val="en-US" w:eastAsia="zh-CN"/>
                    </w:rPr>
                    <w:t>，</w:t>
                  </w:r>
                  <w:r>
                    <w:rPr>
                      <w:rFonts w:hint="default" w:ascii="Times New Roman" w:hAnsi="Times New Roman" w:eastAsia="宋体" w:cs="Times New Roman"/>
                      <w:bCs/>
                      <w:color w:val="auto"/>
                      <w:spacing w:val="0"/>
                      <w:sz w:val="21"/>
                      <w:szCs w:val="21"/>
                    </w:rPr>
                    <w:t>无需单设取土场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493" w:type="pct"/>
                  <w:vMerge w:val="continue"/>
                  <w:tcBorders>
                    <w:tl2br w:val="nil"/>
                    <w:tr2bl w:val="nil"/>
                  </w:tcBorders>
                  <w:vAlign w:val="center"/>
                </w:tcPr>
                <w:p>
                  <w:pPr>
                    <w:jc w:val="center"/>
                    <w:rPr>
                      <w:rFonts w:hint="eastAsia" w:cs="Times New Roman"/>
                      <w:color w:val="auto"/>
                      <w:szCs w:val="21"/>
                      <w:lang w:eastAsia="zh-CN"/>
                    </w:rPr>
                  </w:pPr>
                </w:p>
              </w:tc>
              <w:tc>
                <w:tcPr>
                  <w:tcW w:w="773" w:type="pct"/>
                  <w:gridSpan w:val="2"/>
                  <w:tcBorders>
                    <w:tl2br w:val="nil"/>
                    <w:tr2bl w:val="nil"/>
                  </w:tcBorders>
                  <w:vAlign w:val="center"/>
                </w:tcPr>
                <w:p>
                  <w:pPr>
                    <w:adjustRightInd w:val="0"/>
                    <w:snapToGrid w:val="0"/>
                    <w:jc w:val="center"/>
                    <w:rPr>
                      <w:rFonts w:hint="default" w:ascii="Times New Roman" w:hAnsi="Times New Roman" w:eastAsia="宋体" w:cs="Times New Roman"/>
                      <w:color w:val="auto"/>
                      <w:spacing w:val="0"/>
                      <w:kern w:val="2"/>
                      <w:sz w:val="21"/>
                      <w:szCs w:val="21"/>
                      <w:highlight w:val="none"/>
                      <w:lang w:val="en-US" w:eastAsia="zh-CN" w:bidi="ar-SA"/>
                    </w:rPr>
                  </w:pPr>
                  <w:r>
                    <w:rPr>
                      <w:rFonts w:hint="default" w:ascii="Times New Roman" w:hAnsi="Times New Roman" w:eastAsia="宋体" w:cs="Times New Roman"/>
                      <w:bCs/>
                      <w:color w:val="auto"/>
                      <w:spacing w:val="0"/>
                      <w:sz w:val="21"/>
                      <w:szCs w:val="21"/>
                      <w:highlight w:val="none"/>
                    </w:rPr>
                    <w:t>弃土场</w:t>
                  </w:r>
                </w:p>
              </w:tc>
              <w:tc>
                <w:tcPr>
                  <w:tcW w:w="37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left"/>
                    <w:textAlignment w:val="auto"/>
                    <w:rPr>
                      <w:rFonts w:hint="default" w:ascii="Times New Roman" w:hAnsi="Times New Roman" w:eastAsia="宋体" w:cs="Times New Roman"/>
                      <w:color w:val="auto"/>
                      <w:spacing w:val="0"/>
                      <w:kern w:val="2"/>
                      <w:sz w:val="21"/>
                      <w:szCs w:val="21"/>
                      <w:highlight w:val="none"/>
                      <w:lang w:val="en-US" w:eastAsia="zh-CN" w:bidi="ar-SA"/>
                    </w:rPr>
                  </w:pPr>
                  <w:r>
                    <w:rPr>
                      <w:rFonts w:hint="eastAsia" w:cs="Times New Roman"/>
                      <w:color w:val="auto"/>
                      <w:sz w:val="21"/>
                      <w:szCs w:val="21"/>
                      <w:lang w:val="en-US" w:eastAsia="zh-CN"/>
                    </w:rPr>
                    <w:t>本项目挖方部分回填，设置1处弃土场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493" w:type="pct"/>
                  <w:vMerge w:val="restart"/>
                  <w:tcBorders>
                    <w:tl2br w:val="nil"/>
                    <w:tr2bl w:val="nil"/>
                  </w:tcBorders>
                  <w:vAlign w:val="center"/>
                </w:tcPr>
                <w:p>
                  <w:pPr>
                    <w:jc w:val="center"/>
                    <w:rPr>
                      <w:rFonts w:hint="default" w:ascii="Times New Roman" w:hAnsi="Times New Roman" w:cs="Times New Roman"/>
                      <w:color w:val="auto"/>
                      <w:szCs w:val="21"/>
                    </w:rPr>
                  </w:pPr>
                  <w:r>
                    <w:rPr>
                      <w:rFonts w:hint="default" w:ascii="Times New Roman" w:hAnsi="Times New Roman" w:cs="Times New Roman"/>
                      <w:color w:val="auto"/>
                      <w:szCs w:val="21"/>
                    </w:rPr>
                    <w:t>公用工程</w:t>
                  </w:r>
                </w:p>
              </w:tc>
              <w:tc>
                <w:tcPr>
                  <w:tcW w:w="773" w:type="pct"/>
                  <w:gridSpan w:val="2"/>
                  <w:tcBorders>
                    <w:tl2br w:val="nil"/>
                    <w:tr2bl w:val="nil"/>
                  </w:tcBorders>
                  <w:vAlign w:val="center"/>
                </w:tcPr>
                <w:p>
                  <w:pPr>
                    <w:jc w:val="center"/>
                    <w:rPr>
                      <w:rFonts w:hint="default" w:ascii="Times New Roman" w:hAnsi="Times New Roman" w:cs="Times New Roman"/>
                      <w:color w:val="auto"/>
                      <w:szCs w:val="21"/>
                    </w:rPr>
                  </w:pPr>
                  <w:r>
                    <w:rPr>
                      <w:rFonts w:hint="default" w:ascii="Times New Roman" w:hAnsi="Times New Roman" w:cs="Times New Roman"/>
                      <w:color w:val="auto"/>
                      <w:szCs w:val="21"/>
                    </w:rPr>
                    <w:t>用水</w:t>
                  </w:r>
                </w:p>
              </w:tc>
              <w:tc>
                <w:tcPr>
                  <w:tcW w:w="3733" w:type="pct"/>
                  <w:tcBorders>
                    <w:tl2br w:val="nil"/>
                    <w:tr2bl w:val="nil"/>
                  </w:tcBorders>
                  <w:vAlign w:val="center"/>
                </w:tcPr>
                <w:p>
                  <w:pPr>
                    <w:rPr>
                      <w:rFonts w:hint="default" w:ascii="Times New Roman" w:hAnsi="Times New Roman" w:cs="Times New Roman"/>
                      <w:color w:val="auto"/>
                      <w:szCs w:val="21"/>
                    </w:rPr>
                  </w:pPr>
                  <w:r>
                    <w:rPr>
                      <w:rFonts w:hint="eastAsia"/>
                      <w:color w:val="auto"/>
                      <w:szCs w:val="21"/>
                    </w:rPr>
                    <w:t>营运期无用水产生</w:t>
                  </w:r>
                  <w:r>
                    <w:rPr>
                      <w:rFonts w:hint="eastAsia"/>
                      <w:color w:val="auto"/>
                      <w:szCs w:val="21"/>
                      <w:lang w:eastAsia="zh-CN"/>
                    </w:rPr>
                    <w:t>，</w:t>
                  </w:r>
                  <w:r>
                    <w:rPr>
                      <w:rFonts w:hint="eastAsia"/>
                      <w:color w:val="auto"/>
                      <w:szCs w:val="21"/>
                    </w:rPr>
                    <w:t>项目用水主要为施工期，工程施工用水就近拉运自来水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493"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tcBorders>
                    <w:tl2br w:val="nil"/>
                    <w:tr2bl w:val="nil"/>
                  </w:tcBorders>
                  <w:vAlign w:val="center"/>
                </w:tcPr>
                <w:p>
                  <w:pPr>
                    <w:jc w:val="center"/>
                    <w:rPr>
                      <w:rFonts w:hint="default" w:ascii="Times New Roman" w:hAnsi="Times New Roman" w:cs="Times New Roman"/>
                      <w:color w:val="auto"/>
                      <w:szCs w:val="21"/>
                    </w:rPr>
                  </w:pPr>
                  <w:r>
                    <w:rPr>
                      <w:rFonts w:hint="default" w:ascii="Times New Roman" w:hAnsi="Times New Roman" w:cs="Times New Roman"/>
                      <w:color w:val="auto"/>
                      <w:szCs w:val="21"/>
                    </w:rPr>
                    <w:t>用电</w:t>
                  </w:r>
                </w:p>
              </w:tc>
              <w:tc>
                <w:tcPr>
                  <w:tcW w:w="3733" w:type="pct"/>
                  <w:tcBorders>
                    <w:tl2br w:val="nil"/>
                    <w:tr2bl w:val="nil"/>
                  </w:tcBorders>
                  <w:vAlign w:val="center"/>
                </w:tcPr>
                <w:p>
                  <w:pPr>
                    <w:rPr>
                      <w:rFonts w:hint="default" w:ascii="Times New Roman" w:hAnsi="Times New Roman" w:cs="Times New Roman"/>
                      <w:color w:val="auto"/>
                      <w:szCs w:val="21"/>
                    </w:rPr>
                  </w:pPr>
                  <w:r>
                    <w:rPr>
                      <w:rFonts w:hint="eastAsia"/>
                      <w:color w:val="auto"/>
                      <w:szCs w:val="21"/>
                    </w:rPr>
                    <w:t>项目用电由附近村庄供电电网供给</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493"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tcBorders>
                    <w:tl2br w:val="nil"/>
                    <w:tr2bl w:val="nil"/>
                  </w:tcBorders>
                  <w:vAlign w:val="center"/>
                </w:tcPr>
                <w:p>
                  <w:pPr>
                    <w:jc w:val="center"/>
                    <w:rPr>
                      <w:rFonts w:hint="eastAsia" w:ascii="Times New Roman" w:hAnsi="Times New Roman" w:eastAsia="宋体" w:cs="Times New Roman"/>
                      <w:color w:val="auto"/>
                      <w:szCs w:val="21"/>
                      <w:lang w:eastAsia="zh-CN"/>
                    </w:rPr>
                  </w:pPr>
                  <w:r>
                    <w:rPr>
                      <w:rFonts w:hint="eastAsia" w:cs="Times New Roman"/>
                      <w:color w:val="auto"/>
                      <w:szCs w:val="21"/>
                      <w:lang w:eastAsia="zh-CN"/>
                    </w:rPr>
                    <w:t>排水</w:t>
                  </w:r>
                </w:p>
              </w:tc>
              <w:tc>
                <w:tcPr>
                  <w:tcW w:w="3733" w:type="pct"/>
                  <w:tcBorders>
                    <w:tl2br w:val="nil"/>
                    <w:tr2bl w:val="nil"/>
                  </w:tcBorders>
                  <w:vAlign w:val="center"/>
                </w:tcPr>
                <w:p>
                  <w:pPr>
                    <w:rPr>
                      <w:rFonts w:hint="eastAsia"/>
                      <w:color w:val="auto"/>
                      <w:szCs w:val="21"/>
                    </w:rPr>
                  </w:pPr>
                  <w:r>
                    <w:rPr>
                      <w:rFonts w:hint="eastAsia"/>
                      <w:color w:val="auto"/>
                      <w:szCs w:val="21"/>
                    </w:rPr>
                    <w:t>项目营运期无废水产生，项目施工期</w:t>
                  </w:r>
                  <w:r>
                    <w:rPr>
                      <w:rFonts w:hint="eastAsia"/>
                      <w:color w:val="auto"/>
                      <w:szCs w:val="21"/>
                      <w:lang w:eastAsia="zh-CN"/>
                    </w:rPr>
                    <w:t>车辆出入，设置草垫子及草垫子洒水对出入车辆轮胎刷洗，</w:t>
                  </w:r>
                  <w:r>
                    <w:rPr>
                      <w:rFonts w:hint="eastAsia"/>
                      <w:color w:val="auto"/>
                      <w:szCs w:val="21"/>
                    </w:rPr>
                    <w:t>废水</w:t>
                  </w:r>
                  <w:r>
                    <w:rPr>
                      <w:rFonts w:hint="eastAsia"/>
                      <w:color w:val="auto"/>
                      <w:szCs w:val="21"/>
                      <w:lang w:val="en-US" w:eastAsia="zh-CN"/>
                    </w:rPr>
                    <w:t>蒸发损耗不外排；</w:t>
                  </w:r>
                  <w:r>
                    <w:rPr>
                      <w:rFonts w:hint="eastAsia"/>
                      <w:color w:val="auto"/>
                      <w:szCs w:val="21"/>
                      <w:lang w:eastAsia="zh-CN"/>
                    </w:rPr>
                    <w:t>施工营地</w:t>
                  </w:r>
                  <w:r>
                    <w:rPr>
                      <w:rFonts w:hint="eastAsia"/>
                      <w:color w:val="auto"/>
                      <w:szCs w:val="21"/>
                    </w:rPr>
                    <w:t>设置环保旱厕，旱厕定期清掏外运</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493" w:type="pct"/>
                  <w:vMerge w:val="restart"/>
                  <w:tcBorders>
                    <w:tl2br w:val="nil"/>
                    <w:tr2bl w:val="nil"/>
                  </w:tcBorders>
                  <w:vAlign w:val="center"/>
                </w:tcPr>
                <w:p>
                  <w:pPr>
                    <w:jc w:val="center"/>
                    <w:rPr>
                      <w:rFonts w:hint="default" w:ascii="Times New Roman" w:hAnsi="Times New Roman" w:cs="Times New Roman"/>
                      <w:color w:val="auto"/>
                      <w:szCs w:val="21"/>
                    </w:rPr>
                  </w:pPr>
                  <w:r>
                    <w:rPr>
                      <w:rFonts w:hint="default" w:ascii="Times New Roman" w:hAnsi="Times New Roman" w:cs="Times New Roman"/>
                      <w:color w:val="auto"/>
                      <w:szCs w:val="21"/>
                    </w:rPr>
                    <w:t>环保</w:t>
                  </w:r>
                </w:p>
                <w:p>
                  <w:pPr>
                    <w:jc w:val="center"/>
                    <w:rPr>
                      <w:rFonts w:hint="default" w:ascii="Times New Roman" w:hAnsi="Times New Roman" w:cs="Times New Roman"/>
                      <w:color w:val="auto"/>
                      <w:szCs w:val="21"/>
                    </w:rPr>
                  </w:pPr>
                  <w:r>
                    <w:rPr>
                      <w:rFonts w:hint="default" w:ascii="Times New Roman" w:hAnsi="Times New Roman" w:cs="Times New Roman"/>
                      <w:color w:val="auto"/>
                      <w:szCs w:val="21"/>
                    </w:rPr>
                    <w:t>工程</w:t>
                  </w:r>
                </w:p>
              </w:tc>
              <w:tc>
                <w:tcPr>
                  <w:tcW w:w="291" w:type="pct"/>
                  <w:vMerge w:val="restart"/>
                  <w:tcBorders>
                    <w:tl2br w:val="nil"/>
                    <w:tr2bl w:val="nil"/>
                  </w:tcBorders>
                  <w:vAlign w:val="center"/>
                </w:tcPr>
                <w:p>
                  <w:pPr>
                    <w:jc w:val="center"/>
                    <w:rPr>
                      <w:rFonts w:hint="default" w:ascii="Times New Roman" w:hAnsi="Times New Roman" w:cs="Times New Roman"/>
                      <w:color w:val="auto"/>
                      <w:szCs w:val="21"/>
                    </w:rPr>
                  </w:pPr>
                  <w:r>
                    <w:rPr>
                      <w:rFonts w:hint="default" w:ascii="Times New Roman" w:hAnsi="Times New Roman" w:cs="Times New Roman"/>
                      <w:color w:val="auto"/>
                      <w:szCs w:val="21"/>
                    </w:rPr>
                    <w:t>施工期</w:t>
                  </w:r>
                </w:p>
              </w:tc>
              <w:tc>
                <w:tcPr>
                  <w:tcW w:w="482" w:type="pct"/>
                  <w:vMerge w:val="restart"/>
                  <w:tcBorders>
                    <w:tl2br w:val="nil"/>
                    <w:tr2bl w:val="nil"/>
                  </w:tcBorders>
                  <w:vAlign w:val="center"/>
                </w:tcPr>
                <w:p>
                  <w:pPr>
                    <w:jc w:val="center"/>
                    <w:rPr>
                      <w:rFonts w:hint="default" w:ascii="Times New Roman" w:hAnsi="Times New Roman" w:cs="Times New Roman"/>
                      <w:color w:val="auto"/>
                      <w:szCs w:val="21"/>
                    </w:rPr>
                  </w:pPr>
                  <w:r>
                    <w:rPr>
                      <w:rFonts w:hint="eastAsia" w:cs="Times New Roman"/>
                      <w:color w:val="auto"/>
                      <w:szCs w:val="21"/>
                      <w:lang w:bidi="zh-CN"/>
                    </w:rPr>
                    <w:t>废水治理</w:t>
                  </w:r>
                </w:p>
              </w:tc>
              <w:tc>
                <w:tcPr>
                  <w:tcW w:w="37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left"/>
                    <w:textAlignment w:val="auto"/>
                    <w:rPr>
                      <w:rFonts w:hint="default" w:ascii="Times New Roman" w:hAnsi="Times New Roman" w:eastAsia="宋体" w:cs="Times New Roman"/>
                      <w:color w:val="auto"/>
                      <w:spacing w:val="0"/>
                      <w:kern w:val="2"/>
                      <w:sz w:val="21"/>
                      <w:szCs w:val="21"/>
                      <w:lang w:val="en-US" w:eastAsia="zh-CN" w:bidi="ar-SA"/>
                    </w:rPr>
                  </w:pPr>
                  <w:r>
                    <w:rPr>
                      <w:rFonts w:hint="eastAsia"/>
                      <w:color w:val="auto"/>
                      <w:szCs w:val="21"/>
                    </w:rPr>
                    <w:t>项目营运期无废水产生，施工期废水主要为施工期</w:t>
                  </w:r>
                  <w:r>
                    <w:rPr>
                      <w:rFonts w:hint="eastAsia"/>
                      <w:color w:val="auto"/>
                      <w:szCs w:val="21"/>
                      <w:lang w:eastAsia="zh-CN"/>
                    </w:rPr>
                    <w:t>车辆出入，设置草垫子及草垫子洒水对出入车辆轮胎刷洗，</w:t>
                  </w:r>
                  <w:r>
                    <w:rPr>
                      <w:rFonts w:hint="eastAsia"/>
                      <w:color w:val="auto"/>
                      <w:szCs w:val="21"/>
                    </w:rPr>
                    <w:t>施工废水</w:t>
                  </w:r>
                  <w:r>
                    <w:rPr>
                      <w:rFonts w:hint="eastAsia"/>
                      <w:color w:val="auto"/>
                      <w:szCs w:val="21"/>
                      <w:lang w:val="en-US" w:eastAsia="zh-CN"/>
                    </w:rPr>
                    <w:t>蒸发损耗</w:t>
                  </w:r>
                  <w:r>
                    <w:rPr>
                      <w:rFonts w:hint="eastAsia"/>
                      <w:color w:val="auto"/>
                      <w:szCs w:val="21"/>
                    </w:rPr>
                    <w:t>不外排；</w:t>
                  </w:r>
                  <w:r>
                    <w:rPr>
                      <w:rFonts w:hint="eastAsia"/>
                      <w:color w:val="auto"/>
                      <w:szCs w:val="21"/>
                      <w:lang w:eastAsia="zh-CN"/>
                    </w:rPr>
                    <w:t>施工营地</w:t>
                  </w:r>
                  <w:r>
                    <w:rPr>
                      <w:rFonts w:hint="eastAsia"/>
                      <w:color w:val="auto"/>
                      <w:szCs w:val="21"/>
                    </w:rPr>
                    <w:t>设置环保旱厕，旱厕定期清掏外运</w:t>
                  </w:r>
                  <w:r>
                    <w:rPr>
                      <w:rFonts w:hint="eastAsia"/>
                      <w:color w:val="auto"/>
                      <w:szCs w:val="21"/>
                      <w:lang w:eastAsia="zh-CN"/>
                    </w:rPr>
                    <w:t>。</w:t>
                  </w:r>
                  <w:r>
                    <w:rPr>
                      <w:rFonts w:hint="eastAsia"/>
                      <w:color w:val="auto"/>
                      <w:szCs w:val="21"/>
                      <w:lang w:val="en-US" w:eastAsia="zh-CN"/>
                    </w:rPr>
                    <w:t>在施工营地内新建1座环保旱厕，环保旱厕采取一般防渗要求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9" w:hRule="atLeast"/>
                <w:jc w:val="center"/>
              </w:trPr>
              <w:tc>
                <w:tcPr>
                  <w:tcW w:w="493"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291"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482" w:type="pct"/>
                  <w:tcBorders>
                    <w:tl2br w:val="nil"/>
                    <w:tr2bl w:val="nil"/>
                  </w:tcBorders>
                  <w:vAlign w:val="center"/>
                </w:tcPr>
                <w:p>
                  <w:pPr>
                    <w:jc w:val="center"/>
                    <w:rPr>
                      <w:rFonts w:hint="eastAsia" w:ascii="Times New Roman" w:hAnsi="Times New Roman" w:eastAsia="宋体" w:cs="Times New Roman"/>
                      <w:color w:val="auto"/>
                      <w:szCs w:val="21"/>
                      <w:lang w:eastAsia="zh-CN"/>
                    </w:rPr>
                  </w:pPr>
                  <w:r>
                    <w:rPr>
                      <w:rFonts w:hint="eastAsia" w:cs="Times New Roman"/>
                      <w:color w:val="auto"/>
                      <w:szCs w:val="21"/>
                      <w:lang w:eastAsia="zh-CN"/>
                    </w:rPr>
                    <w:t>废气治理</w:t>
                  </w:r>
                </w:p>
              </w:tc>
              <w:tc>
                <w:tcPr>
                  <w:tcW w:w="37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left"/>
                    <w:textAlignment w:val="auto"/>
                    <w:rPr>
                      <w:rFonts w:hint="default" w:ascii="Times New Roman" w:hAnsi="Times New Roman" w:eastAsia="宋体" w:cs="Times New Roman"/>
                      <w:color w:val="auto"/>
                      <w:spacing w:val="0"/>
                      <w:kern w:val="2"/>
                      <w:sz w:val="21"/>
                      <w:szCs w:val="21"/>
                      <w:lang w:val="en-US" w:eastAsia="zh-CN" w:bidi="ar-SA"/>
                    </w:rPr>
                  </w:pPr>
                  <w:r>
                    <w:rPr>
                      <w:rFonts w:hint="eastAsia"/>
                      <w:color w:val="auto"/>
                      <w:sz w:val="21"/>
                      <w:szCs w:val="21"/>
                    </w:rPr>
                    <w:t>施工场地全面落实六个标准化的扬尘控制措施，施工工地周边围挡标准化、出入车辆冲洗标准化、施工现场地面硬化标准化、物料堆放覆盖标准化、渣土车辆密闭运输标准化、拆除工作湿法作业标准化；施工期严格控制运输时间段及运输路线，施工机械尾气对周边环境影响较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93"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291"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482" w:type="pct"/>
                  <w:tcBorders>
                    <w:tl2br w:val="nil"/>
                    <w:tr2bl w:val="nil"/>
                  </w:tcBorders>
                  <w:vAlign w:val="center"/>
                </w:tcPr>
                <w:p>
                  <w:pPr>
                    <w:jc w:val="center"/>
                    <w:rPr>
                      <w:rFonts w:hint="eastAsia" w:ascii="Times New Roman" w:hAnsi="Times New Roman" w:eastAsia="宋体" w:cs="Times New Roman"/>
                      <w:color w:val="auto"/>
                      <w:szCs w:val="21"/>
                      <w:lang w:eastAsia="zh-CN"/>
                    </w:rPr>
                  </w:pPr>
                  <w:r>
                    <w:rPr>
                      <w:rFonts w:hint="default" w:ascii="Times New Roman" w:hAnsi="Times New Roman" w:cs="Times New Roman"/>
                      <w:color w:val="auto"/>
                      <w:szCs w:val="21"/>
                    </w:rPr>
                    <w:t>噪声</w:t>
                  </w:r>
                  <w:r>
                    <w:rPr>
                      <w:rFonts w:hint="eastAsia" w:cs="Times New Roman"/>
                      <w:color w:val="auto"/>
                      <w:szCs w:val="21"/>
                      <w:lang w:eastAsia="zh-CN"/>
                    </w:rPr>
                    <w:t>治理</w:t>
                  </w:r>
                </w:p>
              </w:tc>
              <w:tc>
                <w:tcPr>
                  <w:tcW w:w="3733" w:type="pct"/>
                  <w:tcBorders>
                    <w:tl2br w:val="nil"/>
                    <w:tr2bl w:val="nil"/>
                  </w:tcBorders>
                  <w:vAlign w:val="center"/>
                </w:tcPr>
                <w:p>
                  <w:pPr>
                    <w:rPr>
                      <w:rFonts w:hint="default" w:ascii="Times New Roman" w:hAnsi="Times New Roman" w:cs="Times New Roman"/>
                      <w:color w:val="auto"/>
                      <w:szCs w:val="21"/>
                      <w:highlight w:val="yellow"/>
                    </w:rPr>
                  </w:pPr>
                  <w:r>
                    <w:rPr>
                      <w:rFonts w:hAnsi="宋体"/>
                      <w:color w:val="auto"/>
                      <w:szCs w:val="21"/>
                    </w:rPr>
                    <w:t>项目施工期噪声主要为施工机械作业时产生的噪声，选择低</w:t>
                  </w:r>
                  <w:r>
                    <w:rPr>
                      <w:rFonts w:hint="eastAsia" w:hAnsi="宋体"/>
                      <w:color w:val="auto"/>
                      <w:szCs w:val="21"/>
                      <w:lang w:eastAsia="zh-CN"/>
                    </w:rPr>
                    <w:t>噪声</w:t>
                  </w:r>
                  <w:r>
                    <w:rPr>
                      <w:rFonts w:hAnsi="宋体"/>
                      <w:color w:val="auto"/>
                      <w:szCs w:val="21"/>
                    </w:rPr>
                    <w:t>设备，施工场地设置围挡；优化施工方案，尽量缩短施工周期；对车辆噪声采取严格控制运输时间和运输路线，禁止鸣笛；禁止夜间施工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493"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291"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482" w:type="pct"/>
                  <w:tcBorders>
                    <w:tl2br w:val="nil"/>
                    <w:tr2bl w:val="nil"/>
                  </w:tcBorders>
                  <w:vAlign w:val="center"/>
                </w:tcPr>
                <w:p>
                  <w:pPr>
                    <w:jc w:val="center"/>
                    <w:rPr>
                      <w:rFonts w:hint="eastAsia" w:ascii="Times New Roman" w:hAnsi="Times New Roman" w:eastAsia="宋体" w:cs="Times New Roman"/>
                      <w:color w:val="auto"/>
                      <w:szCs w:val="21"/>
                      <w:lang w:eastAsia="zh-CN"/>
                    </w:rPr>
                  </w:pPr>
                  <w:r>
                    <w:rPr>
                      <w:rFonts w:hint="default" w:ascii="Times New Roman" w:hAnsi="Times New Roman" w:cs="Times New Roman"/>
                      <w:color w:val="auto"/>
                      <w:szCs w:val="21"/>
                    </w:rPr>
                    <w:t>固</w:t>
                  </w:r>
                  <w:r>
                    <w:rPr>
                      <w:rFonts w:hint="eastAsia" w:cs="Times New Roman"/>
                      <w:color w:val="auto"/>
                      <w:szCs w:val="21"/>
                      <w:lang w:eastAsia="zh-CN"/>
                    </w:rPr>
                    <w:t>废治理</w:t>
                  </w:r>
                </w:p>
              </w:tc>
              <w:tc>
                <w:tcPr>
                  <w:tcW w:w="37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Times New Roman" w:hAnsi="Times New Roman" w:eastAsia="宋体" w:cs="Times New Roman"/>
                      <w:color w:val="auto"/>
                      <w:spacing w:val="0"/>
                      <w:kern w:val="2"/>
                      <w:sz w:val="21"/>
                      <w:szCs w:val="21"/>
                      <w:lang w:val="en-US" w:eastAsia="zh-CN" w:bidi="ar-SA"/>
                    </w:rPr>
                  </w:pPr>
                  <w:r>
                    <w:rPr>
                      <w:rFonts w:hint="default" w:ascii="Times New Roman" w:hAnsi="Times New Roman" w:eastAsia="宋体" w:cs="Times New Roman"/>
                      <w:bCs/>
                      <w:color w:val="auto"/>
                      <w:spacing w:val="0"/>
                      <w:sz w:val="21"/>
                      <w:szCs w:val="21"/>
                    </w:rPr>
                    <w:t>开挖土石方</w:t>
                  </w:r>
                  <w:r>
                    <w:rPr>
                      <w:rFonts w:hint="eastAsia" w:ascii="Times New Roman" w:hAnsi="Times New Roman" w:cs="Times New Roman"/>
                      <w:bCs/>
                      <w:color w:val="auto"/>
                      <w:spacing w:val="0"/>
                      <w:sz w:val="21"/>
                      <w:szCs w:val="21"/>
                      <w:lang w:eastAsia="zh-CN"/>
                    </w:rPr>
                    <w:t>运至</w:t>
                  </w:r>
                  <w:r>
                    <w:rPr>
                      <w:rFonts w:hint="eastAsia"/>
                      <w:color w:val="auto"/>
                      <w:highlight w:val="none"/>
                    </w:rPr>
                    <w:t>项目</w:t>
                  </w:r>
                  <w:r>
                    <w:rPr>
                      <w:rFonts w:hint="eastAsia"/>
                      <w:color w:val="auto"/>
                      <w:highlight w:val="none"/>
                      <w:lang w:eastAsia="zh-CN"/>
                    </w:rPr>
                    <w:t>设置的</w:t>
                  </w:r>
                  <w:r>
                    <w:rPr>
                      <w:rFonts w:hint="eastAsia"/>
                      <w:color w:val="auto"/>
                      <w:highlight w:val="none"/>
                    </w:rPr>
                    <w:t>弃土场</w:t>
                  </w:r>
                  <w:r>
                    <w:rPr>
                      <w:rFonts w:hint="eastAsia"/>
                      <w:color w:val="auto"/>
                      <w:highlight w:val="none"/>
                      <w:lang w:eastAsia="zh-CN"/>
                    </w:rPr>
                    <w:t>；</w:t>
                  </w:r>
                  <w:r>
                    <w:rPr>
                      <w:rFonts w:hint="eastAsia" w:hAnsi="宋体"/>
                      <w:color w:val="auto"/>
                      <w:szCs w:val="21"/>
                    </w:rPr>
                    <w:t>拆除的建筑垃圾</w:t>
                  </w:r>
                  <w:r>
                    <w:rPr>
                      <w:rFonts w:hint="eastAsia" w:hAnsi="宋体"/>
                      <w:color w:val="auto"/>
                      <w:szCs w:val="21"/>
                      <w:lang w:eastAsia="zh-CN"/>
                    </w:rPr>
                    <w:t>综合利用，未利用的交由建设单位运</w:t>
                  </w:r>
                  <w:r>
                    <w:rPr>
                      <w:rFonts w:hint="eastAsia" w:ascii="Times New Roman" w:hAnsi="Times New Roman" w:eastAsia="宋体" w:cs="Times New Roman"/>
                      <w:bCs/>
                      <w:color w:val="auto"/>
                      <w:szCs w:val="21"/>
                      <w:highlight w:val="none"/>
                      <w:lang w:eastAsia="zh-CN"/>
                    </w:rPr>
                    <w:t>至由环境卫生主管部门指定的建筑垃圾填埋场进行处置</w:t>
                  </w:r>
                  <w:r>
                    <w:rPr>
                      <w:rFonts w:hint="eastAsia" w:hAnsi="宋体"/>
                      <w:color w:val="auto"/>
                      <w:szCs w:val="21"/>
                    </w:rPr>
                    <w:t>；</w:t>
                  </w:r>
                  <w:r>
                    <w:rPr>
                      <w:rFonts w:hAnsi="宋体"/>
                      <w:color w:val="auto"/>
                      <w:szCs w:val="21"/>
                    </w:rPr>
                    <w:t>生活垃圾</w:t>
                  </w:r>
                  <w:r>
                    <w:rPr>
                      <w:rFonts w:hint="eastAsia" w:hAnsi="宋体"/>
                      <w:color w:val="auto"/>
                      <w:szCs w:val="21"/>
                    </w:rPr>
                    <w:t>分类</w:t>
                  </w:r>
                  <w:r>
                    <w:rPr>
                      <w:rFonts w:hAnsi="宋体"/>
                      <w:color w:val="auto"/>
                      <w:szCs w:val="21"/>
                    </w:rPr>
                    <w:t>收集后交由环卫部门统一处置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 w:hRule="atLeast"/>
                <w:jc w:val="center"/>
              </w:trPr>
              <w:tc>
                <w:tcPr>
                  <w:tcW w:w="493"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291"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482" w:type="pct"/>
                  <w:tcBorders>
                    <w:tl2br w:val="nil"/>
                    <w:tr2bl w:val="nil"/>
                  </w:tcBorders>
                  <w:vAlign w:val="center"/>
                </w:tcPr>
                <w:p>
                  <w:pPr>
                    <w:jc w:val="center"/>
                    <w:rPr>
                      <w:rFonts w:hint="eastAsia" w:ascii="Times New Roman" w:hAnsi="Times New Roman" w:eastAsia="宋体" w:cs="Times New Roman"/>
                      <w:color w:val="auto"/>
                      <w:szCs w:val="21"/>
                      <w:lang w:eastAsia="zh-CN"/>
                    </w:rPr>
                  </w:pPr>
                  <w:r>
                    <w:rPr>
                      <w:rFonts w:hint="default" w:ascii="Times New Roman" w:hAnsi="Times New Roman" w:cs="Times New Roman"/>
                      <w:color w:val="auto"/>
                      <w:szCs w:val="21"/>
                    </w:rPr>
                    <w:t>生态</w:t>
                  </w:r>
                </w:p>
              </w:tc>
              <w:tc>
                <w:tcPr>
                  <w:tcW w:w="3733" w:type="pct"/>
                  <w:tcBorders>
                    <w:tl2br w:val="nil"/>
                    <w:tr2bl w:val="nil"/>
                  </w:tcBorders>
                  <w:vAlign w:val="center"/>
                </w:tcPr>
                <w:p>
                  <w:pPr>
                    <w:rPr>
                      <w:rFonts w:hint="default" w:ascii="Times New Roman" w:hAnsi="Times New Roman" w:cs="Times New Roman"/>
                      <w:color w:val="auto"/>
                      <w:szCs w:val="21"/>
                    </w:rPr>
                  </w:pPr>
                  <w:r>
                    <w:rPr>
                      <w:rFonts w:hint="default" w:ascii="Times New Roman" w:hAnsi="Times New Roman" w:eastAsia="宋体" w:cs="Times New Roman"/>
                      <w:bCs/>
                      <w:color w:val="auto"/>
                      <w:spacing w:val="0"/>
                      <w:sz w:val="21"/>
                      <w:szCs w:val="21"/>
                    </w:rPr>
                    <w:t>施工完毕后，对占地范围进行</w:t>
                  </w:r>
                  <w:r>
                    <w:rPr>
                      <w:rFonts w:hint="eastAsia" w:ascii="Times New Roman" w:hAnsi="Times New Roman" w:eastAsia="宋体" w:cs="Times New Roman"/>
                      <w:bCs/>
                      <w:color w:val="auto"/>
                      <w:spacing w:val="0"/>
                      <w:sz w:val="21"/>
                      <w:szCs w:val="21"/>
                      <w:lang w:val="en-US" w:eastAsia="zh-CN"/>
                    </w:rPr>
                    <w:t>生态</w:t>
                  </w:r>
                  <w:r>
                    <w:rPr>
                      <w:rFonts w:hint="default" w:ascii="Times New Roman" w:hAnsi="Times New Roman" w:eastAsia="宋体" w:cs="Times New Roman"/>
                      <w:bCs/>
                      <w:color w:val="auto"/>
                      <w:spacing w:val="0"/>
                      <w:sz w:val="21"/>
                      <w:szCs w:val="21"/>
                    </w:rPr>
                    <w:t>恢复措施，</w:t>
                  </w:r>
                  <w:r>
                    <w:rPr>
                      <w:rFonts w:hint="default" w:ascii="Times New Roman" w:hAnsi="Times New Roman" w:eastAsia="宋体" w:cs="Times New Roman"/>
                      <w:bCs/>
                      <w:color w:val="auto"/>
                      <w:spacing w:val="0"/>
                      <w:sz w:val="21"/>
                      <w:szCs w:val="21"/>
                      <w:lang w:val="en-US" w:eastAsia="zh-CN"/>
                    </w:rPr>
                    <w:t>四周</w:t>
                  </w:r>
                  <w:r>
                    <w:rPr>
                      <w:rFonts w:hint="default" w:ascii="Times New Roman" w:hAnsi="Times New Roman" w:eastAsia="宋体" w:cs="Times New Roman"/>
                      <w:bCs/>
                      <w:color w:val="auto"/>
                      <w:spacing w:val="0"/>
                      <w:sz w:val="21"/>
                      <w:szCs w:val="21"/>
                    </w:rPr>
                    <w:t>裸露撒播草种</w:t>
                  </w:r>
                  <w:r>
                    <w:rPr>
                      <w:rFonts w:hint="eastAsia" w:ascii="Times New Roman" w:hAnsi="Times New Roman" w:eastAsia="宋体" w:cs="Times New Roman"/>
                      <w:bCs/>
                      <w:color w:val="auto"/>
                      <w:spacing w:val="0"/>
                      <w:sz w:val="21"/>
                      <w:szCs w:val="21"/>
                      <w:lang w:eastAsia="zh-CN"/>
                    </w:rPr>
                    <w:t>，</w:t>
                  </w:r>
                  <w:r>
                    <w:rPr>
                      <w:rFonts w:hint="eastAsia" w:ascii="Times New Roman" w:hAnsi="Times New Roman" w:eastAsia="宋体" w:cs="Times New Roman"/>
                      <w:bCs/>
                      <w:color w:val="auto"/>
                      <w:spacing w:val="0"/>
                      <w:sz w:val="21"/>
                      <w:szCs w:val="21"/>
                      <w:lang w:val="en-US" w:eastAsia="zh-CN"/>
                    </w:rPr>
                    <w:t>临时占地生态恢复</w:t>
                  </w:r>
                  <w:r>
                    <w:rPr>
                      <w:rFonts w:hint="default" w:ascii="Times New Roman" w:hAnsi="Times New Roman" w:eastAsia="宋体" w:cs="Times New Roman"/>
                      <w:bCs/>
                      <w:color w:val="auto"/>
                      <w:spacing w:val="0"/>
                      <w:sz w:val="21"/>
                      <w:szCs w:val="21"/>
                    </w:rPr>
                    <w:t>等；运营期加强两岸植物绿化进行维护</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 w:hRule="atLeast"/>
                <w:jc w:val="center"/>
              </w:trPr>
              <w:tc>
                <w:tcPr>
                  <w:tcW w:w="493"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tcBorders>
                    <w:tl2br w:val="nil"/>
                    <w:tr2bl w:val="nil"/>
                  </w:tcBorders>
                  <w:vAlign w:val="center"/>
                </w:tcPr>
                <w:p>
                  <w:pPr>
                    <w:jc w:val="center"/>
                    <w:rPr>
                      <w:rFonts w:hint="eastAsia" w:ascii="Times New Roman" w:hAnsi="Times New Roman" w:eastAsia="宋体" w:cs="Times New Roman"/>
                      <w:color w:val="auto"/>
                      <w:szCs w:val="21"/>
                      <w:lang w:eastAsia="zh-CN"/>
                    </w:rPr>
                  </w:pPr>
                  <w:r>
                    <w:rPr>
                      <w:rFonts w:hint="eastAsia" w:cs="Times New Roman"/>
                      <w:color w:val="auto"/>
                      <w:szCs w:val="21"/>
                      <w:lang w:eastAsia="zh-CN"/>
                    </w:rPr>
                    <w:t>运营期</w:t>
                  </w:r>
                </w:p>
              </w:tc>
              <w:tc>
                <w:tcPr>
                  <w:tcW w:w="3733" w:type="pct"/>
                  <w:tcBorders>
                    <w:tl2br w:val="nil"/>
                    <w:tr2bl w:val="nil"/>
                  </w:tcBorders>
                  <w:vAlign w:val="center"/>
                </w:tcPr>
                <w:p>
                  <w:pPr>
                    <w:rPr>
                      <w:rFonts w:hint="default" w:ascii="Times New Roman" w:hAnsi="Times New Roman" w:eastAsia="宋体" w:cs="Times New Roman"/>
                      <w:bCs/>
                      <w:color w:val="auto"/>
                      <w:spacing w:val="0"/>
                      <w:sz w:val="21"/>
                      <w:szCs w:val="21"/>
                    </w:rPr>
                  </w:pPr>
                  <w:r>
                    <w:rPr>
                      <w:rFonts w:hint="eastAsia"/>
                      <w:color w:val="auto"/>
                      <w:szCs w:val="21"/>
                    </w:rPr>
                    <w:t>项目运营期无废气、废水、噪声、固废产生</w:t>
                  </w:r>
                </w:p>
              </w:tc>
            </w:tr>
          </w:tbl>
          <w:p>
            <w:pPr>
              <w:pStyle w:val="34"/>
              <w:keepNext w:val="0"/>
              <w:keepLines w:val="0"/>
              <w:pageBreakBefore w:val="0"/>
              <w:widowControl w:val="0"/>
              <w:numPr>
                <w:ilvl w:val="0"/>
                <w:numId w:val="3"/>
              </w:numPr>
              <w:kinsoku/>
              <w:wordWrap/>
              <w:overflowPunct/>
              <w:topLinePunct w:val="0"/>
              <w:autoSpaceDE/>
              <w:autoSpaceDN/>
              <w:bidi w:val="0"/>
              <w:adjustRightInd w:val="0"/>
              <w:snapToGrid w:val="0"/>
              <w:spacing w:before="157" w:beforeLines="50"/>
              <w:ind w:left="0" w:leftChars="0" w:firstLine="482" w:firstLineChars="200"/>
              <w:textAlignment w:val="auto"/>
              <w:rPr>
                <w:rFonts w:hint="eastAsia" w:cs="Times New Roman"/>
                <w:b/>
                <w:bCs/>
                <w:color w:val="auto"/>
                <w:lang w:eastAsia="zh-CN"/>
              </w:rPr>
            </w:pPr>
            <w:r>
              <w:rPr>
                <w:rFonts w:hint="eastAsia" w:cs="Times New Roman"/>
                <w:b/>
                <w:bCs/>
                <w:color w:val="auto"/>
                <w:lang w:eastAsia="zh-CN"/>
              </w:rPr>
              <w:t>工程任务</w:t>
            </w:r>
          </w:p>
          <w:p>
            <w:pPr>
              <w:pStyle w:val="34"/>
              <w:ind w:firstLine="480"/>
              <w:rPr>
                <w:rFonts w:hint="default" w:ascii="Times New Roman" w:hAnsi="Times New Roman" w:cs="Times New Roman"/>
                <w:color w:val="auto"/>
              </w:rPr>
            </w:pPr>
            <w:r>
              <w:rPr>
                <w:rFonts w:hint="default" w:ascii="Times New Roman" w:hAnsi="Times New Roman" w:cs="Times New Roman"/>
                <w:color w:val="auto"/>
              </w:rPr>
              <w:t>（</w:t>
            </w:r>
            <w:r>
              <w:rPr>
                <w:rFonts w:hint="default" w:ascii="Times New Roman" w:hAnsi="Times New Roman" w:cs="Times New Roman"/>
                <w:color w:val="auto"/>
                <w:lang w:val="en-US" w:eastAsia="zh-CN"/>
              </w:rPr>
              <w:t>一</w:t>
            </w:r>
            <w:r>
              <w:rPr>
                <w:rFonts w:hint="default" w:ascii="Times New Roman" w:hAnsi="Times New Roman" w:cs="Times New Roman"/>
                <w:color w:val="auto"/>
              </w:rPr>
              <w:t>）拆除一期工程下游沟道防护30m（现状损毁严重），在一期消力池末端续建排洪槽至冲沟底，将洪水排泄至折腰沟主沟道，形成完善的防洪工程布局，彻底解决项目区洪水侵害问题，</w:t>
            </w:r>
          </w:p>
          <w:p>
            <w:pPr>
              <w:pStyle w:val="34"/>
              <w:ind w:firstLine="480"/>
              <w:rPr>
                <w:rFonts w:hint="default"/>
                <w:color w:val="auto"/>
              </w:rPr>
            </w:pPr>
            <w:r>
              <w:rPr>
                <w:rFonts w:hint="default" w:ascii="Times New Roman" w:hAnsi="Times New Roman" w:cs="Times New Roman"/>
                <w:color w:val="auto"/>
              </w:rPr>
              <w:t>（二）结合排洪建筑物开挖，对两岸边坡进行规整、防护，</w:t>
            </w:r>
            <w:r>
              <w:rPr>
                <w:rFonts w:hint="default" w:ascii="Times New Roman" w:hAnsi="Times New Roman" w:cs="Times New Roman"/>
                <w:color w:val="auto"/>
                <w:lang w:val="en-US" w:eastAsia="zh-CN"/>
              </w:rPr>
              <w:t>减少两岸边坡风蚀雨蚀，水土流失。并</w:t>
            </w:r>
            <w:r>
              <w:rPr>
                <w:rFonts w:hint="default" w:ascii="Times New Roman" w:hAnsi="Times New Roman" w:cs="Times New Roman"/>
                <w:color w:val="auto"/>
              </w:rPr>
              <w:t>对可能影响排洪</w:t>
            </w:r>
            <w:r>
              <w:rPr>
                <w:rFonts w:hint="default" w:ascii="Times New Roman" w:hAnsi="Times New Roman" w:cs="Times New Roman"/>
                <w:color w:val="auto"/>
                <w:lang w:val="en-US" w:eastAsia="zh-CN"/>
              </w:rPr>
              <w:t>设施</w:t>
            </w:r>
            <w:r>
              <w:rPr>
                <w:rFonts w:hint="default" w:ascii="Times New Roman" w:hAnsi="Times New Roman" w:cs="Times New Roman"/>
                <w:color w:val="auto"/>
              </w:rPr>
              <w:t>安全的落水洞进行回填，保障防洪设施安全。</w:t>
            </w:r>
          </w:p>
          <w:p>
            <w:pPr>
              <w:pStyle w:val="34"/>
              <w:keepNext w:val="0"/>
              <w:keepLines w:val="0"/>
              <w:pageBreakBefore w:val="0"/>
              <w:widowControl w:val="0"/>
              <w:numPr>
                <w:ilvl w:val="0"/>
                <w:numId w:val="3"/>
              </w:numPr>
              <w:kinsoku/>
              <w:wordWrap/>
              <w:overflowPunct/>
              <w:topLinePunct w:val="0"/>
              <w:autoSpaceDE/>
              <w:autoSpaceDN/>
              <w:bidi w:val="0"/>
              <w:adjustRightInd w:val="0"/>
              <w:snapToGrid w:val="0"/>
              <w:ind w:left="0" w:leftChars="0" w:firstLine="482" w:firstLineChars="200"/>
              <w:textAlignment w:val="auto"/>
              <w:rPr>
                <w:rFonts w:hint="default" w:ascii="Times New Roman" w:hAnsi="Times New Roman" w:cs="Times New Roman"/>
                <w:b/>
                <w:bCs/>
                <w:color w:val="auto"/>
                <w:lang w:eastAsia="zh-CN"/>
              </w:rPr>
            </w:pPr>
            <w:r>
              <w:rPr>
                <w:rFonts w:hint="eastAsia" w:ascii="Times New Roman" w:hAnsi="Times New Roman" w:cs="Times New Roman"/>
                <w:b/>
                <w:bCs/>
                <w:color w:val="auto"/>
                <w:lang w:eastAsia="zh-CN"/>
              </w:rPr>
              <w:t>项目等级标准</w:t>
            </w:r>
          </w:p>
          <w:p>
            <w:pPr>
              <w:pStyle w:val="34"/>
              <w:ind w:firstLine="480"/>
              <w:rPr>
                <w:rFonts w:hint="eastAsia" w:ascii="Times New Roman" w:hAnsi="Times New Roman" w:eastAsia="宋体" w:cs="Times New Roman"/>
                <w:color w:val="auto"/>
              </w:rPr>
            </w:pPr>
            <w:r>
              <w:rPr>
                <w:rFonts w:hint="default" w:ascii="Times New Roman" w:hAnsi="Times New Roman" w:eastAsia="宋体" w:cs="Times New Roman"/>
                <w:color w:val="auto"/>
              </w:rPr>
              <w:t>⑴工程等别及建筑物</w:t>
            </w:r>
            <w:r>
              <w:rPr>
                <w:rFonts w:hint="eastAsia" w:ascii="Times New Roman" w:hAnsi="Times New Roman" w:eastAsia="宋体" w:cs="Times New Roman"/>
                <w:color w:val="auto"/>
              </w:rPr>
              <w:t>级别</w:t>
            </w:r>
          </w:p>
          <w:p>
            <w:pPr>
              <w:pStyle w:val="34"/>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根据《水利水电工程等级划分及洪水标准》（SL252-2017），</w:t>
            </w:r>
            <w:r>
              <w:rPr>
                <w:rFonts w:hint="eastAsia" w:ascii="Times New Roman" w:hAnsi="Times New Roman" w:eastAsia="宋体" w:cs="Times New Roman"/>
                <w:color w:val="auto"/>
                <w:lang w:eastAsia="zh-CN"/>
              </w:rPr>
              <w:t>本工程为</w:t>
            </w:r>
            <w:r>
              <w:rPr>
                <w:rFonts w:hint="default" w:ascii="Times New Roman" w:hAnsi="Times New Roman" w:eastAsia="宋体" w:cs="Times New Roman"/>
                <w:color w:val="auto"/>
              </w:rPr>
              <w:t>Ⅴ等</w:t>
            </w:r>
            <w:r>
              <w:rPr>
                <w:rFonts w:hint="eastAsia" w:ascii="Times New Roman" w:hAnsi="Times New Roman" w:eastAsia="宋体" w:cs="Times New Roman"/>
                <w:color w:val="auto"/>
                <w:lang w:eastAsia="zh-CN"/>
              </w:rPr>
              <w:t>小（</w:t>
            </w:r>
            <w:r>
              <w:rPr>
                <w:rFonts w:hint="eastAsia" w:ascii="Times New Roman" w:hAnsi="Times New Roman" w:eastAsia="宋体" w:cs="Times New Roman"/>
                <w:color w:val="auto"/>
                <w:lang w:val="en-US" w:eastAsia="zh-CN"/>
              </w:rPr>
              <w:t>2</w:t>
            </w:r>
            <w:r>
              <w:rPr>
                <w:rFonts w:hint="eastAsia" w:ascii="Times New Roman" w:hAnsi="Times New Roman" w:eastAsia="宋体" w:cs="Times New Roman"/>
                <w:color w:val="auto"/>
                <w:lang w:eastAsia="zh-CN"/>
              </w:rPr>
              <w:t>）型工程，排洪槽、消力池等主要、次要建筑级别均为</w:t>
            </w:r>
            <w:r>
              <w:rPr>
                <w:rFonts w:hint="eastAsia" w:ascii="Times New Roman" w:hAnsi="Times New Roman" w:eastAsia="宋体" w:cs="Times New Roman"/>
                <w:color w:val="auto"/>
                <w:lang w:val="en-US" w:eastAsia="zh-CN"/>
              </w:rPr>
              <w:t>5级。临时建筑物级别为5级。</w:t>
            </w:r>
          </w:p>
          <w:p>
            <w:pPr>
              <w:pStyle w:val="34"/>
              <w:ind w:firstLine="480"/>
              <w:rPr>
                <w:rFonts w:hint="eastAsia" w:ascii="Times New Roman" w:hAnsi="Times New Roman" w:eastAsia="宋体" w:cs="Times New Roman"/>
                <w:color w:val="auto"/>
                <w:lang w:eastAsia="zh-CN"/>
              </w:rPr>
            </w:pPr>
            <w:r>
              <w:rPr>
                <w:rFonts w:hint="default" w:ascii="Times New Roman" w:hAnsi="Times New Roman" w:eastAsia="宋体" w:cs="Times New Roman"/>
                <w:color w:val="auto"/>
              </w:rPr>
              <w:t>⑵</w:t>
            </w:r>
            <w:r>
              <w:rPr>
                <w:rFonts w:hint="eastAsia" w:ascii="Times New Roman" w:hAnsi="Times New Roman" w:eastAsia="宋体" w:cs="Times New Roman"/>
                <w:color w:val="auto"/>
                <w:lang w:eastAsia="zh-CN"/>
              </w:rPr>
              <w:t>洪水标准</w:t>
            </w:r>
          </w:p>
          <w:p>
            <w:pPr>
              <w:pStyle w:val="34"/>
              <w:ind w:firstLine="480"/>
              <w:rPr>
                <w:rFonts w:hint="eastAsia" w:ascii="Times New Roman" w:hAnsi="Times New Roman" w:eastAsia="宋体" w:cs="Times New Roman"/>
                <w:color w:val="auto"/>
                <w:lang w:eastAsia="zh-CN"/>
              </w:rPr>
            </w:pPr>
            <w:r>
              <w:rPr>
                <w:rFonts w:hint="eastAsia" w:ascii="Times New Roman" w:hAnsi="Times New Roman" w:eastAsia="宋体" w:cs="Times New Roman"/>
                <w:color w:val="auto"/>
              </w:rPr>
              <w:t>排洪槽、消力池</w:t>
            </w:r>
            <w:r>
              <w:rPr>
                <w:rFonts w:hint="default" w:ascii="Times New Roman" w:hAnsi="Times New Roman" w:eastAsia="宋体" w:cs="Times New Roman"/>
                <w:color w:val="auto"/>
              </w:rPr>
              <w:t>洪水</w:t>
            </w:r>
            <w:r>
              <w:rPr>
                <w:rFonts w:hint="eastAsia" w:ascii="Times New Roman" w:hAnsi="Times New Roman" w:eastAsia="宋体" w:cs="Times New Roman"/>
                <w:color w:val="auto"/>
              </w:rPr>
              <w:t>设计</w:t>
            </w:r>
            <w:r>
              <w:rPr>
                <w:rFonts w:hint="default" w:ascii="Times New Roman" w:hAnsi="Times New Roman" w:eastAsia="宋体" w:cs="Times New Roman"/>
                <w:color w:val="auto"/>
              </w:rPr>
              <w:t>洪水标准为10年一遇（P=10%），相应洪峰流量为5.2m</w:t>
            </w:r>
            <w:r>
              <w:rPr>
                <w:rFonts w:hint="eastAsia" w:ascii="Times New Roman" w:hAnsi="Times New Roman" w:eastAsia="宋体" w:cs="Times New Roman"/>
                <w:color w:val="auto"/>
                <w:vertAlign w:val="superscript"/>
                <w:lang w:val="en-US" w:eastAsia="zh-CN"/>
              </w:rPr>
              <w:t>3</w:t>
            </w:r>
            <w:r>
              <w:rPr>
                <w:rFonts w:hint="default" w:ascii="Times New Roman" w:hAnsi="Times New Roman" w:eastAsia="宋体" w:cs="Times New Roman"/>
                <w:color w:val="auto"/>
              </w:rPr>
              <w:t>/s。</w:t>
            </w:r>
          </w:p>
          <w:p>
            <w:pPr>
              <w:pStyle w:val="34"/>
              <w:keepNext w:val="0"/>
              <w:keepLines w:val="0"/>
              <w:pageBreakBefore w:val="0"/>
              <w:widowControl w:val="0"/>
              <w:numPr>
                <w:ilvl w:val="0"/>
                <w:numId w:val="3"/>
              </w:numPr>
              <w:kinsoku/>
              <w:wordWrap/>
              <w:overflowPunct/>
              <w:topLinePunct w:val="0"/>
              <w:autoSpaceDE/>
              <w:autoSpaceDN/>
              <w:bidi w:val="0"/>
              <w:adjustRightInd w:val="0"/>
              <w:snapToGrid w:val="0"/>
              <w:spacing w:before="157" w:beforeLines="50"/>
              <w:ind w:left="0" w:leftChars="0" w:firstLine="482" w:firstLineChars="200"/>
              <w:textAlignment w:val="auto"/>
              <w:rPr>
                <w:rFonts w:hint="eastAsia" w:ascii="Times New Roman" w:hAnsi="Times New Roman" w:eastAsia="宋体" w:cs="Times New Roman"/>
                <w:b/>
                <w:bCs/>
                <w:color w:val="auto"/>
                <w:lang w:val="en-US" w:eastAsia="zh-CN"/>
              </w:rPr>
            </w:pPr>
            <w:r>
              <w:rPr>
                <w:rFonts w:hint="eastAsia" w:ascii="Times New Roman" w:hAnsi="Times New Roman" w:eastAsia="宋体" w:cs="Times New Roman"/>
                <w:b/>
                <w:bCs/>
                <w:color w:val="auto"/>
                <w:lang w:val="en-US" w:eastAsia="zh-CN"/>
              </w:rPr>
              <w:t>原辅材料用量</w:t>
            </w:r>
          </w:p>
          <w:p>
            <w:pPr>
              <w:pStyle w:val="34"/>
              <w:ind w:firstLine="480"/>
              <w:rPr>
                <w:rFonts w:hint="eastAsia" w:cs="Times New Roman"/>
                <w:b/>
                <w:bCs/>
                <w:color w:val="auto"/>
                <w:lang w:val="en-US" w:eastAsia="zh-CN"/>
              </w:rPr>
            </w:pPr>
            <w:r>
              <w:rPr>
                <w:rFonts w:hint="eastAsia" w:hAnsi="宋体"/>
                <w:color w:val="auto"/>
                <w:sz w:val="24"/>
                <w:szCs w:val="20"/>
              </w:rPr>
              <w:t>本项目所需天然建筑材料主要为</w:t>
            </w:r>
            <w:r>
              <w:rPr>
                <w:rFonts w:hint="eastAsia" w:hAnsi="宋体"/>
                <w:color w:val="auto"/>
                <w:sz w:val="24"/>
                <w:szCs w:val="20"/>
                <w:lang w:val="en-US" w:eastAsia="zh-CN"/>
              </w:rPr>
              <w:t>护</w:t>
            </w:r>
            <w:r>
              <w:rPr>
                <w:rFonts w:hint="eastAsia" w:hAnsi="宋体"/>
                <w:color w:val="auto"/>
                <w:sz w:val="24"/>
                <w:szCs w:val="20"/>
              </w:rPr>
              <w:t>岸砌护材料，有</w:t>
            </w:r>
            <w:r>
              <w:rPr>
                <w:rFonts w:hint="eastAsia" w:hAnsi="宋体"/>
                <w:color w:val="auto"/>
                <w:sz w:val="24"/>
                <w:szCs w:val="20"/>
                <w:lang w:val="en-US" w:eastAsia="zh-CN"/>
              </w:rPr>
              <w:t>细骨料</w:t>
            </w:r>
            <w:r>
              <w:rPr>
                <w:rFonts w:hint="eastAsia" w:hAnsi="宋体"/>
                <w:color w:val="auto"/>
                <w:sz w:val="24"/>
                <w:szCs w:val="20"/>
              </w:rPr>
              <w:t>、</w:t>
            </w:r>
            <w:r>
              <w:rPr>
                <w:rFonts w:hint="eastAsia" w:hAnsi="宋体"/>
                <w:color w:val="auto"/>
                <w:sz w:val="24"/>
                <w:szCs w:val="20"/>
                <w:lang w:val="en-US" w:eastAsia="zh-CN"/>
              </w:rPr>
              <w:t>粗骨料、</w:t>
            </w:r>
            <w:r>
              <w:rPr>
                <w:rFonts w:hint="eastAsia" w:hAnsi="宋体"/>
                <w:color w:val="auto"/>
                <w:sz w:val="24"/>
                <w:szCs w:val="20"/>
              </w:rPr>
              <w:t>块石等原料。块石</w:t>
            </w:r>
            <w:r>
              <w:rPr>
                <w:rFonts w:hint="eastAsia" w:hAnsi="宋体"/>
                <w:color w:val="auto"/>
                <w:sz w:val="24"/>
                <w:szCs w:val="20"/>
                <w:lang w:eastAsia="zh-CN"/>
              </w:rPr>
              <w:t>料、</w:t>
            </w:r>
            <w:r>
              <w:rPr>
                <w:rFonts w:hint="eastAsia" w:hAnsi="宋体"/>
                <w:color w:val="auto"/>
                <w:sz w:val="24"/>
                <w:szCs w:val="20"/>
                <w:lang w:val="en-US" w:eastAsia="zh-CN"/>
              </w:rPr>
              <w:t>粗骨料及细骨料均</w:t>
            </w:r>
            <w:r>
              <w:rPr>
                <w:rFonts w:hint="eastAsia" w:hAnsi="宋体"/>
                <w:color w:val="auto"/>
                <w:sz w:val="24"/>
                <w:szCs w:val="20"/>
              </w:rPr>
              <w:t>采</w:t>
            </w:r>
            <w:r>
              <w:rPr>
                <w:rFonts w:hint="eastAsia" w:hAnsi="宋体"/>
                <w:color w:val="auto"/>
                <w:sz w:val="24"/>
                <w:szCs w:val="20"/>
                <w:lang w:val="en-US" w:eastAsia="zh-CN"/>
              </w:rPr>
              <w:t>自张崖块石料场宁夏富雷建材有限公司，位于头营镇张崖村，</w:t>
            </w:r>
            <w:r>
              <w:rPr>
                <w:rFonts w:hint="eastAsia" w:hAnsi="宋体"/>
                <w:color w:val="auto"/>
                <w:sz w:val="24"/>
                <w:szCs w:val="20"/>
              </w:rPr>
              <w:t>距离本项目场地约</w:t>
            </w:r>
            <w:r>
              <w:rPr>
                <w:rFonts w:hint="eastAsia" w:hAnsi="宋体"/>
                <w:color w:val="auto"/>
                <w:sz w:val="24"/>
                <w:szCs w:val="20"/>
                <w:lang w:val="en-US" w:eastAsia="zh-CN"/>
              </w:rPr>
              <w:t>93</w:t>
            </w:r>
            <w:r>
              <w:rPr>
                <w:rFonts w:hint="eastAsia" w:hAnsi="宋体"/>
                <w:color w:val="auto"/>
                <w:sz w:val="24"/>
                <w:szCs w:val="20"/>
              </w:rPr>
              <w:t>km。与</w:t>
            </w:r>
            <w:r>
              <w:rPr>
                <w:rFonts w:hint="eastAsia" w:hAnsi="宋体"/>
                <w:color w:val="auto"/>
                <w:sz w:val="24"/>
                <w:szCs w:val="20"/>
                <w:lang w:val="en-US" w:eastAsia="zh-CN"/>
              </w:rPr>
              <w:t>344国道与211</w:t>
            </w:r>
            <w:r>
              <w:rPr>
                <w:rFonts w:hint="eastAsia" w:hAnsi="宋体"/>
                <w:color w:val="auto"/>
                <w:sz w:val="24"/>
                <w:szCs w:val="20"/>
              </w:rPr>
              <w:t>，交通便利。</w:t>
            </w:r>
          </w:p>
          <w:p>
            <w:pPr>
              <w:adjustRightInd w:val="0"/>
              <w:snapToGrid w:val="0"/>
              <w:spacing w:line="360" w:lineRule="auto"/>
              <w:ind w:firstLine="480" w:firstLineChars="200"/>
              <w:rPr>
                <w:rFonts w:hAnsi="宋体"/>
                <w:color w:val="auto"/>
                <w:sz w:val="24"/>
                <w:szCs w:val="20"/>
              </w:rPr>
            </w:pPr>
            <w:r>
              <w:rPr>
                <w:rFonts w:hint="eastAsia" w:hAnsi="宋体"/>
                <w:color w:val="auto"/>
                <w:sz w:val="24"/>
                <w:szCs w:val="20"/>
              </w:rPr>
              <w:t>本项目施工期原辅材料消耗见下表</w:t>
            </w:r>
            <w:r>
              <w:rPr>
                <w:rFonts w:hint="eastAsia" w:hAnsi="宋体"/>
                <w:color w:val="auto"/>
                <w:sz w:val="24"/>
                <w:szCs w:val="20"/>
                <w:lang w:val="en-US" w:eastAsia="zh-CN"/>
              </w:rPr>
              <w:t>2-2</w:t>
            </w:r>
            <w:r>
              <w:rPr>
                <w:rFonts w:hint="eastAsia" w:hAnsi="宋体"/>
                <w:color w:val="auto"/>
                <w:sz w:val="24"/>
                <w:szCs w:val="20"/>
              </w:rPr>
              <w:t>。</w:t>
            </w:r>
          </w:p>
          <w:p>
            <w:pPr>
              <w:adjustRightInd w:val="0"/>
              <w:snapToGrid w:val="0"/>
              <w:ind w:firstLine="422" w:firstLineChars="200"/>
              <w:jc w:val="center"/>
              <w:outlineLvl w:val="1"/>
              <w:rPr>
                <w:b/>
                <w:color w:val="auto"/>
                <w:sz w:val="21"/>
                <w:szCs w:val="21"/>
              </w:rPr>
            </w:pPr>
            <w:r>
              <w:rPr>
                <w:rFonts w:hAnsi="宋体"/>
                <w:b/>
                <w:color w:val="auto"/>
                <w:sz w:val="21"/>
                <w:szCs w:val="21"/>
              </w:rPr>
              <w:t>表</w:t>
            </w:r>
            <w:r>
              <w:rPr>
                <w:rFonts w:hint="eastAsia" w:hAnsi="宋体"/>
                <w:b/>
                <w:color w:val="auto"/>
                <w:sz w:val="21"/>
                <w:szCs w:val="21"/>
                <w:lang w:val="en-US" w:eastAsia="zh-CN"/>
              </w:rPr>
              <w:t>2-2</w:t>
            </w:r>
            <w:r>
              <w:rPr>
                <w:b/>
                <w:color w:val="auto"/>
                <w:sz w:val="21"/>
                <w:szCs w:val="21"/>
              </w:rPr>
              <w:t xml:space="preserve">   </w:t>
            </w:r>
            <w:r>
              <w:rPr>
                <w:rFonts w:hAnsi="宋体"/>
                <w:b/>
                <w:color w:val="auto"/>
                <w:sz w:val="21"/>
                <w:szCs w:val="21"/>
              </w:rPr>
              <w:t>项目主要原辅材料消耗一览表</w:t>
            </w:r>
          </w:p>
          <w:tbl>
            <w:tblPr>
              <w:tblStyle w:val="24"/>
              <w:tblW w:w="739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38"/>
              <w:gridCol w:w="2330"/>
              <w:gridCol w:w="1751"/>
              <w:gridCol w:w="1383"/>
              <w:gridCol w:w="129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638" w:type="dxa"/>
                  <w:tcBorders>
                    <w:tl2br w:val="nil"/>
                    <w:tr2bl w:val="nil"/>
                  </w:tcBorders>
                  <w:noWrap w:val="0"/>
                  <w:vAlign w:val="center"/>
                </w:tcPr>
                <w:p>
                  <w:pPr>
                    <w:widowControl/>
                    <w:adjustRightInd w:val="0"/>
                    <w:snapToGrid w:val="0"/>
                    <w:spacing w:line="240" w:lineRule="atLeast"/>
                    <w:jc w:val="center"/>
                    <w:rPr>
                      <w:b/>
                      <w:color w:val="auto"/>
                      <w:kern w:val="0"/>
                      <w:szCs w:val="21"/>
                    </w:rPr>
                  </w:pPr>
                  <w:r>
                    <w:rPr>
                      <w:rFonts w:hAnsi="宋体"/>
                      <w:b/>
                      <w:color w:val="auto"/>
                      <w:kern w:val="0"/>
                      <w:szCs w:val="21"/>
                    </w:rPr>
                    <w:t>序号</w:t>
                  </w:r>
                </w:p>
              </w:tc>
              <w:tc>
                <w:tcPr>
                  <w:tcW w:w="2330" w:type="dxa"/>
                  <w:tcBorders>
                    <w:tl2br w:val="nil"/>
                    <w:tr2bl w:val="nil"/>
                  </w:tcBorders>
                  <w:noWrap w:val="0"/>
                  <w:vAlign w:val="center"/>
                </w:tcPr>
                <w:p>
                  <w:pPr>
                    <w:widowControl/>
                    <w:adjustRightInd w:val="0"/>
                    <w:snapToGrid w:val="0"/>
                    <w:spacing w:line="240" w:lineRule="atLeast"/>
                    <w:jc w:val="center"/>
                    <w:rPr>
                      <w:b/>
                      <w:color w:val="auto"/>
                      <w:kern w:val="0"/>
                      <w:szCs w:val="21"/>
                    </w:rPr>
                  </w:pPr>
                  <w:r>
                    <w:rPr>
                      <w:rFonts w:hAnsi="宋体"/>
                      <w:b/>
                      <w:color w:val="auto"/>
                      <w:kern w:val="0"/>
                      <w:szCs w:val="21"/>
                    </w:rPr>
                    <w:t>材料名称</w:t>
                  </w:r>
                </w:p>
              </w:tc>
              <w:tc>
                <w:tcPr>
                  <w:tcW w:w="1751" w:type="dxa"/>
                  <w:tcBorders>
                    <w:tl2br w:val="nil"/>
                    <w:tr2bl w:val="nil"/>
                  </w:tcBorders>
                  <w:noWrap w:val="0"/>
                  <w:vAlign w:val="center"/>
                </w:tcPr>
                <w:p>
                  <w:pPr>
                    <w:widowControl/>
                    <w:adjustRightInd w:val="0"/>
                    <w:snapToGrid w:val="0"/>
                    <w:spacing w:line="240" w:lineRule="atLeast"/>
                    <w:jc w:val="center"/>
                    <w:rPr>
                      <w:b/>
                      <w:color w:val="auto"/>
                      <w:kern w:val="0"/>
                      <w:szCs w:val="21"/>
                    </w:rPr>
                  </w:pPr>
                  <w:r>
                    <w:rPr>
                      <w:rFonts w:hAnsi="宋体"/>
                      <w:b/>
                      <w:color w:val="auto"/>
                      <w:kern w:val="0"/>
                      <w:szCs w:val="21"/>
                    </w:rPr>
                    <w:t>工程用量</w:t>
                  </w:r>
                </w:p>
              </w:tc>
              <w:tc>
                <w:tcPr>
                  <w:tcW w:w="1383" w:type="dxa"/>
                  <w:tcBorders>
                    <w:tl2br w:val="nil"/>
                    <w:tr2bl w:val="nil"/>
                  </w:tcBorders>
                  <w:noWrap w:val="0"/>
                  <w:vAlign w:val="center"/>
                </w:tcPr>
                <w:p>
                  <w:pPr>
                    <w:widowControl/>
                    <w:adjustRightInd w:val="0"/>
                    <w:snapToGrid w:val="0"/>
                    <w:spacing w:line="240" w:lineRule="atLeast"/>
                    <w:jc w:val="center"/>
                    <w:rPr>
                      <w:b/>
                      <w:color w:val="auto"/>
                      <w:kern w:val="0"/>
                      <w:szCs w:val="21"/>
                    </w:rPr>
                  </w:pPr>
                  <w:r>
                    <w:rPr>
                      <w:rFonts w:hAnsi="宋体"/>
                      <w:b/>
                      <w:color w:val="auto"/>
                      <w:kern w:val="0"/>
                      <w:szCs w:val="21"/>
                    </w:rPr>
                    <w:t>单位</w:t>
                  </w:r>
                </w:p>
              </w:tc>
              <w:tc>
                <w:tcPr>
                  <w:tcW w:w="1296" w:type="dxa"/>
                  <w:tcBorders>
                    <w:tl2br w:val="nil"/>
                    <w:tr2bl w:val="nil"/>
                  </w:tcBorders>
                  <w:noWrap w:val="0"/>
                  <w:vAlign w:val="center"/>
                </w:tcPr>
                <w:p>
                  <w:pPr>
                    <w:adjustRightInd w:val="0"/>
                    <w:snapToGrid w:val="0"/>
                    <w:spacing w:line="240" w:lineRule="atLeast"/>
                    <w:jc w:val="center"/>
                    <w:rPr>
                      <w:b/>
                      <w:color w:val="auto"/>
                      <w:kern w:val="0"/>
                      <w:szCs w:val="21"/>
                    </w:rPr>
                  </w:pPr>
                  <w:r>
                    <w:rPr>
                      <w:rFonts w:hAnsi="宋体"/>
                      <w:b/>
                      <w:color w:val="auto"/>
                      <w:kern w:val="0"/>
                      <w:szCs w:val="21"/>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638" w:type="dxa"/>
                  <w:tcBorders>
                    <w:tl2br w:val="nil"/>
                    <w:tr2bl w:val="nil"/>
                  </w:tcBorders>
                  <w:noWrap w:val="0"/>
                  <w:vAlign w:val="center"/>
                </w:tcPr>
                <w:p>
                  <w:pPr>
                    <w:adjustRightInd w:val="0"/>
                    <w:snapToGrid w:val="0"/>
                    <w:spacing w:line="240" w:lineRule="atLeast"/>
                    <w:jc w:val="center"/>
                    <w:rPr>
                      <w:color w:val="auto"/>
                      <w:szCs w:val="21"/>
                    </w:rPr>
                  </w:pPr>
                  <w:r>
                    <w:rPr>
                      <w:rFonts w:hint="eastAsia"/>
                      <w:color w:val="auto"/>
                      <w:szCs w:val="21"/>
                    </w:rPr>
                    <w:t>1</w:t>
                  </w:r>
                </w:p>
              </w:tc>
              <w:tc>
                <w:tcPr>
                  <w:tcW w:w="2330" w:type="dxa"/>
                  <w:tcBorders>
                    <w:tl2br w:val="nil"/>
                    <w:tr2bl w:val="nil"/>
                  </w:tcBorders>
                  <w:noWrap w:val="0"/>
                  <w:vAlign w:val="center"/>
                </w:tcPr>
                <w:p>
                  <w:pPr>
                    <w:adjustRightInd w:val="0"/>
                    <w:snapToGrid w:val="0"/>
                    <w:spacing w:line="240" w:lineRule="atLeast"/>
                    <w:jc w:val="center"/>
                    <w:rPr>
                      <w:color w:val="auto"/>
                      <w:szCs w:val="21"/>
                    </w:rPr>
                  </w:pPr>
                  <w:r>
                    <w:rPr>
                      <w:rFonts w:hint="eastAsia" w:hAnsi="宋体"/>
                      <w:color w:val="auto"/>
                      <w:szCs w:val="21"/>
                    </w:rPr>
                    <w:t>浆砌石</w:t>
                  </w:r>
                </w:p>
              </w:tc>
              <w:tc>
                <w:tcPr>
                  <w:tcW w:w="1751" w:type="dxa"/>
                  <w:tcBorders>
                    <w:tl2br w:val="nil"/>
                    <w:tr2bl w:val="nil"/>
                  </w:tcBorders>
                  <w:noWrap w:val="0"/>
                  <w:vAlign w:val="center"/>
                </w:tcPr>
                <w:p>
                  <w:pPr>
                    <w:adjustRightInd w:val="0"/>
                    <w:snapToGrid w:val="0"/>
                    <w:spacing w:line="240" w:lineRule="atLeast"/>
                    <w:jc w:val="center"/>
                    <w:rPr>
                      <w:rFonts w:hint="default" w:eastAsia="宋体"/>
                      <w:color w:val="auto"/>
                      <w:szCs w:val="21"/>
                      <w:lang w:val="en-US" w:eastAsia="zh-CN"/>
                    </w:rPr>
                  </w:pPr>
                  <w:r>
                    <w:rPr>
                      <w:rFonts w:hint="eastAsia"/>
                      <w:color w:val="auto"/>
                      <w:szCs w:val="21"/>
                      <w:lang w:val="en-US" w:eastAsia="zh-CN"/>
                    </w:rPr>
                    <w:t>252</w:t>
                  </w:r>
                </w:p>
              </w:tc>
              <w:tc>
                <w:tcPr>
                  <w:tcW w:w="1383" w:type="dxa"/>
                  <w:tcBorders>
                    <w:tl2br w:val="nil"/>
                    <w:tr2bl w:val="nil"/>
                  </w:tcBorders>
                  <w:noWrap w:val="0"/>
                  <w:vAlign w:val="center"/>
                </w:tcPr>
                <w:p>
                  <w:pPr>
                    <w:adjustRightInd w:val="0"/>
                    <w:snapToGrid w:val="0"/>
                    <w:spacing w:line="240" w:lineRule="atLeast"/>
                    <w:jc w:val="center"/>
                    <w:rPr>
                      <w:color w:val="auto"/>
                      <w:szCs w:val="21"/>
                    </w:rPr>
                  </w:pPr>
                  <w:r>
                    <w:rPr>
                      <w:color w:val="auto"/>
                      <w:szCs w:val="21"/>
                    </w:rPr>
                    <w:t>m</w:t>
                  </w:r>
                  <w:r>
                    <w:rPr>
                      <w:color w:val="auto"/>
                      <w:szCs w:val="21"/>
                      <w:vertAlign w:val="superscript"/>
                    </w:rPr>
                    <w:t>3</w:t>
                  </w:r>
                </w:p>
              </w:tc>
              <w:tc>
                <w:tcPr>
                  <w:tcW w:w="1296" w:type="dxa"/>
                  <w:tcBorders>
                    <w:tl2br w:val="nil"/>
                    <w:tr2bl w:val="nil"/>
                  </w:tcBorders>
                  <w:noWrap w:val="0"/>
                  <w:vAlign w:val="center"/>
                </w:tcPr>
                <w:p>
                  <w:pPr>
                    <w:adjustRightInd w:val="0"/>
                    <w:snapToGrid w:val="0"/>
                    <w:spacing w:line="240" w:lineRule="atLeast"/>
                    <w:jc w:val="center"/>
                    <w:rPr>
                      <w:color w:val="auto"/>
                      <w:szCs w:val="21"/>
                    </w:rPr>
                  </w:pPr>
                  <w:r>
                    <w:rPr>
                      <w:rFonts w:hAnsi="宋体"/>
                      <w:color w:val="auto"/>
                      <w:szCs w:val="21"/>
                    </w:rPr>
                    <w:t>外购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638" w:type="dxa"/>
                  <w:tcBorders>
                    <w:tl2br w:val="nil"/>
                    <w:tr2bl w:val="nil"/>
                  </w:tcBorders>
                  <w:noWrap w:val="0"/>
                  <w:vAlign w:val="center"/>
                </w:tcPr>
                <w:p>
                  <w:pPr>
                    <w:adjustRightInd w:val="0"/>
                    <w:snapToGrid w:val="0"/>
                    <w:spacing w:line="240" w:lineRule="atLeast"/>
                    <w:jc w:val="center"/>
                    <w:rPr>
                      <w:color w:val="auto"/>
                      <w:szCs w:val="21"/>
                    </w:rPr>
                  </w:pPr>
                  <w:r>
                    <w:rPr>
                      <w:rFonts w:hint="eastAsia"/>
                      <w:color w:val="auto"/>
                      <w:szCs w:val="21"/>
                    </w:rPr>
                    <w:t>2</w:t>
                  </w:r>
                </w:p>
              </w:tc>
              <w:tc>
                <w:tcPr>
                  <w:tcW w:w="2330" w:type="dxa"/>
                  <w:tcBorders>
                    <w:tl2br w:val="nil"/>
                    <w:tr2bl w:val="nil"/>
                  </w:tcBorders>
                  <w:noWrap w:val="0"/>
                  <w:vAlign w:val="center"/>
                </w:tcPr>
                <w:p>
                  <w:pPr>
                    <w:adjustRightInd w:val="0"/>
                    <w:snapToGrid w:val="0"/>
                    <w:spacing w:line="240" w:lineRule="atLeast"/>
                    <w:jc w:val="center"/>
                    <w:rPr>
                      <w:color w:val="auto"/>
                      <w:kern w:val="2"/>
                      <w:sz w:val="21"/>
                      <w:szCs w:val="21"/>
                      <w:lang w:val="en-US" w:eastAsia="zh-CN" w:bidi="ar-SA"/>
                    </w:rPr>
                  </w:pPr>
                  <w:r>
                    <w:rPr>
                      <w:rFonts w:hAnsi="宋体"/>
                      <w:color w:val="auto"/>
                      <w:szCs w:val="21"/>
                    </w:rPr>
                    <w:t>混凝土</w:t>
                  </w:r>
                </w:p>
              </w:tc>
              <w:tc>
                <w:tcPr>
                  <w:tcW w:w="1751" w:type="dxa"/>
                  <w:tcBorders>
                    <w:tl2br w:val="nil"/>
                    <w:tr2bl w:val="nil"/>
                  </w:tcBorders>
                  <w:noWrap w:val="0"/>
                  <w:vAlign w:val="center"/>
                </w:tcPr>
                <w:p>
                  <w:pPr>
                    <w:adjustRightInd w:val="0"/>
                    <w:snapToGrid w:val="0"/>
                    <w:spacing w:line="240" w:lineRule="atLeast"/>
                    <w:jc w:val="center"/>
                    <w:rPr>
                      <w:rFonts w:hint="default" w:eastAsia="宋体"/>
                      <w:color w:val="auto"/>
                      <w:kern w:val="2"/>
                      <w:sz w:val="21"/>
                      <w:szCs w:val="21"/>
                      <w:lang w:val="en-US" w:eastAsia="zh-CN" w:bidi="ar-SA"/>
                    </w:rPr>
                  </w:pPr>
                  <w:r>
                    <w:rPr>
                      <w:rFonts w:hint="eastAsia"/>
                      <w:color w:val="auto"/>
                      <w:szCs w:val="21"/>
                      <w:lang w:val="en-US" w:eastAsia="zh-CN"/>
                    </w:rPr>
                    <w:t>813</w:t>
                  </w:r>
                </w:p>
              </w:tc>
              <w:tc>
                <w:tcPr>
                  <w:tcW w:w="1383" w:type="dxa"/>
                  <w:tcBorders>
                    <w:tl2br w:val="nil"/>
                    <w:tr2bl w:val="nil"/>
                  </w:tcBorders>
                  <w:noWrap w:val="0"/>
                  <w:vAlign w:val="center"/>
                </w:tcPr>
                <w:p>
                  <w:pPr>
                    <w:adjustRightInd w:val="0"/>
                    <w:snapToGrid w:val="0"/>
                    <w:spacing w:line="240" w:lineRule="atLeast"/>
                    <w:jc w:val="center"/>
                    <w:rPr>
                      <w:color w:val="auto"/>
                      <w:kern w:val="2"/>
                      <w:sz w:val="21"/>
                      <w:szCs w:val="21"/>
                      <w:lang w:val="en-US" w:eastAsia="zh-CN" w:bidi="ar-SA"/>
                    </w:rPr>
                  </w:pPr>
                  <w:r>
                    <w:rPr>
                      <w:color w:val="auto"/>
                      <w:szCs w:val="21"/>
                    </w:rPr>
                    <w:t>m</w:t>
                  </w:r>
                  <w:r>
                    <w:rPr>
                      <w:color w:val="auto"/>
                      <w:szCs w:val="21"/>
                      <w:vertAlign w:val="superscript"/>
                    </w:rPr>
                    <w:t>3</w:t>
                  </w:r>
                </w:p>
              </w:tc>
              <w:tc>
                <w:tcPr>
                  <w:tcW w:w="1296" w:type="dxa"/>
                  <w:tcBorders>
                    <w:tl2br w:val="nil"/>
                    <w:tr2bl w:val="nil"/>
                  </w:tcBorders>
                  <w:noWrap w:val="0"/>
                  <w:vAlign w:val="center"/>
                </w:tcPr>
                <w:p>
                  <w:pPr>
                    <w:adjustRightInd w:val="0"/>
                    <w:snapToGrid w:val="0"/>
                    <w:spacing w:line="240" w:lineRule="atLeast"/>
                    <w:jc w:val="center"/>
                    <w:rPr>
                      <w:color w:val="auto"/>
                      <w:kern w:val="2"/>
                      <w:sz w:val="21"/>
                      <w:szCs w:val="21"/>
                      <w:lang w:val="en-US" w:eastAsia="zh-CN" w:bidi="ar-SA"/>
                    </w:rPr>
                  </w:pPr>
                  <w:r>
                    <w:rPr>
                      <w:rFonts w:hAnsi="宋体"/>
                      <w:color w:val="auto"/>
                      <w:szCs w:val="21"/>
                    </w:rPr>
                    <w:t>外购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638" w:type="dxa"/>
                  <w:tcBorders>
                    <w:tl2br w:val="nil"/>
                    <w:tr2bl w:val="nil"/>
                  </w:tcBorders>
                  <w:noWrap w:val="0"/>
                  <w:vAlign w:val="center"/>
                </w:tcPr>
                <w:p>
                  <w:pPr>
                    <w:adjustRightInd w:val="0"/>
                    <w:snapToGrid w:val="0"/>
                    <w:spacing w:line="240" w:lineRule="atLeast"/>
                    <w:jc w:val="center"/>
                    <w:rPr>
                      <w:color w:val="auto"/>
                      <w:szCs w:val="21"/>
                    </w:rPr>
                  </w:pPr>
                  <w:r>
                    <w:rPr>
                      <w:rFonts w:hint="eastAsia"/>
                      <w:color w:val="auto"/>
                      <w:szCs w:val="21"/>
                    </w:rPr>
                    <w:t>3</w:t>
                  </w:r>
                </w:p>
              </w:tc>
              <w:tc>
                <w:tcPr>
                  <w:tcW w:w="2330" w:type="dxa"/>
                  <w:tcBorders>
                    <w:tl2br w:val="nil"/>
                    <w:tr2bl w:val="nil"/>
                  </w:tcBorders>
                  <w:noWrap w:val="0"/>
                  <w:vAlign w:val="center"/>
                </w:tcPr>
                <w:p>
                  <w:pPr>
                    <w:adjustRightInd w:val="0"/>
                    <w:snapToGrid w:val="0"/>
                    <w:spacing w:line="240" w:lineRule="atLeast"/>
                    <w:jc w:val="center"/>
                    <w:rPr>
                      <w:color w:val="auto"/>
                      <w:kern w:val="2"/>
                      <w:sz w:val="21"/>
                      <w:szCs w:val="21"/>
                      <w:lang w:val="en-US" w:eastAsia="zh-CN" w:bidi="ar-SA"/>
                    </w:rPr>
                  </w:pPr>
                  <w:r>
                    <w:rPr>
                      <w:rFonts w:hint="eastAsia" w:hAnsi="宋体"/>
                      <w:color w:val="auto"/>
                      <w:szCs w:val="21"/>
                    </w:rPr>
                    <w:t>砂子</w:t>
                  </w:r>
                </w:p>
              </w:tc>
              <w:tc>
                <w:tcPr>
                  <w:tcW w:w="1751" w:type="dxa"/>
                  <w:tcBorders>
                    <w:tl2br w:val="nil"/>
                    <w:tr2bl w:val="nil"/>
                  </w:tcBorders>
                  <w:noWrap w:val="0"/>
                  <w:vAlign w:val="center"/>
                </w:tcPr>
                <w:p>
                  <w:pPr>
                    <w:adjustRightInd w:val="0"/>
                    <w:snapToGrid w:val="0"/>
                    <w:spacing w:line="240" w:lineRule="atLeast"/>
                    <w:jc w:val="center"/>
                    <w:rPr>
                      <w:rFonts w:hint="default" w:eastAsia="宋体"/>
                      <w:color w:val="auto"/>
                      <w:kern w:val="2"/>
                      <w:sz w:val="21"/>
                      <w:szCs w:val="21"/>
                      <w:lang w:val="en-US" w:eastAsia="zh-CN" w:bidi="ar-SA"/>
                    </w:rPr>
                  </w:pPr>
                  <w:r>
                    <w:rPr>
                      <w:rFonts w:hint="eastAsia"/>
                      <w:color w:val="auto"/>
                      <w:szCs w:val="21"/>
                      <w:lang w:val="en-US" w:eastAsia="zh-CN"/>
                    </w:rPr>
                    <w:t>529.39</w:t>
                  </w:r>
                </w:p>
              </w:tc>
              <w:tc>
                <w:tcPr>
                  <w:tcW w:w="1383" w:type="dxa"/>
                  <w:tcBorders>
                    <w:tl2br w:val="nil"/>
                    <w:tr2bl w:val="nil"/>
                  </w:tcBorders>
                  <w:noWrap w:val="0"/>
                  <w:vAlign w:val="center"/>
                </w:tcPr>
                <w:p>
                  <w:pPr>
                    <w:adjustRightInd w:val="0"/>
                    <w:snapToGrid w:val="0"/>
                    <w:spacing w:line="240" w:lineRule="atLeast"/>
                    <w:jc w:val="center"/>
                    <w:rPr>
                      <w:color w:val="auto"/>
                      <w:kern w:val="2"/>
                      <w:sz w:val="21"/>
                      <w:szCs w:val="21"/>
                      <w:lang w:val="en-US" w:eastAsia="zh-CN" w:bidi="ar-SA"/>
                    </w:rPr>
                  </w:pPr>
                  <w:r>
                    <w:rPr>
                      <w:color w:val="auto"/>
                      <w:szCs w:val="21"/>
                    </w:rPr>
                    <w:t>m</w:t>
                  </w:r>
                  <w:r>
                    <w:rPr>
                      <w:color w:val="auto"/>
                      <w:szCs w:val="21"/>
                      <w:vertAlign w:val="superscript"/>
                    </w:rPr>
                    <w:t>3</w:t>
                  </w:r>
                </w:p>
              </w:tc>
              <w:tc>
                <w:tcPr>
                  <w:tcW w:w="1296" w:type="dxa"/>
                  <w:tcBorders>
                    <w:tl2br w:val="nil"/>
                    <w:tr2bl w:val="nil"/>
                  </w:tcBorders>
                  <w:noWrap w:val="0"/>
                  <w:vAlign w:val="center"/>
                </w:tcPr>
                <w:p>
                  <w:pPr>
                    <w:adjustRightInd w:val="0"/>
                    <w:snapToGrid w:val="0"/>
                    <w:spacing w:line="240" w:lineRule="atLeast"/>
                    <w:jc w:val="center"/>
                    <w:rPr>
                      <w:color w:val="auto"/>
                      <w:kern w:val="2"/>
                      <w:sz w:val="21"/>
                      <w:szCs w:val="21"/>
                      <w:lang w:val="en-US" w:eastAsia="zh-CN" w:bidi="ar-SA"/>
                    </w:rPr>
                  </w:pPr>
                  <w:r>
                    <w:rPr>
                      <w:rFonts w:hAnsi="宋体"/>
                      <w:color w:val="auto"/>
                      <w:szCs w:val="21"/>
                    </w:rPr>
                    <w:t>外购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638" w:type="dxa"/>
                  <w:tcBorders>
                    <w:tl2br w:val="nil"/>
                    <w:tr2bl w:val="nil"/>
                  </w:tcBorders>
                  <w:noWrap w:val="0"/>
                  <w:vAlign w:val="center"/>
                </w:tcPr>
                <w:p>
                  <w:pPr>
                    <w:adjustRightInd w:val="0"/>
                    <w:snapToGrid w:val="0"/>
                    <w:spacing w:line="240" w:lineRule="atLeast"/>
                    <w:jc w:val="center"/>
                    <w:rPr>
                      <w:color w:val="auto"/>
                      <w:szCs w:val="21"/>
                    </w:rPr>
                  </w:pPr>
                  <w:r>
                    <w:rPr>
                      <w:rFonts w:hint="eastAsia"/>
                      <w:color w:val="auto"/>
                      <w:szCs w:val="21"/>
                    </w:rPr>
                    <w:t>4</w:t>
                  </w:r>
                </w:p>
              </w:tc>
              <w:tc>
                <w:tcPr>
                  <w:tcW w:w="2330" w:type="dxa"/>
                  <w:tcBorders>
                    <w:tl2br w:val="nil"/>
                    <w:tr2bl w:val="nil"/>
                  </w:tcBorders>
                  <w:noWrap w:val="0"/>
                  <w:vAlign w:val="center"/>
                </w:tcPr>
                <w:p>
                  <w:pPr>
                    <w:adjustRightInd w:val="0"/>
                    <w:snapToGrid w:val="0"/>
                    <w:spacing w:line="240" w:lineRule="atLeast"/>
                    <w:jc w:val="center"/>
                    <w:rPr>
                      <w:rFonts w:hint="eastAsia" w:hAnsi="宋体" w:eastAsia="宋体"/>
                      <w:color w:val="auto"/>
                      <w:kern w:val="2"/>
                      <w:sz w:val="21"/>
                      <w:szCs w:val="21"/>
                      <w:lang w:val="en-US" w:eastAsia="zh-CN" w:bidi="ar-SA"/>
                    </w:rPr>
                  </w:pPr>
                  <w:r>
                    <w:rPr>
                      <w:rFonts w:hint="eastAsia" w:hAnsi="宋体"/>
                      <w:color w:val="auto"/>
                      <w:szCs w:val="21"/>
                    </w:rPr>
                    <w:t>石</w:t>
                  </w:r>
                  <w:r>
                    <w:rPr>
                      <w:rFonts w:hint="eastAsia" w:hAnsi="宋体"/>
                      <w:color w:val="auto"/>
                      <w:szCs w:val="21"/>
                      <w:lang w:eastAsia="zh-CN"/>
                    </w:rPr>
                    <w:t>子</w:t>
                  </w:r>
                </w:p>
              </w:tc>
              <w:tc>
                <w:tcPr>
                  <w:tcW w:w="1751" w:type="dxa"/>
                  <w:tcBorders>
                    <w:tl2br w:val="nil"/>
                    <w:tr2bl w:val="nil"/>
                  </w:tcBorders>
                  <w:noWrap w:val="0"/>
                  <w:vAlign w:val="center"/>
                </w:tcPr>
                <w:p>
                  <w:pPr>
                    <w:adjustRightInd w:val="0"/>
                    <w:snapToGrid w:val="0"/>
                    <w:spacing w:line="240" w:lineRule="atLeast"/>
                    <w:jc w:val="center"/>
                    <w:rPr>
                      <w:rFonts w:hint="default" w:eastAsia="宋体"/>
                      <w:color w:val="auto"/>
                      <w:kern w:val="2"/>
                      <w:sz w:val="21"/>
                      <w:szCs w:val="21"/>
                      <w:lang w:val="en-US" w:eastAsia="zh-CN" w:bidi="ar-SA"/>
                    </w:rPr>
                  </w:pPr>
                  <w:r>
                    <w:rPr>
                      <w:rFonts w:hint="eastAsia"/>
                      <w:color w:val="auto"/>
                      <w:szCs w:val="21"/>
                      <w:lang w:val="en-US" w:eastAsia="zh-CN"/>
                    </w:rPr>
                    <w:t>704.35</w:t>
                  </w:r>
                </w:p>
              </w:tc>
              <w:tc>
                <w:tcPr>
                  <w:tcW w:w="1383" w:type="dxa"/>
                  <w:tcBorders>
                    <w:tl2br w:val="nil"/>
                    <w:tr2bl w:val="nil"/>
                  </w:tcBorders>
                  <w:noWrap w:val="0"/>
                  <w:vAlign w:val="center"/>
                </w:tcPr>
                <w:p>
                  <w:pPr>
                    <w:adjustRightInd w:val="0"/>
                    <w:snapToGrid w:val="0"/>
                    <w:spacing w:line="240" w:lineRule="atLeast"/>
                    <w:jc w:val="center"/>
                    <w:rPr>
                      <w:rFonts w:hint="eastAsia"/>
                      <w:color w:val="auto"/>
                      <w:kern w:val="2"/>
                      <w:sz w:val="21"/>
                      <w:szCs w:val="21"/>
                      <w:lang w:val="en-US" w:eastAsia="zh-CN" w:bidi="ar-SA"/>
                    </w:rPr>
                  </w:pPr>
                  <w:r>
                    <w:rPr>
                      <w:color w:val="auto"/>
                      <w:szCs w:val="21"/>
                    </w:rPr>
                    <w:t>m</w:t>
                  </w:r>
                  <w:r>
                    <w:rPr>
                      <w:color w:val="auto"/>
                      <w:szCs w:val="21"/>
                      <w:vertAlign w:val="superscript"/>
                    </w:rPr>
                    <w:t>3</w:t>
                  </w:r>
                </w:p>
              </w:tc>
              <w:tc>
                <w:tcPr>
                  <w:tcW w:w="1296" w:type="dxa"/>
                  <w:tcBorders>
                    <w:tl2br w:val="nil"/>
                    <w:tr2bl w:val="nil"/>
                  </w:tcBorders>
                  <w:noWrap w:val="0"/>
                  <w:vAlign w:val="center"/>
                </w:tcPr>
                <w:p>
                  <w:pPr>
                    <w:adjustRightInd w:val="0"/>
                    <w:snapToGrid w:val="0"/>
                    <w:spacing w:line="240" w:lineRule="atLeast"/>
                    <w:jc w:val="center"/>
                    <w:rPr>
                      <w:rFonts w:hAnsi="宋体"/>
                      <w:color w:val="auto"/>
                      <w:kern w:val="2"/>
                      <w:sz w:val="21"/>
                      <w:szCs w:val="21"/>
                      <w:lang w:val="en-US" w:eastAsia="zh-CN" w:bidi="ar-SA"/>
                    </w:rPr>
                  </w:pPr>
                  <w:r>
                    <w:rPr>
                      <w:rFonts w:hAnsi="宋体"/>
                      <w:color w:val="auto"/>
                      <w:szCs w:val="21"/>
                    </w:rPr>
                    <w:t>外购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638" w:type="dxa"/>
                  <w:tcBorders>
                    <w:tl2br w:val="nil"/>
                    <w:tr2bl w:val="nil"/>
                  </w:tcBorders>
                  <w:noWrap w:val="0"/>
                  <w:vAlign w:val="center"/>
                </w:tcPr>
                <w:p>
                  <w:pPr>
                    <w:adjustRightInd w:val="0"/>
                    <w:snapToGrid w:val="0"/>
                    <w:spacing w:line="240" w:lineRule="atLeast"/>
                    <w:jc w:val="center"/>
                    <w:rPr>
                      <w:rFonts w:hint="eastAsia"/>
                      <w:color w:val="auto"/>
                      <w:szCs w:val="21"/>
                    </w:rPr>
                  </w:pPr>
                  <w:r>
                    <w:rPr>
                      <w:rFonts w:hint="eastAsia"/>
                      <w:color w:val="auto"/>
                      <w:szCs w:val="21"/>
                    </w:rPr>
                    <w:t>5</w:t>
                  </w:r>
                </w:p>
              </w:tc>
              <w:tc>
                <w:tcPr>
                  <w:tcW w:w="2330" w:type="dxa"/>
                  <w:tcBorders>
                    <w:tl2br w:val="nil"/>
                    <w:tr2bl w:val="nil"/>
                  </w:tcBorders>
                  <w:noWrap w:val="0"/>
                  <w:vAlign w:val="center"/>
                </w:tcPr>
                <w:p>
                  <w:pPr>
                    <w:adjustRightInd w:val="0"/>
                    <w:snapToGrid w:val="0"/>
                    <w:spacing w:line="240" w:lineRule="atLeast"/>
                    <w:jc w:val="center"/>
                    <w:rPr>
                      <w:rFonts w:hAnsi="宋体"/>
                      <w:color w:val="auto"/>
                      <w:kern w:val="2"/>
                      <w:sz w:val="21"/>
                      <w:szCs w:val="21"/>
                      <w:lang w:val="en-US" w:eastAsia="zh-CN" w:bidi="ar-SA"/>
                    </w:rPr>
                  </w:pPr>
                  <w:r>
                    <w:rPr>
                      <w:rFonts w:hint="eastAsia" w:hAnsi="宋体"/>
                      <w:color w:val="auto"/>
                      <w:szCs w:val="21"/>
                    </w:rPr>
                    <w:t>块石</w:t>
                  </w:r>
                </w:p>
              </w:tc>
              <w:tc>
                <w:tcPr>
                  <w:tcW w:w="1751" w:type="dxa"/>
                  <w:tcBorders>
                    <w:tl2br w:val="nil"/>
                    <w:tr2bl w:val="nil"/>
                  </w:tcBorders>
                  <w:noWrap w:val="0"/>
                  <w:vAlign w:val="center"/>
                </w:tcPr>
                <w:p>
                  <w:pPr>
                    <w:adjustRightInd w:val="0"/>
                    <w:snapToGrid w:val="0"/>
                    <w:spacing w:line="240" w:lineRule="atLeast"/>
                    <w:jc w:val="center"/>
                    <w:rPr>
                      <w:rFonts w:hint="default" w:eastAsia="宋体"/>
                      <w:color w:val="auto"/>
                      <w:kern w:val="2"/>
                      <w:sz w:val="21"/>
                      <w:szCs w:val="21"/>
                      <w:lang w:val="en-US" w:eastAsia="zh-CN" w:bidi="ar-SA"/>
                    </w:rPr>
                  </w:pPr>
                  <w:r>
                    <w:rPr>
                      <w:rFonts w:hint="eastAsia"/>
                      <w:color w:val="auto"/>
                      <w:szCs w:val="21"/>
                      <w:lang w:val="en-US" w:eastAsia="zh-CN"/>
                    </w:rPr>
                    <w:t>285.02</w:t>
                  </w:r>
                </w:p>
              </w:tc>
              <w:tc>
                <w:tcPr>
                  <w:tcW w:w="1383" w:type="dxa"/>
                  <w:tcBorders>
                    <w:tl2br w:val="nil"/>
                    <w:tr2bl w:val="nil"/>
                  </w:tcBorders>
                  <w:noWrap w:val="0"/>
                  <w:vAlign w:val="center"/>
                </w:tcPr>
                <w:p>
                  <w:pPr>
                    <w:adjustRightInd w:val="0"/>
                    <w:snapToGrid w:val="0"/>
                    <w:spacing w:line="240" w:lineRule="atLeast"/>
                    <w:jc w:val="center"/>
                    <w:rPr>
                      <w:rFonts w:hint="eastAsia"/>
                      <w:color w:val="auto"/>
                      <w:kern w:val="2"/>
                      <w:sz w:val="21"/>
                      <w:szCs w:val="21"/>
                      <w:lang w:val="en-US" w:eastAsia="zh-CN" w:bidi="ar-SA"/>
                    </w:rPr>
                  </w:pPr>
                  <w:r>
                    <w:rPr>
                      <w:color w:val="auto"/>
                      <w:szCs w:val="21"/>
                    </w:rPr>
                    <w:t>m</w:t>
                  </w:r>
                  <w:r>
                    <w:rPr>
                      <w:color w:val="auto"/>
                      <w:szCs w:val="21"/>
                      <w:vertAlign w:val="superscript"/>
                    </w:rPr>
                    <w:t>3</w:t>
                  </w:r>
                </w:p>
              </w:tc>
              <w:tc>
                <w:tcPr>
                  <w:tcW w:w="1296" w:type="dxa"/>
                  <w:tcBorders>
                    <w:tl2br w:val="nil"/>
                    <w:tr2bl w:val="nil"/>
                  </w:tcBorders>
                  <w:noWrap w:val="0"/>
                  <w:vAlign w:val="center"/>
                </w:tcPr>
                <w:p>
                  <w:pPr>
                    <w:adjustRightInd w:val="0"/>
                    <w:snapToGrid w:val="0"/>
                    <w:spacing w:line="240" w:lineRule="atLeast"/>
                    <w:jc w:val="center"/>
                    <w:rPr>
                      <w:rFonts w:hAnsi="宋体"/>
                      <w:color w:val="auto"/>
                      <w:kern w:val="2"/>
                      <w:sz w:val="21"/>
                      <w:szCs w:val="21"/>
                      <w:lang w:val="en-US" w:eastAsia="zh-CN" w:bidi="ar-SA"/>
                    </w:rPr>
                  </w:pPr>
                  <w:r>
                    <w:rPr>
                      <w:rFonts w:hAnsi="宋体"/>
                      <w:color w:val="auto"/>
                      <w:szCs w:val="21"/>
                    </w:rPr>
                    <w:t>外购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638" w:type="dxa"/>
                  <w:tcBorders>
                    <w:tl2br w:val="nil"/>
                    <w:tr2bl w:val="nil"/>
                  </w:tcBorders>
                  <w:noWrap w:val="0"/>
                  <w:vAlign w:val="center"/>
                </w:tcPr>
                <w:p>
                  <w:pPr>
                    <w:adjustRightInd w:val="0"/>
                    <w:snapToGrid w:val="0"/>
                    <w:spacing w:line="240" w:lineRule="atLeast"/>
                    <w:jc w:val="center"/>
                    <w:rPr>
                      <w:rFonts w:hint="eastAsia"/>
                      <w:color w:val="auto"/>
                      <w:szCs w:val="21"/>
                    </w:rPr>
                  </w:pPr>
                  <w:r>
                    <w:rPr>
                      <w:rFonts w:hint="eastAsia"/>
                      <w:color w:val="auto"/>
                      <w:szCs w:val="21"/>
                    </w:rPr>
                    <w:t>6</w:t>
                  </w:r>
                </w:p>
              </w:tc>
              <w:tc>
                <w:tcPr>
                  <w:tcW w:w="2330" w:type="dxa"/>
                  <w:tcBorders>
                    <w:tl2br w:val="nil"/>
                    <w:tr2bl w:val="nil"/>
                  </w:tcBorders>
                  <w:noWrap w:val="0"/>
                  <w:vAlign w:val="center"/>
                </w:tcPr>
                <w:p>
                  <w:pPr>
                    <w:adjustRightInd w:val="0"/>
                    <w:snapToGrid w:val="0"/>
                    <w:spacing w:line="240" w:lineRule="atLeast"/>
                    <w:jc w:val="center"/>
                    <w:rPr>
                      <w:rFonts w:hAnsi="宋体"/>
                      <w:color w:val="auto"/>
                      <w:kern w:val="2"/>
                      <w:sz w:val="21"/>
                      <w:szCs w:val="21"/>
                      <w:lang w:val="en-US" w:eastAsia="zh-CN" w:bidi="ar-SA"/>
                    </w:rPr>
                  </w:pPr>
                  <w:r>
                    <w:rPr>
                      <w:rFonts w:hint="eastAsia" w:hAnsi="宋体"/>
                      <w:color w:val="auto"/>
                      <w:szCs w:val="21"/>
                    </w:rPr>
                    <w:t>钢筋</w:t>
                  </w:r>
                </w:p>
              </w:tc>
              <w:tc>
                <w:tcPr>
                  <w:tcW w:w="1751" w:type="dxa"/>
                  <w:tcBorders>
                    <w:tl2br w:val="nil"/>
                    <w:tr2bl w:val="nil"/>
                  </w:tcBorders>
                  <w:noWrap w:val="0"/>
                  <w:vAlign w:val="center"/>
                </w:tcPr>
                <w:p>
                  <w:pPr>
                    <w:adjustRightInd w:val="0"/>
                    <w:snapToGrid w:val="0"/>
                    <w:spacing w:line="240" w:lineRule="atLeast"/>
                    <w:jc w:val="center"/>
                    <w:rPr>
                      <w:rFonts w:hint="default" w:eastAsia="宋体"/>
                      <w:color w:val="auto"/>
                      <w:kern w:val="2"/>
                      <w:sz w:val="21"/>
                      <w:szCs w:val="21"/>
                      <w:lang w:val="en-US" w:eastAsia="zh-CN" w:bidi="ar-SA"/>
                    </w:rPr>
                  </w:pPr>
                  <w:r>
                    <w:rPr>
                      <w:rFonts w:hint="eastAsia"/>
                      <w:color w:val="auto"/>
                      <w:szCs w:val="21"/>
                      <w:lang w:val="en-US" w:eastAsia="zh-CN"/>
                    </w:rPr>
                    <w:t>47.3</w:t>
                  </w:r>
                </w:p>
              </w:tc>
              <w:tc>
                <w:tcPr>
                  <w:tcW w:w="1383" w:type="dxa"/>
                  <w:tcBorders>
                    <w:tl2br w:val="nil"/>
                    <w:tr2bl w:val="nil"/>
                  </w:tcBorders>
                  <w:noWrap w:val="0"/>
                  <w:vAlign w:val="center"/>
                </w:tcPr>
                <w:p>
                  <w:pPr>
                    <w:adjustRightInd w:val="0"/>
                    <w:snapToGrid w:val="0"/>
                    <w:spacing w:line="240" w:lineRule="atLeast"/>
                    <w:jc w:val="center"/>
                    <w:rPr>
                      <w:rFonts w:hint="eastAsia"/>
                      <w:color w:val="auto"/>
                      <w:kern w:val="2"/>
                      <w:sz w:val="21"/>
                      <w:szCs w:val="21"/>
                      <w:lang w:val="en-US" w:eastAsia="zh-CN" w:bidi="ar-SA"/>
                    </w:rPr>
                  </w:pPr>
                  <w:r>
                    <w:rPr>
                      <w:rFonts w:hint="eastAsia"/>
                      <w:color w:val="auto"/>
                      <w:szCs w:val="21"/>
                    </w:rPr>
                    <w:t>t</w:t>
                  </w:r>
                </w:p>
              </w:tc>
              <w:tc>
                <w:tcPr>
                  <w:tcW w:w="1296" w:type="dxa"/>
                  <w:tcBorders>
                    <w:tl2br w:val="nil"/>
                    <w:tr2bl w:val="nil"/>
                  </w:tcBorders>
                  <w:noWrap w:val="0"/>
                  <w:vAlign w:val="center"/>
                </w:tcPr>
                <w:p>
                  <w:pPr>
                    <w:adjustRightInd w:val="0"/>
                    <w:snapToGrid w:val="0"/>
                    <w:spacing w:line="240" w:lineRule="atLeast"/>
                    <w:jc w:val="center"/>
                    <w:rPr>
                      <w:rFonts w:hAnsi="宋体"/>
                      <w:color w:val="auto"/>
                      <w:kern w:val="2"/>
                      <w:sz w:val="21"/>
                      <w:szCs w:val="21"/>
                      <w:lang w:val="en-US" w:eastAsia="zh-CN" w:bidi="ar-SA"/>
                    </w:rPr>
                  </w:pPr>
                  <w:r>
                    <w:rPr>
                      <w:rFonts w:hint="eastAsia" w:hAnsi="宋体"/>
                      <w:color w:val="auto"/>
                      <w:szCs w:val="21"/>
                    </w:rPr>
                    <w:t>外购</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82" w:firstLineChars="200"/>
              <w:textAlignment w:val="auto"/>
              <w:rPr>
                <w:rFonts w:hint="eastAsia"/>
                <w:b/>
                <w:bCs/>
                <w:color w:val="auto"/>
                <w:kern w:val="0"/>
                <w:sz w:val="24"/>
                <w:lang w:bidi="ar"/>
              </w:rPr>
            </w:pPr>
            <w:r>
              <w:rPr>
                <w:rFonts w:hint="eastAsia"/>
                <w:b/>
                <w:bCs/>
                <w:color w:val="auto"/>
                <w:kern w:val="0"/>
                <w:sz w:val="24"/>
                <w:lang w:val="en-US" w:eastAsia="zh-CN" w:bidi="ar"/>
              </w:rPr>
              <w:t>6</w:t>
            </w:r>
            <w:r>
              <w:rPr>
                <w:rFonts w:hint="eastAsia"/>
                <w:b/>
                <w:bCs/>
                <w:color w:val="auto"/>
                <w:kern w:val="0"/>
                <w:sz w:val="24"/>
                <w:lang w:bidi="ar"/>
              </w:rPr>
              <w:t>、用地情况</w:t>
            </w:r>
          </w:p>
          <w:p>
            <w:pPr>
              <w:spacing w:line="360" w:lineRule="auto"/>
              <w:ind w:firstLine="480" w:firstLineChars="200"/>
              <w:rPr>
                <w:rFonts w:hAnsi="宋体"/>
                <w:color w:val="auto"/>
                <w:sz w:val="24"/>
              </w:rPr>
            </w:pPr>
            <w:r>
              <w:rPr>
                <w:rFonts w:hAnsi="宋体"/>
                <w:color w:val="auto"/>
                <w:sz w:val="24"/>
              </w:rPr>
              <w:t>本</w:t>
            </w:r>
            <w:r>
              <w:rPr>
                <w:rFonts w:hint="eastAsia" w:hAnsi="宋体"/>
                <w:color w:val="auto"/>
                <w:sz w:val="24"/>
              </w:rPr>
              <w:t>项目总占地面积为</w:t>
            </w:r>
            <w:r>
              <w:rPr>
                <w:rFonts w:hint="eastAsia" w:hAnsi="宋体"/>
                <w:color w:val="auto"/>
                <w:sz w:val="24"/>
                <w:lang w:val="en-US" w:eastAsia="zh-CN"/>
              </w:rPr>
              <w:t>61.04</w:t>
            </w:r>
            <w:r>
              <w:rPr>
                <w:rFonts w:hint="eastAsia" w:hAnsi="宋体"/>
                <w:color w:val="auto"/>
                <w:sz w:val="24"/>
              </w:rPr>
              <w:t>亩（</w:t>
            </w:r>
            <w:r>
              <w:rPr>
                <w:rFonts w:hint="eastAsia" w:hAnsi="宋体"/>
                <w:color w:val="auto"/>
                <w:sz w:val="24"/>
                <w:lang w:val="en-US" w:eastAsia="zh-CN"/>
              </w:rPr>
              <w:t>4.07</w:t>
            </w:r>
            <w:r>
              <w:rPr>
                <w:rFonts w:hint="eastAsia" w:hAnsi="宋体"/>
                <w:color w:val="auto"/>
                <w:sz w:val="24"/>
              </w:rPr>
              <w:t>hm</w:t>
            </w:r>
            <w:r>
              <w:rPr>
                <w:rFonts w:hAnsi="宋体"/>
                <w:color w:val="auto"/>
                <w:sz w:val="24"/>
                <w:vertAlign w:val="superscript"/>
              </w:rPr>
              <w:t>2</w:t>
            </w:r>
            <w:r>
              <w:rPr>
                <w:rFonts w:hint="eastAsia" w:hAnsi="宋体"/>
                <w:color w:val="auto"/>
                <w:sz w:val="24"/>
              </w:rPr>
              <w:t>），其中</w:t>
            </w:r>
            <w:r>
              <w:rPr>
                <w:rFonts w:hAnsi="宋体"/>
                <w:color w:val="auto"/>
                <w:sz w:val="24"/>
              </w:rPr>
              <w:t>永久占地面积为</w:t>
            </w:r>
            <w:r>
              <w:rPr>
                <w:rFonts w:hint="eastAsia"/>
                <w:color w:val="auto"/>
                <w:sz w:val="24"/>
                <w:lang w:val="en-US" w:eastAsia="zh-CN"/>
              </w:rPr>
              <w:t>21.6</w:t>
            </w:r>
            <w:r>
              <w:rPr>
                <w:rFonts w:hAnsi="宋体"/>
                <w:color w:val="auto"/>
                <w:sz w:val="24"/>
              </w:rPr>
              <w:t>亩</w:t>
            </w:r>
            <w:r>
              <w:rPr>
                <w:rFonts w:hint="eastAsia" w:hAnsi="宋体"/>
                <w:color w:val="auto"/>
                <w:sz w:val="24"/>
              </w:rPr>
              <w:t>（</w:t>
            </w:r>
            <w:r>
              <w:rPr>
                <w:rFonts w:hint="eastAsia" w:hAnsi="宋体"/>
                <w:color w:val="auto"/>
                <w:sz w:val="24"/>
                <w:lang w:val="en-US" w:eastAsia="zh-CN"/>
              </w:rPr>
              <w:t>1.44</w:t>
            </w:r>
            <w:r>
              <w:rPr>
                <w:rFonts w:hint="eastAsia" w:hAnsi="宋体"/>
                <w:color w:val="auto"/>
                <w:sz w:val="24"/>
              </w:rPr>
              <w:t>hm</w:t>
            </w:r>
            <w:r>
              <w:rPr>
                <w:rFonts w:hAnsi="宋体"/>
                <w:color w:val="auto"/>
                <w:sz w:val="24"/>
                <w:vertAlign w:val="superscript"/>
              </w:rPr>
              <w:t>2</w:t>
            </w:r>
            <w:r>
              <w:rPr>
                <w:rFonts w:hint="eastAsia" w:hAnsi="宋体"/>
                <w:color w:val="auto"/>
                <w:sz w:val="24"/>
              </w:rPr>
              <w:t>）</w:t>
            </w:r>
            <w:r>
              <w:rPr>
                <w:rFonts w:hint="eastAsia" w:hAnsi="宋体"/>
                <w:color w:val="auto"/>
                <w:sz w:val="24"/>
                <w:lang w:eastAsia="zh-CN"/>
              </w:rPr>
              <w:t>；</w:t>
            </w:r>
            <w:r>
              <w:rPr>
                <w:rFonts w:hint="eastAsia" w:hAnsi="宋体"/>
                <w:color w:val="auto"/>
                <w:sz w:val="24"/>
                <w:lang w:val="en-US" w:eastAsia="zh-CN"/>
              </w:rPr>
              <w:t>临时占地面积为39.44</w:t>
            </w:r>
            <w:r>
              <w:rPr>
                <w:rFonts w:hint="eastAsia" w:hAnsi="宋体"/>
                <w:color w:val="auto"/>
                <w:sz w:val="24"/>
              </w:rPr>
              <w:t>亩（</w:t>
            </w:r>
            <w:r>
              <w:rPr>
                <w:rFonts w:hint="eastAsia" w:hAnsi="宋体"/>
                <w:color w:val="auto"/>
                <w:sz w:val="24"/>
                <w:lang w:val="en-US" w:eastAsia="zh-CN"/>
              </w:rPr>
              <w:t>2.63</w:t>
            </w:r>
            <w:r>
              <w:rPr>
                <w:rFonts w:hint="eastAsia" w:hAnsi="宋体"/>
                <w:color w:val="auto"/>
                <w:sz w:val="24"/>
              </w:rPr>
              <w:t>hm</w:t>
            </w:r>
            <w:r>
              <w:rPr>
                <w:rFonts w:hAnsi="宋体"/>
                <w:color w:val="auto"/>
                <w:sz w:val="24"/>
                <w:vertAlign w:val="superscript"/>
              </w:rPr>
              <w:t>2</w:t>
            </w:r>
            <w:r>
              <w:rPr>
                <w:rFonts w:hint="eastAsia" w:hAnsi="宋体"/>
                <w:color w:val="auto"/>
                <w:sz w:val="24"/>
              </w:rPr>
              <w:t>）</w:t>
            </w:r>
            <w:r>
              <w:rPr>
                <w:rFonts w:hint="eastAsia" w:hAnsi="宋体"/>
                <w:color w:val="auto"/>
                <w:sz w:val="24"/>
                <w:lang w:val="en-US" w:eastAsia="zh-CN"/>
              </w:rPr>
              <w:t>。</w:t>
            </w:r>
            <w:r>
              <w:rPr>
                <w:rFonts w:hint="eastAsia" w:hAnsi="宋体"/>
                <w:color w:val="auto"/>
                <w:sz w:val="24"/>
              </w:rPr>
              <w:t>永久占地主要为</w:t>
            </w:r>
            <w:r>
              <w:rPr>
                <w:rFonts w:hint="eastAsia" w:hAnsi="宋体"/>
                <w:color w:val="auto"/>
                <w:sz w:val="24"/>
                <w:lang w:val="en-US" w:eastAsia="zh-CN"/>
              </w:rPr>
              <w:t>折腰沟新建沟道防护占地15.6亩（1.04hm</w:t>
            </w:r>
            <w:r>
              <w:rPr>
                <w:rFonts w:hint="eastAsia" w:hAnsi="宋体"/>
                <w:color w:val="auto"/>
                <w:sz w:val="24"/>
                <w:vertAlign w:val="superscript"/>
                <w:lang w:val="en-US" w:eastAsia="zh-CN"/>
              </w:rPr>
              <w:t>2</w:t>
            </w:r>
            <w:r>
              <w:rPr>
                <w:rFonts w:hint="eastAsia" w:hAnsi="宋体"/>
                <w:color w:val="auto"/>
                <w:sz w:val="24"/>
                <w:lang w:val="en-US" w:eastAsia="zh-CN"/>
              </w:rPr>
              <w:t>）</w:t>
            </w:r>
            <w:r>
              <w:rPr>
                <w:rFonts w:hint="eastAsia" w:hAnsi="宋体"/>
                <w:color w:val="auto"/>
                <w:sz w:val="24"/>
                <w:lang w:eastAsia="zh-CN"/>
              </w:rPr>
              <w:t>、</w:t>
            </w:r>
            <w:r>
              <w:rPr>
                <w:rFonts w:hint="eastAsia"/>
                <w:color w:val="auto"/>
                <w:sz w:val="24"/>
                <w:lang w:val="en-US" w:eastAsia="zh-CN"/>
              </w:rPr>
              <w:t>建筑物占地6亩（0.4hm</w:t>
            </w:r>
            <w:r>
              <w:rPr>
                <w:rFonts w:hint="eastAsia"/>
                <w:color w:val="auto"/>
                <w:sz w:val="24"/>
                <w:vertAlign w:val="superscript"/>
                <w:lang w:val="en-US" w:eastAsia="zh-CN"/>
              </w:rPr>
              <w:t>2</w:t>
            </w:r>
            <w:r>
              <w:rPr>
                <w:rFonts w:hint="eastAsia"/>
                <w:color w:val="auto"/>
                <w:sz w:val="24"/>
                <w:lang w:val="en-US" w:eastAsia="zh-CN"/>
              </w:rPr>
              <w:t>）；永久占地中</w:t>
            </w:r>
            <w:r>
              <w:rPr>
                <w:rFonts w:hint="eastAsia" w:hAnsi="宋体"/>
                <w:color w:val="auto"/>
                <w:sz w:val="24"/>
              </w:rPr>
              <w:t>占用其他草地</w:t>
            </w:r>
            <w:r>
              <w:rPr>
                <w:rFonts w:hint="eastAsia" w:hAnsi="宋体"/>
                <w:color w:val="auto"/>
                <w:sz w:val="24"/>
                <w:lang w:val="en-US" w:eastAsia="zh-CN"/>
              </w:rPr>
              <w:t>21.4亩（1.43hm</w:t>
            </w:r>
            <w:r>
              <w:rPr>
                <w:rFonts w:hint="eastAsia" w:hAnsi="宋体"/>
                <w:color w:val="auto"/>
                <w:sz w:val="24"/>
                <w:vertAlign w:val="superscript"/>
                <w:lang w:val="en-US" w:eastAsia="zh-CN"/>
              </w:rPr>
              <w:t>2</w:t>
            </w:r>
            <w:r>
              <w:rPr>
                <w:rFonts w:hint="eastAsia" w:hAnsi="宋体"/>
                <w:color w:val="auto"/>
                <w:sz w:val="24"/>
                <w:lang w:val="en-US" w:eastAsia="zh-CN"/>
              </w:rPr>
              <w:t>）</w:t>
            </w:r>
            <w:r>
              <w:rPr>
                <w:rFonts w:hint="eastAsia" w:hAnsi="宋体"/>
                <w:color w:val="auto"/>
                <w:sz w:val="24"/>
                <w:vertAlign w:val="baseline"/>
                <w:lang w:val="en-US" w:eastAsia="zh-CN"/>
              </w:rPr>
              <w:t>，占用裸土地0.2亩（</w:t>
            </w:r>
            <w:r>
              <w:rPr>
                <w:rFonts w:hint="eastAsia" w:hAnsi="宋体"/>
                <w:color w:val="auto"/>
                <w:sz w:val="24"/>
                <w:lang w:val="en-US" w:eastAsia="zh-CN"/>
              </w:rPr>
              <w:t>0.01hm</w:t>
            </w:r>
            <w:r>
              <w:rPr>
                <w:rFonts w:hint="eastAsia" w:hAnsi="宋体"/>
                <w:color w:val="auto"/>
                <w:sz w:val="24"/>
                <w:vertAlign w:val="superscript"/>
                <w:lang w:val="en-US" w:eastAsia="zh-CN"/>
              </w:rPr>
              <w:t>2</w:t>
            </w:r>
            <w:r>
              <w:rPr>
                <w:rFonts w:hint="eastAsia" w:hAnsi="宋体"/>
                <w:color w:val="auto"/>
                <w:sz w:val="24"/>
                <w:vertAlign w:val="baseline"/>
                <w:lang w:val="en-US" w:eastAsia="zh-CN"/>
              </w:rPr>
              <w:t>）；</w:t>
            </w:r>
            <w:r>
              <w:rPr>
                <w:rFonts w:hint="eastAsia" w:hAnsi="宋体"/>
                <w:color w:val="auto"/>
                <w:sz w:val="24"/>
              </w:rPr>
              <w:t>临时占地为</w:t>
            </w:r>
            <w:r>
              <w:rPr>
                <w:rFonts w:hint="eastAsia" w:hAnsi="宋体"/>
                <w:color w:val="auto"/>
                <w:sz w:val="24"/>
                <w:lang w:val="en-US" w:eastAsia="zh-CN"/>
              </w:rPr>
              <w:t>39.44</w:t>
            </w:r>
            <w:r>
              <w:rPr>
                <w:rFonts w:hint="eastAsia" w:hAnsi="宋体"/>
                <w:color w:val="auto"/>
                <w:sz w:val="24"/>
              </w:rPr>
              <w:t>亩（</w:t>
            </w:r>
            <w:r>
              <w:rPr>
                <w:rFonts w:hint="eastAsia" w:hAnsi="宋体"/>
                <w:color w:val="auto"/>
                <w:sz w:val="24"/>
                <w:lang w:val="en-US" w:eastAsia="zh-CN"/>
              </w:rPr>
              <w:t>2.63</w:t>
            </w:r>
            <w:r>
              <w:rPr>
                <w:rFonts w:hint="eastAsia" w:hAnsi="宋体"/>
                <w:color w:val="auto"/>
                <w:sz w:val="24"/>
              </w:rPr>
              <w:t>hm</w:t>
            </w:r>
            <w:r>
              <w:rPr>
                <w:rFonts w:hAnsi="宋体"/>
                <w:color w:val="auto"/>
                <w:sz w:val="24"/>
                <w:vertAlign w:val="superscript"/>
              </w:rPr>
              <w:t>2</w:t>
            </w:r>
            <w:r>
              <w:rPr>
                <w:rFonts w:hint="eastAsia" w:hAnsi="宋体"/>
                <w:color w:val="auto"/>
                <w:sz w:val="24"/>
              </w:rPr>
              <w:t>）</w:t>
            </w:r>
            <w:r>
              <w:rPr>
                <w:rFonts w:hint="eastAsia" w:hAnsi="宋体"/>
                <w:color w:val="auto"/>
                <w:sz w:val="24"/>
                <w:lang w:eastAsia="zh-CN"/>
              </w:rPr>
              <w:t>，临时占地主要为施工营地</w:t>
            </w:r>
            <w:r>
              <w:rPr>
                <w:rFonts w:hint="eastAsia" w:hAnsi="宋体"/>
                <w:color w:val="auto"/>
                <w:sz w:val="24"/>
                <w:lang w:val="en-US" w:eastAsia="zh-CN"/>
              </w:rPr>
              <w:t>4.05亩（0.27</w:t>
            </w:r>
            <w:r>
              <w:rPr>
                <w:rFonts w:hint="eastAsia" w:hAnsi="宋体"/>
                <w:color w:val="auto"/>
                <w:sz w:val="24"/>
              </w:rPr>
              <w:t>hm</w:t>
            </w:r>
            <w:r>
              <w:rPr>
                <w:rFonts w:hAnsi="宋体"/>
                <w:color w:val="auto"/>
                <w:sz w:val="24"/>
                <w:vertAlign w:val="superscript"/>
              </w:rPr>
              <w:t>2</w:t>
            </w:r>
            <w:r>
              <w:rPr>
                <w:rFonts w:hint="eastAsia" w:hAnsi="宋体"/>
                <w:color w:val="auto"/>
                <w:sz w:val="24"/>
                <w:lang w:val="en-US" w:eastAsia="zh-CN"/>
              </w:rPr>
              <w:t>）</w:t>
            </w:r>
            <w:r>
              <w:rPr>
                <w:rFonts w:hint="eastAsia" w:hAnsi="宋体"/>
                <w:color w:val="auto"/>
                <w:sz w:val="24"/>
                <w:lang w:eastAsia="zh-CN"/>
              </w:rPr>
              <w:t>、弃土场</w:t>
            </w:r>
            <w:r>
              <w:rPr>
                <w:rFonts w:hint="eastAsia" w:hAnsi="宋体"/>
                <w:color w:val="auto"/>
                <w:sz w:val="24"/>
                <w:lang w:val="en-US" w:eastAsia="zh-CN"/>
              </w:rPr>
              <w:t>27.14亩（1.81</w:t>
            </w:r>
            <w:r>
              <w:rPr>
                <w:rFonts w:hint="eastAsia" w:hAnsi="宋体"/>
                <w:color w:val="auto"/>
                <w:sz w:val="24"/>
              </w:rPr>
              <w:t>hm</w:t>
            </w:r>
            <w:r>
              <w:rPr>
                <w:rFonts w:hAnsi="宋体"/>
                <w:color w:val="auto"/>
                <w:sz w:val="24"/>
                <w:vertAlign w:val="superscript"/>
              </w:rPr>
              <w:t>2</w:t>
            </w:r>
            <w:r>
              <w:rPr>
                <w:rFonts w:hint="eastAsia" w:hAnsi="宋体"/>
                <w:color w:val="auto"/>
                <w:sz w:val="24"/>
                <w:lang w:val="en-US" w:eastAsia="zh-CN"/>
              </w:rPr>
              <w:t>）、临时施工道路8.25亩（0.55</w:t>
            </w:r>
            <w:r>
              <w:rPr>
                <w:rFonts w:hint="eastAsia" w:hAnsi="宋体"/>
                <w:color w:val="auto"/>
                <w:sz w:val="24"/>
              </w:rPr>
              <w:t>hm</w:t>
            </w:r>
            <w:r>
              <w:rPr>
                <w:rFonts w:hAnsi="宋体"/>
                <w:color w:val="auto"/>
                <w:sz w:val="24"/>
                <w:vertAlign w:val="superscript"/>
              </w:rPr>
              <w:t>2</w:t>
            </w:r>
            <w:r>
              <w:rPr>
                <w:rFonts w:hint="eastAsia" w:hAnsi="宋体"/>
                <w:color w:val="auto"/>
                <w:sz w:val="24"/>
                <w:lang w:val="en-US" w:eastAsia="zh-CN"/>
              </w:rPr>
              <w:t>）</w:t>
            </w:r>
            <w:r>
              <w:rPr>
                <w:rFonts w:hint="eastAsia" w:hAnsi="宋体"/>
                <w:color w:val="auto"/>
                <w:sz w:val="24"/>
                <w:lang w:eastAsia="zh-CN"/>
              </w:rPr>
              <w:t>；</w:t>
            </w:r>
            <w:r>
              <w:rPr>
                <w:rFonts w:hint="eastAsia" w:hAnsi="宋体"/>
                <w:color w:val="auto"/>
                <w:sz w:val="24"/>
                <w:lang w:val="en-US" w:eastAsia="zh-CN"/>
              </w:rPr>
              <w:t>临时占地占用裸土地2.88亩（0.19</w:t>
            </w:r>
            <w:r>
              <w:rPr>
                <w:rFonts w:hint="eastAsia" w:hAnsi="宋体"/>
                <w:color w:val="auto"/>
                <w:sz w:val="24"/>
              </w:rPr>
              <w:t>hm</w:t>
            </w:r>
            <w:r>
              <w:rPr>
                <w:rFonts w:hAnsi="宋体"/>
                <w:color w:val="auto"/>
                <w:sz w:val="24"/>
                <w:vertAlign w:val="superscript"/>
              </w:rPr>
              <w:t>2</w:t>
            </w:r>
            <w:r>
              <w:rPr>
                <w:rFonts w:hint="eastAsia" w:hAnsi="宋体"/>
                <w:color w:val="auto"/>
                <w:sz w:val="24"/>
                <w:lang w:val="en-US" w:eastAsia="zh-CN"/>
              </w:rPr>
              <w:t>），旱地4.05（0.27</w:t>
            </w:r>
            <w:r>
              <w:rPr>
                <w:rFonts w:hint="eastAsia" w:hAnsi="宋体"/>
                <w:color w:val="auto"/>
                <w:sz w:val="24"/>
              </w:rPr>
              <w:t>hm</w:t>
            </w:r>
            <w:r>
              <w:rPr>
                <w:rFonts w:hAnsi="宋体"/>
                <w:color w:val="auto"/>
                <w:sz w:val="24"/>
                <w:vertAlign w:val="superscript"/>
              </w:rPr>
              <w:t>2</w:t>
            </w:r>
            <w:r>
              <w:rPr>
                <w:rFonts w:hint="eastAsia" w:hAnsi="宋体"/>
                <w:color w:val="auto"/>
                <w:sz w:val="24"/>
                <w:lang w:val="en-US" w:eastAsia="zh-CN"/>
              </w:rPr>
              <w:t>），其他草地32.51（2.17</w:t>
            </w:r>
            <w:r>
              <w:rPr>
                <w:rFonts w:hint="eastAsia" w:hAnsi="宋体"/>
                <w:color w:val="auto"/>
                <w:sz w:val="24"/>
              </w:rPr>
              <w:t>hm</w:t>
            </w:r>
            <w:r>
              <w:rPr>
                <w:rFonts w:hAnsi="宋体"/>
                <w:color w:val="auto"/>
                <w:sz w:val="24"/>
                <w:vertAlign w:val="superscript"/>
              </w:rPr>
              <w:t>2</w:t>
            </w:r>
            <w:r>
              <w:rPr>
                <w:rFonts w:hint="eastAsia" w:hAnsi="宋体"/>
                <w:color w:val="auto"/>
                <w:sz w:val="24"/>
                <w:lang w:val="en-US" w:eastAsia="zh-CN"/>
              </w:rPr>
              <w:t>）</w:t>
            </w:r>
            <w:r>
              <w:rPr>
                <w:rFonts w:hint="eastAsia" w:hAnsi="宋体"/>
                <w:color w:val="auto"/>
                <w:sz w:val="24"/>
              </w:rPr>
              <w:t>。</w:t>
            </w:r>
          </w:p>
          <w:p>
            <w:pPr>
              <w:adjustRightInd w:val="0"/>
              <w:snapToGrid w:val="0"/>
              <w:ind w:firstLine="422" w:firstLineChars="200"/>
              <w:jc w:val="center"/>
              <w:outlineLvl w:val="1"/>
              <w:rPr>
                <w:rFonts w:ascii="Times New Roman" w:hAnsi="宋体" w:cs="Times New Roman"/>
                <w:b/>
                <w:color w:val="auto"/>
                <w:sz w:val="21"/>
                <w:szCs w:val="21"/>
              </w:rPr>
            </w:pPr>
            <w:r>
              <w:rPr>
                <w:rFonts w:ascii="Times New Roman" w:hAnsi="宋体" w:cs="Times New Roman"/>
                <w:b/>
                <w:color w:val="auto"/>
                <w:sz w:val="21"/>
                <w:szCs w:val="21"/>
              </w:rPr>
              <w:t>表</w:t>
            </w:r>
            <w:r>
              <w:rPr>
                <w:rFonts w:hint="eastAsia" w:ascii="Times New Roman" w:hAnsi="宋体" w:cs="Times New Roman"/>
                <w:b/>
                <w:color w:val="auto"/>
                <w:sz w:val="21"/>
                <w:szCs w:val="21"/>
                <w:lang w:val="en-US" w:eastAsia="zh-CN"/>
              </w:rPr>
              <w:t>2-3</w:t>
            </w:r>
            <w:r>
              <w:rPr>
                <w:rFonts w:ascii="Times New Roman" w:hAnsi="宋体" w:cs="Times New Roman"/>
                <w:b/>
                <w:color w:val="auto"/>
                <w:sz w:val="21"/>
                <w:szCs w:val="21"/>
              </w:rPr>
              <w:t xml:space="preserve">    本项目占地情况一览表</w:t>
            </w:r>
          </w:p>
          <w:tbl>
            <w:tblPr>
              <w:tblStyle w:val="24"/>
              <w:tblW w:w="757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92"/>
              <w:gridCol w:w="1038"/>
              <w:gridCol w:w="774"/>
              <w:gridCol w:w="1034"/>
              <w:gridCol w:w="1088"/>
              <w:gridCol w:w="295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1730" w:type="dxa"/>
                  <w:gridSpan w:val="2"/>
                  <w:tcBorders>
                    <w:tl2br w:val="nil"/>
                    <w:tr2bl w:val="nil"/>
                  </w:tcBorders>
                  <w:noWrap w:val="0"/>
                  <w:vAlign w:val="center"/>
                </w:tcPr>
                <w:p>
                  <w:pPr>
                    <w:snapToGrid w:val="0"/>
                    <w:spacing w:line="240" w:lineRule="atLeast"/>
                    <w:jc w:val="center"/>
                    <w:rPr>
                      <w:b/>
                      <w:color w:val="auto"/>
                      <w:szCs w:val="21"/>
                    </w:rPr>
                  </w:pPr>
                  <w:r>
                    <w:rPr>
                      <w:rFonts w:hAnsi="宋体"/>
                      <w:b/>
                      <w:color w:val="auto"/>
                      <w:szCs w:val="21"/>
                    </w:rPr>
                    <w:t>项目</w:t>
                  </w:r>
                </w:p>
              </w:tc>
              <w:tc>
                <w:tcPr>
                  <w:tcW w:w="774" w:type="dxa"/>
                  <w:tcBorders>
                    <w:tl2br w:val="nil"/>
                    <w:tr2bl w:val="nil"/>
                  </w:tcBorders>
                  <w:noWrap w:val="0"/>
                  <w:vAlign w:val="center"/>
                </w:tcPr>
                <w:p>
                  <w:pPr>
                    <w:snapToGrid w:val="0"/>
                    <w:spacing w:line="240" w:lineRule="atLeast"/>
                    <w:jc w:val="center"/>
                    <w:rPr>
                      <w:b/>
                      <w:color w:val="auto"/>
                      <w:szCs w:val="21"/>
                    </w:rPr>
                  </w:pPr>
                  <w:r>
                    <w:rPr>
                      <w:rFonts w:hAnsi="宋体"/>
                      <w:b/>
                      <w:color w:val="auto"/>
                      <w:szCs w:val="21"/>
                    </w:rPr>
                    <w:t>单位</w:t>
                  </w:r>
                </w:p>
              </w:tc>
              <w:tc>
                <w:tcPr>
                  <w:tcW w:w="1034" w:type="dxa"/>
                  <w:tcBorders>
                    <w:tl2br w:val="nil"/>
                    <w:tr2bl w:val="nil"/>
                  </w:tcBorders>
                  <w:noWrap w:val="0"/>
                  <w:vAlign w:val="center"/>
                </w:tcPr>
                <w:p>
                  <w:pPr>
                    <w:snapToGrid w:val="0"/>
                    <w:spacing w:line="240" w:lineRule="atLeast"/>
                    <w:jc w:val="center"/>
                    <w:rPr>
                      <w:b/>
                      <w:color w:val="auto"/>
                      <w:szCs w:val="21"/>
                    </w:rPr>
                  </w:pPr>
                  <w:r>
                    <w:rPr>
                      <w:rFonts w:hAnsi="宋体"/>
                      <w:b/>
                      <w:color w:val="auto"/>
                      <w:szCs w:val="21"/>
                    </w:rPr>
                    <w:t>占地面积</w:t>
                  </w:r>
                </w:p>
              </w:tc>
              <w:tc>
                <w:tcPr>
                  <w:tcW w:w="1088" w:type="dxa"/>
                  <w:tcBorders>
                    <w:tl2br w:val="nil"/>
                    <w:tr2bl w:val="nil"/>
                  </w:tcBorders>
                  <w:noWrap w:val="0"/>
                  <w:vAlign w:val="center"/>
                </w:tcPr>
                <w:p>
                  <w:pPr>
                    <w:snapToGrid w:val="0"/>
                    <w:spacing w:line="240" w:lineRule="atLeast"/>
                    <w:jc w:val="center"/>
                    <w:rPr>
                      <w:b/>
                      <w:color w:val="auto"/>
                      <w:szCs w:val="21"/>
                    </w:rPr>
                  </w:pPr>
                  <w:r>
                    <w:rPr>
                      <w:rFonts w:hint="eastAsia"/>
                      <w:b/>
                      <w:color w:val="auto"/>
                      <w:szCs w:val="21"/>
                    </w:rPr>
                    <w:t>占地类型</w:t>
                  </w:r>
                </w:p>
              </w:tc>
              <w:tc>
                <w:tcPr>
                  <w:tcW w:w="2951" w:type="dxa"/>
                  <w:tcBorders>
                    <w:tl2br w:val="nil"/>
                    <w:tr2bl w:val="nil"/>
                  </w:tcBorders>
                  <w:noWrap w:val="0"/>
                  <w:vAlign w:val="center"/>
                </w:tcPr>
                <w:p>
                  <w:pPr>
                    <w:snapToGrid w:val="0"/>
                    <w:spacing w:line="240" w:lineRule="atLeast"/>
                    <w:jc w:val="center"/>
                    <w:rPr>
                      <w:b/>
                      <w:color w:val="auto"/>
                      <w:szCs w:val="21"/>
                    </w:rPr>
                  </w:pPr>
                  <w:r>
                    <w:rPr>
                      <w:rFonts w:hAnsi="宋体"/>
                      <w:b/>
                      <w:color w:val="auto"/>
                      <w:szCs w:val="21"/>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692" w:type="dxa"/>
                  <w:vMerge w:val="restart"/>
                  <w:tcBorders>
                    <w:tl2br w:val="nil"/>
                    <w:tr2bl w:val="nil"/>
                  </w:tcBorders>
                  <w:noWrap w:val="0"/>
                  <w:vAlign w:val="center"/>
                </w:tcPr>
                <w:p>
                  <w:pPr>
                    <w:snapToGrid w:val="0"/>
                    <w:spacing w:line="240" w:lineRule="atLeast"/>
                    <w:jc w:val="center"/>
                    <w:rPr>
                      <w:color w:val="auto"/>
                      <w:szCs w:val="21"/>
                    </w:rPr>
                  </w:pPr>
                  <w:r>
                    <w:rPr>
                      <w:rFonts w:hAnsi="宋体"/>
                      <w:color w:val="auto"/>
                      <w:szCs w:val="21"/>
                    </w:rPr>
                    <w:t>永久占地</w:t>
                  </w:r>
                </w:p>
              </w:tc>
              <w:tc>
                <w:tcPr>
                  <w:tcW w:w="1038" w:type="dxa"/>
                  <w:tcBorders>
                    <w:tl2br w:val="nil"/>
                    <w:tr2bl w:val="nil"/>
                  </w:tcBorders>
                  <w:noWrap w:val="0"/>
                  <w:vAlign w:val="center"/>
                </w:tcPr>
                <w:p>
                  <w:pPr>
                    <w:snapToGrid w:val="0"/>
                    <w:spacing w:line="240" w:lineRule="atLeast"/>
                    <w:jc w:val="center"/>
                    <w:rPr>
                      <w:rFonts w:hint="eastAsia" w:hAnsi="宋体" w:eastAsia="宋体"/>
                      <w:color w:val="auto"/>
                      <w:szCs w:val="21"/>
                      <w:lang w:eastAsia="zh-CN"/>
                    </w:rPr>
                  </w:pPr>
                  <w:r>
                    <w:rPr>
                      <w:rFonts w:hint="eastAsia" w:hAnsi="宋体"/>
                      <w:color w:val="auto"/>
                      <w:szCs w:val="21"/>
                      <w:lang w:eastAsia="zh-CN"/>
                    </w:rPr>
                    <w:t>沟道防护</w:t>
                  </w:r>
                </w:p>
              </w:tc>
              <w:tc>
                <w:tcPr>
                  <w:tcW w:w="774" w:type="dxa"/>
                  <w:tcBorders>
                    <w:tl2br w:val="nil"/>
                    <w:tr2bl w:val="nil"/>
                  </w:tcBorders>
                  <w:noWrap w:val="0"/>
                  <w:vAlign w:val="center"/>
                </w:tcPr>
                <w:p>
                  <w:pPr>
                    <w:snapToGrid w:val="0"/>
                    <w:spacing w:line="240" w:lineRule="atLeast"/>
                    <w:jc w:val="center"/>
                    <w:rPr>
                      <w:rFonts w:hint="default" w:eastAsia="宋体"/>
                      <w:color w:val="auto"/>
                      <w:szCs w:val="21"/>
                      <w:lang w:val="en-US" w:eastAsia="zh-CN"/>
                    </w:rPr>
                  </w:pPr>
                  <w:r>
                    <w:rPr>
                      <w:rFonts w:hint="eastAsia"/>
                      <w:color w:val="auto"/>
                      <w:szCs w:val="21"/>
                      <w:lang w:val="en-US" w:eastAsia="zh-CN"/>
                    </w:rPr>
                    <w:t>hm</w:t>
                  </w:r>
                  <w:r>
                    <w:rPr>
                      <w:rFonts w:hint="eastAsia"/>
                      <w:color w:val="auto"/>
                      <w:szCs w:val="21"/>
                      <w:vertAlign w:val="superscript"/>
                      <w:lang w:val="en-US" w:eastAsia="zh-CN"/>
                    </w:rPr>
                    <w:t>2</w:t>
                  </w:r>
                </w:p>
              </w:tc>
              <w:tc>
                <w:tcPr>
                  <w:tcW w:w="1034" w:type="dxa"/>
                  <w:tcBorders>
                    <w:tl2br w:val="nil"/>
                    <w:tr2bl w:val="nil"/>
                  </w:tcBorders>
                  <w:noWrap w:val="0"/>
                  <w:vAlign w:val="center"/>
                </w:tcPr>
                <w:p>
                  <w:pPr>
                    <w:snapToGrid w:val="0"/>
                    <w:spacing w:line="240" w:lineRule="atLeast"/>
                    <w:jc w:val="center"/>
                    <w:rPr>
                      <w:rFonts w:hint="default" w:eastAsia="宋体"/>
                      <w:color w:val="auto"/>
                      <w:szCs w:val="21"/>
                      <w:lang w:val="en-US" w:eastAsia="zh-CN"/>
                    </w:rPr>
                  </w:pPr>
                  <w:r>
                    <w:rPr>
                      <w:rFonts w:hint="eastAsia"/>
                      <w:color w:val="auto"/>
                      <w:szCs w:val="21"/>
                      <w:lang w:val="en-US" w:eastAsia="zh-CN"/>
                    </w:rPr>
                    <w:t>1.43</w:t>
                  </w:r>
                </w:p>
              </w:tc>
              <w:tc>
                <w:tcPr>
                  <w:tcW w:w="1088" w:type="dxa"/>
                  <w:tcBorders>
                    <w:tl2br w:val="nil"/>
                    <w:tr2bl w:val="nil"/>
                  </w:tcBorders>
                  <w:noWrap w:val="0"/>
                  <w:vAlign w:val="center"/>
                </w:tcPr>
                <w:p>
                  <w:pPr>
                    <w:snapToGrid w:val="0"/>
                    <w:spacing w:line="240" w:lineRule="atLeast"/>
                    <w:jc w:val="center"/>
                    <w:rPr>
                      <w:rFonts w:hint="default" w:eastAsia="宋体"/>
                      <w:color w:val="auto"/>
                      <w:szCs w:val="21"/>
                      <w:lang w:val="en-US" w:eastAsia="zh-CN"/>
                    </w:rPr>
                  </w:pPr>
                  <w:r>
                    <w:rPr>
                      <w:rFonts w:hint="eastAsia"/>
                      <w:color w:val="auto"/>
                      <w:szCs w:val="21"/>
                      <w:lang w:val="en-US" w:eastAsia="zh-CN"/>
                    </w:rPr>
                    <w:t>其他草地</w:t>
                  </w:r>
                </w:p>
              </w:tc>
              <w:tc>
                <w:tcPr>
                  <w:tcW w:w="2951" w:type="dxa"/>
                  <w:vMerge w:val="restart"/>
                  <w:tcBorders>
                    <w:tl2br w:val="nil"/>
                    <w:tr2bl w:val="nil"/>
                  </w:tcBorders>
                  <w:noWrap w:val="0"/>
                  <w:vAlign w:val="center"/>
                </w:tcPr>
                <w:p>
                  <w:pPr>
                    <w:snapToGrid w:val="0"/>
                    <w:spacing w:line="240" w:lineRule="atLeast"/>
                    <w:jc w:val="center"/>
                    <w:rPr>
                      <w:rFonts w:hint="eastAsia" w:eastAsia="宋体"/>
                      <w:color w:val="auto"/>
                      <w:szCs w:val="21"/>
                      <w:lang w:eastAsia="zh-CN"/>
                    </w:rPr>
                  </w:pPr>
                  <w:r>
                    <w:rPr>
                      <w:rFonts w:hint="eastAsia" w:hAnsi="宋体"/>
                      <w:color w:val="auto"/>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692" w:type="dxa"/>
                  <w:vMerge w:val="continue"/>
                  <w:tcBorders>
                    <w:tl2br w:val="nil"/>
                    <w:tr2bl w:val="nil"/>
                  </w:tcBorders>
                  <w:noWrap w:val="0"/>
                  <w:vAlign w:val="center"/>
                </w:tcPr>
                <w:p>
                  <w:pPr>
                    <w:snapToGrid w:val="0"/>
                    <w:spacing w:line="240" w:lineRule="atLeast"/>
                    <w:jc w:val="center"/>
                    <w:rPr>
                      <w:rFonts w:hAnsi="宋体"/>
                      <w:color w:val="auto"/>
                      <w:szCs w:val="21"/>
                    </w:rPr>
                  </w:pPr>
                </w:p>
              </w:tc>
              <w:tc>
                <w:tcPr>
                  <w:tcW w:w="1038" w:type="dxa"/>
                  <w:tcBorders>
                    <w:tl2br w:val="nil"/>
                    <w:tr2bl w:val="nil"/>
                  </w:tcBorders>
                  <w:noWrap w:val="0"/>
                  <w:vAlign w:val="center"/>
                </w:tcPr>
                <w:p>
                  <w:pPr>
                    <w:snapToGrid w:val="0"/>
                    <w:spacing w:line="240" w:lineRule="atLeast"/>
                    <w:jc w:val="center"/>
                    <w:rPr>
                      <w:rFonts w:hint="eastAsia" w:hAnsi="宋体" w:eastAsia="宋体"/>
                      <w:color w:val="auto"/>
                      <w:szCs w:val="21"/>
                      <w:lang w:eastAsia="zh-CN"/>
                    </w:rPr>
                  </w:pPr>
                  <w:r>
                    <w:rPr>
                      <w:rFonts w:hint="eastAsia" w:hAnsi="宋体"/>
                      <w:color w:val="auto"/>
                      <w:szCs w:val="21"/>
                      <w:lang w:eastAsia="zh-CN"/>
                    </w:rPr>
                    <w:t>建筑物占地</w:t>
                  </w:r>
                </w:p>
              </w:tc>
              <w:tc>
                <w:tcPr>
                  <w:tcW w:w="774" w:type="dxa"/>
                  <w:tcBorders>
                    <w:tl2br w:val="nil"/>
                    <w:tr2bl w:val="nil"/>
                  </w:tcBorders>
                  <w:noWrap w:val="0"/>
                  <w:vAlign w:val="center"/>
                </w:tcPr>
                <w:p>
                  <w:pPr>
                    <w:snapToGrid w:val="0"/>
                    <w:spacing w:line="240" w:lineRule="atLeast"/>
                    <w:jc w:val="center"/>
                    <w:rPr>
                      <w:rFonts w:hint="eastAsia"/>
                      <w:color w:val="auto"/>
                      <w:szCs w:val="21"/>
                    </w:rPr>
                  </w:pPr>
                  <w:r>
                    <w:rPr>
                      <w:rFonts w:hint="eastAsia"/>
                      <w:color w:val="auto"/>
                      <w:szCs w:val="21"/>
                      <w:lang w:val="en-US" w:eastAsia="zh-CN"/>
                    </w:rPr>
                    <w:t>hm</w:t>
                  </w:r>
                  <w:r>
                    <w:rPr>
                      <w:rFonts w:hint="eastAsia"/>
                      <w:color w:val="auto"/>
                      <w:szCs w:val="21"/>
                      <w:vertAlign w:val="superscript"/>
                      <w:lang w:val="en-US" w:eastAsia="zh-CN"/>
                    </w:rPr>
                    <w:t>2</w:t>
                  </w:r>
                </w:p>
              </w:tc>
              <w:tc>
                <w:tcPr>
                  <w:tcW w:w="1034" w:type="dxa"/>
                  <w:tcBorders>
                    <w:tl2br w:val="nil"/>
                    <w:tr2bl w:val="nil"/>
                  </w:tcBorders>
                  <w:noWrap w:val="0"/>
                  <w:vAlign w:val="center"/>
                </w:tcPr>
                <w:p>
                  <w:pPr>
                    <w:snapToGrid w:val="0"/>
                    <w:spacing w:line="240" w:lineRule="atLeast"/>
                    <w:jc w:val="center"/>
                    <w:rPr>
                      <w:rFonts w:hint="default"/>
                      <w:color w:val="auto"/>
                      <w:szCs w:val="21"/>
                      <w:lang w:val="en-US"/>
                    </w:rPr>
                  </w:pPr>
                  <w:r>
                    <w:rPr>
                      <w:rFonts w:hint="eastAsia"/>
                      <w:color w:val="auto"/>
                      <w:szCs w:val="21"/>
                      <w:lang w:val="en-US" w:eastAsia="zh-CN"/>
                    </w:rPr>
                    <w:t>0.01</w:t>
                  </w:r>
                </w:p>
              </w:tc>
              <w:tc>
                <w:tcPr>
                  <w:tcW w:w="1088" w:type="dxa"/>
                  <w:tcBorders>
                    <w:tl2br w:val="nil"/>
                    <w:tr2bl w:val="nil"/>
                  </w:tcBorders>
                  <w:noWrap w:val="0"/>
                  <w:vAlign w:val="center"/>
                </w:tcPr>
                <w:p>
                  <w:pPr>
                    <w:snapToGrid w:val="0"/>
                    <w:spacing w:line="240" w:lineRule="atLeast"/>
                    <w:jc w:val="center"/>
                    <w:rPr>
                      <w:rFonts w:hint="eastAsia" w:eastAsia="宋体"/>
                      <w:color w:val="auto"/>
                      <w:szCs w:val="21"/>
                      <w:lang w:val="en-US" w:eastAsia="zh-CN"/>
                    </w:rPr>
                  </w:pPr>
                  <w:r>
                    <w:rPr>
                      <w:rFonts w:hint="eastAsia"/>
                      <w:color w:val="auto"/>
                      <w:szCs w:val="21"/>
                      <w:lang w:val="en-US" w:eastAsia="zh-CN"/>
                    </w:rPr>
                    <w:t>裸土地</w:t>
                  </w:r>
                </w:p>
              </w:tc>
              <w:tc>
                <w:tcPr>
                  <w:tcW w:w="2951" w:type="dxa"/>
                  <w:vMerge w:val="continue"/>
                  <w:tcBorders>
                    <w:tl2br w:val="nil"/>
                    <w:tr2bl w:val="nil"/>
                  </w:tcBorders>
                  <w:noWrap w:val="0"/>
                  <w:vAlign w:val="center"/>
                </w:tcPr>
                <w:p>
                  <w:pPr>
                    <w:snapToGrid w:val="0"/>
                    <w:spacing w:line="240" w:lineRule="atLeast"/>
                    <w:jc w:val="center"/>
                    <w:rPr>
                      <w:rFonts w:hint="eastAsia" w:hAnsi="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1730" w:type="dxa"/>
                  <w:gridSpan w:val="2"/>
                  <w:tcBorders>
                    <w:tl2br w:val="nil"/>
                    <w:tr2bl w:val="nil"/>
                  </w:tcBorders>
                  <w:noWrap w:val="0"/>
                  <w:vAlign w:val="center"/>
                </w:tcPr>
                <w:p>
                  <w:pPr>
                    <w:snapToGrid w:val="0"/>
                    <w:spacing w:line="240" w:lineRule="atLeast"/>
                    <w:jc w:val="center"/>
                    <w:rPr>
                      <w:rFonts w:hAnsi="宋体"/>
                      <w:color w:val="auto"/>
                      <w:szCs w:val="21"/>
                    </w:rPr>
                  </w:pPr>
                  <w:r>
                    <w:rPr>
                      <w:rFonts w:hint="eastAsia" w:hAnsi="宋体"/>
                      <w:color w:val="auto"/>
                      <w:szCs w:val="21"/>
                    </w:rPr>
                    <w:t>小计</w:t>
                  </w:r>
                </w:p>
              </w:tc>
              <w:tc>
                <w:tcPr>
                  <w:tcW w:w="774" w:type="dxa"/>
                  <w:tcBorders>
                    <w:tl2br w:val="nil"/>
                    <w:tr2bl w:val="nil"/>
                  </w:tcBorders>
                  <w:noWrap w:val="0"/>
                  <w:vAlign w:val="center"/>
                </w:tcPr>
                <w:p>
                  <w:pPr>
                    <w:snapToGrid w:val="0"/>
                    <w:spacing w:line="240" w:lineRule="atLeast"/>
                    <w:jc w:val="center"/>
                    <w:rPr>
                      <w:rFonts w:hint="eastAsia"/>
                      <w:color w:val="auto"/>
                      <w:szCs w:val="21"/>
                    </w:rPr>
                  </w:pPr>
                  <w:r>
                    <w:rPr>
                      <w:rFonts w:hint="eastAsia"/>
                      <w:color w:val="auto"/>
                      <w:szCs w:val="21"/>
                      <w:lang w:val="en-US" w:eastAsia="zh-CN"/>
                    </w:rPr>
                    <w:t>hm</w:t>
                  </w:r>
                  <w:r>
                    <w:rPr>
                      <w:rFonts w:hint="eastAsia"/>
                      <w:color w:val="auto"/>
                      <w:szCs w:val="21"/>
                      <w:vertAlign w:val="superscript"/>
                      <w:lang w:val="en-US" w:eastAsia="zh-CN"/>
                    </w:rPr>
                    <w:t>2</w:t>
                  </w:r>
                </w:p>
              </w:tc>
              <w:tc>
                <w:tcPr>
                  <w:tcW w:w="1034" w:type="dxa"/>
                  <w:tcBorders>
                    <w:tl2br w:val="nil"/>
                    <w:tr2bl w:val="nil"/>
                  </w:tcBorders>
                  <w:noWrap w:val="0"/>
                  <w:vAlign w:val="center"/>
                </w:tcPr>
                <w:p>
                  <w:pPr>
                    <w:snapToGrid w:val="0"/>
                    <w:spacing w:line="240" w:lineRule="atLeast"/>
                    <w:jc w:val="center"/>
                    <w:rPr>
                      <w:rFonts w:hint="default" w:eastAsia="宋体"/>
                      <w:color w:val="auto"/>
                      <w:szCs w:val="21"/>
                      <w:lang w:val="en-US" w:eastAsia="zh-CN"/>
                    </w:rPr>
                  </w:pPr>
                  <w:r>
                    <w:rPr>
                      <w:rFonts w:hint="eastAsia"/>
                      <w:color w:val="auto"/>
                      <w:szCs w:val="21"/>
                      <w:lang w:val="en-US" w:eastAsia="zh-CN"/>
                    </w:rPr>
                    <w:t>1.44</w:t>
                  </w:r>
                </w:p>
              </w:tc>
              <w:tc>
                <w:tcPr>
                  <w:tcW w:w="1088" w:type="dxa"/>
                  <w:tcBorders>
                    <w:tl2br w:val="nil"/>
                    <w:tr2bl w:val="nil"/>
                  </w:tcBorders>
                  <w:noWrap w:val="0"/>
                  <w:vAlign w:val="center"/>
                </w:tcPr>
                <w:p>
                  <w:pPr>
                    <w:snapToGrid w:val="0"/>
                    <w:spacing w:line="240" w:lineRule="atLeast"/>
                    <w:jc w:val="center"/>
                    <w:rPr>
                      <w:rFonts w:hint="eastAsia"/>
                      <w:color w:val="auto"/>
                      <w:szCs w:val="21"/>
                    </w:rPr>
                  </w:pPr>
                  <w:r>
                    <w:rPr>
                      <w:rFonts w:hint="eastAsia"/>
                      <w:color w:val="auto"/>
                      <w:szCs w:val="21"/>
                    </w:rPr>
                    <w:t>/</w:t>
                  </w:r>
                </w:p>
              </w:tc>
              <w:tc>
                <w:tcPr>
                  <w:tcW w:w="2951" w:type="dxa"/>
                  <w:tcBorders>
                    <w:tl2br w:val="nil"/>
                    <w:tr2bl w:val="nil"/>
                  </w:tcBorders>
                  <w:noWrap w:val="0"/>
                  <w:vAlign w:val="center"/>
                </w:tcPr>
                <w:p>
                  <w:pPr>
                    <w:snapToGrid w:val="0"/>
                    <w:spacing w:line="240" w:lineRule="atLeast"/>
                    <w:jc w:val="center"/>
                    <w:rPr>
                      <w:rFonts w:hint="eastAsia" w:hAnsi="宋体"/>
                      <w:color w:val="auto"/>
                      <w:szCs w:val="21"/>
                    </w:rPr>
                  </w:pPr>
                  <w:r>
                    <w:rPr>
                      <w:rFonts w:hint="eastAsia" w:hAnsi="宋体"/>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49" w:hRule="atLeast"/>
                <w:jc w:val="center"/>
              </w:trPr>
              <w:tc>
                <w:tcPr>
                  <w:tcW w:w="692" w:type="dxa"/>
                  <w:vMerge w:val="restart"/>
                  <w:tcBorders>
                    <w:tl2br w:val="nil"/>
                    <w:tr2bl w:val="nil"/>
                  </w:tcBorders>
                  <w:noWrap w:val="0"/>
                  <w:vAlign w:val="center"/>
                </w:tcPr>
                <w:p>
                  <w:pPr>
                    <w:spacing w:line="240" w:lineRule="atLeast"/>
                    <w:jc w:val="center"/>
                    <w:rPr>
                      <w:color w:val="auto"/>
                      <w:szCs w:val="21"/>
                    </w:rPr>
                  </w:pPr>
                  <w:r>
                    <w:rPr>
                      <w:rFonts w:hAnsi="宋体"/>
                      <w:color w:val="auto"/>
                      <w:szCs w:val="21"/>
                    </w:rPr>
                    <w:t>临时工程</w:t>
                  </w:r>
                </w:p>
              </w:tc>
              <w:tc>
                <w:tcPr>
                  <w:tcW w:w="1038" w:type="dxa"/>
                  <w:tcBorders>
                    <w:tl2br w:val="nil"/>
                    <w:tr2bl w:val="nil"/>
                  </w:tcBorders>
                  <w:noWrap w:val="0"/>
                  <w:vAlign w:val="center"/>
                </w:tcPr>
                <w:p>
                  <w:pPr>
                    <w:spacing w:line="240" w:lineRule="atLeast"/>
                    <w:jc w:val="center"/>
                    <w:rPr>
                      <w:color w:val="auto"/>
                      <w:szCs w:val="21"/>
                    </w:rPr>
                  </w:pPr>
                  <w:r>
                    <w:rPr>
                      <w:rFonts w:hint="eastAsia"/>
                      <w:color w:val="auto"/>
                      <w:szCs w:val="21"/>
                    </w:rPr>
                    <w:t>施工道路</w:t>
                  </w:r>
                </w:p>
              </w:tc>
              <w:tc>
                <w:tcPr>
                  <w:tcW w:w="774" w:type="dxa"/>
                  <w:tcBorders>
                    <w:tl2br w:val="nil"/>
                    <w:tr2bl w:val="nil"/>
                  </w:tcBorders>
                  <w:noWrap w:val="0"/>
                  <w:vAlign w:val="center"/>
                </w:tcPr>
                <w:p>
                  <w:pPr>
                    <w:spacing w:line="240" w:lineRule="atLeast"/>
                    <w:jc w:val="center"/>
                    <w:rPr>
                      <w:color w:val="auto"/>
                      <w:szCs w:val="21"/>
                    </w:rPr>
                  </w:pPr>
                  <w:r>
                    <w:rPr>
                      <w:rFonts w:hint="eastAsia"/>
                      <w:color w:val="auto"/>
                      <w:szCs w:val="21"/>
                      <w:lang w:val="en-US" w:eastAsia="zh-CN"/>
                    </w:rPr>
                    <w:t>hm</w:t>
                  </w:r>
                  <w:r>
                    <w:rPr>
                      <w:rFonts w:hint="eastAsia"/>
                      <w:color w:val="auto"/>
                      <w:szCs w:val="21"/>
                      <w:vertAlign w:val="superscript"/>
                      <w:lang w:val="en-US" w:eastAsia="zh-CN"/>
                    </w:rPr>
                    <w:t>2</w:t>
                  </w:r>
                </w:p>
              </w:tc>
              <w:tc>
                <w:tcPr>
                  <w:tcW w:w="1034" w:type="dxa"/>
                  <w:tcBorders>
                    <w:tl2br w:val="nil"/>
                    <w:tr2bl w:val="nil"/>
                  </w:tcBorders>
                  <w:noWrap w:val="0"/>
                  <w:vAlign w:val="center"/>
                </w:tcPr>
                <w:p>
                  <w:pPr>
                    <w:spacing w:line="240" w:lineRule="atLeast"/>
                    <w:jc w:val="center"/>
                    <w:rPr>
                      <w:rFonts w:hint="default" w:eastAsia="宋体"/>
                      <w:color w:val="auto"/>
                      <w:szCs w:val="21"/>
                      <w:lang w:val="en-US" w:eastAsia="zh-CN"/>
                    </w:rPr>
                  </w:pPr>
                  <w:r>
                    <w:rPr>
                      <w:rFonts w:hint="eastAsia"/>
                      <w:color w:val="auto"/>
                      <w:szCs w:val="21"/>
                      <w:lang w:val="en-US" w:eastAsia="zh-CN"/>
                    </w:rPr>
                    <w:t>0.55</w:t>
                  </w:r>
                </w:p>
              </w:tc>
              <w:tc>
                <w:tcPr>
                  <w:tcW w:w="1088" w:type="dxa"/>
                  <w:tcBorders>
                    <w:tl2br w:val="nil"/>
                    <w:tr2bl w:val="nil"/>
                  </w:tcBorders>
                  <w:noWrap w:val="0"/>
                  <w:vAlign w:val="center"/>
                </w:tcPr>
                <w:p>
                  <w:pPr>
                    <w:spacing w:line="240" w:lineRule="atLeast"/>
                    <w:jc w:val="center"/>
                    <w:rPr>
                      <w:rFonts w:hint="eastAsia" w:eastAsia="宋体"/>
                      <w:color w:val="auto"/>
                      <w:kern w:val="2"/>
                      <w:sz w:val="21"/>
                      <w:szCs w:val="21"/>
                      <w:lang w:val="en-US" w:eastAsia="zh-CN" w:bidi="ar-SA"/>
                    </w:rPr>
                  </w:pPr>
                  <w:r>
                    <w:rPr>
                      <w:rFonts w:hint="eastAsia"/>
                      <w:color w:val="auto"/>
                      <w:szCs w:val="21"/>
                      <w:lang w:val="en-US" w:eastAsia="zh-CN"/>
                    </w:rPr>
                    <w:t>裸土地</w:t>
                  </w:r>
                </w:p>
              </w:tc>
              <w:tc>
                <w:tcPr>
                  <w:tcW w:w="2951" w:type="dxa"/>
                  <w:tcBorders>
                    <w:tl2br w:val="nil"/>
                    <w:tr2bl w:val="nil"/>
                  </w:tcBorders>
                  <w:noWrap w:val="0"/>
                  <w:vAlign w:val="center"/>
                </w:tcPr>
                <w:p>
                  <w:pPr>
                    <w:spacing w:line="240" w:lineRule="atLeast"/>
                    <w:jc w:val="center"/>
                    <w:rPr>
                      <w:rFonts w:hint="eastAsia"/>
                      <w:color w:val="auto"/>
                      <w:szCs w:val="21"/>
                    </w:rPr>
                  </w:pPr>
                  <w:r>
                    <w:rPr>
                      <w:rFonts w:hint="eastAsia"/>
                      <w:color w:val="auto"/>
                      <w:szCs w:val="21"/>
                    </w:rPr>
                    <w:t>临时施工道路，总长度共计</w:t>
                  </w:r>
                  <w:r>
                    <w:rPr>
                      <w:rFonts w:hint="eastAsia"/>
                      <w:color w:val="auto"/>
                      <w:szCs w:val="21"/>
                      <w:lang w:val="en-US" w:eastAsia="zh-CN"/>
                    </w:rPr>
                    <w:t>1.1</w:t>
                  </w:r>
                  <w:r>
                    <w:rPr>
                      <w:rFonts w:hint="eastAsia"/>
                      <w:color w:val="auto"/>
                      <w:szCs w:val="21"/>
                    </w:rPr>
                    <w:t>km，</w:t>
                  </w:r>
                  <w:r>
                    <w:rPr>
                      <w:rFonts w:hint="eastAsia"/>
                      <w:color w:val="auto"/>
                      <w:szCs w:val="21"/>
                      <w:lang w:val="en-US" w:eastAsia="zh-CN"/>
                    </w:rPr>
                    <w:t>为</w:t>
                  </w:r>
                  <w:r>
                    <w:rPr>
                      <w:rFonts w:hint="eastAsia"/>
                      <w:color w:val="auto"/>
                      <w:highlight w:val="none"/>
                    </w:rPr>
                    <w:t>砂砾石</w:t>
                  </w:r>
                  <w:r>
                    <w:rPr>
                      <w:rFonts w:hint="eastAsia"/>
                      <w:color w:val="auto"/>
                      <w:szCs w:val="21"/>
                    </w:rPr>
                    <w:t>路面，路面宽</w:t>
                  </w:r>
                  <w:r>
                    <w:rPr>
                      <w:rFonts w:hint="eastAsia"/>
                      <w:color w:val="auto"/>
                      <w:szCs w:val="21"/>
                      <w:lang w:val="en-US" w:eastAsia="zh-CN"/>
                    </w:rPr>
                    <w:t>5</w:t>
                  </w:r>
                  <w:r>
                    <w:rPr>
                      <w:rFonts w:hint="eastAsia"/>
                      <w:color w:val="auto"/>
                      <w:szCs w:val="21"/>
                    </w:rPr>
                    <w:t>.0m，临时施工道路总占地面积为</w:t>
                  </w:r>
                  <w:r>
                    <w:rPr>
                      <w:rFonts w:hint="eastAsia"/>
                      <w:color w:val="auto"/>
                      <w:szCs w:val="21"/>
                      <w:lang w:val="en-US" w:eastAsia="zh-CN"/>
                    </w:rPr>
                    <w:t>0.55h</w:t>
                  </w:r>
                  <w:r>
                    <w:rPr>
                      <w:rFonts w:hint="eastAsia"/>
                      <w:color w:val="auto"/>
                      <w:szCs w:val="21"/>
                    </w:rPr>
                    <w:t>m</w:t>
                  </w:r>
                  <w:r>
                    <w:rPr>
                      <w:rFonts w:hint="eastAsia"/>
                      <w:color w:val="auto"/>
                      <w:szCs w:val="21"/>
                      <w:vertAlign w:val="superscript"/>
                    </w:rPr>
                    <w:t>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692" w:type="dxa"/>
                  <w:vMerge w:val="continue"/>
                  <w:tcBorders>
                    <w:tl2br w:val="nil"/>
                    <w:tr2bl w:val="nil"/>
                  </w:tcBorders>
                  <w:noWrap w:val="0"/>
                  <w:vAlign w:val="center"/>
                </w:tcPr>
                <w:p>
                  <w:pPr>
                    <w:spacing w:line="240" w:lineRule="atLeast"/>
                    <w:jc w:val="center"/>
                    <w:rPr>
                      <w:rFonts w:hAnsi="宋体"/>
                      <w:color w:val="auto"/>
                      <w:szCs w:val="21"/>
                    </w:rPr>
                  </w:pPr>
                </w:p>
              </w:tc>
              <w:tc>
                <w:tcPr>
                  <w:tcW w:w="1038" w:type="dxa"/>
                  <w:tcBorders>
                    <w:tl2br w:val="nil"/>
                    <w:tr2bl w:val="nil"/>
                  </w:tcBorders>
                  <w:noWrap w:val="0"/>
                  <w:vAlign w:val="center"/>
                </w:tcPr>
                <w:p>
                  <w:pPr>
                    <w:spacing w:line="240" w:lineRule="atLeast"/>
                    <w:jc w:val="center"/>
                    <w:rPr>
                      <w:rFonts w:hint="eastAsia"/>
                      <w:color w:val="auto"/>
                      <w:szCs w:val="21"/>
                    </w:rPr>
                  </w:pPr>
                  <w:r>
                    <w:rPr>
                      <w:rFonts w:hint="eastAsia"/>
                      <w:color w:val="auto"/>
                      <w:szCs w:val="21"/>
                    </w:rPr>
                    <w:t>弃土场</w:t>
                  </w:r>
                </w:p>
              </w:tc>
              <w:tc>
                <w:tcPr>
                  <w:tcW w:w="774" w:type="dxa"/>
                  <w:tcBorders>
                    <w:tl2br w:val="nil"/>
                    <w:tr2bl w:val="nil"/>
                  </w:tcBorders>
                  <w:noWrap w:val="0"/>
                  <w:vAlign w:val="center"/>
                </w:tcPr>
                <w:p>
                  <w:pPr>
                    <w:spacing w:line="240" w:lineRule="atLeast"/>
                    <w:jc w:val="center"/>
                    <w:rPr>
                      <w:rFonts w:hint="eastAsia"/>
                      <w:color w:val="auto"/>
                      <w:szCs w:val="21"/>
                    </w:rPr>
                  </w:pPr>
                  <w:r>
                    <w:rPr>
                      <w:rFonts w:hint="eastAsia"/>
                      <w:color w:val="auto"/>
                      <w:szCs w:val="21"/>
                      <w:lang w:val="en-US" w:eastAsia="zh-CN"/>
                    </w:rPr>
                    <w:t>hm</w:t>
                  </w:r>
                  <w:r>
                    <w:rPr>
                      <w:rFonts w:hint="eastAsia"/>
                      <w:color w:val="auto"/>
                      <w:szCs w:val="21"/>
                      <w:vertAlign w:val="superscript"/>
                      <w:lang w:val="en-US" w:eastAsia="zh-CN"/>
                    </w:rPr>
                    <w:t>2</w:t>
                  </w:r>
                </w:p>
              </w:tc>
              <w:tc>
                <w:tcPr>
                  <w:tcW w:w="1034" w:type="dxa"/>
                  <w:tcBorders>
                    <w:tl2br w:val="nil"/>
                    <w:tr2bl w:val="nil"/>
                  </w:tcBorders>
                  <w:noWrap w:val="0"/>
                  <w:vAlign w:val="center"/>
                </w:tcPr>
                <w:p>
                  <w:pPr>
                    <w:spacing w:line="240" w:lineRule="atLeast"/>
                    <w:jc w:val="center"/>
                    <w:rPr>
                      <w:rFonts w:hint="default" w:eastAsia="宋体"/>
                      <w:color w:val="auto"/>
                      <w:szCs w:val="21"/>
                      <w:lang w:val="en-US" w:eastAsia="zh-CN"/>
                    </w:rPr>
                  </w:pPr>
                  <w:r>
                    <w:rPr>
                      <w:rFonts w:hint="eastAsia"/>
                      <w:color w:val="auto"/>
                      <w:szCs w:val="21"/>
                      <w:lang w:val="en-US" w:eastAsia="zh-CN"/>
                    </w:rPr>
                    <w:t>1.81</w:t>
                  </w:r>
                </w:p>
              </w:tc>
              <w:tc>
                <w:tcPr>
                  <w:tcW w:w="1088" w:type="dxa"/>
                  <w:tcBorders>
                    <w:tl2br w:val="nil"/>
                    <w:tr2bl w:val="nil"/>
                  </w:tcBorders>
                  <w:noWrap w:val="0"/>
                  <w:vAlign w:val="center"/>
                </w:tcPr>
                <w:p>
                  <w:pPr>
                    <w:spacing w:line="240" w:lineRule="atLeast"/>
                    <w:jc w:val="center"/>
                    <w:rPr>
                      <w:rFonts w:hint="eastAsia"/>
                      <w:color w:val="auto"/>
                      <w:szCs w:val="21"/>
                    </w:rPr>
                  </w:pPr>
                  <w:r>
                    <w:rPr>
                      <w:rFonts w:hint="eastAsia"/>
                      <w:color w:val="auto"/>
                      <w:szCs w:val="21"/>
                    </w:rPr>
                    <w:t>/</w:t>
                  </w:r>
                </w:p>
              </w:tc>
              <w:tc>
                <w:tcPr>
                  <w:tcW w:w="2951" w:type="dxa"/>
                  <w:tcBorders>
                    <w:tl2br w:val="nil"/>
                    <w:tr2bl w:val="nil"/>
                  </w:tcBorders>
                  <w:noWrap w:val="0"/>
                  <w:vAlign w:val="center"/>
                </w:tcPr>
                <w:p>
                  <w:pPr>
                    <w:spacing w:line="240" w:lineRule="atLeast"/>
                    <w:jc w:val="both"/>
                    <w:rPr>
                      <w:rFonts w:hint="eastAsia"/>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692" w:type="dxa"/>
                  <w:vMerge w:val="continue"/>
                  <w:tcBorders>
                    <w:tl2br w:val="nil"/>
                    <w:tr2bl w:val="nil"/>
                  </w:tcBorders>
                  <w:noWrap w:val="0"/>
                  <w:vAlign w:val="center"/>
                </w:tcPr>
                <w:p>
                  <w:pPr>
                    <w:spacing w:line="240" w:lineRule="atLeast"/>
                    <w:jc w:val="center"/>
                    <w:rPr>
                      <w:rFonts w:hAnsi="宋体"/>
                      <w:color w:val="auto"/>
                      <w:szCs w:val="21"/>
                    </w:rPr>
                  </w:pPr>
                </w:p>
              </w:tc>
              <w:tc>
                <w:tcPr>
                  <w:tcW w:w="1038" w:type="dxa"/>
                  <w:tcBorders>
                    <w:tl2br w:val="nil"/>
                    <w:tr2bl w:val="nil"/>
                  </w:tcBorders>
                  <w:noWrap w:val="0"/>
                  <w:vAlign w:val="center"/>
                </w:tcPr>
                <w:p>
                  <w:pPr>
                    <w:spacing w:line="240" w:lineRule="atLeast"/>
                    <w:jc w:val="center"/>
                    <w:rPr>
                      <w:rFonts w:hint="eastAsia"/>
                      <w:color w:val="auto"/>
                      <w:szCs w:val="21"/>
                    </w:rPr>
                  </w:pPr>
                  <w:r>
                    <w:rPr>
                      <w:rFonts w:hint="eastAsia"/>
                      <w:color w:val="auto"/>
                      <w:szCs w:val="21"/>
                    </w:rPr>
                    <w:t>取土场</w:t>
                  </w:r>
                </w:p>
              </w:tc>
              <w:tc>
                <w:tcPr>
                  <w:tcW w:w="774" w:type="dxa"/>
                  <w:tcBorders>
                    <w:tl2br w:val="nil"/>
                    <w:tr2bl w:val="nil"/>
                  </w:tcBorders>
                  <w:noWrap w:val="0"/>
                  <w:vAlign w:val="center"/>
                </w:tcPr>
                <w:p>
                  <w:pPr>
                    <w:spacing w:line="240" w:lineRule="atLeast"/>
                    <w:jc w:val="center"/>
                    <w:rPr>
                      <w:rFonts w:hint="eastAsia"/>
                      <w:color w:val="auto"/>
                      <w:szCs w:val="21"/>
                    </w:rPr>
                  </w:pPr>
                  <w:r>
                    <w:rPr>
                      <w:rFonts w:hint="eastAsia"/>
                      <w:color w:val="auto"/>
                      <w:szCs w:val="21"/>
                      <w:lang w:val="en-US" w:eastAsia="zh-CN"/>
                    </w:rPr>
                    <w:t>hm</w:t>
                  </w:r>
                  <w:r>
                    <w:rPr>
                      <w:rFonts w:hint="eastAsia"/>
                      <w:color w:val="auto"/>
                      <w:szCs w:val="21"/>
                      <w:vertAlign w:val="superscript"/>
                      <w:lang w:val="en-US" w:eastAsia="zh-CN"/>
                    </w:rPr>
                    <w:t>2</w:t>
                  </w:r>
                </w:p>
              </w:tc>
              <w:tc>
                <w:tcPr>
                  <w:tcW w:w="1034" w:type="dxa"/>
                  <w:tcBorders>
                    <w:tl2br w:val="nil"/>
                    <w:tr2bl w:val="nil"/>
                  </w:tcBorders>
                  <w:noWrap w:val="0"/>
                  <w:vAlign w:val="center"/>
                </w:tcPr>
                <w:p>
                  <w:pPr>
                    <w:spacing w:line="240" w:lineRule="atLeast"/>
                    <w:jc w:val="center"/>
                    <w:rPr>
                      <w:color w:val="auto"/>
                      <w:szCs w:val="21"/>
                    </w:rPr>
                  </w:pPr>
                  <w:r>
                    <w:rPr>
                      <w:rFonts w:hint="eastAsia"/>
                      <w:color w:val="auto"/>
                      <w:szCs w:val="21"/>
                    </w:rPr>
                    <w:t>0</w:t>
                  </w:r>
                </w:p>
              </w:tc>
              <w:tc>
                <w:tcPr>
                  <w:tcW w:w="1088" w:type="dxa"/>
                  <w:tcBorders>
                    <w:tl2br w:val="nil"/>
                    <w:tr2bl w:val="nil"/>
                  </w:tcBorders>
                  <w:noWrap w:val="0"/>
                  <w:vAlign w:val="center"/>
                </w:tcPr>
                <w:p>
                  <w:pPr>
                    <w:spacing w:line="240" w:lineRule="atLeast"/>
                    <w:jc w:val="center"/>
                    <w:rPr>
                      <w:rFonts w:hint="eastAsia"/>
                      <w:color w:val="auto"/>
                      <w:szCs w:val="21"/>
                    </w:rPr>
                  </w:pPr>
                  <w:r>
                    <w:rPr>
                      <w:rFonts w:hint="eastAsia"/>
                      <w:color w:val="auto"/>
                      <w:szCs w:val="21"/>
                    </w:rPr>
                    <w:t>/</w:t>
                  </w:r>
                </w:p>
              </w:tc>
              <w:tc>
                <w:tcPr>
                  <w:tcW w:w="2951" w:type="dxa"/>
                  <w:tcBorders>
                    <w:tl2br w:val="nil"/>
                    <w:tr2bl w:val="nil"/>
                  </w:tcBorders>
                  <w:noWrap w:val="0"/>
                  <w:vAlign w:val="center"/>
                </w:tcPr>
                <w:p>
                  <w:pPr>
                    <w:spacing w:line="240" w:lineRule="atLeast"/>
                    <w:jc w:val="center"/>
                    <w:rPr>
                      <w:rFonts w:hint="default" w:eastAsia="宋体"/>
                      <w:bCs/>
                      <w:color w:val="auto"/>
                      <w:szCs w:val="21"/>
                      <w:lang w:val="en-US" w:eastAsia="zh-CN"/>
                    </w:rPr>
                  </w:pPr>
                  <w:r>
                    <w:rPr>
                      <w:rFonts w:hint="eastAsia"/>
                      <w:bCs/>
                      <w:color w:val="auto"/>
                      <w:szCs w:val="21"/>
                    </w:rPr>
                    <w:t>本项目</w:t>
                  </w:r>
                  <w:r>
                    <w:rPr>
                      <w:rFonts w:hint="eastAsia"/>
                      <w:bCs/>
                      <w:color w:val="auto"/>
                      <w:szCs w:val="21"/>
                      <w:lang w:val="en-US" w:eastAsia="zh-CN"/>
                    </w:rPr>
                    <w:t>无需</w:t>
                  </w:r>
                  <w:r>
                    <w:rPr>
                      <w:rFonts w:hint="eastAsia"/>
                      <w:bCs/>
                      <w:color w:val="auto"/>
                      <w:szCs w:val="21"/>
                    </w:rPr>
                    <w:t>借方</w:t>
                  </w:r>
                  <w:r>
                    <w:rPr>
                      <w:rFonts w:hint="eastAsia"/>
                      <w:bCs/>
                      <w:color w:val="auto"/>
                      <w:szCs w:val="21"/>
                      <w:lang w:eastAsia="zh-CN"/>
                    </w:rPr>
                    <w:t>，</w:t>
                  </w:r>
                  <w:r>
                    <w:rPr>
                      <w:rFonts w:hint="eastAsia"/>
                      <w:bCs/>
                      <w:color w:val="auto"/>
                      <w:szCs w:val="21"/>
                      <w:lang w:val="en-US" w:eastAsia="zh-CN"/>
                    </w:rPr>
                    <w:t>不设置取土场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692" w:type="dxa"/>
                  <w:vMerge w:val="continue"/>
                  <w:tcBorders>
                    <w:tl2br w:val="nil"/>
                    <w:tr2bl w:val="nil"/>
                  </w:tcBorders>
                  <w:noWrap w:val="0"/>
                  <w:vAlign w:val="center"/>
                </w:tcPr>
                <w:p>
                  <w:pPr>
                    <w:spacing w:line="240" w:lineRule="atLeast"/>
                    <w:jc w:val="center"/>
                    <w:rPr>
                      <w:rFonts w:hAnsi="宋体"/>
                      <w:color w:val="auto"/>
                      <w:szCs w:val="21"/>
                    </w:rPr>
                  </w:pPr>
                </w:p>
              </w:tc>
              <w:tc>
                <w:tcPr>
                  <w:tcW w:w="1038" w:type="dxa"/>
                  <w:tcBorders>
                    <w:tl2br w:val="nil"/>
                    <w:tr2bl w:val="nil"/>
                  </w:tcBorders>
                  <w:noWrap w:val="0"/>
                  <w:vAlign w:val="center"/>
                </w:tcPr>
                <w:p>
                  <w:pPr>
                    <w:spacing w:line="240" w:lineRule="atLeast"/>
                    <w:jc w:val="center"/>
                    <w:rPr>
                      <w:color w:val="auto"/>
                      <w:szCs w:val="21"/>
                    </w:rPr>
                  </w:pPr>
                  <w:r>
                    <w:rPr>
                      <w:rFonts w:hint="eastAsia"/>
                      <w:color w:val="auto"/>
                      <w:szCs w:val="21"/>
                    </w:rPr>
                    <w:t>施工营地</w:t>
                  </w:r>
                </w:p>
              </w:tc>
              <w:tc>
                <w:tcPr>
                  <w:tcW w:w="774" w:type="dxa"/>
                  <w:tcBorders>
                    <w:tl2br w:val="nil"/>
                    <w:tr2bl w:val="nil"/>
                  </w:tcBorders>
                  <w:noWrap w:val="0"/>
                  <w:vAlign w:val="center"/>
                </w:tcPr>
                <w:p>
                  <w:pPr>
                    <w:spacing w:line="240" w:lineRule="atLeast"/>
                    <w:jc w:val="center"/>
                    <w:rPr>
                      <w:color w:val="auto"/>
                      <w:szCs w:val="21"/>
                    </w:rPr>
                  </w:pPr>
                  <w:r>
                    <w:rPr>
                      <w:rFonts w:hint="eastAsia"/>
                      <w:color w:val="auto"/>
                      <w:szCs w:val="21"/>
                      <w:lang w:val="en-US" w:eastAsia="zh-CN"/>
                    </w:rPr>
                    <w:t>hm</w:t>
                  </w:r>
                  <w:r>
                    <w:rPr>
                      <w:rFonts w:hint="eastAsia"/>
                      <w:color w:val="auto"/>
                      <w:szCs w:val="21"/>
                      <w:vertAlign w:val="superscript"/>
                      <w:lang w:val="en-US" w:eastAsia="zh-CN"/>
                    </w:rPr>
                    <w:t>2</w:t>
                  </w:r>
                </w:p>
              </w:tc>
              <w:tc>
                <w:tcPr>
                  <w:tcW w:w="1034" w:type="dxa"/>
                  <w:tcBorders>
                    <w:tl2br w:val="nil"/>
                    <w:tr2bl w:val="nil"/>
                  </w:tcBorders>
                  <w:noWrap w:val="0"/>
                  <w:vAlign w:val="center"/>
                </w:tcPr>
                <w:p>
                  <w:pPr>
                    <w:spacing w:line="240" w:lineRule="atLeast"/>
                    <w:jc w:val="center"/>
                    <w:rPr>
                      <w:rFonts w:hint="default" w:eastAsia="宋体"/>
                      <w:color w:val="auto"/>
                      <w:szCs w:val="21"/>
                      <w:lang w:val="en-US" w:eastAsia="zh-CN"/>
                    </w:rPr>
                  </w:pPr>
                  <w:r>
                    <w:rPr>
                      <w:rFonts w:hint="eastAsia"/>
                      <w:color w:val="auto"/>
                      <w:szCs w:val="21"/>
                      <w:lang w:val="en-US" w:eastAsia="zh-CN"/>
                    </w:rPr>
                    <w:t>0.27</w:t>
                  </w:r>
                </w:p>
              </w:tc>
              <w:tc>
                <w:tcPr>
                  <w:tcW w:w="1088" w:type="dxa"/>
                  <w:tcBorders>
                    <w:tl2br w:val="nil"/>
                    <w:tr2bl w:val="nil"/>
                  </w:tcBorders>
                  <w:noWrap w:val="0"/>
                  <w:vAlign w:val="center"/>
                </w:tcPr>
                <w:p>
                  <w:pPr>
                    <w:spacing w:line="240" w:lineRule="atLeast"/>
                    <w:jc w:val="center"/>
                    <w:rPr>
                      <w:rFonts w:hint="eastAsia" w:eastAsia="宋体"/>
                      <w:color w:val="auto"/>
                      <w:szCs w:val="21"/>
                      <w:lang w:eastAsia="zh-CN"/>
                    </w:rPr>
                  </w:pPr>
                  <w:r>
                    <w:rPr>
                      <w:rFonts w:hint="eastAsia"/>
                      <w:color w:val="auto"/>
                      <w:szCs w:val="21"/>
                      <w:lang w:val="en-US" w:eastAsia="zh-CN"/>
                    </w:rPr>
                    <w:t>/</w:t>
                  </w:r>
                </w:p>
              </w:tc>
              <w:tc>
                <w:tcPr>
                  <w:tcW w:w="2951" w:type="dxa"/>
                  <w:tcBorders>
                    <w:tl2br w:val="nil"/>
                    <w:tr2bl w:val="nil"/>
                  </w:tcBorders>
                  <w:noWrap w:val="0"/>
                  <w:vAlign w:val="center"/>
                </w:tcPr>
                <w:p>
                  <w:pPr>
                    <w:spacing w:line="240" w:lineRule="atLeast"/>
                    <w:jc w:val="center"/>
                    <w:rPr>
                      <w:rFonts w:hint="default" w:hAnsi="宋体" w:eastAsia="宋体"/>
                      <w:color w:val="auto"/>
                      <w:szCs w:val="21"/>
                      <w:lang w:val="en-US" w:eastAsia="zh-CN"/>
                    </w:rPr>
                  </w:pPr>
                  <w:r>
                    <w:rPr>
                      <w:rFonts w:hint="eastAsia"/>
                      <w:color w:val="auto"/>
                      <w:szCs w:val="21"/>
                      <w:lang w:val="en-US" w:eastAsia="zh-CN"/>
                    </w:rPr>
                    <w:t>租用附近民房设置1处施工营地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1730" w:type="dxa"/>
                  <w:gridSpan w:val="2"/>
                  <w:tcBorders>
                    <w:tl2br w:val="nil"/>
                    <w:tr2bl w:val="nil"/>
                  </w:tcBorders>
                  <w:noWrap w:val="0"/>
                  <w:vAlign w:val="center"/>
                </w:tcPr>
                <w:p>
                  <w:pPr>
                    <w:spacing w:line="240" w:lineRule="atLeast"/>
                    <w:jc w:val="center"/>
                    <w:rPr>
                      <w:rFonts w:hint="eastAsia"/>
                      <w:color w:val="auto"/>
                      <w:szCs w:val="21"/>
                    </w:rPr>
                  </w:pPr>
                  <w:r>
                    <w:rPr>
                      <w:rFonts w:hint="eastAsia"/>
                      <w:color w:val="auto"/>
                      <w:szCs w:val="21"/>
                    </w:rPr>
                    <w:t>小计</w:t>
                  </w:r>
                </w:p>
              </w:tc>
              <w:tc>
                <w:tcPr>
                  <w:tcW w:w="774" w:type="dxa"/>
                  <w:tcBorders>
                    <w:tl2br w:val="nil"/>
                    <w:tr2bl w:val="nil"/>
                  </w:tcBorders>
                  <w:noWrap w:val="0"/>
                  <w:vAlign w:val="center"/>
                </w:tcPr>
                <w:p>
                  <w:pPr>
                    <w:spacing w:line="240" w:lineRule="atLeast"/>
                    <w:jc w:val="center"/>
                    <w:rPr>
                      <w:rFonts w:hint="eastAsia"/>
                      <w:color w:val="auto"/>
                      <w:szCs w:val="21"/>
                    </w:rPr>
                  </w:pPr>
                  <w:r>
                    <w:rPr>
                      <w:rFonts w:hint="eastAsia"/>
                      <w:color w:val="auto"/>
                      <w:szCs w:val="21"/>
                      <w:lang w:val="en-US" w:eastAsia="zh-CN"/>
                    </w:rPr>
                    <w:t>hm</w:t>
                  </w:r>
                  <w:r>
                    <w:rPr>
                      <w:rFonts w:hint="eastAsia"/>
                      <w:color w:val="auto"/>
                      <w:szCs w:val="21"/>
                      <w:vertAlign w:val="superscript"/>
                      <w:lang w:val="en-US" w:eastAsia="zh-CN"/>
                    </w:rPr>
                    <w:t>2</w:t>
                  </w:r>
                </w:p>
              </w:tc>
              <w:tc>
                <w:tcPr>
                  <w:tcW w:w="1034" w:type="dxa"/>
                  <w:tcBorders>
                    <w:tl2br w:val="nil"/>
                    <w:tr2bl w:val="nil"/>
                  </w:tcBorders>
                  <w:noWrap w:val="0"/>
                  <w:vAlign w:val="center"/>
                </w:tcPr>
                <w:p>
                  <w:pPr>
                    <w:spacing w:line="240" w:lineRule="atLeast"/>
                    <w:jc w:val="center"/>
                    <w:rPr>
                      <w:rFonts w:hint="default" w:eastAsia="宋体"/>
                      <w:color w:val="auto"/>
                      <w:szCs w:val="21"/>
                      <w:lang w:val="en-US" w:eastAsia="zh-CN"/>
                    </w:rPr>
                  </w:pPr>
                  <w:r>
                    <w:rPr>
                      <w:rFonts w:hint="eastAsia"/>
                      <w:color w:val="auto"/>
                      <w:szCs w:val="21"/>
                      <w:lang w:val="en-US" w:eastAsia="zh-CN"/>
                    </w:rPr>
                    <w:t>2.63</w:t>
                  </w:r>
                </w:p>
              </w:tc>
              <w:tc>
                <w:tcPr>
                  <w:tcW w:w="1088" w:type="dxa"/>
                  <w:tcBorders>
                    <w:tl2br w:val="nil"/>
                    <w:tr2bl w:val="nil"/>
                  </w:tcBorders>
                  <w:noWrap w:val="0"/>
                  <w:vAlign w:val="center"/>
                </w:tcPr>
                <w:p>
                  <w:pPr>
                    <w:spacing w:line="240" w:lineRule="atLeast"/>
                    <w:jc w:val="center"/>
                    <w:rPr>
                      <w:rFonts w:hint="eastAsia"/>
                      <w:color w:val="auto"/>
                      <w:szCs w:val="21"/>
                    </w:rPr>
                  </w:pPr>
                  <w:r>
                    <w:rPr>
                      <w:rFonts w:hint="eastAsia"/>
                      <w:color w:val="auto"/>
                      <w:szCs w:val="21"/>
                    </w:rPr>
                    <w:t>/</w:t>
                  </w:r>
                </w:p>
              </w:tc>
              <w:tc>
                <w:tcPr>
                  <w:tcW w:w="2951" w:type="dxa"/>
                  <w:tcBorders>
                    <w:tl2br w:val="nil"/>
                    <w:tr2bl w:val="nil"/>
                  </w:tcBorders>
                  <w:noWrap w:val="0"/>
                  <w:vAlign w:val="center"/>
                </w:tcPr>
                <w:p>
                  <w:pPr>
                    <w:spacing w:line="240" w:lineRule="atLeast"/>
                    <w:jc w:val="center"/>
                    <w:rPr>
                      <w:rFonts w:hAnsi="宋体"/>
                      <w:color w:val="auto"/>
                      <w:szCs w:val="21"/>
                    </w:rPr>
                  </w:pPr>
                  <w:r>
                    <w:rPr>
                      <w:rFonts w:hint="eastAsia" w:hAnsi="宋体"/>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1730" w:type="dxa"/>
                  <w:gridSpan w:val="2"/>
                  <w:tcBorders>
                    <w:tl2br w:val="nil"/>
                    <w:tr2bl w:val="nil"/>
                  </w:tcBorders>
                  <w:noWrap w:val="0"/>
                  <w:vAlign w:val="center"/>
                </w:tcPr>
                <w:p>
                  <w:pPr>
                    <w:spacing w:line="240" w:lineRule="atLeast"/>
                    <w:jc w:val="center"/>
                    <w:rPr>
                      <w:color w:val="auto"/>
                      <w:szCs w:val="21"/>
                    </w:rPr>
                  </w:pPr>
                  <w:r>
                    <w:rPr>
                      <w:rFonts w:hAnsi="宋体"/>
                      <w:color w:val="auto"/>
                      <w:szCs w:val="21"/>
                    </w:rPr>
                    <w:t>合计占地</w:t>
                  </w:r>
                </w:p>
              </w:tc>
              <w:tc>
                <w:tcPr>
                  <w:tcW w:w="774" w:type="dxa"/>
                  <w:tcBorders>
                    <w:tl2br w:val="nil"/>
                    <w:tr2bl w:val="nil"/>
                  </w:tcBorders>
                  <w:noWrap w:val="0"/>
                  <w:vAlign w:val="center"/>
                </w:tcPr>
                <w:p>
                  <w:pPr>
                    <w:spacing w:line="240" w:lineRule="atLeast"/>
                    <w:jc w:val="center"/>
                    <w:rPr>
                      <w:color w:val="auto"/>
                      <w:szCs w:val="21"/>
                    </w:rPr>
                  </w:pPr>
                  <w:r>
                    <w:rPr>
                      <w:rFonts w:hint="eastAsia"/>
                      <w:color w:val="auto"/>
                      <w:szCs w:val="21"/>
                      <w:lang w:val="en-US" w:eastAsia="zh-CN"/>
                    </w:rPr>
                    <w:t>hm</w:t>
                  </w:r>
                  <w:r>
                    <w:rPr>
                      <w:rFonts w:hint="eastAsia"/>
                      <w:color w:val="auto"/>
                      <w:szCs w:val="21"/>
                      <w:vertAlign w:val="superscript"/>
                      <w:lang w:val="en-US" w:eastAsia="zh-CN"/>
                    </w:rPr>
                    <w:t>2</w:t>
                  </w:r>
                </w:p>
              </w:tc>
              <w:tc>
                <w:tcPr>
                  <w:tcW w:w="1034" w:type="dxa"/>
                  <w:tcBorders>
                    <w:tl2br w:val="nil"/>
                    <w:tr2bl w:val="nil"/>
                  </w:tcBorders>
                  <w:noWrap w:val="0"/>
                  <w:vAlign w:val="center"/>
                </w:tcPr>
                <w:p>
                  <w:pPr>
                    <w:spacing w:line="240" w:lineRule="atLeast"/>
                    <w:jc w:val="center"/>
                    <w:rPr>
                      <w:rFonts w:hint="default" w:eastAsia="宋体"/>
                      <w:color w:val="auto"/>
                      <w:szCs w:val="21"/>
                      <w:lang w:val="en-US" w:eastAsia="zh-CN"/>
                    </w:rPr>
                  </w:pPr>
                  <w:r>
                    <w:rPr>
                      <w:rFonts w:hint="eastAsia"/>
                      <w:color w:val="auto"/>
                      <w:szCs w:val="21"/>
                      <w:lang w:val="en-US" w:eastAsia="zh-CN"/>
                    </w:rPr>
                    <w:t>4.07</w:t>
                  </w:r>
                </w:p>
              </w:tc>
              <w:tc>
                <w:tcPr>
                  <w:tcW w:w="1088" w:type="dxa"/>
                  <w:tcBorders>
                    <w:tl2br w:val="nil"/>
                    <w:tr2bl w:val="nil"/>
                  </w:tcBorders>
                  <w:noWrap w:val="0"/>
                  <w:vAlign w:val="center"/>
                </w:tcPr>
                <w:p>
                  <w:pPr>
                    <w:spacing w:line="240" w:lineRule="atLeast"/>
                    <w:jc w:val="center"/>
                    <w:rPr>
                      <w:color w:val="auto"/>
                      <w:szCs w:val="21"/>
                    </w:rPr>
                  </w:pPr>
                  <w:r>
                    <w:rPr>
                      <w:rFonts w:hint="eastAsia"/>
                      <w:color w:val="auto"/>
                      <w:szCs w:val="21"/>
                    </w:rPr>
                    <w:t>/</w:t>
                  </w:r>
                </w:p>
              </w:tc>
              <w:tc>
                <w:tcPr>
                  <w:tcW w:w="2951" w:type="dxa"/>
                  <w:tcBorders>
                    <w:tl2br w:val="nil"/>
                    <w:tr2bl w:val="nil"/>
                  </w:tcBorders>
                  <w:noWrap w:val="0"/>
                  <w:vAlign w:val="center"/>
                </w:tcPr>
                <w:p>
                  <w:pPr>
                    <w:spacing w:line="240" w:lineRule="atLeast"/>
                    <w:jc w:val="center"/>
                    <w:rPr>
                      <w:color w:val="auto"/>
                      <w:szCs w:val="21"/>
                    </w:rPr>
                  </w:pPr>
                  <w:r>
                    <w:rPr>
                      <w:color w:val="auto"/>
                      <w:szCs w:val="21"/>
                    </w:rPr>
                    <w:t>/</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82" w:firstLineChars="200"/>
              <w:textAlignment w:val="auto"/>
              <w:rPr>
                <w:b/>
                <w:bCs/>
                <w:color w:val="auto"/>
                <w:kern w:val="0"/>
                <w:sz w:val="24"/>
                <w:lang w:bidi="ar"/>
              </w:rPr>
            </w:pPr>
            <w:r>
              <w:rPr>
                <w:rFonts w:hint="eastAsia"/>
                <w:b/>
                <w:bCs/>
                <w:color w:val="auto"/>
                <w:kern w:val="0"/>
                <w:sz w:val="24"/>
                <w:lang w:val="en-US" w:eastAsia="zh-CN" w:bidi="ar"/>
              </w:rPr>
              <w:t>7</w:t>
            </w:r>
            <w:r>
              <w:rPr>
                <w:b/>
                <w:bCs/>
                <w:color w:val="auto"/>
                <w:kern w:val="0"/>
                <w:sz w:val="24"/>
                <w:lang w:bidi="ar"/>
              </w:rPr>
              <w:t>、土石方平衡</w:t>
            </w:r>
          </w:p>
          <w:p>
            <w:pPr>
              <w:adjustRightInd w:val="0"/>
              <w:snapToGrid w:val="0"/>
              <w:spacing w:line="360" w:lineRule="auto"/>
              <w:ind w:firstLine="480" w:firstLineChars="200"/>
              <w:outlineLvl w:val="1"/>
              <w:rPr>
                <w:rFonts w:hAnsi="宋体"/>
                <w:color w:val="auto"/>
                <w:sz w:val="24"/>
              </w:rPr>
            </w:pPr>
            <w:r>
              <w:rPr>
                <w:rFonts w:hint="default" w:ascii="Times New Roman" w:hAnsi="Times New Roman" w:cs="Times New Roman"/>
                <w:bCs/>
                <w:color w:val="auto"/>
                <w:sz w:val="24"/>
              </w:rPr>
              <w:t>本</w:t>
            </w:r>
            <w:r>
              <w:rPr>
                <w:rFonts w:hint="eastAsia" w:ascii="Times New Roman" w:hAnsi="Times New Roman" w:cs="Times New Roman"/>
                <w:bCs/>
                <w:color w:val="auto"/>
                <w:sz w:val="24"/>
                <w:lang w:eastAsia="zh-CN"/>
              </w:rPr>
              <w:t>项目</w:t>
            </w:r>
            <w:r>
              <w:rPr>
                <w:rFonts w:hint="default" w:ascii="Times New Roman" w:hAnsi="Times New Roman" w:cs="Times New Roman"/>
                <w:bCs/>
                <w:color w:val="auto"/>
                <w:sz w:val="24"/>
              </w:rPr>
              <w:t>主要是在</w:t>
            </w:r>
            <w:r>
              <w:rPr>
                <w:rFonts w:hint="eastAsia" w:cs="Times New Roman"/>
                <w:bCs/>
                <w:color w:val="auto"/>
                <w:sz w:val="24"/>
                <w:lang w:eastAsia="zh-CN"/>
              </w:rPr>
              <w:t>排洪槽、下游沟道护段和边坡排水沟</w:t>
            </w:r>
            <w:r>
              <w:rPr>
                <w:rFonts w:hint="default" w:ascii="Times New Roman" w:hAnsi="Times New Roman" w:cs="Times New Roman"/>
                <w:bCs/>
                <w:color w:val="auto"/>
                <w:sz w:val="24"/>
              </w:rPr>
              <w:t>开挖过程中产生挖方量，其中土石方开挖量</w:t>
            </w:r>
            <w:r>
              <w:rPr>
                <w:rFonts w:hint="eastAsia" w:cs="Times New Roman"/>
                <w:bCs/>
                <w:color w:val="auto"/>
                <w:sz w:val="24"/>
                <w:lang w:val="en-US" w:eastAsia="zh-CN"/>
              </w:rPr>
              <w:t>84644</w:t>
            </w:r>
            <w:r>
              <w:rPr>
                <w:rFonts w:hint="default" w:ascii="Times New Roman" w:hAnsi="Times New Roman" w:cs="Times New Roman"/>
                <w:bCs/>
                <w:color w:val="auto"/>
                <w:sz w:val="24"/>
              </w:rPr>
              <w:t>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，填方量为</w:t>
            </w:r>
            <w:r>
              <w:rPr>
                <w:rFonts w:hint="eastAsia" w:cs="Times New Roman"/>
                <w:bCs/>
                <w:color w:val="auto"/>
                <w:sz w:val="24"/>
                <w:lang w:val="en-US" w:eastAsia="zh-CN"/>
              </w:rPr>
              <w:t>2754</w:t>
            </w:r>
            <w:r>
              <w:rPr>
                <w:rFonts w:hint="default" w:ascii="Times New Roman" w:hAnsi="Times New Roman" w:cs="Times New Roman"/>
                <w:bCs/>
                <w:color w:val="auto"/>
                <w:sz w:val="24"/>
              </w:rPr>
              <w:t>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，弃土方为</w:t>
            </w:r>
            <w:r>
              <w:rPr>
                <w:rFonts w:hint="eastAsia" w:cs="Times New Roman"/>
                <w:bCs/>
                <w:color w:val="auto"/>
                <w:sz w:val="24"/>
                <w:lang w:val="en-US" w:eastAsia="zh-CN"/>
              </w:rPr>
              <w:t>81890</w:t>
            </w:r>
            <w:r>
              <w:rPr>
                <w:rFonts w:hint="default" w:ascii="Times New Roman" w:hAnsi="Times New Roman" w:cs="Times New Roman"/>
                <w:bCs/>
                <w:color w:val="auto"/>
                <w:sz w:val="24"/>
              </w:rPr>
              <w:t>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w:t>
            </w:r>
            <w:r>
              <w:rPr>
                <w:rFonts w:hint="eastAsia" w:cs="Times New Roman"/>
                <w:bCs/>
                <w:color w:val="auto"/>
                <w:sz w:val="24"/>
                <w:lang w:eastAsia="zh-CN"/>
              </w:rPr>
              <w:t>项目完成后</w:t>
            </w:r>
            <w:r>
              <w:rPr>
                <w:rFonts w:hint="default" w:ascii="Times New Roman" w:hAnsi="Times New Roman" w:cs="Times New Roman"/>
                <w:bCs/>
                <w:color w:val="auto"/>
                <w:sz w:val="24"/>
              </w:rPr>
              <w:t>应压实平整，并播撒当地草籽，绿化恢复。弃土对周边环境影响较小，且能有效解决周边地势坑洼状态。</w:t>
            </w:r>
            <w:r>
              <w:rPr>
                <w:rFonts w:hint="eastAsia" w:hAnsi="宋体"/>
                <w:color w:val="auto"/>
                <w:sz w:val="24"/>
              </w:rPr>
              <w:t>项目</w:t>
            </w:r>
            <w:r>
              <w:rPr>
                <w:rFonts w:hAnsi="宋体"/>
                <w:color w:val="auto"/>
                <w:sz w:val="24"/>
              </w:rPr>
              <w:t>土石方平衡见</w:t>
            </w:r>
            <w:r>
              <w:rPr>
                <w:rFonts w:hint="eastAsia" w:hAnsi="宋体"/>
                <w:color w:val="auto"/>
                <w:sz w:val="24"/>
              </w:rPr>
              <w:t>下</w:t>
            </w:r>
            <w:r>
              <w:rPr>
                <w:rFonts w:hAnsi="宋体"/>
                <w:color w:val="auto"/>
                <w:sz w:val="24"/>
              </w:rPr>
              <w:t>表</w:t>
            </w:r>
            <w:r>
              <w:rPr>
                <w:rFonts w:hint="eastAsia" w:hAnsi="宋体"/>
                <w:color w:val="auto"/>
                <w:sz w:val="24"/>
                <w:lang w:val="en-US" w:eastAsia="zh-CN"/>
              </w:rPr>
              <w:t>2-4</w:t>
            </w:r>
            <w:r>
              <w:rPr>
                <w:rFonts w:hAnsi="宋体"/>
                <w:color w:val="auto"/>
                <w:sz w:val="24"/>
              </w:rPr>
              <w:t>。</w:t>
            </w:r>
          </w:p>
          <w:p>
            <w:pPr>
              <w:widowControl/>
              <w:adjustRightInd w:val="0"/>
              <w:snapToGrid w:val="0"/>
              <w:jc w:val="center"/>
              <w:rPr>
                <w:rFonts w:hint="eastAsia" w:ascii="Times New Roman" w:hAnsi="Times New Roman" w:cs="Times New Roman"/>
                <w:b/>
                <w:bCs/>
                <w:color w:val="auto"/>
                <w:kern w:val="0"/>
                <w:szCs w:val="21"/>
                <w:vertAlign w:val="superscript"/>
                <w:lang w:val="en-US" w:eastAsia="zh-CN" w:bidi="ar"/>
              </w:rPr>
            </w:pPr>
            <w:r>
              <w:rPr>
                <w:rFonts w:hint="eastAsia" w:ascii="Times New Roman" w:hAnsi="Times New Roman" w:cs="Times New Roman"/>
                <w:b/>
                <w:bCs/>
                <w:color w:val="auto"/>
                <w:kern w:val="0"/>
                <w:szCs w:val="21"/>
                <w:lang w:val="en-US" w:eastAsia="zh-CN" w:bidi="ar"/>
              </w:rPr>
              <w:t>表2-</w:t>
            </w:r>
            <w:r>
              <w:rPr>
                <w:rFonts w:hint="eastAsia" w:cs="Times New Roman"/>
                <w:b/>
                <w:bCs/>
                <w:color w:val="auto"/>
                <w:kern w:val="0"/>
                <w:szCs w:val="21"/>
                <w:lang w:val="en-US" w:eastAsia="zh-CN" w:bidi="ar"/>
              </w:rPr>
              <w:t>4</w:t>
            </w:r>
            <w:r>
              <w:rPr>
                <w:rFonts w:hint="eastAsia" w:ascii="Times New Roman" w:hAnsi="Times New Roman" w:cs="Times New Roman"/>
                <w:b/>
                <w:bCs/>
                <w:color w:val="auto"/>
                <w:kern w:val="0"/>
                <w:szCs w:val="21"/>
                <w:lang w:val="en-US" w:eastAsia="zh-CN" w:bidi="ar"/>
              </w:rPr>
              <w:t xml:space="preserve"> 本项目土石方平衡表  单位：m</w:t>
            </w:r>
            <w:r>
              <w:rPr>
                <w:rFonts w:hint="eastAsia" w:ascii="Times New Roman" w:hAnsi="Times New Roman" w:cs="Times New Roman"/>
                <w:b/>
                <w:bCs/>
                <w:color w:val="auto"/>
                <w:kern w:val="0"/>
                <w:szCs w:val="21"/>
                <w:vertAlign w:val="superscript"/>
                <w:lang w:val="en-US" w:eastAsia="zh-CN" w:bidi="ar"/>
              </w:rPr>
              <w:t>3</w:t>
            </w:r>
          </w:p>
          <w:tbl>
            <w:tblPr>
              <w:tblStyle w:val="24"/>
              <w:tblW w:w="7438" w:type="dxa"/>
              <w:tblInd w:w="-1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1280"/>
              <w:gridCol w:w="847"/>
              <w:gridCol w:w="1182"/>
              <w:gridCol w:w="1193"/>
              <w:gridCol w:w="1053"/>
              <w:gridCol w:w="896"/>
              <w:gridCol w:w="987"/>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331" w:hRule="atLeast"/>
                <w:tblHeader/>
              </w:trPr>
              <w:tc>
                <w:tcPr>
                  <w:tcW w:w="1280" w:type="dxa"/>
                  <w:vMerge w:val="restart"/>
                  <w:tcBorders>
                    <w:tl2br w:val="nil"/>
                    <w:tr2bl w:val="nil"/>
                  </w:tcBorders>
                  <w:noWrap w:val="0"/>
                  <w:vAlign w:val="center"/>
                </w:tcPr>
                <w:p>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名称</w:t>
                  </w:r>
                </w:p>
              </w:tc>
              <w:tc>
                <w:tcPr>
                  <w:tcW w:w="847" w:type="dxa"/>
                  <w:vMerge w:val="restart"/>
                  <w:tcBorders>
                    <w:tl2br w:val="nil"/>
                    <w:tr2bl w:val="nil"/>
                  </w:tcBorders>
                  <w:noWrap w:val="0"/>
                  <w:vAlign w:val="center"/>
                </w:tcPr>
                <w:p>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工程</w:t>
                  </w:r>
                </w:p>
              </w:tc>
              <w:tc>
                <w:tcPr>
                  <w:tcW w:w="2375" w:type="dxa"/>
                  <w:gridSpan w:val="2"/>
                  <w:tcBorders>
                    <w:tl2br w:val="nil"/>
                    <w:tr2bl w:val="nil"/>
                  </w:tcBorders>
                  <w:noWrap w:val="0"/>
                  <w:vAlign w:val="center"/>
                </w:tcPr>
                <w:p>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开挖回填</w:t>
                  </w:r>
                </w:p>
              </w:tc>
              <w:tc>
                <w:tcPr>
                  <w:tcW w:w="2936" w:type="dxa"/>
                  <w:gridSpan w:val="3"/>
                  <w:tcBorders>
                    <w:tl2br w:val="nil"/>
                    <w:tr2bl w:val="nil"/>
                  </w:tcBorders>
                  <w:noWrap w:val="0"/>
                  <w:vAlign w:val="center"/>
                </w:tcPr>
                <w:p>
                  <w:pPr>
                    <w:widowControl/>
                    <w:jc w:val="center"/>
                    <w:textAlignment w:val="center"/>
                    <w:rPr>
                      <w:rFonts w:hint="eastAsia" w:ascii="宋体" w:hAnsi="宋体" w:cs="宋体"/>
                      <w:b/>
                      <w:bCs/>
                      <w:color w:val="auto"/>
                      <w:kern w:val="0"/>
                      <w:sz w:val="21"/>
                      <w:szCs w:val="21"/>
                      <w:highlight w:val="none"/>
                      <w:lang w:bidi="ar"/>
                    </w:rPr>
                  </w:pPr>
                  <w:r>
                    <w:rPr>
                      <w:rFonts w:hint="eastAsia" w:ascii="宋体" w:hAnsi="宋体" w:cs="宋体"/>
                      <w:b/>
                      <w:bCs/>
                      <w:color w:val="auto"/>
                      <w:kern w:val="0"/>
                      <w:sz w:val="21"/>
                      <w:szCs w:val="21"/>
                      <w:highlight w:val="none"/>
                      <w:lang w:bidi="ar"/>
                    </w:rPr>
                    <w:t>弃土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831" w:hRule="atLeast"/>
                <w:tblHeader/>
              </w:trPr>
              <w:tc>
                <w:tcPr>
                  <w:tcW w:w="1280" w:type="dxa"/>
                  <w:vMerge w:val="continue"/>
                  <w:tcBorders>
                    <w:tl2br w:val="nil"/>
                    <w:tr2bl w:val="nil"/>
                  </w:tcBorders>
                  <w:noWrap w:val="0"/>
                  <w:vAlign w:val="center"/>
                </w:tcPr>
                <w:p>
                  <w:pPr>
                    <w:jc w:val="center"/>
                    <w:rPr>
                      <w:rFonts w:hint="eastAsia" w:ascii="宋体" w:hAnsi="宋体" w:cs="宋体"/>
                      <w:b/>
                      <w:bCs/>
                      <w:color w:val="auto"/>
                      <w:sz w:val="21"/>
                      <w:szCs w:val="21"/>
                      <w:highlight w:val="none"/>
                    </w:rPr>
                  </w:pPr>
                </w:p>
              </w:tc>
              <w:tc>
                <w:tcPr>
                  <w:tcW w:w="847" w:type="dxa"/>
                  <w:vMerge w:val="continue"/>
                  <w:tcBorders>
                    <w:tl2br w:val="nil"/>
                    <w:tr2bl w:val="nil"/>
                  </w:tcBorders>
                  <w:noWrap w:val="0"/>
                  <w:vAlign w:val="center"/>
                </w:tcPr>
                <w:p>
                  <w:pPr>
                    <w:jc w:val="center"/>
                    <w:rPr>
                      <w:rFonts w:hint="eastAsia" w:ascii="宋体" w:hAnsi="宋体" w:cs="宋体"/>
                      <w:b/>
                      <w:bCs/>
                      <w:color w:val="auto"/>
                      <w:sz w:val="21"/>
                      <w:szCs w:val="21"/>
                      <w:highlight w:val="none"/>
                    </w:rPr>
                  </w:pPr>
                </w:p>
              </w:tc>
              <w:tc>
                <w:tcPr>
                  <w:tcW w:w="1182" w:type="dxa"/>
                  <w:tcBorders>
                    <w:tl2br w:val="nil"/>
                    <w:tr2bl w:val="nil"/>
                  </w:tcBorders>
                  <w:noWrap w:val="0"/>
                  <w:vAlign w:val="center"/>
                </w:tcPr>
                <w:p>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土方开挖（压实方</w:t>
                  </w:r>
                  <w:r>
                    <w:rPr>
                      <w:b/>
                      <w:bCs/>
                      <w:color w:val="auto"/>
                      <w:kern w:val="0"/>
                      <w:sz w:val="21"/>
                      <w:szCs w:val="21"/>
                      <w:highlight w:val="none"/>
                      <w:lang w:bidi="ar"/>
                    </w:rPr>
                    <w:t>m</w:t>
                  </w:r>
                  <w:r>
                    <w:rPr>
                      <w:b/>
                      <w:bCs/>
                      <w:color w:val="auto"/>
                      <w:kern w:val="0"/>
                      <w:sz w:val="21"/>
                      <w:szCs w:val="21"/>
                      <w:highlight w:val="none"/>
                      <w:vertAlign w:val="superscript"/>
                      <w:lang w:bidi="ar"/>
                    </w:rPr>
                    <w:t>3</w:t>
                  </w:r>
                  <w:r>
                    <w:rPr>
                      <w:rFonts w:hint="eastAsia" w:ascii="宋体" w:hAnsi="宋体" w:cs="宋体"/>
                      <w:b/>
                      <w:bCs/>
                      <w:color w:val="auto"/>
                      <w:kern w:val="0"/>
                      <w:sz w:val="21"/>
                      <w:szCs w:val="21"/>
                      <w:highlight w:val="none"/>
                      <w:lang w:bidi="ar"/>
                    </w:rPr>
                    <w:t>）</w:t>
                  </w:r>
                </w:p>
              </w:tc>
              <w:tc>
                <w:tcPr>
                  <w:tcW w:w="1193" w:type="dxa"/>
                  <w:tcBorders>
                    <w:tl2br w:val="nil"/>
                    <w:tr2bl w:val="nil"/>
                  </w:tcBorders>
                  <w:noWrap w:val="0"/>
                  <w:vAlign w:val="center"/>
                </w:tcPr>
                <w:p>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土方回填（自然方</w:t>
                  </w:r>
                  <w:r>
                    <w:rPr>
                      <w:b/>
                      <w:bCs/>
                      <w:color w:val="auto"/>
                      <w:kern w:val="0"/>
                      <w:sz w:val="21"/>
                      <w:szCs w:val="21"/>
                      <w:highlight w:val="none"/>
                      <w:lang w:bidi="ar"/>
                    </w:rPr>
                    <w:t>m</w:t>
                  </w:r>
                  <w:r>
                    <w:rPr>
                      <w:b/>
                      <w:bCs/>
                      <w:color w:val="auto"/>
                      <w:kern w:val="0"/>
                      <w:sz w:val="21"/>
                      <w:szCs w:val="21"/>
                      <w:highlight w:val="none"/>
                      <w:vertAlign w:val="superscript"/>
                      <w:lang w:bidi="ar"/>
                    </w:rPr>
                    <w:t>3</w:t>
                  </w:r>
                  <w:r>
                    <w:rPr>
                      <w:rFonts w:hint="eastAsia" w:ascii="宋体" w:hAnsi="宋体" w:cs="宋体"/>
                      <w:b/>
                      <w:bCs/>
                      <w:color w:val="auto"/>
                      <w:kern w:val="0"/>
                      <w:sz w:val="21"/>
                      <w:szCs w:val="21"/>
                      <w:highlight w:val="none"/>
                      <w:lang w:bidi="ar"/>
                    </w:rPr>
                    <w:t>）</w:t>
                  </w:r>
                </w:p>
              </w:tc>
              <w:tc>
                <w:tcPr>
                  <w:tcW w:w="1053" w:type="dxa"/>
                  <w:tcBorders>
                    <w:tl2br w:val="nil"/>
                    <w:tr2bl w:val="nil"/>
                  </w:tcBorders>
                  <w:noWrap w:val="0"/>
                  <w:vAlign w:val="center"/>
                </w:tcPr>
                <w:p>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eastAsia="zh-CN" w:bidi="ar"/>
                    </w:rPr>
                    <w:t>弃方</w:t>
                  </w:r>
                  <w:r>
                    <w:rPr>
                      <w:rFonts w:hint="eastAsia" w:ascii="宋体" w:hAnsi="宋体" w:cs="宋体"/>
                      <w:b/>
                      <w:bCs/>
                      <w:color w:val="auto"/>
                      <w:kern w:val="0"/>
                      <w:sz w:val="21"/>
                      <w:szCs w:val="21"/>
                      <w:highlight w:val="none"/>
                      <w:lang w:bidi="ar"/>
                    </w:rPr>
                    <w:t>量（</w:t>
                  </w:r>
                  <w:r>
                    <w:rPr>
                      <w:b/>
                      <w:bCs/>
                      <w:color w:val="auto"/>
                      <w:kern w:val="0"/>
                      <w:sz w:val="21"/>
                      <w:szCs w:val="21"/>
                      <w:highlight w:val="none"/>
                      <w:lang w:bidi="ar"/>
                    </w:rPr>
                    <w:t>m</w:t>
                  </w:r>
                  <w:r>
                    <w:rPr>
                      <w:b/>
                      <w:bCs/>
                      <w:color w:val="auto"/>
                      <w:kern w:val="0"/>
                      <w:sz w:val="21"/>
                      <w:szCs w:val="21"/>
                      <w:highlight w:val="none"/>
                      <w:vertAlign w:val="superscript"/>
                      <w:lang w:bidi="ar"/>
                    </w:rPr>
                    <w:t>3</w:t>
                  </w:r>
                  <w:r>
                    <w:rPr>
                      <w:rFonts w:hint="eastAsia" w:ascii="宋体" w:hAnsi="宋体" w:cs="宋体"/>
                      <w:b/>
                      <w:bCs/>
                      <w:color w:val="auto"/>
                      <w:kern w:val="0"/>
                      <w:sz w:val="21"/>
                      <w:szCs w:val="21"/>
                      <w:highlight w:val="none"/>
                      <w:lang w:bidi="ar"/>
                    </w:rPr>
                    <w:t>）</w:t>
                  </w:r>
                </w:p>
              </w:tc>
              <w:tc>
                <w:tcPr>
                  <w:tcW w:w="896" w:type="dxa"/>
                  <w:tcBorders>
                    <w:tl2br w:val="nil"/>
                    <w:tr2bl w:val="nil"/>
                  </w:tcBorders>
                  <w:noWrap/>
                  <w:vAlign w:val="center"/>
                </w:tcPr>
                <w:p>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去向</w:t>
                  </w:r>
                </w:p>
              </w:tc>
              <w:tc>
                <w:tcPr>
                  <w:tcW w:w="987" w:type="dxa"/>
                  <w:tcBorders>
                    <w:tl2br w:val="nil"/>
                    <w:tr2bl w:val="nil"/>
                  </w:tcBorders>
                  <w:noWrap w:val="0"/>
                  <w:vAlign w:val="center"/>
                </w:tcPr>
                <w:p>
                  <w:pPr>
                    <w:widowControl/>
                    <w:jc w:val="center"/>
                    <w:textAlignment w:val="center"/>
                    <w:rPr>
                      <w:rFonts w:hint="eastAsia" w:ascii="宋体" w:hAnsi="宋体" w:cs="宋体"/>
                      <w:b/>
                      <w:bCs/>
                      <w:color w:val="auto"/>
                      <w:kern w:val="0"/>
                      <w:sz w:val="21"/>
                      <w:szCs w:val="21"/>
                      <w:highlight w:val="none"/>
                      <w:lang w:bidi="ar"/>
                    </w:rPr>
                  </w:pPr>
                  <w:r>
                    <w:rPr>
                      <w:rFonts w:hint="eastAsia" w:ascii="宋体" w:hAnsi="宋体" w:cs="宋体"/>
                      <w:b/>
                      <w:bCs/>
                      <w:color w:val="auto"/>
                      <w:kern w:val="0"/>
                      <w:sz w:val="21"/>
                      <w:szCs w:val="21"/>
                      <w:highlight w:val="none"/>
                      <w:lang w:bidi="ar"/>
                    </w:rPr>
                    <w:t>运距</w:t>
                  </w:r>
                </w:p>
                <w:p>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w:t>
                  </w:r>
                  <w:r>
                    <w:rPr>
                      <w:b/>
                      <w:bCs/>
                      <w:color w:val="auto"/>
                      <w:kern w:val="0"/>
                      <w:sz w:val="21"/>
                      <w:szCs w:val="21"/>
                      <w:highlight w:val="none"/>
                      <w:lang w:bidi="ar"/>
                    </w:rPr>
                    <w:t>km</w:t>
                  </w:r>
                  <w:r>
                    <w:rPr>
                      <w:rFonts w:hint="eastAsia" w:ascii="宋体" w:hAnsi="宋体" w:cs="宋体"/>
                      <w:b/>
                      <w:bCs/>
                      <w:color w:val="auto"/>
                      <w:kern w:val="0"/>
                      <w:sz w:val="21"/>
                      <w:szCs w:val="21"/>
                      <w:highlight w:val="none"/>
                      <w:lang w:bidi="ar"/>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560" w:hRule="atLeast"/>
              </w:trPr>
              <w:tc>
                <w:tcPr>
                  <w:tcW w:w="1280" w:type="dxa"/>
                  <w:tcBorders>
                    <w:tl2br w:val="nil"/>
                    <w:tr2bl w:val="nil"/>
                  </w:tcBorders>
                  <w:noWrap/>
                  <w:vAlign w:val="center"/>
                </w:tcPr>
                <w:p>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排洪槽陡槽段</w:t>
                  </w:r>
                </w:p>
              </w:tc>
              <w:tc>
                <w:tcPr>
                  <w:tcW w:w="847" w:type="dxa"/>
                  <w:tcBorders>
                    <w:tl2br w:val="nil"/>
                    <w:tr2bl w:val="nil"/>
                  </w:tcBorders>
                  <w:noWrap w:val="0"/>
                  <w:vAlign w:val="center"/>
                </w:tcPr>
                <w:p>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土方开挖</w:t>
                  </w:r>
                </w:p>
              </w:tc>
              <w:tc>
                <w:tcPr>
                  <w:tcW w:w="1182" w:type="dxa"/>
                  <w:tcBorders>
                    <w:tl2br w:val="nil"/>
                    <w:tr2bl w:val="nil"/>
                  </w:tcBorders>
                  <w:noWrap w:val="0"/>
                  <w:vAlign w:val="center"/>
                </w:tcPr>
                <w:p>
                  <w:pPr>
                    <w:widowControl/>
                    <w:jc w:val="center"/>
                    <w:textAlignment w:val="center"/>
                    <w:rPr>
                      <w:color w:val="auto"/>
                      <w:sz w:val="21"/>
                      <w:szCs w:val="21"/>
                      <w:highlight w:val="none"/>
                    </w:rPr>
                  </w:pPr>
                  <w:r>
                    <w:rPr>
                      <w:color w:val="auto"/>
                      <w:kern w:val="0"/>
                      <w:sz w:val="21"/>
                      <w:szCs w:val="21"/>
                      <w:highlight w:val="none"/>
                      <w:lang w:bidi="ar"/>
                    </w:rPr>
                    <w:t xml:space="preserve">74705 </w:t>
                  </w:r>
                </w:p>
              </w:tc>
              <w:tc>
                <w:tcPr>
                  <w:tcW w:w="1193" w:type="dxa"/>
                  <w:tcBorders>
                    <w:tl2br w:val="nil"/>
                    <w:tr2bl w:val="nil"/>
                  </w:tcBorders>
                  <w:noWrap w:val="0"/>
                  <w:vAlign w:val="center"/>
                </w:tcPr>
                <w:p>
                  <w:pPr>
                    <w:widowControl/>
                    <w:jc w:val="center"/>
                    <w:textAlignment w:val="center"/>
                    <w:rPr>
                      <w:rFonts w:hint="default" w:eastAsia="宋体"/>
                      <w:color w:val="auto"/>
                      <w:sz w:val="21"/>
                      <w:szCs w:val="21"/>
                      <w:highlight w:val="none"/>
                      <w:lang w:val="en-US" w:eastAsia="zh-CN"/>
                    </w:rPr>
                  </w:pPr>
                  <w:r>
                    <w:rPr>
                      <w:rFonts w:hint="eastAsia"/>
                      <w:color w:val="auto"/>
                      <w:kern w:val="0"/>
                      <w:sz w:val="21"/>
                      <w:szCs w:val="21"/>
                      <w:highlight w:val="none"/>
                      <w:lang w:val="en-US" w:eastAsia="zh-CN" w:bidi="ar"/>
                    </w:rPr>
                    <w:t>2352</w:t>
                  </w:r>
                </w:p>
              </w:tc>
              <w:tc>
                <w:tcPr>
                  <w:tcW w:w="1053" w:type="dxa"/>
                  <w:tcBorders>
                    <w:tl2br w:val="nil"/>
                    <w:tr2bl w:val="nil"/>
                  </w:tcBorders>
                  <w:noWrap w:val="0"/>
                  <w:vAlign w:val="center"/>
                </w:tcPr>
                <w:p>
                  <w:pPr>
                    <w:widowControl/>
                    <w:jc w:val="center"/>
                    <w:textAlignment w:val="center"/>
                    <w:rPr>
                      <w:color w:val="auto"/>
                      <w:sz w:val="21"/>
                      <w:szCs w:val="21"/>
                      <w:highlight w:val="none"/>
                    </w:rPr>
                  </w:pPr>
                  <w:r>
                    <w:rPr>
                      <w:color w:val="auto"/>
                      <w:kern w:val="0"/>
                      <w:sz w:val="21"/>
                      <w:szCs w:val="21"/>
                      <w:highlight w:val="none"/>
                      <w:lang w:bidi="ar"/>
                    </w:rPr>
                    <w:t xml:space="preserve">73124 </w:t>
                  </w:r>
                </w:p>
              </w:tc>
              <w:tc>
                <w:tcPr>
                  <w:tcW w:w="896" w:type="dxa"/>
                  <w:tcBorders>
                    <w:tl2br w:val="nil"/>
                    <w:tr2bl w:val="nil"/>
                  </w:tcBorders>
                  <w:noWrap/>
                  <w:vAlign w:val="center"/>
                </w:tcPr>
                <w:p>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弃土场</w:t>
                  </w:r>
                </w:p>
              </w:tc>
              <w:tc>
                <w:tcPr>
                  <w:tcW w:w="987" w:type="dxa"/>
                  <w:tcBorders>
                    <w:tl2br w:val="nil"/>
                    <w:tr2bl w:val="nil"/>
                  </w:tcBorders>
                  <w:noWrap/>
                  <w:vAlign w:val="center"/>
                </w:tcPr>
                <w:p>
                  <w:pPr>
                    <w:widowControl/>
                    <w:jc w:val="center"/>
                    <w:textAlignment w:val="center"/>
                    <w:rPr>
                      <w:rFonts w:hint="default" w:eastAsia="宋体"/>
                      <w:color w:val="auto"/>
                      <w:sz w:val="21"/>
                      <w:szCs w:val="21"/>
                      <w:highlight w:val="none"/>
                      <w:lang w:val="en-US" w:eastAsia="zh-CN"/>
                    </w:rPr>
                  </w:pPr>
                  <w:r>
                    <w:rPr>
                      <w:rFonts w:hint="eastAsia"/>
                      <w:color w:val="auto"/>
                      <w:kern w:val="0"/>
                      <w:sz w:val="21"/>
                      <w:szCs w:val="21"/>
                      <w:highlight w:val="none"/>
                      <w:lang w:val="en-US" w:eastAsia="zh-CN" w:bidi="ar"/>
                    </w:rPr>
                    <w:t>0.5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560" w:hRule="atLeast"/>
              </w:trPr>
              <w:tc>
                <w:tcPr>
                  <w:tcW w:w="1280" w:type="dxa"/>
                  <w:tcBorders>
                    <w:tl2br w:val="nil"/>
                    <w:tr2bl w:val="nil"/>
                  </w:tcBorders>
                  <w:noWrap/>
                  <w:vAlign w:val="center"/>
                </w:tcPr>
                <w:p>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排洪槽消力池</w:t>
                  </w:r>
                </w:p>
              </w:tc>
              <w:tc>
                <w:tcPr>
                  <w:tcW w:w="847" w:type="dxa"/>
                  <w:tcBorders>
                    <w:tl2br w:val="nil"/>
                    <w:tr2bl w:val="nil"/>
                  </w:tcBorders>
                  <w:noWrap w:val="0"/>
                  <w:vAlign w:val="center"/>
                </w:tcPr>
                <w:p>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土方开挖</w:t>
                  </w:r>
                </w:p>
              </w:tc>
              <w:tc>
                <w:tcPr>
                  <w:tcW w:w="1182" w:type="dxa"/>
                  <w:tcBorders>
                    <w:tl2br w:val="nil"/>
                    <w:tr2bl w:val="nil"/>
                  </w:tcBorders>
                  <w:noWrap w:val="0"/>
                  <w:vAlign w:val="center"/>
                </w:tcPr>
                <w:p>
                  <w:pPr>
                    <w:widowControl/>
                    <w:jc w:val="center"/>
                    <w:textAlignment w:val="center"/>
                    <w:rPr>
                      <w:color w:val="auto"/>
                      <w:sz w:val="21"/>
                      <w:szCs w:val="21"/>
                      <w:highlight w:val="none"/>
                    </w:rPr>
                  </w:pPr>
                  <w:r>
                    <w:rPr>
                      <w:color w:val="auto"/>
                      <w:kern w:val="0"/>
                      <w:sz w:val="21"/>
                      <w:szCs w:val="21"/>
                      <w:highlight w:val="none"/>
                      <w:lang w:bidi="ar"/>
                    </w:rPr>
                    <w:t xml:space="preserve">3587 </w:t>
                  </w:r>
                </w:p>
              </w:tc>
              <w:tc>
                <w:tcPr>
                  <w:tcW w:w="1193" w:type="dxa"/>
                  <w:tcBorders>
                    <w:tl2br w:val="nil"/>
                    <w:tr2bl w:val="nil"/>
                  </w:tcBorders>
                  <w:noWrap w:val="0"/>
                  <w:vAlign w:val="center"/>
                </w:tcPr>
                <w:p>
                  <w:pPr>
                    <w:widowControl/>
                    <w:jc w:val="center"/>
                    <w:textAlignment w:val="center"/>
                    <w:rPr>
                      <w:rFonts w:hint="default" w:eastAsia="宋体"/>
                      <w:color w:val="auto"/>
                      <w:sz w:val="21"/>
                      <w:szCs w:val="21"/>
                      <w:highlight w:val="none"/>
                      <w:lang w:val="en-US" w:eastAsia="zh-CN"/>
                    </w:rPr>
                  </w:pPr>
                  <w:r>
                    <w:rPr>
                      <w:rFonts w:hint="eastAsia"/>
                      <w:color w:val="auto"/>
                      <w:kern w:val="0"/>
                      <w:sz w:val="21"/>
                      <w:szCs w:val="21"/>
                      <w:highlight w:val="none"/>
                      <w:lang w:val="en-US" w:eastAsia="zh-CN" w:bidi="ar"/>
                    </w:rPr>
                    <w:t>290</w:t>
                  </w:r>
                </w:p>
              </w:tc>
              <w:tc>
                <w:tcPr>
                  <w:tcW w:w="1053" w:type="dxa"/>
                  <w:tcBorders>
                    <w:tl2br w:val="nil"/>
                    <w:tr2bl w:val="nil"/>
                  </w:tcBorders>
                  <w:noWrap w:val="0"/>
                  <w:vAlign w:val="center"/>
                </w:tcPr>
                <w:p>
                  <w:pPr>
                    <w:widowControl/>
                    <w:jc w:val="center"/>
                    <w:textAlignment w:val="center"/>
                    <w:rPr>
                      <w:color w:val="auto"/>
                      <w:sz w:val="21"/>
                      <w:szCs w:val="21"/>
                      <w:highlight w:val="none"/>
                    </w:rPr>
                  </w:pPr>
                  <w:r>
                    <w:rPr>
                      <w:color w:val="auto"/>
                      <w:kern w:val="0"/>
                      <w:sz w:val="21"/>
                      <w:szCs w:val="21"/>
                      <w:highlight w:val="none"/>
                      <w:lang w:bidi="ar"/>
                    </w:rPr>
                    <w:t xml:space="preserve">3245 </w:t>
                  </w:r>
                </w:p>
              </w:tc>
              <w:tc>
                <w:tcPr>
                  <w:tcW w:w="896" w:type="dxa"/>
                  <w:tcBorders>
                    <w:tl2br w:val="nil"/>
                    <w:tr2bl w:val="nil"/>
                  </w:tcBorders>
                  <w:noWrap/>
                  <w:vAlign w:val="center"/>
                </w:tcPr>
                <w:p>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弃土场</w:t>
                  </w:r>
                </w:p>
              </w:tc>
              <w:tc>
                <w:tcPr>
                  <w:tcW w:w="987" w:type="dxa"/>
                  <w:tcBorders>
                    <w:tl2br w:val="nil"/>
                    <w:tr2bl w:val="nil"/>
                  </w:tcBorders>
                  <w:noWrap/>
                  <w:vAlign w:val="center"/>
                </w:tcPr>
                <w:p>
                  <w:pPr>
                    <w:widowControl/>
                    <w:jc w:val="center"/>
                    <w:textAlignment w:val="center"/>
                    <w:rPr>
                      <w:rFonts w:hint="default" w:eastAsia="宋体"/>
                      <w:color w:val="auto"/>
                      <w:sz w:val="21"/>
                      <w:szCs w:val="21"/>
                      <w:highlight w:val="none"/>
                      <w:lang w:val="en-US" w:eastAsia="zh-CN"/>
                    </w:rPr>
                  </w:pPr>
                  <w:r>
                    <w:rPr>
                      <w:rFonts w:hint="eastAsia"/>
                      <w:color w:val="auto"/>
                      <w:kern w:val="0"/>
                      <w:sz w:val="21"/>
                      <w:szCs w:val="21"/>
                      <w:highlight w:val="none"/>
                      <w:lang w:val="en-US" w:eastAsia="zh-CN" w:bidi="ar"/>
                    </w:rPr>
                    <w:t>0.5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560" w:hRule="atLeast"/>
              </w:trPr>
              <w:tc>
                <w:tcPr>
                  <w:tcW w:w="1280" w:type="dxa"/>
                  <w:tcBorders>
                    <w:tl2br w:val="nil"/>
                    <w:tr2bl w:val="nil"/>
                  </w:tcBorders>
                  <w:noWrap/>
                  <w:vAlign w:val="center"/>
                </w:tcPr>
                <w:p>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下游沟道护段</w:t>
                  </w:r>
                </w:p>
              </w:tc>
              <w:tc>
                <w:tcPr>
                  <w:tcW w:w="847" w:type="dxa"/>
                  <w:tcBorders>
                    <w:tl2br w:val="nil"/>
                    <w:tr2bl w:val="nil"/>
                  </w:tcBorders>
                  <w:noWrap w:val="0"/>
                  <w:vAlign w:val="center"/>
                </w:tcPr>
                <w:p>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土方开挖</w:t>
                  </w:r>
                </w:p>
              </w:tc>
              <w:tc>
                <w:tcPr>
                  <w:tcW w:w="1182" w:type="dxa"/>
                  <w:tcBorders>
                    <w:tl2br w:val="nil"/>
                    <w:tr2bl w:val="nil"/>
                  </w:tcBorders>
                  <w:noWrap/>
                  <w:vAlign w:val="center"/>
                </w:tcPr>
                <w:p>
                  <w:pPr>
                    <w:widowControl/>
                    <w:jc w:val="center"/>
                    <w:textAlignment w:val="center"/>
                    <w:rPr>
                      <w:color w:val="auto"/>
                      <w:sz w:val="21"/>
                      <w:szCs w:val="21"/>
                      <w:highlight w:val="none"/>
                    </w:rPr>
                  </w:pPr>
                  <w:r>
                    <w:rPr>
                      <w:color w:val="auto"/>
                      <w:kern w:val="0"/>
                      <w:sz w:val="21"/>
                      <w:szCs w:val="21"/>
                      <w:highlight w:val="none"/>
                      <w:lang w:bidi="ar"/>
                    </w:rPr>
                    <w:t xml:space="preserve">6156 </w:t>
                  </w:r>
                </w:p>
              </w:tc>
              <w:tc>
                <w:tcPr>
                  <w:tcW w:w="1193" w:type="dxa"/>
                  <w:tcBorders>
                    <w:tl2br w:val="nil"/>
                    <w:tr2bl w:val="nil"/>
                  </w:tcBorders>
                  <w:noWrap/>
                  <w:vAlign w:val="center"/>
                </w:tcPr>
                <w:p>
                  <w:pPr>
                    <w:widowControl/>
                    <w:jc w:val="center"/>
                    <w:textAlignment w:val="center"/>
                    <w:rPr>
                      <w:rFonts w:hint="default" w:eastAsia="宋体"/>
                      <w:color w:val="auto"/>
                      <w:sz w:val="21"/>
                      <w:szCs w:val="21"/>
                      <w:highlight w:val="none"/>
                      <w:lang w:val="en-US" w:eastAsia="zh-CN"/>
                    </w:rPr>
                  </w:pPr>
                  <w:r>
                    <w:rPr>
                      <w:rFonts w:hint="eastAsia"/>
                      <w:color w:val="auto"/>
                      <w:kern w:val="0"/>
                      <w:sz w:val="21"/>
                      <w:szCs w:val="21"/>
                      <w:highlight w:val="none"/>
                      <w:lang w:val="en-US" w:eastAsia="zh-CN" w:bidi="ar"/>
                    </w:rPr>
                    <w:t>112</w:t>
                  </w:r>
                </w:p>
              </w:tc>
              <w:tc>
                <w:tcPr>
                  <w:tcW w:w="1053" w:type="dxa"/>
                  <w:tcBorders>
                    <w:tl2br w:val="nil"/>
                    <w:tr2bl w:val="nil"/>
                  </w:tcBorders>
                  <w:noWrap w:val="0"/>
                  <w:vAlign w:val="center"/>
                </w:tcPr>
                <w:p>
                  <w:pPr>
                    <w:widowControl/>
                    <w:jc w:val="center"/>
                    <w:textAlignment w:val="center"/>
                    <w:rPr>
                      <w:color w:val="auto"/>
                      <w:sz w:val="21"/>
                      <w:szCs w:val="21"/>
                      <w:highlight w:val="none"/>
                    </w:rPr>
                  </w:pPr>
                  <w:r>
                    <w:rPr>
                      <w:color w:val="auto"/>
                      <w:kern w:val="0"/>
                      <w:sz w:val="21"/>
                      <w:szCs w:val="21"/>
                      <w:highlight w:val="none"/>
                      <w:lang w:bidi="ar"/>
                    </w:rPr>
                    <w:t xml:space="preserve">5915 </w:t>
                  </w:r>
                </w:p>
              </w:tc>
              <w:tc>
                <w:tcPr>
                  <w:tcW w:w="896" w:type="dxa"/>
                  <w:tcBorders>
                    <w:tl2br w:val="nil"/>
                    <w:tr2bl w:val="nil"/>
                  </w:tcBorders>
                  <w:noWrap/>
                  <w:vAlign w:val="center"/>
                </w:tcPr>
                <w:p>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弃土场</w:t>
                  </w:r>
                </w:p>
              </w:tc>
              <w:tc>
                <w:tcPr>
                  <w:tcW w:w="987" w:type="dxa"/>
                  <w:tcBorders>
                    <w:tl2br w:val="nil"/>
                    <w:tr2bl w:val="nil"/>
                  </w:tcBorders>
                  <w:noWrap/>
                  <w:vAlign w:val="center"/>
                </w:tcPr>
                <w:p>
                  <w:pPr>
                    <w:widowControl/>
                    <w:jc w:val="center"/>
                    <w:textAlignment w:val="center"/>
                    <w:rPr>
                      <w:rFonts w:hint="default" w:eastAsia="宋体"/>
                      <w:color w:val="auto"/>
                      <w:sz w:val="21"/>
                      <w:szCs w:val="21"/>
                      <w:highlight w:val="none"/>
                      <w:lang w:val="en-US" w:eastAsia="zh-CN"/>
                    </w:rPr>
                  </w:pPr>
                  <w:r>
                    <w:rPr>
                      <w:rFonts w:hint="eastAsia"/>
                      <w:color w:val="auto"/>
                      <w:kern w:val="0"/>
                      <w:sz w:val="21"/>
                      <w:szCs w:val="21"/>
                      <w:highlight w:val="none"/>
                      <w:lang w:val="en-US" w:eastAsia="zh-CN" w:bidi="ar"/>
                    </w:rPr>
                    <w:t>0.5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560" w:hRule="atLeast"/>
              </w:trPr>
              <w:tc>
                <w:tcPr>
                  <w:tcW w:w="1280" w:type="dxa"/>
                  <w:tcBorders>
                    <w:tl2br w:val="nil"/>
                    <w:tr2bl w:val="nil"/>
                  </w:tcBorders>
                  <w:noWrap/>
                  <w:vAlign w:val="center"/>
                </w:tcPr>
                <w:p>
                  <w:pPr>
                    <w:widowControl/>
                    <w:jc w:val="center"/>
                    <w:textAlignment w:val="center"/>
                    <w:rPr>
                      <w:rFonts w:hint="eastAsia" w:ascii="宋体" w:hAnsi="宋体" w:eastAsia="宋体" w:cs="宋体"/>
                      <w:color w:val="auto"/>
                      <w:kern w:val="0"/>
                      <w:sz w:val="21"/>
                      <w:szCs w:val="21"/>
                      <w:highlight w:val="none"/>
                      <w:lang w:eastAsia="zh-CN" w:bidi="ar"/>
                    </w:rPr>
                  </w:pPr>
                  <w:r>
                    <w:rPr>
                      <w:rFonts w:hint="eastAsia" w:ascii="宋体" w:hAnsi="宋体" w:cs="宋体"/>
                      <w:color w:val="auto"/>
                      <w:kern w:val="0"/>
                      <w:sz w:val="21"/>
                      <w:szCs w:val="21"/>
                      <w:highlight w:val="none"/>
                      <w:lang w:bidi="ar"/>
                    </w:rPr>
                    <w:t>边坡</w:t>
                  </w:r>
                  <w:r>
                    <w:rPr>
                      <w:rFonts w:hint="eastAsia" w:ascii="宋体" w:hAnsi="宋体" w:cs="宋体"/>
                      <w:color w:val="auto"/>
                      <w:kern w:val="0"/>
                      <w:sz w:val="21"/>
                      <w:szCs w:val="21"/>
                      <w:highlight w:val="none"/>
                      <w:lang w:val="en-US" w:eastAsia="zh-CN" w:bidi="ar"/>
                    </w:rPr>
                    <w:t>排水沟开挖</w:t>
                  </w:r>
                </w:p>
              </w:tc>
              <w:tc>
                <w:tcPr>
                  <w:tcW w:w="847" w:type="dxa"/>
                  <w:tcBorders>
                    <w:tl2br w:val="nil"/>
                    <w:tr2bl w:val="nil"/>
                  </w:tcBorders>
                  <w:noWrap w:val="0"/>
                  <w:vAlign w:val="center"/>
                </w:tcPr>
                <w:p>
                  <w:pPr>
                    <w:widowControl/>
                    <w:jc w:val="center"/>
                    <w:textAlignment w:val="center"/>
                    <w:rPr>
                      <w:rFonts w:hint="eastAsia" w:ascii="宋体" w:hAnsi="宋体" w:cs="宋体"/>
                      <w:color w:val="auto"/>
                      <w:kern w:val="0"/>
                      <w:sz w:val="21"/>
                      <w:szCs w:val="21"/>
                      <w:highlight w:val="none"/>
                      <w:lang w:bidi="ar"/>
                    </w:rPr>
                  </w:pPr>
                  <w:r>
                    <w:rPr>
                      <w:rFonts w:hint="eastAsia" w:ascii="宋体" w:hAnsi="宋体" w:cs="宋体"/>
                      <w:color w:val="auto"/>
                      <w:kern w:val="0"/>
                      <w:sz w:val="21"/>
                      <w:szCs w:val="21"/>
                      <w:highlight w:val="none"/>
                      <w:lang w:bidi="ar"/>
                    </w:rPr>
                    <w:t>土方开挖</w:t>
                  </w:r>
                </w:p>
              </w:tc>
              <w:tc>
                <w:tcPr>
                  <w:tcW w:w="1182" w:type="dxa"/>
                  <w:tcBorders>
                    <w:tl2br w:val="nil"/>
                    <w:tr2bl w:val="nil"/>
                  </w:tcBorders>
                  <w:noWrap/>
                  <w:vAlign w:val="center"/>
                </w:tcPr>
                <w:p>
                  <w:pPr>
                    <w:widowControl/>
                    <w:jc w:val="center"/>
                    <w:textAlignment w:val="center"/>
                    <w:rPr>
                      <w:rFonts w:hint="default" w:eastAsia="宋体"/>
                      <w:color w:val="auto"/>
                      <w:kern w:val="0"/>
                      <w:sz w:val="21"/>
                      <w:szCs w:val="21"/>
                      <w:highlight w:val="none"/>
                      <w:lang w:val="en-US" w:eastAsia="zh-CN" w:bidi="ar"/>
                    </w:rPr>
                  </w:pPr>
                  <w:r>
                    <w:rPr>
                      <w:rFonts w:hint="eastAsia"/>
                      <w:color w:val="auto"/>
                      <w:kern w:val="0"/>
                      <w:sz w:val="21"/>
                      <w:szCs w:val="21"/>
                      <w:highlight w:val="none"/>
                      <w:lang w:val="en-US" w:eastAsia="zh-CN" w:bidi="ar"/>
                    </w:rPr>
                    <w:t>196</w:t>
                  </w:r>
                </w:p>
              </w:tc>
              <w:tc>
                <w:tcPr>
                  <w:tcW w:w="1193" w:type="dxa"/>
                  <w:tcBorders>
                    <w:tl2br w:val="nil"/>
                    <w:tr2bl w:val="nil"/>
                  </w:tcBorders>
                  <w:noWrap/>
                  <w:vAlign w:val="center"/>
                </w:tcPr>
                <w:p>
                  <w:pPr>
                    <w:widowControl/>
                    <w:jc w:val="center"/>
                    <w:textAlignment w:val="center"/>
                    <w:rPr>
                      <w:rFonts w:hint="eastAsia" w:eastAsia="宋体"/>
                      <w:color w:val="auto"/>
                      <w:kern w:val="0"/>
                      <w:sz w:val="21"/>
                      <w:szCs w:val="21"/>
                      <w:highlight w:val="none"/>
                      <w:lang w:val="en-US" w:eastAsia="zh-CN" w:bidi="ar"/>
                    </w:rPr>
                  </w:pPr>
                  <w:r>
                    <w:rPr>
                      <w:rFonts w:hint="eastAsia"/>
                      <w:color w:val="auto"/>
                      <w:kern w:val="0"/>
                      <w:sz w:val="21"/>
                      <w:szCs w:val="21"/>
                      <w:highlight w:val="none"/>
                      <w:lang w:val="en-US" w:eastAsia="zh-CN" w:bidi="ar"/>
                    </w:rPr>
                    <w:t>0</w:t>
                  </w:r>
                </w:p>
              </w:tc>
              <w:tc>
                <w:tcPr>
                  <w:tcW w:w="1053" w:type="dxa"/>
                  <w:tcBorders>
                    <w:tl2br w:val="nil"/>
                    <w:tr2bl w:val="nil"/>
                  </w:tcBorders>
                  <w:noWrap w:val="0"/>
                  <w:vAlign w:val="center"/>
                </w:tcPr>
                <w:p>
                  <w:pPr>
                    <w:widowControl/>
                    <w:jc w:val="center"/>
                    <w:textAlignment w:val="center"/>
                    <w:rPr>
                      <w:color w:val="auto"/>
                      <w:kern w:val="0"/>
                      <w:sz w:val="21"/>
                      <w:szCs w:val="21"/>
                      <w:highlight w:val="none"/>
                      <w:lang w:bidi="ar"/>
                    </w:rPr>
                  </w:pPr>
                  <w:r>
                    <w:rPr>
                      <w:rFonts w:hint="eastAsia"/>
                      <w:color w:val="auto"/>
                      <w:kern w:val="0"/>
                      <w:sz w:val="21"/>
                      <w:szCs w:val="21"/>
                      <w:highlight w:val="none"/>
                      <w:lang w:val="en-US" w:eastAsia="zh-CN" w:bidi="ar"/>
                    </w:rPr>
                    <w:t>196</w:t>
                  </w:r>
                </w:p>
              </w:tc>
              <w:tc>
                <w:tcPr>
                  <w:tcW w:w="896" w:type="dxa"/>
                  <w:tcBorders>
                    <w:tl2br w:val="nil"/>
                    <w:tr2bl w:val="nil"/>
                  </w:tcBorders>
                  <w:noWrap/>
                  <w:vAlign w:val="center"/>
                </w:tcPr>
                <w:p>
                  <w:pPr>
                    <w:widowControl/>
                    <w:jc w:val="center"/>
                    <w:textAlignment w:val="center"/>
                    <w:rPr>
                      <w:rFonts w:hint="eastAsia" w:ascii="宋体" w:hAnsi="宋体" w:cs="宋体"/>
                      <w:color w:val="auto"/>
                      <w:kern w:val="0"/>
                      <w:sz w:val="21"/>
                      <w:szCs w:val="21"/>
                      <w:highlight w:val="none"/>
                      <w:lang w:bidi="ar"/>
                    </w:rPr>
                  </w:pPr>
                  <w:r>
                    <w:rPr>
                      <w:rFonts w:hint="eastAsia" w:ascii="宋体" w:hAnsi="宋体" w:cs="宋体"/>
                      <w:color w:val="auto"/>
                      <w:kern w:val="0"/>
                      <w:sz w:val="21"/>
                      <w:szCs w:val="21"/>
                      <w:highlight w:val="none"/>
                      <w:lang w:bidi="ar"/>
                    </w:rPr>
                    <w:t>弃土场</w:t>
                  </w:r>
                </w:p>
              </w:tc>
              <w:tc>
                <w:tcPr>
                  <w:tcW w:w="987" w:type="dxa"/>
                  <w:tcBorders>
                    <w:tl2br w:val="nil"/>
                    <w:tr2bl w:val="nil"/>
                  </w:tcBorders>
                  <w:noWrap/>
                  <w:vAlign w:val="center"/>
                </w:tcPr>
                <w:p>
                  <w:pPr>
                    <w:widowControl/>
                    <w:jc w:val="center"/>
                    <w:textAlignment w:val="center"/>
                    <w:rPr>
                      <w:rFonts w:hint="default"/>
                      <w:color w:val="auto"/>
                      <w:kern w:val="0"/>
                      <w:sz w:val="21"/>
                      <w:szCs w:val="21"/>
                      <w:highlight w:val="none"/>
                      <w:lang w:val="en-US" w:eastAsia="zh-CN" w:bidi="ar"/>
                    </w:rPr>
                  </w:pPr>
                  <w:r>
                    <w:rPr>
                      <w:rFonts w:hint="eastAsia"/>
                      <w:color w:val="auto"/>
                      <w:kern w:val="0"/>
                      <w:sz w:val="21"/>
                      <w:szCs w:val="21"/>
                      <w:highlight w:val="none"/>
                      <w:lang w:val="en-US" w:eastAsia="zh-CN" w:bidi="ar"/>
                    </w:rPr>
                    <w:t>0.5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479" w:hRule="atLeast"/>
              </w:trPr>
              <w:tc>
                <w:tcPr>
                  <w:tcW w:w="1280" w:type="dxa"/>
                  <w:tcBorders>
                    <w:tl2br w:val="nil"/>
                    <w:tr2bl w:val="nil"/>
                  </w:tcBorders>
                  <w:noWrap/>
                  <w:vAlign w:val="center"/>
                </w:tcPr>
                <w:p>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合计</w:t>
                  </w:r>
                </w:p>
              </w:tc>
              <w:tc>
                <w:tcPr>
                  <w:tcW w:w="847" w:type="dxa"/>
                  <w:tcBorders>
                    <w:tl2br w:val="nil"/>
                    <w:tr2bl w:val="nil"/>
                  </w:tcBorders>
                  <w:noWrap/>
                  <w:vAlign w:val="center"/>
                </w:tcPr>
                <w:p>
                  <w:pPr>
                    <w:jc w:val="center"/>
                    <w:rPr>
                      <w:color w:val="auto"/>
                      <w:sz w:val="21"/>
                      <w:szCs w:val="21"/>
                      <w:highlight w:val="none"/>
                    </w:rPr>
                  </w:pPr>
                </w:p>
              </w:tc>
              <w:tc>
                <w:tcPr>
                  <w:tcW w:w="1182" w:type="dxa"/>
                  <w:tcBorders>
                    <w:tl2br w:val="nil"/>
                    <w:tr2bl w:val="nil"/>
                  </w:tcBorders>
                  <w:noWrap/>
                  <w:vAlign w:val="center"/>
                </w:tcPr>
                <w:p>
                  <w:pPr>
                    <w:widowControl/>
                    <w:jc w:val="center"/>
                    <w:textAlignment w:val="center"/>
                    <w:rPr>
                      <w:rFonts w:hint="default" w:eastAsia="宋体"/>
                      <w:color w:val="auto"/>
                      <w:sz w:val="21"/>
                      <w:szCs w:val="21"/>
                      <w:highlight w:val="none"/>
                      <w:lang w:val="en-US" w:eastAsia="zh-CN"/>
                    </w:rPr>
                  </w:pPr>
                  <w:r>
                    <w:rPr>
                      <w:rFonts w:hint="eastAsia"/>
                      <w:color w:val="auto"/>
                      <w:kern w:val="0"/>
                      <w:sz w:val="21"/>
                      <w:szCs w:val="21"/>
                      <w:highlight w:val="none"/>
                      <w:lang w:val="en-US" w:eastAsia="zh-CN" w:bidi="ar"/>
                    </w:rPr>
                    <w:t>84644</w:t>
                  </w:r>
                </w:p>
              </w:tc>
              <w:tc>
                <w:tcPr>
                  <w:tcW w:w="1193" w:type="dxa"/>
                  <w:tcBorders>
                    <w:tl2br w:val="nil"/>
                    <w:tr2bl w:val="nil"/>
                  </w:tcBorders>
                  <w:noWrap/>
                  <w:vAlign w:val="center"/>
                </w:tcPr>
                <w:p>
                  <w:pPr>
                    <w:widowControl/>
                    <w:jc w:val="center"/>
                    <w:textAlignment w:val="center"/>
                    <w:rPr>
                      <w:rFonts w:hint="default" w:eastAsia="宋体"/>
                      <w:color w:val="auto"/>
                      <w:sz w:val="21"/>
                      <w:szCs w:val="21"/>
                      <w:highlight w:val="none"/>
                      <w:lang w:val="en-US" w:eastAsia="zh-CN"/>
                    </w:rPr>
                  </w:pPr>
                  <w:r>
                    <w:rPr>
                      <w:rFonts w:hint="eastAsia"/>
                      <w:color w:val="auto"/>
                      <w:kern w:val="0"/>
                      <w:sz w:val="21"/>
                      <w:szCs w:val="21"/>
                      <w:highlight w:val="none"/>
                      <w:lang w:val="en-US" w:eastAsia="zh-CN" w:bidi="ar"/>
                    </w:rPr>
                    <w:t>2754</w:t>
                  </w:r>
                </w:p>
              </w:tc>
              <w:tc>
                <w:tcPr>
                  <w:tcW w:w="1053" w:type="dxa"/>
                  <w:tcBorders>
                    <w:tl2br w:val="nil"/>
                    <w:tr2bl w:val="nil"/>
                  </w:tcBorders>
                  <w:noWrap/>
                  <w:vAlign w:val="center"/>
                </w:tcPr>
                <w:p>
                  <w:pPr>
                    <w:widowControl/>
                    <w:jc w:val="center"/>
                    <w:textAlignment w:val="center"/>
                    <w:rPr>
                      <w:rFonts w:hint="default" w:eastAsia="宋体"/>
                      <w:color w:val="auto"/>
                      <w:sz w:val="21"/>
                      <w:szCs w:val="21"/>
                      <w:highlight w:val="none"/>
                      <w:lang w:val="en-US" w:eastAsia="zh-CN"/>
                    </w:rPr>
                  </w:pPr>
                  <w:r>
                    <w:rPr>
                      <w:rFonts w:hint="eastAsia"/>
                      <w:color w:val="auto"/>
                      <w:kern w:val="0"/>
                      <w:sz w:val="21"/>
                      <w:szCs w:val="21"/>
                      <w:highlight w:val="none"/>
                      <w:lang w:val="en-US" w:eastAsia="zh-CN" w:bidi="ar"/>
                    </w:rPr>
                    <w:t>81890</w:t>
                  </w:r>
                </w:p>
              </w:tc>
              <w:tc>
                <w:tcPr>
                  <w:tcW w:w="896" w:type="dxa"/>
                  <w:tcBorders>
                    <w:tl2br w:val="nil"/>
                    <w:tr2bl w:val="nil"/>
                  </w:tcBorders>
                  <w:noWrap/>
                  <w:vAlign w:val="center"/>
                </w:tcPr>
                <w:p>
                  <w:pPr>
                    <w:jc w:val="center"/>
                    <w:rPr>
                      <w:color w:val="auto"/>
                      <w:sz w:val="21"/>
                      <w:szCs w:val="21"/>
                      <w:highlight w:val="none"/>
                    </w:rPr>
                  </w:pPr>
                </w:p>
              </w:tc>
              <w:tc>
                <w:tcPr>
                  <w:tcW w:w="987" w:type="dxa"/>
                  <w:tcBorders>
                    <w:tl2br w:val="nil"/>
                    <w:tr2bl w:val="nil"/>
                  </w:tcBorders>
                  <w:noWrap/>
                  <w:vAlign w:val="center"/>
                </w:tcPr>
                <w:p>
                  <w:pPr>
                    <w:jc w:val="center"/>
                    <w:rPr>
                      <w:color w:val="auto"/>
                      <w:sz w:val="21"/>
                      <w:szCs w:val="21"/>
                      <w:highlight w:val="none"/>
                    </w:rPr>
                  </w:pP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82" w:firstLineChars="200"/>
              <w:textAlignment w:val="auto"/>
              <w:rPr>
                <w:rFonts w:hint="eastAsia" w:ascii="Times New Roman" w:hAnsi="Times New Roman" w:eastAsia="宋体" w:cs="Times New Roman"/>
                <w:b/>
                <w:bCs/>
                <w:color w:val="auto"/>
                <w:kern w:val="0"/>
                <w:sz w:val="24"/>
                <w:lang w:val="en-US" w:eastAsia="zh-CN" w:bidi="ar"/>
              </w:rPr>
            </w:pPr>
            <w:r>
              <w:rPr>
                <w:rFonts w:hint="eastAsia" w:ascii="Times New Roman" w:hAnsi="Times New Roman" w:eastAsia="宋体" w:cs="Times New Roman"/>
                <w:b/>
                <w:bCs/>
                <w:color w:val="auto"/>
                <w:kern w:val="0"/>
                <w:sz w:val="24"/>
                <w:lang w:val="en-US" w:eastAsia="zh-CN" w:bidi="ar"/>
              </w:rPr>
              <w:t>8、公用工程</w:t>
            </w:r>
          </w:p>
          <w:p>
            <w:pPr>
              <w:adjustRightInd w:val="0"/>
              <w:snapToGrid w:val="0"/>
              <w:spacing w:line="360" w:lineRule="auto"/>
              <w:ind w:firstLine="480" w:firstLineChars="200"/>
              <w:outlineLvl w:val="1"/>
              <w:rPr>
                <w:rFonts w:hint="eastAsia" w:hAnsi="宋体"/>
                <w:color w:val="auto"/>
                <w:sz w:val="24"/>
              </w:rPr>
            </w:pPr>
            <w:r>
              <w:rPr>
                <w:rFonts w:hint="eastAsia" w:hAnsi="宋体"/>
                <w:color w:val="auto"/>
                <w:sz w:val="24"/>
              </w:rPr>
              <w:t>（1）给排水</w:t>
            </w:r>
          </w:p>
          <w:p>
            <w:pPr>
              <w:adjustRightInd w:val="0"/>
              <w:snapToGrid w:val="0"/>
              <w:spacing w:line="360" w:lineRule="auto"/>
              <w:ind w:firstLine="480" w:firstLineChars="200"/>
              <w:outlineLvl w:val="1"/>
              <w:rPr>
                <w:color w:val="auto"/>
                <w:sz w:val="24"/>
              </w:rPr>
            </w:pPr>
            <w:r>
              <w:rPr>
                <w:rFonts w:hint="eastAsia" w:hAnsi="宋体"/>
                <w:color w:val="auto"/>
                <w:sz w:val="24"/>
              </w:rPr>
              <w:t>项目混凝土、预制件等外购，砂石料不</w:t>
            </w:r>
            <w:r>
              <w:rPr>
                <w:rFonts w:hint="eastAsia" w:hAnsi="宋体"/>
                <w:color w:val="auto"/>
                <w:sz w:val="24"/>
                <w:lang w:eastAsia="zh-CN"/>
              </w:rPr>
              <w:t>拌和</w:t>
            </w:r>
            <w:r>
              <w:rPr>
                <w:rFonts w:hint="eastAsia" w:hAnsi="宋体"/>
                <w:color w:val="auto"/>
                <w:sz w:val="24"/>
              </w:rPr>
              <w:t>，不设置</w:t>
            </w:r>
            <w:r>
              <w:rPr>
                <w:rFonts w:hint="eastAsia" w:hAnsi="宋体"/>
                <w:color w:val="auto"/>
                <w:sz w:val="24"/>
                <w:lang w:eastAsia="zh-CN"/>
              </w:rPr>
              <w:t>拌和站</w:t>
            </w:r>
            <w:r>
              <w:rPr>
                <w:rFonts w:hint="eastAsia" w:hAnsi="宋体"/>
                <w:color w:val="auto"/>
                <w:sz w:val="24"/>
              </w:rPr>
              <w:t>及预制件厂，施工期用水主要为施工场地洒水抑尘用水</w:t>
            </w:r>
            <w:r>
              <w:rPr>
                <w:rFonts w:hint="eastAsia" w:hAnsi="宋体"/>
                <w:color w:val="auto"/>
                <w:sz w:val="24"/>
                <w:lang w:eastAsia="zh-CN"/>
              </w:rPr>
              <w:t>和车轮刷洗用水</w:t>
            </w:r>
            <w:r>
              <w:rPr>
                <w:rFonts w:hint="eastAsia" w:hAnsi="宋体"/>
                <w:color w:val="auto"/>
                <w:sz w:val="24"/>
              </w:rPr>
              <w:t>，项目</w:t>
            </w:r>
            <w:r>
              <w:rPr>
                <w:rFonts w:hAnsi="宋体"/>
                <w:color w:val="auto"/>
                <w:sz w:val="24"/>
              </w:rPr>
              <w:t>用水就近</w:t>
            </w:r>
            <w:r>
              <w:rPr>
                <w:rFonts w:hint="eastAsia" w:hAnsi="宋体"/>
                <w:color w:val="auto"/>
                <w:sz w:val="24"/>
              </w:rPr>
              <w:t>拉运自来水</w:t>
            </w:r>
            <w:r>
              <w:rPr>
                <w:rFonts w:hAnsi="宋体"/>
                <w:color w:val="auto"/>
                <w:sz w:val="24"/>
              </w:rPr>
              <w:t>。</w:t>
            </w:r>
          </w:p>
          <w:p>
            <w:pPr>
              <w:adjustRightInd w:val="0"/>
              <w:snapToGrid w:val="0"/>
              <w:spacing w:line="360" w:lineRule="auto"/>
              <w:ind w:firstLine="480" w:firstLineChars="200"/>
              <w:rPr>
                <w:color w:val="auto"/>
                <w:sz w:val="24"/>
              </w:rPr>
            </w:pPr>
            <w:r>
              <w:rPr>
                <w:rFonts w:hint="eastAsia" w:hAnsi="宋体"/>
                <w:color w:val="auto"/>
                <w:sz w:val="24"/>
              </w:rPr>
              <w:t>根据《宁夏回族自治区有关行业用水定额修订的通知》（宁政办规发</w:t>
            </w:r>
            <w:r>
              <w:rPr>
                <w:rFonts w:hint="eastAsia" w:hAnsi="宋体"/>
                <w:color w:val="auto"/>
                <w:sz w:val="24"/>
                <w:lang w:eastAsia="zh-CN"/>
              </w:rPr>
              <w:t>〔</w:t>
            </w:r>
            <w:r>
              <w:rPr>
                <w:rFonts w:hint="eastAsia" w:hAnsi="宋体"/>
                <w:color w:val="auto"/>
                <w:sz w:val="24"/>
              </w:rPr>
              <w:t>2020</w:t>
            </w:r>
            <w:r>
              <w:rPr>
                <w:rFonts w:hint="eastAsia" w:hAnsi="宋体"/>
                <w:color w:val="auto"/>
                <w:sz w:val="24"/>
                <w:lang w:eastAsia="zh-CN"/>
              </w:rPr>
              <w:t>〕</w:t>
            </w:r>
            <w:r>
              <w:rPr>
                <w:rFonts w:hint="eastAsia" w:hAnsi="宋体"/>
                <w:color w:val="auto"/>
                <w:sz w:val="24"/>
              </w:rPr>
              <w:t>20号）</w:t>
            </w:r>
            <w:r>
              <w:rPr>
                <w:color w:val="auto"/>
                <w:sz w:val="24"/>
              </w:rPr>
              <w:t>中第</w:t>
            </w:r>
            <w:r>
              <w:rPr>
                <w:rFonts w:hint="eastAsia"/>
                <w:color w:val="auto"/>
                <w:sz w:val="24"/>
                <w:lang w:val="en-US" w:eastAsia="zh-CN"/>
              </w:rPr>
              <w:t>一</w:t>
            </w:r>
            <w:r>
              <w:rPr>
                <w:color w:val="auto"/>
                <w:sz w:val="24"/>
              </w:rPr>
              <w:t>、</w:t>
            </w:r>
            <w:r>
              <w:rPr>
                <w:rFonts w:hint="eastAsia"/>
                <w:color w:val="auto"/>
                <w:sz w:val="24"/>
                <w:lang w:val="en-US" w:eastAsia="zh-CN"/>
              </w:rPr>
              <w:t>四</w:t>
            </w:r>
            <w:r>
              <w:rPr>
                <w:color w:val="auto"/>
                <w:sz w:val="24"/>
              </w:rPr>
              <w:t>季度场地道路喷洒用水量为2L/m</w:t>
            </w:r>
            <w:r>
              <w:rPr>
                <w:color w:val="auto"/>
                <w:sz w:val="24"/>
                <w:vertAlign w:val="superscript"/>
              </w:rPr>
              <w:t>2</w:t>
            </w:r>
            <w:r>
              <w:rPr>
                <w:b/>
                <w:bCs/>
                <w:color w:val="auto"/>
                <w:sz w:val="24"/>
              </w:rPr>
              <w:t>.</w:t>
            </w:r>
            <w:r>
              <w:rPr>
                <w:color w:val="auto"/>
                <w:sz w:val="24"/>
              </w:rPr>
              <w:t>d，第</w:t>
            </w:r>
            <w:r>
              <w:rPr>
                <w:rFonts w:hint="eastAsia"/>
                <w:color w:val="auto"/>
                <w:sz w:val="24"/>
              </w:rPr>
              <w:t>二</w:t>
            </w:r>
            <w:r>
              <w:rPr>
                <w:color w:val="auto"/>
                <w:sz w:val="24"/>
              </w:rPr>
              <w:t>、</w:t>
            </w:r>
            <w:r>
              <w:rPr>
                <w:rFonts w:hint="eastAsia"/>
                <w:color w:val="auto"/>
                <w:sz w:val="24"/>
              </w:rPr>
              <w:t>三</w:t>
            </w:r>
            <w:r>
              <w:rPr>
                <w:color w:val="auto"/>
                <w:sz w:val="24"/>
              </w:rPr>
              <w:t>季度场地道路喷洒用水量为</w:t>
            </w:r>
            <w:r>
              <w:rPr>
                <w:rFonts w:hint="eastAsia"/>
                <w:color w:val="auto"/>
                <w:sz w:val="24"/>
                <w:lang w:val="en-US" w:eastAsia="zh-CN"/>
              </w:rPr>
              <w:t>0.5</w:t>
            </w:r>
            <w:r>
              <w:rPr>
                <w:color w:val="auto"/>
                <w:sz w:val="24"/>
              </w:rPr>
              <w:t>L/m</w:t>
            </w:r>
            <w:r>
              <w:rPr>
                <w:color w:val="auto"/>
                <w:sz w:val="24"/>
                <w:vertAlign w:val="superscript"/>
              </w:rPr>
              <w:t>2</w:t>
            </w:r>
            <w:r>
              <w:rPr>
                <w:b/>
                <w:bCs/>
                <w:color w:val="auto"/>
                <w:sz w:val="24"/>
              </w:rPr>
              <w:t>.</w:t>
            </w:r>
            <w:r>
              <w:rPr>
                <w:color w:val="auto"/>
                <w:sz w:val="24"/>
              </w:rPr>
              <w:t>d</w:t>
            </w:r>
            <w:r>
              <w:rPr>
                <w:rFonts w:hint="eastAsia"/>
                <w:color w:val="auto"/>
                <w:sz w:val="24"/>
                <w:lang w:eastAsia="zh-CN"/>
              </w:rPr>
              <w:t>。</w:t>
            </w:r>
            <w:r>
              <w:rPr>
                <w:color w:val="auto"/>
                <w:sz w:val="24"/>
              </w:rPr>
              <w:t>项目</w:t>
            </w:r>
            <w:r>
              <w:rPr>
                <w:rFonts w:hint="eastAsia"/>
                <w:color w:val="auto"/>
                <w:sz w:val="24"/>
              </w:rPr>
              <w:t>总</w:t>
            </w:r>
            <w:r>
              <w:rPr>
                <w:color w:val="auto"/>
                <w:sz w:val="24"/>
              </w:rPr>
              <w:t>占地面积为</w:t>
            </w:r>
            <w:r>
              <w:rPr>
                <w:rFonts w:hint="eastAsia" w:hAnsi="宋体"/>
                <w:color w:val="auto"/>
                <w:sz w:val="24"/>
                <w:lang w:val="en-US" w:eastAsia="zh-CN"/>
              </w:rPr>
              <w:t>61.04</w:t>
            </w:r>
            <w:r>
              <w:rPr>
                <w:rFonts w:hint="eastAsia" w:hAnsi="宋体"/>
                <w:color w:val="auto"/>
                <w:sz w:val="24"/>
              </w:rPr>
              <w:t>亩（</w:t>
            </w:r>
            <w:r>
              <w:rPr>
                <w:rFonts w:hint="eastAsia" w:hAnsi="宋体"/>
                <w:color w:val="auto"/>
                <w:sz w:val="24"/>
                <w:lang w:val="en-US" w:eastAsia="zh-CN"/>
              </w:rPr>
              <w:t>4.07</w:t>
            </w:r>
            <w:r>
              <w:rPr>
                <w:rFonts w:hint="eastAsia" w:hAnsi="宋体"/>
                <w:color w:val="auto"/>
                <w:sz w:val="24"/>
              </w:rPr>
              <w:t>hm</w:t>
            </w:r>
            <w:r>
              <w:rPr>
                <w:rFonts w:hAnsi="宋体"/>
                <w:color w:val="auto"/>
                <w:sz w:val="24"/>
                <w:vertAlign w:val="superscript"/>
              </w:rPr>
              <w:t>2</w:t>
            </w:r>
            <w:r>
              <w:rPr>
                <w:rFonts w:hint="eastAsia" w:hAnsi="宋体"/>
                <w:color w:val="auto"/>
                <w:sz w:val="24"/>
              </w:rPr>
              <w:t>）</w:t>
            </w:r>
            <w:r>
              <w:rPr>
                <w:color w:val="auto"/>
                <w:sz w:val="24"/>
              </w:rPr>
              <w:t>，</w:t>
            </w:r>
            <w:r>
              <w:rPr>
                <w:rFonts w:hint="eastAsia" w:hAnsi="宋体"/>
                <w:color w:val="auto"/>
                <w:sz w:val="24"/>
                <w:lang w:eastAsia="zh-CN"/>
              </w:rPr>
              <w:t>施工范围内用水按总面积的</w:t>
            </w:r>
            <w:r>
              <w:rPr>
                <w:rFonts w:hint="eastAsia" w:hAnsi="宋体"/>
                <w:color w:val="auto"/>
                <w:sz w:val="24"/>
                <w:lang w:val="en-US" w:eastAsia="zh-CN"/>
              </w:rPr>
              <w:t>50%计</w:t>
            </w:r>
            <w:r>
              <w:rPr>
                <w:color w:val="auto"/>
                <w:sz w:val="24"/>
              </w:rPr>
              <w:t>，项目施工期为</w:t>
            </w:r>
            <w:r>
              <w:rPr>
                <w:rFonts w:hint="eastAsia"/>
                <w:color w:val="auto"/>
                <w:sz w:val="24"/>
                <w:lang w:val="en-US" w:eastAsia="zh-CN"/>
              </w:rPr>
              <w:t>2</w:t>
            </w:r>
            <w:r>
              <w:rPr>
                <w:color w:val="auto"/>
                <w:sz w:val="24"/>
              </w:rPr>
              <w:t>个月（</w:t>
            </w:r>
            <w:r>
              <w:rPr>
                <w:rFonts w:hint="eastAsia"/>
                <w:color w:val="auto"/>
                <w:sz w:val="24"/>
                <w:lang w:val="en-US" w:eastAsia="zh-CN"/>
              </w:rPr>
              <w:t>60</w:t>
            </w:r>
            <w:r>
              <w:rPr>
                <w:color w:val="auto"/>
                <w:sz w:val="24"/>
              </w:rPr>
              <w:t>天），施工期</w:t>
            </w:r>
            <w:r>
              <w:rPr>
                <w:rFonts w:hint="eastAsia"/>
                <w:color w:val="auto"/>
                <w:sz w:val="24"/>
              </w:rPr>
              <w:t>洒水抑尘</w:t>
            </w:r>
            <w:r>
              <w:rPr>
                <w:color w:val="auto"/>
                <w:sz w:val="24"/>
              </w:rPr>
              <w:t>用水量为</w:t>
            </w:r>
            <w:r>
              <w:rPr>
                <w:rFonts w:hint="eastAsia"/>
                <w:color w:val="auto"/>
                <w:sz w:val="24"/>
                <w:lang w:val="en-US" w:eastAsia="zh-CN"/>
              </w:rPr>
              <w:t>2442</w:t>
            </w:r>
            <w:r>
              <w:rPr>
                <w:color w:val="auto"/>
                <w:sz w:val="24"/>
              </w:rPr>
              <w:t>m</w:t>
            </w:r>
            <w:r>
              <w:rPr>
                <w:color w:val="auto"/>
                <w:sz w:val="24"/>
                <w:vertAlign w:val="superscript"/>
              </w:rPr>
              <w:t>3</w:t>
            </w:r>
            <w:r>
              <w:rPr>
                <w:rFonts w:hint="eastAsia"/>
                <w:color w:val="auto"/>
                <w:sz w:val="24"/>
              </w:rPr>
              <w:t>，采用新鲜水</w:t>
            </w:r>
            <w:r>
              <w:rPr>
                <w:color w:val="auto"/>
                <w:sz w:val="24"/>
              </w:rPr>
              <w:t>。</w:t>
            </w:r>
          </w:p>
          <w:p>
            <w:pPr>
              <w:adjustRightInd w:val="0"/>
              <w:snapToGrid w:val="0"/>
              <w:spacing w:line="360" w:lineRule="auto"/>
              <w:ind w:firstLine="480" w:firstLineChars="200"/>
              <w:rPr>
                <w:rFonts w:hint="eastAsia" w:hAnsi="宋体"/>
                <w:color w:val="auto"/>
                <w:sz w:val="24"/>
              </w:rPr>
            </w:pPr>
            <w:r>
              <w:rPr>
                <w:rFonts w:hint="eastAsia"/>
                <w:color w:val="auto"/>
                <w:sz w:val="24"/>
              </w:rPr>
              <w:t>本项目不设置专门的机修厂，只在施工营地布设施工机械停放场</w:t>
            </w:r>
            <w:r>
              <w:rPr>
                <w:rFonts w:hint="eastAsia"/>
                <w:color w:val="auto"/>
                <w:sz w:val="24"/>
                <w:lang w:eastAsia="zh-CN"/>
              </w:rPr>
              <w:t>，</w:t>
            </w:r>
            <w:r>
              <w:rPr>
                <w:rFonts w:hint="eastAsia"/>
                <w:color w:val="auto"/>
                <w:sz w:val="24"/>
                <w:lang w:val="en-US" w:eastAsia="zh-CN"/>
              </w:rPr>
              <w:t>不进行机械车辆的维修保养</w:t>
            </w:r>
            <w:r>
              <w:rPr>
                <w:rFonts w:hint="eastAsia"/>
                <w:color w:val="auto"/>
                <w:sz w:val="24"/>
              </w:rPr>
              <w:t>。根据</w:t>
            </w:r>
            <w:r>
              <w:rPr>
                <w:rFonts w:hint="eastAsia" w:hAnsi="宋体"/>
                <w:color w:val="auto"/>
                <w:sz w:val="24"/>
              </w:rPr>
              <w:t>《宁夏回族自治区大气污染防治条例》“在施工现场出口处设置车辆冲洗设施并配套设置排水、泥浆沉淀设施，施工车辆不得带泥上路行驶，施工现场道路以及出口周边的道路不得存留建筑垃圾和泥土。”</w:t>
            </w:r>
            <w:r>
              <w:rPr>
                <w:rFonts w:hint="eastAsia"/>
                <w:color w:val="auto"/>
                <w:sz w:val="24"/>
              </w:rPr>
              <w:t>施工场地设置</w:t>
            </w:r>
            <w:r>
              <w:rPr>
                <w:rFonts w:hint="eastAsia"/>
                <w:color w:val="auto"/>
                <w:sz w:val="24"/>
                <w:lang w:val="en-US" w:eastAsia="zh-CN"/>
              </w:rPr>
              <w:t>草垫子及洒水装置</w:t>
            </w:r>
            <w:r>
              <w:rPr>
                <w:color w:val="auto"/>
                <w:sz w:val="24"/>
              </w:rPr>
              <w:t>对出入工地的运输车辆</w:t>
            </w:r>
            <w:r>
              <w:rPr>
                <w:rFonts w:hint="eastAsia"/>
                <w:color w:val="auto"/>
                <w:sz w:val="24"/>
              </w:rPr>
              <w:t>轮胎进行</w:t>
            </w:r>
            <w:r>
              <w:rPr>
                <w:rFonts w:hint="eastAsia"/>
                <w:color w:val="auto"/>
                <w:sz w:val="24"/>
                <w:lang w:eastAsia="zh-CN"/>
              </w:rPr>
              <w:t>刷</w:t>
            </w:r>
            <w:r>
              <w:rPr>
                <w:color w:val="auto"/>
                <w:sz w:val="24"/>
              </w:rPr>
              <w:t>洗，不得携带泥土驶出施工</w:t>
            </w:r>
            <w:r>
              <w:rPr>
                <w:rFonts w:hint="eastAsia"/>
                <w:color w:val="auto"/>
                <w:sz w:val="24"/>
              </w:rPr>
              <w:t>场地，施工车辆车轮</w:t>
            </w:r>
            <w:r>
              <w:rPr>
                <w:rFonts w:hint="eastAsia"/>
                <w:color w:val="auto"/>
                <w:sz w:val="24"/>
                <w:lang w:eastAsia="zh-CN"/>
              </w:rPr>
              <w:t>刷</w:t>
            </w:r>
            <w:r>
              <w:rPr>
                <w:rFonts w:hint="eastAsia"/>
                <w:color w:val="auto"/>
                <w:sz w:val="24"/>
              </w:rPr>
              <w:t>洗废水</w:t>
            </w:r>
            <w:r>
              <w:rPr>
                <w:rFonts w:hint="eastAsia" w:hAnsi="宋体"/>
                <w:color w:val="auto"/>
                <w:sz w:val="24"/>
                <w:lang w:val="en-US" w:eastAsia="zh-CN"/>
              </w:rPr>
              <w:t>蒸发损耗</w:t>
            </w:r>
            <w:r>
              <w:rPr>
                <w:rFonts w:hint="eastAsia" w:hAnsi="宋体"/>
                <w:color w:val="auto"/>
                <w:sz w:val="24"/>
              </w:rPr>
              <w:t>不外排，</w:t>
            </w:r>
            <w:r>
              <w:rPr>
                <w:rFonts w:hint="eastAsia" w:hAnsi="宋体"/>
                <w:color w:val="auto"/>
                <w:sz w:val="24"/>
                <w:lang w:eastAsia="zh-CN"/>
              </w:rPr>
              <w:t>刷</w:t>
            </w:r>
            <w:r>
              <w:rPr>
                <w:rFonts w:hint="eastAsia" w:hAnsi="宋体"/>
                <w:color w:val="auto"/>
                <w:sz w:val="24"/>
              </w:rPr>
              <w:t>洗</w:t>
            </w:r>
            <w:r>
              <w:rPr>
                <w:rFonts w:hint="eastAsia" w:hAnsi="宋体"/>
                <w:color w:val="auto"/>
                <w:sz w:val="24"/>
                <w:lang w:val="en-US" w:eastAsia="zh-CN"/>
              </w:rPr>
              <w:t>用水</w:t>
            </w:r>
            <w:r>
              <w:rPr>
                <w:rFonts w:hint="eastAsia" w:hAnsi="宋体"/>
                <w:color w:val="auto"/>
                <w:sz w:val="24"/>
              </w:rPr>
              <w:t>用量约为</w:t>
            </w:r>
            <w:r>
              <w:rPr>
                <w:rFonts w:hint="eastAsia" w:hAnsi="宋体"/>
                <w:color w:val="auto"/>
                <w:sz w:val="24"/>
                <w:lang w:val="en-US" w:eastAsia="zh-CN"/>
              </w:rPr>
              <w:t>180</w:t>
            </w:r>
            <w:r>
              <w:rPr>
                <w:rFonts w:hint="eastAsia" w:hAnsi="宋体"/>
                <w:color w:val="auto"/>
                <w:sz w:val="24"/>
              </w:rPr>
              <w:t>m</w:t>
            </w:r>
            <w:r>
              <w:rPr>
                <w:rFonts w:hAnsi="宋体"/>
                <w:color w:val="auto"/>
                <w:sz w:val="24"/>
                <w:vertAlign w:val="superscript"/>
              </w:rPr>
              <w:t>3</w:t>
            </w:r>
            <w:r>
              <w:rPr>
                <w:rFonts w:hint="eastAsia"/>
                <w:color w:val="auto"/>
                <w:sz w:val="24"/>
              </w:rPr>
              <w:t>。</w:t>
            </w:r>
          </w:p>
          <w:p>
            <w:pPr>
              <w:adjustRightInd w:val="0"/>
              <w:snapToGrid w:val="0"/>
              <w:spacing w:line="360" w:lineRule="auto"/>
              <w:ind w:firstLine="480" w:firstLineChars="200"/>
              <w:rPr>
                <w:rFonts w:hAnsi="宋体"/>
                <w:color w:val="auto"/>
                <w:sz w:val="24"/>
              </w:rPr>
            </w:pPr>
            <w:r>
              <w:rPr>
                <w:rFonts w:hint="eastAsia" w:hAnsi="宋体"/>
                <w:color w:val="auto"/>
                <w:sz w:val="24"/>
              </w:rPr>
              <w:t>（2）排水</w:t>
            </w:r>
          </w:p>
          <w:p>
            <w:pPr>
              <w:adjustRightInd w:val="0"/>
              <w:snapToGrid w:val="0"/>
              <w:spacing w:line="360" w:lineRule="auto"/>
              <w:ind w:firstLine="480" w:firstLineChars="200"/>
              <w:rPr>
                <w:rFonts w:hAnsi="宋体"/>
                <w:color w:val="auto"/>
                <w:sz w:val="24"/>
              </w:rPr>
            </w:pPr>
            <w:r>
              <w:rPr>
                <w:rFonts w:hint="eastAsia" w:hAnsi="宋体"/>
                <w:color w:val="auto"/>
                <w:sz w:val="24"/>
              </w:rPr>
              <w:t>施工期洒水抑尘用水经地表蒸发损耗，无废水产生</w:t>
            </w:r>
            <w:r>
              <w:rPr>
                <w:rFonts w:hint="eastAsia" w:hAnsi="宋体"/>
                <w:color w:val="auto"/>
                <w:sz w:val="24"/>
                <w:lang w:eastAsia="zh-CN"/>
              </w:rPr>
              <w:t>；施工期车辆出入，设置草垫子及草垫子洒水对出入车辆轮胎刷洗，</w:t>
            </w:r>
            <w:r>
              <w:rPr>
                <w:rFonts w:hint="eastAsia" w:hAnsi="宋体"/>
                <w:color w:val="auto"/>
                <w:sz w:val="24"/>
                <w:lang w:val="en-US" w:eastAsia="zh-CN"/>
              </w:rPr>
              <w:t>车轮刷洗废水蒸发损耗不外排，无废水产生</w:t>
            </w:r>
            <w:r>
              <w:rPr>
                <w:rFonts w:hint="eastAsia" w:hAnsi="宋体"/>
                <w:color w:val="auto"/>
                <w:sz w:val="24"/>
              </w:rPr>
              <w:t>。</w:t>
            </w:r>
          </w:p>
          <w:p>
            <w:pPr>
              <w:adjustRightInd w:val="0"/>
              <w:snapToGrid w:val="0"/>
              <w:spacing w:line="360" w:lineRule="auto"/>
              <w:ind w:firstLine="480" w:firstLineChars="200"/>
              <w:rPr>
                <w:rFonts w:hAnsi="宋体"/>
                <w:color w:val="auto"/>
                <w:sz w:val="24"/>
              </w:rPr>
            </w:pPr>
            <w:r>
              <w:rPr>
                <w:rFonts w:hint="eastAsia" w:hAnsi="宋体"/>
                <w:color w:val="auto"/>
                <w:sz w:val="24"/>
              </w:rPr>
              <w:t>（</w:t>
            </w:r>
            <w:r>
              <w:rPr>
                <w:rFonts w:hint="eastAsia" w:hAnsi="宋体"/>
                <w:color w:val="auto"/>
                <w:sz w:val="24"/>
                <w:lang w:val="en-US" w:eastAsia="zh-CN"/>
              </w:rPr>
              <w:t>3</w:t>
            </w:r>
            <w:r>
              <w:rPr>
                <w:rFonts w:hint="eastAsia" w:hAnsi="宋体"/>
                <w:color w:val="auto"/>
                <w:sz w:val="24"/>
              </w:rPr>
              <w:t>）供电</w:t>
            </w:r>
          </w:p>
          <w:p>
            <w:pPr>
              <w:adjustRightInd w:val="0"/>
              <w:snapToGrid w:val="0"/>
              <w:spacing w:line="360" w:lineRule="auto"/>
              <w:ind w:firstLine="480" w:firstLineChars="200"/>
              <w:rPr>
                <w:rFonts w:hint="default" w:ascii="Times New Roman" w:hAnsi="Times New Roman" w:cs="Times New Roman"/>
                <w:color w:val="auto"/>
                <w:kern w:val="0"/>
                <w:szCs w:val="21"/>
              </w:rPr>
            </w:pPr>
            <w:r>
              <w:rPr>
                <w:rFonts w:hint="eastAsia" w:ascii="Times New Roman" w:hAnsi="宋体" w:eastAsia="宋体" w:cs="Times New Roman"/>
                <w:color w:val="auto"/>
                <w:sz w:val="24"/>
              </w:rPr>
              <w:t>项目用电由附近供电电网供给。</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53" w:hRule="atLeast"/>
          <w:jc w:val="center"/>
        </w:trPr>
        <w:tc>
          <w:tcPr>
            <w:tcW w:w="804"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总平面及现场布置</w:t>
            </w:r>
          </w:p>
        </w:tc>
        <w:tc>
          <w:tcPr>
            <w:tcW w:w="7718" w:type="dxa"/>
            <w:vAlign w:val="center"/>
          </w:tcPr>
          <w:p>
            <w:pPr>
              <w:autoSpaceDE w:val="0"/>
              <w:autoSpaceDN w:val="0"/>
              <w:adjustRightInd w:val="0"/>
              <w:snapToGrid w:val="0"/>
              <w:spacing w:before="120" w:beforeLines="50" w:line="360" w:lineRule="auto"/>
              <w:ind w:firstLine="482" w:firstLineChars="200"/>
              <w:rPr>
                <w:rFonts w:hint="default" w:ascii="Times New Roman" w:hAnsi="Times New Roman" w:cs="Times New Roman"/>
                <w:b/>
                <w:color w:val="auto"/>
                <w:kern w:val="0"/>
                <w:sz w:val="24"/>
              </w:rPr>
            </w:pPr>
            <w:r>
              <w:rPr>
                <w:rFonts w:hint="default" w:ascii="Times New Roman" w:hAnsi="Times New Roman" w:cs="Times New Roman"/>
                <w:b/>
                <w:color w:val="auto"/>
                <w:kern w:val="0"/>
                <w:sz w:val="24"/>
              </w:rPr>
              <w:t>1、工程总体布置</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本工程工程布置主要分两部分，第一部分为续建排洪槽工程布置；第二部分为边坡整治工程布置。</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1.排洪槽工程布置：拆除一期工程下游沟道防护30m（现状损毁严重），在一期消力池末端续建排洪槽至冲沟底，陡槽段前段略偏向于左岸山坡方向布置，陡槽末端至冲沟底后，沿现状冲沟主沟方向布置，平面平顺转弯，汇入折腰沟主沟，本次工程共完成续建排洪槽1条（长度130m），新建沟道防护65.81m（海漫及下游沟道防护段）；</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2.边坡防护工程布置：结合排洪建筑物开挖，形成两岸永久安全边坡，永久开挖边坡坡比1:</w:t>
            </w:r>
            <w:r>
              <w:rPr>
                <w:rFonts w:hint="default" w:ascii="Times New Roman" w:hAnsi="Times New Roman" w:eastAsia="宋体" w:cs="Times New Roman"/>
                <w:color w:val="auto"/>
                <w:kern w:val="0"/>
                <w:sz w:val="24"/>
                <w:szCs w:val="24"/>
                <w:lang w:val="en-US" w:eastAsia="zh-CN"/>
              </w:rPr>
              <w:t>1.5</w:t>
            </w:r>
            <w:r>
              <w:rPr>
                <w:rFonts w:hint="eastAsia" w:ascii="Times New Roman" w:hAnsi="Times New Roman" w:eastAsia="宋体" w:cs="Times New Roman"/>
                <w:color w:val="auto"/>
                <w:kern w:val="0"/>
                <w:sz w:val="24"/>
                <w:szCs w:val="24"/>
                <w:lang w:val="en-US" w:eastAsia="zh-CN"/>
              </w:rPr>
              <w:t>，每5m高设置1级马道，马道宽度2.0m，边坡底高程以排洪槽和消力池的侧墙顶高程作为控制，边坡整治10433m</w:t>
            </w:r>
            <w:r>
              <w:rPr>
                <w:rFonts w:hint="eastAsia" w:ascii="Times New Roman" w:hAnsi="Times New Roman" w:eastAsia="宋体" w:cs="Times New Roman"/>
                <w:color w:val="auto"/>
                <w:kern w:val="0"/>
                <w:sz w:val="24"/>
                <w:szCs w:val="24"/>
                <w:vertAlign w:val="superscript"/>
                <w:lang w:val="en-US" w:eastAsia="zh-CN"/>
              </w:rPr>
              <w:t>2</w:t>
            </w:r>
            <w:r>
              <w:rPr>
                <w:rFonts w:hint="eastAsia" w:ascii="Times New Roman" w:hAnsi="Times New Roman" w:eastAsia="宋体" w:cs="Times New Roman"/>
                <w:color w:val="auto"/>
                <w:kern w:val="0"/>
                <w:sz w:val="24"/>
                <w:szCs w:val="24"/>
                <w:lang w:val="en-US" w:eastAsia="zh-CN"/>
              </w:rPr>
              <w:t>（新建边坡排水沟920m）。</w:t>
            </w:r>
          </w:p>
          <w:p>
            <w:pPr>
              <w:autoSpaceDE w:val="0"/>
              <w:autoSpaceDN w:val="0"/>
              <w:adjustRightInd w:val="0"/>
              <w:snapToGrid w:val="0"/>
              <w:spacing w:line="360" w:lineRule="auto"/>
              <w:ind w:firstLine="482" w:firstLineChars="200"/>
              <w:rPr>
                <w:rFonts w:hint="default" w:ascii="Times New Roman" w:hAnsi="Times New Roman" w:cs="Times New Roman"/>
                <w:b/>
                <w:color w:val="auto"/>
                <w:kern w:val="0"/>
                <w:sz w:val="24"/>
              </w:rPr>
            </w:pPr>
            <w:r>
              <w:rPr>
                <w:rFonts w:hint="default" w:ascii="Times New Roman" w:hAnsi="Times New Roman" w:cs="Times New Roman"/>
                <w:b/>
                <w:color w:val="auto"/>
                <w:kern w:val="0"/>
                <w:sz w:val="24"/>
              </w:rPr>
              <w:t>2、施工布置</w:t>
            </w:r>
          </w:p>
          <w:p>
            <w:pPr>
              <w:pStyle w:val="6"/>
              <w:spacing w:line="360" w:lineRule="auto"/>
              <w:rPr>
                <w:rFonts w:hint="eastAsia"/>
                <w:color w:val="auto"/>
                <w:sz w:val="24"/>
                <w:szCs w:val="24"/>
              </w:rPr>
            </w:pPr>
            <w:r>
              <w:rPr>
                <w:rFonts w:hint="default" w:ascii="Times New Roman" w:hAnsi="Times New Roman" w:eastAsia="宋体" w:cs="Times New Roman"/>
                <w:color w:val="auto"/>
                <w:kern w:val="0"/>
                <w:sz w:val="24"/>
              </w:rPr>
              <w:t>根</w:t>
            </w:r>
            <w:r>
              <w:rPr>
                <w:rFonts w:hint="eastAsia"/>
                <w:color w:val="auto"/>
                <w:sz w:val="24"/>
                <w:szCs w:val="24"/>
              </w:rPr>
              <w:t>本工程工区附近地势平坦，场地开阔，生产生活设施布置方便，布置时应遵循工厂规模小而精的原则，根据</w:t>
            </w:r>
            <w:r>
              <w:rPr>
                <w:rFonts w:hint="eastAsia"/>
                <w:color w:val="auto"/>
                <w:sz w:val="24"/>
                <w:szCs w:val="24"/>
                <w:lang w:eastAsia="zh-CN"/>
              </w:rPr>
              <w:t>工区</w:t>
            </w:r>
            <w:r>
              <w:rPr>
                <w:rFonts w:hint="eastAsia"/>
                <w:color w:val="auto"/>
                <w:sz w:val="24"/>
                <w:szCs w:val="24"/>
              </w:rPr>
              <w:t>地形特点，本着便于生产、生活、方便管理、经济合理的原则，充分利用空地，以集中式布置为主。</w:t>
            </w:r>
          </w:p>
          <w:p>
            <w:pPr>
              <w:pStyle w:val="6"/>
              <w:spacing w:line="360" w:lineRule="auto"/>
              <w:rPr>
                <w:rFonts w:hint="eastAsia"/>
                <w:color w:val="auto"/>
                <w:sz w:val="24"/>
                <w:szCs w:val="24"/>
              </w:rPr>
            </w:pPr>
            <w:r>
              <w:rPr>
                <w:rFonts w:hint="eastAsia"/>
                <w:color w:val="auto"/>
                <w:sz w:val="24"/>
                <w:szCs w:val="24"/>
              </w:rPr>
              <w:t>（</w:t>
            </w:r>
            <w:r>
              <w:rPr>
                <w:color w:val="auto"/>
                <w:sz w:val="24"/>
                <w:szCs w:val="24"/>
              </w:rPr>
              <w:t>1</w:t>
            </w:r>
            <w:r>
              <w:rPr>
                <w:rFonts w:hint="eastAsia"/>
                <w:color w:val="auto"/>
                <w:sz w:val="24"/>
                <w:szCs w:val="24"/>
              </w:rPr>
              <w:t>）场外交通</w:t>
            </w:r>
          </w:p>
          <w:p>
            <w:pPr>
              <w:pStyle w:val="6"/>
              <w:spacing w:line="360" w:lineRule="auto"/>
              <w:rPr>
                <w:rFonts w:hint="eastAsia"/>
                <w:color w:val="auto"/>
                <w:sz w:val="24"/>
                <w:szCs w:val="24"/>
              </w:rPr>
            </w:pPr>
            <w:r>
              <w:rPr>
                <w:rFonts w:hint="eastAsia"/>
                <w:color w:val="auto"/>
                <w:sz w:val="24"/>
                <w:szCs w:val="24"/>
              </w:rPr>
              <w:t>项目区工程区有周边乡道、村庄内巷道纵横，</w:t>
            </w:r>
            <w:r>
              <w:rPr>
                <w:rFonts w:hint="eastAsia"/>
                <w:color w:val="auto"/>
                <w:sz w:val="24"/>
                <w:szCs w:val="24"/>
                <w:lang w:eastAsia="zh-CN"/>
              </w:rPr>
              <w:t>交通</w:t>
            </w:r>
            <w:r>
              <w:rPr>
                <w:rFonts w:hint="eastAsia"/>
                <w:color w:val="auto"/>
                <w:sz w:val="24"/>
                <w:szCs w:val="24"/>
              </w:rPr>
              <w:t>便利。</w:t>
            </w:r>
          </w:p>
          <w:p>
            <w:pPr>
              <w:pStyle w:val="6"/>
              <w:spacing w:line="360" w:lineRule="auto"/>
              <w:rPr>
                <w:rFonts w:hint="eastAsia"/>
                <w:color w:val="auto"/>
                <w:sz w:val="24"/>
                <w:szCs w:val="24"/>
              </w:rPr>
            </w:pPr>
            <w:r>
              <w:rPr>
                <w:rFonts w:hint="eastAsia"/>
                <w:color w:val="auto"/>
                <w:sz w:val="24"/>
                <w:szCs w:val="24"/>
              </w:rPr>
              <w:t>（</w:t>
            </w:r>
            <w:r>
              <w:rPr>
                <w:color w:val="auto"/>
                <w:sz w:val="24"/>
                <w:szCs w:val="24"/>
              </w:rPr>
              <w:t>2</w:t>
            </w:r>
            <w:r>
              <w:rPr>
                <w:rFonts w:hint="eastAsia"/>
                <w:color w:val="auto"/>
                <w:sz w:val="24"/>
                <w:szCs w:val="24"/>
              </w:rPr>
              <w:t>）场内交通</w:t>
            </w:r>
          </w:p>
          <w:p>
            <w:pPr>
              <w:pStyle w:val="6"/>
              <w:spacing w:line="360" w:lineRule="auto"/>
              <w:rPr>
                <w:rFonts w:hint="default" w:eastAsia="宋体"/>
                <w:color w:val="auto"/>
                <w:sz w:val="24"/>
                <w:szCs w:val="24"/>
                <w:lang w:val="en-US" w:eastAsia="zh-CN"/>
              </w:rPr>
            </w:pPr>
            <w:r>
              <w:rPr>
                <w:rFonts w:hint="eastAsia"/>
                <w:color w:val="auto"/>
                <w:sz w:val="24"/>
                <w:szCs w:val="24"/>
              </w:rPr>
              <w:t>施工期间场内运输以土、石料的运输为主，兼有施工机械设备及人员的进场要求，需修建场内临时施工道路</w:t>
            </w:r>
            <w:r>
              <w:rPr>
                <w:rFonts w:hint="eastAsia"/>
                <w:color w:val="auto"/>
                <w:sz w:val="24"/>
                <w:szCs w:val="24"/>
                <w:lang w:val="en-US" w:eastAsia="zh-CN"/>
              </w:rPr>
              <w:t>。</w:t>
            </w:r>
          </w:p>
          <w:p>
            <w:pPr>
              <w:pStyle w:val="6"/>
              <w:spacing w:line="360" w:lineRule="auto"/>
              <w:rPr>
                <w:rFonts w:hint="default" w:eastAsia="宋体"/>
                <w:color w:val="auto"/>
                <w:sz w:val="24"/>
                <w:szCs w:val="24"/>
                <w:lang w:val="en-US" w:eastAsia="zh-CN"/>
              </w:rPr>
            </w:pPr>
            <w:r>
              <w:rPr>
                <w:rFonts w:hint="eastAsia"/>
                <w:color w:val="auto"/>
                <w:sz w:val="24"/>
                <w:szCs w:val="24"/>
                <w:lang w:eastAsia="zh-CN"/>
              </w:rPr>
              <w:t>（</w:t>
            </w:r>
            <w:r>
              <w:rPr>
                <w:rFonts w:hint="eastAsia"/>
                <w:color w:val="auto"/>
                <w:sz w:val="24"/>
                <w:szCs w:val="24"/>
                <w:lang w:val="en-US" w:eastAsia="zh-CN"/>
              </w:rPr>
              <w:t>3</w:t>
            </w:r>
            <w:r>
              <w:rPr>
                <w:rFonts w:hint="eastAsia"/>
                <w:color w:val="auto"/>
                <w:sz w:val="24"/>
                <w:szCs w:val="24"/>
                <w:lang w:eastAsia="zh-CN"/>
              </w:rPr>
              <w:t>）</w:t>
            </w:r>
            <w:r>
              <w:rPr>
                <w:rFonts w:hint="eastAsia"/>
                <w:color w:val="auto"/>
                <w:sz w:val="24"/>
                <w:szCs w:val="24"/>
                <w:lang w:val="en-US" w:eastAsia="zh-CN"/>
              </w:rPr>
              <w:t>临时施工道路</w:t>
            </w:r>
          </w:p>
          <w:p>
            <w:pPr>
              <w:pStyle w:val="6"/>
              <w:spacing w:line="360" w:lineRule="auto"/>
              <w:rPr>
                <w:rFonts w:hint="eastAsia"/>
                <w:color w:val="auto"/>
                <w:sz w:val="24"/>
                <w:szCs w:val="24"/>
                <w:lang w:val="en-US" w:eastAsia="zh-CN"/>
              </w:rPr>
            </w:pPr>
            <w:r>
              <w:rPr>
                <w:rFonts w:hint="eastAsia"/>
                <w:color w:val="auto"/>
                <w:sz w:val="24"/>
                <w:szCs w:val="24"/>
                <w:lang w:val="en-US" w:eastAsia="zh-CN"/>
              </w:rPr>
              <w:t>新建施工道路1.1km，路面宽5m，占地面积8.25亩（5500m</w:t>
            </w:r>
            <w:r>
              <w:rPr>
                <w:rFonts w:hint="eastAsia"/>
                <w:color w:val="auto"/>
                <w:sz w:val="24"/>
                <w:szCs w:val="24"/>
                <w:vertAlign w:val="superscript"/>
                <w:lang w:val="en-US" w:eastAsia="zh-CN"/>
              </w:rPr>
              <w:t>2</w:t>
            </w:r>
            <w:r>
              <w:rPr>
                <w:rFonts w:hint="eastAsia"/>
                <w:color w:val="auto"/>
                <w:sz w:val="24"/>
                <w:szCs w:val="24"/>
                <w:lang w:val="en-US" w:eastAsia="zh-CN"/>
              </w:rPr>
              <w:t>），砂砾石路面，项目施工结束后对临时施工道路进行整治。</w:t>
            </w:r>
          </w:p>
          <w:p>
            <w:pPr>
              <w:pStyle w:val="6"/>
              <w:spacing w:line="360" w:lineRule="auto"/>
              <w:rPr>
                <w:color w:val="auto"/>
                <w:sz w:val="24"/>
                <w:szCs w:val="24"/>
              </w:rPr>
            </w:pPr>
            <w:r>
              <w:rPr>
                <w:rFonts w:hint="eastAsia"/>
                <w:color w:val="auto"/>
                <w:sz w:val="24"/>
                <w:szCs w:val="24"/>
              </w:rPr>
              <w:t>（</w:t>
            </w:r>
            <w:r>
              <w:rPr>
                <w:rFonts w:hint="eastAsia"/>
                <w:color w:val="auto"/>
                <w:sz w:val="24"/>
                <w:szCs w:val="24"/>
                <w:lang w:val="en-US" w:eastAsia="zh-CN"/>
              </w:rPr>
              <w:t>4</w:t>
            </w:r>
            <w:r>
              <w:rPr>
                <w:rFonts w:hint="eastAsia"/>
                <w:color w:val="auto"/>
                <w:sz w:val="24"/>
                <w:szCs w:val="24"/>
              </w:rPr>
              <w:t>）施工营地</w:t>
            </w:r>
          </w:p>
          <w:p>
            <w:pPr>
              <w:pStyle w:val="6"/>
              <w:spacing w:line="360" w:lineRule="auto"/>
              <w:rPr>
                <w:rFonts w:hint="default" w:eastAsia="宋体"/>
                <w:color w:val="auto"/>
                <w:sz w:val="24"/>
                <w:szCs w:val="24"/>
                <w:lang w:val="en-US" w:eastAsia="zh-CN"/>
              </w:rPr>
            </w:pPr>
            <w:r>
              <w:rPr>
                <w:rFonts w:hint="eastAsia"/>
                <w:color w:val="auto"/>
                <w:sz w:val="24"/>
                <w:szCs w:val="24"/>
                <w:lang w:val="en-US" w:eastAsia="zh-CN"/>
              </w:rPr>
              <w:t>项目设置施工营地1处，占地面积为2700m</w:t>
            </w:r>
            <w:r>
              <w:rPr>
                <w:rFonts w:hint="eastAsia"/>
                <w:color w:val="auto"/>
                <w:sz w:val="24"/>
                <w:szCs w:val="24"/>
                <w:vertAlign w:val="superscript"/>
                <w:lang w:val="en-US" w:eastAsia="zh-CN"/>
              </w:rPr>
              <w:t>2</w:t>
            </w:r>
            <w:r>
              <w:rPr>
                <w:rFonts w:hint="eastAsia"/>
                <w:color w:val="auto"/>
                <w:sz w:val="24"/>
                <w:szCs w:val="24"/>
                <w:lang w:val="en-US" w:eastAsia="zh-CN"/>
              </w:rPr>
              <w:t>，租用附近民房，施工营地设有机械停放场、施工仓库、施工办公区</w:t>
            </w:r>
            <w:r>
              <w:rPr>
                <w:rFonts w:hint="eastAsia"/>
                <w:color w:val="auto"/>
                <w:sz w:val="24"/>
                <w:szCs w:val="24"/>
              </w:rPr>
              <w:t>。</w:t>
            </w:r>
            <w:r>
              <w:rPr>
                <w:rFonts w:hint="eastAsia"/>
                <w:color w:val="auto"/>
                <w:sz w:val="24"/>
                <w:szCs w:val="24"/>
                <w:lang w:val="en-US" w:eastAsia="zh-CN"/>
              </w:rPr>
              <w:t>本次不设置综合加工厂及混凝土拌和站，混凝土及预制件等均外购。</w:t>
            </w:r>
          </w:p>
          <w:p>
            <w:pPr>
              <w:pStyle w:val="6"/>
              <w:spacing w:line="360" w:lineRule="auto"/>
              <w:rPr>
                <w:rFonts w:hint="eastAsia"/>
                <w:color w:val="auto"/>
                <w:sz w:val="24"/>
                <w:szCs w:val="24"/>
              </w:rPr>
            </w:pPr>
            <w:r>
              <w:rPr>
                <w:rFonts w:hint="eastAsia"/>
                <w:color w:val="auto"/>
                <w:sz w:val="24"/>
                <w:szCs w:val="24"/>
              </w:rPr>
              <w:t>①机械停放场</w:t>
            </w:r>
          </w:p>
          <w:p>
            <w:pPr>
              <w:pStyle w:val="6"/>
              <w:spacing w:line="360" w:lineRule="auto"/>
              <w:rPr>
                <w:rFonts w:hint="eastAsia"/>
                <w:color w:val="auto"/>
                <w:sz w:val="24"/>
                <w:szCs w:val="24"/>
              </w:rPr>
            </w:pPr>
            <w:r>
              <w:rPr>
                <w:rFonts w:hint="eastAsia"/>
                <w:color w:val="auto"/>
                <w:sz w:val="24"/>
                <w:szCs w:val="24"/>
              </w:rPr>
              <w:t>机械停放</w:t>
            </w:r>
            <w:r>
              <w:rPr>
                <w:rFonts w:hint="eastAsia"/>
                <w:color w:val="auto"/>
                <w:sz w:val="24"/>
                <w:szCs w:val="24"/>
                <w:lang w:eastAsia="zh-CN"/>
              </w:rPr>
              <w:t>场</w:t>
            </w:r>
            <w:r>
              <w:rPr>
                <w:rFonts w:hint="eastAsia"/>
                <w:color w:val="auto"/>
                <w:sz w:val="24"/>
                <w:szCs w:val="24"/>
              </w:rPr>
              <w:t>布置于施工</w:t>
            </w:r>
            <w:r>
              <w:rPr>
                <w:rFonts w:hint="eastAsia"/>
                <w:color w:val="auto"/>
                <w:sz w:val="24"/>
                <w:szCs w:val="24"/>
                <w:lang w:val="en-US" w:eastAsia="zh-CN"/>
              </w:rPr>
              <w:t>营地</w:t>
            </w:r>
            <w:r>
              <w:rPr>
                <w:rFonts w:hint="eastAsia"/>
                <w:color w:val="auto"/>
                <w:sz w:val="24"/>
                <w:szCs w:val="24"/>
              </w:rPr>
              <w:t>内，</w:t>
            </w:r>
            <w:r>
              <w:rPr>
                <w:rFonts w:hint="eastAsia"/>
                <w:color w:val="auto"/>
                <w:sz w:val="24"/>
                <w:szCs w:val="24"/>
                <w:lang w:val="en-US" w:eastAsia="zh-CN"/>
              </w:rPr>
              <w:t>主要用于停放</w:t>
            </w:r>
            <w:r>
              <w:rPr>
                <w:rFonts w:hint="eastAsia"/>
                <w:color w:val="auto"/>
                <w:sz w:val="24"/>
                <w:szCs w:val="24"/>
              </w:rPr>
              <w:t>机械设备</w:t>
            </w:r>
            <w:r>
              <w:rPr>
                <w:rFonts w:hint="eastAsia"/>
                <w:color w:val="auto"/>
                <w:sz w:val="24"/>
                <w:szCs w:val="24"/>
                <w:lang w:eastAsia="zh-CN"/>
              </w:rPr>
              <w:t>，</w:t>
            </w:r>
            <w:r>
              <w:rPr>
                <w:rFonts w:hint="eastAsia"/>
                <w:color w:val="auto"/>
                <w:sz w:val="24"/>
                <w:szCs w:val="24"/>
                <w:lang w:val="en-US" w:eastAsia="zh-CN"/>
              </w:rPr>
              <w:t>机械设备的检修和</w:t>
            </w:r>
            <w:r>
              <w:rPr>
                <w:rFonts w:hint="eastAsia"/>
                <w:color w:val="auto"/>
                <w:sz w:val="24"/>
                <w:szCs w:val="24"/>
              </w:rPr>
              <w:t>保养</w:t>
            </w:r>
            <w:r>
              <w:rPr>
                <w:rFonts w:hint="eastAsia"/>
                <w:color w:val="auto"/>
                <w:sz w:val="24"/>
                <w:szCs w:val="24"/>
                <w:lang w:val="en-US" w:eastAsia="zh-CN"/>
              </w:rPr>
              <w:t>均在王团镇附近修理厂进行</w:t>
            </w:r>
            <w:r>
              <w:rPr>
                <w:rFonts w:hint="eastAsia"/>
                <w:color w:val="auto"/>
                <w:sz w:val="24"/>
                <w:szCs w:val="24"/>
              </w:rPr>
              <w:t>。停放场</w:t>
            </w:r>
            <w:r>
              <w:rPr>
                <w:rFonts w:hint="eastAsia"/>
                <w:color w:val="auto"/>
                <w:sz w:val="24"/>
                <w:szCs w:val="24"/>
                <w:lang w:val="en-US" w:eastAsia="zh-CN"/>
              </w:rPr>
              <w:t>占地</w:t>
            </w:r>
            <w:r>
              <w:rPr>
                <w:rFonts w:hint="eastAsia"/>
                <w:color w:val="auto"/>
                <w:sz w:val="24"/>
                <w:szCs w:val="24"/>
              </w:rPr>
              <w:t>面积</w:t>
            </w:r>
            <w:r>
              <w:rPr>
                <w:rFonts w:hint="eastAsia"/>
                <w:color w:val="auto"/>
                <w:sz w:val="24"/>
                <w:szCs w:val="24"/>
                <w:lang w:val="en-US" w:eastAsia="zh-CN"/>
              </w:rPr>
              <w:t>10</w:t>
            </w:r>
            <w:r>
              <w:rPr>
                <w:rFonts w:hint="eastAsia"/>
                <w:color w:val="auto"/>
                <w:sz w:val="24"/>
                <w:szCs w:val="24"/>
              </w:rPr>
              <w:t>00m</w:t>
            </w:r>
            <w:r>
              <w:rPr>
                <w:rFonts w:hint="eastAsia"/>
                <w:color w:val="auto"/>
                <w:sz w:val="24"/>
                <w:szCs w:val="24"/>
                <w:vertAlign w:val="superscript"/>
              </w:rPr>
              <w:t>2</w:t>
            </w:r>
            <w:r>
              <w:rPr>
                <w:rFonts w:hint="eastAsia"/>
                <w:color w:val="auto"/>
                <w:sz w:val="24"/>
                <w:szCs w:val="24"/>
              </w:rPr>
              <w:t>。</w:t>
            </w:r>
          </w:p>
          <w:p>
            <w:pPr>
              <w:pStyle w:val="6"/>
              <w:spacing w:line="360" w:lineRule="auto"/>
              <w:rPr>
                <w:rFonts w:hint="eastAsia"/>
                <w:color w:val="auto"/>
                <w:sz w:val="24"/>
                <w:szCs w:val="24"/>
              </w:rPr>
            </w:pPr>
            <w:r>
              <w:rPr>
                <w:rFonts w:hint="eastAsia"/>
                <w:color w:val="auto"/>
                <w:sz w:val="24"/>
                <w:szCs w:val="24"/>
              </w:rPr>
              <w:t>②</w:t>
            </w:r>
            <w:r>
              <w:rPr>
                <w:rFonts w:hint="eastAsia" w:ascii="Times New Roman" w:hAnsi="Times New Roman" w:eastAsia="宋体" w:cs="Times New Roman"/>
                <w:color w:val="auto"/>
                <w:sz w:val="24"/>
                <w:szCs w:val="24"/>
              </w:rPr>
              <w:t>施工</w:t>
            </w:r>
            <w:r>
              <w:rPr>
                <w:rFonts w:hint="eastAsia"/>
                <w:color w:val="auto"/>
                <w:sz w:val="24"/>
                <w:szCs w:val="24"/>
              </w:rPr>
              <w:t>仓库</w:t>
            </w:r>
          </w:p>
          <w:p>
            <w:pPr>
              <w:pStyle w:val="6"/>
              <w:spacing w:line="360" w:lineRule="auto"/>
              <w:rPr>
                <w:rFonts w:hint="eastAsia"/>
                <w:color w:val="auto"/>
                <w:sz w:val="24"/>
                <w:szCs w:val="24"/>
              </w:rPr>
            </w:pPr>
            <w:r>
              <w:rPr>
                <w:rFonts w:hint="eastAsia"/>
                <w:color w:val="auto"/>
                <w:sz w:val="24"/>
                <w:szCs w:val="24"/>
              </w:rPr>
              <w:t>施工综合仓库布置于施工</w:t>
            </w:r>
            <w:r>
              <w:rPr>
                <w:rFonts w:hint="eastAsia"/>
                <w:color w:val="auto"/>
                <w:sz w:val="24"/>
                <w:szCs w:val="24"/>
                <w:lang w:val="en-US" w:eastAsia="zh-CN"/>
              </w:rPr>
              <w:t>营地</w:t>
            </w:r>
            <w:r>
              <w:rPr>
                <w:rFonts w:hint="eastAsia"/>
                <w:color w:val="auto"/>
                <w:sz w:val="24"/>
                <w:szCs w:val="24"/>
              </w:rPr>
              <w:t>内，</w:t>
            </w:r>
            <w:r>
              <w:rPr>
                <w:rFonts w:hint="eastAsia"/>
                <w:color w:val="auto"/>
                <w:sz w:val="24"/>
                <w:szCs w:val="24"/>
                <w:lang w:val="en-US" w:eastAsia="zh-CN"/>
              </w:rPr>
              <w:t>用于存放施工材料，主要为</w:t>
            </w:r>
            <w:r>
              <w:rPr>
                <w:rFonts w:hint="eastAsia"/>
                <w:color w:val="auto"/>
                <w:sz w:val="24"/>
                <w:szCs w:val="24"/>
              </w:rPr>
              <w:t>施工所用五金、劳保等物资器材。施工仓占地面积</w:t>
            </w:r>
            <w:r>
              <w:rPr>
                <w:rFonts w:hint="eastAsia"/>
                <w:color w:val="auto"/>
                <w:sz w:val="24"/>
                <w:szCs w:val="24"/>
                <w:lang w:val="en-US" w:eastAsia="zh-CN"/>
              </w:rPr>
              <w:t>10</w:t>
            </w:r>
            <w:r>
              <w:rPr>
                <w:rFonts w:hint="eastAsia"/>
                <w:color w:val="auto"/>
                <w:sz w:val="24"/>
                <w:szCs w:val="24"/>
              </w:rPr>
              <w:t>00m</w:t>
            </w:r>
            <w:r>
              <w:rPr>
                <w:rFonts w:hint="eastAsia"/>
                <w:color w:val="auto"/>
                <w:sz w:val="24"/>
                <w:szCs w:val="24"/>
                <w:vertAlign w:val="superscript"/>
              </w:rPr>
              <w:t>2</w:t>
            </w:r>
            <w:r>
              <w:rPr>
                <w:rFonts w:hint="eastAsia"/>
                <w:color w:val="auto"/>
                <w:sz w:val="24"/>
                <w:szCs w:val="24"/>
              </w:rPr>
              <w:t>。</w:t>
            </w:r>
          </w:p>
          <w:p>
            <w:pPr>
              <w:pStyle w:val="6"/>
              <w:spacing w:line="360" w:lineRule="auto"/>
              <w:rPr>
                <w:rFonts w:hint="default" w:eastAsia="宋体"/>
                <w:color w:val="auto"/>
                <w:sz w:val="24"/>
                <w:szCs w:val="24"/>
                <w:lang w:val="en-US" w:eastAsia="zh-CN"/>
              </w:rPr>
            </w:pPr>
            <w:r>
              <w:rPr>
                <w:rFonts w:hint="default" w:ascii="Times New Roman" w:hAnsi="Times New Roman" w:eastAsia="宋体" w:cs="Times New Roman"/>
                <w:color w:val="auto"/>
                <w:sz w:val="24"/>
                <w:szCs w:val="24"/>
              </w:rPr>
              <w:t>③</w:t>
            </w:r>
            <w:r>
              <w:rPr>
                <w:rFonts w:hint="eastAsia"/>
                <w:color w:val="auto"/>
                <w:sz w:val="24"/>
                <w:szCs w:val="24"/>
                <w:lang w:val="en-US" w:eastAsia="zh-CN"/>
              </w:rPr>
              <w:t>施工办公区</w:t>
            </w:r>
          </w:p>
          <w:p>
            <w:pPr>
              <w:pStyle w:val="6"/>
              <w:spacing w:line="360" w:lineRule="auto"/>
              <w:rPr>
                <w:rFonts w:hint="default" w:eastAsia="宋体"/>
                <w:color w:val="auto"/>
                <w:sz w:val="24"/>
                <w:szCs w:val="24"/>
                <w:lang w:val="en-US" w:eastAsia="zh-CN"/>
              </w:rPr>
            </w:pPr>
            <w:r>
              <w:rPr>
                <w:rFonts w:hint="eastAsia"/>
                <w:color w:val="auto"/>
                <w:sz w:val="24"/>
                <w:szCs w:val="24"/>
                <w:lang w:val="en-US" w:eastAsia="zh-CN"/>
              </w:rPr>
              <w:t>设置施工办公区1处，位于施工营地内，</w:t>
            </w:r>
            <w:r>
              <w:rPr>
                <w:rFonts w:hint="eastAsia"/>
                <w:color w:val="auto"/>
                <w:sz w:val="24"/>
                <w:szCs w:val="24"/>
                <w:highlight w:val="none"/>
                <w:lang w:val="en-US" w:eastAsia="zh-CN"/>
              </w:rPr>
              <w:t>占地面积为700m</w:t>
            </w:r>
            <w:r>
              <w:rPr>
                <w:rFonts w:hint="eastAsia"/>
                <w:color w:val="auto"/>
                <w:sz w:val="24"/>
                <w:szCs w:val="24"/>
                <w:highlight w:val="none"/>
                <w:vertAlign w:val="superscript"/>
                <w:lang w:val="en-US" w:eastAsia="zh-CN"/>
              </w:rPr>
              <w:t>2</w:t>
            </w:r>
            <w:r>
              <w:rPr>
                <w:rFonts w:hint="eastAsia"/>
                <w:color w:val="auto"/>
                <w:sz w:val="24"/>
                <w:szCs w:val="24"/>
              </w:rPr>
              <w:t>。</w:t>
            </w:r>
            <w:r>
              <w:rPr>
                <w:rFonts w:hint="eastAsia"/>
                <w:color w:val="auto"/>
                <w:sz w:val="24"/>
                <w:szCs w:val="24"/>
                <w:lang w:val="en-US" w:eastAsia="zh-CN"/>
              </w:rPr>
              <w:t>施工生活区不设置食堂及宿舍，不提供施工人员食宿，设置1座环保旱厕，旱厕定期清掏外运。</w:t>
            </w:r>
          </w:p>
          <w:p>
            <w:pPr>
              <w:pStyle w:val="6"/>
              <w:spacing w:line="360" w:lineRule="auto"/>
              <w:rPr>
                <w:color w:val="auto"/>
                <w:sz w:val="24"/>
                <w:szCs w:val="24"/>
              </w:rPr>
            </w:pPr>
            <w:r>
              <w:rPr>
                <w:rFonts w:hint="eastAsia"/>
                <w:color w:val="auto"/>
                <w:sz w:val="24"/>
                <w:szCs w:val="24"/>
              </w:rPr>
              <w:t>（</w:t>
            </w:r>
            <w:r>
              <w:rPr>
                <w:rFonts w:hint="eastAsia"/>
                <w:color w:val="auto"/>
                <w:sz w:val="24"/>
                <w:szCs w:val="24"/>
                <w:lang w:val="en-US" w:eastAsia="zh-CN"/>
              </w:rPr>
              <w:t>5</w:t>
            </w:r>
            <w:r>
              <w:rPr>
                <w:rFonts w:hint="eastAsia"/>
                <w:color w:val="auto"/>
                <w:sz w:val="24"/>
                <w:szCs w:val="24"/>
              </w:rPr>
              <w:t>）取土场</w:t>
            </w:r>
          </w:p>
          <w:p>
            <w:pPr>
              <w:pStyle w:val="6"/>
              <w:spacing w:line="360" w:lineRule="auto"/>
              <w:rPr>
                <w:rFonts w:hint="eastAsia"/>
                <w:color w:val="auto"/>
                <w:sz w:val="24"/>
                <w:szCs w:val="24"/>
              </w:rPr>
            </w:pPr>
            <w:bookmarkStart w:id="7" w:name="_Hlk148430333"/>
            <w:r>
              <w:rPr>
                <w:rFonts w:hint="eastAsia" w:ascii="Times New Roman" w:hAnsi="Times New Roman" w:eastAsia="宋体" w:cs="Times New Roman"/>
                <w:color w:val="auto"/>
                <w:kern w:val="2"/>
                <w:sz w:val="24"/>
                <w:szCs w:val="24"/>
                <w:lang w:val="en-US" w:eastAsia="zh-CN" w:bidi="ar-SA"/>
              </w:rPr>
              <w:t>本项目开挖的土方满足工程自身回填利用，</w:t>
            </w:r>
            <w:r>
              <w:rPr>
                <w:rFonts w:hint="eastAsia" w:hAnsi="宋体"/>
                <w:color w:val="auto"/>
                <w:sz w:val="24"/>
                <w:lang w:val="en-US" w:eastAsia="zh-CN"/>
              </w:rPr>
              <w:t>本次不设置取土场</w:t>
            </w:r>
            <w:r>
              <w:rPr>
                <w:rFonts w:hint="eastAsia" w:hAnsi="宋体"/>
                <w:color w:val="auto"/>
                <w:sz w:val="24"/>
              </w:rPr>
              <w:t>。</w:t>
            </w:r>
          </w:p>
          <w:bookmarkEnd w:id="7"/>
          <w:p>
            <w:pPr>
              <w:pStyle w:val="6"/>
              <w:spacing w:line="360" w:lineRule="auto"/>
              <w:rPr>
                <w:rFonts w:hint="eastAsia" w:ascii="Times New Roman" w:hAnsi="Times New Roman" w:eastAsia="宋体" w:cs="Times New Roman"/>
                <w:color w:val="auto"/>
                <w:sz w:val="24"/>
                <w:szCs w:val="24"/>
                <w:lang w:eastAsia="zh-CN"/>
              </w:rPr>
            </w:pPr>
            <w:r>
              <w:rPr>
                <w:rFonts w:hint="eastAsia" w:ascii="Times New Roman" w:hAnsi="Times New Roman" w:eastAsia="宋体" w:cs="Times New Roman"/>
                <w:color w:val="auto"/>
                <w:sz w:val="24"/>
                <w:szCs w:val="24"/>
              </w:rPr>
              <w:t>（</w:t>
            </w:r>
            <w:r>
              <w:rPr>
                <w:rFonts w:hint="eastAsia" w:ascii="Times New Roman" w:hAnsi="Times New Roman" w:eastAsia="宋体" w:cs="Times New Roman"/>
                <w:color w:val="auto"/>
                <w:sz w:val="24"/>
                <w:szCs w:val="24"/>
                <w:lang w:val="en-US" w:eastAsia="zh-CN"/>
              </w:rPr>
              <w:t>6</w:t>
            </w:r>
            <w:r>
              <w:rPr>
                <w:rFonts w:hint="eastAsia" w:ascii="Times New Roman" w:hAnsi="Times New Roman" w:eastAsia="宋体" w:cs="Times New Roman"/>
                <w:color w:val="auto"/>
                <w:sz w:val="24"/>
                <w:szCs w:val="24"/>
              </w:rPr>
              <w:t>）</w:t>
            </w:r>
            <w:r>
              <w:rPr>
                <w:rFonts w:hint="eastAsia" w:ascii="Times New Roman" w:hAnsi="Times New Roman" w:eastAsia="宋体" w:cs="Times New Roman"/>
                <w:color w:val="auto"/>
                <w:sz w:val="24"/>
                <w:szCs w:val="24"/>
                <w:lang w:eastAsia="zh-CN"/>
              </w:rPr>
              <w:t>弃土场</w:t>
            </w:r>
          </w:p>
          <w:p>
            <w:pPr>
              <w:pStyle w:val="35"/>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center"/>
              <w:rPr>
                <w:rFonts w:hint="eastAsia"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①根据主体工程设计资料，本项目</w:t>
            </w:r>
            <w:r>
              <w:rPr>
                <w:rFonts w:hint="eastAsia" w:ascii="Times New Roman" w:hAnsi="Times New Roman" w:eastAsia="宋体" w:cs="Times New Roman"/>
                <w:color w:val="auto"/>
                <w:kern w:val="2"/>
                <w:sz w:val="24"/>
                <w:szCs w:val="24"/>
                <w:lang w:val="en-US" w:eastAsia="zh-CN" w:bidi="ar-SA"/>
              </w:rPr>
              <w:t>工程建设过程中</w:t>
            </w:r>
            <w:r>
              <w:rPr>
                <w:rFonts w:hint="eastAsia" w:cs="Times New Roman"/>
                <w:bCs/>
                <w:color w:val="auto"/>
                <w:sz w:val="24"/>
                <w:lang w:eastAsia="zh-CN"/>
              </w:rPr>
              <w:t>排洪槽、下游沟道护段和边坡排水沟</w:t>
            </w:r>
            <w:r>
              <w:rPr>
                <w:rFonts w:hint="default" w:ascii="Times New Roman" w:hAnsi="Times New Roman" w:cs="Times New Roman"/>
                <w:bCs/>
                <w:color w:val="auto"/>
                <w:sz w:val="24"/>
              </w:rPr>
              <w:t>开挖过程</w:t>
            </w:r>
            <w:r>
              <w:rPr>
                <w:rFonts w:hint="default" w:ascii="Times New Roman" w:hAnsi="Times New Roman" w:eastAsia="宋体" w:cs="Times New Roman"/>
                <w:color w:val="auto"/>
                <w:kern w:val="2"/>
                <w:sz w:val="24"/>
                <w:szCs w:val="24"/>
                <w:lang w:val="en-US" w:eastAsia="zh-CN" w:bidi="ar-SA"/>
              </w:rPr>
              <w:t>开挖的土方，部分可以基础开挖土方可用于表层的植被恢复用土和构建筑物基础回填，大部分土方弃至本工程设置的</w:t>
            </w:r>
            <w:r>
              <w:rPr>
                <w:rFonts w:hint="eastAsia" w:ascii="Times New Roman" w:hAnsi="Times New Roman" w:eastAsia="宋体" w:cs="Times New Roman"/>
                <w:color w:val="auto"/>
                <w:kern w:val="2"/>
                <w:sz w:val="24"/>
                <w:szCs w:val="24"/>
                <w:lang w:val="en-US" w:eastAsia="zh-CN" w:bidi="ar-SA"/>
              </w:rPr>
              <w:t>弃土场</w:t>
            </w:r>
            <w:r>
              <w:rPr>
                <w:rFonts w:hint="default" w:ascii="Times New Roman" w:hAnsi="Times New Roman" w:eastAsia="宋体" w:cs="Times New Roman"/>
                <w:color w:val="auto"/>
                <w:kern w:val="2"/>
                <w:sz w:val="24"/>
                <w:szCs w:val="24"/>
                <w:lang w:val="en-US" w:eastAsia="zh-CN" w:bidi="ar-SA"/>
              </w:rPr>
              <w:t>，本项目弃土场的弃土量为</w:t>
            </w:r>
            <w:r>
              <w:rPr>
                <w:rFonts w:hint="eastAsia" w:ascii="Times New Roman" w:hAnsi="Times New Roman" w:cs="Times New Roman"/>
                <w:color w:val="auto"/>
                <w:kern w:val="2"/>
                <w:sz w:val="24"/>
                <w:szCs w:val="24"/>
                <w:lang w:val="en-US" w:eastAsia="zh-CN" w:bidi="ar-SA"/>
              </w:rPr>
              <w:t>8.19</w:t>
            </w:r>
            <w:r>
              <w:rPr>
                <w:rFonts w:hint="default" w:ascii="Times New Roman" w:hAnsi="Times New Roman" w:eastAsia="宋体" w:cs="Times New Roman"/>
                <w:color w:val="auto"/>
                <w:kern w:val="2"/>
                <w:sz w:val="24"/>
                <w:szCs w:val="24"/>
                <w:lang w:val="en-US" w:eastAsia="zh-CN" w:bidi="ar-SA"/>
              </w:rPr>
              <w:t>万m</w:t>
            </w:r>
            <w:r>
              <w:rPr>
                <w:rFonts w:hint="default" w:ascii="Times New Roman" w:hAnsi="Times New Roman" w:eastAsia="宋体" w:cs="Times New Roman"/>
                <w:color w:val="auto"/>
                <w:kern w:val="2"/>
                <w:sz w:val="24"/>
                <w:szCs w:val="24"/>
                <w:vertAlign w:val="superscript"/>
                <w:lang w:val="en-US" w:eastAsia="zh-CN" w:bidi="ar-SA"/>
              </w:rPr>
              <w:t>3</w:t>
            </w:r>
            <w:r>
              <w:rPr>
                <w:rFonts w:hint="default" w:ascii="Times New Roman" w:hAnsi="Times New Roman" w:eastAsia="宋体" w:cs="Times New Roman"/>
                <w:color w:val="auto"/>
                <w:kern w:val="2"/>
                <w:sz w:val="24"/>
                <w:szCs w:val="24"/>
                <w:lang w:val="en-US" w:eastAsia="zh-CN" w:bidi="ar-SA"/>
              </w:rPr>
              <w:t>，本项目弃土完成后，弃土场区域能够与周边地形保持平整，弃土场区域整体地形北高南低。弃土完成后进行土地整治、撒播种草植被恢复</w:t>
            </w:r>
            <w:r>
              <w:rPr>
                <w:rFonts w:hint="eastAsia" w:ascii="Times New Roman" w:hAnsi="Times New Roman" w:eastAsia="宋体" w:cs="Times New Roman"/>
                <w:color w:val="auto"/>
                <w:kern w:val="2"/>
                <w:sz w:val="24"/>
                <w:szCs w:val="24"/>
                <w:lang w:val="en-US" w:eastAsia="zh-CN" w:bidi="ar-SA"/>
              </w:rPr>
              <w:t>。</w:t>
            </w:r>
          </w:p>
          <w:p>
            <w:pPr>
              <w:autoSpaceDE w:val="0"/>
              <w:autoSpaceDN w:val="0"/>
              <w:adjustRightInd w:val="0"/>
              <w:snapToGrid w:val="0"/>
              <w:spacing w:line="360" w:lineRule="auto"/>
              <w:ind w:firstLine="480" w:firstLineChars="200"/>
              <w:rPr>
                <w:rFonts w:hint="default" w:ascii="Times New Roman" w:hAnsi="Times New Roman" w:eastAsia="宋体" w:cs="Times New Roman"/>
                <w:color w:val="auto"/>
                <w:kern w:val="2"/>
                <w:sz w:val="24"/>
                <w:szCs w:val="24"/>
                <w:lang w:val="en-US" w:eastAsia="zh-CN" w:bidi="ar-SA"/>
              </w:rPr>
            </w:pPr>
            <w:r>
              <w:rPr>
                <w:rFonts w:hint="eastAsia"/>
                <w:color w:val="auto"/>
                <w:sz w:val="24"/>
                <w:szCs w:val="24"/>
              </w:rPr>
              <w:t>②</w:t>
            </w:r>
            <w:r>
              <w:rPr>
                <w:rFonts w:hint="eastAsia"/>
                <w:color w:val="auto"/>
                <w:sz w:val="24"/>
                <w:szCs w:val="24"/>
                <w:lang w:eastAsia="zh-CN"/>
              </w:rPr>
              <w:t>选址：</w:t>
            </w:r>
            <w:r>
              <w:rPr>
                <w:rFonts w:hint="eastAsia" w:ascii="Times New Roman" w:hAnsi="Times New Roman" w:eastAsia="宋体" w:cs="Times New Roman"/>
                <w:color w:val="auto"/>
                <w:kern w:val="2"/>
                <w:sz w:val="24"/>
                <w:szCs w:val="24"/>
                <w:lang w:val="en-US" w:eastAsia="zh-CN" w:bidi="ar-SA"/>
              </w:rPr>
              <w:t>占地类型为</w:t>
            </w:r>
            <w:r>
              <w:rPr>
                <w:rFonts w:hint="eastAsia" w:cs="Times New Roman"/>
                <w:color w:val="auto"/>
                <w:kern w:val="2"/>
                <w:sz w:val="24"/>
                <w:szCs w:val="24"/>
                <w:lang w:val="en-US" w:eastAsia="zh-CN" w:bidi="ar-SA"/>
              </w:rPr>
              <w:t>其他土</w:t>
            </w:r>
            <w:r>
              <w:rPr>
                <w:rFonts w:hint="eastAsia" w:ascii="Times New Roman" w:hAnsi="Times New Roman" w:eastAsia="宋体" w:cs="Times New Roman"/>
                <w:color w:val="auto"/>
                <w:kern w:val="2"/>
                <w:sz w:val="24"/>
                <w:szCs w:val="24"/>
                <w:lang w:val="en-US" w:eastAsia="zh-CN" w:bidi="ar-SA"/>
              </w:rPr>
              <w:t>地</w:t>
            </w:r>
            <w:r>
              <w:rPr>
                <w:rFonts w:hint="default" w:ascii="Times New Roman" w:hAnsi="Times New Roman" w:eastAsia="宋体" w:cs="Times New Roman"/>
                <w:color w:val="auto"/>
                <w:kern w:val="2"/>
                <w:sz w:val="24"/>
                <w:szCs w:val="24"/>
                <w:highlight w:val="none"/>
                <w:lang w:val="en-US" w:eastAsia="zh-CN" w:bidi="ar-SA"/>
              </w:rPr>
              <w:t>，</w:t>
            </w:r>
            <w:r>
              <w:rPr>
                <w:rFonts w:hint="eastAsia" w:ascii="Times New Roman" w:hAnsi="Times New Roman" w:cs="Times New Roman"/>
                <w:color w:val="auto"/>
                <w:kern w:val="2"/>
                <w:sz w:val="24"/>
                <w:szCs w:val="24"/>
                <w:highlight w:val="none"/>
                <w:lang w:val="en-US" w:eastAsia="zh-CN" w:bidi="ar-SA"/>
              </w:rPr>
              <w:t>弃土场周边交通便利，无需设置施工便道。</w:t>
            </w:r>
            <w:r>
              <w:rPr>
                <w:rFonts w:hint="eastAsia" w:ascii="Times New Roman" w:hAnsi="Times New Roman" w:eastAsia="宋体" w:cs="Times New Roman"/>
                <w:color w:val="auto"/>
                <w:kern w:val="2"/>
                <w:sz w:val="24"/>
                <w:szCs w:val="24"/>
                <w:highlight w:val="none"/>
                <w:lang w:val="en-US" w:eastAsia="zh-CN" w:bidi="ar-SA"/>
              </w:rPr>
              <w:t>弃土场</w:t>
            </w:r>
            <w:r>
              <w:rPr>
                <w:rFonts w:hint="default" w:ascii="Times New Roman" w:hAnsi="Times New Roman" w:eastAsia="宋体" w:cs="Times New Roman"/>
                <w:color w:val="auto"/>
                <w:kern w:val="2"/>
                <w:sz w:val="24"/>
                <w:szCs w:val="24"/>
                <w:highlight w:val="none"/>
                <w:lang w:val="en-US" w:eastAsia="zh-CN" w:bidi="ar-SA"/>
              </w:rPr>
              <w:t>选址范围内无水源地、名胜古迹、自然保护区、温泉、疗养地等国家明令规定的保护对象，不在崩塌和滑坡危险区、泥石流易发区，不涉及河道、湖泊和水库，充分利用现状的</w:t>
            </w:r>
            <w:r>
              <w:rPr>
                <w:rFonts w:hint="eastAsia" w:cs="Times New Roman"/>
                <w:color w:val="auto"/>
                <w:kern w:val="2"/>
                <w:sz w:val="24"/>
                <w:szCs w:val="24"/>
                <w:highlight w:val="none"/>
                <w:lang w:val="en-US" w:eastAsia="zh-CN" w:bidi="ar-SA"/>
              </w:rPr>
              <w:t>闲置地</w:t>
            </w:r>
            <w:r>
              <w:rPr>
                <w:rFonts w:hint="default" w:ascii="Times New Roman" w:hAnsi="Times New Roman" w:eastAsia="宋体" w:cs="Times New Roman"/>
                <w:color w:val="auto"/>
                <w:kern w:val="2"/>
                <w:sz w:val="24"/>
                <w:szCs w:val="24"/>
                <w:highlight w:val="none"/>
                <w:lang w:val="en-US" w:eastAsia="zh-CN" w:bidi="ar-SA"/>
              </w:rPr>
              <w:t>，弃土后区域能够与周边地形保持平整，弃土结束后土地整治、植被恢复。综上所述，项目</w:t>
            </w:r>
            <w:r>
              <w:rPr>
                <w:rFonts w:hint="eastAsia" w:ascii="Times New Roman" w:hAnsi="Times New Roman" w:eastAsia="宋体" w:cs="Times New Roman"/>
                <w:color w:val="auto"/>
                <w:kern w:val="2"/>
                <w:sz w:val="24"/>
                <w:szCs w:val="24"/>
                <w:highlight w:val="none"/>
                <w:lang w:val="en-US" w:eastAsia="zh-CN" w:bidi="ar-SA"/>
              </w:rPr>
              <w:t>弃土场</w:t>
            </w:r>
            <w:r>
              <w:rPr>
                <w:rFonts w:hint="default" w:ascii="Times New Roman" w:hAnsi="Times New Roman" w:eastAsia="宋体" w:cs="Times New Roman"/>
                <w:color w:val="auto"/>
                <w:kern w:val="2"/>
                <w:sz w:val="24"/>
                <w:szCs w:val="24"/>
                <w:highlight w:val="none"/>
                <w:lang w:val="en-US" w:eastAsia="zh-CN" w:bidi="ar-SA"/>
              </w:rPr>
              <w:t>选址不涉及国家规定的相关敏感区范围，下游无居民点、基础设施和工矿企业，不会影响到重要基础设施以及人民</w:t>
            </w:r>
            <w:r>
              <w:rPr>
                <w:rFonts w:hint="default" w:ascii="Times New Roman" w:hAnsi="Times New Roman" w:eastAsia="宋体" w:cs="Times New Roman"/>
                <w:color w:val="auto"/>
                <w:kern w:val="2"/>
                <w:sz w:val="24"/>
                <w:szCs w:val="24"/>
                <w:lang w:val="en-US" w:eastAsia="zh-CN" w:bidi="ar-SA"/>
              </w:rPr>
              <w:t>群众生命财产安全，</w:t>
            </w:r>
            <w:r>
              <w:rPr>
                <w:rFonts w:hint="eastAsia" w:ascii="Times New Roman" w:hAnsi="Times New Roman" w:eastAsia="宋体" w:cs="Times New Roman"/>
                <w:color w:val="auto"/>
                <w:kern w:val="2"/>
                <w:sz w:val="24"/>
                <w:szCs w:val="24"/>
                <w:lang w:val="en-US" w:eastAsia="zh-CN" w:bidi="ar-SA"/>
              </w:rPr>
              <w:t>弃土场</w:t>
            </w:r>
            <w:r>
              <w:rPr>
                <w:rFonts w:hint="default" w:ascii="Times New Roman" w:hAnsi="Times New Roman" w:eastAsia="宋体" w:cs="Times New Roman"/>
                <w:color w:val="auto"/>
                <w:kern w:val="2"/>
                <w:sz w:val="24"/>
                <w:szCs w:val="24"/>
                <w:lang w:val="en-US" w:eastAsia="zh-CN" w:bidi="ar-SA"/>
              </w:rPr>
              <w:t>施工结束采取植被恢复措施，对周围环境的影响不大，所以工程选择的</w:t>
            </w:r>
            <w:r>
              <w:rPr>
                <w:rFonts w:hint="eastAsia" w:ascii="Times New Roman" w:hAnsi="Times New Roman" w:eastAsia="宋体" w:cs="Times New Roman"/>
                <w:color w:val="auto"/>
                <w:kern w:val="2"/>
                <w:sz w:val="24"/>
                <w:szCs w:val="24"/>
                <w:lang w:val="en-US" w:eastAsia="zh-CN" w:bidi="ar-SA"/>
              </w:rPr>
              <w:t>弃土场</w:t>
            </w:r>
            <w:r>
              <w:rPr>
                <w:rFonts w:hint="default" w:ascii="Times New Roman" w:hAnsi="Times New Roman" w:eastAsia="宋体" w:cs="Times New Roman"/>
                <w:color w:val="auto"/>
                <w:kern w:val="2"/>
                <w:sz w:val="24"/>
                <w:szCs w:val="24"/>
                <w:lang w:val="en-US" w:eastAsia="zh-CN" w:bidi="ar-SA"/>
              </w:rPr>
              <w:t>合理。</w:t>
            </w:r>
          </w:p>
          <w:p>
            <w:pPr>
              <w:spacing w:line="360" w:lineRule="auto"/>
              <w:ind w:firstLine="480" w:firstLineChars="200"/>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cs="Times New Roman"/>
                <w:color w:val="auto"/>
                <w:kern w:val="0"/>
                <w:sz w:val="24"/>
              </w:rPr>
              <w:t>本项目总平面布置图见</w:t>
            </w:r>
            <w:r>
              <w:rPr>
                <w:rFonts w:hint="eastAsia" w:cs="Times New Roman"/>
                <w:color w:val="auto"/>
                <w:kern w:val="0"/>
                <w:sz w:val="24"/>
                <w:lang w:eastAsia="zh-CN"/>
              </w:rPr>
              <w:t>附</w:t>
            </w:r>
            <w:r>
              <w:rPr>
                <w:rFonts w:hint="default" w:ascii="Times New Roman" w:hAnsi="Times New Roman" w:cs="Times New Roman"/>
                <w:color w:val="auto"/>
                <w:kern w:val="0"/>
                <w:sz w:val="24"/>
              </w:rPr>
              <w:t>图</w:t>
            </w:r>
            <w:r>
              <w:rPr>
                <w:rFonts w:hint="eastAsia" w:cs="Times New Roman"/>
                <w:color w:val="auto"/>
                <w:kern w:val="0"/>
                <w:sz w:val="24"/>
                <w:lang w:val="en-US" w:eastAsia="zh-CN"/>
              </w:rPr>
              <w:t>7</w:t>
            </w:r>
            <w:r>
              <w:rPr>
                <w:rFonts w:hint="eastAsia"/>
                <w:color w:val="auto"/>
                <w:kern w:val="0"/>
                <w:sz w:val="24"/>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792" w:hRule="atLeast"/>
          <w:jc w:val="center"/>
        </w:trPr>
        <w:tc>
          <w:tcPr>
            <w:tcW w:w="804"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施工方案</w:t>
            </w:r>
          </w:p>
        </w:tc>
        <w:tc>
          <w:tcPr>
            <w:tcW w:w="7718" w:type="dxa"/>
            <w:vAlign w:val="center"/>
          </w:tcPr>
          <w:p>
            <w:pPr>
              <w:widowControl/>
              <w:adjustRightInd w:val="0"/>
              <w:snapToGrid w:val="0"/>
              <w:spacing w:line="360" w:lineRule="auto"/>
              <w:ind w:firstLine="482" w:firstLineChars="200"/>
              <w:jc w:val="left"/>
              <w:rPr>
                <w:rFonts w:hint="default" w:ascii="Times New Roman" w:hAnsi="Times New Roman" w:cs="Times New Roman"/>
                <w:b/>
                <w:bCs/>
                <w:color w:val="auto"/>
                <w:kern w:val="0"/>
                <w:sz w:val="24"/>
                <w:lang w:eastAsia="zh-CN" w:bidi="ar"/>
              </w:rPr>
            </w:pPr>
            <w:r>
              <w:rPr>
                <w:rFonts w:hint="default" w:ascii="Times New Roman" w:hAnsi="Times New Roman" w:cs="Times New Roman"/>
                <w:b/>
                <w:bCs/>
                <w:color w:val="auto"/>
                <w:kern w:val="0"/>
                <w:sz w:val="24"/>
                <w:lang w:eastAsia="zh-CN" w:bidi="ar"/>
              </w:rPr>
              <w:t>一、</w:t>
            </w:r>
            <w:r>
              <w:rPr>
                <w:rFonts w:hint="default" w:ascii="Times New Roman" w:hAnsi="Times New Roman" w:cs="Times New Roman"/>
                <w:b/>
                <w:bCs/>
                <w:color w:val="auto"/>
                <w:kern w:val="0"/>
                <w:sz w:val="24"/>
                <w:lang w:bidi="ar"/>
              </w:rPr>
              <w:t>施工</w:t>
            </w:r>
            <w:r>
              <w:rPr>
                <w:rFonts w:hint="default" w:ascii="Times New Roman" w:hAnsi="Times New Roman" w:cs="Times New Roman"/>
                <w:b/>
                <w:bCs/>
                <w:color w:val="auto"/>
                <w:kern w:val="0"/>
                <w:sz w:val="24"/>
                <w:lang w:eastAsia="zh-CN" w:bidi="ar"/>
              </w:rPr>
              <w:t>方式</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lang w:bidi="ar"/>
              </w:rPr>
            </w:pPr>
            <w:r>
              <w:rPr>
                <w:rFonts w:hint="default" w:ascii="Times New Roman" w:hAnsi="Times New Roman" w:eastAsia="宋体" w:cs="Times New Roman"/>
                <w:color w:val="auto"/>
                <w:kern w:val="0"/>
                <w:sz w:val="24"/>
                <w:lang w:bidi="ar"/>
              </w:rPr>
              <w:t>土方填筑采用装载机载运，自卸汽车和农用车运输，碾压机具应使用</w:t>
            </w:r>
            <w:r>
              <w:rPr>
                <w:rFonts w:hint="eastAsia" w:ascii="Times New Roman" w:hAnsi="Times New Roman" w:eastAsia="宋体" w:cs="Times New Roman"/>
                <w:color w:val="auto"/>
                <w:kern w:val="0"/>
                <w:sz w:val="24"/>
                <w:lang w:eastAsia="zh-CN" w:bidi="ar"/>
              </w:rPr>
              <w:t>小型机具</w:t>
            </w:r>
            <w:r>
              <w:rPr>
                <w:rFonts w:hint="default" w:ascii="Times New Roman" w:hAnsi="Times New Roman" w:eastAsia="宋体" w:cs="Times New Roman"/>
                <w:color w:val="auto"/>
                <w:kern w:val="0"/>
                <w:sz w:val="24"/>
                <w:lang w:bidi="ar"/>
              </w:rPr>
              <w:t>碾压。土方开挖以挖掘机为主，人工为辅。块石料采用自卸汽车拉运，砌筑工程均采用人工砌筑。根据各工程点的施工定位图，按坐标进行放线，确定道路、护岸线位置，再按设计断面确定建筑物廓线。</w:t>
            </w:r>
          </w:p>
          <w:p>
            <w:pPr>
              <w:widowControl/>
              <w:adjustRightInd w:val="0"/>
              <w:snapToGrid w:val="0"/>
              <w:spacing w:line="360" w:lineRule="auto"/>
              <w:ind w:firstLine="482" w:firstLineChars="200"/>
              <w:jc w:val="left"/>
              <w:rPr>
                <w:rFonts w:hint="eastAsia" w:ascii="Times New Roman" w:hAnsi="Times New Roman" w:eastAsia="宋体" w:cs="Times New Roman"/>
                <w:b/>
                <w:bCs/>
                <w:color w:val="auto"/>
                <w:kern w:val="0"/>
                <w:sz w:val="24"/>
                <w:lang w:eastAsia="zh-CN" w:bidi="ar"/>
              </w:rPr>
            </w:pPr>
            <w:r>
              <w:rPr>
                <w:rFonts w:hint="eastAsia" w:cs="Times New Roman"/>
                <w:b/>
                <w:bCs/>
                <w:color w:val="auto"/>
                <w:kern w:val="0"/>
                <w:sz w:val="24"/>
                <w:lang w:eastAsia="zh-CN" w:bidi="ar"/>
              </w:rPr>
              <w:t>二、施工工艺</w:t>
            </w:r>
          </w:p>
          <w:p>
            <w:pPr>
              <w:widowControl/>
              <w:adjustRightInd w:val="0"/>
              <w:snapToGrid w:val="0"/>
              <w:spacing w:line="360" w:lineRule="auto"/>
              <w:ind w:firstLine="482" w:firstLineChars="200"/>
              <w:jc w:val="left"/>
              <w:rPr>
                <w:rFonts w:hint="eastAsia" w:ascii="Times New Roman" w:hAnsi="Times New Roman" w:eastAsia="宋体" w:cs="Times New Roman"/>
                <w:b/>
                <w:bCs/>
                <w:color w:val="auto"/>
                <w:kern w:val="0"/>
                <w:sz w:val="24"/>
                <w:lang w:val="en-US" w:eastAsia="zh-CN" w:bidi="ar"/>
              </w:rPr>
            </w:pPr>
            <w:r>
              <w:rPr>
                <w:rFonts w:hint="eastAsia" w:ascii="Times New Roman" w:hAnsi="Times New Roman" w:eastAsia="宋体" w:cs="Times New Roman"/>
                <w:b/>
                <w:bCs/>
                <w:color w:val="auto"/>
                <w:kern w:val="0"/>
                <w:sz w:val="24"/>
                <w:lang w:val="en-US" w:eastAsia="zh-CN" w:bidi="ar"/>
              </w:rPr>
              <w:t>1、排洪槽工程</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 土方开挖</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土方开挖以机械为主，人工为辅的施工方法。开挖以建筑物基础底面周边向外扩大</w:t>
            </w:r>
            <w:r>
              <w:rPr>
                <w:rFonts w:hint="eastAsia" w:ascii="Times New Roman" w:hAnsi="Times New Roman" w:eastAsia="宋体" w:cs="Times New Roman"/>
                <w:color w:val="auto"/>
                <w:kern w:val="0"/>
                <w:sz w:val="24"/>
                <w:szCs w:val="24"/>
                <w:lang w:val="en-US" w:eastAsia="zh-CN"/>
              </w:rPr>
              <w:t>0.5~1</w:t>
            </w:r>
            <w:r>
              <w:rPr>
                <w:rFonts w:hint="default" w:ascii="Times New Roman" w:hAnsi="Times New Roman" w:eastAsia="宋体" w:cs="Times New Roman"/>
                <w:color w:val="auto"/>
                <w:kern w:val="0"/>
                <w:sz w:val="24"/>
                <w:szCs w:val="24"/>
                <w:lang w:val="en-US" w:eastAsia="zh-CN"/>
              </w:rPr>
              <w:t>m作为基底开挖面，</w:t>
            </w:r>
            <w:r>
              <w:rPr>
                <w:rFonts w:hint="eastAsia" w:ascii="Times New Roman" w:hAnsi="Times New Roman" w:eastAsia="宋体" w:cs="Times New Roman"/>
                <w:color w:val="auto"/>
                <w:kern w:val="0"/>
                <w:sz w:val="24"/>
                <w:szCs w:val="24"/>
                <w:lang w:val="en-US" w:eastAsia="zh-CN"/>
              </w:rPr>
              <w:t>具体详见设计图纸，</w:t>
            </w:r>
            <w:r>
              <w:rPr>
                <w:rFonts w:hint="default" w:ascii="Times New Roman" w:hAnsi="Times New Roman" w:eastAsia="宋体" w:cs="Times New Roman"/>
                <w:color w:val="auto"/>
                <w:kern w:val="0"/>
                <w:sz w:val="24"/>
                <w:szCs w:val="24"/>
                <w:lang w:val="en-US" w:eastAsia="zh-CN"/>
              </w:rPr>
              <w:t>严格按照设计坡比开挖，严禁超挖。</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 土方填筑</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建筑物基础和周边等回填土均要求分层填筑，碾压或夯实，压实度</w:t>
            </w:r>
            <w:r>
              <w:rPr>
                <w:rFonts w:hint="eastAsia" w:ascii="Times New Roman" w:hAnsi="Times New Roman" w:eastAsia="宋体" w:cs="Times New Roman"/>
                <w:color w:val="auto"/>
                <w:kern w:val="0"/>
                <w:sz w:val="24"/>
                <w:szCs w:val="24"/>
                <w:lang w:val="en-US" w:eastAsia="zh-CN"/>
              </w:rPr>
              <w:t>大于</w:t>
            </w:r>
            <w:r>
              <w:rPr>
                <w:rFonts w:hint="default" w:ascii="Times New Roman" w:hAnsi="Times New Roman" w:eastAsia="宋体" w:cs="Times New Roman"/>
                <w:color w:val="auto"/>
                <w:kern w:val="0"/>
                <w:sz w:val="24"/>
                <w:szCs w:val="24"/>
                <w:lang w:val="en-US" w:eastAsia="zh-CN"/>
              </w:rPr>
              <w:t>0.9</w:t>
            </w:r>
            <w:r>
              <w:rPr>
                <w:rFonts w:hint="eastAsia" w:ascii="Times New Roman" w:hAnsi="Times New Roman" w:eastAsia="宋体" w:cs="Times New Roman"/>
                <w:color w:val="auto"/>
                <w:kern w:val="0"/>
                <w:sz w:val="24"/>
                <w:szCs w:val="24"/>
                <w:lang w:val="en-US" w:eastAsia="zh-CN"/>
              </w:rPr>
              <w:t>3</w:t>
            </w:r>
            <w:r>
              <w:rPr>
                <w:rFonts w:hint="default" w:ascii="Times New Roman" w:hAnsi="Times New Roman" w:eastAsia="宋体" w:cs="Times New Roman"/>
                <w:color w:val="auto"/>
                <w:kern w:val="0"/>
                <w:sz w:val="24"/>
                <w:szCs w:val="24"/>
                <w:lang w:val="en-US" w:eastAsia="zh-CN"/>
              </w:rPr>
              <w:t>，临近建筑0.5m或者建筑物顶部0.5m范围内应使用小型机具碾压，不得使用大型机械，以免造成建筑物移位或者结构损毁。</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(3) 混凝土工程</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主体采用商品混凝土，建筑物砼工程施工严格执行《水工混凝土施工规范》（SL677-2014）和《水工混凝土试验规程》（SL/T352-2020）中的有关规定。</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混凝土配合比设计，应根据工程要求、结构型式、设计指标、施工条件和原材料状况，通过试验确定各组成材料的用量。混凝土配合比选择应经综合分析比较，合理降低水泥用量。</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混凝土拌和应按严格遵守签发的混凝土配料单，不应擅自更改。拌制好的混凝土强度等级和保证率应符合设计要求。</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混凝土浇筑采用平铺法或台阶法。浇筑时应按一定厚度、次序、方向分层进行，且浇筑面应保持平整。入仓混凝土应及时平仓振捣，不应堆积。混凝土浇筑过程中，不应再仓内加水。如发现混凝土和易性较差时，应采取加强振捣等措施；仓内泌水应及时排除；避免外来水进入仓内；不应再模板上开孔赶水，带走灰浆；粘附在模板、钢筋和预埋件表面的灰浆应及时清除。混凝土浇筑应保持连续性。</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混凝土入仓后先平仓后振捣，不应以振捣代替平仓。每一位置的振捣时间以混凝土粗骨料不再显著下沉，并开始泛浆为准，防止欠振、漏振或过振。在止水片、钢筋密集处应细心振捣，必要时辅以人工振捣密实。</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混凝土浇筑完毕初凝前，应避免仓面积水、阳光暴晒。初凝后可采用洒水或流水等方式养护。混凝土养护应连续进行，养护期间混凝土表面及所有侧面始终保持湿润。混凝土的养护时间不宜少于28天。对重要部位和利用后期强度的混凝土以及其它有特殊要求的部位应延长养护时间。混凝土也可采用养护剂进行养护，养护剂在混凝土表面湿润且无水迹时开始喷涂，夏季使用应避免阳光直射。</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(4)浆砌石工程</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浆砌石砌筑采用的石料应质地坚实，强度不低于MU30，无风化、裂缝等符合质量要求的块石，砌筑方法采用铺浆法，严禁采用灌浆法砌筑。</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砌筑时先用较大的平毛石，先砌转角处、交接处，再向中间砌筑。砌前应先度摆，使石料大小搭配，大面平放朝下，外露表面要平齐，斜口朝内，逐块卧砌坐浆，使砂浆饱满。石块间较大的空隙应先堵塞砂浆，后用碎石嵌实。严禁不坐浆砌筑或先填心后填塞砂浆，造成石料直接接触，或采取铺石灌浆法施工。</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上下层砌石应错缝砌筑，砌体外露面应平整美观，外露面上的砌缝应预留约4cm深的空隙，以备勾缝处理。</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在夏季高温和冬季低温下施工时，应用草袋或草垫适当覆盖墙体，避免砂浆中水分蒸发过快或受冻破坏。</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本工程浆砌石采用MU30毛料石M7.5砌筑。要求选择的单块块石重量大于25kg，厚度大于25cm，长厚比小于3，其软化系数应大于0.75以上。</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拌制砂浆的水泥强度等级不应低于42.5，按照设计要求分别采用抗硫酸盐水泥或者普通硅酸盐水泥。勾缝砂浆为M10。勾缝前必须清缝，用水冲净并保持缝槽内湿润。砂浆应分次向缝内填塞，按实有砌缝勾平缝，不准勾假缝和凸缝。</w:t>
            </w:r>
          </w:p>
          <w:p>
            <w:pPr>
              <w:widowControl/>
              <w:adjustRightInd w:val="0"/>
              <w:snapToGrid w:val="0"/>
              <w:spacing w:line="360" w:lineRule="auto"/>
              <w:ind w:firstLine="482" w:firstLineChars="200"/>
              <w:jc w:val="left"/>
              <w:rPr>
                <w:rFonts w:hint="default" w:ascii="Times New Roman" w:hAnsi="Times New Roman" w:eastAsia="宋体" w:cs="Times New Roman"/>
                <w:b/>
                <w:bCs/>
                <w:color w:val="auto"/>
                <w:kern w:val="0"/>
                <w:sz w:val="24"/>
                <w:lang w:val="en-US" w:eastAsia="zh-CN" w:bidi="ar"/>
              </w:rPr>
            </w:pPr>
            <w:r>
              <w:rPr>
                <w:rFonts w:hint="eastAsia" w:ascii="Times New Roman" w:hAnsi="Times New Roman" w:eastAsia="宋体" w:cs="Times New Roman"/>
                <w:b/>
                <w:bCs/>
                <w:color w:val="auto"/>
                <w:kern w:val="0"/>
                <w:sz w:val="24"/>
                <w:lang w:val="en-US" w:eastAsia="zh-CN" w:bidi="ar"/>
              </w:rPr>
              <w:t>2、边坡整治工程</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根据地形地质条件，现状冲沟两岸边坡陡峻近乎直立的陡崖，最大高差2</w:t>
            </w:r>
            <w:r>
              <w:rPr>
                <w:rFonts w:hint="default" w:ascii="Times New Roman" w:hAnsi="Times New Roman" w:eastAsia="宋体" w:cs="Times New Roman"/>
                <w:color w:val="auto"/>
                <w:kern w:val="0"/>
                <w:sz w:val="24"/>
                <w:szCs w:val="24"/>
                <w:lang w:val="en-US" w:eastAsia="zh-CN"/>
              </w:rPr>
              <w:t>0</w:t>
            </w:r>
            <w:r>
              <w:rPr>
                <w:rFonts w:hint="eastAsia" w:ascii="Times New Roman" w:hAnsi="Times New Roman" w:eastAsia="宋体" w:cs="Times New Roman"/>
                <w:color w:val="auto"/>
                <w:kern w:val="0"/>
                <w:sz w:val="24"/>
                <w:szCs w:val="24"/>
                <w:lang w:val="en-US" w:eastAsia="zh-CN"/>
              </w:rPr>
              <w:t>m以上。</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本工程主要边坡开挖部位为陡槽和消力池段，根据地质条件，拟定永久开挖边坡坡比1:</w:t>
            </w:r>
            <w:r>
              <w:rPr>
                <w:rFonts w:hint="default" w:ascii="Times New Roman" w:hAnsi="Times New Roman" w:eastAsia="宋体" w:cs="Times New Roman"/>
                <w:color w:val="auto"/>
                <w:kern w:val="0"/>
                <w:sz w:val="24"/>
                <w:szCs w:val="24"/>
                <w:lang w:val="en-US" w:eastAsia="zh-CN"/>
              </w:rPr>
              <w:t>1.5</w:t>
            </w:r>
            <w:r>
              <w:rPr>
                <w:rFonts w:hint="eastAsia" w:ascii="Times New Roman" w:hAnsi="Times New Roman" w:eastAsia="宋体" w:cs="Times New Roman"/>
                <w:color w:val="auto"/>
                <w:kern w:val="0"/>
                <w:sz w:val="24"/>
                <w:szCs w:val="24"/>
                <w:lang w:val="en-US" w:eastAsia="zh-CN"/>
              </w:rPr>
              <w:t>，每5m高设置1级马道，马道宽度2.0m，永久开挖的底部高程以排洪槽和消力池的侧墙顶高程作为控制。</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本工程高边坡开挖高度大，作业面狭窄，存在局部滑坡及坍塌；机械、人员坠落等重点安全隐患。在高边坡施工中务必注意以下事项：</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（1）严格执行《水利水电工程边坡设计规范 SL 386--2007》，《工程建设强制性条文（2020）》等国家及行业标准、规范，严格执行自上而下的开挖顺序；</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（2）施工单位应编制高边坡开挖专项方案，并按照经论证批准后，严格按照专项方案组织实施。</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（3）严格落实安全责任制度，做好技术交底、安全交底、班前教育等工作，并配备专职安全员负责工作面的安全工作，定期组织安全检查和安全教育工作。</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（4）落实现场安全防护措施，加强劳动保护、定期检查现场施工设备状况，技施维修保养，消除安全隐患、保证安全施工。</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（5）编制安全事故应急预案，一旦发生安全风险，能够有序做好现场应急处置，防治安全事故扩大、妥善进行现场保护、人员救治、设备撤离等工作，按程序进行事故报告。</w:t>
            </w:r>
          </w:p>
          <w:p>
            <w:pPr>
              <w:widowControl/>
              <w:adjustRightInd w:val="0"/>
              <w:snapToGrid w:val="0"/>
              <w:spacing w:line="360" w:lineRule="auto"/>
              <w:ind w:firstLine="482" w:firstLineChars="200"/>
              <w:jc w:val="left"/>
              <w:rPr>
                <w:rFonts w:hint="eastAsia" w:ascii="Times New Roman" w:hAnsi="Times New Roman" w:eastAsia="宋体" w:cs="Times New Roman"/>
                <w:b/>
                <w:bCs/>
                <w:color w:val="auto"/>
                <w:kern w:val="0"/>
                <w:sz w:val="24"/>
                <w:lang w:val="en-US" w:eastAsia="zh-CN" w:bidi="ar"/>
              </w:rPr>
            </w:pPr>
            <w:r>
              <w:rPr>
                <w:rFonts w:hint="eastAsia" w:ascii="Times New Roman" w:hAnsi="Times New Roman" w:eastAsia="宋体" w:cs="Times New Roman"/>
                <w:b/>
                <w:bCs/>
                <w:color w:val="auto"/>
                <w:kern w:val="0"/>
                <w:sz w:val="24"/>
                <w:lang w:val="en-US" w:eastAsia="zh-CN" w:bidi="ar"/>
              </w:rPr>
              <w:t>3、土地整治工程</w:t>
            </w:r>
          </w:p>
          <w:p>
            <w:pPr>
              <w:pStyle w:val="6"/>
              <w:adjustRightInd w:val="0"/>
              <w:snapToGrid w:val="0"/>
              <w:spacing w:line="360" w:lineRule="auto"/>
              <w:rPr>
                <w:rFonts w:hint="default" w:ascii="Times New Roman" w:hAnsi="Times New Roman" w:eastAsia="宋体" w:cs="Times New Roman"/>
                <w:color w:val="auto"/>
                <w:sz w:val="24"/>
                <w:szCs w:val="22"/>
                <w:lang w:val="en-US" w:eastAsia="zh-CN"/>
              </w:rPr>
            </w:pPr>
            <w:r>
              <w:rPr>
                <w:rFonts w:hint="default" w:ascii="Times New Roman" w:hAnsi="Times New Roman" w:eastAsia="宋体" w:cs="Times New Roman"/>
                <w:color w:val="auto"/>
                <w:sz w:val="24"/>
                <w:szCs w:val="22"/>
                <w:lang w:val="en-US" w:eastAsia="zh-CN"/>
              </w:rPr>
              <w:t xml:space="preserve">(1) 土地整治工程施工 </w:t>
            </w:r>
          </w:p>
          <w:p>
            <w:pPr>
              <w:pStyle w:val="6"/>
              <w:adjustRightInd w:val="0"/>
              <w:snapToGrid w:val="0"/>
              <w:spacing w:line="360" w:lineRule="auto"/>
              <w:rPr>
                <w:rFonts w:hint="default" w:ascii="Times New Roman" w:hAnsi="Times New Roman" w:eastAsia="宋体" w:cs="Times New Roman"/>
                <w:color w:val="auto"/>
                <w:sz w:val="24"/>
                <w:szCs w:val="22"/>
                <w:lang w:val="en-US" w:eastAsia="zh-CN"/>
              </w:rPr>
            </w:pPr>
            <w:r>
              <w:rPr>
                <w:rFonts w:hint="default" w:ascii="Times New Roman" w:hAnsi="Times New Roman" w:eastAsia="宋体" w:cs="Times New Roman"/>
                <w:color w:val="auto"/>
                <w:sz w:val="24"/>
                <w:szCs w:val="22"/>
                <w:lang w:val="en-US" w:eastAsia="zh-CN"/>
              </w:rPr>
              <w:t>土地整治工程一般包括土地平整、坑凹回填，整治中应充分利用废弃土、石料，力争回填后坑平渣尽；坑凹回填应根据坑凹容积与废弃土石方体积，合理安排废弃土、石料的运行路线与倾倒方式，提高回填工效；坑凹回填后进一步平整地面，有条件的应表层覆土，为植物措施布设创造条件。</w:t>
            </w:r>
          </w:p>
          <w:p>
            <w:pPr>
              <w:pStyle w:val="6"/>
              <w:adjustRightInd w:val="0"/>
              <w:snapToGrid w:val="0"/>
              <w:spacing w:line="360" w:lineRule="auto"/>
              <w:rPr>
                <w:rFonts w:hint="default" w:ascii="Times New Roman" w:hAnsi="Times New Roman" w:eastAsia="宋体" w:cs="Times New Roman"/>
                <w:color w:val="auto"/>
                <w:sz w:val="24"/>
                <w:szCs w:val="22"/>
                <w:lang w:val="en-US" w:eastAsia="zh-CN"/>
              </w:rPr>
            </w:pPr>
            <w:r>
              <w:rPr>
                <w:rFonts w:hint="default" w:ascii="Times New Roman" w:hAnsi="Times New Roman" w:eastAsia="宋体" w:cs="Times New Roman"/>
                <w:color w:val="auto"/>
                <w:sz w:val="24"/>
                <w:szCs w:val="22"/>
                <w:lang w:val="en-US" w:eastAsia="zh-CN"/>
              </w:rPr>
              <w:t xml:space="preserve">① 根据测量结果划分调配区，在方格网平面图上划出挖填区的分界线，并在挖方区和填方区划出若干调配区，确定调配区的大小和位置，绘制土方调配图，标出土方调配方向、土方量及平均运距。依据拟定的调配方向、运输路线、施工顺序，组织车辆运输，避免土方运输出现对流现象，同时便于机具的调配，机械化的施工。 </w:t>
            </w:r>
          </w:p>
          <w:p>
            <w:pPr>
              <w:pStyle w:val="6"/>
              <w:adjustRightInd w:val="0"/>
              <w:snapToGrid w:val="0"/>
              <w:spacing w:line="360" w:lineRule="auto"/>
              <w:rPr>
                <w:rFonts w:hint="default" w:ascii="Times New Roman" w:hAnsi="Times New Roman" w:eastAsia="宋体" w:cs="Times New Roman"/>
                <w:color w:val="auto"/>
                <w:sz w:val="24"/>
                <w:szCs w:val="22"/>
                <w:lang w:val="en-US" w:eastAsia="zh-CN"/>
              </w:rPr>
            </w:pPr>
            <w:r>
              <w:rPr>
                <w:rFonts w:hint="default" w:ascii="Times New Roman" w:hAnsi="Times New Roman" w:eastAsia="宋体" w:cs="Times New Roman"/>
                <w:color w:val="auto"/>
                <w:sz w:val="24"/>
                <w:szCs w:val="22"/>
                <w:lang w:val="en-US" w:eastAsia="zh-CN"/>
              </w:rPr>
              <w:t xml:space="preserve">② 土方调配：土方调配时，若土方距施工区较远时，由自卸汽车把土方运到施工区内，再由推土机或人工摊平；若土方距施工区较近或在施工区内时，由推土机直接把土方推到施工区内并摊平。 </w:t>
            </w:r>
          </w:p>
          <w:p>
            <w:pPr>
              <w:pStyle w:val="6"/>
              <w:adjustRightInd w:val="0"/>
              <w:snapToGrid w:val="0"/>
              <w:spacing w:line="360" w:lineRule="auto"/>
              <w:rPr>
                <w:rFonts w:hint="default" w:ascii="Times New Roman" w:hAnsi="Times New Roman" w:eastAsia="宋体" w:cs="Times New Roman"/>
                <w:color w:val="auto"/>
                <w:sz w:val="24"/>
                <w:szCs w:val="22"/>
                <w:lang w:val="en-US" w:eastAsia="zh-CN"/>
              </w:rPr>
            </w:pPr>
            <w:r>
              <w:rPr>
                <w:rFonts w:hint="default" w:ascii="Times New Roman" w:hAnsi="Times New Roman" w:eastAsia="宋体" w:cs="Times New Roman"/>
                <w:color w:val="auto"/>
                <w:sz w:val="24"/>
                <w:szCs w:val="22"/>
                <w:lang w:val="en-US" w:eastAsia="zh-CN"/>
              </w:rPr>
              <w:t>③ 对于平整完成后的绿化用地，即可进行覆土，覆土厚度根据布设的植物种和以后的发展方向来确定。</w:t>
            </w:r>
          </w:p>
          <w:p>
            <w:pPr>
              <w:pStyle w:val="6"/>
              <w:adjustRightInd w:val="0"/>
              <w:snapToGrid w:val="0"/>
              <w:spacing w:line="360" w:lineRule="auto"/>
              <w:rPr>
                <w:rFonts w:hint="default" w:ascii="Times New Roman" w:hAnsi="Times New Roman" w:eastAsia="宋体" w:cs="Times New Roman"/>
                <w:color w:val="auto"/>
                <w:sz w:val="24"/>
                <w:szCs w:val="22"/>
                <w:lang w:val="en-US" w:eastAsia="zh-CN"/>
              </w:rPr>
            </w:pPr>
            <w:r>
              <w:rPr>
                <w:rFonts w:hint="default" w:ascii="Times New Roman" w:hAnsi="Times New Roman" w:eastAsia="宋体" w:cs="Times New Roman"/>
                <w:color w:val="auto"/>
                <w:sz w:val="24"/>
                <w:szCs w:val="22"/>
                <w:lang w:val="en-US" w:eastAsia="zh-CN"/>
              </w:rPr>
              <w:t xml:space="preserve">(2) 种草施工 </w:t>
            </w:r>
          </w:p>
          <w:p>
            <w:pPr>
              <w:pStyle w:val="6"/>
              <w:adjustRightInd w:val="0"/>
              <w:snapToGrid w:val="0"/>
              <w:spacing w:line="360" w:lineRule="auto"/>
              <w:rPr>
                <w:rFonts w:hint="default" w:ascii="Times New Roman" w:hAnsi="Times New Roman" w:eastAsia="宋体" w:cs="Times New Roman"/>
                <w:color w:val="auto"/>
                <w:sz w:val="24"/>
                <w:szCs w:val="22"/>
                <w:lang w:val="en-US" w:eastAsia="zh-CN"/>
              </w:rPr>
            </w:pPr>
            <w:r>
              <w:rPr>
                <w:rFonts w:hint="default" w:ascii="Times New Roman" w:hAnsi="Times New Roman" w:eastAsia="宋体" w:cs="Times New Roman"/>
                <w:color w:val="auto"/>
                <w:sz w:val="24"/>
                <w:szCs w:val="22"/>
                <w:lang w:val="en-US" w:eastAsia="zh-CN"/>
              </w:rPr>
              <w:t>在干旱区种草严格按杂物清运、施入底肥、土地整治、撒播等施工工序进行施工，完工后交付管护。</w:t>
            </w:r>
          </w:p>
          <w:p>
            <w:pPr>
              <w:pStyle w:val="6"/>
              <w:adjustRightInd w:val="0"/>
              <w:snapToGrid w:val="0"/>
              <w:spacing w:line="360" w:lineRule="auto"/>
              <w:rPr>
                <w:rFonts w:hint="default" w:ascii="Times New Roman" w:hAnsi="Times New Roman" w:eastAsia="宋体" w:cs="Times New Roman"/>
                <w:color w:val="auto"/>
                <w:sz w:val="24"/>
                <w:szCs w:val="22"/>
                <w:lang w:val="en-US" w:eastAsia="zh-CN"/>
              </w:rPr>
            </w:pPr>
            <w:r>
              <w:rPr>
                <w:rFonts w:hint="default" w:ascii="Times New Roman" w:hAnsi="Times New Roman" w:eastAsia="宋体" w:cs="Times New Roman"/>
                <w:color w:val="auto"/>
                <w:sz w:val="24"/>
                <w:szCs w:val="22"/>
                <w:lang w:val="en-US" w:eastAsia="zh-CN"/>
              </w:rPr>
              <w:t xml:space="preserve">a、杂物清运：对种草区域进行细致的清理，除去所有不利于植物生长的元素。 </w:t>
            </w:r>
          </w:p>
          <w:p>
            <w:pPr>
              <w:pStyle w:val="6"/>
              <w:adjustRightInd w:val="0"/>
              <w:snapToGrid w:val="0"/>
              <w:spacing w:line="360" w:lineRule="auto"/>
              <w:rPr>
                <w:rFonts w:hint="default" w:ascii="Times New Roman" w:hAnsi="Times New Roman" w:eastAsia="宋体" w:cs="Times New Roman"/>
                <w:color w:val="auto"/>
                <w:sz w:val="24"/>
                <w:szCs w:val="22"/>
                <w:lang w:val="en-US" w:eastAsia="zh-CN"/>
              </w:rPr>
            </w:pPr>
            <w:r>
              <w:rPr>
                <w:rFonts w:hint="default" w:ascii="Times New Roman" w:hAnsi="Times New Roman" w:eastAsia="宋体" w:cs="Times New Roman"/>
                <w:color w:val="auto"/>
                <w:sz w:val="24"/>
                <w:szCs w:val="22"/>
                <w:lang w:val="en-US" w:eastAsia="zh-CN"/>
              </w:rPr>
              <w:t xml:space="preserve">b、施入底肥、土地整治：人工施农家肥，拖拉机牵引铧犁耕翻地进行土地整治。 </w:t>
            </w:r>
          </w:p>
          <w:p>
            <w:pPr>
              <w:pStyle w:val="6"/>
              <w:adjustRightInd w:val="0"/>
              <w:snapToGrid w:val="0"/>
              <w:spacing w:line="360" w:lineRule="auto"/>
              <w:rPr>
                <w:rFonts w:hint="default" w:ascii="Times New Roman" w:hAnsi="Times New Roman" w:eastAsia="宋体" w:cs="Times New Roman"/>
                <w:color w:val="auto"/>
                <w:sz w:val="24"/>
                <w:szCs w:val="22"/>
                <w:lang w:val="en-US" w:eastAsia="zh-CN"/>
              </w:rPr>
            </w:pPr>
            <w:r>
              <w:rPr>
                <w:rFonts w:hint="default" w:ascii="Times New Roman" w:hAnsi="Times New Roman" w:eastAsia="宋体" w:cs="Times New Roman"/>
                <w:color w:val="auto"/>
                <w:sz w:val="24"/>
                <w:szCs w:val="22"/>
                <w:lang w:val="en-US" w:eastAsia="zh-CN"/>
              </w:rPr>
              <w:t>c、机械撒播：在一次有效降雨后进行撒播，采用机械或人工进行，要求播撒均匀。</w:t>
            </w:r>
          </w:p>
          <w:p>
            <w:pPr>
              <w:pStyle w:val="6"/>
              <w:adjustRightInd w:val="0"/>
              <w:snapToGrid w:val="0"/>
              <w:spacing w:line="360" w:lineRule="auto"/>
              <w:rPr>
                <w:rFonts w:hint="default" w:ascii="Times New Roman" w:hAnsi="Times New Roman" w:eastAsia="宋体" w:cs="Times New Roman"/>
                <w:color w:val="auto"/>
                <w:sz w:val="24"/>
                <w:szCs w:val="22"/>
                <w:lang w:val="en-US" w:eastAsia="zh-CN"/>
              </w:rPr>
            </w:pPr>
            <w:r>
              <w:rPr>
                <w:rFonts w:hint="default" w:ascii="Times New Roman" w:hAnsi="Times New Roman" w:eastAsia="宋体" w:cs="Times New Roman"/>
                <w:color w:val="auto"/>
                <w:sz w:val="24"/>
                <w:szCs w:val="22"/>
                <w:lang w:val="en-US" w:eastAsia="zh-CN"/>
              </w:rPr>
              <w:t xml:space="preserve">(3) 临时措施施工 </w:t>
            </w:r>
          </w:p>
          <w:p>
            <w:pPr>
              <w:pStyle w:val="6"/>
              <w:adjustRightInd w:val="0"/>
              <w:snapToGrid w:val="0"/>
              <w:spacing w:line="360" w:lineRule="auto"/>
              <w:rPr>
                <w:rFonts w:hint="default" w:ascii="Times New Roman" w:hAnsi="Times New Roman" w:eastAsia="宋体" w:cs="Times New Roman"/>
                <w:color w:val="auto"/>
                <w:sz w:val="24"/>
                <w:szCs w:val="22"/>
                <w:lang w:val="en-US" w:eastAsia="zh-CN"/>
              </w:rPr>
            </w:pPr>
            <w:r>
              <w:rPr>
                <w:rFonts w:hint="default" w:ascii="Times New Roman" w:hAnsi="Times New Roman" w:eastAsia="宋体" w:cs="Times New Roman"/>
                <w:color w:val="auto"/>
                <w:sz w:val="24"/>
                <w:szCs w:val="22"/>
                <w:lang w:val="en-US" w:eastAsia="zh-CN"/>
              </w:rPr>
              <w:t>苫盖：对裸露的临时堆土面，为防治风蚀，按设计要求，应及时苫盖，采用防尘网苫盖，苫盖过程中不留裸露面。</w:t>
            </w:r>
          </w:p>
          <w:p>
            <w:pPr>
              <w:widowControl/>
              <w:spacing w:line="360" w:lineRule="auto"/>
              <w:ind w:firstLine="482" w:firstLineChars="200"/>
              <w:jc w:val="left"/>
              <w:rPr>
                <w:rFonts w:hint="default" w:ascii="Times New Roman" w:hAnsi="Times New Roman" w:eastAsia="宋体" w:cs="Times New Roman"/>
                <w:b/>
                <w:bCs/>
                <w:color w:val="auto"/>
                <w:kern w:val="0"/>
                <w:sz w:val="24"/>
                <w:lang w:val="en-US" w:eastAsia="zh-CN" w:bidi="ar"/>
              </w:rPr>
            </w:pPr>
            <w:r>
              <w:rPr>
                <w:rFonts w:hint="eastAsia" w:ascii="Times New Roman" w:hAnsi="Times New Roman" w:eastAsia="宋体" w:cs="Times New Roman"/>
                <w:b/>
                <w:bCs/>
                <w:color w:val="auto"/>
                <w:kern w:val="0"/>
                <w:sz w:val="24"/>
                <w:lang w:val="en-US" w:eastAsia="zh-CN" w:bidi="ar"/>
              </w:rPr>
              <w:t>三</w:t>
            </w:r>
            <w:r>
              <w:rPr>
                <w:rFonts w:hint="eastAsia" w:cs="Times New Roman"/>
                <w:b/>
                <w:bCs/>
                <w:color w:val="auto"/>
                <w:kern w:val="0"/>
                <w:sz w:val="24"/>
                <w:lang w:val="en-US" w:eastAsia="zh-CN" w:bidi="ar"/>
              </w:rPr>
              <w:t>、施工方案</w:t>
            </w:r>
          </w:p>
          <w:p>
            <w:pPr>
              <w:pStyle w:val="34"/>
              <w:ind w:firstLine="480"/>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lang w:val="en-US" w:eastAsia="zh-CN"/>
              </w:rPr>
              <w:t>本工程布置主要分两部分，第一部分为续建排洪槽工程布置；第二部分为边坡整治工程布置。</w:t>
            </w:r>
          </w:p>
          <w:p>
            <w:pPr>
              <w:pStyle w:val="34"/>
              <w:ind w:firstLine="480"/>
              <w:rPr>
                <w:rFonts w:hint="default" w:cs="Times New Roman"/>
                <w:b/>
                <w:bCs/>
                <w:color w:val="auto"/>
                <w:lang w:val="en-US" w:eastAsia="zh-CN"/>
              </w:rPr>
            </w:pPr>
            <w:r>
              <w:rPr>
                <w:rFonts w:hint="eastAsia" w:cs="Times New Roman"/>
                <w:b/>
                <w:bCs/>
                <w:color w:val="auto"/>
                <w:lang w:val="en-US" w:eastAsia="zh-CN"/>
              </w:rPr>
              <w:t>2.3排洪槽工程</w:t>
            </w:r>
          </w:p>
          <w:p>
            <w:pPr>
              <w:pStyle w:val="34"/>
              <w:ind w:firstLine="480"/>
              <w:rPr>
                <w:rFonts w:hint="default" w:cs="Times New Roman"/>
                <w:b/>
                <w:bCs/>
                <w:color w:val="auto"/>
                <w:lang w:val="en-US" w:eastAsia="zh-CN"/>
              </w:rPr>
            </w:pPr>
            <w:r>
              <w:rPr>
                <w:rFonts w:hint="eastAsia" w:cs="Times New Roman"/>
                <w:b/>
                <w:bCs/>
                <w:color w:val="auto"/>
                <w:lang w:val="en-US" w:eastAsia="zh-CN"/>
              </w:rPr>
              <w:t>2.3.1水平衔接段</w:t>
            </w:r>
          </w:p>
          <w:p>
            <w:pPr>
              <w:pStyle w:val="76"/>
              <w:keepNext w:val="0"/>
              <w:keepLines w:val="0"/>
              <w:pageBreakBefore w:val="0"/>
              <w:widowControl w:val="0"/>
              <w:kinsoku/>
              <w:wordWrap/>
              <w:overflowPunct/>
              <w:topLinePunct w:val="0"/>
              <w:autoSpaceDE/>
              <w:autoSpaceDN/>
              <w:bidi w:val="0"/>
              <w:adjustRightInd/>
              <w:snapToGrid w:val="0"/>
              <w:spacing w:before="0" w:after="0"/>
              <w:jc w:val="both"/>
              <w:textAlignment w:val="auto"/>
              <w:rPr>
                <w:color w:val="auto"/>
                <w:highlight w:val="none"/>
              </w:rPr>
            </w:pPr>
            <w:r>
              <w:rPr>
                <w:rFonts w:hint="eastAsia"/>
                <w:color w:val="auto"/>
                <w:highlight w:val="none"/>
              </w:rPr>
              <w:t>排洪槽前端设置3.63m水平段与一期消力池衔接。水平衔接段底板和边墙采用C30钢筋混凝土结构，底宽3m，边墙高度3.3~1.5m，外包复合土工膜（250g/0.5mm/250g），在一期消力池与陡槽衔接处均设置齿槽，齿槽深度1</w:t>
            </w:r>
            <w:r>
              <w:rPr>
                <w:color w:val="auto"/>
                <w:highlight w:val="none"/>
              </w:rPr>
              <w:t>.5</w:t>
            </w:r>
            <w:r>
              <w:rPr>
                <w:rFonts w:hint="eastAsia"/>
                <w:color w:val="auto"/>
                <w:highlight w:val="none"/>
              </w:rPr>
              <w:t>m；水平段前端边墙高3.3m，边墙顶厚0.3m，底部厚0.6m，后端边墙高1.5m，厚度0.3m，底板厚度均为0.4m，底板底部设置10cm厚C20素混凝土垫层，垫层超出结构外边线10cm。</w:t>
            </w:r>
          </w:p>
          <w:p>
            <w:pPr>
              <w:pStyle w:val="34"/>
              <w:ind w:firstLine="480"/>
              <w:rPr>
                <w:rFonts w:hint="default" w:cs="Times New Roman"/>
                <w:b/>
                <w:bCs/>
                <w:color w:val="auto"/>
                <w:lang w:val="en-US" w:eastAsia="zh-CN"/>
              </w:rPr>
            </w:pPr>
            <w:r>
              <w:rPr>
                <w:rFonts w:hint="eastAsia" w:cs="Times New Roman"/>
                <w:b/>
                <w:bCs/>
                <w:color w:val="auto"/>
                <w:lang w:val="en-US" w:eastAsia="zh-CN"/>
              </w:rPr>
              <w:t>2.3.2陡槽段工程</w:t>
            </w:r>
          </w:p>
          <w:p>
            <w:pPr>
              <w:pStyle w:val="76"/>
              <w:spacing w:before="0" w:after="0"/>
              <w:rPr>
                <w:color w:val="auto"/>
                <w:highlight w:val="none"/>
              </w:rPr>
            </w:pPr>
            <w:r>
              <w:rPr>
                <w:rFonts w:hint="eastAsia"/>
                <w:color w:val="auto"/>
                <w:highlight w:val="none"/>
              </w:rPr>
              <w:t>陡槽段总</w:t>
            </w:r>
            <w:r>
              <w:rPr>
                <w:color w:val="auto"/>
                <w:highlight w:val="none"/>
              </w:rPr>
              <w:t>长度</w:t>
            </w:r>
            <w:r>
              <w:rPr>
                <w:rFonts w:hint="eastAsia"/>
                <w:color w:val="auto"/>
                <w:highlight w:val="none"/>
              </w:rPr>
              <w:t>106.37</w:t>
            </w:r>
            <w:r>
              <w:rPr>
                <w:color w:val="auto"/>
                <w:highlight w:val="none"/>
              </w:rPr>
              <w:t>m</w:t>
            </w:r>
            <w:r>
              <w:rPr>
                <w:rFonts w:hint="eastAsia"/>
                <w:color w:val="auto"/>
                <w:highlight w:val="none"/>
              </w:rPr>
              <w:t>（平面长度），斜长112m</w:t>
            </w:r>
            <w:r>
              <w:rPr>
                <w:color w:val="auto"/>
                <w:highlight w:val="none"/>
              </w:rPr>
              <w:t>，</w:t>
            </w:r>
            <w:r>
              <w:rPr>
                <w:rFonts w:hint="eastAsia"/>
                <w:color w:val="auto"/>
                <w:highlight w:val="none"/>
              </w:rPr>
              <w:t>陡槽起点（桩号0+108.13）与水平衔接段连接，底板高程1</w:t>
            </w:r>
            <w:r>
              <w:rPr>
                <w:color w:val="auto"/>
                <w:highlight w:val="none"/>
              </w:rPr>
              <w:t>5</w:t>
            </w:r>
            <w:r>
              <w:rPr>
                <w:rFonts w:hint="eastAsia"/>
                <w:color w:val="auto"/>
                <w:highlight w:val="none"/>
              </w:rPr>
              <w:t>07.50m；末端（桩号</w:t>
            </w:r>
            <w:r>
              <w:rPr>
                <w:rFonts w:hint="eastAsia"/>
                <w:color w:val="auto"/>
                <w:highlight w:val="none"/>
                <w:lang w:val="en-US" w:eastAsia="zh-CN"/>
              </w:rPr>
              <w:t>0</w:t>
            </w:r>
            <w:r>
              <w:rPr>
                <w:rFonts w:hint="eastAsia"/>
                <w:color w:val="auto"/>
                <w:highlight w:val="none"/>
              </w:rPr>
              <w:t>+215.50）与消力池连接，底板高程1472.04m。桩号0+108.13~</w:t>
            </w:r>
            <w:r>
              <w:rPr>
                <w:color w:val="auto"/>
                <w:highlight w:val="none"/>
              </w:rPr>
              <w:t>0+</w:t>
            </w:r>
            <w:r>
              <w:rPr>
                <w:rFonts w:hint="eastAsia"/>
                <w:color w:val="auto"/>
                <w:highlight w:val="none"/>
              </w:rPr>
              <w:t>126.95段，向北方向平面转弯，转弯半径为2</w:t>
            </w:r>
            <w:r>
              <w:rPr>
                <w:color w:val="auto"/>
                <w:highlight w:val="none"/>
              </w:rPr>
              <w:t>0</w:t>
            </w:r>
            <w:r>
              <w:rPr>
                <w:rFonts w:hint="eastAsia"/>
                <w:color w:val="auto"/>
                <w:highlight w:val="none"/>
              </w:rPr>
              <w:t>m，平面转角54°，长度18.82m；桩号</w:t>
            </w:r>
            <w:r>
              <w:rPr>
                <w:color w:val="auto"/>
                <w:highlight w:val="none"/>
              </w:rPr>
              <w:t>0+</w:t>
            </w:r>
            <w:r>
              <w:rPr>
                <w:rFonts w:hint="eastAsia"/>
                <w:color w:val="auto"/>
                <w:highlight w:val="none"/>
              </w:rPr>
              <w:t>126.95~</w:t>
            </w:r>
            <w:r>
              <w:rPr>
                <w:color w:val="auto"/>
                <w:highlight w:val="none"/>
              </w:rPr>
              <w:t>0+</w:t>
            </w:r>
            <w:r>
              <w:rPr>
                <w:rFonts w:hint="eastAsia"/>
                <w:color w:val="auto"/>
                <w:highlight w:val="none"/>
              </w:rPr>
              <w:t>180.65段为直线段，长度53.7m；桩号</w:t>
            </w:r>
            <w:r>
              <w:rPr>
                <w:color w:val="auto"/>
                <w:highlight w:val="none"/>
              </w:rPr>
              <w:t>0+</w:t>
            </w:r>
            <w:r>
              <w:rPr>
                <w:rFonts w:hint="eastAsia"/>
                <w:color w:val="auto"/>
                <w:highlight w:val="none"/>
              </w:rPr>
              <w:t>180.65~0+202.62段，向北方向平面转弯，转弯半径为3</w:t>
            </w:r>
            <w:r>
              <w:rPr>
                <w:color w:val="auto"/>
                <w:highlight w:val="none"/>
              </w:rPr>
              <w:t>0</w:t>
            </w:r>
            <w:r>
              <w:rPr>
                <w:rFonts w:hint="eastAsia"/>
                <w:color w:val="auto"/>
                <w:highlight w:val="none"/>
              </w:rPr>
              <w:t>m，平面转角42°，长度21.97m；桩号</w:t>
            </w:r>
            <w:r>
              <w:rPr>
                <w:color w:val="auto"/>
                <w:highlight w:val="none"/>
              </w:rPr>
              <w:t>0+</w:t>
            </w:r>
            <w:r>
              <w:rPr>
                <w:rFonts w:hint="eastAsia"/>
                <w:color w:val="auto"/>
                <w:highlight w:val="none"/>
              </w:rPr>
              <w:t>202.62~</w:t>
            </w:r>
            <w:r>
              <w:rPr>
                <w:color w:val="auto"/>
                <w:highlight w:val="none"/>
              </w:rPr>
              <w:t>0+</w:t>
            </w:r>
            <w:r>
              <w:rPr>
                <w:rFonts w:hint="eastAsia"/>
                <w:color w:val="auto"/>
                <w:highlight w:val="none"/>
              </w:rPr>
              <w:t>214.50段为直线段，长度11.88，底宽为3~5m；0+108.13~0+202.62段底宽为3m。陡槽纵向比降1：3。</w:t>
            </w:r>
          </w:p>
          <w:p>
            <w:pPr>
              <w:pStyle w:val="76"/>
              <w:spacing w:before="0" w:after="0"/>
              <w:rPr>
                <w:rFonts w:hint="eastAsia" w:cs="Times New Roman"/>
                <w:b/>
                <w:bCs/>
                <w:color w:val="auto"/>
                <w:lang w:val="en-US" w:eastAsia="zh-CN"/>
              </w:rPr>
            </w:pPr>
            <w:r>
              <w:rPr>
                <w:rFonts w:hint="eastAsia"/>
                <w:color w:val="auto"/>
                <w:highlight w:val="none"/>
              </w:rPr>
              <w:t>陡槽为台阶式，</w:t>
            </w:r>
            <w:r>
              <w:rPr>
                <w:color w:val="auto"/>
                <w:highlight w:val="none"/>
              </w:rPr>
              <w:t>根据工程布置及水力计算，</w:t>
            </w:r>
            <w:r>
              <w:rPr>
                <w:rFonts w:hint="eastAsia"/>
                <w:color w:val="auto"/>
                <w:highlight w:val="none"/>
              </w:rPr>
              <w:t>陡</w:t>
            </w:r>
            <w:r>
              <w:rPr>
                <w:color w:val="auto"/>
                <w:highlight w:val="none"/>
              </w:rPr>
              <w:t>槽净宽为3.0</w:t>
            </w:r>
            <w:r>
              <w:rPr>
                <w:rFonts w:hint="eastAsia"/>
                <w:color w:val="auto"/>
                <w:highlight w:val="none"/>
              </w:rPr>
              <w:t>~5</w:t>
            </w:r>
            <w:r>
              <w:rPr>
                <w:color w:val="auto"/>
                <w:highlight w:val="none"/>
              </w:rPr>
              <w:t>.0m，深度1.5m，槽体采用C30钢筋混凝土结构，槽体侧墙厚度0.3m，槽底板厚度0.4m</w:t>
            </w:r>
            <w:r>
              <w:rPr>
                <w:rFonts w:hint="eastAsia"/>
                <w:color w:val="auto"/>
                <w:highlight w:val="none"/>
              </w:rPr>
              <w:t>，槽体外包复合土工膜（250g/0.5mm/250g），单级台阶高度为0.4m，宽度为1.2m</w:t>
            </w:r>
            <w:r>
              <w:rPr>
                <w:color w:val="auto"/>
                <w:highlight w:val="none"/>
              </w:rPr>
              <w:t>。</w:t>
            </w:r>
            <w:r>
              <w:rPr>
                <w:rFonts w:hint="eastAsia"/>
                <w:color w:val="auto"/>
                <w:highlight w:val="none"/>
              </w:rPr>
              <w:t>底板底部设置1</w:t>
            </w:r>
            <w:r>
              <w:rPr>
                <w:color w:val="auto"/>
                <w:highlight w:val="none"/>
              </w:rPr>
              <w:t>0</w:t>
            </w:r>
            <w:r>
              <w:rPr>
                <w:rFonts w:hint="eastAsia"/>
                <w:color w:val="auto"/>
                <w:highlight w:val="none"/>
              </w:rPr>
              <w:t>cmC20素混凝土垫层，垫层超出结构外边线1</w:t>
            </w:r>
            <w:r>
              <w:rPr>
                <w:color w:val="auto"/>
                <w:highlight w:val="none"/>
              </w:rPr>
              <w:t>0</w:t>
            </w:r>
            <w:r>
              <w:rPr>
                <w:rFonts w:hint="eastAsia"/>
                <w:color w:val="auto"/>
                <w:highlight w:val="none"/>
              </w:rPr>
              <w:t>cm；</w:t>
            </w:r>
            <w:r>
              <w:rPr>
                <w:color w:val="auto"/>
                <w:highlight w:val="none"/>
              </w:rPr>
              <w:t>槽身沿水流方向每</w:t>
            </w:r>
            <w:r>
              <w:rPr>
                <w:rFonts w:hint="eastAsia"/>
                <w:color w:val="auto"/>
                <w:highlight w:val="none"/>
              </w:rPr>
              <w:t>9~</w:t>
            </w:r>
            <w:r>
              <w:rPr>
                <w:color w:val="auto"/>
                <w:highlight w:val="none"/>
              </w:rPr>
              <w:t>1</w:t>
            </w:r>
            <w:r>
              <w:rPr>
                <w:rFonts w:hint="eastAsia"/>
                <w:color w:val="auto"/>
                <w:highlight w:val="none"/>
              </w:rPr>
              <w:t>2</w:t>
            </w:r>
            <w:r>
              <w:rPr>
                <w:color w:val="auto"/>
                <w:highlight w:val="none"/>
              </w:rPr>
              <w:t>m</w:t>
            </w:r>
            <w:r>
              <w:rPr>
                <w:rFonts w:hint="eastAsia"/>
                <w:color w:val="auto"/>
                <w:highlight w:val="none"/>
              </w:rPr>
              <w:t>或结合平面布置</w:t>
            </w:r>
            <w:r>
              <w:rPr>
                <w:color w:val="auto"/>
                <w:highlight w:val="none"/>
              </w:rPr>
              <w:t>设置分缝，分缝处采用651型橡胶止水，止水上部采用50mm</w:t>
            </w:r>
            <w:r>
              <w:rPr>
                <w:rFonts w:hint="eastAsia"/>
                <w:color w:val="auto"/>
                <w:highlight w:val="none"/>
              </w:rPr>
              <w:t>双组份聚硫防水密封膏封面</w:t>
            </w:r>
            <w:r>
              <w:rPr>
                <w:color w:val="auto"/>
                <w:highlight w:val="none"/>
              </w:rPr>
              <w:t>，下部采用苯板填缝，并在分缝处设置齿槽，齿槽深度1.50m。</w:t>
            </w:r>
            <w:r>
              <w:rPr>
                <w:rFonts w:hint="eastAsia"/>
                <w:color w:val="auto"/>
                <w:highlight w:val="none"/>
              </w:rPr>
              <w:t>陡槽</w:t>
            </w:r>
            <w:r>
              <w:rPr>
                <w:color w:val="auto"/>
                <w:highlight w:val="none"/>
              </w:rPr>
              <w:t>两侧设置1.5m宽巡护路台阶，台阶高度0.2m，宽度0.</w:t>
            </w:r>
            <w:r>
              <w:rPr>
                <w:rFonts w:hint="eastAsia"/>
                <w:color w:val="auto"/>
                <w:highlight w:val="none"/>
              </w:rPr>
              <w:t>6</w:t>
            </w:r>
            <w:r>
              <w:rPr>
                <w:color w:val="auto"/>
                <w:highlight w:val="none"/>
              </w:rPr>
              <w:t>m，厚度0.15m，为C25素混凝土结构，</w:t>
            </w:r>
            <w:r>
              <w:rPr>
                <w:rFonts w:hint="eastAsia"/>
                <w:color w:val="auto"/>
                <w:highlight w:val="none"/>
              </w:rPr>
              <w:t>排洪槽</w:t>
            </w:r>
            <w:r>
              <w:rPr>
                <w:color w:val="auto"/>
                <w:highlight w:val="none"/>
              </w:rPr>
              <w:t>边墙顶部设置1.2m高钢制栏杆。</w:t>
            </w:r>
          </w:p>
          <w:p>
            <w:pPr>
              <w:pStyle w:val="8"/>
              <w:rPr>
                <w:rFonts w:hint="eastAsia" w:cs="Times New Roman"/>
                <w:b/>
                <w:bCs/>
                <w:color w:val="auto"/>
                <w:lang w:val="en-US" w:eastAsia="zh-CN"/>
              </w:rPr>
            </w:pPr>
            <w:r>
              <w:rPr>
                <w:rFonts w:hint="eastAsia" w:eastAsia="宋体"/>
                <w:color w:val="auto"/>
                <w:highlight w:val="none"/>
                <w:lang w:eastAsia="zh-CN"/>
              </w:rPr>
              <w:drawing>
                <wp:inline distT="0" distB="0" distL="114300" distR="114300">
                  <wp:extent cx="4777740" cy="2755265"/>
                  <wp:effectExtent l="0" t="0" r="3810" b="6985"/>
                  <wp:docPr id="3" name="图片 2" descr="03-折腰沟（二期）平面、结构图-出图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03-折腰沟（二期）平面、结构图-出图_00"/>
                          <pic:cNvPicPr>
                            <a:picLocks noChangeAspect="1"/>
                          </pic:cNvPicPr>
                        </pic:nvPicPr>
                        <pic:blipFill>
                          <a:blip r:embed="rId11"/>
                          <a:srcRect l="27719" t="25813" r="38434" b="44406"/>
                          <a:stretch>
                            <a:fillRect/>
                          </a:stretch>
                        </pic:blipFill>
                        <pic:spPr>
                          <a:xfrm>
                            <a:off x="0" y="0"/>
                            <a:ext cx="4777740" cy="2755265"/>
                          </a:xfrm>
                          <a:prstGeom prst="rect">
                            <a:avLst/>
                          </a:prstGeom>
                          <a:noFill/>
                          <a:ln>
                            <a:noFill/>
                          </a:ln>
                        </pic:spPr>
                      </pic:pic>
                    </a:graphicData>
                  </a:graphic>
                </wp:inline>
              </w:drawing>
            </w:r>
          </w:p>
          <w:p>
            <w:pPr>
              <w:pStyle w:val="19"/>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cs="Times New Roman"/>
                <w:b/>
                <w:bCs/>
                <w:color w:val="auto"/>
                <w:lang w:val="en-US" w:eastAsia="zh-CN"/>
              </w:rPr>
            </w:pPr>
            <w:r>
              <w:rPr>
                <w:rFonts w:hint="eastAsia" w:cs="Times New Roman"/>
                <w:b/>
                <w:bCs/>
                <w:color w:val="auto"/>
                <w:lang w:val="en-US" w:eastAsia="zh-CN"/>
              </w:rPr>
              <w:t>图8 陡槽断面图</w:t>
            </w:r>
          </w:p>
          <w:p>
            <w:pPr>
              <w:pStyle w:val="34"/>
              <w:ind w:firstLine="480"/>
              <w:rPr>
                <w:rFonts w:hint="default" w:cs="Times New Roman"/>
                <w:b/>
                <w:bCs/>
                <w:color w:val="auto"/>
                <w:lang w:val="en-US" w:eastAsia="zh-CN"/>
              </w:rPr>
            </w:pPr>
            <w:r>
              <w:rPr>
                <w:rFonts w:hint="eastAsia" w:cs="Times New Roman"/>
                <w:b/>
                <w:bCs/>
                <w:color w:val="auto"/>
                <w:lang w:val="en-US" w:eastAsia="zh-CN"/>
              </w:rPr>
              <w:t>2.3.3陡槽消能防冲段工程</w:t>
            </w:r>
          </w:p>
          <w:p>
            <w:pPr>
              <w:pStyle w:val="76"/>
              <w:keepNext w:val="0"/>
              <w:keepLines w:val="0"/>
              <w:pageBreakBefore w:val="0"/>
              <w:widowControl w:val="0"/>
              <w:numPr>
                <w:ilvl w:val="0"/>
                <w:numId w:val="4"/>
              </w:numPr>
              <w:kinsoku/>
              <w:wordWrap/>
              <w:overflowPunct/>
              <w:topLinePunct w:val="0"/>
              <w:autoSpaceDE/>
              <w:autoSpaceDN/>
              <w:bidi w:val="0"/>
              <w:adjustRightInd/>
              <w:snapToGrid w:val="0"/>
              <w:spacing w:before="0" w:after="0"/>
              <w:ind w:left="0" w:leftChars="0" w:firstLine="480" w:firstLineChars="200"/>
              <w:jc w:val="both"/>
              <w:textAlignment w:val="auto"/>
              <w:rPr>
                <w:color w:val="auto"/>
                <w:highlight w:val="none"/>
              </w:rPr>
            </w:pPr>
            <w:r>
              <w:rPr>
                <w:color w:val="auto"/>
                <w:highlight w:val="none"/>
              </w:rPr>
              <w:t>消力池结构：消力池采用C30钢筋混凝土结构。边墙高度</w:t>
            </w:r>
            <w:r>
              <w:rPr>
                <w:rFonts w:hint="eastAsia"/>
                <w:color w:val="auto"/>
                <w:highlight w:val="none"/>
              </w:rPr>
              <w:t>2.8</w:t>
            </w:r>
            <w:r>
              <w:rPr>
                <w:color w:val="auto"/>
                <w:highlight w:val="none"/>
              </w:rPr>
              <w:t>m</w:t>
            </w:r>
            <w:r>
              <w:rPr>
                <w:rFonts w:hint="eastAsia"/>
                <w:color w:val="auto"/>
                <w:highlight w:val="none"/>
              </w:rPr>
              <w:t>，</w:t>
            </w:r>
            <w:r>
              <w:rPr>
                <w:color w:val="auto"/>
                <w:highlight w:val="none"/>
              </w:rPr>
              <w:t>顶厚0.3m，底</w:t>
            </w:r>
            <w:r>
              <w:rPr>
                <w:rFonts w:hint="eastAsia"/>
                <w:color w:val="auto"/>
                <w:highlight w:val="none"/>
              </w:rPr>
              <w:t>部</w:t>
            </w:r>
            <w:r>
              <w:rPr>
                <w:color w:val="auto"/>
                <w:highlight w:val="none"/>
              </w:rPr>
              <w:t>厚0.6m</w:t>
            </w:r>
            <w:r>
              <w:rPr>
                <w:rFonts w:hint="eastAsia"/>
                <w:color w:val="auto"/>
                <w:highlight w:val="none"/>
              </w:rPr>
              <w:t>，池宽5m，池</w:t>
            </w:r>
            <w:r>
              <w:rPr>
                <w:color w:val="auto"/>
                <w:highlight w:val="none"/>
              </w:rPr>
              <w:t>长1</w:t>
            </w:r>
            <w:r>
              <w:rPr>
                <w:rFonts w:hint="eastAsia"/>
                <w:color w:val="auto"/>
                <w:highlight w:val="none"/>
              </w:rPr>
              <w:t>5</w:t>
            </w:r>
            <w:r>
              <w:rPr>
                <w:color w:val="auto"/>
                <w:highlight w:val="none"/>
              </w:rPr>
              <w:t>m，</w:t>
            </w:r>
            <w:r>
              <w:rPr>
                <w:rFonts w:hint="eastAsia"/>
                <w:color w:val="auto"/>
                <w:highlight w:val="none"/>
              </w:rPr>
              <w:t>外包复合土工膜（250g/0.5mm/250g），</w:t>
            </w:r>
            <w:r>
              <w:rPr>
                <w:color w:val="auto"/>
                <w:highlight w:val="none"/>
              </w:rPr>
              <w:t>底板顶高程1</w:t>
            </w:r>
            <w:r>
              <w:rPr>
                <w:rFonts w:hint="eastAsia"/>
                <w:color w:val="auto"/>
                <w:highlight w:val="none"/>
              </w:rPr>
              <w:t>472.04</w:t>
            </w:r>
            <w:r>
              <w:rPr>
                <w:color w:val="auto"/>
                <w:highlight w:val="none"/>
              </w:rPr>
              <w:t>m。</w:t>
            </w:r>
            <w:r>
              <w:rPr>
                <w:rFonts w:hint="eastAsia"/>
                <w:color w:val="auto"/>
                <w:highlight w:val="none"/>
              </w:rPr>
              <w:t>底板下部设1</w:t>
            </w:r>
            <w:r>
              <w:rPr>
                <w:color w:val="auto"/>
                <w:highlight w:val="none"/>
              </w:rPr>
              <w:t>0</w:t>
            </w:r>
            <w:r>
              <w:rPr>
                <w:rFonts w:hint="eastAsia"/>
                <w:color w:val="auto"/>
                <w:highlight w:val="none"/>
              </w:rPr>
              <w:t>cm厚C20混凝土垫层，垫层超出尺寸宽度1</w:t>
            </w:r>
            <w:r>
              <w:rPr>
                <w:color w:val="auto"/>
                <w:highlight w:val="none"/>
              </w:rPr>
              <w:t>0</w:t>
            </w:r>
            <w:r>
              <w:rPr>
                <w:rFonts w:hint="eastAsia"/>
                <w:color w:val="auto"/>
                <w:highlight w:val="none"/>
              </w:rPr>
              <w:t>cm；消力池身0.5m，</w:t>
            </w:r>
            <w:r>
              <w:rPr>
                <w:color w:val="auto"/>
                <w:highlight w:val="none"/>
              </w:rPr>
              <w:t>尾槛高度1.0m，在</w:t>
            </w:r>
            <w:r>
              <w:rPr>
                <w:rFonts w:hint="eastAsia"/>
                <w:color w:val="auto"/>
                <w:highlight w:val="none"/>
              </w:rPr>
              <w:t>与陡槽衔接</w:t>
            </w:r>
            <w:r>
              <w:rPr>
                <w:color w:val="auto"/>
                <w:highlight w:val="none"/>
              </w:rPr>
              <w:t>处设置结构分缝。在池顶两侧设置1.5m宽日常巡查道路，为0.15m厚</w:t>
            </w:r>
            <w:r>
              <w:rPr>
                <w:rFonts w:hint="eastAsia"/>
                <w:color w:val="auto"/>
                <w:highlight w:val="none"/>
              </w:rPr>
              <w:t>C25</w:t>
            </w:r>
            <w:r>
              <w:rPr>
                <w:color w:val="auto"/>
                <w:highlight w:val="none"/>
              </w:rPr>
              <w:t>素混凝土路面，消力池顶部设置1.2m高钢管防护栏杆。</w:t>
            </w:r>
          </w:p>
          <w:p>
            <w:pPr>
              <w:pStyle w:val="19"/>
              <w:rPr>
                <w:rFonts w:hint="eastAsia" w:cs="Times New Roman"/>
                <w:b/>
                <w:bCs/>
                <w:color w:val="auto"/>
                <w:lang w:val="en-US" w:eastAsia="zh-CN"/>
              </w:rPr>
            </w:pPr>
            <w:r>
              <w:rPr>
                <w:rFonts w:hint="eastAsia"/>
                <w:color w:val="auto"/>
                <w:highlight w:val="none"/>
              </w:rPr>
              <w:drawing>
                <wp:inline distT="0" distB="0" distL="114300" distR="114300">
                  <wp:extent cx="4754880" cy="2741295"/>
                  <wp:effectExtent l="0" t="0" r="7620" b="1905"/>
                  <wp:docPr id="4" name="图片 3" descr="03-折腰沟-消力池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03-折腰沟-消力池_00"/>
                          <pic:cNvPicPr>
                            <a:picLocks noChangeAspect="1"/>
                          </pic:cNvPicPr>
                        </pic:nvPicPr>
                        <pic:blipFill>
                          <a:blip r:embed="rId12"/>
                          <a:srcRect l="4466" t="9630" r="52289" b="54381"/>
                          <a:stretch>
                            <a:fillRect/>
                          </a:stretch>
                        </pic:blipFill>
                        <pic:spPr>
                          <a:xfrm>
                            <a:off x="0" y="0"/>
                            <a:ext cx="4754880" cy="2741295"/>
                          </a:xfrm>
                          <a:prstGeom prst="rect">
                            <a:avLst/>
                          </a:prstGeom>
                          <a:noFill/>
                          <a:ln>
                            <a:noFill/>
                          </a:ln>
                        </pic:spPr>
                      </pic:pic>
                    </a:graphicData>
                  </a:graphic>
                </wp:inline>
              </w:drawing>
            </w:r>
          </w:p>
          <w:p>
            <w:pPr>
              <w:pStyle w:val="19"/>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default" w:cs="Times New Roman"/>
                <w:b/>
                <w:bCs/>
                <w:color w:val="auto"/>
                <w:lang w:val="en-US" w:eastAsia="zh-CN"/>
              </w:rPr>
            </w:pPr>
            <w:r>
              <w:rPr>
                <w:rFonts w:hint="eastAsia" w:cs="Times New Roman"/>
                <w:b/>
                <w:bCs/>
                <w:color w:val="auto"/>
                <w:lang w:val="en-US" w:eastAsia="zh-CN"/>
              </w:rPr>
              <w:t>图9  消力池断面图</w:t>
            </w:r>
          </w:p>
          <w:p>
            <w:pPr>
              <w:pStyle w:val="76"/>
              <w:numPr>
                <w:ilvl w:val="0"/>
                <w:numId w:val="4"/>
              </w:numPr>
              <w:ind w:left="0" w:leftChars="0" w:firstLine="480" w:firstLineChars="200"/>
              <w:rPr>
                <w:color w:val="auto"/>
                <w:highlight w:val="none"/>
              </w:rPr>
            </w:pPr>
            <w:r>
              <w:rPr>
                <w:color w:val="auto"/>
                <w:highlight w:val="none"/>
              </w:rPr>
              <w:t>辅助消能</w:t>
            </w:r>
            <w:r>
              <w:rPr>
                <w:rFonts w:hint="eastAsia"/>
                <w:color w:val="auto"/>
                <w:highlight w:val="none"/>
              </w:rPr>
              <w:t>工</w:t>
            </w:r>
            <w:r>
              <w:rPr>
                <w:color w:val="auto"/>
                <w:highlight w:val="none"/>
              </w:rPr>
              <w:t>设计：</w:t>
            </w:r>
            <w:r>
              <w:rPr>
                <w:rFonts w:hint="eastAsia"/>
                <w:color w:val="auto"/>
                <w:highlight w:val="none"/>
              </w:rPr>
              <w:t>为加强消能效果，在消力池底板设置消力墩，为直角梯形断面，长度0</w:t>
            </w:r>
            <w:r>
              <w:rPr>
                <w:color w:val="auto"/>
                <w:highlight w:val="none"/>
              </w:rPr>
              <w:t>.5</w:t>
            </w:r>
            <w:r>
              <w:rPr>
                <w:rFonts w:hint="eastAsia"/>
                <w:color w:val="auto"/>
                <w:highlight w:val="none"/>
              </w:rPr>
              <w:t>m，高度0</w:t>
            </w:r>
            <w:r>
              <w:rPr>
                <w:color w:val="auto"/>
                <w:highlight w:val="none"/>
              </w:rPr>
              <w:t>.5</w:t>
            </w:r>
            <w:r>
              <w:rPr>
                <w:rFonts w:hint="eastAsia"/>
                <w:color w:val="auto"/>
                <w:highlight w:val="none"/>
              </w:rPr>
              <w:t>m，顶宽0</w:t>
            </w:r>
            <w:r>
              <w:rPr>
                <w:color w:val="auto"/>
                <w:highlight w:val="none"/>
              </w:rPr>
              <w:t>.4</w:t>
            </w:r>
            <w:r>
              <w:rPr>
                <w:rFonts w:hint="eastAsia"/>
                <w:color w:val="auto"/>
                <w:highlight w:val="none"/>
              </w:rPr>
              <w:t>m，底宽</w:t>
            </w:r>
            <w:r>
              <w:rPr>
                <w:color w:val="auto"/>
                <w:highlight w:val="none"/>
              </w:rPr>
              <w:t>0.9</w:t>
            </w:r>
            <w:r>
              <w:rPr>
                <w:rFonts w:hint="eastAsia"/>
                <w:color w:val="auto"/>
                <w:highlight w:val="none"/>
              </w:rPr>
              <w:t>m，下游侧坡比1:1，消力墩采用C30钢筋混凝土结构</w:t>
            </w:r>
            <w:r>
              <w:rPr>
                <w:color w:val="auto"/>
                <w:highlight w:val="none"/>
              </w:rPr>
              <w:t>。</w:t>
            </w:r>
          </w:p>
          <w:p>
            <w:pPr>
              <w:pStyle w:val="34"/>
              <w:ind w:firstLine="480"/>
              <w:rPr>
                <w:rFonts w:hint="default" w:cs="Times New Roman"/>
                <w:b/>
                <w:bCs/>
                <w:color w:val="auto"/>
                <w:lang w:val="en-US" w:eastAsia="zh-CN"/>
              </w:rPr>
            </w:pPr>
            <w:r>
              <w:rPr>
                <w:rFonts w:hint="eastAsia" w:cs="Times New Roman"/>
                <w:b/>
                <w:bCs/>
                <w:color w:val="auto"/>
                <w:lang w:val="en-US" w:eastAsia="zh-CN"/>
              </w:rPr>
              <w:t>2.3.4消力池下游防护段工程</w:t>
            </w:r>
          </w:p>
          <w:p>
            <w:pPr>
              <w:pStyle w:val="76"/>
              <w:keepNext w:val="0"/>
              <w:keepLines w:val="0"/>
              <w:pageBreakBefore w:val="0"/>
              <w:widowControl w:val="0"/>
              <w:kinsoku/>
              <w:wordWrap/>
              <w:overflowPunct/>
              <w:topLinePunct w:val="0"/>
              <w:autoSpaceDE/>
              <w:autoSpaceDN/>
              <w:bidi w:val="0"/>
              <w:adjustRightInd/>
              <w:snapToGrid w:val="0"/>
              <w:spacing w:before="0" w:after="0"/>
              <w:textAlignment w:val="auto"/>
              <w:rPr>
                <w:color w:val="auto"/>
                <w:highlight w:val="none"/>
              </w:rPr>
            </w:pPr>
            <w:r>
              <w:rPr>
                <w:color w:val="auto"/>
                <w:highlight w:val="none"/>
              </w:rPr>
              <w:t>消力池出口段</w:t>
            </w:r>
            <w:r>
              <w:rPr>
                <w:rFonts w:hint="eastAsia"/>
                <w:color w:val="auto"/>
                <w:highlight w:val="none"/>
              </w:rPr>
              <w:t>位于沟道内，沟道两岸岸坡较高，排洪槽跌差较大，可能在消力池后发生二次水跃，因此在消力池下游设置5m长钢筋混凝土护坦，后接30m长浆砌石海漫，以免引起下游沟道冲刷，海漫下游沟道边坡进行部分砌护，以保护两岸岸坡稳定。</w:t>
            </w:r>
          </w:p>
          <w:p>
            <w:pPr>
              <w:pStyle w:val="76"/>
              <w:keepNext w:val="0"/>
              <w:keepLines w:val="0"/>
              <w:pageBreakBefore w:val="0"/>
              <w:widowControl w:val="0"/>
              <w:kinsoku/>
              <w:wordWrap/>
              <w:overflowPunct/>
              <w:topLinePunct w:val="0"/>
              <w:autoSpaceDE/>
              <w:autoSpaceDN/>
              <w:bidi w:val="0"/>
              <w:adjustRightInd/>
              <w:snapToGrid w:val="0"/>
              <w:spacing w:before="0" w:after="0"/>
              <w:textAlignment w:val="auto"/>
              <w:rPr>
                <w:rFonts w:hint="eastAsia" w:eastAsia="宋体"/>
                <w:color w:val="auto"/>
                <w:highlight w:val="none"/>
                <w:lang w:eastAsia="zh-CN"/>
              </w:rPr>
            </w:pPr>
            <w:r>
              <w:rPr>
                <w:rFonts w:hint="eastAsia"/>
                <w:color w:val="auto"/>
                <w:highlight w:val="none"/>
              </w:rPr>
              <w:t>护坦采用钢筋混凝土结构，为水平设置，底宽5m，边墙高2.3~1.9m，底板厚0.3m，外包复合土工膜（250g/0.5mm/250g），在与消力池及下游海漫衔接处设置齿槽，齿槽深度1.5m</w:t>
            </w:r>
            <w:r>
              <w:rPr>
                <w:rFonts w:hint="eastAsia"/>
                <w:color w:val="auto"/>
                <w:highlight w:val="none"/>
                <w:lang w:eastAsia="zh-CN"/>
              </w:rPr>
              <w:t>，</w:t>
            </w:r>
            <w:r>
              <w:rPr>
                <w:color w:val="auto"/>
                <w:highlight w:val="none"/>
              </w:rPr>
              <w:t>边墙顶部设置1.2m高钢制栏杆</w:t>
            </w:r>
            <w:r>
              <w:rPr>
                <w:rFonts w:hint="eastAsia"/>
                <w:color w:val="auto"/>
                <w:highlight w:val="none"/>
                <w:lang w:eastAsia="zh-CN"/>
              </w:rPr>
              <w:t>。</w:t>
            </w:r>
          </w:p>
          <w:p>
            <w:pPr>
              <w:pStyle w:val="76"/>
              <w:keepNext w:val="0"/>
              <w:keepLines w:val="0"/>
              <w:pageBreakBefore w:val="0"/>
              <w:widowControl w:val="0"/>
              <w:kinsoku/>
              <w:wordWrap/>
              <w:overflowPunct/>
              <w:topLinePunct w:val="0"/>
              <w:autoSpaceDE/>
              <w:autoSpaceDN/>
              <w:bidi w:val="0"/>
              <w:adjustRightInd/>
              <w:snapToGrid w:val="0"/>
              <w:spacing w:before="0" w:after="0"/>
              <w:jc w:val="both"/>
              <w:textAlignment w:val="auto"/>
              <w:rPr>
                <w:color w:val="auto"/>
                <w:highlight w:val="none"/>
              </w:rPr>
            </w:pPr>
            <w:r>
              <w:rPr>
                <w:rFonts w:hint="eastAsia"/>
                <w:color w:val="auto"/>
                <w:highlight w:val="none"/>
              </w:rPr>
              <w:t>海漫段采用浆砌石护底+浆砌石护坡结构，沟底比降为1:21，护底宽度5m，护坡高度1.9~1m，段落长度30m；浆砌石护底厚度为0.3m，护坡厚度为0.3m，护脚</w:t>
            </w:r>
            <w:r>
              <w:rPr>
                <w:rFonts w:hint="eastAsia"/>
                <w:color w:val="auto"/>
                <w:highlight w:val="none"/>
                <w:lang w:val="en-US" w:eastAsia="zh-CN"/>
              </w:rPr>
              <w:t>宽度</w:t>
            </w:r>
            <w:r>
              <w:rPr>
                <w:rFonts w:hint="eastAsia"/>
                <w:color w:val="auto"/>
                <w:highlight w:val="none"/>
              </w:rPr>
              <w:t>为0.5m，深度1.5m，护坡顶设置</w:t>
            </w:r>
            <w:r>
              <w:rPr>
                <w:color w:val="auto"/>
                <w:highlight w:val="none"/>
              </w:rPr>
              <w:t>0.2</w:t>
            </w:r>
            <w:r>
              <w:rPr>
                <w:rFonts w:hint="eastAsia"/>
                <w:color w:val="auto"/>
                <w:highlight w:val="none"/>
              </w:rPr>
              <w:t>m厚C20素混凝土压顶，宽度为0.3m。</w:t>
            </w:r>
          </w:p>
          <w:p>
            <w:pPr>
              <w:pStyle w:val="76"/>
              <w:keepNext w:val="0"/>
              <w:keepLines w:val="0"/>
              <w:pageBreakBefore w:val="0"/>
              <w:widowControl w:val="0"/>
              <w:kinsoku/>
              <w:wordWrap/>
              <w:overflowPunct/>
              <w:topLinePunct w:val="0"/>
              <w:autoSpaceDE/>
              <w:autoSpaceDN/>
              <w:bidi w:val="0"/>
              <w:adjustRightInd/>
              <w:snapToGrid w:val="0"/>
              <w:spacing w:before="0" w:after="0"/>
              <w:textAlignment w:val="auto"/>
              <w:rPr>
                <w:color w:val="auto"/>
                <w:highlight w:val="none"/>
              </w:rPr>
            </w:pPr>
            <w:r>
              <w:rPr>
                <w:rFonts w:hint="eastAsia"/>
                <w:color w:val="auto"/>
                <w:highlight w:val="none"/>
              </w:rPr>
              <w:t>对海漫下游沟道边坡进行部分砌护，以保护两岸岸坡稳定，其中，左岸砌护段落为0+264.13~0+300.31，长度36.18m；右岸砌护段落为0+264.13~0+272.93，长度8.8m，均采用浆砌石砌护，护坡厚度为0.3m，砌护高度为1m，护脚</w:t>
            </w:r>
            <w:r>
              <w:rPr>
                <w:rFonts w:hint="eastAsia"/>
                <w:color w:val="auto"/>
                <w:highlight w:val="none"/>
                <w:lang w:val="en-US" w:eastAsia="zh-CN"/>
              </w:rPr>
              <w:t>宽度</w:t>
            </w:r>
            <w:r>
              <w:rPr>
                <w:rFonts w:hint="eastAsia"/>
                <w:color w:val="auto"/>
                <w:highlight w:val="none"/>
              </w:rPr>
              <w:t>为0.5m，深1.5m。</w:t>
            </w:r>
          </w:p>
          <w:p>
            <w:pPr>
              <w:pStyle w:val="34"/>
              <w:ind w:firstLine="480"/>
              <w:rPr>
                <w:rFonts w:hint="default" w:cs="Times New Roman"/>
                <w:b/>
                <w:bCs/>
                <w:color w:val="auto"/>
                <w:lang w:val="en-US" w:eastAsia="zh-CN"/>
              </w:rPr>
            </w:pPr>
            <w:r>
              <w:rPr>
                <w:rFonts w:hint="eastAsia" w:cs="Times New Roman"/>
                <w:b/>
                <w:bCs/>
                <w:color w:val="auto"/>
                <w:lang w:val="en-US" w:eastAsia="zh-CN"/>
              </w:rPr>
              <w:t>2.3边坡整治工程</w:t>
            </w:r>
          </w:p>
          <w:p>
            <w:pPr>
              <w:pStyle w:val="34"/>
              <w:ind w:firstLine="480"/>
              <w:rPr>
                <w:rFonts w:hint="default" w:ascii="Times New Roman" w:hAnsi="Times New Roman" w:eastAsia="宋体" w:cs="Times New Roman"/>
                <w:b/>
                <w:bCs/>
                <w:color w:val="auto"/>
                <w:lang w:val="en-US" w:eastAsia="zh-CN"/>
              </w:rPr>
            </w:pPr>
            <w:r>
              <w:rPr>
                <w:rFonts w:hint="eastAsia" w:ascii="Times New Roman" w:hAnsi="Times New Roman" w:eastAsia="宋体" w:cs="Times New Roman"/>
                <w:b/>
                <w:bCs/>
                <w:color w:val="auto"/>
                <w:lang w:val="en-US" w:eastAsia="zh-CN"/>
              </w:rPr>
              <w:t>2.3.1 边坡现状</w:t>
            </w:r>
          </w:p>
          <w:p>
            <w:pPr>
              <w:pStyle w:val="76"/>
              <w:rPr>
                <w:rFonts w:hint="eastAsia"/>
                <w:color w:val="auto"/>
                <w:highlight w:val="none"/>
                <w:lang w:eastAsia="zh-CN"/>
              </w:rPr>
            </w:pPr>
            <w:r>
              <w:rPr>
                <w:rFonts w:hint="eastAsia"/>
                <w:color w:val="auto"/>
                <w:highlight w:val="none"/>
              </w:rPr>
              <w:t>根据地形地质条件，现状下游冲沟地形凌乱，坑洞遍布，冲沟两岸边坡陡峻近乎直立的陡崖，左、右岸顶部</w:t>
            </w:r>
            <w:r>
              <w:rPr>
                <w:rFonts w:hint="eastAsia"/>
                <w:color w:val="auto"/>
                <w:highlight w:val="none"/>
                <w:lang w:val="en-US" w:eastAsia="zh-CN"/>
              </w:rPr>
              <w:t>现状</w:t>
            </w:r>
            <w:r>
              <w:rPr>
                <w:rFonts w:hint="eastAsia"/>
                <w:color w:val="auto"/>
                <w:highlight w:val="none"/>
              </w:rPr>
              <w:t>高程15</w:t>
            </w:r>
            <w:r>
              <w:rPr>
                <w:color w:val="auto"/>
                <w:highlight w:val="none"/>
              </w:rPr>
              <w:t>26</w:t>
            </w:r>
            <w:r>
              <w:rPr>
                <w:rFonts w:hint="eastAsia"/>
                <w:color w:val="auto"/>
                <w:highlight w:val="none"/>
              </w:rPr>
              <w:t>~15</w:t>
            </w:r>
            <w:r>
              <w:rPr>
                <w:color w:val="auto"/>
                <w:highlight w:val="none"/>
              </w:rPr>
              <w:t>28</w:t>
            </w:r>
            <w:r>
              <w:rPr>
                <w:rFonts w:hint="eastAsia"/>
                <w:color w:val="auto"/>
                <w:highlight w:val="none"/>
              </w:rPr>
              <w:t>m左右，现状冲沟底部高程1477m左右，最大高差51m，排洪槽开挖过程中需对左岸边坡进行大量开挖，排洪槽下段右岸边坡陡峭、土体松散，若不清理，将存在安全隐患，为保证工程施工及后续运行安全，排洪槽两岸需开挖形成稳定永久边坡。另一方面，因排洪槽两岸边坡土体松散，风蚀雨蚀问题突出，若发生滑塌将危及排洪建筑物和日常管理人员人身安全</w:t>
            </w:r>
            <w:r>
              <w:rPr>
                <w:rFonts w:hint="eastAsia"/>
                <w:color w:val="auto"/>
                <w:highlight w:val="none"/>
                <w:lang w:eastAsia="zh-CN"/>
              </w:rPr>
              <w:t>。</w:t>
            </w:r>
          </w:p>
          <w:p>
            <w:pPr>
              <w:pStyle w:val="76"/>
              <w:keepNext w:val="0"/>
              <w:keepLines w:val="0"/>
              <w:pageBreakBefore w:val="0"/>
              <w:widowControl w:val="0"/>
              <w:kinsoku/>
              <w:wordWrap/>
              <w:overflowPunct/>
              <w:topLinePunct w:val="0"/>
              <w:autoSpaceDE/>
              <w:autoSpaceDN/>
              <w:bidi w:val="0"/>
              <w:adjustRightInd/>
              <w:snapToGrid w:val="0"/>
              <w:spacing w:before="0" w:after="0"/>
              <w:textAlignment w:val="auto"/>
              <w:rPr>
                <w:rFonts w:hint="eastAsia"/>
                <w:color w:val="auto"/>
                <w:highlight w:val="none"/>
              </w:rPr>
            </w:pPr>
            <w:r>
              <w:rPr>
                <w:rFonts w:hint="eastAsia"/>
                <w:color w:val="auto"/>
                <w:highlight w:val="none"/>
              </w:rPr>
              <w:t>因此本工程对开挖后两岸永久边坡进行</w:t>
            </w:r>
            <w:r>
              <w:rPr>
                <w:rFonts w:hint="eastAsia"/>
                <w:color w:val="auto"/>
                <w:highlight w:val="none"/>
                <w:lang w:val="en-US" w:eastAsia="zh-CN"/>
              </w:rPr>
              <w:t>整治</w:t>
            </w:r>
            <w:r>
              <w:rPr>
                <w:rFonts w:hint="eastAsia"/>
                <w:color w:val="auto"/>
                <w:highlight w:val="none"/>
              </w:rPr>
              <w:t>，完善坡面排水措施，对于边坡裸露面播撒草种，增强水保措施。</w:t>
            </w:r>
          </w:p>
          <w:p>
            <w:pPr>
              <w:pStyle w:val="34"/>
              <w:ind w:firstLine="480"/>
              <w:rPr>
                <w:rFonts w:hint="default" w:ascii="Times New Roman" w:hAnsi="Times New Roman" w:eastAsia="宋体" w:cs="Times New Roman"/>
                <w:b/>
                <w:bCs/>
                <w:color w:val="auto"/>
                <w:lang w:val="en-US" w:eastAsia="zh-CN"/>
              </w:rPr>
            </w:pPr>
            <w:r>
              <w:rPr>
                <w:rFonts w:hint="eastAsia" w:ascii="Times New Roman" w:hAnsi="Times New Roman" w:eastAsia="宋体" w:cs="Times New Roman"/>
                <w:b/>
                <w:bCs/>
                <w:color w:val="auto"/>
                <w:lang w:val="en-US" w:eastAsia="zh-CN"/>
              </w:rPr>
              <w:t>2.3.2 边坡开挖及设计</w:t>
            </w:r>
          </w:p>
          <w:p>
            <w:pPr>
              <w:pStyle w:val="76"/>
              <w:keepNext w:val="0"/>
              <w:keepLines w:val="0"/>
              <w:pageBreakBefore w:val="0"/>
              <w:widowControl w:val="0"/>
              <w:kinsoku/>
              <w:wordWrap/>
              <w:overflowPunct/>
              <w:topLinePunct w:val="0"/>
              <w:autoSpaceDE/>
              <w:autoSpaceDN/>
              <w:bidi w:val="0"/>
              <w:snapToGrid w:val="0"/>
              <w:spacing w:before="0" w:after="0"/>
              <w:textAlignment w:val="auto"/>
              <w:rPr>
                <w:rFonts w:hint="eastAsia"/>
                <w:color w:val="auto"/>
                <w:highlight w:val="none"/>
              </w:rPr>
            </w:pPr>
            <w:r>
              <w:rPr>
                <w:rFonts w:hint="eastAsia"/>
                <w:color w:val="auto"/>
                <w:highlight w:val="none"/>
              </w:rPr>
              <w:t>本工程主要建筑物为5级，高边坡主要在排洪槽及消力池段，根据《水利水电工程边坡设计规范》（SL386-2007），综合分析确定边坡等级为5级。</w:t>
            </w:r>
          </w:p>
          <w:p>
            <w:pPr>
              <w:pStyle w:val="76"/>
              <w:keepNext w:val="0"/>
              <w:keepLines w:val="0"/>
              <w:pageBreakBefore w:val="0"/>
              <w:widowControl w:val="0"/>
              <w:kinsoku/>
              <w:wordWrap/>
              <w:overflowPunct/>
              <w:topLinePunct w:val="0"/>
              <w:autoSpaceDE/>
              <w:autoSpaceDN/>
              <w:bidi w:val="0"/>
              <w:snapToGrid w:val="0"/>
              <w:spacing w:before="0" w:after="0"/>
              <w:jc w:val="both"/>
              <w:textAlignment w:val="auto"/>
              <w:rPr>
                <w:color w:val="auto"/>
                <w:highlight w:val="none"/>
              </w:rPr>
            </w:pPr>
            <w:r>
              <w:rPr>
                <w:rFonts w:hint="eastAsia"/>
                <w:color w:val="auto"/>
                <w:highlight w:val="none"/>
              </w:rPr>
              <w:t>本工程主要边坡开挖部位为陡槽和消力池段，根据地质条件，拟定永久开挖边坡坡比1:</w:t>
            </w:r>
            <w:r>
              <w:rPr>
                <w:color w:val="auto"/>
                <w:highlight w:val="none"/>
              </w:rPr>
              <w:t>1.5</w:t>
            </w:r>
            <w:r>
              <w:rPr>
                <w:rFonts w:hint="eastAsia"/>
                <w:color w:val="auto"/>
                <w:highlight w:val="none"/>
              </w:rPr>
              <w:t>，每5m高设置1级马道，马道宽度2.0m，永久开挖的底部高程以排洪槽和消力池的侧墙顶高程作为控制。开挖后地形整治应依坡就势，与周围地形地貌缓和平顺衔接，对于边坡裸露面播撒草种，增强水保措施，体现与周边环境形态的融合性，美观性。对排洪建筑物两侧5</w:t>
            </w:r>
            <w:r>
              <w:rPr>
                <w:color w:val="auto"/>
                <w:highlight w:val="none"/>
              </w:rPr>
              <w:t>0</w:t>
            </w:r>
            <w:r>
              <w:rPr>
                <w:rFonts w:hint="eastAsia"/>
                <w:color w:val="auto"/>
                <w:highlight w:val="none"/>
              </w:rPr>
              <w:t>m范围内的落水洞、坑槽等进行回填处理。</w:t>
            </w:r>
          </w:p>
          <w:p>
            <w:pPr>
              <w:pStyle w:val="76"/>
              <w:keepNext w:val="0"/>
              <w:keepLines w:val="0"/>
              <w:pageBreakBefore w:val="0"/>
              <w:widowControl w:val="0"/>
              <w:kinsoku/>
              <w:wordWrap/>
              <w:overflowPunct/>
              <w:topLinePunct w:val="0"/>
              <w:autoSpaceDE/>
              <w:autoSpaceDN/>
              <w:bidi w:val="0"/>
              <w:snapToGrid w:val="0"/>
              <w:spacing w:before="0" w:after="0"/>
              <w:jc w:val="both"/>
              <w:textAlignment w:val="auto"/>
              <w:rPr>
                <w:rFonts w:hint="eastAsia"/>
                <w:color w:val="auto"/>
                <w:highlight w:val="none"/>
              </w:rPr>
            </w:pPr>
            <w:r>
              <w:rPr>
                <w:rFonts w:hint="eastAsia"/>
                <w:color w:val="auto"/>
                <w:highlight w:val="none"/>
              </w:rPr>
              <w:t>在</w:t>
            </w:r>
            <w:r>
              <w:rPr>
                <w:rFonts w:hint="eastAsia"/>
                <w:color w:val="auto"/>
                <w:highlight w:val="none"/>
                <w:lang w:val="en-US" w:eastAsia="zh-CN"/>
              </w:rPr>
              <w:t>坡顶及</w:t>
            </w:r>
            <w:r>
              <w:rPr>
                <w:rFonts w:hint="eastAsia"/>
                <w:color w:val="auto"/>
                <w:highlight w:val="none"/>
              </w:rPr>
              <w:t>每级马道坡脚设置排水沟，排水沟均采用C25混凝土结构，尺寸为0.3*0.3m，壁厚0.15m。</w:t>
            </w:r>
          </w:p>
          <w:p>
            <w:pPr>
              <w:pStyle w:val="34"/>
              <w:keepNext w:val="0"/>
              <w:keepLines w:val="0"/>
              <w:pageBreakBefore w:val="0"/>
              <w:widowControl w:val="0"/>
              <w:kinsoku/>
              <w:wordWrap/>
              <w:overflowPunct/>
              <w:topLinePunct w:val="0"/>
              <w:autoSpaceDE/>
              <w:autoSpaceDN/>
              <w:bidi w:val="0"/>
              <w:snapToGrid w:val="0"/>
              <w:ind w:firstLine="480"/>
              <w:textAlignment w:val="auto"/>
              <w:rPr>
                <w:rFonts w:hint="eastAsia" w:cs="Times New Roman"/>
                <w:b/>
                <w:bCs/>
                <w:color w:val="auto"/>
                <w:lang w:val="en-US" w:eastAsia="zh-CN"/>
              </w:rPr>
            </w:pPr>
            <w:r>
              <w:rPr>
                <w:rFonts w:hint="eastAsia"/>
                <w:color w:val="auto"/>
                <w:highlight w:val="none"/>
              </w:rPr>
              <w:t>在施工过程中对排洪槽两边的天然沟叉、坑槽、落水洞等进行回填形成较为规整的地形，保证建筑物基础安全。</w:t>
            </w:r>
          </w:p>
          <w:p>
            <w:pPr>
              <w:pStyle w:val="34"/>
              <w:ind w:firstLine="480"/>
              <w:rPr>
                <w:rFonts w:hint="default" w:cs="Times New Roman"/>
                <w:b/>
                <w:bCs/>
                <w:color w:val="auto"/>
                <w:lang w:val="en-US" w:eastAsia="zh-CN"/>
              </w:rPr>
            </w:pPr>
            <w:r>
              <w:rPr>
                <w:rFonts w:hint="eastAsia" w:cs="Times New Roman"/>
                <w:b/>
                <w:bCs/>
                <w:color w:val="auto"/>
                <w:lang w:val="en-US" w:eastAsia="zh-CN"/>
              </w:rPr>
              <w:t>2.3.3 边坡施工注意措施及建议</w:t>
            </w:r>
          </w:p>
          <w:p>
            <w:pPr>
              <w:pStyle w:val="76"/>
              <w:keepNext w:val="0"/>
              <w:keepLines w:val="0"/>
              <w:pageBreakBefore w:val="0"/>
              <w:widowControl w:val="0"/>
              <w:kinsoku/>
              <w:wordWrap/>
              <w:overflowPunct/>
              <w:topLinePunct w:val="0"/>
              <w:autoSpaceDE/>
              <w:autoSpaceDN/>
              <w:bidi w:val="0"/>
              <w:adjustRightInd/>
              <w:snapToGrid w:val="0"/>
              <w:spacing w:before="0" w:after="0"/>
              <w:textAlignment w:val="auto"/>
              <w:rPr>
                <w:rFonts w:hint="eastAsia"/>
                <w:color w:val="auto"/>
                <w:highlight w:val="none"/>
              </w:rPr>
            </w:pPr>
            <w:r>
              <w:rPr>
                <w:rFonts w:hint="eastAsia"/>
                <w:color w:val="auto"/>
                <w:highlight w:val="none"/>
              </w:rPr>
              <w:t>本工程高边坡开挖高度大，作业面狭窄，存在局部滑坡及坍塌；机械、人员坠落等重点安全隐患。在高边坡施工中务必注意以下事项：</w:t>
            </w:r>
          </w:p>
          <w:p>
            <w:pPr>
              <w:pStyle w:val="76"/>
              <w:keepNext w:val="0"/>
              <w:keepLines w:val="0"/>
              <w:pageBreakBefore w:val="0"/>
              <w:widowControl w:val="0"/>
              <w:kinsoku/>
              <w:wordWrap/>
              <w:overflowPunct/>
              <w:topLinePunct w:val="0"/>
              <w:autoSpaceDE/>
              <w:autoSpaceDN/>
              <w:bidi w:val="0"/>
              <w:adjustRightInd/>
              <w:snapToGrid w:val="0"/>
              <w:spacing w:before="0" w:after="0"/>
              <w:textAlignment w:val="auto"/>
              <w:rPr>
                <w:rFonts w:hint="eastAsia"/>
                <w:color w:val="auto"/>
                <w:highlight w:val="none"/>
              </w:rPr>
            </w:pPr>
            <w:r>
              <w:rPr>
                <w:rFonts w:hint="eastAsia"/>
                <w:color w:val="auto"/>
                <w:highlight w:val="none"/>
              </w:rPr>
              <w:t>（1）严格执行《水利水电工程边坡设计规范 SL 386--2007》，《工程建设强制性条文（2020）》等国家及行业标准、规范，严格执行自上而下的开挖顺序；</w:t>
            </w:r>
          </w:p>
          <w:p>
            <w:pPr>
              <w:pStyle w:val="76"/>
              <w:keepNext w:val="0"/>
              <w:keepLines w:val="0"/>
              <w:pageBreakBefore w:val="0"/>
              <w:widowControl w:val="0"/>
              <w:kinsoku/>
              <w:wordWrap/>
              <w:overflowPunct/>
              <w:topLinePunct w:val="0"/>
              <w:autoSpaceDE/>
              <w:autoSpaceDN/>
              <w:bidi w:val="0"/>
              <w:adjustRightInd/>
              <w:snapToGrid w:val="0"/>
              <w:spacing w:before="0" w:after="0"/>
              <w:textAlignment w:val="auto"/>
              <w:rPr>
                <w:rFonts w:hint="eastAsia"/>
                <w:color w:val="auto"/>
                <w:highlight w:val="none"/>
              </w:rPr>
            </w:pPr>
            <w:r>
              <w:rPr>
                <w:rFonts w:hint="eastAsia"/>
                <w:color w:val="auto"/>
                <w:highlight w:val="none"/>
              </w:rPr>
              <w:t>（2）施工单位应编制高边坡开挖专项方案，并按照经论证批准后，严格按照专项方案组织实施。</w:t>
            </w:r>
          </w:p>
          <w:p>
            <w:pPr>
              <w:pStyle w:val="76"/>
              <w:keepNext w:val="0"/>
              <w:keepLines w:val="0"/>
              <w:pageBreakBefore w:val="0"/>
              <w:widowControl w:val="0"/>
              <w:kinsoku/>
              <w:wordWrap/>
              <w:overflowPunct/>
              <w:topLinePunct w:val="0"/>
              <w:autoSpaceDE/>
              <w:autoSpaceDN/>
              <w:bidi w:val="0"/>
              <w:adjustRightInd/>
              <w:snapToGrid w:val="0"/>
              <w:spacing w:before="0" w:after="0"/>
              <w:textAlignment w:val="auto"/>
              <w:rPr>
                <w:rFonts w:hint="eastAsia"/>
                <w:color w:val="auto"/>
                <w:highlight w:val="none"/>
              </w:rPr>
            </w:pPr>
            <w:r>
              <w:rPr>
                <w:rFonts w:hint="eastAsia"/>
                <w:color w:val="auto"/>
                <w:highlight w:val="none"/>
              </w:rPr>
              <w:t>（3）严格落实安全责任制度，做好技术交底、安全交底、班前教育等工作，并配备专职安全员负责工作面的安全工作，定期组织安全检查和安全教育工作。</w:t>
            </w:r>
          </w:p>
          <w:p>
            <w:pPr>
              <w:pStyle w:val="76"/>
              <w:keepNext w:val="0"/>
              <w:keepLines w:val="0"/>
              <w:pageBreakBefore w:val="0"/>
              <w:widowControl w:val="0"/>
              <w:kinsoku/>
              <w:wordWrap/>
              <w:overflowPunct/>
              <w:topLinePunct w:val="0"/>
              <w:autoSpaceDE/>
              <w:autoSpaceDN/>
              <w:bidi w:val="0"/>
              <w:adjustRightInd/>
              <w:snapToGrid w:val="0"/>
              <w:spacing w:before="0" w:after="0"/>
              <w:textAlignment w:val="auto"/>
              <w:rPr>
                <w:rFonts w:hint="eastAsia"/>
                <w:color w:val="auto"/>
                <w:highlight w:val="none"/>
              </w:rPr>
            </w:pPr>
            <w:r>
              <w:rPr>
                <w:rFonts w:hint="eastAsia"/>
                <w:color w:val="auto"/>
                <w:highlight w:val="none"/>
              </w:rPr>
              <w:t>（4）落实现场安全防护措施，加强劳动保护、定期检查现场施工设备状况，技施维修保养，消除安全隐患、保证安全施工。</w:t>
            </w:r>
          </w:p>
          <w:p>
            <w:pPr>
              <w:pStyle w:val="76"/>
              <w:keepNext w:val="0"/>
              <w:keepLines w:val="0"/>
              <w:pageBreakBefore w:val="0"/>
              <w:widowControl w:val="0"/>
              <w:kinsoku/>
              <w:wordWrap/>
              <w:overflowPunct/>
              <w:topLinePunct w:val="0"/>
              <w:autoSpaceDE/>
              <w:autoSpaceDN/>
              <w:bidi w:val="0"/>
              <w:adjustRightInd/>
              <w:snapToGrid w:val="0"/>
              <w:spacing w:before="0" w:after="0"/>
              <w:textAlignment w:val="auto"/>
              <w:rPr>
                <w:color w:val="auto"/>
                <w:highlight w:val="none"/>
              </w:rPr>
            </w:pPr>
            <w:r>
              <w:rPr>
                <w:rFonts w:hint="eastAsia"/>
                <w:color w:val="auto"/>
                <w:highlight w:val="none"/>
              </w:rPr>
              <w:t>（5）编制安全事故应急预案，一旦发生安全风险，能够有序做好现场应急处置，防治安全事故扩大、妥善进行现场保护、人员救治、设备撤离等工作，按程序进行事故报告。</w:t>
            </w:r>
          </w:p>
          <w:p>
            <w:pPr>
              <w:pStyle w:val="6"/>
              <w:spacing w:line="360" w:lineRule="auto"/>
              <w:rPr>
                <w:rFonts w:hint="eastAsia"/>
                <w:color w:val="auto"/>
                <w:sz w:val="24"/>
                <w:szCs w:val="24"/>
              </w:rPr>
            </w:pPr>
            <w:r>
              <w:rPr>
                <w:rFonts w:hint="eastAsia"/>
                <w:color w:val="auto"/>
                <w:sz w:val="24"/>
                <w:szCs w:val="24"/>
              </w:rPr>
              <w:t>本项目施工期工艺流程及产污环节图见下图</w:t>
            </w:r>
          </w:p>
          <w:p>
            <w:pPr>
              <w:wordWrap w:val="0"/>
              <w:adjustRightInd w:val="0"/>
              <w:snapToGrid w:val="0"/>
              <w:spacing w:line="360" w:lineRule="auto"/>
              <w:jc w:val="center"/>
              <w:rPr>
                <w:b/>
                <w:color w:val="auto"/>
                <w:sz w:val="24"/>
              </w:rPr>
            </w:pPr>
            <w:r>
              <w:rPr>
                <w:b/>
                <w:color w:val="auto"/>
                <w:sz w:val="24"/>
              </w:rPr>
              <w:object>
                <v:shape id="_x0000_i1025" o:spt="75" type="#_x0000_t75" style="height:228.2pt;width:289.5pt;" o:ole="t" filled="f" o:preferrelative="t" stroked="f" coordsize="21600,21600">
                  <v:path/>
                  <v:fill on="f" focussize="0,0"/>
                  <v:stroke on="f"/>
                  <v:imagedata r:id="rId14" o:title=""/>
                  <o:lock v:ext="edit" aspectratio="f"/>
                  <w10:wrap type="none"/>
                  <w10:anchorlock/>
                </v:shape>
                <o:OLEObject Type="Embed" ProgID="Visio.Drawing.11" ShapeID="_x0000_i1025" DrawAspect="Content" ObjectID="_1468075725" r:id="rId13">
                  <o:LockedField>false</o:LockedField>
                </o:OLEObject>
              </w:object>
            </w:r>
          </w:p>
          <w:p>
            <w:pPr>
              <w:wordWrap w:val="0"/>
              <w:adjustRightInd w:val="0"/>
              <w:snapToGrid w:val="0"/>
              <w:spacing w:line="360" w:lineRule="auto"/>
              <w:jc w:val="center"/>
              <w:rPr>
                <w:b/>
                <w:color w:val="auto"/>
                <w:sz w:val="24"/>
              </w:rPr>
            </w:pPr>
            <w:r>
              <w:rPr>
                <w:b/>
                <w:color w:val="auto"/>
                <w:sz w:val="24"/>
              </w:rPr>
              <w:t>图</w:t>
            </w:r>
            <w:r>
              <w:rPr>
                <w:rFonts w:hint="eastAsia"/>
                <w:b/>
                <w:color w:val="auto"/>
                <w:sz w:val="24"/>
                <w:lang w:val="en-US" w:eastAsia="zh-CN"/>
              </w:rPr>
              <w:t>10</w:t>
            </w:r>
            <w:r>
              <w:rPr>
                <w:b/>
                <w:color w:val="auto"/>
                <w:sz w:val="24"/>
              </w:rPr>
              <w:t xml:space="preserve">    </w:t>
            </w:r>
            <w:r>
              <w:rPr>
                <w:rFonts w:hint="eastAsia"/>
                <w:b/>
                <w:color w:val="auto"/>
                <w:sz w:val="24"/>
              </w:rPr>
              <w:t>项目工</w:t>
            </w:r>
            <w:r>
              <w:rPr>
                <w:b/>
                <w:color w:val="auto"/>
                <w:sz w:val="24"/>
              </w:rPr>
              <w:t>程施工工艺流程及产污环节图</w:t>
            </w:r>
          </w:p>
          <w:p>
            <w:pPr>
              <w:pStyle w:val="6"/>
              <w:adjustRightInd w:val="0"/>
              <w:snapToGrid w:val="0"/>
              <w:spacing w:line="360" w:lineRule="auto"/>
              <w:ind w:firstLine="480" w:firstLineChars="200"/>
              <w:rPr>
                <w:rFonts w:hint="eastAsia"/>
                <w:color w:val="auto"/>
                <w:sz w:val="24"/>
                <w:szCs w:val="24"/>
              </w:rPr>
            </w:pPr>
            <w:r>
              <w:rPr>
                <w:rFonts w:hint="eastAsia"/>
                <w:color w:val="auto"/>
                <w:sz w:val="24"/>
                <w:szCs w:val="24"/>
              </w:rPr>
              <w:t>施工期产污环节：</w:t>
            </w:r>
          </w:p>
          <w:p>
            <w:pPr>
              <w:pStyle w:val="6"/>
              <w:adjustRightInd w:val="0"/>
              <w:snapToGrid w:val="0"/>
              <w:spacing w:line="360" w:lineRule="auto"/>
              <w:ind w:firstLine="480" w:firstLineChars="200"/>
              <w:rPr>
                <w:color w:val="auto"/>
                <w:sz w:val="24"/>
                <w:szCs w:val="24"/>
              </w:rPr>
            </w:pPr>
            <w:r>
              <w:rPr>
                <w:rFonts w:hint="eastAsia"/>
                <w:color w:val="auto"/>
                <w:sz w:val="24"/>
                <w:szCs w:val="24"/>
              </w:rPr>
              <w:t>废气：施工扬尘、道路扬尘、施工车辆和施工机械尾气；</w:t>
            </w:r>
          </w:p>
          <w:p>
            <w:pPr>
              <w:pStyle w:val="6"/>
              <w:adjustRightInd w:val="0"/>
              <w:snapToGrid w:val="0"/>
              <w:spacing w:line="360" w:lineRule="auto"/>
              <w:ind w:firstLine="480" w:firstLineChars="200"/>
              <w:rPr>
                <w:color w:val="auto"/>
                <w:sz w:val="24"/>
                <w:szCs w:val="24"/>
              </w:rPr>
            </w:pPr>
            <w:r>
              <w:rPr>
                <w:rFonts w:hint="eastAsia"/>
                <w:color w:val="auto"/>
                <w:sz w:val="24"/>
                <w:szCs w:val="24"/>
              </w:rPr>
              <w:t>噪声：施工机械设备噪声及运输车辆噪声；</w:t>
            </w:r>
          </w:p>
          <w:p>
            <w:pPr>
              <w:pStyle w:val="6"/>
              <w:adjustRightInd w:val="0"/>
              <w:snapToGrid w:val="0"/>
              <w:spacing w:line="360" w:lineRule="auto"/>
              <w:ind w:firstLine="480" w:firstLineChars="200"/>
              <w:rPr>
                <w:color w:val="auto"/>
                <w:sz w:val="24"/>
                <w:szCs w:val="24"/>
              </w:rPr>
            </w:pPr>
            <w:r>
              <w:rPr>
                <w:rFonts w:hint="eastAsia"/>
                <w:color w:val="auto"/>
                <w:sz w:val="24"/>
                <w:szCs w:val="24"/>
              </w:rPr>
              <w:t>废水：施工废水；</w:t>
            </w:r>
          </w:p>
          <w:p>
            <w:pPr>
              <w:pStyle w:val="6"/>
              <w:adjustRightInd w:val="0"/>
              <w:snapToGrid w:val="0"/>
              <w:spacing w:line="360" w:lineRule="auto"/>
              <w:ind w:firstLine="480" w:firstLineChars="200"/>
              <w:rPr>
                <w:color w:val="auto"/>
                <w:sz w:val="24"/>
                <w:szCs w:val="24"/>
              </w:rPr>
            </w:pPr>
            <w:r>
              <w:rPr>
                <w:rFonts w:hint="eastAsia"/>
                <w:color w:val="auto"/>
                <w:sz w:val="24"/>
                <w:szCs w:val="24"/>
              </w:rPr>
              <w:t>固废：建筑垃圾、生活垃圾；</w:t>
            </w:r>
          </w:p>
          <w:p>
            <w:pPr>
              <w:pStyle w:val="6"/>
              <w:adjustRightInd w:val="0"/>
              <w:snapToGrid w:val="0"/>
              <w:spacing w:line="360" w:lineRule="auto"/>
              <w:ind w:firstLine="480" w:firstLineChars="200"/>
              <w:rPr>
                <w:color w:val="auto"/>
                <w:sz w:val="24"/>
                <w:szCs w:val="24"/>
              </w:rPr>
            </w:pPr>
            <w:r>
              <w:rPr>
                <w:rFonts w:hint="eastAsia"/>
                <w:color w:val="auto"/>
                <w:sz w:val="24"/>
                <w:szCs w:val="24"/>
              </w:rPr>
              <w:t>生态：项目永久占地对周边生态环境产生的影响，土方开挖及地表清理产生的水土流失。</w:t>
            </w:r>
          </w:p>
          <w:p>
            <w:pPr>
              <w:adjustRightInd w:val="0"/>
              <w:snapToGrid w:val="0"/>
              <w:spacing w:line="360" w:lineRule="auto"/>
              <w:ind w:firstLine="480" w:firstLineChars="200"/>
              <w:outlineLvl w:val="1"/>
              <w:rPr>
                <w:color w:val="auto"/>
                <w:kern w:val="0"/>
                <w:sz w:val="24"/>
              </w:rPr>
            </w:pPr>
            <w:r>
              <w:rPr>
                <w:rFonts w:hint="eastAsia"/>
                <w:color w:val="auto"/>
                <w:kern w:val="0"/>
                <w:sz w:val="24"/>
              </w:rPr>
              <w:t>运营期产污环节：</w:t>
            </w:r>
          </w:p>
          <w:p>
            <w:pPr>
              <w:widowControl/>
              <w:spacing w:line="360" w:lineRule="auto"/>
              <w:ind w:firstLine="480" w:firstLineChars="200"/>
              <w:jc w:val="left"/>
              <w:rPr>
                <w:rFonts w:hint="default" w:ascii="Times New Roman" w:hAnsi="Times New Roman" w:eastAsia="宋体" w:cs="Times New Roman"/>
                <w:b/>
                <w:bCs/>
                <w:color w:val="auto"/>
                <w:kern w:val="0"/>
                <w:sz w:val="24"/>
                <w:lang w:val="en-US" w:eastAsia="zh-CN" w:bidi="ar"/>
              </w:rPr>
            </w:pPr>
            <w:r>
              <w:rPr>
                <w:rFonts w:hint="eastAsia"/>
                <w:color w:val="auto"/>
                <w:kern w:val="0"/>
                <w:sz w:val="24"/>
              </w:rPr>
              <w:t>项目营运期无废气、废水、噪声、固废产生。</w:t>
            </w:r>
          </w:p>
          <w:p>
            <w:pPr>
              <w:widowControl/>
              <w:spacing w:line="360" w:lineRule="auto"/>
              <w:ind w:firstLine="482" w:firstLineChars="200"/>
              <w:jc w:val="left"/>
              <w:rPr>
                <w:rFonts w:hint="default" w:ascii="Times New Roman" w:hAnsi="Times New Roman" w:cs="Times New Roman"/>
                <w:color w:val="auto"/>
                <w:sz w:val="24"/>
              </w:rPr>
            </w:pPr>
            <w:r>
              <w:rPr>
                <w:rFonts w:hint="eastAsia" w:cs="Times New Roman"/>
                <w:b/>
                <w:bCs/>
                <w:color w:val="auto"/>
                <w:kern w:val="0"/>
                <w:sz w:val="24"/>
                <w:lang w:val="en-US" w:eastAsia="zh-CN" w:bidi="ar"/>
              </w:rPr>
              <w:t>3</w:t>
            </w:r>
            <w:r>
              <w:rPr>
                <w:rFonts w:hint="default" w:ascii="Times New Roman" w:hAnsi="Times New Roman" w:cs="Times New Roman"/>
                <w:b/>
                <w:bCs/>
                <w:color w:val="auto"/>
                <w:kern w:val="0"/>
                <w:sz w:val="24"/>
                <w:lang w:bidi="ar"/>
              </w:rPr>
              <w:t>、建设周期</w:t>
            </w:r>
          </w:p>
          <w:p>
            <w:pPr>
              <w:widowControl/>
              <w:adjustRightInd w:val="0"/>
              <w:snapToGrid w:val="0"/>
              <w:spacing w:line="360" w:lineRule="auto"/>
              <w:ind w:firstLine="480" w:firstLineChars="200"/>
              <w:jc w:val="left"/>
              <w:rPr>
                <w:rFonts w:hint="default" w:ascii="Times New Roman" w:hAnsi="Times New Roman" w:cs="Times New Roman"/>
                <w:color w:val="auto"/>
                <w:sz w:val="24"/>
                <w:szCs w:val="22"/>
              </w:rPr>
            </w:pPr>
            <w:r>
              <w:rPr>
                <w:rFonts w:hint="default" w:ascii="Times New Roman" w:hAnsi="Times New Roman" w:cs="Times New Roman"/>
                <w:color w:val="auto"/>
                <w:kern w:val="0"/>
                <w:sz w:val="24"/>
                <w:lang w:bidi="ar"/>
              </w:rPr>
              <w:t>本工程</w:t>
            </w:r>
            <w:r>
              <w:rPr>
                <w:rFonts w:hint="eastAsia" w:cs="Times New Roman"/>
                <w:color w:val="auto"/>
                <w:kern w:val="0"/>
                <w:sz w:val="24"/>
                <w:lang w:eastAsia="zh-CN" w:bidi="ar"/>
              </w:rPr>
              <w:t>计划</w:t>
            </w:r>
            <w:r>
              <w:rPr>
                <w:rFonts w:hint="default" w:ascii="Times New Roman" w:hAnsi="Times New Roman" w:cs="Times New Roman"/>
                <w:color w:val="auto"/>
                <w:kern w:val="0"/>
                <w:sz w:val="24"/>
                <w:lang w:bidi="ar"/>
              </w:rPr>
              <w:t>工期为</w:t>
            </w:r>
            <w:r>
              <w:rPr>
                <w:rFonts w:hint="eastAsia" w:cs="Times New Roman"/>
                <w:color w:val="auto"/>
                <w:kern w:val="0"/>
                <w:sz w:val="24"/>
                <w:lang w:val="en-US" w:eastAsia="zh-CN" w:bidi="ar"/>
              </w:rPr>
              <w:t>2</w:t>
            </w:r>
            <w:r>
              <w:rPr>
                <w:rFonts w:hint="default" w:ascii="Times New Roman" w:hAnsi="Times New Roman" w:cs="Times New Roman"/>
                <w:color w:val="auto"/>
                <w:kern w:val="0"/>
                <w:sz w:val="24"/>
                <w:lang w:bidi="ar"/>
              </w:rPr>
              <w:t>个月</w:t>
            </w:r>
            <w:r>
              <w:rPr>
                <w:rFonts w:hint="eastAsia" w:hAnsi="宋体"/>
                <w:color w:val="auto"/>
                <w:sz w:val="24"/>
                <w:highlight w:val="none"/>
              </w:rPr>
              <w:t>，计划202</w:t>
            </w:r>
            <w:r>
              <w:rPr>
                <w:rFonts w:hAnsi="宋体"/>
                <w:color w:val="auto"/>
                <w:sz w:val="24"/>
                <w:highlight w:val="none"/>
              </w:rPr>
              <w:t>4</w:t>
            </w:r>
            <w:r>
              <w:rPr>
                <w:rFonts w:hint="eastAsia" w:hAnsi="宋体"/>
                <w:color w:val="auto"/>
                <w:sz w:val="24"/>
                <w:highlight w:val="none"/>
              </w:rPr>
              <w:t>年</w:t>
            </w:r>
            <w:r>
              <w:rPr>
                <w:rFonts w:hint="eastAsia" w:hAnsi="宋体"/>
                <w:color w:val="auto"/>
                <w:sz w:val="24"/>
                <w:highlight w:val="none"/>
                <w:lang w:val="en-US" w:eastAsia="zh-CN"/>
              </w:rPr>
              <w:t>4</w:t>
            </w:r>
            <w:r>
              <w:rPr>
                <w:rFonts w:hint="eastAsia" w:hAnsi="宋体"/>
                <w:color w:val="auto"/>
                <w:sz w:val="24"/>
                <w:highlight w:val="none"/>
              </w:rPr>
              <w:t>月初开工，</w:t>
            </w:r>
            <w:r>
              <w:rPr>
                <w:rFonts w:hint="eastAsia" w:hAnsi="宋体"/>
                <w:color w:val="auto"/>
                <w:sz w:val="24"/>
                <w:highlight w:val="none"/>
                <w:lang w:val="en-US" w:eastAsia="zh-CN"/>
              </w:rPr>
              <w:t>5</w:t>
            </w:r>
            <w:r>
              <w:rPr>
                <w:rFonts w:hint="eastAsia" w:hAnsi="宋体"/>
                <w:color w:val="auto"/>
                <w:sz w:val="24"/>
                <w:highlight w:val="none"/>
              </w:rPr>
              <w:t>月底完成工程</w:t>
            </w:r>
            <w:r>
              <w:rPr>
                <w:rFonts w:hint="eastAsia" w:hAnsi="宋体"/>
                <w:color w:val="auto"/>
                <w:sz w:val="24"/>
                <w:highlight w:val="none"/>
                <w:lang w:val="en-US" w:eastAsia="zh-CN"/>
              </w:rPr>
              <w:t>建设</w:t>
            </w:r>
            <w:r>
              <w:rPr>
                <w:rFonts w:hint="default" w:ascii="Times New Roman" w:hAnsi="Times New Roman" w:cs="Times New Roman"/>
                <w:color w:val="auto"/>
                <w:kern w:val="0"/>
                <w:sz w:val="24"/>
                <w:lang w:bidi="ar"/>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804"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其他</w:t>
            </w:r>
          </w:p>
        </w:tc>
        <w:tc>
          <w:tcPr>
            <w:tcW w:w="7718" w:type="dxa"/>
            <w:vAlign w:val="bottom"/>
          </w:tcPr>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482" w:firstLineChars="200"/>
              <w:jc w:val="left"/>
              <w:textAlignment w:val="auto"/>
              <w:outlineLvl w:val="9"/>
              <w:rPr>
                <w:rFonts w:hint="default" w:ascii="Times New Roman" w:hAnsi="Times New Roman" w:eastAsia="宋体" w:cs="Times New Roman"/>
                <w:b/>
                <w:bCs/>
                <w:color w:val="auto"/>
                <w:sz w:val="24"/>
                <w:szCs w:val="24"/>
                <w:lang w:val="en-US" w:eastAsia="zh-CN"/>
              </w:rPr>
            </w:pPr>
            <w:r>
              <w:rPr>
                <w:rFonts w:hint="default" w:ascii="Times New Roman" w:hAnsi="Times New Roman" w:eastAsia="宋体" w:cs="Times New Roman"/>
                <w:b/>
                <w:bCs/>
                <w:color w:val="auto"/>
                <w:sz w:val="24"/>
                <w:szCs w:val="24"/>
                <w:lang w:val="en-US" w:eastAsia="zh-CN"/>
              </w:rPr>
              <w:t>一、方案比选</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排洪槽自上而下为水平衔接段，陡槽段、消能防冲段和下游防护段，其中，本工程陡槽段两岸边坡陡峭，工程施工需开挖两岸边坡，工程投资占整体工程投资比重大，对以下两种陡槽段布置方案进行比选。</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（1）方案一</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方案一陡槽段平面大致沿着下游冲沟主沟方向布置，平面平顺转弯，陡槽末端下至冲沟底后，沿现状冲沟主沟方向布置，陡槽纵向比降为1：3，与一期工程消力池水平衔接段长度3.63m，陡槽段平面投影长度106.37m，底宽为3~5m；陡槽末端布置等宽底流消力池，宽为5m。</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（2）方案二</w:t>
            </w:r>
          </w:p>
          <w:p>
            <w:pPr>
              <w:widowControl/>
              <w:adjustRightInd w:val="0"/>
              <w:snapToGrid w:val="0"/>
              <w:spacing w:line="360" w:lineRule="auto"/>
              <w:ind w:firstLine="480" w:firstLineChars="200"/>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考虑现状下游冲沟为窄深式冲沟，深约30m，为避免在高填方段落修筑排洪槽，同时，为尽量避免工程开挖影响右岸农田，方案二陡槽段平面略偏向于左岸山坡方向布置，平面平顺转弯，陡槽末端下至冲沟底后，沿现状冲沟主沟方向布置，陡槽纵向比降为1：3，陡槽段平面投影前端设置3.63m水平段与一期消力池衔接，陡槽段平面投影长度106.37m，底宽为3~5m；其中，桩号0+108.13~0+202.62段，陡槽宽度为3m，桩号0+202.62~0+214.50段，陡槽宽度为3~5m。陡槽末端布置综合式消力池，消力池宽5m。</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根据方案一和方案二可知，两种方案陡槽布置均需对左岸山体进行开挖，因现状下游冲沟为窄深式冲沟，方案一陡槽部分段落为高填方断面，且现状冲沟内存在多处落水洞，不利于建筑物基础安全性，且方案一需对现状冲沟右岸进行开挖，损害岸顶农田；方案一</w:t>
            </w:r>
            <w:r>
              <w:rPr>
                <w:rFonts w:hint="default" w:ascii="Times New Roman" w:hAnsi="Times New Roman" w:eastAsia="宋体" w:cs="Times New Roman"/>
                <w:color w:val="auto"/>
                <w:kern w:val="0"/>
                <w:sz w:val="24"/>
                <w:szCs w:val="24"/>
                <w:lang w:val="en-US" w:eastAsia="zh-CN"/>
              </w:rPr>
              <w:t>陡槽段</w:t>
            </w:r>
            <w:r>
              <w:rPr>
                <w:rFonts w:hint="eastAsia" w:ascii="Times New Roman" w:hAnsi="Times New Roman" w:eastAsia="宋体" w:cs="Times New Roman"/>
                <w:color w:val="auto"/>
                <w:kern w:val="0"/>
                <w:sz w:val="24"/>
                <w:szCs w:val="24"/>
                <w:lang w:val="en-US" w:eastAsia="zh-CN"/>
              </w:rPr>
              <w:t>总投资为171.41万元。</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方案二陡槽全段均为挖方断面，有利于建筑物基础安全性，且陡槽施工仅需对左岸山体进行开挖，不侵占农田，方案二</w:t>
            </w:r>
            <w:r>
              <w:rPr>
                <w:rFonts w:hint="default" w:ascii="Times New Roman" w:hAnsi="Times New Roman" w:eastAsia="宋体" w:cs="Times New Roman"/>
                <w:color w:val="auto"/>
                <w:kern w:val="0"/>
                <w:sz w:val="24"/>
                <w:szCs w:val="24"/>
                <w:lang w:val="en-US" w:eastAsia="zh-CN"/>
              </w:rPr>
              <w:t>陡槽段</w:t>
            </w:r>
            <w:r>
              <w:rPr>
                <w:rFonts w:hint="eastAsia" w:ascii="Times New Roman" w:hAnsi="Times New Roman" w:eastAsia="宋体" w:cs="Times New Roman"/>
                <w:color w:val="auto"/>
                <w:kern w:val="0"/>
                <w:sz w:val="24"/>
                <w:szCs w:val="24"/>
                <w:lang w:val="en-US" w:eastAsia="zh-CN"/>
              </w:rPr>
              <w:t>总投资为145.78万元，土方开挖量和总投资均低于方案一。</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因此本工程陡槽段布置采用方案二。</w:t>
            </w:r>
          </w:p>
          <w:p>
            <w:pPr>
              <w:pStyle w:val="15"/>
              <w:rPr>
                <w:rFonts w:hint="default" w:ascii="Times New Roman" w:hAnsi="Times New Roman" w:cs="Times New Roman"/>
                <w:color w:val="auto"/>
                <w:sz w:val="24"/>
                <w:szCs w:val="32"/>
              </w:rPr>
            </w:pPr>
          </w:p>
          <w:p>
            <w:pPr>
              <w:pStyle w:val="15"/>
              <w:rPr>
                <w:rFonts w:hint="default" w:ascii="Times New Roman" w:hAnsi="Times New Roman" w:cs="Times New Roman"/>
                <w:color w:val="auto"/>
                <w:sz w:val="24"/>
                <w:szCs w:val="32"/>
              </w:rPr>
            </w:pPr>
          </w:p>
          <w:p>
            <w:pPr>
              <w:pStyle w:val="15"/>
              <w:rPr>
                <w:rFonts w:hint="default" w:ascii="Times New Roman" w:hAnsi="Times New Roman" w:cs="Times New Roman"/>
                <w:color w:val="auto"/>
                <w:sz w:val="24"/>
                <w:szCs w:val="32"/>
              </w:rPr>
            </w:pPr>
          </w:p>
          <w:p>
            <w:pPr>
              <w:pStyle w:val="15"/>
              <w:rPr>
                <w:rFonts w:hint="default" w:ascii="Times New Roman" w:hAnsi="Times New Roman" w:cs="Times New Roman"/>
                <w:color w:val="auto"/>
                <w:sz w:val="24"/>
                <w:szCs w:val="32"/>
              </w:rPr>
            </w:pPr>
          </w:p>
          <w:p>
            <w:pPr>
              <w:pStyle w:val="15"/>
              <w:rPr>
                <w:rFonts w:hint="default" w:ascii="Times New Roman" w:hAnsi="Times New Roman" w:cs="Times New Roman"/>
                <w:color w:val="auto"/>
                <w:sz w:val="24"/>
                <w:szCs w:val="32"/>
              </w:rPr>
            </w:pPr>
          </w:p>
        </w:tc>
      </w:tr>
    </w:tbl>
    <w:p>
      <w:pPr>
        <w:pStyle w:val="20"/>
        <w:jc w:val="center"/>
        <w:outlineLvl w:val="0"/>
        <w:rPr>
          <w:rFonts w:hint="default" w:ascii="Times New Roman" w:hAnsi="Times New Roman" w:eastAsia="黑体" w:cs="Times New Roman"/>
          <w:snapToGrid w:val="0"/>
          <w:color w:val="auto"/>
          <w:sz w:val="30"/>
          <w:szCs w:val="30"/>
        </w:rPr>
      </w:pPr>
      <w:r>
        <w:rPr>
          <w:rFonts w:hint="default" w:ascii="Times New Roman" w:hAnsi="Times New Roman" w:eastAsia="仿宋_GB2312" w:cs="Times New Roman"/>
          <w:b/>
          <w:bCs/>
          <w:color w:val="auto"/>
        </w:rPr>
        <w:br w:type="page"/>
      </w:r>
      <w:bookmarkStart w:id="8" w:name="_Toc10602"/>
      <w:r>
        <w:rPr>
          <w:rFonts w:hint="default" w:ascii="Times New Roman" w:hAnsi="Times New Roman" w:eastAsia="黑体" w:cs="Times New Roman"/>
          <w:snapToGrid w:val="0"/>
          <w:color w:val="auto"/>
          <w:sz w:val="30"/>
          <w:szCs w:val="30"/>
        </w:rPr>
        <w:t>三、生态环境现状、保护目标及评价标准</w:t>
      </w:r>
      <w:bookmarkEnd w:id="8"/>
    </w:p>
    <w:tbl>
      <w:tblPr>
        <w:tblStyle w:val="24"/>
        <w:tblW w:w="91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904"/>
        <w:gridCol w:w="825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4"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生态环境现状</w:t>
            </w:r>
          </w:p>
        </w:tc>
        <w:tc>
          <w:tcPr>
            <w:tcW w:w="8253" w:type="dxa"/>
            <w:tcBorders>
              <w:top w:val="single" w:color="auto" w:sz="4" w:space="0"/>
              <w:right w:val="single" w:color="auto" w:sz="4" w:space="0"/>
            </w:tcBorders>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textAlignment w:val="auto"/>
              <w:rPr>
                <w:rFonts w:hint="eastAsia" w:cs="Times New Roman"/>
                <w:b/>
                <w:bCs/>
                <w:snapToGrid w:val="0"/>
                <w:color w:val="auto"/>
                <w:kern w:val="0"/>
                <w:sz w:val="24"/>
                <w:szCs w:val="22"/>
                <w:lang w:val="en-US" w:eastAsia="zh-CN"/>
              </w:rPr>
            </w:pPr>
            <w:r>
              <w:rPr>
                <w:rFonts w:hint="eastAsia" w:cs="Times New Roman"/>
                <w:b/>
                <w:bCs/>
                <w:snapToGrid w:val="0"/>
                <w:color w:val="auto"/>
                <w:kern w:val="0"/>
                <w:sz w:val="24"/>
                <w:szCs w:val="22"/>
                <w:lang w:val="en-US" w:eastAsia="zh-CN"/>
              </w:rPr>
              <w:t>1、主体功能区规划</w:t>
            </w:r>
          </w:p>
          <w:p>
            <w:pPr>
              <w:pStyle w:val="57"/>
              <w:snapToGrid w:val="0"/>
              <w:spacing w:line="360" w:lineRule="auto"/>
              <w:ind w:firstLine="480" w:firstLineChars="200"/>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本项目位于吴忠市同心县张家塬乡，根据《宁夏回族自治区主体功能区规划》（宁政发[2014]53号），本项目属于国家重点生态功能区。项目与宁夏回族自治区主体功能区规划的相对位置关系图见附图11。</w:t>
            </w:r>
          </w:p>
          <w:p>
            <w:pPr>
              <w:pStyle w:val="57"/>
              <w:snapToGrid w:val="0"/>
              <w:spacing w:line="360" w:lineRule="auto"/>
              <w:ind w:firstLine="480" w:firstLineChars="200"/>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重点生态功能区功能定位：保障国家生态安全的重要区域，西北重要的生态功能区，人与自然和谐相处的示范区。</w:t>
            </w:r>
          </w:p>
          <w:p>
            <w:pPr>
              <w:pStyle w:val="57"/>
              <w:snapToGrid w:val="0"/>
              <w:spacing w:line="360" w:lineRule="auto"/>
              <w:ind w:firstLine="480" w:firstLineChars="200"/>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发展方向：限制开发生态区域以修复生态、保护环境、提供生态产品为首要任务, 增强水源涵养、水土保持、防风固沙、维护湿地生态等功能,提高生态产品供给的能力, 因地制宜地发展资源环境可承载的适宜产业，引导超载人口逐步有序转移。</w:t>
            </w:r>
          </w:p>
          <w:p>
            <w:pPr>
              <w:pStyle w:val="57"/>
              <w:snapToGrid w:val="0"/>
              <w:spacing w:line="360" w:lineRule="auto"/>
              <w:ind w:firstLine="480" w:firstLineChars="200"/>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本项目为同心县张家塬乡折腰沟村内涝外排工程，项目实施后可确保村庄、农田、水利、交通设施等免受洪水侵害，减少水土流失，减少洪涝灾害损失。因此，项目的建设符合国家重点生态功能区的发展方向和开发原则。</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napToGrid w:val="0"/>
                <w:color w:val="auto"/>
                <w:kern w:val="0"/>
                <w:sz w:val="24"/>
                <w:szCs w:val="22"/>
                <w:lang w:val="en-US" w:eastAsia="zh-CN"/>
              </w:rPr>
            </w:pPr>
            <w:r>
              <w:rPr>
                <w:rFonts w:hint="eastAsia" w:ascii="Times New Roman" w:hAnsi="Times New Roman" w:eastAsia="宋体" w:cs="Times New Roman"/>
                <w:b/>
                <w:bCs/>
                <w:snapToGrid w:val="0"/>
                <w:color w:val="auto"/>
                <w:kern w:val="0"/>
                <w:sz w:val="24"/>
                <w:szCs w:val="22"/>
                <w:lang w:val="en-US" w:eastAsia="zh-CN"/>
              </w:rPr>
              <w:t>2、生态功能区划</w:t>
            </w:r>
          </w:p>
          <w:p>
            <w:pPr>
              <w:adjustRightInd w:val="0"/>
              <w:snapToGrid w:val="0"/>
              <w:spacing w:line="360" w:lineRule="auto"/>
              <w:ind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根据《宁夏生态功能区划》（2003.12），宁夏生态功能区划共划分3个一级区，10个二级区，37个三级区。本项目属于</w:t>
            </w:r>
            <w:r>
              <w:rPr>
                <w:rFonts w:hint="default" w:ascii="Times New Roman" w:hAnsi="Times New Roman" w:cs="Times New Roman"/>
                <w:b/>
                <w:bCs/>
                <w:color w:val="auto"/>
                <w:kern w:val="0"/>
                <w:sz w:val="24"/>
              </w:rPr>
              <w:t>Ⅰ</w:t>
            </w:r>
            <w:r>
              <w:rPr>
                <w:rFonts w:hint="eastAsia" w:ascii="Times New Roman" w:hAnsi="Times New Roman" w:cs="Times New Roman"/>
                <w:color w:val="auto"/>
                <w:kern w:val="0"/>
                <w:sz w:val="24"/>
                <w:lang w:val="en-US" w:eastAsia="zh-CN"/>
              </w:rPr>
              <w:t>4-1</w:t>
            </w:r>
            <w:r>
              <w:rPr>
                <w:rFonts w:hint="default" w:ascii="Times New Roman" w:hAnsi="Times New Roman" w:cs="Times New Roman"/>
                <w:color w:val="auto"/>
                <w:kern w:val="0"/>
                <w:sz w:val="24"/>
              </w:rPr>
              <w:t>盐同南部黄土丘陵强度水土流失治理生态功能区，该区的主要生态环境问题是：水土流失与草场退化。</w:t>
            </w:r>
          </w:p>
          <w:p>
            <w:pPr>
              <w:adjustRightInd w:val="0"/>
              <w:snapToGrid w:val="0"/>
              <w:spacing w:line="360" w:lineRule="auto"/>
              <w:ind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本项目为</w:t>
            </w:r>
            <w:r>
              <w:rPr>
                <w:rFonts w:hint="eastAsia" w:ascii="Times New Roman" w:hAnsi="Times New Roman" w:eastAsia="宋体" w:cs="Times New Roman"/>
                <w:color w:val="auto"/>
                <w:sz w:val="24"/>
                <w:lang w:val="en-US" w:eastAsia="zh-CN"/>
              </w:rPr>
              <w:t>同心县张家塬乡折腰沟村内涝外排工程</w:t>
            </w:r>
            <w:r>
              <w:rPr>
                <w:rFonts w:hint="default" w:ascii="Times New Roman" w:hAnsi="Times New Roman" w:cs="Times New Roman"/>
                <w:color w:val="auto"/>
                <w:kern w:val="0"/>
                <w:sz w:val="24"/>
              </w:rPr>
              <w:t>，通过</w:t>
            </w:r>
            <w:r>
              <w:rPr>
                <w:rFonts w:hint="default" w:ascii="Times New Roman" w:hAnsi="Times New Roman" w:cs="Times New Roman"/>
                <w:color w:val="auto"/>
                <w:kern w:val="0"/>
                <w:sz w:val="24"/>
                <w:lang w:val="en-US" w:eastAsia="zh-CN"/>
              </w:rPr>
              <w:t>续建排洪通道，将洪水排泄至折腰沟主沟道，完善防洪工程布局，彻底解决项目保护区洪水侵害问题</w:t>
            </w:r>
            <w:r>
              <w:rPr>
                <w:rFonts w:hint="default" w:ascii="Times New Roman" w:hAnsi="Times New Roman" w:cs="Times New Roman"/>
                <w:color w:val="auto"/>
                <w:kern w:val="0"/>
                <w:sz w:val="24"/>
              </w:rPr>
              <w:t>。对周边生态环境恢复创造良好条件，其生态效益十分显著。因此满足宁夏生态功能区划的保护要求。项目与宁夏回族自治区生态功能区规划的相对位置关系图见</w:t>
            </w:r>
            <w:r>
              <w:rPr>
                <w:rFonts w:hint="eastAsia" w:cs="Times New Roman"/>
                <w:color w:val="auto"/>
                <w:kern w:val="0"/>
                <w:sz w:val="24"/>
                <w:lang w:eastAsia="zh-CN"/>
              </w:rPr>
              <w:t>附</w:t>
            </w:r>
            <w:r>
              <w:rPr>
                <w:rFonts w:hint="default" w:ascii="Times New Roman" w:hAnsi="Times New Roman" w:cs="Times New Roman"/>
                <w:b w:val="0"/>
                <w:bCs w:val="0"/>
                <w:color w:val="auto"/>
                <w:kern w:val="0"/>
                <w:sz w:val="24"/>
              </w:rPr>
              <w:t>图</w:t>
            </w:r>
            <w:r>
              <w:rPr>
                <w:rFonts w:hint="eastAsia" w:cs="Times New Roman"/>
                <w:b w:val="0"/>
                <w:bCs w:val="0"/>
                <w:color w:val="auto"/>
                <w:kern w:val="0"/>
                <w:sz w:val="24"/>
                <w:lang w:val="en-US" w:eastAsia="zh-CN"/>
              </w:rPr>
              <w:t>12</w:t>
            </w:r>
            <w:r>
              <w:rPr>
                <w:rFonts w:hint="default" w:ascii="Times New Roman" w:hAnsi="Times New Roman" w:cs="Times New Roman"/>
                <w:color w:val="auto"/>
                <w:sz w:val="24"/>
                <w:szCs w:val="32"/>
              </w:rPr>
              <w:t>。</w:t>
            </w:r>
          </w:p>
          <w:p>
            <w:pPr>
              <w:adjustRightInd w:val="0"/>
              <w:snapToGrid w:val="0"/>
              <w:spacing w:line="360" w:lineRule="auto"/>
              <w:ind w:firstLine="482" w:firstLineChars="200"/>
              <w:rPr>
                <w:rFonts w:hint="eastAsia" w:ascii="Times New Roman" w:hAnsi="Times New Roman" w:eastAsia="宋体" w:cs="Times New Roman"/>
                <w:b/>
                <w:bCs/>
                <w:snapToGrid w:val="0"/>
                <w:color w:val="auto"/>
                <w:kern w:val="0"/>
                <w:sz w:val="24"/>
                <w:szCs w:val="22"/>
                <w:lang w:val="en-US" w:eastAsia="zh-CN"/>
              </w:rPr>
            </w:pPr>
            <w:r>
              <w:rPr>
                <w:rFonts w:hint="eastAsia" w:cs="Times New Roman"/>
                <w:b/>
                <w:bCs/>
                <w:snapToGrid w:val="0"/>
                <w:color w:val="auto"/>
                <w:kern w:val="0"/>
                <w:sz w:val="24"/>
                <w:szCs w:val="22"/>
                <w:lang w:val="en-US" w:eastAsia="zh-CN"/>
              </w:rPr>
              <w:t>3、生态环境现状</w:t>
            </w:r>
          </w:p>
          <w:p>
            <w:pPr>
              <w:adjustRightInd w:val="0"/>
              <w:snapToGrid w:val="0"/>
              <w:spacing w:line="360" w:lineRule="auto"/>
              <w:ind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①土地利用类型</w:t>
            </w:r>
          </w:p>
          <w:p>
            <w:pPr>
              <w:adjustRightInd w:val="0"/>
              <w:snapToGrid w:val="0"/>
              <w:spacing w:line="360" w:lineRule="auto"/>
              <w:ind w:firstLine="480" w:firstLineChars="200"/>
              <w:jc w:val="left"/>
              <w:rPr>
                <w:rFonts w:hint="default" w:ascii="Times New Roman" w:hAnsi="Times New Roman" w:cs="Times New Roman"/>
                <w:color w:val="auto"/>
                <w:sz w:val="24"/>
              </w:rPr>
            </w:pPr>
            <w:r>
              <w:rPr>
                <w:rFonts w:hAnsi="宋体"/>
                <w:color w:val="auto"/>
                <w:sz w:val="24"/>
              </w:rPr>
              <w:t>本</w:t>
            </w:r>
            <w:r>
              <w:rPr>
                <w:rFonts w:hint="eastAsia" w:hAnsi="宋体"/>
                <w:color w:val="auto"/>
                <w:sz w:val="24"/>
              </w:rPr>
              <w:t>项目总占地面积为</w:t>
            </w:r>
            <w:r>
              <w:rPr>
                <w:rFonts w:hint="eastAsia" w:hAnsi="宋体"/>
                <w:color w:val="auto"/>
                <w:sz w:val="24"/>
                <w:lang w:val="en-US" w:eastAsia="zh-CN"/>
              </w:rPr>
              <w:t>61.04</w:t>
            </w:r>
            <w:r>
              <w:rPr>
                <w:rFonts w:hint="eastAsia" w:hAnsi="宋体"/>
                <w:color w:val="auto"/>
                <w:sz w:val="24"/>
              </w:rPr>
              <w:t>亩（</w:t>
            </w:r>
            <w:r>
              <w:rPr>
                <w:rFonts w:hint="eastAsia" w:hAnsi="宋体"/>
                <w:color w:val="auto"/>
                <w:sz w:val="24"/>
                <w:lang w:val="en-US" w:eastAsia="zh-CN"/>
              </w:rPr>
              <w:t>4.07</w:t>
            </w:r>
            <w:r>
              <w:rPr>
                <w:rFonts w:hint="eastAsia" w:hAnsi="宋体"/>
                <w:color w:val="auto"/>
                <w:sz w:val="24"/>
              </w:rPr>
              <w:t>hm</w:t>
            </w:r>
            <w:r>
              <w:rPr>
                <w:rFonts w:hAnsi="宋体"/>
                <w:color w:val="auto"/>
                <w:sz w:val="24"/>
                <w:vertAlign w:val="superscript"/>
              </w:rPr>
              <w:t>2</w:t>
            </w:r>
            <w:r>
              <w:rPr>
                <w:rFonts w:hint="eastAsia" w:hAnsi="宋体"/>
                <w:color w:val="auto"/>
                <w:sz w:val="24"/>
              </w:rPr>
              <w:t>），其中</w:t>
            </w:r>
            <w:r>
              <w:rPr>
                <w:rFonts w:hAnsi="宋体"/>
                <w:color w:val="auto"/>
                <w:sz w:val="24"/>
              </w:rPr>
              <w:t>永久占地面积为</w:t>
            </w:r>
            <w:r>
              <w:rPr>
                <w:rFonts w:hint="eastAsia"/>
                <w:color w:val="auto"/>
                <w:sz w:val="24"/>
                <w:lang w:val="en-US" w:eastAsia="zh-CN"/>
              </w:rPr>
              <w:t>21.6</w:t>
            </w:r>
            <w:r>
              <w:rPr>
                <w:rFonts w:hAnsi="宋体"/>
                <w:color w:val="auto"/>
                <w:sz w:val="24"/>
              </w:rPr>
              <w:t>亩</w:t>
            </w:r>
            <w:r>
              <w:rPr>
                <w:rFonts w:hint="eastAsia" w:hAnsi="宋体"/>
                <w:color w:val="auto"/>
                <w:sz w:val="24"/>
              </w:rPr>
              <w:t>（</w:t>
            </w:r>
            <w:r>
              <w:rPr>
                <w:rFonts w:hint="eastAsia" w:hAnsi="宋体"/>
                <w:color w:val="auto"/>
                <w:sz w:val="24"/>
                <w:lang w:val="en-US" w:eastAsia="zh-CN"/>
              </w:rPr>
              <w:t>1.44</w:t>
            </w:r>
            <w:r>
              <w:rPr>
                <w:rFonts w:hint="eastAsia" w:hAnsi="宋体"/>
                <w:color w:val="auto"/>
                <w:sz w:val="24"/>
              </w:rPr>
              <w:t>hm</w:t>
            </w:r>
            <w:r>
              <w:rPr>
                <w:rFonts w:hAnsi="宋体"/>
                <w:color w:val="auto"/>
                <w:sz w:val="24"/>
                <w:vertAlign w:val="superscript"/>
              </w:rPr>
              <w:t>2</w:t>
            </w:r>
            <w:r>
              <w:rPr>
                <w:rFonts w:hint="eastAsia" w:hAnsi="宋体"/>
                <w:color w:val="auto"/>
                <w:sz w:val="24"/>
              </w:rPr>
              <w:t>）</w:t>
            </w:r>
            <w:r>
              <w:rPr>
                <w:rFonts w:hint="eastAsia" w:hAnsi="宋体"/>
                <w:color w:val="auto"/>
                <w:sz w:val="24"/>
                <w:lang w:eastAsia="zh-CN"/>
              </w:rPr>
              <w:t>；</w:t>
            </w:r>
            <w:r>
              <w:rPr>
                <w:rFonts w:hint="eastAsia" w:hAnsi="宋体"/>
                <w:color w:val="auto"/>
                <w:sz w:val="24"/>
                <w:lang w:val="en-US" w:eastAsia="zh-CN"/>
              </w:rPr>
              <w:t>临时占地面积为39.44</w:t>
            </w:r>
            <w:r>
              <w:rPr>
                <w:rFonts w:hint="eastAsia" w:hAnsi="宋体"/>
                <w:color w:val="auto"/>
                <w:sz w:val="24"/>
              </w:rPr>
              <w:t>亩（</w:t>
            </w:r>
            <w:r>
              <w:rPr>
                <w:rFonts w:hint="eastAsia" w:hAnsi="宋体"/>
                <w:color w:val="auto"/>
                <w:sz w:val="24"/>
                <w:lang w:val="en-US" w:eastAsia="zh-CN"/>
              </w:rPr>
              <w:t>2.63</w:t>
            </w:r>
            <w:r>
              <w:rPr>
                <w:rFonts w:hint="eastAsia" w:hAnsi="宋体"/>
                <w:color w:val="auto"/>
                <w:sz w:val="24"/>
              </w:rPr>
              <w:t>hm</w:t>
            </w:r>
            <w:r>
              <w:rPr>
                <w:rFonts w:hAnsi="宋体"/>
                <w:color w:val="auto"/>
                <w:sz w:val="24"/>
                <w:vertAlign w:val="superscript"/>
              </w:rPr>
              <w:t>2</w:t>
            </w:r>
            <w:r>
              <w:rPr>
                <w:rFonts w:hint="eastAsia" w:hAnsi="宋体"/>
                <w:color w:val="auto"/>
                <w:sz w:val="24"/>
              </w:rPr>
              <w:t>）</w:t>
            </w:r>
            <w:r>
              <w:rPr>
                <w:rFonts w:hint="eastAsia" w:hAnsi="宋体"/>
                <w:color w:val="auto"/>
                <w:sz w:val="24"/>
                <w:lang w:val="en-US" w:eastAsia="zh-CN"/>
              </w:rPr>
              <w:t>。</w:t>
            </w:r>
            <w:r>
              <w:rPr>
                <w:rFonts w:hint="eastAsia"/>
                <w:color w:val="auto"/>
                <w:sz w:val="24"/>
              </w:rPr>
              <w:t>根据实地调查</w:t>
            </w:r>
            <w:r>
              <w:rPr>
                <w:rFonts w:hint="eastAsia"/>
                <w:color w:val="auto"/>
                <w:sz w:val="24"/>
                <w:lang w:val="en-US" w:eastAsia="zh-CN"/>
              </w:rPr>
              <w:t>及土地利用现状</w:t>
            </w:r>
            <w:r>
              <w:rPr>
                <w:rFonts w:hint="eastAsia"/>
                <w:color w:val="auto"/>
                <w:sz w:val="24"/>
              </w:rPr>
              <w:t>，调查区土地</w:t>
            </w:r>
            <w:r>
              <w:rPr>
                <w:rFonts w:hint="eastAsia"/>
                <w:color w:val="auto"/>
                <w:sz w:val="24"/>
                <w:lang w:val="en-US" w:eastAsia="zh-CN"/>
              </w:rPr>
              <w:t>为草地、裸土地</w:t>
            </w:r>
            <w:r>
              <w:rPr>
                <w:rFonts w:hint="eastAsia"/>
                <w:color w:val="auto"/>
                <w:sz w:val="24"/>
              </w:rPr>
              <w:t>，</w:t>
            </w:r>
            <w:r>
              <w:rPr>
                <w:rFonts w:hint="eastAsia" w:hAnsi="宋体"/>
                <w:color w:val="auto"/>
                <w:sz w:val="24"/>
              </w:rPr>
              <w:t>本项目土地利用现状图见附图1</w:t>
            </w:r>
            <w:r>
              <w:rPr>
                <w:rFonts w:hint="eastAsia" w:hAnsi="宋体"/>
                <w:color w:val="auto"/>
                <w:sz w:val="24"/>
                <w:lang w:val="en-US" w:eastAsia="zh-CN"/>
              </w:rPr>
              <w:t>3</w:t>
            </w:r>
            <w:r>
              <w:rPr>
                <w:rFonts w:hint="eastAsia"/>
                <w:color w:val="auto"/>
                <w:sz w:val="24"/>
              </w:rPr>
              <w:t>。</w:t>
            </w:r>
          </w:p>
          <w:p>
            <w:pPr>
              <w:adjustRightInd w:val="0"/>
              <w:snapToGrid w:val="0"/>
              <w:spacing w:line="360" w:lineRule="auto"/>
              <w:ind w:firstLine="480" w:firstLineChars="200"/>
              <w:jc w:val="left"/>
              <w:rPr>
                <w:rFonts w:hint="default" w:ascii="Times New Roman" w:hAnsi="Times New Roman" w:cs="Times New Roman"/>
                <w:color w:val="auto"/>
                <w:kern w:val="0"/>
                <w:sz w:val="24"/>
              </w:rPr>
            </w:pPr>
            <w:r>
              <w:rPr>
                <w:rFonts w:hint="default" w:ascii="Times New Roman" w:hAnsi="Times New Roman" w:cs="Times New Roman"/>
                <w:color w:val="auto"/>
                <w:kern w:val="0"/>
                <w:sz w:val="24"/>
              </w:rPr>
              <w:t>②土壤类型</w:t>
            </w:r>
          </w:p>
          <w:p>
            <w:pPr>
              <w:adjustRightInd w:val="0"/>
              <w:snapToGrid w:val="0"/>
              <w:spacing w:line="360" w:lineRule="auto"/>
              <w:ind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项目区土壤类型复杂，以黄</w:t>
            </w:r>
            <w:r>
              <w:rPr>
                <w:rFonts w:hint="eastAsia" w:cs="Times New Roman"/>
                <w:color w:val="auto"/>
                <w:kern w:val="0"/>
                <w:sz w:val="24"/>
                <w:lang w:eastAsia="zh-CN"/>
              </w:rPr>
              <w:t>绵</w:t>
            </w:r>
            <w:r>
              <w:rPr>
                <w:rFonts w:hint="default" w:ascii="Times New Roman" w:hAnsi="Times New Roman" w:cs="Times New Roman"/>
                <w:color w:val="auto"/>
                <w:kern w:val="0"/>
                <w:sz w:val="24"/>
              </w:rPr>
              <w:t>土为主。</w:t>
            </w:r>
          </w:p>
          <w:p>
            <w:pPr>
              <w:adjustRightInd w:val="0"/>
              <w:snapToGrid w:val="0"/>
              <w:spacing w:line="360" w:lineRule="auto"/>
              <w:ind w:firstLine="480" w:firstLineChars="200"/>
              <w:rPr>
                <w:rFonts w:hint="default" w:ascii="Times New Roman" w:hAnsi="Times New Roman" w:cs="Times New Roman"/>
                <w:color w:val="auto"/>
                <w:kern w:val="0"/>
                <w:sz w:val="24"/>
              </w:rPr>
            </w:pPr>
            <w:r>
              <w:rPr>
                <w:rFonts w:hint="eastAsia" w:hAnsi="宋体"/>
                <w:bCs/>
                <w:color w:val="auto"/>
                <w:sz w:val="24"/>
                <w:szCs w:val="24"/>
                <w:lang w:val="en-US" w:eastAsia="zh-CN"/>
              </w:rPr>
              <w:t>黄绵土是由黄土母质经直接耕种而形成的一种幼年土壤。因土体疏松、软绵，土色浅淡，故名。实质为土质初育土。其主要特征是，剖面发育不明显，仅有A层及C层，且二者之间无明显界限；土壤侵蚀严重。广泛分布于中国黄土高原水土流失较严重的地区，其中以甘肃东部和中部、陕西北部、山西西部面积较广。宁夏南部、河南西部和内蒙古境内也有分布。常和黑垆土、灰钙土等交错存在，是黄土高原上分布面积最大的土壤。本</w:t>
            </w:r>
            <w:r>
              <w:rPr>
                <w:rFonts w:hint="eastAsia"/>
                <w:color w:val="auto"/>
                <w:sz w:val="24"/>
              </w:rPr>
              <w:t>项目土壤类型图见附图</w:t>
            </w:r>
            <w:r>
              <w:rPr>
                <w:color w:val="auto"/>
                <w:sz w:val="24"/>
              </w:rPr>
              <w:t>1</w:t>
            </w:r>
            <w:r>
              <w:rPr>
                <w:rFonts w:hint="eastAsia"/>
                <w:color w:val="auto"/>
                <w:sz w:val="24"/>
                <w:lang w:val="en-US" w:eastAsia="zh-CN"/>
              </w:rPr>
              <w:t>4</w:t>
            </w:r>
            <w:r>
              <w:rPr>
                <w:rFonts w:hint="eastAsia"/>
                <w:color w:val="auto"/>
                <w:sz w:val="24"/>
              </w:rPr>
              <w:t>。</w:t>
            </w:r>
          </w:p>
          <w:p>
            <w:pPr>
              <w:adjustRightInd w:val="0"/>
              <w:snapToGrid w:val="0"/>
              <w:spacing w:line="360" w:lineRule="auto"/>
              <w:ind w:firstLine="480" w:firstLineChars="200"/>
              <w:jc w:val="left"/>
              <w:rPr>
                <w:rFonts w:hint="default" w:ascii="Times New Roman" w:hAnsi="Times New Roman" w:cs="Times New Roman"/>
                <w:color w:val="auto"/>
                <w:kern w:val="0"/>
                <w:sz w:val="24"/>
              </w:rPr>
            </w:pPr>
            <w:r>
              <w:rPr>
                <w:rFonts w:hint="default" w:ascii="Times New Roman" w:hAnsi="Times New Roman" w:cs="Times New Roman"/>
                <w:color w:val="auto"/>
                <w:kern w:val="0"/>
                <w:sz w:val="24"/>
              </w:rPr>
              <w:t>③植被类型</w:t>
            </w:r>
          </w:p>
          <w:p>
            <w:pPr>
              <w:adjustRightInd w:val="0"/>
              <w:snapToGrid w:val="0"/>
              <w:spacing w:line="360" w:lineRule="auto"/>
              <w:ind w:firstLine="480" w:firstLineChars="200"/>
              <w:rPr>
                <w:color w:val="auto"/>
                <w:sz w:val="24"/>
              </w:rPr>
            </w:pPr>
            <w:r>
              <w:rPr>
                <w:rFonts w:hint="eastAsia"/>
                <w:color w:val="auto"/>
                <w:sz w:val="24"/>
              </w:rPr>
              <w:t>根据宁夏植被区划以及现场踏勘，项目区位于</w:t>
            </w:r>
            <w:r>
              <w:rPr>
                <w:rFonts w:hint="default" w:ascii="Times New Roman" w:hAnsi="Times New Roman" w:cs="Times New Roman"/>
                <w:b/>
                <w:bCs/>
                <w:color w:val="auto"/>
                <w:kern w:val="0"/>
                <w:sz w:val="24"/>
              </w:rPr>
              <w:t>Ⅰ</w:t>
            </w:r>
            <w:r>
              <w:rPr>
                <w:rFonts w:hint="eastAsia" w:ascii="Times New Roman" w:hAnsi="Times New Roman" w:cs="Times New Roman"/>
                <w:color w:val="auto"/>
                <w:kern w:val="0"/>
                <w:sz w:val="24"/>
                <w:lang w:val="en-US" w:eastAsia="zh-CN"/>
              </w:rPr>
              <w:t>4-1</w:t>
            </w:r>
            <w:r>
              <w:rPr>
                <w:rFonts w:hint="default" w:ascii="Times New Roman" w:hAnsi="Times New Roman" w:cs="Times New Roman"/>
                <w:color w:val="auto"/>
                <w:kern w:val="0"/>
                <w:sz w:val="24"/>
              </w:rPr>
              <w:t>盐同南部黄土丘陵强度水土流失治理生态功能区</w:t>
            </w:r>
            <w:r>
              <w:rPr>
                <w:rFonts w:hint="eastAsia"/>
                <w:color w:val="auto"/>
                <w:sz w:val="24"/>
              </w:rPr>
              <w:t>，自然植被区划属于</w:t>
            </w:r>
            <w:r>
              <w:rPr>
                <w:color w:val="auto"/>
                <w:sz w:val="24"/>
              </w:rPr>
              <w:fldChar w:fldCharType="begin"/>
            </w:r>
            <w:r>
              <w:rPr>
                <w:color w:val="auto"/>
                <w:sz w:val="24"/>
              </w:rPr>
              <w:instrText xml:space="preserve"> </w:instrText>
            </w:r>
            <w:r>
              <w:rPr>
                <w:rFonts w:hint="eastAsia"/>
                <w:color w:val="auto"/>
                <w:sz w:val="24"/>
              </w:rPr>
              <w:instrText xml:space="preserve">= 1 \* ROMAN</w:instrText>
            </w:r>
            <w:r>
              <w:rPr>
                <w:color w:val="auto"/>
                <w:sz w:val="24"/>
              </w:rPr>
              <w:instrText xml:space="preserve"> </w:instrText>
            </w:r>
            <w:r>
              <w:rPr>
                <w:color w:val="auto"/>
                <w:sz w:val="24"/>
              </w:rPr>
              <w:fldChar w:fldCharType="separate"/>
            </w:r>
            <w:r>
              <w:rPr>
                <w:color w:val="auto"/>
                <w:sz w:val="24"/>
              </w:rPr>
              <w:t>I</w:t>
            </w:r>
            <w:r>
              <w:rPr>
                <w:color w:val="auto"/>
                <w:sz w:val="24"/>
              </w:rPr>
              <w:fldChar w:fldCharType="end"/>
            </w:r>
            <w:r>
              <w:rPr>
                <w:color w:val="auto"/>
                <w:sz w:val="24"/>
              </w:rPr>
              <w:t>AL-</w:t>
            </w:r>
            <w:r>
              <w:rPr>
                <w:rFonts w:hint="eastAsia"/>
                <w:color w:val="auto"/>
                <w:sz w:val="24"/>
                <w:lang w:val="en-US" w:eastAsia="zh-CN"/>
              </w:rPr>
              <w:t>2a固北、同南、麻黄山长芒草干草原小区</w:t>
            </w:r>
            <w:r>
              <w:rPr>
                <w:rFonts w:hint="eastAsia"/>
                <w:color w:val="auto"/>
                <w:sz w:val="24"/>
              </w:rPr>
              <w:t>，自然植被属于</w:t>
            </w:r>
            <w:r>
              <w:rPr>
                <w:color w:val="auto"/>
                <w:sz w:val="24"/>
              </w:rPr>
              <w:fldChar w:fldCharType="begin"/>
            </w:r>
            <w:r>
              <w:rPr>
                <w:color w:val="auto"/>
                <w:sz w:val="24"/>
              </w:rPr>
              <w:instrText xml:space="preserve"> = 9 \* ROMAN \* MERGEFORMAT </w:instrText>
            </w:r>
            <w:r>
              <w:rPr>
                <w:color w:val="auto"/>
                <w:sz w:val="24"/>
              </w:rPr>
              <w:fldChar w:fldCharType="separate"/>
            </w:r>
            <w:r>
              <w:rPr>
                <w:color w:val="auto"/>
              </w:rPr>
              <w:t>IX</w:t>
            </w:r>
            <w:r>
              <w:rPr>
                <w:color w:val="auto"/>
                <w:sz w:val="24"/>
              </w:rPr>
              <w:fldChar w:fldCharType="end"/>
            </w:r>
            <w:r>
              <w:rPr>
                <w:rFonts w:hint="eastAsia"/>
                <w:color w:val="auto"/>
                <w:sz w:val="24"/>
                <w:lang w:val="en-US" w:eastAsia="zh-CN"/>
              </w:rPr>
              <w:t>粮油作物中66</w:t>
            </w:r>
            <w:r>
              <w:rPr>
                <w:rFonts w:hint="eastAsia"/>
                <w:color w:val="auto"/>
                <w:sz w:val="24"/>
              </w:rPr>
              <w:t>以</w:t>
            </w:r>
            <w:r>
              <w:rPr>
                <w:rFonts w:hint="eastAsia"/>
                <w:color w:val="auto"/>
                <w:sz w:val="24"/>
                <w:lang w:val="en-US" w:eastAsia="zh-CN"/>
              </w:rPr>
              <w:t>春小麦</w:t>
            </w:r>
            <w:r>
              <w:rPr>
                <w:rFonts w:hint="eastAsia"/>
                <w:color w:val="auto"/>
                <w:sz w:val="24"/>
              </w:rPr>
              <w:t>为主</w:t>
            </w:r>
            <w:r>
              <w:rPr>
                <w:rFonts w:hint="eastAsia"/>
                <w:color w:val="auto"/>
                <w:sz w:val="24"/>
                <w:lang w:eastAsia="zh-CN"/>
              </w:rPr>
              <w:t>，</w:t>
            </w:r>
            <w:r>
              <w:rPr>
                <w:rFonts w:hint="eastAsia"/>
                <w:color w:val="auto"/>
                <w:sz w:val="24"/>
                <w:lang w:val="en-US" w:eastAsia="zh-CN"/>
              </w:rPr>
              <w:t>含洋芋、糜谷、豆类、油料三年两熟作物</w:t>
            </w:r>
            <w:r>
              <w:rPr>
                <w:rFonts w:hint="eastAsia"/>
                <w:color w:val="auto"/>
                <w:sz w:val="24"/>
              </w:rPr>
              <w:t>。本项目与夏植被类型图位置关系图见附图1</w:t>
            </w:r>
            <w:r>
              <w:rPr>
                <w:rFonts w:hint="eastAsia"/>
                <w:color w:val="auto"/>
                <w:sz w:val="24"/>
                <w:lang w:val="en-US" w:eastAsia="zh-CN"/>
              </w:rPr>
              <w:t>5</w:t>
            </w:r>
            <w:r>
              <w:rPr>
                <w:rFonts w:hint="eastAsia"/>
                <w:color w:val="auto"/>
                <w:sz w:val="24"/>
              </w:rPr>
              <w:t>。</w:t>
            </w:r>
          </w:p>
          <w:p>
            <w:pPr>
              <w:adjustRightInd w:val="0"/>
              <w:snapToGrid w:val="0"/>
              <w:spacing w:line="360" w:lineRule="auto"/>
              <w:ind w:firstLine="480" w:firstLineChars="200"/>
              <w:rPr>
                <w:rFonts w:hint="eastAsia"/>
                <w:color w:val="auto"/>
                <w:sz w:val="24"/>
              </w:rPr>
            </w:pPr>
            <w:r>
              <w:rPr>
                <w:rFonts w:hint="default" w:ascii="Times New Roman" w:hAnsi="Times New Roman" w:cs="Times New Roman"/>
                <w:color w:val="auto"/>
                <w:kern w:val="0"/>
                <w:sz w:val="24"/>
              </w:rPr>
              <w:t>④</w:t>
            </w:r>
            <w:r>
              <w:rPr>
                <w:rFonts w:hint="eastAsia"/>
                <w:color w:val="auto"/>
                <w:sz w:val="24"/>
              </w:rPr>
              <w:t>陆生动物</w:t>
            </w:r>
          </w:p>
          <w:p>
            <w:pPr>
              <w:adjustRightInd w:val="0"/>
              <w:snapToGrid w:val="0"/>
              <w:spacing w:line="360" w:lineRule="auto"/>
              <w:ind w:firstLine="480" w:firstLineChars="200"/>
              <w:rPr>
                <w:color w:val="auto"/>
                <w:sz w:val="24"/>
              </w:rPr>
            </w:pPr>
            <w:r>
              <w:rPr>
                <w:rFonts w:hint="eastAsia"/>
                <w:color w:val="auto"/>
                <w:sz w:val="24"/>
              </w:rPr>
              <w:t>现场调查发现，由于调查时间处于</w:t>
            </w:r>
            <w:r>
              <w:rPr>
                <w:rFonts w:hint="eastAsia"/>
                <w:color w:val="auto"/>
                <w:sz w:val="24"/>
                <w:lang w:eastAsia="zh-CN"/>
              </w:rPr>
              <w:t>秋冬</w:t>
            </w:r>
            <w:r>
              <w:rPr>
                <w:rFonts w:hint="eastAsia"/>
                <w:color w:val="auto"/>
                <w:sz w:val="24"/>
              </w:rPr>
              <w:t>季，调查区内植被稀疏，无天然食源及隐蔽环境，野生动物较少出没，仅鸟类数只，主要为喜鹊和麻雀等。</w:t>
            </w:r>
          </w:p>
          <w:p>
            <w:pPr>
              <w:adjustRightInd w:val="0"/>
              <w:snapToGrid w:val="0"/>
              <w:spacing w:line="360" w:lineRule="auto"/>
              <w:ind w:firstLine="480" w:firstLineChars="200"/>
              <w:rPr>
                <w:color w:val="auto"/>
                <w:sz w:val="24"/>
              </w:rPr>
            </w:pPr>
            <w:r>
              <w:rPr>
                <w:color w:val="auto"/>
                <w:sz w:val="24"/>
              </w:rPr>
              <w:fldChar w:fldCharType="begin"/>
            </w:r>
            <w:r>
              <w:rPr>
                <w:color w:val="auto"/>
                <w:sz w:val="24"/>
              </w:rPr>
              <w:instrText xml:space="preserve"> </w:instrText>
            </w:r>
            <w:r>
              <w:rPr>
                <w:rFonts w:hint="eastAsia"/>
                <w:color w:val="auto"/>
                <w:sz w:val="24"/>
              </w:rPr>
              <w:instrText xml:space="preserve">= 5 \* GB3</w:instrText>
            </w:r>
            <w:r>
              <w:rPr>
                <w:color w:val="auto"/>
                <w:sz w:val="24"/>
              </w:rPr>
              <w:instrText xml:space="preserve"> </w:instrText>
            </w:r>
            <w:r>
              <w:rPr>
                <w:color w:val="auto"/>
                <w:sz w:val="24"/>
              </w:rPr>
              <w:fldChar w:fldCharType="separate"/>
            </w:r>
            <w:r>
              <w:rPr>
                <w:rFonts w:hint="eastAsia"/>
                <w:color w:val="auto"/>
                <w:sz w:val="24"/>
              </w:rPr>
              <w:t>⑤</w:t>
            </w:r>
            <w:r>
              <w:rPr>
                <w:color w:val="auto"/>
                <w:sz w:val="24"/>
              </w:rPr>
              <w:fldChar w:fldCharType="end"/>
            </w:r>
            <w:r>
              <w:rPr>
                <w:rFonts w:hint="eastAsia"/>
                <w:color w:val="auto"/>
                <w:sz w:val="24"/>
              </w:rPr>
              <w:t>沟道水生生物</w:t>
            </w:r>
          </w:p>
          <w:p>
            <w:pPr>
              <w:pStyle w:val="6"/>
              <w:spacing w:line="360" w:lineRule="auto"/>
              <w:rPr>
                <w:color w:val="auto"/>
                <w:kern w:val="0"/>
                <w:sz w:val="24"/>
              </w:rPr>
            </w:pPr>
            <w:r>
              <w:rPr>
                <w:rFonts w:hint="eastAsia"/>
                <w:color w:val="auto"/>
                <w:kern w:val="0"/>
                <w:sz w:val="24"/>
              </w:rPr>
              <w:t>项目防洪工程涉及水系为</w:t>
            </w:r>
            <w:r>
              <w:rPr>
                <w:rFonts w:hint="eastAsia"/>
                <w:color w:val="auto"/>
                <w:kern w:val="0"/>
                <w:sz w:val="24"/>
                <w:lang w:val="en-US" w:eastAsia="zh-CN"/>
              </w:rPr>
              <w:t>折腰沟</w:t>
            </w:r>
            <w:r>
              <w:rPr>
                <w:rFonts w:hint="eastAsia"/>
                <w:color w:val="auto"/>
                <w:kern w:val="0"/>
                <w:sz w:val="24"/>
              </w:rPr>
              <w:t>，地面径流多以暴雨洪水形式出现，洪水年际变化极不均匀，径流总量较少，多年平均径流深约为8.0mm</w:t>
            </w:r>
            <w:r>
              <w:rPr>
                <w:rFonts w:hint="eastAsia"/>
                <w:color w:val="auto"/>
                <w:kern w:val="0"/>
                <w:sz w:val="24"/>
                <w:lang w:eastAsia="zh-CN"/>
              </w:rPr>
              <w:t>，</w:t>
            </w:r>
            <w:r>
              <w:rPr>
                <w:rFonts w:hint="eastAsia"/>
                <w:color w:val="auto"/>
                <w:kern w:val="0"/>
                <w:sz w:val="24"/>
              </w:rPr>
              <w:t>年内分配不均。沟道内常处于干涸状态，无水生生物。</w:t>
            </w:r>
          </w:p>
          <w:p>
            <w:pPr>
              <w:keepNext w:val="0"/>
              <w:keepLines w:val="0"/>
              <w:suppressLineNumbers w:val="0"/>
              <w:adjustRightInd w:val="0"/>
              <w:snapToGrid w:val="0"/>
              <w:spacing w:before="0" w:beforeAutospacing="0" w:after="0" w:afterAutospacing="0" w:line="360" w:lineRule="auto"/>
              <w:ind w:left="0" w:right="0" w:firstLine="480"/>
              <w:jc w:val="left"/>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4、环境质量现状</w:t>
            </w:r>
          </w:p>
          <w:p>
            <w:pPr>
              <w:keepNext w:val="0"/>
              <w:keepLines w:val="0"/>
              <w:suppressLineNumbers w:val="0"/>
              <w:adjustRightInd w:val="0"/>
              <w:snapToGrid w:val="0"/>
              <w:spacing w:before="0" w:beforeAutospacing="0" w:after="0" w:afterAutospacing="0" w:line="360" w:lineRule="auto"/>
              <w:ind w:left="0" w:right="0" w:firstLine="241" w:firstLineChars="100"/>
              <w:jc w:val="left"/>
              <w:rPr>
                <w:rFonts w:hint="eastAsia" w:ascii="Times New Roman" w:hAnsi="Times New Roman" w:eastAsia="宋体" w:cs="Times New Roman"/>
                <w:b/>
                <w:bCs/>
                <w:color w:val="auto"/>
                <w:kern w:val="0"/>
                <w:sz w:val="24"/>
                <w:lang w:eastAsia="zh-CN"/>
              </w:rPr>
            </w:pPr>
            <w:r>
              <w:rPr>
                <w:rFonts w:hint="default" w:ascii="Times New Roman" w:hAnsi="Times New Roman" w:cs="Times New Roman"/>
                <w:b/>
                <w:bCs/>
                <w:color w:val="auto"/>
                <w:kern w:val="0"/>
                <w:sz w:val="24"/>
              </w:rPr>
              <w:t>（1）</w:t>
            </w:r>
            <w:r>
              <w:rPr>
                <w:rFonts w:hint="eastAsia" w:ascii="Times New Roman" w:hAnsi="Times New Roman" w:cs="Times New Roman"/>
                <w:b/>
                <w:bCs/>
                <w:color w:val="auto"/>
                <w:kern w:val="0"/>
                <w:sz w:val="24"/>
                <w:lang w:eastAsia="zh-CN"/>
              </w:rPr>
              <w:t>大气</w:t>
            </w:r>
            <w:r>
              <w:rPr>
                <w:rFonts w:hint="default" w:ascii="Times New Roman" w:hAnsi="Times New Roman" w:cs="Times New Roman"/>
                <w:b/>
                <w:bCs/>
                <w:color w:val="auto"/>
                <w:kern w:val="0"/>
                <w:sz w:val="24"/>
              </w:rPr>
              <w:t>环境质量现状</w:t>
            </w:r>
          </w:p>
          <w:p>
            <w:pPr>
              <w:adjustRightInd w:val="0"/>
              <w:snapToGrid w:val="0"/>
              <w:spacing w:line="360" w:lineRule="auto"/>
              <w:ind w:firstLine="480" w:firstLineChars="200"/>
              <w:jc w:val="left"/>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本项目建设地点位于</w:t>
            </w:r>
            <w:r>
              <w:rPr>
                <w:rFonts w:hint="default" w:ascii="Times New Roman" w:hAnsi="Times New Roman" w:eastAsia="宋体" w:cs="Times New Roman"/>
                <w:color w:val="auto"/>
                <w:sz w:val="24"/>
                <w:lang w:val="en-US" w:eastAsia="zh-CN"/>
              </w:rPr>
              <w:t>宁夏</w:t>
            </w:r>
            <w:r>
              <w:rPr>
                <w:rFonts w:hint="eastAsia" w:cs="Times New Roman"/>
                <w:color w:val="auto"/>
                <w:sz w:val="24"/>
                <w:lang w:val="en-US" w:eastAsia="zh-CN"/>
              </w:rPr>
              <w:t>回族自治区吴忠市</w:t>
            </w:r>
            <w:r>
              <w:rPr>
                <w:rFonts w:hint="default" w:ascii="Times New Roman" w:hAnsi="Times New Roman" w:eastAsia="宋体" w:cs="Times New Roman"/>
                <w:color w:val="auto"/>
                <w:sz w:val="24"/>
                <w:lang w:val="en-US" w:eastAsia="zh-CN"/>
              </w:rPr>
              <w:t>同心县</w:t>
            </w:r>
            <w:r>
              <w:rPr>
                <w:rFonts w:hint="default" w:ascii="Times New Roman" w:hAnsi="Times New Roman" w:eastAsia="宋体" w:cs="Times New Roman"/>
                <w:color w:val="auto"/>
                <w:sz w:val="24"/>
              </w:rPr>
              <w:t>，项目区域环境空气质量现状引用《</w:t>
            </w:r>
            <w:r>
              <w:rPr>
                <w:rFonts w:hint="default" w:ascii="Times New Roman" w:hAnsi="Times New Roman" w:eastAsia="宋体" w:cs="Times New Roman"/>
                <w:color w:val="auto"/>
                <w:sz w:val="24"/>
                <w:lang w:val="en-US" w:eastAsia="zh-CN"/>
              </w:rPr>
              <w:t>202</w:t>
            </w:r>
            <w:r>
              <w:rPr>
                <w:rFonts w:hint="eastAsia" w:ascii="Times New Roman" w:hAnsi="Times New Roman" w:eastAsia="宋体" w:cs="Times New Roman"/>
                <w:color w:val="auto"/>
                <w:sz w:val="24"/>
                <w:lang w:val="en-US" w:eastAsia="zh-CN"/>
              </w:rPr>
              <w:t>2</w:t>
            </w:r>
            <w:r>
              <w:rPr>
                <w:rFonts w:hint="default" w:ascii="Times New Roman" w:hAnsi="Times New Roman" w:eastAsia="宋体" w:cs="Times New Roman"/>
                <w:color w:val="auto"/>
                <w:sz w:val="24"/>
                <w:lang w:val="en-US" w:eastAsia="zh-CN"/>
              </w:rPr>
              <w:t>年宁夏环境质量</w:t>
            </w:r>
            <w:r>
              <w:rPr>
                <w:rFonts w:hint="eastAsia" w:cs="Times New Roman"/>
                <w:color w:val="auto"/>
                <w:sz w:val="24"/>
                <w:lang w:val="en-US" w:eastAsia="zh-CN"/>
              </w:rPr>
              <w:t>状况</w:t>
            </w:r>
            <w:r>
              <w:rPr>
                <w:rFonts w:hint="default" w:ascii="Times New Roman" w:hAnsi="Times New Roman" w:eastAsia="宋体" w:cs="Times New Roman"/>
                <w:color w:val="auto"/>
                <w:sz w:val="24"/>
              </w:rPr>
              <w:t>》中</w:t>
            </w:r>
            <w:r>
              <w:rPr>
                <w:rFonts w:hint="eastAsia" w:cs="Times New Roman"/>
                <w:color w:val="auto"/>
                <w:sz w:val="24"/>
                <w:lang w:eastAsia="zh-CN"/>
              </w:rPr>
              <w:t>同心县的监测数据</w:t>
            </w:r>
            <w:r>
              <w:rPr>
                <w:rFonts w:hint="default" w:ascii="Times New Roman" w:hAnsi="Times New Roman" w:eastAsia="宋体" w:cs="Times New Roman"/>
                <w:color w:val="auto"/>
                <w:sz w:val="24"/>
              </w:rPr>
              <w:t>，对项目区域大气环境进行分析评价。所在区域公布的环境空气质量现状评价具体见</w:t>
            </w:r>
            <w:r>
              <w:rPr>
                <w:rFonts w:hint="eastAsia" w:cs="Times New Roman"/>
                <w:color w:val="auto"/>
                <w:sz w:val="24"/>
                <w:lang w:eastAsia="zh-CN"/>
              </w:rPr>
              <w:t>下</w:t>
            </w:r>
            <w:r>
              <w:rPr>
                <w:rFonts w:hint="default" w:ascii="Times New Roman" w:hAnsi="Times New Roman" w:eastAsia="宋体" w:cs="Times New Roman"/>
                <w:color w:val="auto"/>
                <w:sz w:val="24"/>
              </w:rPr>
              <w:t>表</w:t>
            </w:r>
            <w:r>
              <w:rPr>
                <w:rFonts w:hint="default" w:ascii="Times New Roman" w:hAnsi="Times New Roman" w:eastAsia="宋体" w:cs="Times New Roman"/>
                <w:color w:val="auto"/>
                <w:sz w:val="24"/>
                <w:lang w:val="en-US" w:eastAsia="zh-CN"/>
              </w:rPr>
              <w:t>3-1</w:t>
            </w:r>
            <w:r>
              <w:rPr>
                <w:rFonts w:hint="default" w:ascii="Times New Roman" w:hAnsi="Times New Roman" w:eastAsia="宋体" w:cs="Times New Roman"/>
                <w:color w:val="auto"/>
                <w:sz w:val="24"/>
              </w:rPr>
              <w:t>。</w:t>
            </w:r>
          </w:p>
          <w:p>
            <w:pPr>
              <w:pStyle w:val="23"/>
              <w:widowControl w:val="0"/>
              <w:adjustRightInd w:val="0"/>
              <w:spacing w:before="0" w:after="0" w:line="240" w:lineRule="auto"/>
              <w:ind w:right="0" w:firstLine="0" w:firstLineChars="0"/>
              <w:jc w:val="center"/>
              <w:rPr>
                <w:rFonts w:hint="default" w:ascii="Times New Roman" w:hAnsi="Times New Roman" w:cs="Times New Roman"/>
                <w:b/>
                <w:bCs/>
                <w:color w:val="auto"/>
                <w:szCs w:val="21"/>
                <w:vertAlign w:val="superscript"/>
              </w:rPr>
            </w:pPr>
            <w:r>
              <w:rPr>
                <w:rFonts w:hint="default" w:ascii="Times New Roman" w:hAnsi="Times New Roman" w:cs="Times New Roman"/>
                <w:b/>
                <w:bCs/>
                <w:color w:val="auto"/>
                <w:szCs w:val="21"/>
              </w:rPr>
              <w:t>表3-1区域环境空气质量现状单位：ug/m</w:t>
            </w:r>
            <w:r>
              <w:rPr>
                <w:rFonts w:hint="default" w:ascii="Times New Roman" w:hAnsi="Times New Roman" w:cs="Times New Roman"/>
                <w:b/>
                <w:bCs/>
                <w:color w:val="auto"/>
                <w:szCs w:val="21"/>
                <w:vertAlign w:val="superscript"/>
              </w:rPr>
              <w:t>3</w:t>
            </w:r>
          </w:p>
          <w:tbl>
            <w:tblPr>
              <w:tblStyle w:val="24"/>
              <w:tblW w:w="79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002"/>
              <w:gridCol w:w="2395"/>
              <w:gridCol w:w="1483"/>
              <w:gridCol w:w="1273"/>
              <w:gridCol w:w="913"/>
              <w:gridCol w:w="87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2" w:type="dxa"/>
                  <w:noWrap/>
                  <w:vAlign w:val="center"/>
                </w:tcPr>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bCs/>
                      <w:color w:val="auto"/>
                      <w:sz w:val="21"/>
                      <w:szCs w:val="21"/>
                    </w:rPr>
                    <w:t>污染物</w:t>
                  </w:r>
                </w:p>
              </w:tc>
              <w:tc>
                <w:tcPr>
                  <w:tcW w:w="2395" w:type="dxa"/>
                  <w:noWrap/>
                  <w:vAlign w:val="center"/>
                </w:tcPr>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bCs/>
                      <w:color w:val="auto"/>
                      <w:sz w:val="21"/>
                      <w:szCs w:val="21"/>
                    </w:rPr>
                    <w:t>年评价指标</w:t>
                  </w:r>
                </w:p>
              </w:tc>
              <w:tc>
                <w:tcPr>
                  <w:tcW w:w="1483" w:type="dxa"/>
                  <w:noWrap/>
                  <w:vAlign w:val="center"/>
                </w:tcPr>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bCs/>
                      <w:color w:val="auto"/>
                      <w:sz w:val="21"/>
                      <w:szCs w:val="21"/>
                    </w:rPr>
                    <w:t>现状浓度/(μg /m</w:t>
                  </w:r>
                  <w:r>
                    <w:rPr>
                      <w:rFonts w:hint="default" w:ascii="Times New Roman" w:hAnsi="Times New Roman" w:eastAsia="宋体" w:cs="Times New Roman"/>
                      <w:b/>
                      <w:bCs/>
                      <w:color w:val="auto"/>
                      <w:sz w:val="21"/>
                      <w:szCs w:val="21"/>
                      <w:vertAlign w:val="superscript"/>
                    </w:rPr>
                    <w:t>3</w:t>
                  </w:r>
                  <w:r>
                    <w:rPr>
                      <w:rFonts w:hint="default" w:ascii="Times New Roman" w:hAnsi="Times New Roman" w:eastAsia="宋体" w:cs="Times New Roman"/>
                      <w:b/>
                      <w:bCs/>
                      <w:color w:val="auto"/>
                      <w:sz w:val="21"/>
                      <w:szCs w:val="21"/>
                    </w:rPr>
                    <w:t>)</w:t>
                  </w:r>
                </w:p>
              </w:tc>
              <w:tc>
                <w:tcPr>
                  <w:tcW w:w="1273" w:type="dxa"/>
                  <w:noWrap/>
                  <w:vAlign w:val="center"/>
                </w:tcPr>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bCs/>
                      <w:color w:val="auto"/>
                      <w:sz w:val="21"/>
                      <w:szCs w:val="21"/>
                    </w:rPr>
                    <w:t>标准值/(μg/m</w:t>
                  </w:r>
                  <w:r>
                    <w:rPr>
                      <w:rFonts w:hint="default" w:ascii="Times New Roman" w:hAnsi="Times New Roman" w:eastAsia="宋体" w:cs="Times New Roman"/>
                      <w:b/>
                      <w:bCs/>
                      <w:color w:val="auto"/>
                      <w:sz w:val="21"/>
                      <w:szCs w:val="21"/>
                      <w:vertAlign w:val="superscript"/>
                    </w:rPr>
                    <w:t>3</w:t>
                  </w:r>
                  <w:r>
                    <w:rPr>
                      <w:rFonts w:hint="default" w:ascii="Times New Roman" w:hAnsi="Times New Roman" w:eastAsia="宋体" w:cs="Times New Roman"/>
                      <w:b/>
                      <w:bCs/>
                      <w:color w:val="auto"/>
                      <w:sz w:val="21"/>
                      <w:szCs w:val="21"/>
                    </w:rPr>
                    <w:t>)</w:t>
                  </w:r>
                </w:p>
              </w:tc>
              <w:tc>
                <w:tcPr>
                  <w:tcW w:w="913" w:type="dxa"/>
                  <w:noWrap/>
                  <w:vAlign w:val="center"/>
                </w:tcPr>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bCs/>
                      <w:color w:val="auto"/>
                      <w:sz w:val="21"/>
                      <w:szCs w:val="21"/>
                    </w:rPr>
                    <w:t>占标率/%</w:t>
                  </w:r>
                </w:p>
              </w:tc>
              <w:tc>
                <w:tcPr>
                  <w:tcW w:w="871" w:type="dxa"/>
                  <w:noWrap/>
                  <w:vAlign w:val="center"/>
                </w:tcPr>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bCs/>
                      <w:color w:val="auto"/>
                      <w:sz w:val="21"/>
                      <w:szCs w:val="21"/>
                    </w:rPr>
                    <w:t>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2"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PM</w:t>
                  </w:r>
                  <w:r>
                    <w:rPr>
                      <w:rFonts w:hint="default" w:ascii="Times New Roman" w:hAnsi="Times New Roman" w:eastAsia="宋体" w:cs="Times New Roman"/>
                      <w:bCs/>
                      <w:color w:val="auto"/>
                      <w:sz w:val="21"/>
                      <w:szCs w:val="21"/>
                      <w:vertAlign w:val="subscript"/>
                    </w:rPr>
                    <w:t>10</w:t>
                  </w:r>
                </w:p>
              </w:tc>
              <w:tc>
                <w:tcPr>
                  <w:tcW w:w="2395"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年平均质量浓度</w:t>
                  </w:r>
                </w:p>
              </w:tc>
              <w:tc>
                <w:tcPr>
                  <w:tcW w:w="1483" w:type="dxa"/>
                  <w:noWrap/>
                  <w:vAlign w:val="center"/>
                </w:tcPr>
                <w:p>
                  <w:pPr>
                    <w:adjustRightInd w:val="0"/>
                    <w:snapToGrid w:val="0"/>
                    <w:jc w:val="center"/>
                    <w:rPr>
                      <w:rFonts w:hint="default" w:ascii="Times New Roman" w:hAnsi="Times New Roman" w:eastAsia="宋体" w:cs="Times New Roman"/>
                      <w:bCs/>
                      <w:color w:val="auto"/>
                      <w:sz w:val="21"/>
                      <w:szCs w:val="21"/>
                      <w:highlight w:val="none"/>
                      <w:lang w:val="en-US" w:eastAsia="zh-CN"/>
                    </w:rPr>
                  </w:pPr>
                  <w:r>
                    <w:rPr>
                      <w:rFonts w:hint="eastAsia" w:ascii="Times New Roman" w:hAnsi="Times New Roman" w:eastAsia="宋体" w:cs="Times New Roman"/>
                      <w:color w:val="auto"/>
                      <w:kern w:val="0"/>
                      <w:sz w:val="21"/>
                      <w:szCs w:val="21"/>
                      <w:highlight w:val="none"/>
                      <w:lang w:val="en-US" w:eastAsia="zh-CN"/>
                    </w:rPr>
                    <w:t>6</w:t>
                  </w:r>
                  <w:r>
                    <w:rPr>
                      <w:rFonts w:hint="eastAsia" w:cs="Times New Roman"/>
                      <w:color w:val="auto"/>
                      <w:kern w:val="0"/>
                      <w:sz w:val="21"/>
                      <w:szCs w:val="21"/>
                      <w:highlight w:val="none"/>
                      <w:lang w:val="en-US" w:eastAsia="zh-CN"/>
                    </w:rPr>
                    <w:t>7</w:t>
                  </w:r>
                </w:p>
              </w:tc>
              <w:tc>
                <w:tcPr>
                  <w:tcW w:w="1273" w:type="dxa"/>
                  <w:noWrap/>
                  <w:vAlign w:val="center"/>
                </w:tcPr>
                <w:p>
                  <w:pPr>
                    <w:adjustRightInd w:val="0"/>
                    <w:snapToGrid w:val="0"/>
                    <w:jc w:val="center"/>
                    <w:rPr>
                      <w:rFonts w:hint="default" w:ascii="Times New Roman" w:hAnsi="Times New Roman" w:eastAsia="宋体" w:cs="Times New Roman"/>
                      <w:bCs/>
                      <w:color w:val="auto"/>
                      <w:sz w:val="21"/>
                      <w:szCs w:val="21"/>
                      <w:lang w:eastAsia="zh-CN"/>
                    </w:rPr>
                  </w:pPr>
                  <w:r>
                    <w:rPr>
                      <w:rFonts w:hint="default" w:ascii="Times New Roman" w:hAnsi="Times New Roman" w:eastAsia="宋体" w:cs="Times New Roman"/>
                      <w:color w:val="auto"/>
                      <w:kern w:val="0"/>
                      <w:sz w:val="21"/>
                      <w:szCs w:val="21"/>
                    </w:rPr>
                    <w:t>70</w:t>
                  </w:r>
                </w:p>
              </w:tc>
              <w:tc>
                <w:tcPr>
                  <w:tcW w:w="913" w:type="dxa"/>
                  <w:noWrap/>
                  <w:vAlign w:val="center"/>
                </w:tcPr>
                <w:p>
                  <w:pPr>
                    <w:adjustRightInd w:val="0"/>
                    <w:snapToGrid w:val="0"/>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95.71</w:t>
                  </w:r>
                </w:p>
              </w:tc>
              <w:tc>
                <w:tcPr>
                  <w:tcW w:w="871"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color w:val="auto"/>
                      <w:kern w:val="0"/>
                      <w:sz w:val="21"/>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2"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PM</w:t>
                  </w:r>
                  <w:r>
                    <w:rPr>
                      <w:rFonts w:hint="default" w:ascii="Times New Roman" w:hAnsi="Times New Roman" w:eastAsia="宋体" w:cs="Times New Roman"/>
                      <w:bCs/>
                      <w:color w:val="auto"/>
                      <w:sz w:val="21"/>
                      <w:szCs w:val="21"/>
                      <w:vertAlign w:val="subscript"/>
                    </w:rPr>
                    <w:t>2.5</w:t>
                  </w:r>
                </w:p>
              </w:tc>
              <w:tc>
                <w:tcPr>
                  <w:tcW w:w="2395"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年平均质量浓度</w:t>
                  </w:r>
                </w:p>
              </w:tc>
              <w:tc>
                <w:tcPr>
                  <w:tcW w:w="1483" w:type="dxa"/>
                  <w:noWrap/>
                  <w:vAlign w:val="center"/>
                </w:tcPr>
                <w:p>
                  <w:pPr>
                    <w:adjustRightInd w:val="0"/>
                    <w:snapToGrid w:val="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kern w:val="0"/>
                      <w:sz w:val="21"/>
                      <w:szCs w:val="21"/>
                      <w:highlight w:val="none"/>
                      <w:lang w:val="en-US" w:eastAsia="zh-CN"/>
                    </w:rPr>
                    <w:t>32</w:t>
                  </w:r>
                </w:p>
              </w:tc>
              <w:tc>
                <w:tcPr>
                  <w:tcW w:w="1273" w:type="dxa"/>
                  <w:noWrap/>
                  <w:vAlign w:val="center"/>
                </w:tcPr>
                <w:p>
                  <w:pPr>
                    <w:adjustRightInd w:val="0"/>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kern w:val="0"/>
                      <w:sz w:val="21"/>
                      <w:szCs w:val="21"/>
                    </w:rPr>
                    <w:t>35</w:t>
                  </w:r>
                </w:p>
              </w:tc>
              <w:tc>
                <w:tcPr>
                  <w:tcW w:w="913" w:type="dxa"/>
                  <w:noWrap/>
                  <w:vAlign w:val="center"/>
                </w:tcPr>
                <w:p>
                  <w:pPr>
                    <w:adjustRightInd w:val="0"/>
                    <w:snapToGrid w:val="0"/>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91.4</w:t>
                  </w:r>
                  <w:r>
                    <w:rPr>
                      <w:rFonts w:hint="eastAsia" w:cs="Times New Roman"/>
                      <w:color w:val="auto"/>
                      <w:sz w:val="21"/>
                      <w:szCs w:val="21"/>
                      <w:lang w:val="en-US" w:eastAsia="zh-CN"/>
                    </w:rPr>
                    <w:t>3</w:t>
                  </w:r>
                </w:p>
              </w:tc>
              <w:tc>
                <w:tcPr>
                  <w:tcW w:w="871" w:type="dxa"/>
                  <w:noWrap/>
                  <w:vAlign w:val="center"/>
                </w:tcPr>
                <w:p>
                  <w:pPr>
                    <w:adjustRightInd w:val="0"/>
                    <w:snapToGrid w:val="0"/>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kern w:val="0"/>
                      <w:sz w:val="21"/>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2" w:type="dxa"/>
                  <w:noWrap/>
                  <w:vAlign w:val="center"/>
                </w:tcPr>
                <w:p>
                  <w:pPr>
                    <w:adjustRightInd w:val="0"/>
                    <w:snapToGrid w:val="0"/>
                    <w:jc w:val="center"/>
                    <w:rPr>
                      <w:rFonts w:hint="default" w:ascii="Times New Roman" w:hAnsi="Times New Roman" w:eastAsia="宋体" w:cs="Times New Roman"/>
                      <w:bCs/>
                      <w:color w:val="auto"/>
                      <w:sz w:val="21"/>
                      <w:szCs w:val="21"/>
                      <w:vertAlign w:val="subscript"/>
                    </w:rPr>
                  </w:pPr>
                  <w:r>
                    <w:rPr>
                      <w:rFonts w:hint="default" w:ascii="Times New Roman" w:hAnsi="Times New Roman" w:eastAsia="宋体" w:cs="Times New Roman"/>
                      <w:bCs/>
                      <w:color w:val="auto"/>
                      <w:sz w:val="21"/>
                      <w:szCs w:val="21"/>
                    </w:rPr>
                    <w:t>SO</w:t>
                  </w:r>
                  <w:r>
                    <w:rPr>
                      <w:rFonts w:hint="default" w:ascii="Times New Roman" w:hAnsi="Times New Roman" w:eastAsia="宋体" w:cs="Times New Roman"/>
                      <w:bCs/>
                      <w:color w:val="auto"/>
                      <w:sz w:val="21"/>
                      <w:szCs w:val="21"/>
                      <w:vertAlign w:val="subscript"/>
                    </w:rPr>
                    <w:t>2</w:t>
                  </w:r>
                </w:p>
              </w:tc>
              <w:tc>
                <w:tcPr>
                  <w:tcW w:w="2395"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年平均质量浓度</w:t>
                  </w:r>
                </w:p>
              </w:tc>
              <w:tc>
                <w:tcPr>
                  <w:tcW w:w="1483" w:type="dxa"/>
                  <w:noWrap/>
                  <w:vAlign w:val="center"/>
                </w:tcPr>
                <w:p>
                  <w:pPr>
                    <w:adjustRightInd w:val="0"/>
                    <w:snapToGrid w:val="0"/>
                    <w:jc w:val="center"/>
                    <w:rPr>
                      <w:rFonts w:hint="default" w:ascii="Times New Roman" w:hAnsi="Times New Roman" w:eastAsia="宋体" w:cs="Times New Roman"/>
                      <w:color w:val="auto"/>
                      <w:sz w:val="21"/>
                      <w:szCs w:val="21"/>
                      <w:lang w:val="en-US" w:eastAsia="zh-CN"/>
                    </w:rPr>
                  </w:pPr>
                  <w:r>
                    <w:rPr>
                      <w:rFonts w:hint="eastAsia" w:cs="Times New Roman"/>
                      <w:color w:val="auto"/>
                      <w:kern w:val="0"/>
                      <w:sz w:val="21"/>
                      <w:szCs w:val="21"/>
                      <w:lang w:val="en-US" w:eastAsia="zh-CN"/>
                    </w:rPr>
                    <w:t>10</w:t>
                  </w:r>
                </w:p>
              </w:tc>
              <w:tc>
                <w:tcPr>
                  <w:tcW w:w="1273" w:type="dxa"/>
                  <w:noWrap/>
                  <w:vAlign w:val="center"/>
                </w:tcPr>
                <w:p>
                  <w:pPr>
                    <w:adjustRightInd w:val="0"/>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kern w:val="0"/>
                      <w:sz w:val="21"/>
                      <w:szCs w:val="21"/>
                    </w:rPr>
                    <w:t>60</w:t>
                  </w:r>
                </w:p>
              </w:tc>
              <w:tc>
                <w:tcPr>
                  <w:tcW w:w="913" w:type="dxa"/>
                  <w:noWrap/>
                  <w:vAlign w:val="center"/>
                </w:tcPr>
                <w:p>
                  <w:pPr>
                    <w:adjustRightInd w:val="0"/>
                    <w:snapToGrid w:val="0"/>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16.67</w:t>
                  </w:r>
                </w:p>
              </w:tc>
              <w:tc>
                <w:tcPr>
                  <w:tcW w:w="871"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color w:val="auto"/>
                      <w:kern w:val="0"/>
                      <w:sz w:val="21"/>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2"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NO</w:t>
                  </w:r>
                  <w:r>
                    <w:rPr>
                      <w:rFonts w:hint="default" w:ascii="Times New Roman" w:hAnsi="Times New Roman" w:eastAsia="宋体" w:cs="Times New Roman"/>
                      <w:bCs/>
                      <w:color w:val="auto"/>
                      <w:sz w:val="21"/>
                      <w:szCs w:val="21"/>
                      <w:vertAlign w:val="subscript"/>
                    </w:rPr>
                    <w:t>2</w:t>
                  </w:r>
                </w:p>
              </w:tc>
              <w:tc>
                <w:tcPr>
                  <w:tcW w:w="2395"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年平均质量浓度</w:t>
                  </w:r>
                </w:p>
              </w:tc>
              <w:tc>
                <w:tcPr>
                  <w:tcW w:w="1483" w:type="dxa"/>
                  <w:noWrap/>
                  <w:vAlign w:val="center"/>
                </w:tcPr>
                <w:p>
                  <w:pPr>
                    <w:adjustRightInd w:val="0"/>
                    <w:snapToGrid w:val="0"/>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kern w:val="0"/>
                      <w:sz w:val="21"/>
                      <w:szCs w:val="21"/>
                    </w:rPr>
                    <w:t>2</w:t>
                  </w:r>
                  <w:r>
                    <w:rPr>
                      <w:rFonts w:hint="eastAsia" w:ascii="Times New Roman" w:hAnsi="Times New Roman" w:eastAsia="宋体" w:cs="Times New Roman"/>
                      <w:color w:val="auto"/>
                      <w:kern w:val="0"/>
                      <w:sz w:val="21"/>
                      <w:szCs w:val="21"/>
                      <w:lang w:val="en-US" w:eastAsia="zh-CN"/>
                    </w:rPr>
                    <w:t>3</w:t>
                  </w:r>
                </w:p>
              </w:tc>
              <w:tc>
                <w:tcPr>
                  <w:tcW w:w="1273" w:type="dxa"/>
                  <w:noWrap/>
                  <w:vAlign w:val="center"/>
                </w:tcPr>
                <w:p>
                  <w:pPr>
                    <w:adjustRightInd w:val="0"/>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kern w:val="0"/>
                      <w:sz w:val="21"/>
                      <w:szCs w:val="21"/>
                    </w:rPr>
                    <w:t>40</w:t>
                  </w:r>
                </w:p>
              </w:tc>
              <w:tc>
                <w:tcPr>
                  <w:tcW w:w="913" w:type="dxa"/>
                  <w:noWrap/>
                  <w:vAlign w:val="center"/>
                </w:tcPr>
                <w:p>
                  <w:pPr>
                    <w:adjustRightInd w:val="0"/>
                    <w:snapToGrid w:val="0"/>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57.5</w:t>
                  </w:r>
                </w:p>
              </w:tc>
              <w:tc>
                <w:tcPr>
                  <w:tcW w:w="871"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color w:val="auto"/>
                      <w:kern w:val="0"/>
                      <w:sz w:val="21"/>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2"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CO</w:t>
                  </w:r>
                </w:p>
              </w:tc>
              <w:tc>
                <w:tcPr>
                  <w:tcW w:w="2395"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24h平均第95百分位数（mg/m</w:t>
                  </w:r>
                  <w:r>
                    <w:rPr>
                      <w:rFonts w:hint="default" w:ascii="Times New Roman" w:hAnsi="Times New Roman" w:eastAsia="宋体" w:cs="Times New Roman"/>
                      <w:bCs/>
                      <w:color w:val="auto"/>
                      <w:sz w:val="21"/>
                      <w:szCs w:val="21"/>
                      <w:vertAlign w:val="superscript"/>
                    </w:rPr>
                    <w:t>3</w:t>
                  </w:r>
                  <w:r>
                    <w:rPr>
                      <w:rFonts w:hint="default" w:ascii="Times New Roman" w:hAnsi="Times New Roman" w:eastAsia="宋体" w:cs="Times New Roman"/>
                      <w:bCs/>
                      <w:color w:val="auto"/>
                      <w:sz w:val="21"/>
                      <w:szCs w:val="21"/>
                    </w:rPr>
                    <w:t>）</w:t>
                  </w:r>
                </w:p>
              </w:tc>
              <w:tc>
                <w:tcPr>
                  <w:tcW w:w="1483" w:type="dxa"/>
                  <w:noWrap/>
                  <w:vAlign w:val="center"/>
                </w:tcPr>
                <w:p>
                  <w:pPr>
                    <w:adjustRightInd w:val="0"/>
                    <w:snapToGrid w:val="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kern w:val="0"/>
                      <w:sz w:val="21"/>
                      <w:szCs w:val="21"/>
                    </w:rPr>
                    <w:t>1.</w:t>
                  </w:r>
                  <w:r>
                    <w:rPr>
                      <w:rFonts w:hint="eastAsia" w:cs="Times New Roman"/>
                      <w:color w:val="auto"/>
                      <w:kern w:val="0"/>
                      <w:sz w:val="21"/>
                      <w:szCs w:val="21"/>
                      <w:lang w:val="en-US" w:eastAsia="zh-CN"/>
                    </w:rPr>
                    <w:t>4</w:t>
                  </w:r>
                </w:p>
              </w:tc>
              <w:tc>
                <w:tcPr>
                  <w:tcW w:w="1273" w:type="dxa"/>
                  <w:noWrap/>
                  <w:vAlign w:val="center"/>
                </w:tcPr>
                <w:p>
                  <w:pPr>
                    <w:adjustRightInd w:val="0"/>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kern w:val="0"/>
                      <w:sz w:val="21"/>
                      <w:szCs w:val="21"/>
                    </w:rPr>
                    <w:t>4</w:t>
                  </w:r>
                </w:p>
              </w:tc>
              <w:tc>
                <w:tcPr>
                  <w:tcW w:w="913" w:type="dxa"/>
                  <w:noWrap/>
                  <w:vAlign w:val="center"/>
                </w:tcPr>
                <w:p>
                  <w:pPr>
                    <w:adjustRightInd w:val="0"/>
                    <w:snapToGrid w:val="0"/>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35.0</w:t>
                  </w:r>
                </w:p>
              </w:tc>
              <w:tc>
                <w:tcPr>
                  <w:tcW w:w="871"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color w:val="auto"/>
                      <w:kern w:val="0"/>
                      <w:sz w:val="21"/>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2"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O</w:t>
                  </w:r>
                  <w:r>
                    <w:rPr>
                      <w:rFonts w:hint="default" w:ascii="Times New Roman" w:hAnsi="Times New Roman" w:eastAsia="宋体" w:cs="Times New Roman"/>
                      <w:bCs/>
                      <w:color w:val="auto"/>
                      <w:sz w:val="21"/>
                      <w:szCs w:val="21"/>
                      <w:vertAlign w:val="subscript"/>
                    </w:rPr>
                    <w:t>3</w:t>
                  </w:r>
                </w:p>
              </w:tc>
              <w:tc>
                <w:tcPr>
                  <w:tcW w:w="2395"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日最大8h滑动平均值90百分位数</w:t>
                  </w:r>
                </w:p>
              </w:tc>
              <w:tc>
                <w:tcPr>
                  <w:tcW w:w="1483" w:type="dxa"/>
                  <w:noWrap/>
                  <w:vAlign w:val="center"/>
                </w:tcPr>
                <w:p>
                  <w:pPr>
                    <w:adjustRightInd w:val="0"/>
                    <w:snapToGrid w:val="0"/>
                    <w:jc w:val="center"/>
                    <w:rPr>
                      <w:rFonts w:hint="default" w:ascii="Times New Roman" w:hAnsi="Times New Roman" w:eastAsia="宋体" w:cs="Times New Roman"/>
                      <w:color w:val="auto"/>
                      <w:sz w:val="21"/>
                      <w:szCs w:val="21"/>
                      <w:lang w:val="en-US" w:eastAsia="zh-CN"/>
                    </w:rPr>
                  </w:pPr>
                  <w:r>
                    <w:rPr>
                      <w:rFonts w:hint="eastAsia" w:cs="Times New Roman"/>
                      <w:color w:val="auto"/>
                      <w:kern w:val="0"/>
                      <w:sz w:val="21"/>
                      <w:szCs w:val="21"/>
                      <w:lang w:val="en-US" w:eastAsia="zh-CN"/>
                    </w:rPr>
                    <w:t>143</w:t>
                  </w:r>
                </w:p>
              </w:tc>
              <w:tc>
                <w:tcPr>
                  <w:tcW w:w="1273" w:type="dxa"/>
                  <w:noWrap/>
                  <w:vAlign w:val="center"/>
                </w:tcPr>
                <w:p>
                  <w:pPr>
                    <w:adjustRightInd w:val="0"/>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kern w:val="0"/>
                      <w:sz w:val="21"/>
                      <w:szCs w:val="21"/>
                    </w:rPr>
                    <w:t>160</w:t>
                  </w:r>
                </w:p>
              </w:tc>
              <w:tc>
                <w:tcPr>
                  <w:tcW w:w="913" w:type="dxa"/>
                  <w:noWrap/>
                  <w:vAlign w:val="center"/>
                </w:tcPr>
                <w:p>
                  <w:pPr>
                    <w:adjustRightInd w:val="0"/>
                    <w:snapToGrid w:val="0"/>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89.38</w:t>
                  </w:r>
                </w:p>
              </w:tc>
              <w:tc>
                <w:tcPr>
                  <w:tcW w:w="871"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color w:val="auto"/>
                      <w:kern w:val="0"/>
                      <w:sz w:val="21"/>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937" w:type="dxa"/>
                  <w:gridSpan w:val="6"/>
                  <w:noWrap/>
                  <w:vAlign w:val="center"/>
                </w:tcPr>
                <w:p>
                  <w:pPr>
                    <w:adjustRightInd w:val="0"/>
                    <w:snapToGrid w:val="0"/>
                    <w:jc w:val="left"/>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注：剔除沙尘天气影响后污染区浓度</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80" w:firstLineChars="200"/>
              <w:jc w:val="left"/>
              <w:textAlignment w:val="auto"/>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根据上表的监测数据，202</w:t>
            </w:r>
            <w:r>
              <w:rPr>
                <w:rFonts w:hint="eastAsia" w:ascii="Times New Roman" w:hAnsi="Times New Roman" w:eastAsia="宋体" w:cs="Times New Roman"/>
                <w:color w:val="auto"/>
                <w:sz w:val="24"/>
                <w:lang w:val="en-US" w:eastAsia="zh-CN"/>
              </w:rPr>
              <w:t>2</w:t>
            </w:r>
            <w:r>
              <w:rPr>
                <w:rFonts w:hint="default" w:ascii="Times New Roman" w:hAnsi="Times New Roman" w:eastAsia="宋体" w:cs="Times New Roman"/>
                <w:color w:val="auto"/>
                <w:sz w:val="24"/>
              </w:rPr>
              <w:t>年</w:t>
            </w:r>
            <w:r>
              <w:rPr>
                <w:rFonts w:hint="eastAsia" w:cs="Times New Roman"/>
                <w:color w:val="auto"/>
                <w:sz w:val="24"/>
                <w:lang w:val="en-US" w:eastAsia="zh-CN"/>
              </w:rPr>
              <w:t>同心县</w:t>
            </w:r>
            <w:r>
              <w:rPr>
                <w:rFonts w:hint="default" w:ascii="Times New Roman" w:hAnsi="Times New Roman" w:eastAsia="宋体" w:cs="Times New Roman"/>
                <w:color w:val="auto"/>
                <w:sz w:val="24"/>
              </w:rPr>
              <w:t>剔除沙尘天气影响后，</w:t>
            </w:r>
            <w:r>
              <w:rPr>
                <w:rFonts w:hint="default" w:ascii="Times New Roman" w:hAnsi="Times New Roman" w:eastAsia="宋体" w:cs="Times New Roman"/>
                <w:color w:val="auto"/>
                <w:sz w:val="24"/>
                <w:lang w:val="en-US" w:eastAsia="zh-CN"/>
              </w:rPr>
              <w:t>各评价指标均满足</w:t>
            </w:r>
            <w:r>
              <w:rPr>
                <w:rFonts w:hint="default" w:ascii="Times New Roman" w:hAnsi="Times New Roman" w:eastAsia="宋体" w:cs="Times New Roman"/>
                <w:color w:val="auto"/>
                <w:sz w:val="24"/>
              </w:rPr>
              <w:t>《环境空气质量标准》（GB3095-2012）中二级标准限值，因此</w:t>
            </w:r>
            <w:r>
              <w:rPr>
                <w:rFonts w:hint="eastAsia" w:cs="Times New Roman"/>
                <w:color w:val="auto"/>
                <w:sz w:val="24"/>
                <w:lang w:eastAsia="zh-CN"/>
              </w:rPr>
              <w:t>，项目所在地属于</w:t>
            </w:r>
            <w:r>
              <w:rPr>
                <w:rFonts w:hint="default" w:ascii="Times New Roman" w:hAnsi="Times New Roman" w:eastAsia="宋体" w:cs="Times New Roman"/>
                <w:color w:val="auto"/>
                <w:sz w:val="24"/>
              </w:rPr>
              <w:t>达标区。</w:t>
            </w:r>
          </w:p>
          <w:p>
            <w:pPr>
              <w:adjustRightInd w:val="0"/>
              <w:snapToGrid w:val="0"/>
              <w:spacing w:line="360" w:lineRule="auto"/>
              <w:ind w:firstLine="482" w:firstLineChars="200"/>
              <w:rPr>
                <w:rFonts w:hint="eastAsia" w:ascii="Times New Roman" w:hAnsi="Times New Roman" w:eastAsia="宋体" w:cs="Times New Roman"/>
                <w:b/>
                <w:bCs/>
                <w:snapToGrid w:val="0"/>
                <w:color w:val="auto"/>
                <w:kern w:val="0"/>
                <w:sz w:val="24"/>
                <w:szCs w:val="22"/>
                <w:lang w:eastAsia="zh-CN"/>
              </w:rPr>
            </w:pPr>
            <w:r>
              <w:rPr>
                <w:rFonts w:hint="eastAsia" w:cs="Times New Roman"/>
                <w:b/>
                <w:bCs/>
                <w:snapToGrid w:val="0"/>
                <w:color w:val="auto"/>
                <w:kern w:val="0"/>
                <w:sz w:val="24"/>
                <w:szCs w:val="22"/>
                <w:lang w:eastAsia="zh-CN"/>
              </w:rPr>
              <w:t>（</w:t>
            </w:r>
            <w:r>
              <w:rPr>
                <w:rFonts w:hint="eastAsia" w:cs="Times New Roman"/>
                <w:b/>
                <w:bCs/>
                <w:snapToGrid w:val="0"/>
                <w:color w:val="auto"/>
                <w:kern w:val="0"/>
                <w:sz w:val="24"/>
                <w:szCs w:val="22"/>
                <w:lang w:val="en-US" w:eastAsia="zh-CN"/>
              </w:rPr>
              <w:t>2</w:t>
            </w:r>
            <w:r>
              <w:rPr>
                <w:rFonts w:hint="eastAsia" w:cs="Times New Roman"/>
                <w:b/>
                <w:bCs/>
                <w:snapToGrid w:val="0"/>
                <w:color w:val="auto"/>
                <w:kern w:val="0"/>
                <w:sz w:val="24"/>
                <w:szCs w:val="22"/>
                <w:lang w:eastAsia="zh-CN"/>
              </w:rPr>
              <w:t>）地表水环境质量状况</w:t>
            </w:r>
          </w:p>
          <w:p>
            <w:pPr>
              <w:adjustRightInd w:val="0"/>
              <w:snapToGrid w:val="0"/>
              <w:spacing w:line="360" w:lineRule="auto"/>
              <w:ind w:firstLine="480" w:firstLineChars="200"/>
              <w:rPr>
                <w:rFonts w:hint="eastAsia"/>
                <w:color w:val="auto"/>
                <w:sz w:val="24"/>
              </w:rPr>
            </w:pPr>
            <w:r>
              <w:rPr>
                <w:color w:val="auto"/>
                <w:kern w:val="0"/>
                <w:sz w:val="24"/>
              </w:rPr>
              <w:t>根据现场调查，项目</w:t>
            </w:r>
            <w:r>
              <w:rPr>
                <w:rFonts w:hint="eastAsia"/>
                <w:color w:val="auto"/>
                <w:kern w:val="0"/>
                <w:sz w:val="24"/>
              </w:rPr>
              <w:t>影响范围内无常年径流地表水体，本项目评价沟道为</w:t>
            </w:r>
            <w:r>
              <w:rPr>
                <w:rFonts w:hint="eastAsia"/>
                <w:color w:val="auto"/>
                <w:kern w:val="0"/>
                <w:sz w:val="24"/>
                <w:lang w:val="en-US" w:eastAsia="zh-CN"/>
              </w:rPr>
              <w:t>折腰沟</w:t>
            </w:r>
            <w:r>
              <w:rPr>
                <w:rFonts w:hint="eastAsia"/>
                <w:color w:val="auto"/>
                <w:kern w:val="0"/>
                <w:sz w:val="24"/>
              </w:rPr>
              <w:t>，为干沟，仅汛期有水，无可引用的相关数据和调查资料</w:t>
            </w:r>
            <w:r>
              <w:rPr>
                <w:rFonts w:hint="eastAsia"/>
                <w:color w:val="auto"/>
                <w:sz w:val="24"/>
              </w:rPr>
              <w:t>。</w:t>
            </w:r>
          </w:p>
          <w:p>
            <w:pPr>
              <w:adjustRightInd w:val="0"/>
              <w:snapToGrid w:val="0"/>
              <w:spacing w:line="360" w:lineRule="auto"/>
              <w:ind w:firstLine="482" w:firstLineChars="200"/>
              <w:rPr>
                <w:rFonts w:hint="eastAsia" w:cs="Times New Roman"/>
                <w:b/>
                <w:bCs/>
                <w:snapToGrid w:val="0"/>
                <w:color w:val="auto"/>
                <w:kern w:val="0"/>
                <w:sz w:val="24"/>
                <w:szCs w:val="22"/>
                <w:lang w:eastAsia="zh-CN"/>
              </w:rPr>
            </w:pPr>
            <w:r>
              <w:rPr>
                <w:rFonts w:hint="eastAsia" w:cs="Times New Roman"/>
                <w:b/>
                <w:bCs/>
                <w:snapToGrid w:val="0"/>
                <w:color w:val="auto"/>
                <w:kern w:val="0"/>
                <w:sz w:val="24"/>
                <w:szCs w:val="22"/>
                <w:lang w:eastAsia="zh-CN"/>
              </w:rPr>
              <w:t>（</w:t>
            </w:r>
            <w:r>
              <w:rPr>
                <w:rFonts w:hint="eastAsia" w:cs="Times New Roman"/>
                <w:b/>
                <w:bCs/>
                <w:snapToGrid w:val="0"/>
                <w:color w:val="auto"/>
                <w:kern w:val="0"/>
                <w:sz w:val="24"/>
                <w:szCs w:val="22"/>
                <w:lang w:val="en-US" w:eastAsia="zh-CN"/>
              </w:rPr>
              <w:t>3</w:t>
            </w:r>
            <w:r>
              <w:rPr>
                <w:rFonts w:hint="eastAsia" w:cs="Times New Roman"/>
                <w:b/>
                <w:bCs/>
                <w:snapToGrid w:val="0"/>
                <w:color w:val="auto"/>
                <w:kern w:val="0"/>
                <w:sz w:val="24"/>
                <w:szCs w:val="22"/>
                <w:lang w:eastAsia="zh-CN"/>
              </w:rPr>
              <w:t>）声环境质量状况</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Times New Roman" w:hAnsi="宋体" w:eastAsia="宋体" w:cs="Times New Roman"/>
                <w:bCs/>
                <w:color w:val="auto"/>
                <w:sz w:val="24"/>
                <w:highlight w:val="none"/>
                <w:lang w:val="en-US" w:eastAsia="zh-CN"/>
              </w:rPr>
            </w:pPr>
            <w:r>
              <w:rPr>
                <w:rFonts w:hint="default" w:ascii="Times New Roman" w:hAnsi="Times New Roman" w:cs="Times New Roman"/>
                <w:color w:val="auto"/>
                <w:kern w:val="0"/>
                <w:sz w:val="24"/>
              </w:rPr>
              <w:t>根据实地调查，项目建设地点位于吴忠市同心县</w:t>
            </w:r>
            <w:r>
              <w:rPr>
                <w:rFonts w:hint="eastAsia" w:cs="Times New Roman"/>
                <w:color w:val="auto"/>
                <w:kern w:val="0"/>
                <w:sz w:val="24"/>
                <w:lang w:eastAsia="zh-CN"/>
              </w:rPr>
              <w:t>张家塬</w:t>
            </w:r>
            <w:r>
              <w:rPr>
                <w:rFonts w:hint="eastAsia" w:ascii="Times New Roman" w:hAnsi="Times New Roman" w:cs="Times New Roman"/>
                <w:color w:val="auto"/>
                <w:kern w:val="0"/>
                <w:sz w:val="24"/>
                <w:lang w:eastAsia="zh-CN"/>
              </w:rPr>
              <w:t>乡</w:t>
            </w:r>
            <w:r>
              <w:rPr>
                <w:rFonts w:hint="default" w:ascii="Times New Roman" w:hAnsi="Times New Roman" w:cs="Times New Roman"/>
                <w:color w:val="auto"/>
                <w:kern w:val="0"/>
                <w:sz w:val="24"/>
              </w:rPr>
              <w:t>，本项目线路周边50米范围内无声环境保护目标，故本项目无需调查声环境质量现状。</w:t>
            </w:r>
          </w:p>
          <w:p>
            <w:pPr>
              <w:keepNext w:val="0"/>
              <w:keepLines w:val="0"/>
              <w:pageBreakBefore w:val="0"/>
              <w:widowControl w:val="0"/>
              <w:numPr>
                <w:ilvl w:val="0"/>
                <w:numId w:val="5"/>
              </w:numPr>
              <w:kinsoku/>
              <w:wordWrap/>
              <w:overflowPunct/>
              <w:topLinePunct w:val="0"/>
              <w:autoSpaceDE w:val="0"/>
              <w:autoSpaceDN w:val="0"/>
              <w:bidi w:val="0"/>
              <w:adjustRightInd w:val="0"/>
              <w:snapToGrid w:val="0"/>
              <w:spacing w:line="360" w:lineRule="auto"/>
              <w:ind w:firstLine="482" w:firstLineChars="200"/>
              <w:textAlignment w:val="auto"/>
              <w:rPr>
                <w:rFonts w:hint="eastAsia" w:ascii="Times New Roman" w:hAnsi="Times New Roman" w:eastAsia="宋体" w:cs="Times New Roman"/>
                <w:b/>
                <w:bCs/>
                <w:snapToGrid w:val="0"/>
                <w:color w:val="auto"/>
                <w:kern w:val="0"/>
                <w:sz w:val="24"/>
                <w:szCs w:val="22"/>
                <w:lang w:val="en-US" w:eastAsia="zh-CN"/>
              </w:rPr>
            </w:pPr>
            <w:r>
              <w:rPr>
                <w:rFonts w:hint="eastAsia" w:ascii="Times New Roman" w:hAnsi="Times New Roman" w:eastAsia="宋体" w:cs="Times New Roman"/>
                <w:b/>
                <w:bCs/>
                <w:snapToGrid w:val="0"/>
                <w:color w:val="auto"/>
                <w:kern w:val="0"/>
                <w:sz w:val="24"/>
                <w:szCs w:val="22"/>
                <w:lang w:val="en-US" w:eastAsia="zh-CN"/>
              </w:rPr>
              <w:t>地下水、土壤环境质量现状</w:t>
            </w:r>
          </w:p>
          <w:p>
            <w:pPr>
              <w:adjustRightInd w:val="0"/>
              <w:snapToGrid w:val="0"/>
              <w:spacing w:line="360" w:lineRule="auto"/>
              <w:ind w:firstLine="480" w:firstLineChars="200"/>
              <w:rPr>
                <w:rFonts w:hint="eastAsia"/>
                <w:color w:val="auto"/>
                <w:kern w:val="0"/>
                <w:sz w:val="24"/>
              </w:rPr>
            </w:pPr>
            <w:r>
              <w:rPr>
                <w:rFonts w:hint="eastAsia"/>
                <w:color w:val="auto"/>
                <w:sz w:val="24"/>
                <w:lang w:val="zh-CN"/>
              </w:rPr>
              <w:t>本项目属于防洪除涝工程，根据《环境影响评价技术导则 地下水环境》（HJ610-2016）防洪治涝工程中其他，本项目为Ⅳ类项目，可不开展地下水环境影响评价</w:t>
            </w:r>
            <w:r>
              <w:rPr>
                <w:rFonts w:hint="eastAsia"/>
                <w:color w:val="auto"/>
                <w:kern w:val="0"/>
                <w:sz w:val="24"/>
              </w:rPr>
              <w:t>。</w:t>
            </w:r>
          </w:p>
          <w:p>
            <w:pPr>
              <w:adjustRightInd w:val="0"/>
              <w:snapToGrid w:val="0"/>
              <w:spacing w:line="360" w:lineRule="auto"/>
              <w:ind w:firstLine="480" w:firstLineChars="200"/>
              <w:rPr>
                <w:rFonts w:hint="default" w:eastAsia="宋体"/>
                <w:color w:val="auto"/>
                <w:sz w:val="24"/>
                <w:lang w:val="en-US" w:eastAsia="zh-CN"/>
              </w:rPr>
            </w:pPr>
            <w:r>
              <w:rPr>
                <w:rFonts w:hint="eastAsia"/>
                <w:color w:val="auto"/>
                <w:kern w:val="0"/>
                <w:sz w:val="24"/>
              </w:rPr>
              <w:t>本项目为生态影响型项目，根据《环境影响评价技术导则 土壤环境（试行）》（HJ964—2018）中水利中其他，</w:t>
            </w:r>
            <w:r>
              <w:rPr>
                <w:rFonts w:hint="eastAsia"/>
                <w:color w:val="auto"/>
                <w:sz w:val="24"/>
                <w:lang w:val="zh-CN"/>
              </w:rPr>
              <w:t>本项目为Ⅲ类项目；</w:t>
            </w:r>
            <w:r>
              <w:rPr>
                <w:rFonts w:hint="eastAsia"/>
                <w:color w:val="auto"/>
                <w:sz w:val="24"/>
                <w:lang w:val="en-US" w:eastAsia="zh-CN"/>
              </w:rPr>
              <w:t>项目所在区域敏感程度判定见下表3-2。</w:t>
            </w:r>
          </w:p>
          <w:p>
            <w:pPr>
              <w:pStyle w:val="23"/>
              <w:widowControl w:val="0"/>
              <w:adjustRightInd w:val="0"/>
              <w:spacing w:before="0" w:after="0" w:line="240" w:lineRule="auto"/>
              <w:ind w:right="0" w:firstLine="0" w:firstLineChars="0"/>
              <w:jc w:val="center"/>
              <w:rPr>
                <w:rFonts w:hint="default" w:ascii="Times New Roman" w:hAnsi="Times New Roman" w:eastAsia="宋体" w:cs="Times New Roman"/>
                <w:b/>
                <w:bCs/>
                <w:color w:val="auto"/>
                <w:szCs w:val="21"/>
              </w:rPr>
            </w:pPr>
            <w:r>
              <w:rPr>
                <w:rFonts w:hint="default" w:ascii="Times New Roman" w:hAnsi="Times New Roman" w:eastAsia="宋体" w:cs="Times New Roman"/>
                <w:b/>
                <w:bCs/>
                <w:color w:val="auto"/>
                <w:szCs w:val="21"/>
              </w:rPr>
              <w:t>表</w:t>
            </w:r>
            <w:r>
              <w:rPr>
                <w:rFonts w:hint="eastAsia" w:ascii="Times New Roman" w:hAnsi="Times New Roman" w:eastAsia="宋体" w:cs="Times New Roman"/>
                <w:b/>
                <w:bCs/>
                <w:color w:val="auto"/>
                <w:szCs w:val="21"/>
                <w:lang w:val="en-US" w:eastAsia="zh-CN"/>
              </w:rPr>
              <w:t>3-2</w:t>
            </w:r>
            <w:r>
              <w:rPr>
                <w:rFonts w:hint="default" w:ascii="Times New Roman" w:hAnsi="Times New Roman" w:eastAsia="宋体" w:cs="Times New Roman"/>
                <w:b/>
                <w:bCs/>
                <w:color w:val="auto"/>
                <w:szCs w:val="21"/>
              </w:rPr>
              <w:t xml:space="preserve">    生态影响型敏感程度分级表</w:t>
            </w:r>
          </w:p>
          <w:tbl>
            <w:tblPr>
              <w:tblStyle w:val="2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731"/>
              <w:gridCol w:w="4574"/>
              <w:gridCol w:w="1348"/>
              <w:gridCol w:w="135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74" w:type="dxa"/>
                  <w:vMerge w:val="restart"/>
                  <w:tcBorders>
                    <w:tl2br w:val="nil"/>
                    <w:tr2bl w:val="nil"/>
                  </w:tcBorders>
                  <w:noWrap w:val="0"/>
                  <w:vAlign w:val="center"/>
                </w:tcPr>
                <w:p>
                  <w:pPr>
                    <w:pStyle w:val="82"/>
                    <w:rPr>
                      <w:rFonts w:cs="Times New Roman"/>
                      <w:b/>
                      <w:color w:val="auto"/>
                    </w:rPr>
                  </w:pPr>
                  <w:r>
                    <w:rPr>
                      <w:rFonts w:hAnsi="宋体" w:cs="Times New Roman"/>
                      <w:b/>
                      <w:color w:val="auto"/>
                    </w:rPr>
                    <w:t>敏感程度</w:t>
                  </w:r>
                </w:p>
              </w:tc>
              <w:tc>
                <w:tcPr>
                  <w:tcW w:w="7946" w:type="dxa"/>
                  <w:gridSpan w:val="3"/>
                  <w:tcBorders>
                    <w:tl2br w:val="nil"/>
                    <w:tr2bl w:val="nil"/>
                  </w:tcBorders>
                  <w:noWrap w:val="0"/>
                  <w:vAlign w:val="center"/>
                </w:tcPr>
                <w:p>
                  <w:pPr>
                    <w:pStyle w:val="82"/>
                    <w:rPr>
                      <w:rFonts w:cs="Times New Roman"/>
                      <w:b/>
                      <w:color w:val="auto"/>
                    </w:rPr>
                  </w:pPr>
                  <w:r>
                    <w:rPr>
                      <w:rFonts w:hAnsi="宋体" w:cs="Times New Roman"/>
                      <w:b/>
                      <w:color w:val="auto"/>
                    </w:rPr>
                    <w:t>判别依据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74" w:type="dxa"/>
                  <w:vMerge w:val="continue"/>
                  <w:tcBorders>
                    <w:tl2br w:val="nil"/>
                    <w:tr2bl w:val="nil"/>
                  </w:tcBorders>
                  <w:noWrap w:val="0"/>
                  <w:vAlign w:val="center"/>
                </w:tcPr>
                <w:p>
                  <w:pPr>
                    <w:pStyle w:val="82"/>
                    <w:rPr>
                      <w:rFonts w:cs="Times New Roman"/>
                      <w:b/>
                      <w:color w:val="auto"/>
                    </w:rPr>
                  </w:pPr>
                </w:p>
              </w:tc>
              <w:tc>
                <w:tcPr>
                  <w:tcW w:w="5103" w:type="dxa"/>
                  <w:tcBorders>
                    <w:tl2br w:val="nil"/>
                    <w:tr2bl w:val="nil"/>
                  </w:tcBorders>
                  <w:noWrap w:val="0"/>
                  <w:vAlign w:val="center"/>
                </w:tcPr>
                <w:p>
                  <w:pPr>
                    <w:pStyle w:val="82"/>
                    <w:rPr>
                      <w:rFonts w:cs="Times New Roman"/>
                      <w:b/>
                      <w:color w:val="auto"/>
                    </w:rPr>
                  </w:pPr>
                  <w:r>
                    <w:rPr>
                      <w:rFonts w:hAnsi="宋体" w:cs="Times New Roman"/>
                      <w:b/>
                      <w:color w:val="auto"/>
                    </w:rPr>
                    <w:t>盐化</w:t>
                  </w:r>
                </w:p>
              </w:tc>
              <w:tc>
                <w:tcPr>
                  <w:tcW w:w="1418" w:type="dxa"/>
                  <w:tcBorders>
                    <w:tl2br w:val="nil"/>
                    <w:tr2bl w:val="nil"/>
                  </w:tcBorders>
                  <w:noWrap w:val="0"/>
                  <w:vAlign w:val="center"/>
                </w:tcPr>
                <w:p>
                  <w:pPr>
                    <w:pStyle w:val="82"/>
                    <w:rPr>
                      <w:rFonts w:cs="Times New Roman"/>
                      <w:b/>
                      <w:color w:val="auto"/>
                    </w:rPr>
                  </w:pPr>
                  <w:r>
                    <w:rPr>
                      <w:rFonts w:hAnsi="宋体" w:cs="Times New Roman"/>
                      <w:b/>
                      <w:color w:val="auto"/>
                    </w:rPr>
                    <w:t>酸化</w:t>
                  </w:r>
                </w:p>
              </w:tc>
              <w:tc>
                <w:tcPr>
                  <w:tcW w:w="1425" w:type="dxa"/>
                  <w:tcBorders>
                    <w:tl2br w:val="nil"/>
                    <w:tr2bl w:val="nil"/>
                  </w:tcBorders>
                  <w:noWrap w:val="0"/>
                  <w:vAlign w:val="center"/>
                </w:tcPr>
                <w:p>
                  <w:pPr>
                    <w:pStyle w:val="82"/>
                    <w:rPr>
                      <w:rFonts w:cs="Times New Roman"/>
                      <w:b/>
                      <w:color w:val="auto"/>
                    </w:rPr>
                  </w:pPr>
                  <w:r>
                    <w:rPr>
                      <w:rFonts w:hAnsi="宋体" w:cs="Times New Roman"/>
                      <w:b/>
                      <w:color w:val="auto"/>
                    </w:rPr>
                    <w:t>碱化</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74" w:type="dxa"/>
                  <w:tcBorders>
                    <w:tl2br w:val="nil"/>
                    <w:tr2bl w:val="nil"/>
                  </w:tcBorders>
                  <w:noWrap w:val="0"/>
                  <w:vAlign w:val="center"/>
                </w:tcPr>
                <w:p>
                  <w:pPr>
                    <w:pStyle w:val="82"/>
                    <w:rPr>
                      <w:rFonts w:cs="Times New Roman"/>
                      <w:color w:val="auto"/>
                    </w:rPr>
                  </w:pPr>
                  <w:r>
                    <w:rPr>
                      <w:rFonts w:hAnsi="宋体" w:cs="Times New Roman"/>
                      <w:color w:val="auto"/>
                    </w:rPr>
                    <w:t>敏感</w:t>
                  </w:r>
                </w:p>
              </w:tc>
              <w:tc>
                <w:tcPr>
                  <w:tcW w:w="5103" w:type="dxa"/>
                  <w:tcBorders>
                    <w:tl2br w:val="nil"/>
                    <w:tr2bl w:val="nil"/>
                  </w:tcBorders>
                  <w:noWrap w:val="0"/>
                  <w:vAlign w:val="center"/>
                </w:tcPr>
                <w:p>
                  <w:pPr>
                    <w:pStyle w:val="82"/>
                    <w:rPr>
                      <w:rFonts w:cs="Times New Roman"/>
                      <w:color w:val="auto"/>
                    </w:rPr>
                  </w:pPr>
                  <w:r>
                    <w:rPr>
                      <w:rFonts w:hAnsi="宋体" w:cs="Times New Roman"/>
                      <w:color w:val="auto"/>
                    </w:rPr>
                    <w:t>建设项目所在地干燥度</w:t>
                  </w:r>
                  <w:r>
                    <w:rPr>
                      <w:rFonts w:cs="Times New Roman"/>
                      <w:color w:val="auto"/>
                      <w:vertAlign w:val="superscript"/>
                    </w:rPr>
                    <w:t>a</w:t>
                  </w:r>
                  <w:r>
                    <w:rPr>
                      <w:rFonts w:hAnsi="宋体" w:cs="Times New Roman"/>
                      <w:color w:val="auto"/>
                    </w:rPr>
                    <w:t>＞</w:t>
                  </w:r>
                  <w:r>
                    <w:rPr>
                      <w:rFonts w:cs="Times New Roman"/>
                      <w:color w:val="auto"/>
                    </w:rPr>
                    <w:t>2.5</w:t>
                  </w:r>
                  <w:r>
                    <w:rPr>
                      <w:rFonts w:hAnsi="宋体" w:cs="Times New Roman"/>
                      <w:color w:val="auto"/>
                    </w:rPr>
                    <w:t>且常年地下水位平均埋深＜</w:t>
                  </w:r>
                  <w:r>
                    <w:rPr>
                      <w:rFonts w:cs="Times New Roman"/>
                      <w:color w:val="auto"/>
                    </w:rPr>
                    <w:t>1.5m</w:t>
                  </w:r>
                  <w:r>
                    <w:rPr>
                      <w:rFonts w:hAnsi="宋体" w:cs="Times New Roman"/>
                      <w:color w:val="auto"/>
                    </w:rPr>
                    <w:t>的地势平坦区域；或土壤含盐量＞</w:t>
                  </w:r>
                  <w:r>
                    <w:rPr>
                      <w:rFonts w:cs="Times New Roman"/>
                      <w:color w:val="auto"/>
                    </w:rPr>
                    <w:t>4g/kg</w:t>
                  </w:r>
                  <w:r>
                    <w:rPr>
                      <w:rFonts w:hAnsi="宋体" w:cs="Times New Roman"/>
                      <w:color w:val="auto"/>
                    </w:rPr>
                    <w:t>的区域</w:t>
                  </w:r>
                </w:p>
              </w:tc>
              <w:tc>
                <w:tcPr>
                  <w:tcW w:w="1418" w:type="dxa"/>
                  <w:tcBorders>
                    <w:tl2br w:val="nil"/>
                    <w:tr2bl w:val="nil"/>
                  </w:tcBorders>
                  <w:noWrap w:val="0"/>
                  <w:vAlign w:val="center"/>
                </w:tcPr>
                <w:p>
                  <w:pPr>
                    <w:pStyle w:val="82"/>
                    <w:rPr>
                      <w:rFonts w:cs="Times New Roman"/>
                      <w:color w:val="auto"/>
                    </w:rPr>
                  </w:pPr>
                  <w:r>
                    <w:rPr>
                      <w:rFonts w:cs="Times New Roman"/>
                      <w:color w:val="auto"/>
                    </w:rPr>
                    <w:t>pH≤4.5</w:t>
                  </w:r>
                </w:p>
              </w:tc>
              <w:tc>
                <w:tcPr>
                  <w:tcW w:w="1425" w:type="dxa"/>
                  <w:tcBorders>
                    <w:tl2br w:val="nil"/>
                    <w:tr2bl w:val="nil"/>
                  </w:tcBorders>
                  <w:noWrap w:val="0"/>
                  <w:vAlign w:val="center"/>
                </w:tcPr>
                <w:p>
                  <w:pPr>
                    <w:pStyle w:val="82"/>
                    <w:rPr>
                      <w:rFonts w:cs="Times New Roman"/>
                      <w:color w:val="auto"/>
                    </w:rPr>
                  </w:pPr>
                  <w:r>
                    <w:rPr>
                      <w:rFonts w:cs="Times New Roman"/>
                      <w:color w:val="auto"/>
                    </w:rPr>
                    <w:t>pH≥9.0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74" w:type="dxa"/>
                  <w:tcBorders>
                    <w:tl2br w:val="nil"/>
                    <w:tr2bl w:val="nil"/>
                  </w:tcBorders>
                  <w:noWrap w:val="0"/>
                  <w:vAlign w:val="center"/>
                </w:tcPr>
                <w:p>
                  <w:pPr>
                    <w:pStyle w:val="82"/>
                    <w:rPr>
                      <w:rFonts w:cs="Times New Roman"/>
                      <w:color w:val="auto"/>
                    </w:rPr>
                  </w:pPr>
                  <w:r>
                    <w:rPr>
                      <w:rFonts w:hAnsi="宋体" w:cs="Times New Roman"/>
                      <w:color w:val="auto"/>
                    </w:rPr>
                    <w:t>较敏感</w:t>
                  </w:r>
                </w:p>
              </w:tc>
              <w:tc>
                <w:tcPr>
                  <w:tcW w:w="5103" w:type="dxa"/>
                  <w:tcBorders>
                    <w:tl2br w:val="nil"/>
                    <w:tr2bl w:val="nil"/>
                  </w:tcBorders>
                  <w:noWrap w:val="0"/>
                  <w:vAlign w:val="center"/>
                </w:tcPr>
                <w:p>
                  <w:pPr>
                    <w:pStyle w:val="82"/>
                    <w:rPr>
                      <w:rFonts w:cs="Times New Roman"/>
                      <w:color w:val="auto"/>
                    </w:rPr>
                  </w:pPr>
                  <w:r>
                    <w:rPr>
                      <w:rFonts w:hAnsi="宋体" w:cs="Times New Roman"/>
                      <w:color w:val="auto"/>
                    </w:rPr>
                    <w:t>建设项目所在地干燥度＞</w:t>
                  </w:r>
                  <w:r>
                    <w:rPr>
                      <w:rFonts w:cs="Times New Roman"/>
                      <w:color w:val="auto"/>
                    </w:rPr>
                    <w:t>2.5</w:t>
                  </w:r>
                  <w:r>
                    <w:rPr>
                      <w:rFonts w:hAnsi="宋体" w:cs="Times New Roman"/>
                      <w:color w:val="auto"/>
                    </w:rPr>
                    <w:t>且常年地下水位平均埋深</w:t>
                  </w:r>
                  <w:r>
                    <w:rPr>
                      <w:rFonts w:cs="Times New Roman"/>
                      <w:color w:val="auto"/>
                    </w:rPr>
                    <w:t>≥1.5m</w:t>
                  </w:r>
                  <w:r>
                    <w:rPr>
                      <w:rFonts w:hAnsi="宋体" w:cs="Times New Roman"/>
                      <w:color w:val="auto"/>
                    </w:rPr>
                    <w:t>的，或</w:t>
                  </w:r>
                  <w:r>
                    <w:rPr>
                      <w:rFonts w:cs="Times New Roman"/>
                      <w:color w:val="auto"/>
                    </w:rPr>
                    <w:t>1.8</w:t>
                  </w:r>
                  <w:r>
                    <w:rPr>
                      <w:rFonts w:hAnsi="宋体" w:cs="Times New Roman"/>
                      <w:color w:val="auto"/>
                    </w:rPr>
                    <w:t>＜干燥度</w:t>
                  </w:r>
                  <w:r>
                    <w:rPr>
                      <w:rFonts w:cs="Times New Roman"/>
                      <w:color w:val="auto"/>
                    </w:rPr>
                    <w:t>≤2.5</w:t>
                  </w:r>
                  <w:r>
                    <w:rPr>
                      <w:rFonts w:hAnsi="宋体" w:cs="Times New Roman"/>
                      <w:color w:val="auto"/>
                    </w:rPr>
                    <w:t>且常年地下水位平均埋深＜</w:t>
                  </w:r>
                  <w:r>
                    <w:rPr>
                      <w:rFonts w:cs="Times New Roman"/>
                      <w:color w:val="auto"/>
                    </w:rPr>
                    <w:t>1.8m</w:t>
                  </w:r>
                  <w:r>
                    <w:rPr>
                      <w:rFonts w:hAnsi="宋体" w:cs="Times New Roman"/>
                      <w:color w:val="auto"/>
                    </w:rPr>
                    <w:t>的地势平坦区域；建设项目所在地干燥度＞</w:t>
                  </w:r>
                  <w:r>
                    <w:rPr>
                      <w:rFonts w:cs="Times New Roman"/>
                      <w:color w:val="auto"/>
                    </w:rPr>
                    <w:t>2.5</w:t>
                  </w:r>
                  <w:r>
                    <w:rPr>
                      <w:rFonts w:hAnsi="宋体" w:cs="Times New Roman"/>
                      <w:color w:val="auto"/>
                    </w:rPr>
                    <w:t>或常年地下水位平均埋深＜</w:t>
                  </w:r>
                  <w:r>
                    <w:rPr>
                      <w:rFonts w:cs="Times New Roman"/>
                      <w:color w:val="auto"/>
                    </w:rPr>
                    <w:t>1.5m</w:t>
                  </w:r>
                  <w:r>
                    <w:rPr>
                      <w:rFonts w:hAnsi="宋体" w:cs="Times New Roman"/>
                      <w:color w:val="auto"/>
                    </w:rPr>
                    <w:t>的平原区；或</w:t>
                  </w:r>
                  <w:r>
                    <w:rPr>
                      <w:rFonts w:cs="Times New Roman"/>
                      <w:color w:val="auto"/>
                    </w:rPr>
                    <w:t>2g/kg</w:t>
                  </w:r>
                  <w:r>
                    <w:rPr>
                      <w:rFonts w:hAnsi="宋体" w:cs="Times New Roman"/>
                      <w:color w:val="auto"/>
                    </w:rPr>
                    <w:t>＜土壤含盐量</w:t>
                  </w:r>
                  <w:r>
                    <w:rPr>
                      <w:rFonts w:cs="Times New Roman"/>
                      <w:color w:val="auto"/>
                    </w:rPr>
                    <w:t>≤4g/kg</w:t>
                  </w:r>
                  <w:r>
                    <w:rPr>
                      <w:rFonts w:hAnsi="宋体" w:cs="Times New Roman"/>
                      <w:color w:val="auto"/>
                    </w:rPr>
                    <w:t>的区域</w:t>
                  </w:r>
                </w:p>
              </w:tc>
              <w:tc>
                <w:tcPr>
                  <w:tcW w:w="1418" w:type="dxa"/>
                  <w:tcBorders>
                    <w:tl2br w:val="nil"/>
                    <w:tr2bl w:val="nil"/>
                  </w:tcBorders>
                  <w:noWrap w:val="0"/>
                  <w:vAlign w:val="center"/>
                </w:tcPr>
                <w:p>
                  <w:pPr>
                    <w:pStyle w:val="82"/>
                    <w:rPr>
                      <w:rFonts w:cs="Times New Roman"/>
                      <w:color w:val="auto"/>
                    </w:rPr>
                  </w:pPr>
                  <w:r>
                    <w:rPr>
                      <w:rFonts w:cs="Times New Roman"/>
                      <w:color w:val="auto"/>
                    </w:rPr>
                    <w:t>4.5</w:t>
                  </w:r>
                  <w:r>
                    <w:rPr>
                      <w:rFonts w:hAnsi="宋体" w:cs="Times New Roman"/>
                      <w:color w:val="auto"/>
                    </w:rPr>
                    <w:t>＜</w:t>
                  </w:r>
                  <w:r>
                    <w:rPr>
                      <w:rFonts w:cs="Times New Roman"/>
                      <w:color w:val="auto"/>
                    </w:rPr>
                    <w:t>pH≤9.0</w:t>
                  </w:r>
                </w:p>
              </w:tc>
              <w:tc>
                <w:tcPr>
                  <w:tcW w:w="1425" w:type="dxa"/>
                  <w:tcBorders>
                    <w:tl2br w:val="nil"/>
                    <w:tr2bl w:val="nil"/>
                  </w:tcBorders>
                  <w:noWrap w:val="0"/>
                  <w:vAlign w:val="center"/>
                </w:tcPr>
                <w:p>
                  <w:pPr>
                    <w:pStyle w:val="82"/>
                    <w:rPr>
                      <w:rFonts w:cs="Times New Roman"/>
                      <w:color w:val="auto"/>
                    </w:rPr>
                  </w:pPr>
                  <w:r>
                    <w:rPr>
                      <w:rFonts w:cs="Times New Roman"/>
                      <w:color w:val="auto"/>
                    </w:rPr>
                    <w:t>8.5</w:t>
                  </w:r>
                  <w:r>
                    <w:rPr>
                      <w:rFonts w:hAnsi="宋体" w:cs="Times New Roman"/>
                      <w:color w:val="auto"/>
                    </w:rPr>
                    <w:t>＜</w:t>
                  </w:r>
                  <w:r>
                    <w:rPr>
                      <w:rFonts w:cs="Times New Roman"/>
                      <w:color w:val="auto"/>
                    </w:rPr>
                    <w:t>pH≤5.5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74" w:type="dxa"/>
                  <w:tcBorders>
                    <w:tl2br w:val="nil"/>
                    <w:tr2bl w:val="nil"/>
                  </w:tcBorders>
                  <w:noWrap w:val="0"/>
                  <w:vAlign w:val="center"/>
                </w:tcPr>
                <w:p>
                  <w:pPr>
                    <w:pStyle w:val="82"/>
                    <w:rPr>
                      <w:rFonts w:cs="Times New Roman"/>
                      <w:color w:val="auto"/>
                    </w:rPr>
                  </w:pPr>
                  <w:r>
                    <w:rPr>
                      <w:rFonts w:hAnsi="宋体" w:cs="Times New Roman"/>
                      <w:color w:val="auto"/>
                    </w:rPr>
                    <w:t>不敏感</w:t>
                  </w:r>
                </w:p>
              </w:tc>
              <w:tc>
                <w:tcPr>
                  <w:tcW w:w="5103" w:type="dxa"/>
                  <w:tcBorders>
                    <w:tl2br w:val="nil"/>
                    <w:tr2bl w:val="nil"/>
                  </w:tcBorders>
                  <w:noWrap w:val="0"/>
                  <w:vAlign w:val="center"/>
                </w:tcPr>
                <w:p>
                  <w:pPr>
                    <w:pStyle w:val="82"/>
                    <w:rPr>
                      <w:rFonts w:cs="Times New Roman"/>
                      <w:color w:val="auto"/>
                    </w:rPr>
                  </w:pPr>
                  <w:r>
                    <w:rPr>
                      <w:rFonts w:hAnsi="宋体" w:cs="Times New Roman"/>
                      <w:color w:val="auto"/>
                    </w:rPr>
                    <w:t>其他</w:t>
                  </w:r>
                </w:p>
              </w:tc>
              <w:tc>
                <w:tcPr>
                  <w:tcW w:w="2843" w:type="dxa"/>
                  <w:gridSpan w:val="2"/>
                  <w:tcBorders>
                    <w:tl2br w:val="nil"/>
                    <w:tr2bl w:val="nil"/>
                  </w:tcBorders>
                  <w:noWrap w:val="0"/>
                  <w:vAlign w:val="center"/>
                </w:tcPr>
                <w:p>
                  <w:pPr>
                    <w:pStyle w:val="82"/>
                    <w:rPr>
                      <w:rFonts w:cs="Times New Roman"/>
                      <w:color w:val="auto"/>
                    </w:rPr>
                  </w:pPr>
                  <w:r>
                    <w:rPr>
                      <w:rFonts w:cs="Times New Roman"/>
                      <w:color w:val="auto"/>
                    </w:rPr>
                    <w:t>5.5</w:t>
                  </w:r>
                  <w:r>
                    <w:rPr>
                      <w:rFonts w:hAnsi="宋体" w:cs="Times New Roman"/>
                      <w:color w:val="auto"/>
                    </w:rPr>
                    <w:t>＜</w:t>
                  </w:r>
                  <w:r>
                    <w:rPr>
                      <w:rFonts w:cs="Times New Roman"/>
                      <w:color w:val="auto"/>
                    </w:rPr>
                    <w:t>pH≤8.5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720" w:type="dxa"/>
                  <w:gridSpan w:val="4"/>
                  <w:tcBorders>
                    <w:tl2br w:val="nil"/>
                    <w:tr2bl w:val="nil"/>
                  </w:tcBorders>
                  <w:noWrap w:val="0"/>
                  <w:vAlign w:val="center"/>
                </w:tcPr>
                <w:p>
                  <w:pPr>
                    <w:pStyle w:val="82"/>
                    <w:rPr>
                      <w:rFonts w:cs="Times New Roman"/>
                      <w:color w:val="auto"/>
                    </w:rPr>
                  </w:pPr>
                  <w:r>
                    <w:rPr>
                      <w:rFonts w:cs="Times New Roman"/>
                      <w:color w:val="auto"/>
                      <w:vertAlign w:val="superscript"/>
                    </w:rPr>
                    <w:t>a</w:t>
                  </w:r>
                  <w:r>
                    <w:rPr>
                      <w:rFonts w:hAnsi="宋体" w:cs="Times New Roman"/>
                      <w:color w:val="auto"/>
                    </w:rPr>
                    <w:t>是指采用</w:t>
                  </w:r>
                  <w:r>
                    <w:rPr>
                      <w:rFonts w:cs="Times New Roman"/>
                      <w:color w:val="auto"/>
                    </w:rPr>
                    <w:t>E601</w:t>
                  </w:r>
                  <w:r>
                    <w:rPr>
                      <w:rFonts w:hAnsi="宋体" w:cs="Times New Roman"/>
                      <w:color w:val="auto"/>
                    </w:rPr>
                    <w:t>观测的多年平均水面蒸发量与降水量的比值，即蒸降比值。</w:t>
                  </w:r>
                </w:p>
              </w:tc>
            </w:tr>
          </w:tbl>
          <w:p>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ind w:firstLine="480" w:firstLineChars="200"/>
              <w:textAlignment w:val="auto"/>
              <w:rPr>
                <w:rFonts w:hint="default" w:ascii="Times New Roman" w:hAnsi="Times New Roman"/>
                <w:b/>
                <w:color w:val="auto"/>
                <w:lang w:val="en-US" w:eastAsia="zh-CN"/>
              </w:rPr>
            </w:pPr>
            <w:r>
              <w:rPr>
                <w:rFonts w:hint="eastAsia"/>
                <w:color w:val="auto"/>
                <w:kern w:val="0"/>
                <w:sz w:val="24"/>
                <w:lang w:eastAsia="zh-CN"/>
              </w:rPr>
              <w:t>吴忠</w:t>
            </w:r>
            <w:r>
              <w:rPr>
                <w:rFonts w:hint="eastAsia"/>
                <w:color w:val="auto"/>
                <w:kern w:val="0"/>
                <w:sz w:val="24"/>
              </w:rPr>
              <w:t>降水量约为</w:t>
            </w:r>
            <w:r>
              <w:rPr>
                <w:rFonts w:hint="eastAsia"/>
                <w:color w:val="auto"/>
                <w:kern w:val="0"/>
                <w:sz w:val="24"/>
                <w:lang w:val="en-US" w:eastAsia="zh-CN"/>
              </w:rPr>
              <w:t>27</w:t>
            </w:r>
            <w:r>
              <w:rPr>
                <w:color w:val="auto"/>
                <w:kern w:val="0"/>
                <w:sz w:val="24"/>
              </w:rPr>
              <w:t>0</w:t>
            </w:r>
            <w:r>
              <w:rPr>
                <w:rFonts w:hint="eastAsia"/>
                <w:color w:val="auto"/>
                <w:kern w:val="0"/>
                <w:sz w:val="24"/>
              </w:rPr>
              <w:t>mm，蒸发量为</w:t>
            </w:r>
            <w:r>
              <w:rPr>
                <w:rFonts w:hint="eastAsia"/>
                <w:color w:val="auto"/>
                <w:kern w:val="0"/>
                <w:sz w:val="24"/>
                <w:lang w:val="en-US" w:eastAsia="zh-CN"/>
              </w:rPr>
              <w:t>128</w:t>
            </w:r>
            <w:r>
              <w:rPr>
                <w:color w:val="auto"/>
                <w:kern w:val="0"/>
                <w:sz w:val="24"/>
              </w:rPr>
              <w:t>0</w:t>
            </w:r>
            <w:r>
              <w:rPr>
                <w:rFonts w:hint="eastAsia"/>
                <w:color w:val="auto"/>
                <w:kern w:val="0"/>
                <w:sz w:val="24"/>
              </w:rPr>
              <w:t>mm，干燥程度a=</w:t>
            </w:r>
            <w:r>
              <w:rPr>
                <w:rFonts w:hint="eastAsia"/>
                <w:color w:val="auto"/>
                <w:kern w:val="0"/>
                <w:sz w:val="24"/>
                <w:lang w:val="en-US" w:eastAsia="zh-CN"/>
              </w:rPr>
              <w:t>1280</w:t>
            </w:r>
            <w:r>
              <w:rPr>
                <w:rFonts w:hint="eastAsia"/>
                <w:color w:val="auto"/>
                <w:kern w:val="0"/>
                <w:sz w:val="24"/>
              </w:rPr>
              <w:t>/2</w:t>
            </w:r>
            <w:r>
              <w:rPr>
                <w:rFonts w:hint="eastAsia"/>
                <w:color w:val="auto"/>
                <w:kern w:val="0"/>
                <w:sz w:val="24"/>
                <w:lang w:val="en-US" w:eastAsia="zh-CN"/>
              </w:rPr>
              <w:t>70</w:t>
            </w:r>
            <w:r>
              <w:rPr>
                <w:rFonts w:hint="eastAsia"/>
                <w:color w:val="auto"/>
                <w:kern w:val="0"/>
                <w:sz w:val="24"/>
              </w:rPr>
              <w:t>=</w:t>
            </w:r>
            <w:r>
              <w:rPr>
                <w:rFonts w:hint="eastAsia"/>
                <w:color w:val="auto"/>
                <w:kern w:val="0"/>
                <w:sz w:val="24"/>
                <w:lang w:val="en-US" w:eastAsia="zh-CN"/>
              </w:rPr>
              <w:t>4.74</w:t>
            </w:r>
            <w:r>
              <w:rPr>
                <w:rFonts w:hint="eastAsia"/>
                <w:color w:val="auto"/>
                <w:kern w:val="0"/>
                <w:sz w:val="24"/>
              </w:rPr>
              <w:t>，干燥度＞2.5</w:t>
            </w:r>
            <w:r>
              <w:rPr>
                <w:rFonts w:hint="eastAsia"/>
                <w:color w:val="auto"/>
                <w:kern w:val="0"/>
                <w:sz w:val="24"/>
                <w:lang w:eastAsia="zh-CN"/>
              </w:rPr>
              <w:t>，</w:t>
            </w:r>
            <w:r>
              <w:rPr>
                <w:rFonts w:hint="eastAsia"/>
                <w:color w:val="auto"/>
                <w:kern w:val="0"/>
                <w:sz w:val="24"/>
              </w:rPr>
              <w:t>项目位于</w:t>
            </w:r>
            <w:r>
              <w:rPr>
                <w:rFonts w:hint="eastAsia"/>
                <w:color w:val="auto"/>
                <w:kern w:val="0"/>
                <w:sz w:val="24"/>
                <w:lang w:val="en-US" w:eastAsia="zh-CN"/>
              </w:rPr>
              <w:t>吴忠市同心县张家垣乡</w:t>
            </w:r>
            <w:r>
              <w:rPr>
                <w:rFonts w:hint="eastAsia"/>
                <w:color w:val="auto"/>
                <w:kern w:val="0"/>
                <w:sz w:val="24"/>
              </w:rPr>
              <w:t>，项目区不属于地势平坦区域且地下水位埋深＞1</w:t>
            </w:r>
            <w:r>
              <w:rPr>
                <w:color w:val="auto"/>
                <w:kern w:val="0"/>
                <w:sz w:val="24"/>
              </w:rPr>
              <w:t>.5</w:t>
            </w:r>
            <w:r>
              <w:rPr>
                <w:rFonts w:hint="eastAsia"/>
                <w:color w:val="auto"/>
                <w:kern w:val="0"/>
                <w:sz w:val="24"/>
              </w:rPr>
              <w:t>m；</w:t>
            </w:r>
            <w:r>
              <w:rPr>
                <w:rFonts w:hAnsi="宋体"/>
                <w:bCs/>
                <w:color w:val="auto"/>
                <w:sz w:val="24"/>
                <w:szCs w:val="24"/>
              </w:rPr>
              <w:t>查询《宁夏土种志》</w:t>
            </w:r>
            <w:r>
              <w:rPr>
                <w:rFonts w:hint="eastAsia"/>
                <w:bCs/>
                <w:color w:val="auto"/>
                <w:sz w:val="24"/>
                <w:szCs w:val="24"/>
                <w:lang w:val="en-US" w:eastAsia="zh-CN"/>
              </w:rPr>
              <w:t>黄绵土</w:t>
            </w:r>
            <w:r>
              <w:rPr>
                <w:bCs/>
                <w:color w:val="auto"/>
                <w:sz w:val="24"/>
                <w:szCs w:val="24"/>
              </w:rPr>
              <w:t>pH</w:t>
            </w:r>
            <w:r>
              <w:rPr>
                <w:rFonts w:hAnsi="宋体"/>
                <w:bCs/>
                <w:color w:val="auto"/>
                <w:sz w:val="24"/>
                <w:szCs w:val="24"/>
              </w:rPr>
              <w:t>为</w:t>
            </w:r>
            <w:r>
              <w:rPr>
                <w:rFonts w:hint="eastAsia"/>
                <w:bCs/>
                <w:color w:val="auto"/>
                <w:sz w:val="24"/>
                <w:szCs w:val="24"/>
                <w:lang w:val="en-US" w:eastAsia="zh-CN"/>
              </w:rPr>
              <w:t>7.8-8.2</w:t>
            </w:r>
            <w:r>
              <w:rPr>
                <w:rFonts w:hAnsi="宋体"/>
                <w:bCs/>
                <w:color w:val="auto"/>
                <w:sz w:val="24"/>
                <w:szCs w:val="24"/>
              </w:rPr>
              <w:t>，含盐量为</w:t>
            </w:r>
            <w:r>
              <w:rPr>
                <w:rFonts w:hint="eastAsia"/>
                <w:bCs/>
                <w:color w:val="auto"/>
                <w:sz w:val="24"/>
                <w:szCs w:val="24"/>
                <w:lang w:val="en-US" w:eastAsia="zh-CN"/>
              </w:rPr>
              <w:t>0.024</w:t>
            </w:r>
            <w:r>
              <w:rPr>
                <w:bCs/>
                <w:color w:val="auto"/>
                <w:sz w:val="24"/>
                <w:szCs w:val="24"/>
              </w:rPr>
              <w:t>g/kg</w:t>
            </w:r>
            <w:r>
              <w:rPr>
                <w:rFonts w:hAnsi="宋体"/>
                <w:bCs/>
                <w:color w:val="auto"/>
                <w:sz w:val="24"/>
                <w:szCs w:val="24"/>
              </w:rPr>
              <w:t>，因此，项目区属于不敏感区。因此，项目不开展土壤环境影响评价</w:t>
            </w:r>
            <w:r>
              <w:rPr>
                <w:rFonts w:hint="eastAsia" w:hAnsi="宋体"/>
                <w:bCs/>
                <w:color w:val="auto"/>
                <w:sz w:val="24"/>
                <w:szCs w:val="24"/>
                <w:lang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20" w:hRule="atLeast"/>
          <w:jc w:val="center"/>
        </w:trPr>
        <w:tc>
          <w:tcPr>
            <w:tcW w:w="904"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bCs/>
                <w:color w:val="auto"/>
                <w:sz w:val="24"/>
                <w:szCs w:val="24"/>
              </w:rPr>
              <w:t>与项目有关的原有环境污染和生态破坏问题</w:t>
            </w:r>
          </w:p>
        </w:tc>
        <w:tc>
          <w:tcPr>
            <w:tcW w:w="8253" w:type="dxa"/>
            <w:vAlign w:val="center"/>
          </w:tcPr>
          <w:p>
            <w:pPr>
              <w:adjustRightInd w:val="0"/>
              <w:snapToGrid w:val="0"/>
              <w:spacing w:line="360" w:lineRule="auto"/>
              <w:ind w:firstLine="480" w:firstLineChars="200"/>
              <w:rPr>
                <w:rFonts w:hint="eastAsia" w:ascii="Times New Roman" w:hAnsi="Times New Roman" w:eastAsia="宋体" w:cs="Times New Roman"/>
                <w:color w:val="auto"/>
                <w:kern w:val="0"/>
                <w:szCs w:val="21"/>
                <w:lang w:eastAsia="zh-CN"/>
              </w:rPr>
            </w:pPr>
            <w:r>
              <w:rPr>
                <w:rFonts w:hint="eastAsia" w:cs="Times New Roman"/>
                <w:color w:val="auto"/>
                <w:kern w:val="0"/>
                <w:sz w:val="24"/>
                <w:szCs w:val="24"/>
                <w:lang w:eastAsia="zh-CN"/>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4"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生态环境保护目标</w:t>
            </w:r>
          </w:p>
        </w:tc>
        <w:tc>
          <w:tcPr>
            <w:tcW w:w="8253" w:type="dxa"/>
            <w:vAlign w:val="center"/>
          </w:tcPr>
          <w:p>
            <w:pPr>
              <w:pStyle w:val="8"/>
              <w:spacing w:after="0" w:line="360" w:lineRule="auto"/>
              <w:ind w:firstLine="480"/>
              <w:rPr>
                <w:rFonts w:hint="eastAsia"/>
                <w:color w:val="auto"/>
                <w:kern w:val="2"/>
                <w:sz w:val="24"/>
                <w:szCs w:val="24"/>
                <w:lang w:val="zh-CN"/>
              </w:rPr>
            </w:pPr>
            <w:r>
              <w:rPr>
                <w:color w:val="auto"/>
                <w:kern w:val="2"/>
                <w:sz w:val="24"/>
                <w:szCs w:val="24"/>
                <w:lang w:val="zh-CN"/>
              </w:rPr>
              <w:t>生态环境保护目标要求：</w:t>
            </w:r>
          </w:p>
          <w:p>
            <w:pPr>
              <w:pStyle w:val="8"/>
              <w:keepNext w:val="0"/>
              <w:keepLines w:val="0"/>
              <w:pageBreakBefore w:val="0"/>
              <w:widowControl/>
              <w:kinsoku/>
              <w:wordWrap/>
              <w:overflowPunct/>
              <w:topLinePunct w:val="0"/>
              <w:autoSpaceDE/>
              <w:autoSpaceDN/>
              <w:bidi w:val="0"/>
              <w:adjustRightInd/>
              <w:snapToGrid w:val="0"/>
              <w:spacing w:before="0" w:after="0" w:line="360" w:lineRule="auto"/>
              <w:ind w:right="0" w:firstLine="480" w:firstLineChars="200"/>
              <w:textAlignment w:val="auto"/>
              <w:rPr>
                <w:color w:val="auto"/>
                <w:kern w:val="2"/>
                <w:sz w:val="24"/>
                <w:szCs w:val="24"/>
                <w:lang w:val="zh-CN"/>
              </w:rPr>
            </w:pPr>
            <w:r>
              <w:rPr>
                <w:rFonts w:hint="eastAsia"/>
                <w:color w:val="auto"/>
                <w:kern w:val="2"/>
                <w:sz w:val="24"/>
                <w:szCs w:val="24"/>
                <w:lang w:val="zh-CN"/>
              </w:rPr>
              <w:t>1、环境空气</w:t>
            </w:r>
          </w:p>
          <w:p>
            <w:pPr>
              <w:pStyle w:val="8"/>
              <w:spacing w:after="0" w:line="360" w:lineRule="auto"/>
              <w:ind w:firstLine="480"/>
              <w:rPr>
                <w:rFonts w:hint="eastAsia"/>
                <w:color w:val="auto"/>
                <w:kern w:val="2"/>
                <w:sz w:val="24"/>
                <w:szCs w:val="24"/>
                <w:lang w:val="zh-CN"/>
              </w:rPr>
            </w:pPr>
            <w:r>
              <w:rPr>
                <w:color w:val="auto"/>
                <w:kern w:val="2"/>
                <w:sz w:val="24"/>
                <w:szCs w:val="24"/>
                <w:lang w:val="zh-CN"/>
              </w:rPr>
              <w:t>环境空气质量符合《环境空气质量标准》（GB3095-2012）及其2018年修改单中的二级标准</w:t>
            </w:r>
            <w:r>
              <w:rPr>
                <w:rFonts w:hint="eastAsia"/>
                <w:color w:val="auto"/>
                <w:kern w:val="2"/>
                <w:sz w:val="24"/>
                <w:szCs w:val="24"/>
                <w:lang w:val="zh-CN"/>
              </w:rPr>
              <w:t>，项目运营期无废气产生，项目大气环境影响主要集中在施工期，参照《建设项目环境影响报告表编制技术指南（污染影响类）》，大气环境。明确厂界外500米范围内的自然保护区、风景名胜区、居住区、文化区和农村地区中人群较集中的区域等保护目标。根据现场踏勘，本项目5</w:t>
            </w:r>
            <w:r>
              <w:rPr>
                <w:color w:val="auto"/>
                <w:kern w:val="2"/>
                <w:sz w:val="24"/>
                <w:szCs w:val="24"/>
                <w:lang w:val="zh-CN"/>
              </w:rPr>
              <w:t>00</w:t>
            </w:r>
            <w:r>
              <w:rPr>
                <w:rFonts w:hint="eastAsia"/>
                <w:color w:val="auto"/>
                <w:kern w:val="2"/>
                <w:sz w:val="24"/>
                <w:szCs w:val="24"/>
                <w:lang w:val="zh-CN"/>
              </w:rPr>
              <w:t>m范围内环境</w:t>
            </w:r>
            <w:r>
              <w:rPr>
                <w:rFonts w:hint="eastAsia"/>
                <w:color w:val="auto"/>
                <w:kern w:val="2"/>
                <w:sz w:val="24"/>
                <w:szCs w:val="24"/>
                <w:lang w:val="en-US" w:eastAsia="zh-CN"/>
              </w:rPr>
              <w:t>空气</w:t>
            </w:r>
            <w:r>
              <w:rPr>
                <w:rFonts w:hint="eastAsia"/>
                <w:color w:val="auto"/>
                <w:kern w:val="2"/>
                <w:sz w:val="24"/>
                <w:szCs w:val="24"/>
                <w:lang w:val="zh-CN"/>
              </w:rPr>
              <w:t>保护目标为折腰沟村。</w:t>
            </w:r>
          </w:p>
          <w:p>
            <w:pPr>
              <w:pStyle w:val="8"/>
              <w:keepNext w:val="0"/>
              <w:keepLines w:val="0"/>
              <w:pageBreakBefore w:val="0"/>
              <w:widowControl/>
              <w:kinsoku/>
              <w:wordWrap/>
              <w:overflowPunct/>
              <w:topLinePunct w:val="0"/>
              <w:autoSpaceDE/>
              <w:autoSpaceDN/>
              <w:bidi w:val="0"/>
              <w:adjustRightInd/>
              <w:snapToGrid w:val="0"/>
              <w:spacing w:before="0" w:after="0" w:line="360" w:lineRule="auto"/>
              <w:ind w:right="0" w:firstLine="480" w:firstLineChars="200"/>
              <w:textAlignment w:val="auto"/>
              <w:rPr>
                <w:rFonts w:hint="eastAsia" w:ascii="Times New Roman" w:hAnsi="Times New Roman" w:eastAsia="宋体" w:cs="Times New Roman"/>
                <w:color w:val="auto"/>
                <w:kern w:val="2"/>
                <w:sz w:val="24"/>
                <w:szCs w:val="24"/>
                <w:lang w:val="zh-CN"/>
              </w:rPr>
            </w:pPr>
            <w:r>
              <w:rPr>
                <w:rFonts w:hint="eastAsia" w:ascii="Times New Roman" w:hAnsi="Times New Roman" w:eastAsia="宋体" w:cs="Times New Roman"/>
                <w:color w:val="auto"/>
                <w:kern w:val="2"/>
                <w:sz w:val="24"/>
                <w:szCs w:val="24"/>
                <w:lang w:val="zh-CN"/>
              </w:rPr>
              <w:t>2、声环境</w:t>
            </w:r>
          </w:p>
          <w:p>
            <w:pPr>
              <w:pStyle w:val="8"/>
              <w:keepNext w:val="0"/>
              <w:keepLines w:val="0"/>
              <w:pageBreakBefore w:val="0"/>
              <w:widowControl/>
              <w:kinsoku/>
              <w:wordWrap/>
              <w:overflowPunct/>
              <w:topLinePunct w:val="0"/>
              <w:autoSpaceDE/>
              <w:autoSpaceDN/>
              <w:bidi w:val="0"/>
              <w:adjustRightInd/>
              <w:snapToGrid w:val="0"/>
              <w:spacing w:before="0" w:after="0" w:line="360" w:lineRule="auto"/>
              <w:ind w:right="0" w:firstLine="420"/>
              <w:textAlignment w:val="auto"/>
              <w:rPr>
                <w:color w:val="auto"/>
                <w:kern w:val="2"/>
                <w:sz w:val="24"/>
                <w:szCs w:val="24"/>
                <w:lang w:val="zh-CN"/>
              </w:rPr>
            </w:pPr>
            <w:r>
              <w:rPr>
                <w:rFonts w:hint="eastAsia"/>
                <w:color w:val="auto"/>
                <w:kern w:val="2"/>
                <w:sz w:val="24"/>
                <w:szCs w:val="24"/>
                <w:lang w:val="zh-CN"/>
              </w:rPr>
              <w:t>声环境</w:t>
            </w:r>
            <w:r>
              <w:rPr>
                <w:color w:val="auto"/>
                <w:kern w:val="2"/>
                <w:sz w:val="24"/>
                <w:szCs w:val="24"/>
                <w:lang w:val="zh-CN"/>
              </w:rPr>
              <w:t>质量符合《声环境质量标准》（GB3096-2008）中的</w:t>
            </w:r>
            <w:r>
              <w:rPr>
                <w:color w:val="auto"/>
                <w:kern w:val="2"/>
                <w:sz w:val="24"/>
                <w:szCs w:val="24"/>
              </w:rPr>
              <w:t>1</w:t>
            </w:r>
            <w:r>
              <w:rPr>
                <w:color w:val="auto"/>
                <w:kern w:val="2"/>
                <w:sz w:val="24"/>
                <w:szCs w:val="24"/>
                <w:lang w:val="zh-CN"/>
              </w:rPr>
              <w:t>类区标准</w:t>
            </w:r>
            <w:r>
              <w:rPr>
                <w:rFonts w:hint="eastAsia"/>
                <w:color w:val="auto"/>
                <w:sz w:val="24"/>
                <w:szCs w:val="24"/>
              </w:rPr>
              <w:t>，</w:t>
            </w:r>
            <w:r>
              <w:rPr>
                <w:rFonts w:hint="default" w:ascii="Times New Roman" w:hAnsi="Times New Roman" w:cs="Times New Roman"/>
                <w:color w:val="auto"/>
                <w:sz w:val="24"/>
              </w:rPr>
              <w:t>根据《建设项目环境影响报告表编制技术指南》（污染影响类）（试行），“厂界外周边50m范围内存在声环境保护目标的建设项目，应监测保护目标声环境质量现状并评价达标情况”。</w:t>
            </w:r>
            <w:r>
              <w:rPr>
                <w:rFonts w:hint="eastAsia"/>
                <w:color w:val="auto"/>
                <w:sz w:val="24"/>
                <w:szCs w:val="24"/>
              </w:rPr>
              <w:t>项目沟道两侧</w:t>
            </w:r>
            <w:r>
              <w:rPr>
                <w:rFonts w:hint="eastAsia"/>
                <w:color w:val="auto"/>
                <w:sz w:val="24"/>
                <w:szCs w:val="24"/>
                <w:lang w:val="en-US" w:eastAsia="zh-CN"/>
              </w:rPr>
              <w:t>5</w:t>
            </w:r>
            <w:r>
              <w:rPr>
                <w:rFonts w:hint="eastAsia"/>
                <w:color w:val="auto"/>
                <w:sz w:val="24"/>
                <w:szCs w:val="24"/>
              </w:rPr>
              <w:t>0m范围内</w:t>
            </w:r>
            <w:r>
              <w:rPr>
                <w:rFonts w:hint="eastAsia"/>
                <w:color w:val="auto"/>
                <w:sz w:val="24"/>
                <w:szCs w:val="24"/>
                <w:lang w:eastAsia="zh-CN"/>
              </w:rPr>
              <w:t>无</w:t>
            </w:r>
            <w:r>
              <w:rPr>
                <w:rFonts w:hint="eastAsia"/>
                <w:color w:val="auto"/>
                <w:sz w:val="24"/>
                <w:szCs w:val="24"/>
              </w:rPr>
              <w:t>声环境保护目标</w:t>
            </w:r>
            <w:r>
              <w:rPr>
                <w:color w:val="auto"/>
                <w:kern w:val="2"/>
                <w:sz w:val="24"/>
                <w:szCs w:val="24"/>
                <w:lang w:val="zh-CN"/>
              </w:rPr>
              <w:t>。</w:t>
            </w:r>
          </w:p>
          <w:p>
            <w:pPr>
              <w:adjustRightInd w:val="0"/>
              <w:snapToGrid w:val="0"/>
              <w:spacing w:line="360" w:lineRule="auto"/>
              <w:ind w:firstLine="480" w:firstLineChars="200"/>
              <w:rPr>
                <w:rFonts w:hAnsi="宋体"/>
                <w:snapToGrid w:val="0"/>
                <w:color w:val="auto"/>
                <w:kern w:val="0"/>
                <w:sz w:val="24"/>
              </w:rPr>
            </w:pPr>
            <w:r>
              <w:rPr>
                <w:rFonts w:hint="eastAsia" w:hAnsi="宋体"/>
                <w:snapToGrid w:val="0"/>
                <w:color w:val="auto"/>
                <w:kern w:val="0"/>
                <w:sz w:val="24"/>
              </w:rPr>
              <w:t>3、地下水环境</w:t>
            </w:r>
          </w:p>
          <w:p>
            <w:pPr>
              <w:adjustRightInd w:val="0"/>
              <w:snapToGrid w:val="0"/>
              <w:spacing w:line="360" w:lineRule="auto"/>
              <w:ind w:firstLine="480" w:firstLineChars="200"/>
              <w:rPr>
                <w:rFonts w:hint="eastAsia" w:hAnsi="宋体"/>
                <w:snapToGrid w:val="0"/>
                <w:color w:val="auto"/>
                <w:kern w:val="0"/>
                <w:sz w:val="24"/>
              </w:rPr>
            </w:pPr>
            <w:r>
              <w:rPr>
                <w:rFonts w:hint="eastAsia"/>
                <w:color w:val="auto"/>
                <w:sz w:val="24"/>
                <w:lang w:val="zh-CN"/>
              </w:rPr>
              <w:t>根据《环境影响评价技术导则 地下水环境》(HJ610-2016)，本项目属于防洪治涝工程中其他为Ⅳ类项目，不开展地下水环境影响评价。参照《建设项目环境影响报告表编制技术指南（污染影响类）》，地下水环境。明确厂界外500米范围内的地下水集中式饮用水水源和热水、矿泉水、温泉等特殊地下水资源。根据现场踏勘，</w:t>
            </w:r>
            <w:r>
              <w:rPr>
                <w:rFonts w:hint="eastAsia" w:hAnsi="宋体"/>
                <w:snapToGrid w:val="0"/>
                <w:color w:val="auto"/>
                <w:kern w:val="0"/>
                <w:sz w:val="24"/>
              </w:rPr>
              <w:t>本项目周边5</w:t>
            </w:r>
            <w:r>
              <w:rPr>
                <w:rFonts w:hAnsi="宋体"/>
                <w:snapToGrid w:val="0"/>
                <w:color w:val="auto"/>
                <w:kern w:val="0"/>
                <w:sz w:val="24"/>
              </w:rPr>
              <w:t>00</w:t>
            </w:r>
            <w:r>
              <w:rPr>
                <w:rFonts w:hint="eastAsia" w:hAnsi="宋体"/>
                <w:snapToGrid w:val="0"/>
                <w:color w:val="auto"/>
                <w:kern w:val="0"/>
                <w:sz w:val="24"/>
              </w:rPr>
              <w:t>m范围内无地下水集中式饮用水水源和热水、矿泉水、温泉等特殊地下水资源。</w:t>
            </w:r>
          </w:p>
          <w:p>
            <w:pPr>
              <w:adjustRightInd w:val="0"/>
              <w:snapToGrid w:val="0"/>
              <w:spacing w:line="360" w:lineRule="auto"/>
              <w:ind w:firstLine="480" w:firstLineChars="200"/>
              <w:rPr>
                <w:rFonts w:hAnsi="宋体"/>
                <w:snapToGrid w:val="0"/>
                <w:color w:val="auto"/>
                <w:kern w:val="0"/>
                <w:sz w:val="24"/>
              </w:rPr>
            </w:pPr>
            <w:r>
              <w:rPr>
                <w:rFonts w:hint="eastAsia" w:hAnsi="宋体"/>
                <w:snapToGrid w:val="0"/>
                <w:color w:val="auto"/>
                <w:kern w:val="0"/>
                <w:sz w:val="24"/>
              </w:rPr>
              <w:t>4、土壤环境</w:t>
            </w:r>
          </w:p>
          <w:p>
            <w:pPr>
              <w:adjustRightInd w:val="0"/>
              <w:snapToGrid w:val="0"/>
              <w:spacing w:line="360" w:lineRule="auto"/>
              <w:ind w:firstLine="480" w:firstLineChars="200"/>
              <w:rPr>
                <w:rFonts w:hint="eastAsia" w:hAnsi="宋体"/>
                <w:snapToGrid w:val="0"/>
                <w:color w:val="auto"/>
                <w:kern w:val="0"/>
                <w:sz w:val="24"/>
              </w:rPr>
            </w:pPr>
            <w:r>
              <w:rPr>
                <w:rFonts w:hint="eastAsia"/>
                <w:color w:val="auto"/>
                <w:kern w:val="0"/>
                <w:sz w:val="24"/>
              </w:rPr>
              <w:t>本项目属于防洪除涝工程，根据《环境影响评价技术导则 地下水环境》</w:t>
            </w:r>
            <w:r>
              <w:rPr>
                <w:rFonts w:hint="eastAsia"/>
                <w:color w:val="auto"/>
                <w:kern w:val="0"/>
                <w:sz w:val="24"/>
                <w:lang w:eastAsia="zh-CN"/>
              </w:rPr>
              <w:t>（</w:t>
            </w:r>
            <w:r>
              <w:rPr>
                <w:rFonts w:hint="eastAsia"/>
                <w:color w:val="auto"/>
                <w:kern w:val="0"/>
                <w:sz w:val="24"/>
              </w:rPr>
              <w:t>HJ610-2016</w:t>
            </w:r>
            <w:r>
              <w:rPr>
                <w:rFonts w:hint="eastAsia"/>
                <w:color w:val="auto"/>
                <w:kern w:val="0"/>
                <w:sz w:val="24"/>
                <w:lang w:eastAsia="zh-CN"/>
              </w:rPr>
              <w:t>）</w:t>
            </w:r>
            <w:r>
              <w:rPr>
                <w:rFonts w:hint="eastAsia"/>
                <w:color w:val="auto"/>
                <w:kern w:val="0"/>
                <w:sz w:val="24"/>
              </w:rPr>
              <w:t>防洪治涝工程中其他，本项目为</w:t>
            </w:r>
            <w:r>
              <w:rPr>
                <w:rFonts w:hint="eastAsia"/>
                <w:color w:val="auto"/>
                <w:sz w:val="24"/>
                <w:lang w:val="zh-CN"/>
              </w:rPr>
              <w:t>Ⅲ类，</w:t>
            </w:r>
            <w:r>
              <w:rPr>
                <w:rFonts w:hint="eastAsia"/>
                <w:color w:val="auto"/>
                <w:sz w:val="24"/>
                <w:lang w:val="en-US" w:eastAsia="zh-CN"/>
              </w:rPr>
              <w:t>项目所在区域不敏感，因此，</w:t>
            </w:r>
            <w:r>
              <w:rPr>
                <w:rFonts w:hint="eastAsia"/>
                <w:color w:val="auto"/>
                <w:kern w:val="0"/>
                <w:sz w:val="24"/>
              </w:rPr>
              <w:t>可不开展</w:t>
            </w:r>
            <w:r>
              <w:rPr>
                <w:rFonts w:hint="eastAsia"/>
                <w:color w:val="auto"/>
                <w:kern w:val="0"/>
                <w:sz w:val="24"/>
                <w:lang w:val="en-US" w:eastAsia="zh-CN"/>
              </w:rPr>
              <w:t>土壤</w:t>
            </w:r>
            <w:r>
              <w:rPr>
                <w:rFonts w:hint="eastAsia"/>
                <w:color w:val="auto"/>
                <w:kern w:val="0"/>
                <w:sz w:val="24"/>
              </w:rPr>
              <w:t>环境影响评价。</w:t>
            </w:r>
          </w:p>
          <w:p>
            <w:pPr>
              <w:adjustRightInd w:val="0"/>
              <w:snapToGrid w:val="0"/>
              <w:spacing w:line="360" w:lineRule="auto"/>
              <w:ind w:firstLine="480" w:firstLineChars="200"/>
              <w:rPr>
                <w:rFonts w:hAnsi="宋体"/>
                <w:snapToGrid w:val="0"/>
                <w:color w:val="auto"/>
                <w:kern w:val="0"/>
                <w:sz w:val="24"/>
              </w:rPr>
            </w:pPr>
            <w:r>
              <w:rPr>
                <w:rFonts w:hint="eastAsia" w:hAnsi="宋体"/>
                <w:snapToGrid w:val="0"/>
                <w:color w:val="auto"/>
                <w:kern w:val="0"/>
                <w:sz w:val="24"/>
              </w:rPr>
              <w:t>5、地表水环境</w:t>
            </w:r>
          </w:p>
          <w:p>
            <w:pPr>
              <w:adjustRightInd w:val="0"/>
              <w:snapToGrid w:val="0"/>
              <w:spacing w:line="360" w:lineRule="auto"/>
              <w:ind w:firstLine="480" w:firstLineChars="200"/>
              <w:rPr>
                <w:rFonts w:hAnsi="宋体"/>
                <w:snapToGrid w:val="0"/>
                <w:color w:val="auto"/>
                <w:kern w:val="0"/>
                <w:sz w:val="24"/>
              </w:rPr>
            </w:pPr>
            <w:r>
              <w:rPr>
                <w:rFonts w:hint="eastAsia" w:hAnsi="宋体"/>
                <w:snapToGrid w:val="0"/>
                <w:color w:val="auto"/>
                <w:kern w:val="0"/>
                <w:sz w:val="24"/>
              </w:rPr>
              <w:t>根据《环境影响评价技术导则 地表水环境》(HJ2.3—2018)，本项目属于水文要素型，考虑本项目为防洪工程，涉及</w:t>
            </w:r>
            <w:r>
              <w:rPr>
                <w:rFonts w:hint="eastAsia" w:hAnsi="宋体"/>
                <w:snapToGrid w:val="0"/>
                <w:color w:val="auto"/>
                <w:kern w:val="0"/>
                <w:sz w:val="24"/>
                <w:lang w:val="en-US" w:eastAsia="zh-CN"/>
              </w:rPr>
              <w:t>折腰</w:t>
            </w:r>
            <w:r>
              <w:rPr>
                <w:rFonts w:hint="eastAsia" w:hAnsi="宋体"/>
                <w:snapToGrid w:val="0"/>
                <w:color w:val="auto"/>
                <w:kern w:val="0"/>
                <w:sz w:val="24"/>
              </w:rPr>
              <w:t>沟非汛期为干涸冲沟，不属于《环境影响评价技术导则 地表水环境》</w:t>
            </w:r>
            <w:r>
              <w:rPr>
                <w:rFonts w:hint="eastAsia" w:hAnsi="宋体"/>
                <w:snapToGrid w:val="0"/>
                <w:color w:val="auto"/>
                <w:kern w:val="0"/>
                <w:sz w:val="24"/>
                <w:lang w:eastAsia="zh-CN"/>
              </w:rPr>
              <w:t>（</w:t>
            </w:r>
            <w:r>
              <w:rPr>
                <w:rFonts w:hint="eastAsia" w:hAnsi="宋体"/>
                <w:snapToGrid w:val="0"/>
                <w:color w:val="auto"/>
                <w:kern w:val="0"/>
                <w:sz w:val="24"/>
              </w:rPr>
              <w:t>HJ2.3—2018</w:t>
            </w:r>
            <w:r>
              <w:rPr>
                <w:rFonts w:hint="eastAsia" w:hAnsi="宋体"/>
                <w:snapToGrid w:val="0"/>
                <w:color w:val="auto"/>
                <w:kern w:val="0"/>
                <w:sz w:val="24"/>
                <w:lang w:eastAsia="zh-CN"/>
              </w:rPr>
              <w:t>）</w:t>
            </w:r>
            <w:r>
              <w:rPr>
                <w:rFonts w:hint="eastAsia" w:hAnsi="宋体"/>
                <w:snapToGrid w:val="0"/>
                <w:color w:val="auto"/>
                <w:kern w:val="0"/>
                <w:sz w:val="24"/>
              </w:rPr>
              <w:t>定义的地表水环境敏感目标。</w:t>
            </w:r>
          </w:p>
          <w:p>
            <w:pPr>
              <w:adjustRightInd w:val="0"/>
              <w:snapToGrid w:val="0"/>
              <w:spacing w:line="360" w:lineRule="auto"/>
              <w:ind w:firstLine="480" w:firstLineChars="200"/>
              <w:rPr>
                <w:rFonts w:hAnsi="宋体"/>
                <w:snapToGrid w:val="0"/>
                <w:color w:val="auto"/>
                <w:kern w:val="0"/>
                <w:sz w:val="24"/>
              </w:rPr>
            </w:pPr>
            <w:r>
              <w:rPr>
                <w:rFonts w:hAnsi="宋体"/>
                <w:snapToGrid w:val="0"/>
                <w:color w:val="auto"/>
                <w:kern w:val="0"/>
                <w:sz w:val="24"/>
              </w:rPr>
              <w:t>6</w:t>
            </w:r>
            <w:r>
              <w:rPr>
                <w:rFonts w:hint="eastAsia" w:hAnsi="宋体"/>
                <w:snapToGrid w:val="0"/>
                <w:color w:val="auto"/>
                <w:kern w:val="0"/>
                <w:sz w:val="24"/>
              </w:rPr>
              <w:t>、生态环境</w:t>
            </w:r>
          </w:p>
          <w:p>
            <w:pPr>
              <w:adjustRightInd w:val="0"/>
              <w:snapToGrid w:val="0"/>
              <w:spacing w:line="360" w:lineRule="auto"/>
              <w:ind w:firstLine="480" w:firstLineChars="200"/>
              <w:rPr>
                <w:rFonts w:hAnsi="宋体"/>
                <w:snapToGrid w:val="0"/>
                <w:color w:val="auto"/>
                <w:kern w:val="0"/>
                <w:sz w:val="24"/>
              </w:rPr>
            </w:pPr>
            <w:r>
              <w:rPr>
                <w:rFonts w:hint="eastAsia" w:hAnsi="宋体"/>
                <w:snapToGrid w:val="0"/>
                <w:color w:val="auto"/>
                <w:kern w:val="0"/>
                <w:sz w:val="24"/>
              </w:rPr>
              <w:t>本项目为线性工程，项目穿越</w:t>
            </w:r>
            <w:r>
              <w:rPr>
                <w:rFonts w:hint="eastAsia" w:hAnsi="宋体"/>
                <w:snapToGrid w:val="0"/>
                <w:color w:val="auto"/>
                <w:kern w:val="0"/>
                <w:sz w:val="24"/>
                <w:lang w:val="en-US" w:eastAsia="zh-CN"/>
              </w:rPr>
              <w:t>非生态敏感区</w:t>
            </w:r>
            <w:r>
              <w:rPr>
                <w:rFonts w:hint="eastAsia" w:hAnsi="宋体"/>
                <w:snapToGrid w:val="0"/>
                <w:color w:val="auto"/>
                <w:kern w:val="0"/>
                <w:sz w:val="24"/>
              </w:rPr>
              <w:t>，根据《环境影响评价技术导则 生态影响》（HJ19-2022）线性工程穿越非生态敏感区时，以</w:t>
            </w:r>
            <w:r>
              <w:rPr>
                <w:rFonts w:hint="eastAsia" w:hAnsi="宋体"/>
                <w:snapToGrid w:val="0"/>
                <w:color w:val="auto"/>
                <w:kern w:val="0"/>
                <w:sz w:val="24"/>
                <w:lang w:eastAsia="zh-CN"/>
              </w:rPr>
              <w:t>沟道</w:t>
            </w:r>
            <w:r>
              <w:rPr>
                <w:rFonts w:hint="eastAsia" w:hAnsi="宋体"/>
                <w:snapToGrid w:val="0"/>
                <w:color w:val="auto"/>
                <w:kern w:val="0"/>
                <w:sz w:val="24"/>
              </w:rPr>
              <w:t>中心线向两侧外延300m为参考评价范围。</w:t>
            </w:r>
          </w:p>
          <w:p>
            <w:pPr>
              <w:adjustRightInd w:val="0"/>
              <w:snapToGrid w:val="0"/>
              <w:spacing w:line="360" w:lineRule="auto"/>
              <w:ind w:firstLine="480" w:firstLineChars="200"/>
              <w:rPr>
                <w:rFonts w:hint="default" w:ascii="Times New Roman" w:hAnsi="Times New Roman" w:cs="Times New Roman"/>
                <w:color w:val="auto"/>
                <w:kern w:val="0"/>
                <w:sz w:val="24"/>
              </w:rPr>
            </w:pPr>
            <w:r>
              <w:rPr>
                <w:rFonts w:hAnsi="宋体"/>
                <w:color w:val="auto"/>
                <w:sz w:val="24"/>
              </w:rPr>
              <w:t>本</w:t>
            </w:r>
            <w:r>
              <w:rPr>
                <w:rFonts w:hint="eastAsia" w:hAnsi="宋体"/>
                <w:color w:val="auto"/>
                <w:sz w:val="24"/>
              </w:rPr>
              <w:t>项目总占地面积为</w:t>
            </w:r>
            <w:r>
              <w:rPr>
                <w:rFonts w:hint="eastAsia" w:hAnsi="宋体"/>
                <w:color w:val="auto"/>
                <w:sz w:val="24"/>
                <w:lang w:val="en-US" w:eastAsia="zh-CN"/>
              </w:rPr>
              <w:t>61.04</w:t>
            </w:r>
            <w:r>
              <w:rPr>
                <w:rFonts w:hint="eastAsia" w:hAnsi="宋体"/>
                <w:color w:val="auto"/>
                <w:sz w:val="24"/>
              </w:rPr>
              <w:t>亩（</w:t>
            </w:r>
            <w:r>
              <w:rPr>
                <w:rFonts w:hint="eastAsia" w:hAnsi="宋体"/>
                <w:color w:val="auto"/>
                <w:sz w:val="24"/>
                <w:lang w:val="en-US" w:eastAsia="zh-CN"/>
              </w:rPr>
              <w:t>4.07</w:t>
            </w:r>
            <w:r>
              <w:rPr>
                <w:rFonts w:hint="eastAsia" w:hAnsi="宋体"/>
                <w:color w:val="auto"/>
                <w:sz w:val="24"/>
              </w:rPr>
              <w:t>hm</w:t>
            </w:r>
            <w:r>
              <w:rPr>
                <w:rFonts w:hAnsi="宋体"/>
                <w:color w:val="auto"/>
                <w:sz w:val="24"/>
                <w:vertAlign w:val="superscript"/>
              </w:rPr>
              <w:t>2</w:t>
            </w:r>
            <w:r>
              <w:rPr>
                <w:rFonts w:hint="eastAsia" w:hAnsi="宋体"/>
                <w:color w:val="auto"/>
                <w:sz w:val="24"/>
              </w:rPr>
              <w:t>），其中</w:t>
            </w:r>
            <w:r>
              <w:rPr>
                <w:rFonts w:hAnsi="宋体"/>
                <w:color w:val="auto"/>
                <w:sz w:val="24"/>
              </w:rPr>
              <w:t>永久占地面积为</w:t>
            </w:r>
            <w:r>
              <w:rPr>
                <w:rFonts w:hint="eastAsia"/>
                <w:color w:val="auto"/>
                <w:sz w:val="24"/>
                <w:lang w:val="en-US" w:eastAsia="zh-CN"/>
              </w:rPr>
              <w:t>21.6</w:t>
            </w:r>
            <w:r>
              <w:rPr>
                <w:rFonts w:hAnsi="宋体"/>
                <w:color w:val="auto"/>
                <w:sz w:val="24"/>
              </w:rPr>
              <w:t>亩</w:t>
            </w:r>
            <w:r>
              <w:rPr>
                <w:rFonts w:hint="eastAsia" w:hAnsi="宋体"/>
                <w:color w:val="auto"/>
                <w:sz w:val="24"/>
              </w:rPr>
              <w:t>（</w:t>
            </w:r>
            <w:r>
              <w:rPr>
                <w:rFonts w:hint="eastAsia" w:hAnsi="宋体"/>
                <w:color w:val="auto"/>
                <w:sz w:val="24"/>
                <w:lang w:val="en-US" w:eastAsia="zh-CN"/>
              </w:rPr>
              <w:t>1.44</w:t>
            </w:r>
            <w:r>
              <w:rPr>
                <w:rFonts w:hint="eastAsia" w:hAnsi="宋体"/>
                <w:color w:val="auto"/>
                <w:sz w:val="24"/>
              </w:rPr>
              <w:t>hm</w:t>
            </w:r>
            <w:r>
              <w:rPr>
                <w:rFonts w:hAnsi="宋体"/>
                <w:color w:val="auto"/>
                <w:sz w:val="24"/>
                <w:vertAlign w:val="superscript"/>
              </w:rPr>
              <w:t>2</w:t>
            </w:r>
            <w:r>
              <w:rPr>
                <w:rFonts w:hint="eastAsia" w:hAnsi="宋体"/>
                <w:color w:val="auto"/>
                <w:sz w:val="24"/>
              </w:rPr>
              <w:t>）</w:t>
            </w:r>
            <w:r>
              <w:rPr>
                <w:rFonts w:hint="eastAsia" w:hAnsi="宋体"/>
                <w:color w:val="auto"/>
                <w:sz w:val="24"/>
                <w:lang w:eastAsia="zh-CN"/>
              </w:rPr>
              <w:t>；</w:t>
            </w:r>
            <w:r>
              <w:rPr>
                <w:rFonts w:hint="eastAsia" w:hAnsi="宋体"/>
                <w:color w:val="auto"/>
                <w:sz w:val="24"/>
                <w:lang w:val="en-US" w:eastAsia="zh-CN"/>
              </w:rPr>
              <w:t>临时占地面积为39.44</w:t>
            </w:r>
            <w:r>
              <w:rPr>
                <w:rFonts w:hint="eastAsia" w:hAnsi="宋体"/>
                <w:color w:val="auto"/>
                <w:sz w:val="24"/>
              </w:rPr>
              <w:t>亩（</w:t>
            </w:r>
            <w:r>
              <w:rPr>
                <w:rFonts w:hint="eastAsia" w:hAnsi="宋体"/>
                <w:color w:val="auto"/>
                <w:sz w:val="24"/>
                <w:lang w:val="en-US" w:eastAsia="zh-CN"/>
              </w:rPr>
              <w:t>2.63</w:t>
            </w:r>
            <w:r>
              <w:rPr>
                <w:rFonts w:hint="eastAsia" w:hAnsi="宋体"/>
                <w:color w:val="auto"/>
                <w:sz w:val="24"/>
              </w:rPr>
              <w:t>hm</w:t>
            </w:r>
            <w:r>
              <w:rPr>
                <w:rFonts w:hAnsi="宋体"/>
                <w:color w:val="auto"/>
                <w:sz w:val="24"/>
                <w:vertAlign w:val="superscript"/>
              </w:rPr>
              <w:t>2</w:t>
            </w:r>
            <w:r>
              <w:rPr>
                <w:rFonts w:hint="eastAsia" w:hAnsi="宋体"/>
                <w:color w:val="auto"/>
                <w:sz w:val="24"/>
              </w:rPr>
              <w:t>）</w:t>
            </w:r>
            <w:r>
              <w:rPr>
                <w:rFonts w:hint="eastAsia" w:hAnsi="宋体"/>
                <w:color w:val="auto"/>
                <w:sz w:val="24"/>
                <w:lang w:eastAsia="zh-CN"/>
              </w:rPr>
              <w:t>。</w:t>
            </w:r>
            <w:r>
              <w:rPr>
                <w:rFonts w:hint="eastAsia" w:hAnsi="宋体"/>
                <w:color w:val="auto"/>
                <w:sz w:val="24"/>
                <w:lang w:val="en-US" w:eastAsia="zh-CN"/>
              </w:rPr>
              <w:t>项目区植被主要为农作物及人工植被，</w:t>
            </w:r>
            <w:r>
              <w:rPr>
                <w:rFonts w:hint="eastAsia"/>
                <w:color w:val="auto"/>
                <w:sz w:val="24"/>
              </w:rPr>
              <w:t>主要为</w:t>
            </w:r>
            <w:r>
              <w:rPr>
                <w:rFonts w:hint="eastAsia"/>
                <w:color w:val="auto"/>
                <w:sz w:val="24"/>
                <w:lang w:val="en-US" w:eastAsia="zh-CN"/>
              </w:rPr>
              <w:t>洋芋、豆类、杨树、柏树等，无重点保护野生植物</w:t>
            </w:r>
            <w:r>
              <w:rPr>
                <w:rFonts w:hint="eastAsia" w:hAnsi="宋体"/>
                <w:snapToGrid w:val="0"/>
                <w:color w:val="auto"/>
                <w:kern w:val="0"/>
                <w:sz w:val="24"/>
              </w:rPr>
              <w:t>。</w:t>
            </w:r>
            <w:r>
              <w:rPr>
                <w:rFonts w:hint="eastAsia"/>
                <w:color w:val="auto"/>
                <w:sz w:val="24"/>
              </w:rPr>
              <w:t>评价区及周边区域主要为耐旱荒漠种的小型动物，无大型野生动物，兽类</w:t>
            </w:r>
            <w:r>
              <w:rPr>
                <w:rFonts w:hint="eastAsia"/>
                <w:color w:val="auto"/>
                <w:sz w:val="24"/>
                <w:lang w:val="en-US" w:eastAsia="zh-CN"/>
              </w:rPr>
              <w:t>主要为</w:t>
            </w:r>
            <w:r>
              <w:rPr>
                <w:rFonts w:hint="eastAsia"/>
                <w:color w:val="auto"/>
                <w:sz w:val="24"/>
              </w:rPr>
              <w:t>家兔、小家鼠等</w:t>
            </w:r>
            <w:r>
              <w:rPr>
                <w:rFonts w:hint="eastAsia"/>
                <w:color w:val="auto"/>
                <w:sz w:val="24"/>
                <w:lang w:eastAsia="zh-CN"/>
              </w:rPr>
              <w:t>，</w:t>
            </w:r>
            <w:r>
              <w:rPr>
                <w:rFonts w:hint="eastAsia"/>
                <w:color w:val="auto"/>
                <w:sz w:val="24"/>
              </w:rPr>
              <w:t>鸟类有喜鹊、麻雀等。</w:t>
            </w:r>
          </w:p>
          <w:p>
            <w:pPr>
              <w:adjustRightInd w:val="0"/>
              <w:snapToGrid w:val="0"/>
              <w:spacing w:line="360" w:lineRule="auto"/>
              <w:ind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项目主要环境保护目标见表3-</w:t>
            </w:r>
            <w:r>
              <w:rPr>
                <w:rFonts w:hint="eastAsia" w:cs="Times New Roman"/>
                <w:color w:val="auto"/>
                <w:kern w:val="0"/>
                <w:sz w:val="24"/>
                <w:lang w:val="en-US" w:eastAsia="zh-CN"/>
              </w:rPr>
              <w:t>3</w:t>
            </w:r>
            <w:r>
              <w:rPr>
                <w:rFonts w:hint="default" w:ascii="Times New Roman" w:hAnsi="Times New Roman" w:cs="Times New Roman"/>
                <w:color w:val="auto"/>
                <w:kern w:val="0"/>
                <w:sz w:val="24"/>
              </w:rPr>
              <w:t>，</w:t>
            </w:r>
            <w:r>
              <w:rPr>
                <w:rFonts w:hint="eastAsia" w:cs="Times New Roman"/>
                <w:color w:val="auto"/>
                <w:kern w:val="0"/>
                <w:sz w:val="24"/>
                <w:lang w:eastAsia="zh-CN"/>
              </w:rPr>
              <w:t>本项目周边环境保护目标</w:t>
            </w:r>
            <w:r>
              <w:rPr>
                <w:rFonts w:hint="default" w:ascii="Times New Roman" w:hAnsi="Times New Roman" w:cs="Times New Roman"/>
                <w:color w:val="auto"/>
                <w:kern w:val="0"/>
                <w:sz w:val="24"/>
              </w:rPr>
              <w:t>见附图</w:t>
            </w:r>
            <w:r>
              <w:rPr>
                <w:rFonts w:hint="default" w:ascii="Times New Roman" w:hAnsi="Times New Roman" w:cs="Times New Roman"/>
                <w:color w:val="auto"/>
                <w:kern w:val="0"/>
                <w:sz w:val="24"/>
                <w:lang w:val="en-US" w:eastAsia="zh-CN"/>
              </w:rPr>
              <w:t>1</w:t>
            </w:r>
            <w:r>
              <w:rPr>
                <w:rFonts w:hint="eastAsia" w:cs="Times New Roman"/>
                <w:color w:val="auto"/>
                <w:kern w:val="0"/>
                <w:sz w:val="24"/>
                <w:lang w:val="en-US" w:eastAsia="zh-CN"/>
              </w:rPr>
              <w:t>6</w:t>
            </w:r>
            <w:r>
              <w:rPr>
                <w:rFonts w:hint="default" w:ascii="Times New Roman" w:hAnsi="Times New Roman" w:cs="Times New Roman"/>
                <w:color w:val="auto"/>
                <w:kern w:val="0"/>
                <w:sz w:val="24"/>
              </w:rPr>
              <w:t>。</w:t>
            </w:r>
          </w:p>
          <w:p>
            <w:pPr>
              <w:pStyle w:val="64"/>
              <w:rPr>
                <w:rFonts w:hint="default" w:ascii="Times New Roman" w:hAnsi="Times New Roman" w:cs="Times New Roman"/>
                <w:color w:val="auto"/>
              </w:rPr>
            </w:pPr>
            <w:r>
              <w:rPr>
                <w:rFonts w:hint="default" w:ascii="Times New Roman" w:hAnsi="Times New Roman" w:cs="Times New Roman"/>
                <w:color w:val="auto"/>
              </w:rPr>
              <w:t>表3-</w:t>
            </w:r>
            <w:r>
              <w:rPr>
                <w:rFonts w:hint="eastAsia" w:cs="Times New Roman"/>
                <w:color w:val="auto"/>
                <w:lang w:val="en-US" w:eastAsia="zh-CN"/>
              </w:rPr>
              <w:t>3</w:t>
            </w:r>
            <w:r>
              <w:rPr>
                <w:rFonts w:hint="default" w:ascii="Times New Roman" w:hAnsi="Times New Roman" w:cs="Times New Roman"/>
                <w:color w:val="auto"/>
              </w:rPr>
              <w:t>主要环境保护目标一览表</w:t>
            </w:r>
          </w:p>
          <w:tbl>
            <w:tblPr>
              <w:tblStyle w:val="24"/>
              <w:tblW w:w="795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969"/>
              <w:gridCol w:w="1213"/>
              <w:gridCol w:w="1452"/>
              <w:gridCol w:w="1338"/>
              <w:gridCol w:w="1053"/>
              <w:gridCol w:w="193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969" w:type="dxa"/>
                  <w:tcBorders>
                    <w:tl2br w:val="nil"/>
                    <w:tr2bl w:val="nil"/>
                  </w:tcBorders>
                  <w:vAlign w:val="center"/>
                </w:tcPr>
                <w:p>
                  <w:pPr>
                    <w:pStyle w:val="65"/>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环境要素</w:t>
                  </w:r>
                </w:p>
              </w:tc>
              <w:tc>
                <w:tcPr>
                  <w:tcW w:w="1213" w:type="dxa"/>
                  <w:tcBorders>
                    <w:tl2br w:val="nil"/>
                    <w:tr2bl w:val="nil"/>
                  </w:tcBorders>
                  <w:vAlign w:val="center"/>
                </w:tcPr>
                <w:p>
                  <w:pPr>
                    <w:pStyle w:val="65"/>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保护目标名称</w:t>
                  </w:r>
                </w:p>
              </w:tc>
              <w:tc>
                <w:tcPr>
                  <w:tcW w:w="1452" w:type="dxa"/>
                  <w:tcBorders>
                    <w:tl2br w:val="nil"/>
                    <w:tr2bl w:val="nil"/>
                  </w:tcBorders>
                  <w:vAlign w:val="center"/>
                </w:tcPr>
                <w:p>
                  <w:pPr>
                    <w:pStyle w:val="65"/>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中心点坐标</w:t>
                  </w:r>
                </w:p>
              </w:tc>
              <w:tc>
                <w:tcPr>
                  <w:tcW w:w="1338" w:type="dxa"/>
                  <w:tcBorders>
                    <w:tl2br w:val="nil"/>
                    <w:tr2bl w:val="nil"/>
                  </w:tcBorders>
                  <w:vAlign w:val="center"/>
                </w:tcPr>
                <w:p>
                  <w:pPr>
                    <w:pStyle w:val="65"/>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方位及距项目区边界距离m</w:t>
                  </w:r>
                </w:p>
              </w:tc>
              <w:tc>
                <w:tcPr>
                  <w:tcW w:w="1053" w:type="dxa"/>
                  <w:tcBorders>
                    <w:tl2br w:val="nil"/>
                    <w:tr2bl w:val="nil"/>
                  </w:tcBorders>
                  <w:vAlign w:val="center"/>
                </w:tcPr>
                <w:p>
                  <w:pPr>
                    <w:pStyle w:val="65"/>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功能/规模</w:t>
                  </w:r>
                </w:p>
              </w:tc>
              <w:tc>
                <w:tcPr>
                  <w:tcW w:w="1932" w:type="dxa"/>
                  <w:tcBorders>
                    <w:tl2br w:val="nil"/>
                    <w:tr2bl w:val="nil"/>
                  </w:tcBorders>
                  <w:vAlign w:val="center"/>
                </w:tcPr>
                <w:p>
                  <w:pPr>
                    <w:pStyle w:val="65"/>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保护要求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22" w:hRule="atLeast"/>
                <w:jc w:val="center"/>
              </w:trPr>
              <w:tc>
                <w:tcPr>
                  <w:tcW w:w="969" w:type="dxa"/>
                  <w:tcBorders>
                    <w:tl2br w:val="nil"/>
                    <w:tr2bl w:val="nil"/>
                  </w:tcBorders>
                  <w:vAlign w:val="center"/>
                </w:tcPr>
                <w:p>
                  <w:pPr>
                    <w:pStyle w:val="65"/>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大气环境</w:t>
                  </w:r>
                </w:p>
                <w:p>
                  <w:pPr>
                    <w:pStyle w:val="65"/>
                    <w:rPr>
                      <w:rFonts w:hint="default" w:ascii="Times New Roman" w:hAnsi="Times New Roman" w:cs="Times New Roman"/>
                      <w:color w:val="auto"/>
                      <w:sz w:val="21"/>
                      <w:szCs w:val="21"/>
                    </w:rPr>
                  </w:pPr>
                </w:p>
              </w:tc>
              <w:tc>
                <w:tcPr>
                  <w:tcW w:w="1213" w:type="dxa"/>
                  <w:tcBorders>
                    <w:tl2br w:val="nil"/>
                    <w:tr2bl w:val="nil"/>
                  </w:tcBorders>
                  <w:vAlign w:val="center"/>
                </w:tcPr>
                <w:p>
                  <w:pPr>
                    <w:pStyle w:val="65"/>
                    <w:rPr>
                      <w:rFonts w:hint="default" w:ascii="Times New Roman" w:hAnsi="Times New Roman" w:cs="Times New Roman"/>
                      <w:color w:val="auto"/>
                      <w:sz w:val="21"/>
                      <w:szCs w:val="21"/>
                    </w:rPr>
                  </w:pPr>
                  <w:r>
                    <w:rPr>
                      <w:rFonts w:hint="eastAsia" w:cs="Times New Roman"/>
                      <w:color w:val="auto"/>
                      <w:sz w:val="21"/>
                      <w:szCs w:val="21"/>
                      <w:lang w:eastAsia="zh-CN"/>
                    </w:rPr>
                    <w:t>折腰沟</w:t>
                  </w:r>
                  <w:r>
                    <w:rPr>
                      <w:rFonts w:hint="default" w:ascii="Times New Roman" w:hAnsi="Times New Roman" w:cs="Times New Roman"/>
                      <w:color w:val="auto"/>
                      <w:sz w:val="21"/>
                      <w:szCs w:val="21"/>
                    </w:rPr>
                    <w:t>村</w:t>
                  </w:r>
                </w:p>
              </w:tc>
              <w:tc>
                <w:tcPr>
                  <w:tcW w:w="145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 w:val="21"/>
                      <w:szCs w:val="21"/>
                    </w:rPr>
                  </w:pPr>
                </w:p>
                <w:p>
                  <w:pPr>
                    <w:pStyle w:val="65"/>
                    <w:rPr>
                      <w:rFonts w:hint="default" w:ascii="Times New Roman" w:hAnsi="Times New Roman" w:eastAsia="宋体" w:cs="Times New Roman"/>
                      <w:color w:val="auto"/>
                      <w:sz w:val="21"/>
                      <w:szCs w:val="21"/>
                      <w:lang w:val="en-US" w:eastAsia="zh-CN"/>
                    </w:rPr>
                  </w:pPr>
                </w:p>
              </w:tc>
              <w:tc>
                <w:tcPr>
                  <w:tcW w:w="1338" w:type="dxa"/>
                  <w:tcBorders>
                    <w:tl2br w:val="nil"/>
                    <w:tr2bl w:val="nil"/>
                  </w:tcBorders>
                  <w:vAlign w:val="center"/>
                </w:tcPr>
                <w:p>
                  <w:pPr>
                    <w:pStyle w:val="65"/>
                    <w:rPr>
                      <w:rFonts w:hint="default" w:ascii="Times New Roman" w:hAnsi="Times New Roman" w:cs="Times New Roman"/>
                      <w:color w:val="auto"/>
                      <w:sz w:val="21"/>
                      <w:szCs w:val="21"/>
                    </w:rPr>
                  </w:pPr>
                  <w:r>
                    <w:rPr>
                      <w:rFonts w:hint="eastAsia" w:cs="Times New Roman"/>
                      <w:color w:val="auto"/>
                      <w:sz w:val="21"/>
                      <w:szCs w:val="21"/>
                      <w:lang w:val="en-US" w:eastAsia="zh-CN"/>
                    </w:rPr>
                    <w:t>NW：30</w:t>
                  </w:r>
                  <w:r>
                    <w:rPr>
                      <w:rFonts w:hint="default" w:ascii="Times New Roman" w:hAnsi="Times New Roman" w:cs="Times New Roman"/>
                      <w:color w:val="auto"/>
                      <w:sz w:val="21"/>
                      <w:szCs w:val="21"/>
                    </w:rPr>
                    <w:t>0m</w:t>
                  </w:r>
                </w:p>
              </w:tc>
              <w:tc>
                <w:tcPr>
                  <w:tcW w:w="1053" w:type="dxa"/>
                  <w:tcBorders>
                    <w:tl2br w:val="nil"/>
                    <w:tr2bl w:val="nil"/>
                  </w:tcBorders>
                  <w:vAlign w:val="center"/>
                </w:tcPr>
                <w:p>
                  <w:pPr>
                    <w:pStyle w:val="65"/>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居民/371户</w:t>
                  </w:r>
                </w:p>
              </w:tc>
              <w:tc>
                <w:tcPr>
                  <w:tcW w:w="1932" w:type="dxa"/>
                  <w:tcBorders>
                    <w:tl2br w:val="nil"/>
                    <w:tr2bl w:val="nil"/>
                  </w:tcBorders>
                  <w:vAlign w:val="center"/>
                </w:tcPr>
                <w:p>
                  <w:pPr>
                    <w:pStyle w:val="65"/>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环境空气质量符合《环境空气质量标准》（GB3095-2012）二级标准</w:t>
                  </w:r>
                </w:p>
                <w:p>
                  <w:pPr>
                    <w:pStyle w:val="65"/>
                    <w:rPr>
                      <w:rFonts w:hint="default" w:ascii="Times New Roman" w:hAnsi="Times New Roman"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969" w:type="dxa"/>
                  <w:tcBorders>
                    <w:tl2br w:val="nil"/>
                    <w:tr2bl w:val="nil"/>
                  </w:tcBorders>
                  <w:vAlign w:val="center"/>
                </w:tcPr>
                <w:p>
                  <w:pPr>
                    <w:pStyle w:val="65"/>
                    <w:rPr>
                      <w:rFonts w:hint="eastAsia" w:cs="Times New Roman"/>
                      <w:color w:val="auto"/>
                      <w:sz w:val="21"/>
                      <w:szCs w:val="21"/>
                      <w:lang w:eastAsia="zh-CN"/>
                    </w:rPr>
                  </w:pPr>
                  <w:r>
                    <w:rPr>
                      <w:rFonts w:hint="eastAsia" w:cs="Times New Roman"/>
                      <w:color w:val="auto"/>
                      <w:sz w:val="21"/>
                      <w:szCs w:val="21"/>
                      <w:lang w:eastAsia="zh-CN"/>
                    </w:rPr>
                    <w:t>声环境</w:t>
                  </w:r>
                </w:p>
              </w:tc>
              <w:tc>
                <w:tcPr>
                  <w:tcW w:w="1213" w:type="dxa"/>
                  <w:tcBorders>
                    <w:tl2br w:val="nil"/>
                    <w:tr2bl w:val="nil"/>
                  </w:tcBorders>
                  <w:vAlign w:val="center"/>
                </w:tcPr>
                <w:p>
                  <w:pPr>
                    <w:pStyle w:val="65"/>
                    <w:rPr>
                      <w:rFonts w:hint="default" w:cs="Times New Roman"/>
                      <w:color w:val="auto"/>
                      <w:sz w:val="21"/>
                      <w:szCs w:val="21"/>
                      <w:lang w:val="en-US" w:eastAsia="zh-CN"/>
                    </w:rPr>
                  </w:pPr>
                  <w:r>
                    <w:rPr>
                      <w:rFonts w:hint="eastAsia" w:cs="Times New Roman"/>
                      <w:color w:val="auto"/>
                      <w:sz w:val="21"/>
                      <w:szCs w:val="21"/>
                      <w:lang w:val="en-US" w:eastAsia="zh-CN"/>
                    </w:rPr>
                    <w:t>/</w:t>
                  </w:r>
                </w:p>
              </w:tc>
              <w:tc>
                <w:tcPr>
                  <w:tcW w:w="1452" w:type="dxa"/>
                  <w:tcBorders>
                    <w:tl2br w:val="nil"/>
                    <w:tr2bl w:val="nil"/>
                  </w:tcBorders>
                  <w:vAlign w:val="center"/>
                </w:tcPr>
                <w:p>
                  <w:pPr>
                    <w:pStyle w:val="65"/>
                    <w:rPr>
                      <w:rFonts w:hint="default" w:cs="Times New Roman"/>
                      <w:color w:val="auto"/>
                      <w:sz w:val="21"/>
                      <w:szCs w:val="21"/>
                      <w:lang w:val="en-US" w:eastAsia="zh-CN"/>
                    </w:rPr>
                  </w:pPr>
                  <w:r>
                    <w:rPr>
                      <w:rFonts w:hint="eastAsia" w:cs="Times New Roman"/>
                      <w:color w:val="auto"/>
                      <w:sz w:val="21"/>
                      <w:szCs w:val="21"/>
                      <w:lang w:val="en-US" w:eastAsia="zh-CN"/>
                    </w:rPr>
                    <w:t>/</w:t>
                  </w:r>
                </w:p>
              </w:tc>
              <w:tc>
                <w:tcPr>
                  <w:tcW w:w="1338" w:type="dxa"/>
                  <w:tcBorders>
                    <w:tl2br w:val="nil"/>
                    <w:tr2bl w:val="nil"/>
                  </w:tcBorders>
                  <w:vAlign w:val="center"/>
                </w:tcPr>
                <w:p>
                  <w:pPr>
                    <w:pStyle w:val="65"/>
                    <w:rPr>
                      <w:rFonts w:hint="default" w:cs="Times New Roman"/>
                      <w:color w:val="auto"/>
                      <w:sz w:val="21"/>
                      <w:szCs w:val="21"/>
                      <w:lang w:val="en-US" w:eastAsia="zh-CN"/>
                    </w:rPr>
                  </w:pPr>
                  <w:r>
                    <w:rPr>
                      <w:rFonts w:hint="eastAsia" w:cs="Times New Roman"/>
                      <w:color w:val="auto"/>
                      <w:sz w:val="21"/>
                      <w:szCs w:val="21"/>
                      <w:lang w:val="en-US" w:eastAsia="zh-CN"/>
                    </w:rPr>
                    <w:t>/</w:t>
                  </w:r>
                </w:p>
              </w:tc>
              <w:tc>
                <w:tcPr>
                  <w:tcW w:w="1053" w:type="dxa"/>
                  <w:tcBorders>
                    <w:tl2br w:val="nil"/>
                    <w:tr2bl w:val="nil"/>
                  </w:tcBorders>
                  <w:vAlign w:val="center"/>
                </w:tcPr>
                <w:p>
                  <w:pPr>
                    <w:pStyle w:val="65"/>
                    <w:rPr>
                      <w:rFonts w:hint="default" w:cs="Times New Roman"/>
                      <w:color w:val="auto"/>
                      <w:sz w:val="21"/>
                      <w:szCs w:val="21"/>
                      <w:lang w:val="en-US" w:eastAsia="zh-CN"/>
                    </w:rPr>
                  </w:pPr>
                  <w:r>
                    <w:rPr>
                      <w:rFonts w:hint="eastAsia" w:cs="Times New Roman"/>
                      <w:color w:val="auto"/>
                      <w:sz w:val="21"/>
                      <w:szCs w:val="21"/>
                      <w:lang w:val="en-US" w:eastAsia="zh-CN"/>
                    </w:rPr>
                    <w:t>/</w:t>
                  </w:r>
                </w:p>
              </w:tc>
              <w:tc>
                <w:tcPr>
                  <w:tcW w:w="1932" w:type="dxa"/>
                  <w:tcBorders>
                    <w:tl2br w:val="nil"/>
                    <w:tr2bl w:val="nil"/>
                  </w:tcBorders>
                  <w:vAlign w:val="center"/>
                </w:tcPr>
                <w:p>
                  <w:pPr>
                    <w:pStyle w:val="65"/>
                    <w:rPr>
                      <w:rFonts w:hint="default" w:cs="Times New Roman"/>
                      <w:color w:val="auto"/>
                      <w:sz w:val="21"/>
                      <w:szCs w:val="21"/>
                      <w:lang w:val="en-US" w:eastAsia="zh-CN"/>
                    </w:rPr>
                  </w:pPr>
                  <w:r>
                    <w:rPr>
                      <w:rFonts w:hint="eastAsia" w:cs="Times New Roman"/>
                      <w:color w:val="auto"/>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969" w:type="dxa"/>
                  <w:tcBorders>
                    <w:tl2br w:val="nil"/>
                    <w:tr2bl w:val="nil"/>
                  </w:tcBorders>
                  <w:vAlign w:val="center"/>
                </w:tcPr>
                <w:p>
                  <w:pPr>
                    <w:pStyle w:val="65"/>
                    <w:rPr>
                      <w:rFonts w:hint="eastAsia" w:ascii="Times New Roman" w:hAnsi="Times New Roman" w:eastAsia="宋体" w:cs="Times New Roman"/>
                      <w:color w:val="auto"/>
                      <w:sz w:val="21"/>
                      <w:szCs w:val="21"/>
                      <w:lang w:eastAsia="zh-CN"/>
                    </w:rPr>
                  </w:pPr>
                  <w:r>
                    <w:rPr>
                      <w:rFonts w:hint="eastAsia" w:cs="Times New Roman"/>
                      <w:color w:val="auto"/>
                      <w:sz w:val="21"/>
                      <w:szCs w:val="21"/>
                      <w:lang w:eastAsia="zh-CN"/>
                    </w:rPr>
                    <w:t>地表水</w:t>
                  </w:r>
                </w:p>
              </w:tc>
              <w:tc>
                <w:tcPr>
                  <w:tcW w:w="1213" w:type="dxa"/>
                  <w:tcBorders>
                    <w:tl2br w:val="nil"/>
                    <w:tr2bl w:val="nil"/>
                  </w:tcBorders>
                  <w:vAlign w:val="center"/>
                </w:tcPr>
                <w:p>
                  <w:pPr>
                    <w:pStyle w:val="65"/>
                    <w:rPr>
                      <w:rFonts w:hint="default" w:cs="Times New Roman"/>
                      <w:color w:val="auto"/>
                      <w:sz w:val="21"/>
                      <w:szCs w:val="21"/>
                      <w:lang w:val="en-US" w:eastAsia="zh-CN"/>
                    </w:rPr>
                  </w:pPr>
                  <w:r>
                    <w:rPr>
                      <w:rFonts w:hint="eastAsia" w:cs="Times New Roman"/>
                      <w:color w:val="auto"/>
                      <w:sz w:val="21"/>
                      <w:szCs w:val="21"/>
                      <w:lang w:val="en-US" w:eastAsia="zh-CN"/>
                    </w:rPr>
                    <w:t>/</w:t>
                  </w:r>
                </w:p>
              </w:tc>
              <w:tc>
                <w:tcPr>
                  <w:tcW w:w="1452" w:type="dxa"/>
                  <w:tcBorders>
                    <w:tl2br w:val="nil"/>
                    <w:tr2bl w:val="nil"/>
                  </w:tcBorders>
                  <w:vAlign w:val="center"/>
                </w:tcPr>
                <w:p>
                  <w:pPr>
                    <w:pStyle w:val="65"/>
                    <w:rPr>
                      <w:rFonts w:hint="default" w:cs="Times New Roman"/>
                      <w:color w:val="auto"/>
                      <w:sz w:val="21"/>
                      <w:szCs w:val="21"/>
                      <w:lang w:val="en-US" w:eastAsia="zh-CN"/>
                    </w:rPr>
                  </w:pPr>
                  <w:r>
                    <w:rPr>
                      <w:rFonts w:hint="eastAsia" w:cs="Times New Roman"/>
                      <w:color w:val="auto"/>
                      <w:sz w:val="21"/>
                      <w:szCs w:val="21"/>
                      <w:lang w:val="en-US" w:eastAsia="zh-CN"/>
                    </w:rPr>
                    <w:t>/</w:t>
                  </w:r>
                </w:p>
              </w:tc>
              <w:tc>
                <w:tcPr>
                  <w:tcW w:w="1338" w:type="dxa"/>
                  <w:tcBorders>
                    <w:tl2br w:val="nil"/>
                    <w:tr2bl w:val="nil"/>
                  </w:tcBorders>
                  <w:vAlign w:val="center"/>
                </w:tcPr>
                <w:p>
                  <w:pPr>
                    <w:pStyle w:val="65"/>
                    <w:rPr>
                      <w:rFonts w:hint="eastAsia"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w:t>
                  </w:r>
                </w:p>
              </w:tc>
              <w:tc>
                <w:tcPr>
                  <w:tcW w:w="1053" w:type="dxa"/>
                  <w:tcBorders>
                    <w:tl2br w:val="nil"/>
                    <w:tr2bl w:val="nil"/>
                  </w:tcBorders>
                  <w:vAlign w:val="center"/>
                </w:tcPr>
                <w:p>
                  <w:pPr>
                    <w:pStyle w:val="65"/>
                    <w:rPr>
                      <w:rFonts w:hint="default" w:cs="Times New Roman"/>
                      <w:color w:val="auto"/>
                      <w:sz w:val="21"/>
                      <w:szCs w:val="21"/>
                      <w:lang w:val="en-US" w:eastAsia="zh-CN"/>
                    </w:rPr>
                  </w:pPr>
                  <w:r>
                    <w:rPr>
                      <w:rFonts w:hint="eastAsia" w:cs="Times New Roman"/>
                      <w:color w:val="auto"/>
                      <w:sz w:val="21"/>
                      <w:szCs w:val="21"/>
                      <w:lang w:val="en-US" w:eastAsia="zh-CN"/>
                    </w:rPr>
                    <w:t>/</w:t>
                  </w:r>
                </w:p>
              </w:tc>
              <w:tc>
                <w:tcPr>
                  <w:tcW w:w="1932" w:type="dxa"/>
                  <w:tcBorders>
                    <w:tl2br w:val="nil"/>
                    <w:tr2bl w:val="nil"/>
                  </w:tcBorders>
                  <w:vAlign w:val="center"/>
                </w:tcPr>
                <w:p>
                  <w:pPr>
                    <w:pStyle w:val="65"/>
                    <w:rPr>
                      <w:rFonts w:hint="eastAsia"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969" w:type="dxa"/>
                  <w:tcBorders>
                    <w:tl2br w:val="nil"/>
                    <w:tr2bl w:val="nil"/>
                  </w:tcBorders>
                  <w:vAlign w:val="center"/>
                </w:tcPr>
                <w:p>
                  <w:pPr>
                    <w:pStyle w:val="65"/>
                    <w:rPr>
                      <w:rFonts w:hint="eastAsia" w:ascii="Times New Roman" w:hAnsi="Times New Roman" w:eastAsia="宋体" w:cs="Times New Roman"/>
                      <w:color w:val="auto"/>
                      <w:sz w:val="21"/>
                      <w:szCs w:val="21"/>
                      <w:lang w:eastAsia="zh-CN"/>
                    </w:rPr>
                  </w:pPr>
                  <w:r>
                    <w:rPr>
                      <w:rFonts w:hint="eastAsia" w:cs="Times New Roman"/>
                      <w:color w:val="auto"/>
                      <w:sz w:val="21"/>
                      <w:szCs w:val="21"/>
                      <w:lang w:eastAsia="zh-CN"/>
                    </w:rPr>
                    <w:t>土壤</w:t>
                  </w:r>
                </w:p>
              </w:tc>
              <w:tc>
                <w:tcPr>
                  <w:tcW w:w="1213" w:type="dxa"/>
                  <w:tcBorders>
                    <w:tl2br w:val="nil"/>
                    <w:tr2bl w:val="nil"/>
                  </w:tcBorders>
                  <w:vAlign w:val="center"/>
                </w:tcPr>
                <w:p>
                  <w:pPr>
                    <w:pStyle w:val="65"/>
                    <w:rPr>
                      <w:rFonts w:hint="eastAsia" w:ascii="Times New Roman" w:hAnsi="Times New Roman" w:eastAsia="宋体" w:cs="Times New Roman"/>
                      <w:color w:val="auto"/>
                      <w:sz w:val="21"/>
                      <w:szCs w:val="21"/>
                      <w:lang w:eastAsia="zh-CN"/>
                    </w:rPr>
                  </w:pPr>
                  <w:r>
                    <w:rPr>
                      <w:rFonts w:hint="eastAsia" w:cs="Times New Roman"/>
                      <w:color w:val="auto"/>
                      <w:sz w:val="21"/>
                      <w:szCs w:val="21"/>
                      <w:lang w:val="en-US" w:eastAsia="zh-CN"/>
                    </w:rPr>
                    <w:t>/</w:t>
                  </w:r>
                </w:p>
              </w:tc>
              <w:tc>
                <w:tcPr>
                  <w:tcW w:w="1452" w:type="dxa"/>
                  <w:tcBorders>
                    <w:tl2br w:val="nil"/>
                    <w:tr2bl w:val="nil"/>
                  </w:tcBorders>
                  <w:vAlign w:val="center"/>
                </w:tcPr>
                <w:p>
                  <w:pPr>
                    <w:pStyle w:val="65"/>
                    <w:rPr>
                      <w:rFonts w:hint="eastAsia"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w:t>
                  </w:r>
                </w:p>
              </w:tc>
              <w:tc>
                <w:tcPr>
                  <w:tcW w:w="1338" w:type="dxa"/>
                  <w:tcBorders>
                    <w:tl2br w:val="nil"/>
                    <w:tr2bl w:val="nil"/>
                  </w:tcBorders>
                  <w:vAlign w:val="center"/>
                </w:tcPr>
                <w:p>
                  <w:pPr>
                    <w:pStyle w:val="65"/>
                    <w:rPr>
                      <w:rFonts w:hint="eastAsia" w:ascii="Times New Roman" w:hAnsi="Times New Roman" w:eastAsia="宋体" w:cs="Times New Roman"/>
                      <w:color w:val="auto"/>
                      <w:sz w:val="21"/>
                      <w:szCs w:val="21"/>
                      <w:lang w:eastAsia="zh-CN"/>
                    </w:rPr>
                  </w:pPr>
                  <w:r>
                    <w:rPr>
                      <w:rFonts w:hint="eastAsia" w:cs="Times New Roman"/>
                      <w:color w:val="auto"/>
                      <w:sz w:val="21"/>
                      <w:szCs w:val="21"/>
                      <w:lang w:val="en-US" w:eastAsia="zh-CN"/>
                    </w:rPr>
                    <w:t>/</w:t>
                  </w:r>
                </w:p>
              </w:tc>
              <w:tc>
                <w:tcPr>
                  <w:tcW w:w="1053" w:type="dxa"/>
                  <w:tcBorders>
                    <w:tl2br w:val="nil"/>
                    <w:tr2bl w:val="nil"/>
                  </w:tcBorders>
                  <w:vAlign w:val="center"/>
                </w:tcPr>
                <w:p>
                  <w:pPr>
                    <w:pStyle w:val="65"/>
                    <w:rPr>
                      <w:rFonts w:hint="eastAsia" w:ascii="Times New Roman" w:hAnsi="Times New Roman" w:eastAsia="宋体" w:cs="Times New Roman"/>
                      <w:color w:val="auto"/>
                      <w:sz w:val="21"/>
                      <w:szCs w:val="21"/>
                      <w:lang w:eastAsia="zh-CN"/>
                    </w:rPr>
                  </w:pPr>
                  <w:r>
                    <w:rPr>
                      <w:rFonts w:hint="eastAsia" w:cs="Times New Roman"/>
                      <w:color w:val="auto"/>
                      <w:sz w:val="21"/>
                      <w:szCs w:val="21"/>
                      <w:lang w:val="en-US" w:eastAsia="zh-CN"/>
                    </w:rPr>
                    <w:t>/</w:t>
                  </w:r>
                </w:p>
              </w:tc>
              <w:tc>
                <w:tcPr>
                  <w:tcW w:w="1932" w:type="dxa"/>
                  <w:tcBorders>
                    <w:tl2br w:val="nil"/>
                    <w:tr2bl w:val="nil"/>
                  </w:tcBorders>
                  <w:vAlign w:val="center"/>
                </w:tcPr>
                <w:p>
                  <w:pPr>
                    <w:pStyle w:val="65"/>
                    <w:rPr>
                      <w:rFonts w:hint="eastAsia" w:ascii="Times New Roman" w:hAnsi="Times New Roman" w:eastAsia="宋体" w:cs="Times New Roman"/>
                      <w:color w:val="auto"/>
                      <w:sz w:val="21"/>
                      <w:szCs w:val="21"/>
                      <w:lang w:eastAsia="zh-CN"/>
                    </w:rPr>
                  </w:pPr>
                  <w:r>
                    <w:rPr>
                      <w:rFonts w:hint="eastAsia" w:cs="Times New Roman"/>
                      <w:color w:val="auto"/>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969" w:type="dxa"/>
                  <w:tcBorders>
                    <w:tl2br w:val="nil"/>
                    <w:tr2bl w:val="nil"/>
                  </w:tcBorders>
                  <w:vAlign w:val="center"/>
                </w:tcPr>
                <w:p>
                  <w:pPr>
                    <w:pStyle w:val="65"/>
                    <w:rPr>
                      <w:rFonts w:hint="eastAsia" w:cs="Times New Roman"/>
                      <w:color w:val="auto"/>
                      <w:sz w:val="21"/>
                      <w:szCs w:val="21"/>
                      <w:lang w:eastAsia="zh-CN"/>
                    </w:rPr>
                  </w:pPr>
                  <w:r>
                    <w:rPr>
                      <w:rFonts w:hint="eastAsia" w:cs="Times New Roman"/>
                      <w:color w:val="auto"/>
                      <w:sz w:val="21"/>
                      <w:szCs w:val="21"/>
                      <w:lang w:eastAsia="zh-CN"/>
                    </w:rPr>
                    <w:t>地下水</w:t>
                  </w:r>
                </w:p>
              </w:tc>
              <w:tc>
                <w:tcPr>
                  <w:tcW w:w="1213" w:type="dxa"/>
                  <w:tcBorders>
                    <w:tl2br w:val="nil"/>
                    <w:tr2bl w:val="nil"/>
                  </w:tcBorders>
                  <w:vAlign w:val="center"/>
                </w:tcPr>
                <w:p>
                  <w:pPr>
                    <w:pStyle w:val="65"/>
                    <w:rPr>
                      <w:rFonts w:hint="default" w:cs="Times New Roman"/>
                      <w:color w:val="auto"/>
                      <w:sz w:val="21"/>
                      <w:szCs w:val="21"/>
                      <w:lang w:val="en-US" w:eastAsia="zh-CN"/>
                    </w:rPr>
                  </w:pPr>
                  <w:r>
                    <w:rPr>
                      <w:rFonts w:hint="eastAsia" w:cs="Times New Roman"/>
                      <w:color w:val="auto"/>
                      <w:sz w:val="21"/>
                      <w:szCs w:val="21"/>
                      <w:lang w:val="en-US" w:eastAsia="zh-CN"/>
                    </w:rPr>
                    <w:t>/</w:t>
                  </w:r>
                </w:p>
              </w:tc>
              <w:tc>
                <w:tcPr>
                  <w:tcW w:w="1452" w:type="dxa"/>
                  <w:tcBorders>
                    <w:tl2br w:val="nil"/>
                    <w:tr2bl w:val="nil"/>
                  </w:tcBorders>
                  <w:vAlign w:val="center"/>
                </w:tcPr>
                <w:p>
                  <w:pPr>
                    <w:pStyle w:val="65"/>
                    <w:rPr>
                      <w:rFonts w:hint="default" w:cs="Times New Roman"/>
                      <w:color w:val="auto"/>
                      <w:sz w:val="21"/>
                      <w:szCs w:val="21"/>
                      <w:lang w:val="en-US" w:eastAsia="zh-CN"/>
                    </w:rPr>
                  </w:pPr>
                  <w:r>
                    <w:rPr>
                      <w:rFonts w:hint="eastAsia" w:cs="Times New Roman"/>
                      <w:color w:val="auto"/>
                      <w:sz w:val="21"/>
                      <w:szCs w:val="21"/>
                      <w:lang w:val="en-US" w:eastAsia="zh-CN"/>
                    </w:rPr>
                    <w:t>/</w:t>
                  </w:r>
                </w:p>
              </w:tc>
              <w:tc>
                <w:tcPr>
                  <w:tcW w:w="1338" w:type="dxa"/>
                  <w:tcBorders>
                    <w:tl2br w:val="nil"/>
                    <w:tr2bl w:val="nil"/>
                  </w:tcBorders>
                  <w:vAlign w:val="center"/>
                </w:tcPr>
                <w:p>
                  <w:pPr>
                    <w:pStyle w:val="65"/>
                    <w:rPr>
                      <w:rFonts w:hint="eastAsia"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w:t>
                  </w:r>
                </w:p>
              </w:tc>
              <w:tc>
                <w:tcPr>
                  <w:tcW w:w="1053" w:type="dxa"/>
                  <w:tcBorders>
                    <w:tl2br w:val="nil"/>
                    <w:tr2bl w:val="nil"/>
                  </w:tcBorders>
                  <w:vAlign w:val="center"/>
                </w:tcPr>
                <w:p>
                  <w:pPr>
                    <w:pStyle w:val="65"/>
                    <w:rPr>
                      <w:rFonts w:hint="default" w:cs="Times New Roman"/>
                      <w:color w:val="auto"/>
                      <w:sz w:val="21"/>
                      <w:szCs w:val="21"/>
                      <w:lang w:val="en-US" w:eastAsia="zh-CN"/>
                    </w:rPr>
                  </w:pPr>
                  <w:r>
                    <w:rPr>
                      <w:rFonts w:hint="eastAsia" w:cs="Times New Roman"/>
                      <w:color w:val="auto"/>
                      <w:sz w:val="21"/>
                      <w:szCs w:val="21"/>
                      <w:lang w:val="en-US" w:eastAsia="zh-CN"/>
                    </w:rPr>
                    <w:t>/</w:t>
                  </w:r>
                </w:p>
              </w:tc>
              <w:tc>
                <w:tcPr>
                  <w:tcW w:w="1932" w:type="dxa"/>
                  <w:tcBorders>
                    <w:tl2br w:val="nil"/>
                    <w:tr2bl w:val="nil"/>
                  </w:tcBorders>
                  <w:vAlign w:val="center"/>
                </w:tcPr>
                <w:p>
                  <w:pPr>
                    <w:pStyle w:val="65"/>
                    <w:rPr>
                      <w:rFonts w:hint="eastAsia"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969" w:type="dxa"/>
                  <w:vMerge w:val="restart"/>
                  <w:tcBorders>
                    <w:tl2br w:val="nil"/>
                    <w:tr2bl w:val="nil"/>
                  </w:tcBorders>
                  <w:vAlign w:val="center"/>
                </w:tcPr>
                <w:p>
                  <w:pPr>
                    <w:pStyle w:val="65"/>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生态环境</w:t>
                  </w:r>
                </w:p>
              </w:tc>
              <w:tc>
                <w:tcPr>
                  <w:tcW w:w="1213" w:type="dxa"/>
                  <w:tcBorders>
                    <w:tl2br w:val="nil"/>
                    <w:tr2bl w:val="nil"/>
                  </w:tcBorders>
                  <w:vAlign w:val="center"/>
                </w:tcPr>
                <w:p>
                  <w:pPr>
                    <w:pStyle w:val="65"/>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周边植被</w:t>
                  </w:r>
                </w:p>
              </w:tc>
              <w:tc>
                <w:tcPr>
                  <w:tcW w:w="1452" w:type="dxa"/>
                  <w:tcBorders>
                    <w:tl2br w:val="nil"/>
                    <w:tr2bl w:val="nil"/>
                  </w:tcBorders>
                  <w:vAlign w:val="center"/>
                </w:tcPr>
                <w:p>
                  <w:pPr>
                    <w:pStyle w:val="65"/>
                    <w:rPr>
                      <w:rFonts w:hint="default" w:ascii="Times New Roman" w:hAnsi="Times New Roman" w:cs="Times New Roman"/>
                      <w:color w:val="auto"/>
                      <w:sz w:val="21"/>
                      <w:szCs w:val="21"/>
                    </w:rPr>
                  </w:pPr>
                  <w:r>
                    <w:rPr>
                      <w:rFonts w:hint="default" w:ascii="Times New Roman" w:hAnsi="Times New Roman" w:cs="Times New Roman"/>
                      <w:color w:val="auto"/>
                      <w:sz w:val="21"/>
                      <w:szCs w:val="21"/>
                    </w:rPr>
                    <w:t>/</w:t>
                  </w:r>
                </w:p>
              </w:tc>
              <w:tc>
                <w:tcPr>
                  <w:tcW w:w="1338" w:type="dxa"/>
                  <w:tcBorders>
                    <w:tl2br w:val="nil"/>
                    <w:tr2bl w:val="nil"/>
                  </w:tcBorders>
                  <w:vAlign w:val="center"/>
                </w:tcPr>
                <w:p>
                  <w:pPr>
                    <w:pStyle w:val="65"/>
                    <w:rPr>
                      <w:rFonts w:hint="default" w:ascii="Times New Roman" w:hAnsi="Times New Roman" w:cs="Times New Roman"/>
                      <w:color w:val="auto"/>
                      <w:sz w:val="21"/>
                      <w:szCs w:val="21"/>
                    </w:rPr>
                  </w:pPr>
                  <w:r>
                    <w:rPr>
                      <w:rFonts w:hint="default" w:ascii="Times New Roman" w:hAnsi="Times New Roman" w:cs="Times New Roman"/>
                      <w:color w:val="auto"/>
                      <w:sz w:val="21"/>
                      <w:szCs w:val="21"/>
                    </w:rPr>
                    <w:t>项目区周边</w:t>
                  </w:r>
                </w:p>
              </w:tc>
              <w:tc>
                <w:tcPr>
                  <w:tcW w:w="1053" w:type="dxa"/>
                  <w:vMerge w:val="restart"/>
                  <w:tcBorders>
                    <w:tl2br w:val="nil"/>
                    <w:tr2bl w:val="nil"/>
                  </w:tcBorders>
                  <w:vAlign w:val="center"/>
                </w:tcPr>
                <w:p>
                  <w:pPr>
                    <w:pStyle w:val="65"/>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临时占地</w:t>
                  </w:r>
                </w:p>
              </w:tc>
              <w:tc>
                <w:tcPr>
                  <w:tcW w:w="1932" w:type="dxa"/>
                  <w:vMerge w:val="restart"/>
                  <w:tcBorders>
                    <w:tl2br w:val="nil"/>
                    <w:tr2bl w:val="nil"/>
                  </w:tcBorders>
                  <w:vAlign w:val="center"/>
                </w:tcPr>
                <w:p>
                  <w:pPr>
                    <w:pStyle w:val="65"/>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严禁扩大施工范围，破坏占地范围以外的植被</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95" w:hRule="atLeast"/>
                <w:jc w:val="center"/>
              </w:trPr>
              <w:tc>
                <w:tcPr>
                  <w:tcW w:w="969" w:type="dxa"/>
                  <w:vMerge w:val="continue"/>
                  <w:tcBorders>
                    <w:tl2br w:val="nil"/>
                    <w:tr2bl w:val="nil"/>
                  </w:tcBorders>
                  <w:vAlign w:val="center"/>
                </w:tcPr>
                <w:p>
                  <w:pPr>
                    <w:pStyle w:val="65"/>
                    <w:rPr>
                      <w:rFonts w:hint="default" w:ascii="Times New Roman" w:hAnsi="Times New Roman" w:cs="Times New Roman"/>
                      <w:color w:val="auto"/>
                      <w:sz w:val="21"/>
                      <w:szCs w:val="21"/>
                    </w:rPr>
                  </w:pPr>
                </w:p>
              </w:tc>
              <w:tc>
                <w:tcPr>
                  <w:tcW w:w="1213" w:type="dxa"/>
                  <w:tcBorders>
                    <w:tl2br w:val="nil"/>
                    <w:tr2bl w:val="nil"/>
                  </w:tcBorders>
                  <w:vAlign w:val="center"/>
                </w:tcPr>
                <w:p>
                  <w:pPr>
                    <w:pStyle w:val="65"/>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周边耕地</w:t>
                  </w:r>
                </w:p>
              </w:tc>
              <w:tc>
                <w:tcPr>
                  <w:tcW w:w="1452" w:type="dxa"/>
                  <w:tcBorders>
                    <w:tl2br w:val="nil"/>
                    <w:tr2bl w:val="nil"/>
                  </w:tcBorders>
                  <w:vAlign w:val="center"/>
                </w:tcPr>
                <w:p>
                  <w:pPr>
                    <w:pStyle w:val="65"/>
                    <w:rPr>
                      <w:rFonts w:hint="default" w:ascii="Times New Roman" w:hAnsi="Times New Roman" w:cs="Times New Roman"/>
                      <w:color w:val="auto"/>
                      <w:sz w:val="21"/>
                      <w:szCs w:val="21"/>
                    </w:rPr>
                  </w:pPr>
                  <w:r>
                    <w:rPr>
                      <w:rFonts w:hint="default" w:ascii="Times New Roman" w:hAnsi="Times New Roman" w:cs="Times New Roman"/>
                      <w:color w:val="auto"/>
                      <w:sz w:val="21"/>
                      <w:szCs w:val="21"/>
                    </w:rPr>
                    <w:t>/</w:t>
                  </w:r>
                </w:p>
              </w:tc>
              <w:tc>
                <w:tcPr>
                  <w:tcW w:w="1338" w:type="dxa"/>
                  <w:tcBorders>
                    <w:tl2br w:val="nil"/>
                    <w:tr2bl w:val="nil"/>
                  </w:tcBorders>
                  <w:vAlign w:val="center"/>
                </w:tcPr>
                <w:p>
                  <w:pPr>
                    <w:pStyle w:val="65"/>
                    <w:rPr>
                      <w:rFonts w:hint="default" w:ascii="Times New Roman" w:hAnsi="Times New Roman" w:cs="Times New Roman"/>
                      <w:color w:val="auto"/>
                      <w:sz w:val="21"/>
                      <w:szCs w:val="21"/>
                    </w:rPr>
                  </w:pPr>
                  <w:r>
                    <w:rPr>
                      <w:rFonts w:hint="default" w:ascii="Times New Roman" w:hAnsi="Times New Roman" w:cs="Times New Roman"/>
                      <w:color w:val="auto"/>
                      <w:sz w:val="21"/>
                      <w:szCs w:val="21"/>
                    </w:rPr>
                    <w:t>项目区周边</w:t>
                  </w:r>
                </w:p>
              </w:tc>
              <w:tc>
                <w:tcPr>
                  <w:tcW w:w="1053" w:type="dxa"/>
                  <w:vMerge w:val="continue"/>
                  <w:tcBorders>
                    <w:tl2br w:val="nil"/>
                    <w:tr2bl w:val="nil"/>
                  </w:tcBorders>
                  <w:vAlign w:val="center"/>
                </w:tcPr>
                <w:p>
                  <w:pPr>
                    <w:pStyle w:val="65"/>
                    <w:rPr>
                      <w:rFonts w:hint="default" w:ascii="Times New Roman" w:hAnsi="Times New Roman" w:cs="Times New Roman"/>
                      <w:color w:val="auto"/>
                      <w:sz w:val="21"/>
                      <w:szCs w:val="21"/>
                    </w:rPr>
                  </w:pPr>
                </w:p>
              </w:tc>
              <w:tc>
                <w:tcPr>
                  <w:tcW w:w="1932" w:type="dxa"/>
                  <w:vMerge w:val="continue"/>
                  <w:tcBorders>
                    <w:tl2br w:val="nil"/>
                    <w:tr2bl w:val="nil"/>
                  </w:tcBorders>
                  <w:vAlign w:val="center"/>
                </w:tcPr>
                <w:p>
                  <w:pPr>
                    <w:pStyle w:val="65"/>
                    <w:rPr>
                      <w:rFonts w:hint="default" w:ascii="Times New Roman" w:hAnsi="Times New Roman" w:cs="Times New Roman"/>
                      <w:color w:val="auto"/>
                      <w:sz w:val="21"/>
                      <w:szCs w:val="21"/>
                    </w:rPr>
                  </w:pPr>
                </w:p>
              </w:tc>
            </w:tr>
          </w:tbl>
          <w:p>
            <w:pPr>
              <w:pStyle w:val="15"/>
              <w:adjustRightInd w:val="0"/>
              <w:spacing w:line="360" w:lineRule="auto"/>
              <w:ind w:firstLine="360" w:firstLineChars="200"/>
              <w:jc w:val="both"/>
              <w:rPr>
                <w:rFonts w:hint="default" w:ascii="Times New Roman" w:hAnsi="Times New Roman" w:cs="Times New Roman"/>
                <w:color w:val="auto"/>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04"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评价</w:t>
            </w:r>
          </w:p>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标准</w:t>
            </w:r>
          </w:p>
        </w:tc>
        <w:tc>
          <w:tcPr>
            <w:tcW w:w="8253"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before="157" w:beforeLines="50" w:line="360" w:lineRule="auto"/>
              <w:ind w:firstLine="482" w:firstLineChars="200"/>
              <w:textAlignment w:val="auto"/>
              <w:rPr>
                <w:rFonts w:hint="eastAsia" w:ascii="Times New Roman" w:hAnsi="Times New Roman" w:eastAsia="宋体" w:cs="Times New Roman"/>
                <w:b/>
                <w:bCs/>
                <w:color w:val="auto"/>
                <w:kern w:val="0"/>
                <w:sz w:val="24"/>
                <w:lang w:eastAsia="zh-CN"/>
              </w:rPr>
            </w:pPr>
            <w:r>
              <w:rPr>
                <w:rFonts w:hint="eastAsia" w:cs="Times New Roman"/>
                <w:b/>
                <w:bCs/>
                <w:color w:val="auto"/>
                <w:kern w:val="0"/>
                <w:sz w:val="24"/>
                <w:lang w:eastAsia="zh-CN"/>
              </w:rPr>
              <w:t>一、环境质量标准</w:t>
            </w:r>
          </w:p>
          <w:p>
            <w:pPr>
              <w:numPr>
                <w:ilvl w:val="0"/>
                <w:numId w:val="6"/>
              </w:numPr>
              <w:adjustRightInd w:val="0"/>
              <w:snapToGrid w:val="0"/>
              <w:spacing w:line="360" w:lineRule="auto"/>
              <w:ind w:firstLine="480" w:firstLineChars="200"/>
              <w:rPr>
                <w:rFonts w:hint="default" w:ascii="Times New Roman" w:hAnsi="Times New Roman" w:cs="Times New Roman"/>
                <w:b/>
                <w:color w:val="auto"/>
                <w:szCs w:val="21"/>
                <w:lang w:bidi="ar"/>
              </w:rPr>
            </w:pPr>
            <w:r>
              <w:rPr>
                <w:rFonts w:hint="default" w:ascii="Times New Roman" w:hAnsi="Times New Roman" w:cs="Times New Roman"/>
                <w:color w:val="auto"/>
                <w:kern w:val="0"/>
                <w:sz w:val="24"/>
              </w:rPr>
              <w:t>本项目所在区域环境空气质量执行《环境空气质量标准》（GB3095-2012）</w:t>
            </w:r>
            <w:r>
              <w:rPr>
                <w:rFonts w:hint="eastAsia" w:cs="Times New Roman"/>
                <w:color w:val="auto"/>
                <w:kern w:val="0"/>
                <w:sz w:val="24"/>
                <w:lang w:eastAsia="zh-CN"/>
              </w:rPr>
              <w:t>及其修改单中</w:t>
            </w:r>
            <w:r>
              <w:rPr>
                <w:rFonts w:hint="default" w:ascii="Times New Roman" w:hAnsi="Times New Roman" w:cs="Times New Roman"/>
                <w:color w:val="auto"/>
                <w:kern w:val="0"/>
                <w:sz w:val="24"/>
              </w:rPr>
              <w:t>二级标准；</w:t>
            </w:r>
          </w:p>
          <w:p>
            <w:pPr>
              <w:kinsoku w:val="0"/>
              <w:adjustRightInd w:val="0"/>
              <w:snapToGrid w:val="0"/>
              <w:jc w:val="center"/>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表3-</w:t>
            </w:r>
            <w:r>
              <w:rPr>
                <w:rFonts w:hint="eastAsia" w:cs="Times New Roman"/>
                <w:b/>
                <w:color w:val="auto"/>
                <w:szCs w:val="21"/>
                <w:lang w:val="en-US" w:eastAsia="zh-CN" w:bidi="ar"/>
              </w:rPr>
              <w:t>4</w:t>
            </w:r>
            <w:r>
              <w:rPr>
                <w:rFonts w:hint="default" w:ascii="Times New Roman" w:hAnsi="Times New Roman" w:cs="Times New Roman"/>
                <w:b/>
                <w:color w:val="auto"/>
                <w:szCs w:val="21"/>
                <w:lang w:bidi="ar"/>
              </w:rPr>
              <w:t>项目环境空气质量标准</w:t>
            </w:r>
          </w:p>
          <w:tbl>
            <w:tblPr>
              <w:tblStyle w:val="24"/>
              <w:tblW w:w="79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927"/>
              <w:gridCol w:w="888"/>
              <w:gridCol w:w="1503"/>
              <w:gridCol w:w="1109"/>
              <w:gridCol w:w="1077"/>
              <w:gridCol w:w="243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874" w:type="dxa"/>
                  <w:vMerge w:val="restart"/>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污染物名称</w:t>
                  </w:r>
                </w:p>
              </w:tc>
              <w:tc>
                <w:tcPr>
                  <w:tcW w:w="4315" w:type="dxa"/>
                  <w:gridSpan w:val="4"/>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标准值</w:t>
                  </w:r>
                </w:p>
              </w:tc>
              <w:tc>
                <w:tcPr>
                  <w:tcW w:w="2294" w:type="dxa"/>
                  <w:vMerge w:val="restart"/>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依据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874" w:type="dxa"/>
                  <w:vMerge w:val="continue"/>
                  <w:tcBorders>
                    <w:tl2br w:val="nil"/>
                    <w:tr2bl w:val="nil"/>
                  </w:tcBorders>
                  <w:vAlign w:val="center"/>
                </w:tcPr>
                <w:p>
                  <w:pPr>
                    <w:adjustRightInd w:val="0"/>
                    <w:snapToGrid w:val="0"/>
                    <w:jc w:val="center"/>
                    <w:rPr>
                      <w:rFonts w:hint="default" w:ascii="Times New Roman" w:hAnsi="Times New Roman" w:cs="Times New Roman"/>
                      <w:b/>
                      <w:bCs/>
                      <w:color w:val="auto"/>
                      <w:szCs w:val="21"/>
                    </w:rPr>
                  </w:pPr>
                </w:p>
              </w:tc>
              <w:tc>
                <w:tcPr>
                  <w:tcW w:w="837" w:type="dxa"/>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年平均</w:t>
                  </w:r>
                </w:p>
              </w:tc>
              <w:tc>
                <w:tcPr>
                  <w:tcW w:w="1417" w:type="dxa"/>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24</w:t>
                  </w:r>
                </w:p>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小时平均</w:t>
                  </w:r>
                </w:p>
              </w:tc>
              <w:tc>
                <w:tcPr>
                  <w:tcW w:w="1046" w:type="dxa"/>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1小时</w:t>
                  </w:r>
                </w:p>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平均</w:t>
                  </w:r>
                </w:p>
              </w:tc>
              <w:tc>
                <w:tcPr>
                  <w:tcW w:w="1015" w:type="dxa"/>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单位</w:t>
                  </w:r>
                </w:p>
              </w:tc>
              <w:tc>
                <w:tcPr>
                  <w:tcW w:w="2294" w:type="dxa"/>
                  <w:vMerge w:val="continue"/>
                  <w:tcBorders>
                    <w:tl2br w:val="nil"/>
                    <w:tr2bl w:val="nil"/>
                  </w:tcBorders>
                  <w:vAlign w:val="center"/>
                </w:tcPr>
                <w:p>
                  <w:pPr>
                    <w:adjustRightInd w:val="0"/>
                    <w:snapToGrid w:val="0"/>
                    <w:jc w:val="center"/>
                    <w:rPr>
                      <w:rFonts w:hint="default" w:ascii="Times New Roman" w:hAnsi="Times New Roman" w:cs="Times New Roman"/>
                      <w:b/>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874"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SO</w:t>
                  </w:r>
                  <w:r>
                    <w:rPr>
                      <w:rFonts w:hint="default" w:ascii="Times New Roman" w:hAnsi="Times New Roman" w:cs="Times New Roman"/>
                      <w:color w:val="auto"/>
                      <w:szCs w:val="21"/>
                      <w:vertAlign w:val="subscript"/>
                    </w:rPr>
                    <w:t>2</w:t>
                  </w:r>
                </w:p>
              </w:tc>
              <w:tc>
                <w:tcPr>
                  <w:tcW w:w="83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60</w:t>
                  </w:r>
                </w:p>
              </w:tc>
              <w:tc>
                <w:tcPr>
                  <w:tcW w:w="141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150</w:t>
                  </w:r>
                </w:p>
              </w:tc>
              <w:tc>
                <w:tcPr>
                  <w:tcW w:w="1046"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500</w:t>
                  </w:r>
                </w:p>
              </w:tc>
              <w:tc>
                <w:tcPr>
                  <w:tcW w:w="1015" w:type="dxa"/>
                  <w:vMerge w:val="restart"/>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μg/m³</w:t>
                  </w:r>
                </w:p>
              </w:tc>
              <w:tc>
                <w:tcPr>
                  <w:tcW w:w="2294" w:type="dxa"/>
                  <w:vMerge w:val="restart"/>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《环境空气质量标准》（GB3095-2012）及修改单二级标准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874"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NO</w:t>
                  </w:r>
                  <w:r>
                    <w:rPr>
                      <w:rFonts w:hint="default" w:ascii="Times New Roman" w:hAnsi="Times New Roman" w:cs="Times New Roman"/>
                      <w:color w:val="auto"/>
                      <w:szCs w:val="21"/>
                      <w:vertAlign w:val="subscript"/>
                    </w:rPr>
                    <w:t>2</w:t>
                  </w:r>
                </w:p>
              </w:tc>
              <w:tc>
                <w:tcPr>
                  <w:tcW w:w="83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40</w:t>
                  </w:r>
                </w:p>
              </w:tc>
              <w:tc>
                <w:tcPr>
                  <w:tcW w:w="141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80</w:t>
                  </w:r>
                </w:p>
              </w:tc>
              <w:tc>
                <w:tcPr>
                  <w:tcW w:w="1046"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200</w:t>
                  </w:r>
                </w:p>
              </w:tc>
              <w:tc>
                <w:tcPr>
                  <w:tcW w:w="1015"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c>
                <w:tcPr>
                  <w:tcW w:w="2294"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874"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PM</w:t>
                  </w:r>
                  <w:r>
                    <w:rPr>
                      <w:rFonts w:hint="default" w:ascii="Times New Roman" w:hAnsi="Times New Roman" w:cs="Times New Roman"/>
                      <w:color w:val="auto"/>
                      <w:szCs w:val="21"/>
                      <w:vertAlign w:val="subscript"/>
                    </w:rPr>
                    <w:t>10</w:t>
                  </w:r>
                </w:p>
              </w:tc>
              <w:tc>
                <w:tcPr>
                  <w:tcW w:w="83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70</w:t>
                  </w:r>
                </w:p>
              </w:tc>
              <w:tc>
                <w:tcPr>
                  <w:tcW w:w="141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150</w:t>
                  </w:r>
                </w:p>
              </w:tc>
              <w:tc>
                <w:tcPr>
                  <w:tcW w:w="1046"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015"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c>
                <w:tcPr>
                  <w:tcW w:w="2294"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874"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PM</w:t>
                  </w:r>
                  <w:r>
                    <w:rPr>
                      <w:rFonts w:hint="default" w:ascii="Times New Roman" w:hAnsi="Times New Roman" w:cs="Times New Roman"/>
                      <w:color w:val="auto"/>
                      <w:szCs w:val="21"/>
                      <w:vertAlign w:val="subscript"/>
                    </w:rPr>
                    <w:t>2.5</w:t>
                  </w:r>
                </w:p>
              </w:tc>
              <w:tc>
                <w:tcPr>
                  <w:tcW w:w="83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35</w:t>
                  </w:r>
                </w:p>
              </w:tc>
              <w:tc>
                <w:tcPr>
                  <w:tcW w:w="141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75</w:t>
                  </w:r>
                </w:p>
              </w:tc>
              <w:tc>
                <w:tcPr>
                  <w:tcW w:w="1046"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015"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c>
                <w:tcPr>
                  <w:tcW w:w="2294"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874"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O</w:t>
                  </w:r>
                  <w:r>
                    <w:rPr>
                      <w:rFonts w:hint="default" w:ascii="Times New Roman" w:hAnsi="Times New Roman" w:cs="Times New Roman"/>
                      <w:color w:val="auto"/>
                      <w:szCs w:val="21"/>
                      <w:vertAlign w:val="subscript"/>
                    </w:rPr>
                    <w:t>3</w:t>
                  </w:r>
                </w:p>
              </w:tc>
              <w:tc>
                <w:tcPr>
                  <w:tcW w:w="83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41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160（日最大8小时平均）</w:t>
                  </w:r>
                </w:p>
              </w:tc>
              <w:tc>
                <w:tcPr>
                  <w:tcW w:w="1046"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200</w:t>
                  </w:r>
                </w:p>
              </w:tc>
              <w:tc>
                <w:tcPr>
                  <w:tcW w:w="1015"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c>
                <w:tcPr>
                  <w:tcW w:w="2294"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874"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CO</w:t>
                  </w:r>
                </w:p>
              </w:tc>
              <w:tc>
                <w:tcPr>
                  <w:tcW w:w="83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41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4</w:t>
                  </w:r>
                </w:p>
              </w:tc>
              <w:tc>
                <w:tcPr>
                  <w:tcW w:w="1046"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10</w:t>
                  </w:r>
                </w:p>
              </w:tc>
              <w:tc>
                <w:tcPr>
                  <w:tcW w:w="1015"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mg/m³</w:t>
                  </w:r>
                </w:p>
              </w:tc>
              <w:tc>
                <w:tcPr>
                  <w:tcW w:w="2294"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874"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TSP</w:t>
                  </w:r>
                </w:p>
              </w:tc>
              <w:tc>
                <w:tcPr>
                  <w:tcW w:w="83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200</w:t>
                  </w:r>
                </w:p>
              </w:tc>
              <w:tc>
                <w:tcPr>
                  <w:tcW w:w="141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300</w:t>
                  </w:r>
                </w:p>
              </w:tc>
              <w:tc>
                <w:tcPr>
                  <w:tcW w:w="1046"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015"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μg/m³</w:t>
                  </w:r>
                </w:p>
              </w:tc>
              <w:tc>
                <w:tcPr>
                  <w:tcW w:w="2294"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r>
          </w:tbl>
          <w:p>
            <w:pPr>
              <w:numPr>
                <w:ilvl w:val="0"/>
                <w:numId w:val="6"/>
              </w:numPr>
              <w:adjustRightInd w:val="0"/>
              <w:snapToGrid w:val="0"/>
              <w:spacing w:line="360" w:lineRule="auto"/>
              <w:ind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项目区域执行《声环境质量标准》（GB3096-2008）</w:t>
            </w:r>
            <w:r>
              <w:rPr>
                <w:rFonts w:hint="eastAsia" w:cs="Times New Roman"/>
                <w:color w:val="auto"/>
                <w:kern w:val="0"/>
                <w:sz w:val="24"/>
                <w:lang w:val="en-US" w:eastAsia="zh-CN"/>
              </w:rPr>
              <w:t>1</w:t>
            </w:r>
            <w:r>
              <w:rPr>
                <w:rFonts w:hint="default" w:ascii="Times New Roman" w:hAnsi="Times New Roman" w:cs="Times New Roman"/>
                <w:color w:val="auto"/>
                <w:kern w:val="0"/>
                <w:sz w:val="24"/>
              </w:rPr>
              <w:t>类标准。</w:t>
            </w:r>
          </w:p>
          <w:p>
            <w:pPr>
              <w:kinsoku w:val="0"/>
              <w:adjustRightInd w:val="0"/>
              <w:snapToGrid w:val="0"/>
              <w:jc w:val="center"/>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表3-</w:t>
            </w:r>
            <w:r>
              <w:rPr>
                <w:rFonts w:hint="eastAsia" w:cs="Times New Roman"/>
                <w:b/>
                <w:color w:val="auto"/>
                <w:szCs w:val="21"/>
                <w:lang w:val="en-US" w:eastAsia="zh-CN" w:bidi="ar"/>
              </w:rPr>
              <w:t>5</w:t>
            </w:r>
            <w:r>
              <w:rPr>
                <w:rFonts w:hint="default" w:ascii="Times New Roman" w:hAnsi="Times New Roman" w:cs="Times New Roman"/>
                <w:b/>
                <w:color w:val="auto"/>
                <w:szCs w:val="21"/>
                <w:lang w:bidi="ar"/>
              </w:rPr>
              <w:t>项目声环境质量标准单位：dB（A）</w:t>
            </w:r>
          </w:p>
          <w:tbl>
            <w:tblPr>
              <w:tblStyle w:val="24"/>
              <w:tblW w:w="79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2087"/>
              <w:gridCol w:w="3146"/>
              <w:gridCol w:w="270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14" w:type="pct"/>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类别</w:t>
                  </w:r>
                </w:p>
              </w:tc>
              <w:tc>
                <w:tcPr>
                  <w:tcW w:w="1981" w:type="pct"/>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昼间</w:t>
                  </w:r>
                </w:p>
              </w:tc>
              <w:tc>
                <w:tcPr>
                  <w:tcW w:w="1703" w:type="pct"/>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14" w:type="pct"/>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bCs/>
                      <w:color w:val="auto"/>
                      <w:sz w:val="21"/>
                      <w:szCs w:val="21"/>
                    </w:rPr>
                    <w:t>1类</w:t>
                  </w:r>
                </w:p>
              </w:tc>
              <w:tc>
                <w:tcPr>
                  <w:tcW w:w="1981" w:type="pct"/>
                  <w:tcBorders>
                    <w:tl2br w:val="nil"/>
                    <w:tr2bl w:val="nil"/>
                  </w:tcBorders>
                  <w:vAlign w:val="center"/>
                </w:tcPr>
                <w:p>
                  <w:pPr>
                    <w:adjustRightInd w:val="0"/>
                    <w:snapToGrid w:val="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55</w:t>
                  </w:r>
                </w:p>
              </w:tc>
              <w:tc>
                <w:tcPr>
                  <w:tcW w:w="1703" w:type="pct"/>
                  <w:tcBorders>
                    <w:tl2br w:val="nil"/>
                    <w:tr2bl w:val="nil"/>
                  </w:tcBorders>
                  <w:vAlign w:val="center"/>
                </w:tcPr>
                <w:p>
                  <w:pPr>
                    <w:adjustRightInd w:val="0"/>
                    <w:snapToGrid w:val="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45</w:t>
                  </w:r>
                </w:p>
              </w:tc>
            </w:tr>
          </w:tbl>
          <w:p>
            <w:pPr>
              <w:keepNext w:val="0"/>
              <w:keepLines w:val="0"/>
              <w:pageBreakBefore w:val="0"/>
              <w:widowControl w:val="0"/>
              <w:numPr>
                <w:ilvl w:val="0"/>
                <w:numId w:val="6"/>
              </w:numPr>
              <w:kinsoku/>
              <w:wordWrap/>
              <w:overflowPunct/>
              <w:topLinePunct w:val="0"/>
              <w:autoSpaceDE/>
              <w:autoSpaceDN/>
              <w:bidi w:val="0"/>
              <w:adjustRightInd w:val="0"/>
              <w:snapToGrid w:val="0"/>
              <w:spacing w:before="157" w:beforeLines="50" w:line="360" w:lineRule="auto"/>
              <w:ind w:firstLine="480" w:firstLineChars="200"/>
              <w:textAlignment w:val="auto"/>
              <w:rPr>
                <w:rFonts w:hint="eastAsia" w:ascii="Times New Roman" w:hAnsi="Times New Roman" w:cs="Times New Roman"/>
                <w:color w:val="auto"/>
                <w:kern w:val="0"/>
                <w:sz w:val="24"/>
                <w:lang w:val="en-US" w:eastAsia="zh-CN"/>
              </w:rPr>
            </w:pPr>
            <w:r>
              <w:rPr>
                <w:rFonts w:hint="eastAsia" w:ascii="Times New Roman" w:hAnsi="Times New Roman" w:cs="Times New Roman"/>
                <w:color w:val="auto"/>
                <w:kern w:val="0"/>
                <w:sz w:val="24"/>
                <w:lang w:val="en-US" w:eastAsia="zh-CN"/>
              </w:rPr>
              <w:t>地表水环境</w:t>
            </w:r>
          </w:p>
          <w:p>
            <w:pPr>
              <w:adjustRightInd w:val="0"/>
              <w:snapToGrid w:val="0"/>
              <w:spacing w:line="360" w:lineRule="auto"/>
              <w:ind w:firstLine="480" w:firstLineChars="200"/>
              <w:rPr>
                <w:rFonts w:hint="eastAsia" w:cs="Times New Roman"/>
                <w:b/>
                <w:bCs/>
                <w:color w:val="auto"/>
                <w:kern w:val="0"/>
                <w:sz w:val="24"/>
                <w:lang w:eastAsia="zh-CN"/>
              </w:rPr>
            </w:pPr>
            <w:r>
              <w:rPr>
                <w:rFonts w:hint="eastAsia" w:hAnsi="宋体"/>
                <w:snapToGrid w:val="0"/>
                <w:color w:val="auto"/>
                <w:kern w:val="0"/>
                <w:sz w:val="24"/>
              </w:rPr>
              <w:t>项目地表水体主要为</w:t>
            </w:r>
            <w:r>
              <w:rPr>
                <w:rFonts w:hint="eastAsia" w:hAnsi="宋体"/>
                <w:snapToGrid w:val="0"/>
                <w:color w:val="auto"/>
                <w:kern w:val="0"/>
                <w:sz w:val="24"/>
                <w:lang w:val="en-US" w:eastAsia="zh-CN"/>
              </w:rPr>
              <w:t>折腰沟</w:t>
            </w:r>
            <w:r>
              <w:rPr>
                <w:rFonts w:hint="eastAsia" w:hAnsi="宋体"/>
                <w:snapToGrid w:val="0"/>
                <w:color w:val="auto"/>
                <w:kern w:val="0"/>
                <w:sz w:val="24"/>
              </w:rPr>
              <w:t>，为干沟，无地表水功能。</w:t>
            </w: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82" w:firstLineChars="200"/>
              <w:textAlignment w:val="auto"/>
              <w:rPr>
                <w:rFonts w:hint="default" w:ascii="Times New Roman" w:hAnsi="Times New Roman" w:cs="Times New Roman"/>
                <w:b/>
                <w:bCs/>
                <w:color w:val="auto"/>
                <w:kern w:val="0"/>
                <w:sz w:val="24"/>
              </w:rPr>
            </w:pPr>
            <w:r>
              <w:rPr>
                <w:rFonts w:hint="eastAsia" w:cs="Times New Roman"/>
                <w:b/>
                <w:bCs/>
                <w:color w:val="auto"/>
                <w:kern w:val="0"/>
                <w:sz w:val="24"/>
                <w:lang w:eastAsia="zh-CN"/>
              </w:rPr>
              <w:t>二、</w:t>
            </w:r>
            <w:r>
              <w:rPr>
                <w:rFonts w:hint="default" w:ascii="Times New Roman" w:hAnsi="Times New Roman" w:cs="Times New Roman"/>
                <w:b/>
                <w:bCs/>
                <w:color w:val="auto"/>
                <w:kern w:val="0"/>
                <w:sz w:val="24"/>
              </w:rPr>
              <w:t>污染物排放标准</w:t>
            </w:r>
          </w:p>
          <w:p>
            <w:pPr>
              <w:numPr>
                <w:ilvl w:val="0"/>
                <w:numId w:val="7"/>
              </w:numPr>
              <w:adjustRightInd w:val="0"/>
              <w:snapToGrid w:val="0"/>
              <w:spacing w:line="360" w:lineRule="auto"/>
              <w:ind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本项目施工期产生的废气执行《大气污染物综合排放标准》（GB16297-1996）</w:t>
            </w:r>
            <w:r>
              <w:rPr>
                <w:rFonts w:hint="eastAsia" w:cs="Times New Roman"/>
                <w:color w:val="auto"/>
                <w:kern w:val="0"/>
                <w:sz w:val="24"/>
                <w:lang w:eastAsia="zh-CN"/>
              </w:rPr>
              <w:t>表</w:t>
            </w:r>
            <w:r>
              <w:rPr>
                <w:rFonts w:hint="eastAsia" w:cs="Times New Roman"/>
                <w:color w:val="auto"/>
                <w:kern w:val="0"/>
                <w:sz w:val="24"/>
                <w:lang w:val="en-US" w:eastAsia="zh-CN"/>
              </w:rPr>
              <w:t>2</w:t>
            </w:r>
            <w:r>
              <w:rPr>
                <w:rFonts w:hint="default" w:ascii="Times New Roman" w:hAnsi="Times New Roman" w:cs="Times New Roman"/>
                <w:color w:val="auto"/>
                <w:kern w:val="0"/>
                <w:sz w:val="24"/>
              </w:rPr>
              <w:t>无组织排放标准；</w:t>
            </w:r>
          </w:p>
          <w:p>
            <w:pPr>
              <w:kinsoku w:val="0"/>
              <w:adjustRightInd w:val="0"/>
              <w:snapToGrid w:val="0"/>
              <w:jc w:val="center"/>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表3-</w:t>
            </w:r>
            <w:r>
              <w:rPr>
                <w:rFonts w:hint="eastAsia" w:cs="Times New Roman"/>
                <w:b/>
                <w:color w:val="auto"/>
                <w:szCs w:val="21"/>
                <w:lang w:val="en-US" w:eastAsia="zh-CN" w:bidi="ar"/>
              </w:rPr>
              <w:t>6</w:t>
            </w:r>
            <w:r>
              <w:rPr>
                <w:rFonts w:hint="default" w:ascii="Times New Roman" w:hAnsi="Times New Roman" w:cs="Times New Roman"/>
                <w:b/>
                <w:color w:val="auto"/>
                <w:szCs w:val="21"/>
                <w:lang w:bidi="ar"/>
              </w:rPr>
              <w:t>《大气污染物综合排放标准》（GB16297-1996）</w:t>
            </w:r>
          </w:p>
          <w:tbl>
            <w:tblPr>
              <w:tblStyle w:val="25"/>
              <w:tblW w:w="4998"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3099"/>
              <w:gridCol w:w="2740"/>
              <w:gridCol w:w="216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7" w:hRule="atLeast"/>
              </w:trPr>
              <w:tc>
                <w:tcPr>
                  <w:tcW w:w="1936" w:type="pct"/>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污染物</w:t>
                  </w:r>
                </w:p>
              </w:tc>
              <w:tc>
                <w:tcPr>
                  <w:tcW w:w="3063" w:type="pct"/>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无组织排放监控浓度限值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936" w:type="pct"/>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71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监控点</w:t>
                  </w:r>
                </w:p>
              </w:tc>
              <w:tc>
                <w:tcPr>
                  <w:tcW w:w="1352"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限值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936"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颗粒物</w:t>
                  </w:r>
                </w:p>
              </w:tc>
              <w:tc>
                <w:tcPr>
                  <w:tcW w:w="171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周界外浓度最高点</w:t>
                  </w:r>
                </w:p>
              </w:tc>
              <w:tc>
                <w:tcPr>
                  <w:tcW w:w="1352"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w:t>
                  </w:r>
                </w:p>
              </w:tc>
            </w:tr>
          </w:tbl>
          <w:p>
            <w:pPr>
              <w:numPr>
                <w:ilvl w:val="0"/>
                <w:numId w:val="7"/>
              </w:numPr>
              <w:adjustRightInd w:val="0"/>
              <w:snapToGrid w:val="0"/>
              <w:spacing w:line="360" w:lineRule="auto"/>
              <w:ind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本项目施工期噪声排放执行《建筑施工场界环境噪声排放标准》（GB12523-2011）中标准限值；</w:t>
            </w:r>
          </w:p>
          <w:p>
            <w:pPr>
              <w:kinsoku w:val="0"/>
              <w:adjustRightInd w:val="0"/>
              <w:snapToGrid w:val="0"/>
              <w:jc w:val="center"/>
              <w:rPr>
                <w:rFonts w:hint="default" w:ascii="Times New Roman" w:hAnsi="Times New Roman" w:cs="Times New Roman"/>
                <w:bCs/>
                <w:color w:val="auto"/>
                <w:szCs w:val="21"/>
                <w:lang w:bidi="ar"/>
              </w:rPr>
            </w:pPr>
            <w:r>
              <w:rPr>
                <w:rFonts w:hint="default" w:ascii="Times New Roman" w:hAnsi="Times New Roman" w:cs="Times New Roman"/>
                <w:b/>
                <w:color w:val="auto"/>
                <w:szCs w:val="21"/>
                <w:lang w:bidi="ar"/>
              </w:rPr>
              <w:t>表3-</w:t>
            </w:r>
            <w:r>
              <w:rPr>
                <w:rFonts w:hint="eastAsia" w:cs="Times New Roman"/>
                <w:b/>
                <w:color w:val="auto"/>
                <w:szCs w:val="21"/>
                <w:lang w:val="en-US" w:eastAsia="zh-CN" w:bidi="ar"/>
              </w:rPr>
              <w:t>7</w:t>
            </w:r>
            <w:r>
              <w:rPr>
                <w:rFonts w:hint="default" w:ascii="Times New Roman" w:hAnsi="Times New Roman" w:cs="Times New Roman"/>
                <w:b/>
                <w:color w:val="auto"/>
                <w:szCs w:val="21"/>
                <w:lang w:bidi="ar"/>
              </w:rPr>
              <w:t>《建筑施工场界环境噪声排放标准》（GB12523-2011）单位：dB（A）</w:t>
            </w:r>
          </w:p>
          <w:tbl>
            <w:tblPr>
              <w:tblStyle w:val="24"/>
              <w:tblW w:w="79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3968"/>
              <w:gridCol w:w="396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743" w:type="dxa"/>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昼间</w:t>
                  </w:r>
                </w:p>
              </w:tc>
              <w:tc>
                <w:tcPr>
                  <w:tcW w:w="3743" w:type="dxa"/>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743"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70</w:t>
                  </w:r>
                </w:p>
              </w:tc>
              <w:tc>
                <w:tcPr>
                  <w:tcW w:w="3743"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55</w:t>
                  </w:r>
                </w:p>
              </w:tc>
            </w:tr>
          </w:tbl>
          <w:p>
            <w:pPr>
              <w:keepNext w:val="0"/>
              <w:keepLines w:val="0"/>
              <w:pageBreakBefore w:val="0"/>
              <w:widowControl w:val="0"/>
              <w:numPr>
                <w:ilvl w:val="0"/>
                <w:numId w:val="7"/>
              </w:numPr>
              <w:kinsoku/>
              <w:wordWrap/>
              <w:overflowPunct/>
              <w:topLinePunct w:val="0"/>
              <w:autoSpaceDE/>
              <w:autoSpaceDN/>
              <w:bidi w:val="0"/>
              <w:adjustRightInd w:val="0"/>
              <w:snapToGrid w:val="0"/>
              <w:spacing w:before="157" w:beforeLines="50" w:line="360" w:lineRule="auto"/>
              <w:ind w:firstLine="480" w:firstLineChars="200"/>
              <w:textAlignment w:val="auto"/>
              <w:rPr>
                <w:rFonts w:hint="default" w:ascii="Times New Roman" w:hAnsi="Times New Roman" w:eastAsia="宋体" w:cs="Times New Roman"/>
                <w:color w:val="auto"/>
                <w:kern w:val="0"/>
                <w:sz w:val="24"/>
              </w:rPr>
            </w:pPr>
            <w:r>
              <w:rPr>
                <w:rFonts w:hint="eastAsia" w:ascii="Times New Roman" w:hAnsi="Times New Roman" w:eastAsia="宋体" w:cs="Times New Roman"/>
                <w:color w:val="auto"/>
                <w:kern w:val="0"/>
                <w:sz w:val="24"/>
              </w:rPr>
              <w:t>固废</w:t>
            </w:r>
          </w:p>
          <w:p>
            <w:pPr>
              <w:adjustRightInd w:val="0"/>
              <w:snapToGrid w:val="0"/>
              <w:spacing w:line="360" w:lineRule="auto"/>
              <w:ind w:firstLine="482"/>
              <w:rPr>
                <w:rFonts w:hint="eastAsia" w:eastAsia="宋体"/>
                <w:bCs/>
                <w:color w:val="auto"/>
                <w:sz w:val="24"/>
                <w:lang w:val="en-US" w:eastAsia="zh-CN"/>
              </w:rPr>
            </w:pPr>
            <w:r>
              <w:rPr>
                <w:rFonts w:hint="eastAsia"/>
                <w:bCs/>
                <w:color w:val="auto"/>
                <w:sz w:val="24"/>
              </w:rPr>
              <w:t>本项目固废主要为施工期固废，主要为拆除的建筑垃圾（</w:t>
            </w:r>
            <w:r>
              <w:rPr>
                <w:rFonts w:hint="eastAsia"/>
                <w:bCs/>
                <w:color w:val="auto"/>
                <w:sz w:val="24"/>
                <w:lang w:val="en-US" w:eastAsia="zh-CN"/>
              </w:rPr>
              <w:t>建筑物维修</w:t>
            </w:r>
            <w:r>
              <w:rPr>
                <w:rFonts w:hint="eastAsia"/>
                <w:bCs/>
                <w:color w:val="auto"/>
                <w:sz w:val="24"/>
              </w:rPr>
              <w:t>产生的建筑垃圾）及生活垃圾，建筑垃圾不在施工营地堆存，产生后直接运送至</w:t>
            </w:r>
            <w:r>
              <w:rPr>
                <w:rFonts w:hint="eastAsia"/>
                <w:bCs/>
                <w:color w:val="auto"/>
                <w:sz w:val="24"/>
                <w:lang w:val="en-US" w:eastAsia="zh-CN"/>
              </w:rPr>
              <w:t>一般固废</w:t>
            </w:r>
            <w:r>
              <w:rPr>
                <w:rFonts w:hint="eastAsia"/>
                <w:bCs/>
                <w:color w:val="auto"/>
                <w:sz w:val="24"/>
              </w:rPr>
              <w:t>填埋场填埋；生活垃圾交由环卫部门统一处置。本项目一般固废的处置执行《中华人民共和国固体废物污染环境防治法》（2020年4月29日修订）中的相关规定</w:t>
            </w:r>
            <w:r>
              <w:rPr>
                <w:rFonts w:hint="eastAsia"/>
                <w:bCs/>
                <w:color w:val="auto"/>
                <w:sz w:val="24"/>
                <w:lang w:eastAsia="zh-CN"/>
              </w:rPr>
              <w:t>，</w:t>
            </w:r>
            <w:r>
              <w:rPr>
                <w:rFonts w:hint="eastAsia"/>
                <w:bCs/>
                <w:color w:val="auto"/>
                <w:sz w:val="24"/>
                <w:lang w:val="en-US" w:eastAsia="zh-CN"/>
              </w:rPr>
              <w:t>即</w:t>
            </w:r>
            <w:r>
              <w:rPr>
                <w:rFonts w:hint="eastAsia"/>
                <w:bCs/>
                <w:color w:val="auto"/>
                <w:sz w:val="24"/>
              </w:rPr>
              <w:t>防扬散、防流失、防渗漏</w:t>
            </w:r>
            <w:r>
              <w:rPr>
                <w:rFonts w:hint="eastAsia"/>
                <w:bCs/>
                <w:color w:val="auto"/>
                <w:sz w:val="24"/>
                <w:lang w:val="en-US" w:eastAsia="zh-CN"/>
              </w:rPr>
              <w:t>措施。</w:t>
            </w:r>
          </w:p>
          <w:p>
            <w:pPr>
              <w:adjustRightInd w:val="0"/>
              <w:snapToGrid w:val="0"/>
              <w:spacing w:line="360" w:lineRule="auto"/>
              <w:ind w:firstLine="482"/>
              <w:rPr>
                <w:rFonts w:hint="eastAsia"/>
                <w:bCs/>
                <w:color w:val="auto"/>
                <w:sz w:val="24"/>
              </w:rPr>
            </w:pPr>
            <w:r>
              <w:rPr>
                <w:rFonts w:hint="eastAsia"/>
                <w:bCs/>
                <w:color w:val="auto"/>
                <w:sz w:val="24"/>
              </w:rPr>
              <w:t>项目营运期无废气、废水、噪声、固废产生。</w:t>
            </w:r>
          </w:p>
          <w:p>
            <w:pPr>
              <w:adjustRightInd w:val="0"/>
              <w:snapToGrid w:val="0"/>
              <w:spacing w:line="360" w:lineRule="auto"/>
              <w:ind w:firstLine="420" w:firstLineChars="200"/>
              <w:rPr>
                <w:rFonts w:hint="default" w:ascii="Times New Roman" w:hAnsi="Times New Roman" w:cs="Times New Roman"/>
                <w:color w:val="auto"/>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4"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其他</w:t>
            </w:r>
          </w:p>
        </w:tc>
        <w:tc>
          <w:tcPr>
            <w:tcW w:w="8253" w:type="dxa"/>
            <w:vAlign w:val="center"/>
          </w:tcPr>
          <w:p>
            <w:pPr>
              <w:adjustRightInd w:val="0"/>
              <w:snapToGrid w:val="0"/>
              <w:spacing w:line="360" w:lineRule="auto"/>
              <w:ind w:firstLine="480" w:firstLineChars="200"/>
              <w:jc w:val="left"/>
              <w:rPr>
                <w:rFonts w:hint="default" w:ascii="Times New Roman" w:hAnsi="Times New Roman" w:cs="Times New Roman"/>
                <w:color w:val="auto"/>
                <w:sz w:val="24"/>
                <w:szCs w:val="32"/>
              </w:rPr>
            </w:pPr>
            <w:r>
              <w:rPr>
                <w:rFonts w:hint="default" w:ascii="Times New Roman" w:hAnsi="Times New Roman" w:cs="Times New Roman"/>
                <w:color w:val="auto"/>
                <w:sz w:val="24"/>
                <w:szCs w:val="32"/>
              </w:rPr>
              <w:t>无</w:t>
            </w:r>
          </w:p>
          <w:p>
            <w:pPr>
              <w:adjustRightInd w:val="0"/>
              <w:snapToGrid w:val="0"/>
              <w:spacing w:line="360" w:lineRule="auto"/>
              <w:ind w:firstLine="480" w:firstLineChars="200"/>
              <w:jc w:val="left"/>
              <w:rPr>
                <w:rFonts w:hint="default" w:ascii="Times New Roman" w:hAnsi="Times New Roman" w:cs="Times New Roman"/>
                <w:color w:val="auto"/>
                <w:sz w:val="24"/>
                <w:szCs w:val="32"/>
              </w:rPr>
            </w:pPr>
          </w:p>
        </w:tc>
      </w:tr>
    </w:tbl>
    <w:p>
      <w:pPr>
        <w:pStyle w:val="20"/>
        <w:jc w:val="center"/>
        <w:outlineLvl w:val="0"/>
        <w:rPr>
          <w:rFonts w:hint="default" w:ascii="Times New Roman" w:hAnsi="Times New Roman" w:eastAsia="黑体" w:cs="Times New Roman"/>
          <w:snapToGrid w:val="0"/>
          <w:color w:val="auto"/>
          <w:sz w:val="30"/>
          <w:szCs w:val="30"/>
        </w:rPr>
      </w:pPr>
      <w:r>
        <w:rPr>
          <w:rFonts w:hint="default" w:ascii="Times New Roman" w:hAnsi="Times New Roman" w:eastAsia="黑体" w:cs="Times New Roman"/>
          <w:snapToGrid w:val="0"/>
          <w:color w:val="auto"/>
          <w:kern w:val="2"/>
          <w:sz w:val="36"/>
          <w:szCs w:val="36"/>
        </w:rPr>
        <w:br w:type="page"/>
      </w:r>
      <w:bookmarkStart w:id="9" w:name="_Toc20567"/>
      <w:r>
        <w:rPr>
          <w:rFonts w:hint="default" w:ascii="Times New Roman" w:hAnsi="Times New Roman" w:eastAsia="黑体" w:cs="Times New Roman"/>
          <w:snapToGrid w:val="0"/>
          <w:color w:val="auto"/>
          <w:sz w:val="30"/>
          <w:szCs w:val="30"/>
        </w:rPr>
        <w:t>四、生态环境影响分析</w:t>
      </w:r>
      <w:bookmarkEnd w:id="9"/>
    </w:p>
    <w:tbl>
      <w:tblPr>
        <w:tblStyle w:val="24"/>
        <w:tblW w:w="924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879"/>
        <w:gridCol w:w="836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06" w:hRule="atLeast"/>
          <w:jc w:val="center"/>
        </w:trPr>
        <w:tc>
          <w:tcPr>
            <w:tcW w:w="879" w:type="dxa"/>
            <w:tcMar>
              <w:left w:w="28" w:type="dxa"/>
              <w:right w:w="28" w:type="dxa"/>
            </w:tcMar>
            <w:vAlign w:val="center"/>
          </w:tcPr>
          <w:p>
            <w:pPr>
              <w:pStyle w:val="20"/>
              <w:adjustRightInd w:val="0"/>
              <w:snapToGrid w:val="0"/>
              <w:spacing w:before="0" w:beforeAutospacing="0" w:after="0" w:afterAutospacing="0"/>
              <w:jc w:val="center"/>
              <w:rPr>
                <w:rFonts w:hint="default" w:ascii="Times New Roman" w:hAnsi="Times New Roman" w:cs="Times New Roman"/>
                <w:bCs/>
                <w:color w:val="auto"/>
                <w:kern w:val="2"/>
                <w:sz w:val="21"/>
                <w:szCs w:val="21"/>
              </w:rPr>
            </w:pPr>
            <w:bookmarkStart w:id="10" w:name="_Hlk49796138"/>
            <w:r>
              <w:rPr>
                <w:rFonts w:hint="default" w:ascii="Times New Roman" w:hAnsi="Times New Roman" w:cs="Times New Roman"/>
                <w:bCs/>
                <w:color w:val="auto"/>
                <w:spacing w:val="10"/>
                <w:kern w:val="2"/>
                <w:sz w:val="24"/>
                <w:szCs w:val="24"/>
              </w:rPr>
              <w:t>施工期生态环境影响分析</w:t>
            </w:r>
            <w:bookmarkEnd w:id="10"/>
          </w:p>
        </w:tc>
        <w:tc>
          <w:tcPr>
            <w:tcW w:w="8363" w:type="dxa"/>
          </w:tcPr>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color w:val="auto"/>
                <w:sz w:val="24"/>
              </w:rPr>
            </w:pPr>
            <w:r>
              <w:rPr>
                <w:rFonts w:hint="default" w:ascii="Times New Roman" w:hAnsi="Times New Roman" w:cs="Times New Roman"/>
                <w:b/>
                <w:color w:val="auto"/>
                <w:sz w:val="24"/>
              </w:rPr>
              <w:t>1、生态环境影响分析</w:t>
            </w:r>
          </w:p>
          <w:p>
            <w:pPr>
              <w:adjustRightInd w:val="0"/>
              <w:spacing w:line="360" w:lineRule="auto"/>
              <w:ind w:firstLine="480" w:firstLineChars="200"/>
              <w:rPr>
                <w:rFonts w:hAnsi="宋体"/>
                <w:color w:val="auto"/>
                <w:sz w:val="24"/>
              </w:rPr>
            </w:pPr>
            <w:bookmarkStart w:id="11" w:name="_Hlk132720789"/>
            <w:r>
              <w:rPr>
                <w:rFonts w:hint="eastAsia" w:hAnsi="宋体"/>
                <w:color w:val="auto"/>
                <w:sz w:val="24"/>
              </w:rPr>
              <w:t>⑴生态影响</w:t>
            </w:r>
          </w:p>
          <w:p>
            <w:pPr>
              <w:adjustRightInd w:val="0"/>
              <w:spacing w:line="360" w:lineRule="auto"/>
              <w:ind w:firstLine="480" w:firstLineChars="200"/>
              <w:rPr>
                <w:rFonts w:hint="eastAsia" w:hAnsi="宋体"/>
                <w:color w:val="auto"/>
                <w:sz w:val="24"/>
              </w:rPr>
            </w:pPr>
            <w:r>
              <w:rPr>
                <w:rFonts w:hint="eastAsia" w:hAnsi="宋体"/>
                <w:color w:val="auto"/>
                <w:sz w:val="24"/>
              </w:rPr>
              <w:t>结合工程特点分析，生态影响因素主要来源于各类占地、施工机械和设备的噪声、施工人员活动，其影响对象主要是施工区附近及占地区的植被等。</w:t>
            </w:r>
          </w:p>
          <w:p>
            <w:pPr>
              <w:adjustRightInd w:val="0"/>
              <w:spacing w:line="360" w:lineRule="auto"/>
              <w:ind w:firstLine="480" w:firstLineChars="200"/>
              <w:rPr>
                <w:rFonts w:hint="eastAsia" w:hAnsi="宋体"/>
                <w:color w:val="auto"/>
                <w:sz w:val="24"/>
              </w:rPr>
            </w:pPr>
            <w:r>
              <w:rPr>
                <w:rFonts w:hAnsi="宋体"/>
                <w:color w:val="auto"/>
                <w:sz w:val="24"/>
              </w:rPr>
              <w:fldChar w:fldCharType="begin"/>
            </w:r>
            <w:r>
              <w:rPr>
                <w:rFonts w:hAnsi="宋体"/>
                <w:color w:val="auto"/>
                <w:sz w:val="24"/>
              </w:rPr>
              <w:instrText xml:space="preserve"> </w:instrText>
            </w:r>
            <w:r>
              <w:rPr>
                <w:rFonts w:hint="eastAsia" w:hAnsi="宋体"/>
                <w:color w:val="auto"/>
                <w:sz w:val="24"/>
              </w:rPr>
              <w:instrText xml:space="preserve">= 1 \* GB3</w:instrText>
            </w:r>
            <w:r>
              <w:rPr>
                <w:rFonts w:hAnsi="宋体"/>
                <w:color w:val="auto"/>
                <w:sz w:val="24"/>
              </w:rPr>
              <w:instrText xml:space="preserve"> </w:instrText>
            </w:r>
            <w:r>
              <w:rPr>
                <w:rFonts w:hAnsi="宋体"/>
                <w:color w:val="auto"/>
                <w:sz w:val="24"/>
              </w:rPr>
              <w:fldChar w:fldCharType="separate"/>
            </w:r>
            <w:r>
              <w:rPr>
                <w:rFonts w:hint="eastAsia" w:hAnsi="宋体"/>
                <w:color w:val="auto"/>
                <w:sz w:val="24"/>
              </w:rPr>
              <w:t>①</w:t>
            </w:r>
            <w:r>
              <w:rPr>
                <w:rFonts w:hAnsi="宋体"/>
                <w:color w:val="auto"/>
                <w:sz w:val="24"/>
              </w:rPr>
              <w:fldChar w:fldCharType="end"/>
            </w:r>
            <w:r>
              <w:rPr>
                <w:rFonts w:hint="eastAsia" w:hAnsi="宋体"/>
                <w:color w:val="auto"/>
                <w:sz w:val="24"/>
              </w:rPr>
              <w:t>陆生植被影响因素</w:t>
            </w:r>
          </w:p>
          <w:p>
            <w:pPr>
              <w:adjustRightInd w:val="0"/>
              <w:spacing w:line="360" w:lineRule="auto"/>
              <w:ind w:firstLine="480" w:firstLineChars="200"/>
              <w:rPr>
                <w:rFonts w:hint="eastAsia" w:hAnsi="宋体"/>
                <w:color w:val="auto"/>
                <w:sz w:val="24"/>
              </w:rPr>
            </w:pPr>
            <w:r>
              <w:rPr>
                <w:rFonts w:hint="eastAsia" w:hAnsi="宋体"/>
                <w:color w:val="auto"/>
                <w:sz w:val="24"/>
              </w:rPr>
              <w:t>结合工程特点分析，工程对植被的影响主要来源于地表清理、土方开挖等，其影响表现为上述施工活动造成局部地表植被破坏，暂时降低局部区域植被生物量。</w:t>
            </w:r>
          </w:p>
          <w:p>
            <w:pPr>
              <w:adjustRightInd w:val="0"/>
              <w:spacing w:line="360" w:lineRule="auto"/>
              <w:ind w:firstLine="480" w:firstLineChars="200"/>
              <w:rPr>
                <w:rFonts w:hint="eastAsia" w:hAnsi="宋体"/>
                <w:color w:val="auto"/>
                <w:sz w:val="24"/>
              </w:rPr>
            </w:pPr>
            <w:r>
              <w:rPr>
                <w:rFonts w:hAnsi="宋体"/>
                <w:color w:val="auto"/>
                <w:sz w:val="24"/>
              </w:rPr>
              <w:fldChar w:fldCharType="begin"/>
            </w:r>
            <w:r>
              <w:rPr>
                <w:rFonts w:hAnsi="宋体"/>
                <w:color w:val="auto"/>
                <w:sz w:val="24"/>
              </w:rPr>
              <w:instrText xml:space="preserve"> </w:instrText>
            </w:r>
            <w:r>
              <w:rPr>
                <w:rFonts w:hint="eastAsia" w:hAnsi="宋体"/>
                <w:color w:val="auto"/>
                <w:sz w:val="24"/>
              </w:rPr>
              <w:instrText xml:space="preserve">= 2 \* GB3</w:instrText>
            </w:r>
            <w:r>
              <w:rPr>
                <w:rFonts w:hAnsi="宋体"/>
                <w:color w:val="auto"/>
                <w:sz w:val="24"/>
              </w:rPr>
              <w:instrText xml:space="preserve"> </w:instrText>
            </w:r>
            <w:r>
              <w:rPr>
                <w:rFonts w:hAnsi="宋体"/>
                <w:color w:val="auto"/>
                <w:sz w:val="24"/>
              </w:rPr>
              <w:fldChar w:fldCharType="separate"/>
            </w:r>
            <w:r>
              <w:rPr>
                <w:rFonts w:hint="eastAsia" w:hAnsi="宋体"/>
                <w:color w:val="auto"/>
                <w:sz w:val="24"/>
              </w:rPr>
              <w:t>②</w:t>
            </w:r>
            <w:r>
              <w:rPr>
                <w:rFonts w:hAnsi="宋体"/>
                <w:color w:val="auto"/>
                <w:sz w:val="24"/>
              </w:rPr>
              <w:fldChar w:fldCharType="end"/>
            </w:r>
            <w:r>
              <w:rPr>
                <w:rFonts w:hint="eastAsia" w:hAnsi="宋体"/>
                <w:color w:val="auto"/>
                <w:sz w:val="24"/>
              </w:rPr>
              <w:t>水生生物影响因素</w:t>
            </w:r>
          </w:p>
          <w:p>
            <w:pPr>
              <w:adjustRightInd w:val="0"/>
              <w:spacing w:line="360" w:lineRule="auto"/>
              <w:ind w:firstLine="480" w:firstLineChars="200"/>
              <w:rPr>
                <w:rFonts w:hAnsi="宋体"/>
                <w:color w:val="auto"/>
                <w:sz w:val="24"/>
              </w:rPr>
            </w:pPr>
            <w:r>
              <w:rPr>
                <w:rFonts w:hint="eastAsia" w:hAnsi="宋体"/>
                <w:color w:val="auto"/>
                <w:sz w:val="24"/>
              </w:rPr>
              <w:t>本项目涉及水系为</w:t>
            </w:r>
            <w:r>
              <w:rPr>
                <w:rFonts w:hint="eastAsia" w:hAnsi="宋体"/>
                <w:color w:val="auto"/>
                <w:sz w:val="24"/>
                <w:lang w:val="en-US" w:eastAsia="zh-CN"/>
              </w:rPr>
              <w:t>折腰沟，</w:t>
            </w:r>
            <w:r>
              <w:rPr>
                <w:rFonts w:hint="eastAsia"/>
                <w:color w:val="auto"/>
                <w:kern w:val="0"/>
                <w:sz w:val="24"/>
              </w:rPr>
              <w:t>地面径流多以暴雨洪水形式出现，洪水年际变化极不均匀。沟道内无水生生物</w:t>
            </w:r>
            <w:r>
              <w:rPr>
                <w:rFonts w:hint="eastAsia" w:hAnsi="宋体"/>
                <w:color w:val="auto"/>
                <w:sz w:val="24"/>
              </w:rPr>
              <w:t>。因此，项目建设不会对水生生物造成不利影响。</w:t>
            </w:r>
          </w:p>
          <w:p>
            <w:pPr>
              <w:adjustRightInd w:val="0"/>
              <w:spacing w:line="360" w:lineRule="auto"/>
              <w:ind w:firstLine="480" w:firstLineChars="200"/>
              <w:rPr>
                <w:rFonts w:hint="eastAsia" w:hAnsi="宋体"/>
                <w:color w:val="auto"/>
                <w:sz w:val="24"/>
              </w:rPr>
            </w:pPr>
            <w:r>
              <w:rPr>
                <w:rFonts w:hint="eastAsia" w:hAnsi="宋体"/>
                <w:color w:val="auto"/>
                <w:sz w:val="24"/>
              </w:rPr>
              <w:t>⑵工程占地环境影响</w:t>
            </w:r>
          </w:p>
          <w:p>
            <w:pPr>
              <w:spacing w:line="360" w:lineRule="auto"/>
              <w:ind w:firstLine="480" w:firstLineChars="200"/>
              <w:rPr>
                <w:rFonts w:hAnsi="宋体"/>
                <w:color w:val="auto"/>
                <w:sz w:val="24"/>
              </w:rPr>
            </w:pPr>
            <w:r>
              <w:rPr>
                <w:rFonts w:hAnsi="宋体"/>
                <w:color w:val="auto"/>
                <w:sz w:val="24"/>
              </w:rPr>
              <w:fldChar w:fldCharType="begin"/>
            </w:r>
            <w:r>
              <w:rPr>
                <w:rFonts w:hAnsi="宋体"/>
                <w:color w:val="auto"/>
                <w:sz w:val="24"/>
              </w:rPr>
              <w:instrText xml:space="preserve"> </w:instrText>
            </w:r>
            <w:r>
              <w:rPr>
                <w:rFonts w:hint="eastAsia" w:hAnsi="宋体"/>
                <w:color w:val="auto"/>
                <w:sz w:val="24"/>
              </w:rPr>
              <w:instrText xml:space="preserve">= 1 \* GB3</w:instrText>
            </w:r>
            <w:r>
              <w:rPr>
                <w:rFonts w:hAnsi="宋体"/>
                <w:color w:val="auto"/>
                <w:sz w:val="24"/>
              </w:rPr>
              <w:instrText xml:space="preserve"> </w:instrText>
            </w:r>
            <w:r>
              <w:rPr>
                <w:rFonts w:hAnsi="宋体"/>
                <w:color w:val="auto"/>
                <w:sz w:val="24"/>
              </w:rPr>
              <w:fldChar w:fldCharType="separate"/>
            </w:r>
            <w:r>
              <w:rPr>
                <w:rFonts w:hint="eastAsia" w:hAnsi="宋体"/>
                <w:color w:val="auto"/>
                <w:sz w:val="24"/>
              </w:rPr>
              <w:t>①</w:t>
            </w:r>
            <w:r>
              <w:rPr>
                <w:rFonts w:hAnsi="宋体"/>
                <w:color w:val="auto"/>
                <w:sz w:val="24"/>
              </w:rPr>
              <w:fldChar w:fldCharType="end"/>
            </w:r>
            <w:r>
              <w:rPr>
                <w:rFonts w:hint="eastAsia" w:hAnsi="宋体"/>
                <w:color w:val="auto"/>
                <w:sz w:val="24"/>
              </w:rPr>
              <w:t>土地利用影响</w:t>
            </w:r>
          </w:p>
          <w:p>
            <w:pPr>
              <w:spacing w:line="360" w:lineRule="auto"/>
              <w:ind w:firstLine="480" w:firstLineChars="200"/>
              <w:rPr>
                <w:rFonts w:hint="eastAsia" w:hAnsi="宋体"/>
                <w:color w:val="auto"/>
                <w:sz w:val="24"/>
              </w:rPr>
            </w:pPr>
            <w:r>
              <w:rPr>
                <w:rFonts w:hAnsi="宋体"/>
                <w:color w:val="auto"/>
                <w:sz w:val="24"/>
              </w:rPr>
              <w:t>本</w:t>
            </w:r>
            <w:r>
              <w:rPr>
                <w:rFonts w:hint="eastAsia" w:hAnsi="宋体"/>
                <w:color w:val="auto"/>
                <w:sz w:val="24"/>
              </w:rPr>
              <w:t>项目总占地面积为</w:t>
            </w:r>
            <w:r>
              <w:rPr>
                <w:rFonts w:hint="eastAsia" w:hAnsi="宋体"/>
                <w:color w:val="auto"/>
                <w:sz w:val="24"/>
                <w:lang w:val="en-US" w:eastAsia="zh-CN"/>
              </w:rPr>
              <w:t>61.04</w:t>
            </w:r>
            <w:r>
              <w:rPr>
                <w:rFonts w:hint="eastAsia" w:hAnsi="宋体"/>
                <w:color w:val="auto"/>
                <w:sz w:val="24"/>
              </w:rPr>
              <w:t>亩（</w:t>
            </w:r>
            <w:r>
              <w:rPr>
                <w:rFonts w:hint="eastAsia" w:hAnsi="宋体"/>
                <w:color w:val="auto"/>
                <w:sz w:val="24"/>
                <w:lang w:val="en-US" w:eastAsia="zh-CN"/>
              </w:rPr>
              <w:t>4.07</w:t>
            </w:r>
            <w:r>
              <w:rPr>
                <w:rFonts w:hint="eastAsia" w:hAnsi="宋体"/>
                <w:color w:val="auto"/>
                <w:sz w:val="24"/>
              </w:rPr>
              <w:t>hm</w:t>
            </w:r>
            <w:r>
              <w:rPr>
                <w:rFonts w:hAnsi="宋体"/>
                <w:color w:val="auto"/>
                <w:sz w:val="24"/>
                <w:vertAlign w:val="superscript"/>
              </w:rPr>
              <w:t>2</w:t>
            </w:r>
            <w:r>
              <w:rPr>
                <w:rFonts w:hint="eastAsia" w:hAnsi="宋体"/>
                <w:color w:val="auto"/>
                <w:sz w:val="24"/>
              </w:rPr>
              <w:t>），其中</w:t>
            </w:r>
            <w:r>
              <w:rPr>
                <w:rFonts w:hAnsi="宋体"/>
                <w:color w:val="auto"/>
                <w:sz w:val="24"/>
              </w:rPr>
              <w:t>永久占地面积为</w:t>
            </w:r>
            <w:r>
              <w:rPr>
                <w:rFonts w:hint="eastAsia"/>
                <w:color w:val="auto"/>
                <w:sz w:val="24"/>
                <w:lang w:val="en-US" w:eastAsia="zh-CN"/>
              </w:rPr>
              <w:t>21.6</w:t>
            </w:r>
            <w:r>
              <w:rPr>
                <w:rFonts w:hAnsi="宋体"/>
                <w:color w:val="auto"/>
                <w:sz w:val="24"/>
              </w:rPr>
              <w:t>亩</w:t>
            </w:r>
            <w:r>
              <w:rPr>
                <w:rFonts w:hint="eastAsia" w:hAnsi="宋体"/>
                <w:color w:val="auto"/>
                <w:sz w:val="24"/>
              </w:rPr>
              <w:t>（</w:t>
            </w:r>
            <w:r>
              <w:rPr>
                <w:rFonts w:hint="eastAsia" w:hAnsi="宋体"/>
                <w:color w:val="auto"/>
                <w:sz w:val="24"/>
                <w:lang w:val="en-US" w:eastAsia="zh-CN"/>
              </w:rPr>
              <w:t>1.44</w:t>
            </w:r>
            <w:r>
              <w:rPr>
                <w:rFonts w:hint="eastAsia" w:hAnsi="宋体"/>
                <w:color w:val="auto"/>
                <w:sz w:val="24"/>
              </w:rPr>
              <w:t>hm</w:t>
            </w:r>
            <w:r>
              <w:rPr>
                <w:rFonts w:hAnsi="宋体"/>
                <w:color w:val="auto"/>
                <w:sz w:val="24"/>
                <w:vertAlign w:val="superscript"/>
              </w:rPr>
              <w:t>2</w:t>
            </w:r>
            <w:r>
              <w:rPr>
                <w:rFonts w:hint="eastAsia" w:hAnsi="宋体"/>
                <w:color w:val="auto"/>
                <w:sz w:val="24"/>
              </w:rPr>
              <w:t>）</w:t>
            </w:r>
            <w:r>
              <w:rPr>
                <w:rFonts w:hint="eastAsia" w:hAnsi="宋体"/>
                <w:color w:val="auto"/>
                <w:sz w:val="24"/>
                <w:lang w:eastAsia="zh-CN"/>
              </w:rPr>
              <w:t>；</w:t>
            </w:r>
            <w:r>
              <w:rPr>
                <w:rFonts w:hint="eastAsia" w:hAnsi="宋体"/>
                <w:color w:val="auto"/>
                <w:sz w:val="24"/>
                <w:lang w:val="en-US" w:eastAsia="zh-CN"/>
              </w:rPr>
              <w:t>临时占地面积为39.44</w:t>
            </w:r>
            <w:r>
              <w:rPr>
                <w:rFonts w:hint="eastAsia" w:hAnsi="宋体"/>
                <w:color w:val="auto"/>
                <w:sz w:val="24"/>
              </w:rPr>
              <w:t>亩（</w:t>
            </w:r>
            <w:r>
              <w:rPr>
                <w:rFonts w:hint="eastAsia" w:hAnsi="宋体"/>
                <w:color w:val="auto"/>
                <w:sz w:val="24"/>
                <w:lang w:val="en-US" w:eastAsia="zh-CN"/>
              </w:rPr>
              <w:t>2.63</w:t>
            </w:r>
            <w:r>
              <w:rPr>
                <w:rFonts w:hint="eastAsia" w:hAnsi="宋体"/>
                <w:color w:val="auto"/>
                <w:sz w:val="24"/>
              </w:rPr>
              <w:t>hm</w:t>
            </w:r>
            <w:r>
              <w:rPr>
                <w:rFonts w:hAnsi="宋体"/>
                <w:color w:val="auto"/>
                <w:sz w:val="24"/>
                <w:vertAlign w:val="superscript"/>
              </w:rPr>
              <w:t>2</w:t>
            </w:r>
            <w:r>
              <w:rPr>
                <w:rFonts w:hint="eastAsia" w:hAnsi="宋体"/>
                <w:color w:val="auto"/>
                <w:sz w:val="24"/>
              </w:rPr>
              <w:t>）</w:t>
            </w:r>
            <w:r>
              <w:rPr>
                <w:rFonts w:hint="eastAsia" w:hAnsi="宋体"/>
                <w:color w:val="auto"/>
                <w:sz w:val="24"/>
                <w:lang w:eastAsia="zh-CN"/>
              </w:rPr>
              <w:t>。</w:t>
            </w:r>
            <w:r>
              <w:rPr>
                <w:rFonts w:hint="eastAsia" w:hAnsi="宋体"/>
                <w:color w:val="auto"/>
                <w:sz w:val="24"/>
              </w:rPr>
              <w:t>工程永久占地将永久改变土地利用方式，破坏地表植被，造成部分植物生物量的永久损失，局部区域生态完整性可能在一定程度受到影响。</w:t>
            </w:r>
          </w:p>
          <w:p>
            <w:pPr>
              <w:adjustRightInd w:val="0"/>
              <w:spacing w:line="360" w:lineRule="auto"/>
              <w:ind w:firstLine="480" w:firstLineChars="200"/>
              <w:rPr>
                <w:rFonts w:hint="eastAsia" w:hAnsi="宋体"/>
                <w:color w:val="auto"/>
                <w:sz w:val="24"/>
              </w:rPr>
            </w:pPr>
            <w:r>
              <w:rPr>
                <w:rFonts w:hAnsi="宋体"/>
                <w:color w:val="auto"/>
                <w:sz w:val="24"/>
              </w:rPr>
              <w:fldChar w:fldCharType="begin"/>
            </w:r>
            <w:r>
              <w:rPr>
                <w:rFonts w:hAnsi="宋体"/>
                <w:color w:val="auto"/>
                <w:sz w:val="24"/>
              </w:rPr>
              <w:instrText xml:space="preserve"> </w:instrText>
            </w:r>
            <w:r>
              <w:rPr>
                <w:rFonts w:hint="eastAsia" w:hAnsi="宋体"/>
                <w:color w:val="auto"/>
                <w:sz w:val="24"/>
              </w:rPr>
              <w:instrText xml:space="preserve">= 2 \* GB3</w:instrText>
            </w:r>
            <w:r>
              <w:rPr>
                <w:rFonts w:hAnsi="宋体"/>
                <w:color w:val="auto"/>
                <w:sz w:val="24"/>
              </w:rPr>
              <w:instrText xml:space="preserve"> </w:instrText>
            </w:r>
            <w:r>
              <w:rPr>
                <w:rFonts w:hAnsi="宋体"/>
                <w:color w:val="auto"/>
                <w:sz w:val="24"/>
              </w:rPr>
              <w:fldChar w:fldCharType="separate"/>
            </w:r>
            <w:r>
              <w:rPr>
                <w:rFonts w:hint="eastAsia" w:hAnsi="宋体"/>
                <w:color w:val="auto"/>
                <w:sz w:val="24"/>
              </w:rPr>
              <w:t>②</w:t>
            </w:r>
            <w:r>
              <w:rPr>
                <w:rFonts w:hAnsi="宋体"/>
                <w:color w:val="auto"/>
                <w:sz w:val="24"/>
              </w:rPr>
              <w:fldChar w:fldCharType="end"/>
            </w:r>
            <w:r>
              <w:rPr>
                <w:rFonts w:hint="eastAsia" w:hAnsi="宋体"/>
                <w:color w:val="auto"/>
                <w:sz w:val="24"/>
              </w:rPr>
              <w:t>工程占地对陆生植物影响</w:t>
            </w:r>
          </w:p>
          <w:p>
            <w:pPr>
              <w:adjustRightInd w:val="0"/>
              <w:spacing w:line="360" w:lineRule="auto"/>
              <w:ind w:firstLine="480" w:firstLineChars="200"/>
              <w:rPr>
                <w:rFonts w:hint="eastAsia" w:hAnsi="宋体"/>
                <w:color w:val="auto"/>
                <w:sz w:val="24"/>
              </w:rPr>
            </w:pPr>
            <w:r>
              <w:rPr>
                <w:rFonts w:hint="eastAsia" w:hAnsi="宋体"/>
                <w:color w:val="auto"/>
                <w:sz w:val="24"/>
              </w:rPr>
              <w:t>工程实施对植被和植物多样性的影响主要表现在：主体工程和施工临时设施等对植物的直接占用，主要涉及农业植被和草地等。因此，工程实施对影响区植被和植物多样性的影响具有一定影响。</w:t>
            </w:r>
          </w:p>
          <w:p>
            <w:pPr>
              <w:adjustRightInd w:val="0"/>
              <w:spacing w:line="360" w:lineRule="auto"/>
              <w:ind w:firstLine="480" w:firstLineChars="200"/>
              <w:rPr>
                <w:rFonts w:hint="eastAsia" w:hAnsi="宋体"/>
                <w:color w:val="auto"/>
                <w:sz w:val="24"/>
              </w:rPr>
            </w:pPr>
            <w:r>
              <w:rPr>
                <w:rFonts w:hAnsi="宋体"/>
                <w:color w:val="auto"/>
                <w:sz w:val="24"/>
              </w:rPr>
              <w:fldChar w:fldCharType="begin"/>
            </w:r>
            <w:r>
              <w:rPr>
                <w:rFonts w:hAnsi="宋体"/>
                <w:color w:val="auto"/>
                <w:sz w:val="24"/>
              </w:rPr>
              <w:instrText xml:space="preserve"> </w:instrText>
            </w:r>
            <w:r>
              <w:rPr>
                <w:rFonts w:hint="eastAsia" w:hAnsi="宋体"/>
                <w:color w:val="auto"/>
                <w:sz w:val="24"/>
              </w:rPr>
              <w:instrText xml:space="preserve">= 3 \* GB3</w:instrText>
            </w:r>
            <w:r>
              <w:rPr>
                <w:rFonts w:hAnsi="宋体"/>
                <w:color w:val="auto"/>
                <w:sz w:val="24"/>
              </w:rPr>
              <w:instrText xml:space="preserve"> </w:instrText>
            </w:r>
            <w:r>
              <w:rPr>
                <w:rFonts w:hAnsi="宋体"/>
                <w:color w:val="auto"/>
                <w:sz w:val="24"/>
              </w:rPr>
              <w:fldChar w:fldCharType="separate"/>
            </w:r>
            <w:r>
              <w:rPr>
                <w:rFonts w:hint="eastAsia" w:hAnsi="宋体"/>
                <w:color w:val="auto"/>
                <w:sz w:val="24"/>
              </w:rPr>
              <w:t>③</w:t>
            </w:r>
            <w:r>
              <w:rPr>
                <w:rFonts w:hAnsi="宋体"/>
                <w:color w:val="auto"/>
                <w:sz w:val="24"/>
              </w:rPr>
              <w:fldChar w:fldCharType="end"/>
            </w:r>
            <w:r>
              <w:rPr>
                <w:rFonts w:hint="eastAsia" w:hAnsi="宋体"/>
                <w:color w:val="auto"/>
                <w:sz w:val="24"/>
              </w:rPr>
              <w:t>工程占地对陆生动物影响</w:t>
            </w:r>
          </w:p>
          <w:p>
            <w:pPr>
              <w:adjustRightInd w:val="0"/>
              <w:spacing w:line="360" w:lineRule="auto"/>
              <w:ind w:firstLine="480" w:firstLineChars="200"/>
              <w:rPr>
                <w:rFonts w:hint="eastAsia" w:hAnsi="宋体"/>
                <w:color w:val="auto"/>
                <w:sz w:val="24"/>
              </w:rPr>
            </w:pPr>
            <w:r>
              <w:rPr>
                <w:rFonts w:hint="eastAsia" w:hAnsi="宋体"/>
                <w:color w:val="auto"/>
                <w:sz w:val="24"/>
              </w:rPr>
              <w:t>施工期工程占地会占用部分陆生动物栖息地，野外施工噪声对陆生动物造成惊扰，对两栖类、爬行类和鸟类均有一定的影响。但随着施工结束后，干扰随之结束，部分生境将得到恢复，对影响区内各动物栖息地的影响较为有限。</w:t>
            </w:r>
          </w:p>
          <w:p>
            <w:pPr>
              <w:adjustRightInd w:val="0"/>
              <w:spacing w:line="360" w:lineRule="auto"/>
              <w:ind w:firstLine="480" w:firstLineChars="200"/>
              <w:rPr>
                <w:rFonts w:hint="eastAsia" w:hAnsi="宋体"/>
                <w:color w:val="auto"/>
                <w:sz w:val="24"/>
              </w:rPr>
            </w:pPr>
            <w:r>
              <w:rPr>
                <w:rFonts w:hAnsi="宋体"/>
                <w:color w:val="auto"/>
                <w:sz w:val="24"/>
              </w:rPr>
              <w:fldChar w:fldCharType="begin"/>
            </w:r>
            <w:r>
              <w:rPr>
                <w:rFonts w:hAnsi="宋体"/>
                <w:color w:val="auto"/>
                <w:sz w:val="24"/>
              </w:rPr>
              <w:instrText xml:space="preserve"> </w:instrText>
            </w:r>
            <w:r>
              <w:rPr>
                <w:rFonts w:hint="eastAsia" w:hAnsi="宋体"/>
                <w:color w:val="auto"/>
                <w:sz w:val="24"/>
              </w:rPr>
              <w:instrText xml:space="preserve">= 4 \* GB3</w:instrText>
            </w:r>
            <w:r>
              <w:rPr>
                <w:rFonts w:hAnsi="宋体"/>
                <w:color w:val="auto"/>
                <w:sz w:val="24"/>
              </w:rPr>
              <w:instrText xml:space="preserve"> </w:instrText>
            </w:r>
            <w:r>
              <w:rPr>
                <w:rFonts w:hAnsi="宋体"/>
                <w:color w:val="auto"/>
                <w:sz w:val="24"/>
              </w:rPr>
              <w:fldChar w:fldCharType="separate"/>
            </w:r>
            <w:r>
              <w:rPr>
                <w:rFonts w:hint="eastAsia" w:hAnsi="宋体"/>
                <w:color w:val="auto"/>
                <w:sz w:val="24"/>
              </w:rPr>
              <w:t>④</w:t>
            </w:r>
            <w:r>
              <w:rPr>
                <w:rFonts w:hAnsi="宋体"/>
                <w:color w:val="auto"/>
                <w:sz w:val="24"/>
              </w:rPr>
              <w:fldChar w:fldCharType="end"/>
            </w:r>
            <w:r>
              <w:rPr>
                <w:rFonts w:hint="eastAsia" w:hAnsi="宋体"/>
                <w:color w:val="auto"/>
                <w:sz w:val="24"/>
              </w:rPr>
              <w:t>对土壤环境的影响</w:t>
            </w:r>
          </w:p>
          <w:p>
            <w:pPr>
              <w:adjustRightInd w:val="0"/>
              <w:spacing w:line="360" w:lineRule="auto"/>
              <w:ind w:firstLine="480" w:firstLineChars="200"/>
              <w:rPr>
                <w:rFonts w:hAnsi="宋体"/>
                <w:color w:val="auto"/>
                <w:sz w:val="24"/>
              </w:rPr>
            </w:pPr>
            <w:r>
              <w:rPr>
                <w:rFonts w:hint="eastAsia" w:hAnsi="宋体"/>
                <w:color w:val="auto"/>
                <w:sz w:val="24"/>
              </w:rPr>
              <w:t>施工期对土壤的影响主要是表土扰动，其次，施工期间无环保措施情况下可能发生的污废水排放、施工设备漏油等，将会造成污染物进入土壤环境，从而引起土壤物理、化学、生物等方面特性的改变，造成土壤环境质量的恶化。</w:t>
            </w:r>
          </w:p>
          <w:p>
            <w:pPr>
              <w:adjustRightInd w:val="0"/>
              <w:spacing w:line="360" w:lineRule="auto"/>
              <w:ind w:firstLine="480" w:firstLineChars="200"/>
              <w:rPr>
                <w:rFonts w:hAnsi="宋体"/>
                <w:color w:val="auto"/>
                <w:sz w:val="24"/>
              </w:rPr>
            </w:pPr>
            <w:r>
              <w:rPr>
                <w:rFonts w:hAnsi="宋体"/>
                <w:color w:val="auto"/>
                <w:sz w:val="24"/>
              </w:rPr>
              <w:fldChar w:fldCharType="begin"/>
            </w:r>
            <w:r>
              <w:rPr>
                <w:rFonts w:hAnsi="宋体"/>
                <w:color w:val="auto"/>
                <w:sz w:val="24"/>
              </w:rPr>
              <w:instrText xml:space="preserve"> </w:instrText>
            </w:r>
            <w:r>
              <w:rPr>
                <w:rFonts w:hint="eastAsia" w:hAnsi="宋体"/>
                <w:color w:val="auto"/>
                <w:sz w:val="24"/>
              </w:rPr>
              <w:instrText xml:space="preserve">= 5 \* GB3</w:instrText>
            </w:r>
            <w:r>
              <w:rPr>
                <w:rFonts w:hAnsi="宋体"/>
                <w:color w:val="auto"/>
                <w:sz w:val="24"/>
              </w:rPr>
              <w:instrText xml:space="preserve"> </w:instrText>
            </w:r>
            <w:r>
              <w:rPr>
                <w:rFonts w:hAnsi="宋体"/>
                <w:color w:val="auto"/>
                <w:sz w:val="24"/>
              </w:rPr>
              <w:fldChar w:fldCharType="separate"/>
            </w:r>
            <w:r>
              <w:rPr>
                <w:rFonts w:hint="eastAsia" w:hAnsi="宋体"/>
                <w:color w:val="auto"/>
                <w:sz w:val="24"/>
              </w:rPr>
              <w:t>⑤</w:t>
            </w:r>
            <w:r>
              <w:rPr>
                <w:rFonts w:hAnsi="宋体"/>
                <w:color w:val="auto"/>
                <w:sz w:val="24"/>
              </w:rPr>
              <w:fldChar w:fldCharType="end"/>
            </w:r>
            <w:r>
              <w:rPr>
                <w:rFonts w:hint="eastAsia" w:hAnsi="宋体"/>
                <w:color w:val="auto"/>
                <w:sz w:val="24"/>
              </w:rPr>
              <w:t>生态景观</w:t>
            </w:r>
            <w:r>
              <w:rPr>
                <w:rFonts w:hAnsi="宋体"/>
                <w:color w:val="auto"/>
                <w:sz w:val="24"/>
              </w:rPr>
              <w:t>的影响</w:t>
            </w:r>
          </w:p>
          <w:p>
            <w:pPr>
              <w:adjustRightInd w:val="0"/>
              <w:spacing w:line="360" w:lineRule="auto"/>
              <w:ind w:firstLine="480" w:firstLineChars="200"/>
              <w:rPr>
                <w:rFonts w:hint="eastAsia" w:hAnsi="宋体"/>
                <w:color w:val="auto"/>
                <w:sz w:val="24"/>
              </w:rPr>
            </w:pPr>
            <w:r>
              <w:rPr>
                <w:rFonts w:hAnsi="宋体"/>
                <w:color w:val="auto"/>
                <w:sz w:val="24"/>
              </w:rPr>
              <w:t>项目施工对周边</w:t>
            </w:r>
            <w:r>
              <w:rPr>
                <w:rFonts w:hint="eastAsia" w:hAnsi="宋体"/>
                <w:color w:val="auto"/>
                <w:sz w:val="24"/>
              </w:rPr>
              <w:t>生态</w:t>
            </w:r>
            <w:r>
              <w:rPr>
                <w:rFonts w:hAnsi="宋体"/>
                <w:color w:val="auto"/>
                <w:sz w:val="24"/>
              </w:rPr>
              <w:t>景观会造成一定的影响，</w:t>
            </w:r>
            <w:r>
              <w:rPr>
                <w:rFonts w:hint="eastAsia" w:hAnsi="宋体"/>
                <w:color w:val="auto"/>
                <w:sz w:val="24"/>
              </w:rPr>
              <w:t>施工过程中严格遵守划定的</w:t>
            </w:r>
            <w:r>
              <w:rPr>
                <w:rFonts w:hint="eastAsia" w:hAnsi="宋体"/>
                <w:color w:val="auto"/>
                <w:sz w:val="24"/>
                <w:lang w:eastAsia="zh-CN"/>
              </w:rPr>
              <w:t>施工</w:t>
            </w:r>
            <w:r>
              <w:rPr>
                <w:rFonts w:hint="eastAsia" w:hAnsi="宋体"/>
                <w:color w:val="auto"/>
                <w:sz w:val="24"/>
              </w:rPr>
              <w:t>范围，保护现有植物资源，尽量减少对自然环境的破坏，减轻对自然景观分割和不破坏景观的美学价值</w:t>
            </w:r>
            <w:r>
              <w:rPr>
                <w:rFonts w:hAnsi="宋体"/>
                <w:color w:val="auto"/>
                <w:sz w:val="24"/>
              </w:rPr>
              <w:t>。</w:t>
            </w:r>
          </w:p>
          <w:p>
            <w:pPr>
              <w:adjustRightInd w:val="0"/>
              <w:spacing w:line="360" w:lineRule="auto"/>
              <w:ind w:firstLine="480" w:firstLineChars="200"/>
              <w:rPr>
                <w:bCs/>
                <w:color w:val="auto"/>
                <w:sz w:val="24"/>
              </w:rPr>
            </w:pPr>
            <w:r>
              <w:rPr>
                <w:bCs/>
                <w:color w:val="auto"/>
                <w:sz w:val="24"/>
              </w:rPr>
              <w:fldChar w:fldCharType="begin"/>
            </w:r>
            <w:r>
              <w:rPr>
                <w:bCs/>
                <w:color w:val="auto"/>
                <w:sz w:val="24"/>
              </w:rPr>
              <w:instrText xml:space="preserve"> </w:instrText>
            </w:r>
            <w:r>
              <w:rPr>
                <w:rFonts w:hint="eastAsia"/>
                <w:bCs/>
                <w:color w:val="auto"/>
                <w:sz w:val="24"/>
              </w:rPr>
              <w:instrText xml:space="preserve">= 6 \* GB3</w:instrText>
            </w:r>
            <w:r>
              <w:rPr>
                <w:bCs/>
                <w:color w:val="auto"/>
                <w:sz w:val="24"/>
              </w:rPr>
              <w:instrText xml:space="preserve"> </w:instrText>
            </w:r>
            <w:r>
              <w:rPr>
                <w:bCs/>
                <w:color w:val="auto"/>
                <w:sz w:val="24"/>
              </w:rPr>
              <w:fldChar w:fldCharType="separate"/>
            </w:r>
            <w:r>
              <w:rPr>
                <w:rFonts w:hint="eastAsia"/>
                <w:bCs/>
                <w:color w:val="auto"/>
                <w:sz w:val="24"/>
              </w:rPr>
              <w:t>⑥</w:t>
            </w:r>
            <w:r>
              <w:rPr>
                <w:bCs/>
                <w:color w:val="auto"/>
                <w:sz w:val="24"/>
              </w:rPr>
              <w:fldChar w:fldCharType="end"/>
            </w:r>
            <w:r>
              <w:rPr>
                <w:rFonts w:hint="eastAsia"/>
                <w:bCs/>
                <w:color w:val="auto"/>
                <w:sz w:val="24"/>
              </w:rPr>
              <w:t>生态系统的影响</w:t>
            </w:r>
          </w:p>
          <w:p>
            <w:pPr>
              <w:adjustRightInd w:val="0"/>
              <w:spacing w:line="360" w:lineRule="auto"/>
              <w:ind w:firstLine="480" w:firstLineChars="200"/>
              <w:rPr>
                <w:bCs/>
                <w:color w:val="auto"/>
                <w:sz w:val="24"/>
              </w:rPr>
            </w:pPr>
            <w:r>
              <w:rPr>
                <w:rFonts w:hint="eastAsia" w:hAnsi="宋体"/>
                <w:color w:val="auto"/>
                <w:sz w:val="24"/>
              </w:rPr>
              <w:t>项目工程建设中，永久占地会改变土地利用性质，对区域生境破碎化有一定的影响，也会导致生物多样性下降，生态系统退化。</w:t>
            </w:r>
          </w:p>
          <w:p>
            <w:pPr>
              <w:adjustRightInd w:val="0"/>
              <w:spacing w:line="360" w:lineRule="auto"/>
              <w:ind w:firstLine="480" w:firstLineChars="200"/>
              <w:rPr>
                <w:rFonts w:hAnsi="宋体"/>
                <w:color w:val="auto"/>
                <w:sz w:val="24"/>
              </w:rPr>
            </w:pPr>
            <w:r>
              <w:rPr>
                <w:rFonts w:hint="eastAsia" w:hAnsi="宋体"/>
                <w:color w:val="auto"/>
                <w:sz w:val="24"/>
              </w:rPr>
              <w:t>因此，本着恢复原地表生产力的目的，施工区采取一系列环保措施，减少施工各方面对生态系统的影响。</w:t>
            </w:r>
          </w:p>
          <w:bookmarkEnd w:id="11"/>
          <w:p>
            <w:pPr>
              <w:adjustRightInd w:val="0"/>
              <w:snapToGrid w:val="0"/>
              <w:spacing w:line="360" w:lineRule="auto"/>
              <w:ind w:firstLine="482" w:firstLineChars="200"/>
              <w:rPr>
                <w:b/>
                <w:color w:val="auto"/>
                <w:sz w:val="24"/>
              </w:rPr>
            </w:pPr>
            <w:r>
              <w:rPr>
                <w:b/>
                <w:color w:val="auto"/>
                <w:sz w:val="24"/>
              </w:rPr>
              <w:t>2.</w:t>
            </w:r>
            <w:r>
              <w:rPr>
                <w:rFonts w:hint="eastAsia" w:hAnsi="宋体"/>
                <w:b/>
                <w:color w:val="auto"/>
                <w:sz w:val="24"/>
              </w:rPr>
              <w:t>废气</w:t>
            </w:r>
          </w:p>
          <w:p>
            <w:pPr>
              <w:adjustRightInd w:val="0"/>
              <w:snapToGrid w:val="0"/>
              <w:spacing w:line="360" w:lineRule="auto"/>
              <w:ind w:firstLine="480" w:firstLineChars="200"/>
              <w:rPr>
                <w:rFonts w:hint="eastAsia" w:hAnsi="宋体"/>
                <w:bCs/>
                <w:color w:val="auto"/>
                <w:sz w:val="24"/>
              </w:rPr>
            </w:pPr>
            <w:r>
              <w:rPr>
                <w:rFonts w:hint="eastAsia" w:hAnsi="宋体"/>
                <w:bCs/>
                <w:color w:val="auto"/>
                <w:sz w:val="24"/>
              </w:rPr>
              <w:t>本项目施工期对大气环境的影响主要来自施工扬尘、施工车辆和施工机械尾气、道路扬尘等。</w:t>
            </w:r>
          </w:p>
          <w:p>
            <w:pPr>
              <w:adjustRightInd w:val="0"/>
              <w:snapToGrid w:val="0"/>
              <w:spacing w:line="360" w:lineRule="auto"/>
              <w:ind w:firstLine="480" w:firstLineChars="200"/>
              <w:rPr>
                <w:rFonts w:hint="eastAsia" w:hAnsi="宋体"/>
                <w:bCs/>
                <w:color w:val="auto"/>
                <w:sz w:val="24"/>
              </w:rPr>
            </w:pPr>
            <w:r>
              <w:rPr>
                <w:rFonts w:hint="eastAsia" w:hAnsi="宋体"/>
                <w:bCs/>
                <w:color w:val="auto"/>
                <w:sz w:val="24"/>
              </w:rPr>
              <w:t>⑴施工扬尘</w:t>
            </w:r>
          </w:p>
          <w:p>
            <w:pPr>
              <w:adjustRightInd w:val="0"/>
              <w:snapToGrid w:val="0"/>
              <w:spacing w:line="360" w:lineRule="auto"/>
              <w:ind w:firstLine="480" w:firstLineChars="200"/>
              <w:rPr>
                <w:rFonts w:hint="eastAsia" w:hAnsi="宋体"/>
                <w:bCs/>
                <w:color w:val="auto"/>
                <w:sz w:val="24"/>
              </w:rPr>
            </w:pPr>
            <w:r>
              <w:rPr>
                <w:rFonts w:hint="eastAsia" w:hAnsi="宋体"/>
                <w:bCs/>
                <w:color w:val="auto"/>
                <w:sz w:val="24"/>
              </w:rPr>
              <w:t>施工中</w:t>
            </w:r>
            <w:r>
              <w:rPr>
                <w:rFonts w:hint="eastAsia"/>
                <w:bCs/>
                <w:color w:val="auto"/>
                <w:sz w:val="24"/>
              </w:rPr>
              <w:t>沟道开挖、</w:t>
            </w:r>
            <w:r>
              <w:rPr>
                <w:bCs/>
                <w:color w:val="auto"/>
                <w:sz w:val="24"/>
              </w:rPr>
              <w:t>开挖前地表清理、</w:t>
            </w:r>
            <w:r>
              <w:rPr>
                <w:rFonts w:hint="eastAsia"/>
                <w:bCs/>
                <w:color w:val="auto"/>
                <w:sz w:val="24"/>
              </w:rPr>
              <w:t>填筑</w:t>
            </w:r>
            <w:r>
              <w:rPr>
                <w:rFonts w:hint="eastAsia" w:hAnsi="宋体"/>
                <w:bCs/>
                <w:color w:val="auto"/>
                <w:sz w:val="24"/>
              </w:rPr>
              <w:t>等产生的粉尘，基本上都是间歇式排放；车辆运输，</w:t>
            </w:r>
            <w:r>
              <w:rPr>
                <w:rFonts w:hint="eastAsia"/>
                <w:bCs/>
                <w:color w:val="auto"/>
                <w:sz w:val="24"/>
              </w:rPr>
              <w:t>施工</w:t>
            </w:r>
            <w:r>
              <w:rPr>
                <w:bCs/>
                <w:color w:val="auto"/>
                <w:sz w:val="24"/>
              </w:rPr>
              <w:t>机械</w:t>
            </w:r>
            <w:r>
              <w:rPr>
                <w:rFonts w:hint="eastAsia"/>
                <w:bCs/>
                <w:color w:val="auto"/>
                <w:sz w:val="24"/>
              </w:rPr>
              <w:t>尾气、道路扬尘</w:t>
            </w:r>
            <w:r>
              <w:rPr>
                <w:rFonts w:hint="eastAsia" w:hAnsi="宋体"/>
                <w:bCs/>
                <w:color w:val="auto"/>
                <w:sz w:val="24"/>
              </w:rPr>
              <w:t>为线性排放。施工废气排放对施工区及场内施工道路附近局部区域环境将产生一定影响。</w:t>
            </w:r>
          </w:p>
          <w:p>
            <w:pPr>
              <w:adjustRightInd w:val="0"/>
              <w:snapToGrid w:val="0"/>
              <w:spacing w:line="360" w:lineRule="auto"/>
              <w:ind w:firstLine="480" w:firstLineChars="200"/>
              <w:rPr>
                <w:rFonts w:hint="eastAsia" w:hAnsi="宋体"/>
                <w:bCs/>
                <w:color w:val="auto"/>
                <w:sz w:val="24"/>
              </w:rPr>
            </w:pPr>
            <w:r>
              <w:rPr>
                <w:rFonts w:hint="eastAsia" w:hAnsi="宋体"/>
                <w:bCs/>
                <w:color w:val="auto"/>
                <w:sz w:val="24"/>
              </w:rPr>
              <w:t>⑵施工车辆和施工机械尾气</w:t>
            </w:r>
          </w:p>
          <w:p>
            <w:pPr>
              <w:adjustRightInd w:val="0"/>
              <w:snapToGrid w:val="0"/>
              <w:spacing w:line="360" w:lineRule="auto"/>
              <w:ind w:firstLine="480" w:firstLineChars="200"/>
              <w:rPr>
                <w:rFonts w:hint="eastAsia" w:hAnsi="宋体"/>
                <w:bCs/>
                <w:color w:val="auto"/>
                <w:sz w:val="24"/>
              </w:rPr>
            </w:pPr>
            <w:r>
              <w:rPr>
                <w:rFonts w:hint="eastAsia" w:hAnsi="宋体"/>
                <w:bCs/>
                <w:color w:val="auto"/>
                <w:sz w:val="24"/>
              </w:rPr>
              <w:t>根据工程施工特点，一般多使用小型施工机械，并辅助人力施工。施工期产生污染物主要为氮氧化物、总烃等，施工区地势比较开阔，污染物排放比较分散，对局部大气环境的影响较小。</w:t>
            </w:r>
          </w:p>
          <w:p>
            <w:pPr>
              <w:adjustRightInd w:val="0"/>
              <w:snapToGrid w:val="0"/>
              <w:spacing w:line="360" w:lineRule="auto"/>
              <w:ind w:firstLine="480" w:firstLineChars="200"/>
              <w:rPr>
                <w:rFonts w:hint="eastAsia" w:hAnsi="宋体"/>
                <w:bCs/>
                <w:color w:val="auto"/>
                <w:sz w:val="24"/>
              </w:rPr>
            </w:pPr>
            <w:r>
              <w:rPr>
                <w:rFonts w:hint="eastAsia" w:hAnsi="宋体"/>
                <w:bCs/>
                <w:color w:val="auto"/>
                <w:sz w:val="24"/>
              </w:rPr>
              <w:t>⑶道路扬尘</w:t>
            </w:r>
          </w:p>
          <w:p>
            <w:pPr>
              <w:adjustRightInd w:val="0"/>
              <w:snapToGrid w:val="0"/>
              <w:spacing w:line="360" w:lineRule="auto"/>
              <w:ind w:firstLine="480" w:firstLineChars="200"/>
              <w:rPr>
                <w:rFonts w:hint="eastAsia"/>
                <w:color w:val="auto"/>
                <w:sz w:val="24"/>
              </w:rPr>
            </w:pPr>
            <w:r>
              <w:rPr>
                <w:rFonts w:hint="eastAsia" w:hAnsi="宋体"/>
                <w:bCs/>
                <w:color w:val="auto"/>
                <w:sz w:val="24"/>
              </w:rPr>
              <w:t>道路扬尘主要</w:t>
            </w:r>
            <w:r>
              <w:rPr>
                <w:rFonts w:hint="eastAsia" w:hAnsi="宋体"/>
                <w:bCs/>
                <w:color w:val="auto"/>
                <w:sz w:val="24"/>
                <w:lang w:eastAsia="zh-CN"/>
              </w:rPr>
              <w:t>来自</w:t>
            </w:r>
            <w:r>
              <w:rPr>
                <w:rFonts w:hint="eastAsia" w:hAnsi="宋体"/>
                <w:bCs/>
                <w:color w:val="auto"/>
                <w:sz w:val="24"/>
              </w:rPr>
              <w:t>汽车行驶产生的扬尘以及</w:t>
            </w:r>
            <w:r>
              <w:rPr>
                <w:rFonts w:hAnsi="宋体"/>
                <w:color w:val="auto"/>
                <w:sz w:val="24"/>
              </w:rPr>
              <w:t>出入</w:t>
            </w:r>
            <w:r>
              <w:rPr>
                <w:rFonts w:hint="eastAsia" w:hAnsi="宋体"/>
                <w:color w:val="auto"/>
                <w:sz w:val="24"/>
              </w:rPr>
              <w:t>施工场地</w:t>
            </w:r>
            <w:r>
              <w:rPr>
                <w:rFonts w:hAnsi="宋体"/>
                <w:color w:val="auto"/>
                <w:sz w:val="24"/>
              </w:rPr>
              <w:t>的施工机械的车轮轮胎将工地上的泥土粘带到沿途路上，经过来往车辆碾压形成灰尘，造成雨天泥泞，晴天风干，飘散飞扬；另外，清理平整场地过程中也会造成尘土飞扬</w:t>
            </w:r>
            <w:r>
              <w:rPr>
                <w:rFonts w:hint="eastAsia" w:hAnsi="宋体"/>
                <w:color w:val="auto"/>
                <w:sz w:val="24"/>
              </w:rPr>
              <w:t>；扬尘会对施工场地局部环境产生影响。</w:t>
            </w:r>
          </w:p>
          <w:p>
            <w:pPr>
              <w:adjustRightInd w:val="0"/>
              <w:snapToGrid w:val="0"/>
              <w:spacing w:line="360" w:lineRule="auto"/>
              <w:ind w:firstLine="482" w:firstLineChars="200"/>
              <w:rPr>
                <w:b/>
                <w:color w:val="auto"/>
                <w:sz w:val="24"/>
              </w:rPr>
            </w:pPr>
            <w:r>
              <w:rPr>
                <w:b/>
                <w:color w:val="auto"/>
                <w:sz w:val="24"/>
              </w:rPr>
              <w:t>3.</w:t>
            </w:r>
            <w:r>
              <w:rPr>
                <w:rFonts w:hint="eastAsia" w:hAnsi="宋体"/>
                <w:b/>
                <w:color w:val="auto"/>
                <w:sz w:val="24"/>
              </w:rPr>
              <w:t>废水</w:t>
            </w:r>
          </w:p>
          <w:p>
            <w:pPr>
              <w:pStyle w:val="83"/>
              <w:ind w:firstLine="480"/>
              <w:rPr>
                <w:rFonts w:ascii="Times New Roman" w:hAnsi="Times New Roman" w:eastAsia="宋体" w:cs="Times New Roman"/>
                <w:color w:val="auto"/>
                <w:sz w:val="24"/>
              </w:rPr>
            </w:pPr>
            <w:r>
              <w:rPr>
                <w:rFonts w:ascii="Times New Roman" w:hAnsi="宋体" w:eastAsia="宋体" w:cs="Times New Roman"/>
                <w:color w:val="auto"/>
                <w:sz w:val="24"/>
              </w:rPr>
              <w:t>本项目施工人员均雇佣周边居民，项目</w:t>
            </w:r>
            <w:r>
              <w:rPr>
                <w:rFonts w:hint="eastAsia" w:ascii="Times New Roman" w:hAnsi="宋体" w:eastAsia="宋体" w:cs="Times New Roman"/>
                <w:color w:val="auto"/>
                <w:sz w:val="24"/>
                <w:lang w:eastAsia="zh-CN"/>
              </w:rPr>
              <w:t>施工营地</w:t>
            </w:r>
            <w:r>
              <w:rPr>
                <w:rFonts w:hint="eastAsia" w:ascii="Times New Roman" w:hAnsi="宋体" w:eastAsia="宋体" w:cs="Times New Roman"/>
                <w:color w:val="auto"/>
                <w:sz w:val="24"/>
              </w:rPr>
              <w:t>仅设置办公区</w:t>
            </w:r>
            <w:r>
              <w:rPr>
                <w:rFonts w:ascii="Times New Roman" w:hAnsi="宋体" w:eastAsia="宋体" w:cs="Times New Roman"/>
                <w:color w:val="auto"/>
                <w:sz w:val="24"/>
              </w:rPr>
              <w:t>，施工期产生的废水主要为施工废水。</w:t>
            </w:r>
          </w:p>
          <w:p>
            <w:pPr>
              <w:adjustRightInd w:val="0"/>
              <w:snapToGrid w:val="0"/>
              <w:spacing w:line="360" w:lineRule="auto"/>
              <w:ind w:firstLine="480"/>
              <w:rPr>
                <w:rFonts w:hint="eastAsia" w:hAnsi="宋体"/>
                <w:color w:val="auto"/>
                <w:sz w:val="24"/>
              </w:rPr>
            </w:pPr>
            <w:r>
              <w:rPr>
                <w:rFonts w:hint="eastAsia" w:hAnsi="宋体"/>
                <w:color w:val="auto"/>
                <w:sz w:val="24"/>
              </w:rPr>
              <w:t>根据《宁夏回族自治区大气污染防治条例》“在施工现场出口处设置车辆冲洗设施并配套设置排水、泥浆沉淀设施，施工车辆不得带泥上路行驶，施工现场道路以及出口周边的道路不得存留建筑垃圾和泥土。”</w:t>
            </w:r>
            <w:r>
              <w:rPr>
                <w:rFonts w:hint="eastAsia"/>
                <w:color w:val="auto"/>
                <w:sz w:val="24"/>
              </w:rPr>
              <w:t>设置</w:t>
            </w:r>
            <w:r>
              <w:rPr>
                <w:rFonts w:hint="eastAsia"/>
                <w:color w:val="auto"/>
                <w:sz w:val="24"/>
                <w:lang w:val="en-US" w:eastAsia="zh-CN"/>
              </w:rPr>
              <w:t>草垫子及洒水装置</w:t>
            </w:r>
            <w:r>
              <w:rPr>
                <w:color w:val="auto"/>
                <w:sz w:val="24"/>
              </w:rPr>
              <w:t>对出入工地的运输车辆</w:t>
            </w:r>
            <w:r>
              <w:rPr>
                <w:rFonts w:hint="eastAsia"/>
                <w:color w:val="auto"/>
                <w:sz w:val="24"/>
              </w:rPr>
              <w:t>轮胎进行</w:t>
            </w:r>
            <w:r>
              <w:rPr>
                <w:rFonts w:hint="eastAsia"/>
                <w:color w:val="auto"/>
                <w:sz w:val="24"/>
                <w:lang w:eastAsia="zh-CN"/>
              </w:rPr>
              <w:t>刷</w:t>
            </w:r>
            <w:r>
              <w:rPr>
                <w:color w:val="auto"/>
                <w:sz w:val="24"/>
              </w:rPr>
              <w:t>洗，不得携带泥土驶出施工</w:t>
            </w:r>
            <w:r>
              <w:rPr>
                <w:rFonts w:hint="eastAsia"/>
                <w:color w:val="auto"/>
                <w:sz w:val="24"/>
              </w:rPr>
              <w:t>场地</w:t>
            </w:r>
            <w:r>
              <w:rPr>
                <w:rFonts w:hint="eastAsia"/>
                <w:color w:val="auto"/>
                <w:sz w:val="24"/>
                <w:lang w:eastAsia="zh-CN"/>
              </w:rPr>
              <w:t>，</w:t>
            </w:r>
            <w:r>
              <w:rPr>
                <w:rFonts w:hint="eastAsia" w:hAnsi="宋体"/>
                <w:color w:val="auto"/>
                <w:sz w:val="24"/>
              </w:rPr>
              <w:t>施工废水主要为车轮</w:t>
            </w:r>
            <w:r>
              <w:rPr>
                <w:rFonts w:hint="eastAsia" w:hAnsi="宋体"/>
                <w:color w:val="auto"/>
                <w:sz w:val="24"/>
                <w:lang w:eastAsia="zh-CN"/>
              </w:rPr>
              <w:t>刷</w:t>
            </w:r>
            <w:r>
              <w:rPr>
                <w:rFonts w:hAnsi="宋体"/>
                <w:color w:val="auto"/>
                <w:sz w:val="24"/>
              </w:rPr>
              <w:t>洗废水，</w:t>
            </w:r>
            <w:r>
              <w:rPr>
                <w:rFonts w:hint="eastAsia" w:hAnsi="宋体"/>
                <w:color w:val="auto"/>
                <w:sz w:val="24"/>
                <w:lang w:val="en-US" w:eastAsia="zh-CN"/>
              </w:rPr>
              <w:t>车轮刷洗废水蒸发损耗不外排</w:t>
            </w:r>
            <w:r>
              <w:rPr>
                <w:rFonts w:hint="eastAsia" w:hAnsi="宋体"/>
                <w:color w:val="auto"/>
                <w:sz w:val="24"/>
              </w:rPr>
              <w:t>。</w:t>
            </w:r>
          </w:p>
          <w:p>
            <w:pPr>
              <w:pStyle w:val="6"/>
              <w:spacing w:line="360" w:lineRule="auto"/>
              <w:rPr>
                <w:rFonts w:hint="eastAsia"/>
                <w:color w:val="auto"/>
                <w:sz w:val="24"/>
                <w:szCs w:val="24"/>
              </w:rPr>
            </w:pPr>
            <w:r>
              <w:rPr>
                <w:rFonts w:hint="eastAsia"/>
                <w:color w:val="auto"/>
                <w:sz w:val="24"/>
                <w:szCs w:val="24"/>
              </w:rPr>
              <w:t>施工营地设置环保型旱厕粪便定期清掏外运。</w:t>
            </w:r>
          </w:p>
          <w:p>
            <w:pPr>
              <w:adjustRightInd w:val="0"/>
              <w:snapToGrid w:val="0"/>
              <w:spacing w:line="360" w:lineRule="auto"/>
              <w:ind w:firstLine="482" w:firstLineChars="200"/>
              <w:rPr>
                <w:b/>
                <w:color w:val="auto"/>
                <w:sz w:val="24"/>
              </w:rPr>
            </w:pPr>
            <w:r>
              <w:rPr>
                <w:b/>
                <w:color w:val="auto"/>
                <w:sz w:val="24"/>
              </w:rPr>
              <w:t>4.</w:t>
            </w:r>
            <w:r>
              <w:rPr>
                <w:rFonts w:hAnsi="宋体"/>
                <w:b/>
                <w:color w:val="auto"/>
                <w:sz w:val="24"/>
              </w:rPr>
              <w:t>噪声</w:t>
            </w:r>
          </w:p>
          <w:p>
            <w:pPr>
              <w:spacing w:line="360" w:lineRule="auto"/>
              <w:ind w:firstLine="480" w:firstLineChars="200"/>
              <w:rPr>
                <w:rFonts w:hAnsi="宋体"/>
                <w:color w:val="auto"/>
                <w:sz w:val="24"/>
              </w:rPr>
            </w:pPr>
            <w:r>
              <w:rPr>
                <w:rFonts w:hint="eastAsia" w:hAnsi="宋体"/>
                <w:color w:val="auto"/>
                <w:sz w:val="24"/>
              </w:rPr>
              <w:t>本项目施工期噪声主要来源于施工机械、设备、运输车辆的运行产生的机械设备噪声，主要影响受体为临近施工区域的居民点。施工机械噪声源多为间歇性和流动性，施工期噪声影响随施工结束而消失。</w:t>
            </w:r>
          </w:p>
          <w:p>
            <w:pPr>
              <w:adjustRightInd w:val="0"/>
              <w:snapToGrid w:val="0"/>
              <w:spacing w:before="120" w:beforeLines="50" w:line="360" w:lineRule="auto"/>
              <w:ind w:firstLine="482" w:firstLineChars="200"/>
              <w:rPr>
                <w:b/>
                <w:color w:val="auto"/>
                <w:sz w:val="24"/>
              </w:rPr>
            </w:pPr>
            <w:r>
              <w:rPr>
                <w:b/>
                <w:color w:val="auto"/>
                <w:sz w:val="24"/>
              </w:rPr>
              <w:t>5.</w:t>
            </w:r>
            <w:r>
              <w:rPr>
                <w:rFonts w:hAnsi="宋体"/>
                <w:b/>
                <w:color w:val="auto"/>
                <w:sz w:val="24"/>
              </w:rPr>
              <w:t>固体废物</w:t>
            </w:r>
          </w:p>
          <w:p>
            <w:pPr>
              <w:snapToGrid w:val="0"/>
              <w:spacing w:line="360" w:lineRule="auto"/>
              <w:ind w:firstLine="480" w:firstLineChars="200"/>
              <w:rPr>
                <w:rFonts w:hAnsi="宋体"/>
                <w:bCs/>
                <w:color w:val="auto"/>
                <w:sz w:val="24"/>
              </w:rPr>
            </w:pPr>
            <w:r>
              <w:rPr>
                <w:rFonts w:hint="eastAsia" w:hAnsi="宋体"/>
                <w:bCs/>
                <w:color w:val="auto"/>
                <w:sz w:val="24"/>
              </w:rPr>
              <w:t>施工期固废</w:t>
            </w:r>
            <w:r>
              <w:rPr>
                <w:rFonts w:hAnsi="宋体"/>
                <w:bCs/>
                <w:color w:val="auto"/>
                <w:sz w:val="24"/>
              </w:rPr>
              <w:t>主要为</w:t>
            </w:r>
            <w:r>
              <w:rPr>
                <w:rFonts w:hint="eastAsia" w:hAnsi="宋体"/>
                <w:bCs/>
                <w:color w:val="auto"/>
                <w:sz w:val="24"/>
              </w:rPr>
              <w:t>建筑垃圾</w:t>
            </w:r>
            <w:r>
              <w:rPr>
                <w:rFonts w:hint="eastAsia" w:hAnsi="宋体"/>
                <w:bCs/>
                <w:color w:val="auto"/>
                <w:sz w:val="24"/>
                <w:lang w:eastAsia="zh-CN"/>
              </w:rPr>
              <w:t>、弃方</w:t>
            </w:r>
            <w:r>
              <w:rPr>
                <w:rFonts w:hAnsi="宋体"/>
                <w:bCs/>
                <w:color w:val="auto"/>
                <w:sz w:val="24"/>
              </w:rPr>
              <w:t>及施工人员产生的少量生活垃圾。</w:t>
            </w:r>
          </w:p>
          <w:p>
            <w:pPr>
              <w:snapToGrid w:val="0"/>
              <w:spacing w:line="360" w:lineRule="auto"/>
              <w:ind w:firstLine="480" w:firstLineChars="200"/>
              <w:rPr>
                <w:rFonts w:hAnsi="宋体"/>
                <w:bCs/>
                <w:color w:val="auto"/>
                <w:sz w:val="24"/>
              </w:rPr>
            </w:pPr>
            <w:r>
              <w:rPr>
                <w:rFonts w:hint="eastAsia" w:hAnsi="宋体"/>
                <w:bCs/>
                <w:color w:val="auto"/>
                <w:sz w:val="24"/>
              </w:rPr>
              <w:t>（1）生活垃圾</w:t>
            </w:r>
          </w:p>
          <w:p>
            <w:pPr>
              <w:snapToGrid w:val="0"/>
              <w:spacing w:line="360" w:lineRule="auto"/>
              <w:ind w:firstLine="480" w:firstLineChars="200"/>
              <w:rPr>
                <w:bCs/>
                <w:color w:val="auto"/>
                <w:sz w:val="24"/>
              </w:rPr>
            </w:pPr>
            <w:r>
              <w:rPr>
                <w:rFonts w:hAnsi="宋体"/>
                <w:bCs/>
                <w:color w:val="auto"/>
                <w:sz w:val="24"/>
              </w:rPr>
              <w:t>本项目</w:t>
            </w:r>
            <w:r>
              <w:rPr>
                <w:rFonts w:hint="eastAsia" w:hAnsi="宋体"/>
                <w:bCs/>
                <w:color w:val="auto"/>
                <w:sz w:val="24"/>
              </w:rPr>
              <w:t>施工垃圾主要为施工人员生活垃圾，</w:t>
            </w:r>
            <w:r>
              <w:rPr>
                <w:rFonts w:hAnsi="宋体"/>
                <w:bCs/>
                <w:color w:val="auto"/>
                <w:sz w:val="24"/>
              </w:rPr>
              <w:t>施工人员垃圾产生量按</w:t>
            </w:r>
            <w:r>
              <w:rPr>
                <w:bCs/>
                <w:color w:val="auto"/>
                <w:sz w:val="24"/>
              </w:rPr>
              <w:t>0.5kg/</w:t>
            </w:r>
            <w:r>
              <w:rPr>
                <w:rFonts w:hAnsi="宋体"/>
                <w:bCs/>
                <w:color w:val="auto"/>
                <w:sz w:val="24"/>
              </w:rPr>
              <w:t>人</w:t>
            </w:r>
            <w:r>
              <w:rPr>
                <w:bCs/>
                <w:color w:val="auto"/>
                <w:sz w:val="24"/>
              </w:rPr>
              <w:t>•d</w:t>
            </w:r>
            <w:r>
              <w:rPr>
                <w:rFonts w:hAnsi="宋体"/>
                <w:bCs/>
                <w:color w:val="auto"/>
                <w:sz w:val="24"/>
              </w:rPr>
              <w:t>，共</w:t>
            </w:r>
            <w:r>
              <w:rPr>
                <w:rFonts w:hint="eastAsia"/>
                <w:bCs/>
                <w:color w:val="auto"/>
                <w:sz w:val="24"/>
              </w:rPr>
              <w:t>30</w:t>
            </w:r>
            <w:r>
              <w:rPr>
                <w:rFonts w:hAnsi="宋体"/>
                <w:bCs/>
                <w:color w:val="auto"/>
                <w:sz w:val="24"/>
              </w:rPr>
              <w:t>人计算，施工期总长</w:t>
            </w:r>
            <w:r>
              <w:rPr>
                <w:rFonts w:hint="eastAsia" w:hAnsi="宋体"/>
                <w:bCs/>
                <w:color w:val="auto"/>
                <w:sz w:val="24"/>
                <w:lang w:val="en-US" w:eastAsia="zh-CN"/>
              </w:rPr>
              <w:t>2</w:t>
            </w:r>
            <w:r>
              <w:rPr>
                <w:rFonts w:hAnsi="宋体"/>
                <w:bCs/>
                <w:color w:val="auto"/>
                <w:sz w:val="24"/>
              </w:rPr>
              <w:t>个月，施工期共产生生活垃圾</w:t>
            </w:r>
            <w:r>
              <w:rPr>
                <w:rFonts w:hint="eastAsia"/>
                <w:bCs/>
                <w:color w:val="auto"/>
                <w:sz w:val="24"/>
                <w:lang w:val="en-US" w:eastAsia="zh-CN"/>
              </w:rPr>
              <w:t>0.9</w:t>
            </w:r>
            <w:r>
              <w:rPr>
                <w:bCs/>
                <w:color w:val="auto"/>
                <w:sz w:val="24"/>
              </w:rPr>
              <w:t>t</w:t>
            </w:r>
            <w:r>
              <w:rPr>
                <w:rFonts w:hAnsi="宋体"/>
                <w:bCs/>
                <w:color w:val="auto"/>
                <w:sz w:val="24"/>
              </w:rPr>
              <w:t>，</w:t>
            </w:r>
            <w:r>
              <w:rPr>
                <w:rFonts w:hint="eastAsia" w:hAnsi="宋体"/>
                <w:bCs/>
                <w:color w:val="auto"/>
                <w:sz w:val="24"/>
              </w:rPr>
              <w:t>分类</w:t>
            </w:r>
            <w:r>
              <w:rPr>
                <w:rFonts w:hAnsi="宋体"/>
                <w:bCs/>
                <w:color w:val="auto"/>
                <w:sz w:val="24"/>
              </w:rPr>
              <w:t>收集后交由环卫部门处置。</w:t>
            </w:r>
          </w:p>
          <w:p>
            <w:pPr>
              <w:snapToGrid w:val="0"/>
              <w:spacing w:line="360" w:lineRule="auto"/>
              <w:ind w:firstLine="480" w:firstLineChars="200"/>
              <w:rPr>
                <w:rFonts w:hAnsi="宋体"/>
                <w:bCs/>
                <w:color w:val="auto"/>
                <w:sz w:val="24"/>
              </w:rPr>
            </w:pPr>
            <w:r>
              <w:rPr>
                <w:rFonts w:hint="eastAsia" w:hAnsi="宋体"/>
                <w:bCs/>
                <w:color w:val="auto"/>
                <w:sz w:val="24"/>
              </w:rPr>
              <w:t>（2）建筑垃圾</w:t>
            </w:r>
          </w:p>
          <w:p>
            <w:pPr>
              <w:snapToGrid w:val="0"/>
              <w:spacing w:line="360" w:lineRule="auto"/>
              <w:ind w:firstLine="480" w:firstLineChars="200"/>
              <w:rPr>
                <w:rFonts w:hint="default" w:ascii="Times New Roman" w:hAnsi="宋体" w:eastAsia="宋体" w:cs="Times New Roman"/>
                <w:bCs/>
                <w:color w:val="auto"/>
                <w:sz w:val="24"/>
              </w:rPr>
            </w:pPr>
            <w:r>
              <w:rPr>
                <w:rFonts w:hint="eastAsia" w:ascii="Times New Roman" w:hAnsi="宋体" w:eastAsia="宋体" w:cs="Times New Roman"/>
                <w:bCs/>
                <w:color w:val="auto"/>
                <w:sz w:val="24"/>
              </w:rPr>
              <w:t>本项目产生的建筑垃圾主要为</w:t>
            </w:r>
            <w:r>
              <w:rPr>
                <w:rFonts w:hint="eastAsia" w:ascii="Times New Roman" w:hAnsi="宋体" w:eastAsia="宋体" w:cs="Times New Roman"/>
                <w:bCs/>
                <w:color w:val="auto"/>
                <w:sz w:val="24"/>
                <w:lang w:val="en-US" w:eastAsia="zh-CN"/>
              </w:rPr>
              <w:t>建筑物维修</w:t>
            </w:r>
            <w:r>
              <w:rPr>
                <w:rFonts w:hint="eastAsia" w:ascii="Times New Roman" w:hAnsi="宋体" w:eastAsia="宋体" w:cs="Times New Roman"/>
                <w:bCs/>
                <w:color w:val="auto"/>
                <w:sz w:val="24"/>
              </w:rPr>
              <w:t>过程中产生的块石、混凝土块、废旧钢筋等，根据初步设计方案，拆除建筑物为</w:t>
            </w:r>
            <w:r>
              <w:rPr>
                <w:rFonts w:hint="eastAsia" w:ascii="Times New Roman" w:hAnsi="宋体" w:eastAsia="宋体" w:cs="Times New Roman"/>
                <w:bCs/>
                <w:color w:val="auto"/>
                <w:sz w:val="24"/>
                <w:lang w:val="en-US" w:eastAsia="zh-CN"/>
              </w:rPr>
              <w:t>1</w:t>
            </w:r>
            <w:r>
              <w:rPr>
                <w:rFonts w:hint="eastAsia" w:ascii="Times New Roman" w:hAnsi="宋体" w:eastAsia="宋体" w:cs="Times New Roman"/>
                <w:bCs/>
                <w:color w:val="auto"/>
                <w:sz w:val="24"/>
              </w:rPr>
              <w:t>t</w:t>
            </w:r>
            <w:r>
              <w:rPr>
                <w:rFonts w:hint="eastAsia" w:hAnsi="宋体" w:cs="Times New Roman"/>
                <w:bCs/>
                <w:color w:val="auto"/>
                <w:sz w:val="24"/>
                <w:lang w:eastAsia="zh-CN"/>
              </w:rPr>
              <w:t>，拆除的建筑垃圾综合利用，未利用的交由建设单位运至由环境卫生主管部门指定的建筑垃圾填埋场进行处置</w:t>
            </w:r>
            <w:r>
              <w:rPr>
                <w:rFonts w:hint="eastAsia" w:ascii="Times New Roman" w:hAnsi="宋体" w:eastAsia="宋体" w:cs="Times New Roman"/>
                <w:bCs/>
                <w:color w:val="auto"/>
                <w:sz w:val="24"/>
              </w:rPr>
              <w:t>。</w:t>
            </w:r>
          </w:p>
          <w:p>
            <w:pPr>
              <w:snapToGrid w:val="0"/>
              <w:spacing w:line="360" w:lineRule="auto"/>
              <w:ind w:firstLine="480" w:firstLineChars="200"/>
              <w:rPr>
                <w:rFonts w:hint="eastAsia" w:ascii="Times New Roman" w:hAnsi="宋体" w:eastAsia="宋体" w:cs="Times New Roman"/>
                <w:bCs/>
                <w:color w:val="auto"/>
                <w:sz w:val="24"/>
                <w:lang w:eastAsia="zh-CN"/>
              </w:rPr>
            </w:pPr>
            <w:r>
              <w:rPr>
                <w:rFonts w:hint="eastAsia" w:ascii="Times New Roman" w:hAnsi="宋体" w:eastAsia="宋体" w:cs="Times New Roman"/>
                <w:bCs/>
                <w:color w:val="auto"/>
                <w:sz w:val="24"/>
              </w:rPr>
              <w:t>（</w:t>
            </w:r>
            <w:r>
              <w:rPr>
                <w:rFonts w:hint="eastAsia" w:ascii="Times New Roman" w:hAnsi="宋体" w:eastAsia="宋体" w:cs="Times New Roman"/>
                <w:bCs/>
                <w:color w:val="auto"/>
                <w:sz w:val="24"/>
                <w:lang w:val="en-US" w:eastAsia="zh-CN"/>
              </w:rPr>
              <w:t>3</w:t>
            </w:r>
            <w:r>
              <w:rPr>
                <w:rFonts w:hint="eastAsia" w:ascii="Times New Roman" w:hAnsi="宋体" w:eastAsia="宋体" w:cs="Times New Roman"/>
                <w:bCs/>
                <w:color w:val="auto"/>
                <w:sz w:val="24"/>
              </w:rPr>
              <w:t>）</w:t>
            </w:r>
            <w:r>
              <w:rPr>
                <w:rFonts w:hint="eastAsia" w:ascii="Times New Roman" w:hAnsi="宋体" w:eastAsia="宋体" w:cs="Times New Roman"/>
                <w:bCs/>
                <w:color w:val="auto"/>
                <w:sz w:val="24"/>
                <w:lang w:eastAsia="zh-CN"/>
              </w:rPr>
              <w:t>弃方</w:t>
            </w:r>
          </w:p>
          <w:p>
            <w:pPr>
              <w:snapToGrid w:val="0"/>
              <w:spacing w:line="360" w:lineRule="auto"/>
              <w:ind w:firstLine="480" w:firstLineChars="200"/>
              <w:rPr>
                <w:rFonts w:hint="default" w:ascii="Times New Roman" w:hAnsi="Times New Roman" w:cs="Times New Roman"/>
                <w:bCs/>
                <w:color w:val="auto"/>
                <w:szCs w:val="21"/>
              </w:rPr>
            </w:pPr>
            <w:r>
              <w:rPr>
                <w:rFonts w:hint="eastAsia" w:ascii="Times New Roman" w:hAnsi="宋体" w:eastAsia="宋体" w:cs="Times New Roman"/>
                <w:bCs/>
                <w:color w:val="auto"/>
                <w:sz w:val="24"/>
                <w:lang w:val="en-US" w:eastAsia="zh-CN"/>
              </w:rPr>
              <w:t>本项目产生的弃方为工程的挖方，</w:t>
            </w:r>
            <w:r>
              <w:rPr>
                <w:rFonts w:hint="eastAsia" w:ascii="Times New Roman" w:hAnsi="宋体" w:eastAsia="宋体" w:cs="Times New Roman"/>
                <w:bCs/>
                <w:color w:val="auto"/>
                <w:sz w:val="24"/>
                <w:lang w:eastAsia="zh-CN"/>
              </w:rPr>
              <w:t>本项目弃方为</w:t>
            </w:r>
            <w:r>
              <w:rPr>
                <w:rFonts w:hint="eastAsia" w:ascii="Times New Roman" w:hAnsi="Times New Roman" w:cs="Times New Roman"/>
                <w:bCs/>
                <w:color w:val="auto"/>
                <w:sz w:val="24"/>
                <w:lang w:val="en-US" w:eastAsia="zh-CN"/>
              </w:rPr>
              <w:t>8.19</w:t>
            </w:r>
            <w:r>
              <w:rPr>
                <w:rFonts w:hint="default" w:ascii="Times New Roman" w:hAnsi="Times New Roman" w:cs="Times New Roman"/>
                <w:bCs/>
                <w:color w:val="auto"/>
                <w:sz w:val="24"/>
              </w:rPr>
              <w:t>万m</w:t>
            </w:r>
            <w:r>
              <w:rPr>
                <w:rFonts w:hint="default" w:ascii="Times New Roman" w:hAnsi="Times New Roman" w:cs="Times New Roman"/>
                <w:bCs/>
                <w:color w:val="auto"/>
                <w:sz w:val="24"/>
                <w:vertAlign w:val="superscript"/>
                <w:lang w:val="en-US" w:eastAsia="zh-CN"/>
              </w:rPr>
              <w:t>3</w:t>
            </w:r>
            <w:r>
              <w:rPr>
                <w:rFonts w:hint="eastAsia" w:ascii="Times New Roman" w:hAnsi="宋体" w:eastAsia="宋体" w:cs="Times New Roman"/>
                <w:bCs/>
                <w:color w:val="auto"/>
                <w:sz w:val="24"/>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79" w:type="dxa"/>
            <w:tcMar>
              <w:left w:w="28" w:type="dxa"/>
              <w:right w:w="28" w:type="dxa"/>
            </w:tcMar>
            <w:vAlign w:val="center"/>
          </w:tcPr>
          <w:p>
            <w:pPr>
              <w:pStyle w:val="20"/>
              <w:adjustRightInd w:val="0"/>
              <w:snapToGrid w:val="0"/>
              <w:spacing w:before="0" w:beforeAutospacing="0" w:after="0" w:afterAutospacing="0"/>
              <w:jc w:val="center"/>
              <w:rPr>
                <w:rFonts w:hint="default" w:ascii="Times New Roman" w:hAnsi="Times New Roman" w:cs="Times New Roman"/>
                <w:bCs/>
                <w:color w:val="auto"/>
                <w:kern w:val="2"/>
                <w:sz w:val="21"/>
                <w:szCs w:val="21"/>
              </w:rPr>
            </w:pPr>
            <w:r>
              <w:rPr>
                <w:rFonts w:hint="default" w:ascii="Times New Roman" w:hAnsi="Times New Roman" w:cs="Times New Roman"/>
                <w:bCs/>
                <w:color w:val="auto"/>
                <w:spacing w:val="10"/>
                <w:kern w:val="2"/>
                <w:sz w:val="24"/>
                <w:szCs w:val="24"/>
              </w:rPr>
              <w:t>运营期生态环境影响分析</w:t>
            </w:r>
          </w:p>
        </w:tc>
        <w:tc>
          <w:tcPr>
            <w:tcW w:w="8363" w:type="dxa"/>
          </w:tcPr>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本项目为</w:t>
            </w:r>
            <w:r>
              <w:rPr>
                <w:rFonts w:hint="default" w:ascii="Times New Roman" w:hAnsi="Times New Roman" w:cs="Times New Roman"/>
                <w:bCs/>
                <w:color w:val="auto"/>
                <w:sz w:val="24"/>
                <w:lang w:eastAsia="zh-CN"/>
              </w:rPr>
              <w:t>折腰沟村内涝外排工程</w:t>
            </w:r>
            <w:r>
              <w:rPr>
                <w:rFonts w:hint="default" w:ascii="Times New Roman" w:hAnsi="Times New Roman" w:cs="Times New Roman"/>
                <w:bCs/>
                <w:color w:val="auto"/>
                <w:sz w:val="24"/>
              </w:rPr>
              <w:t>，项目建成后对环境的影响主要体现在有利的一面。但由于投入运营后，临时占地会减少地表植被数量。护坡工程等临时占地不可避免地减少了当地植被、生物量。本项目设计施工过程中，在保证生产要求的前提下，最大限度地采取避让的措施以减少占地对地表植被的破坏。通过采取有效的措施，项目区域植被将得到一定的恢复。</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color w:val="auto"/>
                <w:sz w:val="24"/>
              </w:rPr>
            </w:pPr>
            <w:r>
              <w:rPr>
                <w:rFonts w:hint="default" w:ascii="Times New Roman" w:hAnsi="Times New Roman" w:cs="Times New Roman"/>
                <w:b/>
                <w:color w:val="auto"/>
                <w:sz w:val="24"/>
              </w:rPr>
              <w:t>1、生态环境效益</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bCs/>
                <w:color w:val="auto"/>
                <w:sz w:val="24"/>
              </w:rPr>
            </w:pPr>
            <w:r>
              <w:rPr>
                <w:rFonts w:hint="default" w:ascii="Times New Roman" w:hAnsi="Times New Roman" w:cs="Times New Roman"/>
                <w:bCs/>
                <w:color w:val="auto"/>
                <w:sz w:val="24"/>
              </w:rPr>
              <w:t>（1）增强生态系统功能，创造生态美好环境</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项目实施后，区域小气候将得到有效调节，生态系统功能增强，区域抗御自然灾害的能力提高，单位面积生物产量也将会大幅度提高，生态环境将明显改善。通过项目建设将提高当地野生动物将得以繁衍和发展，有利形成人、动植物与自然协调发展并和谐相处的美好环境。</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bCs/>
                <w:color w:val="auto"/>
                <w:sz w:val="24"/>
              </w:rPr>
            </w:pPr>
            <w:r>
              <w:rPr>
                <w:rFonts w:hint="default" w:ascii="Times New Roman" w:hAnsi="Times New Roman" w:cs="Times New Roman"/>
                <w:bCs/>
                <w:color w:val="auto"/>
                <w:sz w:val="24"/>
              </w:rPr>
              <w:t>（2）创新水安全理念，提高防御自然灾害的能力</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通过河道整治工程，创新了水安全理念，受到了显著的固土、保安效果，改善了生态环境。</w:t>
            </w:r>
            <w:r>
              <w:rPr>
                <w:rFonts w:hint="eastAsia" w:ascii="Times New Roman" w:hAnsi="Times New Roman" w:cs="Times New Roman"/>
                <w:bCs/>
                <w:color w:val="auto"/>
                <w:sz w:val="24"/>
                <w:lang w:eastAsia="zh-CN"/>
              </w:rPr>
              <w:t>边坡</w:t>
            </w:r>
            <w:r>
              <w:rPr>
                <w:rFonts w:hint="default" w:ascii="Times New Roman" w:hAnsi="Times New Roman" w:cs="Times New Roman"/>
                <w:bCs/>
                <w:color w:val="auto"/>
                <w:sz w:val="24"/>
              </w:rPr>
              <w:t>、排</w:t>
            </w:r>
            <w:r>
              <w:rPr>
                <w:rFonts w:hint="eastAsia" w:ascii="Times New Roman" w:hAnsi="Times New Roman" w:cs="Times New Roman"/>
                <w:bCs/>
                <w:color w:val="auto"/>
                <w:sz w:val="24"/>
                <w:lang w:eastAsia="zh-CN"/>
              </w:rPr>
              <w:t>洪槽</w:t>
            </w:r>
            <w:r>
              <w:rPr>
                <w:rFonts w:hint="default" w:ascii="Times New Roman" w:hAnsi="Times New Roman" w:cs="Times New Roman"/>
                <w:bCs/>
                <w:color w:val="auto"/>
                <w:sz w:val="24"/>
              </w:rPr>
              <w:t>等设施，可以提高防御自然灾害的能力，灾害损失明显降低。</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bCs/>
                <w:color w:val="auto"/>
                <w:sz w:val="24"/>
              </w:rPr>
            </w:pPr>
            <w:r>
              <w:rPr>
                <w:rFonts w:hint="default" w:ascii="Times New Roman" w:hAnsi="Times New Roman" w:cs="Times New Roman"/>
                <w:bCs/>
                <w:color w:val="auto"/>
                <w:sz w:val="24"/>
              </w:rPr>
              <w:t>（3）水土保持效益</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流域生态治理水土保持措施实施后，大大减少入沟泥沙，延缓下游河道淤积，林草郁闭度将大幅度提高，生态环境将明显改善，区域抗御自然灾害的能力提高。</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color w:val="auto"/>
                <w:sz w:val="24"/>
              </w:rPr>
            </w:pPr>
            <w:r>
              <w:rPr>
                <w:rFonts w:hint="default" w:ascii="Times New Roman" w:hAnsi="Times New Roman" w:cs="Times New Roman"/>
                <w:b/>
                <w:color w:val="auto"/>
                <w:sz w:val="24"/>
              </w:rPr>
              <w:t>2、社会效益</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工程建设为流域农民增收、农村经济发展创造条件。具体表现在以下方面。</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bCs/>
                <w:color w:val="auto"/>
                <w:sz w:val="24"/>
              </w:rPr>
            </w:pPr>
            <w:r>
              <w:rPr>
                <w:rFonts w:hint="default" w:ascii="Times New Roman" w:hAnsi="Times New Roman" w:cs="Times New Roman"/>
                <w:bCs/>
                <w:color w:val="auto"/>
                <w:sz w:val="24"/>
              </w:rPr>
              <w:t>（1）增强排水能力，保障人民生命财产安全</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工程建设保证了国家财产免受损失、保证了灌区人民安居乐业，有效保护生态环境，实现人与自然的和谐相处和促进经济社会的可持续发展，使抗御降雨的能力大大提高，为防洪安全和土地资源开发提供有利保障。</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bCs/>
                <w:color w:val="auto"/>
                <w:sz w:val="24"/>
              </w:rPr>
            </w:pPr>
            <w:r>
              <w:rPr>
                <w:rFonts w:hint="default" w:ascii="Times New Roman" w:hAnsi="Times New Roman" w:cs="Times New Roman"/>
                <w:bCs/>
                <w:color w:val="auto"/>
                <w:sz w:val="24"/>
              </w:rPr>
              <w:t>（2）提高了环境质量，缓解了人地矛盾，促进了生态环境良性循环。</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工程的实施，不仅为当地群众提供大量的生活物质资料，而且使区域人口承载量提高，人口密度和人口环境容量将达到相对稳定，这将会极大地提高本地区生产力水平，人口、资源、环境、经济得到协调发展，从而促进生态环境系统结构、功能转向良性循环。</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bCs/>
                <w:color w:val="auto"/>
                <w:sz w:val="24"/>
              </w:rPr>
            </w:pPr>
            <w:r>
              <w:rPr>
                <w:rFonts w:hint="default" w:ascii="Times New Roman" w:hAnsi="Times New Roman" w:cs="Times New Roman"/>
                <w:bCs/>
                <w:color w:val="auto"/>
                <w:sz w:val="24"/>
              </w:rPr>
              <w:t>（3）维护了民族地区的社会稳定，树立了党和政府在人民群众中的良好形象</w:t>
            </w:r>
          </w:p>
          <w:p>
            <w:pPr>
              <w:adjustRightInd w:val="0"/>
              <w:snapToGrid w:val="0"/>
              <w:spacing w:line="360" w:lineRule="auto"/>
              <w:ind w:firstLine="480" w:firstLineChars="200"/>
              <w:rPr>
                <w:rFonts w:hint="default" w:ascii="Times New Roman" w:hAnsi="Times New Roman" w:cs="Times New Roman"/>
                <w:bCs/>
                <w:color w:val="auto"/>
                <w:szCs w:val="21"/>
              </w:rPr>
            </w:pPr>
            <w:r>
              <w:rPr>
                <w:rFonts w:hint="default" w:ascii="Times New Roman" w:hAnsi="Times New Roman" w:cs="Times New Roman"/>
                <w:bCs/>
                <w:color w:val="auto"/>
                <w:sz w:val="24"/>
              </w:rPr>
              <w:t>排水工程的实施，将有效地改善项目区群众生产生活条件，提高农民生活水平，减轻农民负担，促进农村经济发展持续发展，且密切党群、干群关系，维护民族地区的社会稳定，进一步树立党和政府在人民群众中的良好形象等具有十分重要的作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31" w:hRule="atLeast"/>
          <w:jc w:val="center"/>
        </w:trPr>
        <w:tc>
          <w:tcPr>
            <w:tcW w:w="879" w:type="dxa"/>
            <w:vAlign w:val="center"/>
          </w:tcPr>
          <w:p>
            <w:pPr>
              <w:pStyle w:val="20"/>
              <w:adjustRightInd w:val="0"/>
              <w:snapToGrid w:val="0"/>
              <w:spacing w:before="0" w:beforeAutospacing="0" w:after="0" w:afterAutospacing="0"/>
              <w:jc w:val="center"/>
              <w:rPr>
                <w:rFonts w:hint="default" w:ascii="Times New Roman" w:hAnsi="Times New Roman" w:cs="Times New Roman"/>
                <w:bCs/>
                <w:color w:val="auto"/>
                <w:kern w:val="2"/>
                <w:sz w:val="21"/>
                <w:szCs w:val="21"/>
              </w:rPr>
            </w:pPr>
            <w:r>
              <w:rPr>
                <w:rFonts w:hint="default" w:ascii="Times New Roman" w:hAnsi="Times New Roman" w:cs="Times New Roman"/>
                <w:bCs/>
                <w:color w:val="auto"/>
                <w:kern w:val="2"/>
                <w:sz w:val="24"/>
                <w:szCs w:val="24"/>
              </w:rPr>
              <w:t>选址选线环境合理性分析</w:t>
            </w:r>
          </w:p>
        </w:tc>
        <w:tc>
          <w:tcPr>
            <w:tcW w:w="8363" w:type="dxa"/>
          </w:tcPr>
          <w:p>
            <w:pPr>
              <w:numPr>
                <w:ilvl w:val="0"/>
                <w:numId w:val="8"/>
              </w:numPr>
              <w:adjustRightInd w:val="0"/>
              <w:snapToGrid w:val="0"/>
              <w:spacing w:line="360" w:lineRule="auto"/>
              <w:ind w:firstLine="480" w:firstLineChars="200"/>
              <w:rPr>
                <w:rFonts w:hint="eastAsia" w:cs="Times New Roman"/>
                <w:bCs/>
                <w:color w:val="auto"/>
                <w:sz w:val="24"/>
                <w:lang w:eastAsia="zh-CN"/>
              </w:rPr>
            </w:pPr>
            <w:r>
              <w:rPr>
                <w:rFonts w:hint="eastAsia" w:cs="Times New Roman"/>
                <w:bCs/>
                <w:color w:val="auto"/>
                <w:sz w:val="24"/>
                <w:lang w:eastAsia="zh-CN"/>
              </w:rPr>
              <w:t>主体工程选址合理性分析</w:t>
            </w:r>
          </w:p>
          <w:p>
            <w:pPr>
              <w:adjustRightInd w:val="0"/>
              <w:snapToGrid w:val="0"/>
              <w:spacing w:line="360" w:lineRule="auto"/>
              <w:ind w:firstLine="480" w:firstLineChars="200"/>
              <w:rPr>
                <w:rFonts w:hint="eastAsia" w:ascii="Times New Roman" w:hAnsi="Times New Roman" w:eastAsia="宋体" w:cs="Times New Roman"/>
                <w:bCs/>
                <w:color w:val="auto"/>
                <w:sz w:val="24"/>
                <w:lang w:val="en-US" w:eastAsia="zh-CN"/>
              </w:rPr>
            </w:pPr>
            <w:r>
              <w:rPr>
                <w:rFonts w:hint="eastAsia" w:ascii="Times New Roman" w:hAnsi="Times New Roman" w:eastAsia="宋体" w:cs="Times New Roman"/>
                <w:bCs/>
                <w:color w:val="auto"/>
                <w:sz w:val="24"/>
                <w:lang w:val="en-US" w:eastAsia="zh-CN"/>
              </w:rPr>
              <w:t>本项目属于</w:t>
            </w:r>
            <w:r>
              <w:rPr>
                <w:rFonts w:hint="eastAsia" w:cs="Times New Roman"/>
                <w:bCs/>
                <w:color w:val="auto"/>
                <w:sz w:val="24"/>
                <w:lang w:val="en-US" w:eastAsia="zh-CN"/>
              </w:rPr>
              <w:t>张家塬</w:t>
            </w:r>
            <w:r>
              <w:rPr>
                <w:rFonts w:hint="default" w:ascii="Times New Roman" w:hAnsi="Times New Roman" w:eastAsia="宋体" w:cs="Times New Roman"/>
                <w:bCs/>
                <w:color w:val="auto"/>
                <w:sz w:val="24"/>
                <w:lang w:val="en-US" w:eastAsia="zh-CN"/>
              </w:rPr>
              <w:t>乡折腰沟村内涝外排工程（二期）</w:t>
            </w:r>
            <w:r>
              <w:rPr>
                <w:rFonts w:hint="eastAsia" w:ascii="Times New Roman" w:hAnsi="Times New Roman" w:eastAsia="宋体" w:cs="Times New Roman"/>
                <w:bCs/>
                <w:color w:val="auto"/>
                <w:sz w:val="24"/>
                <w:lang w:val="en-US" w:eastAsia="zh-CN"/>
              </w:rPr>
              <w:t>，项目建设不改变现有河道的走向，主要续建排洪槽，新建沟道防护及边坡整治，本项工程为内涝外排工程，工程区不涉及自然保护区、风景名胜区、世界文化和自然遗产地以及其他生态保护红线等环境敏感区中法律法规禁止占用的区域，并与饮用水水源保护区的保护要求相协调，也无野生植物集中分布地等保护区域。项目的建设是对生态环境的有效治理与改善。同时，</w:t>
            </w:r>
            <w:r>
              <w:rPr>
                <w:rFonts w:hint="default" w:ascii="Times New Roman" w:hAnsi="Times New Roman" w:eastAsia="宋体" w:cs="Times New Roman"/>
                <w:bCs/>
                <w:color w:val="auto"/>
                <w:sz w:val="24"/>
                <w:lang w:val="en-US" w:eastAsia="zh-CN"/>
              </w:rPr>
              <w:t>项目实施过程中产生的废气、噪声、地表水等污染经过采取相应的措施处理后对周边环境的影响较小</w:t>
            </w:r>
            <w:r>
              <w:rPr>
                <w:rFonts w:hint="eastAsia" w:ascii="Times New Roman" w:hAnsi="Times New Roman" w:eastAsia="宋体" w:cs="Times New Roman"/>
                <w:bCs/>
                <w:color w:val="auto"/>
                <w:sz w:val="24"/>
                <w:lang w:val="en-US" w:eastAsia="zh-CN"/>
              </w:rPr>
              <w:t>。</w:t>
            </w:r>
          </w:p>
          <w:p>
            <w:pPr>
              <w:adjustRightInd w:val="0"/>
              <w:snapToGrid w:val="0"/>
              <w:spacing w:line="360" w:lineRule="auto"/>
              <w:ind w:firstLine="480" w:firstLineChars="200"/>
              <w:rPr>
                <w:rFonts w:hint="eastAsia" w:ascii="Times New Roman" w:hAnsi="Times New Roman" w:eastAsia="宋体" w:cs="Times New Roman"/>
                <w:bCs/>
                <w:color w:val="auto"/>
                <w:sz w:val="24"/>
                <w:lang w:val="en-US" w:eastAsia="zh-CN"/>
              </w:rPr>
            </w:pPr>
            <w:r>
              <w:rPr>
                <w:rFonts w:hint="eastAsia" w:ascii="Times New Roman" w:hAnsi="Times New Roman" w:eastAsia="宋体" w:cs="Times New Roman"/>
                <w:bCs/>
                <w:color w:val="auto"/>
                <w:sz w:val="24"/>
                <w:lang w:val="en-US" w:eastAsia="zh-CN"/>
              </w:rPr>
              <w:t>综上所述，项目选择从环保角度分析是合理且是唯一的。</w:t>
            </w:r>
          </w:p>
          <w:p>
            <w:pPr>
              <w:numPr>
                <w:ilvl w:val="0"/>
                <w:numId w:val="8"/>
              </w:numPr>
              <w:adjustRightInd w:val="0"/>
              <w:snapToGrid w:val="0"/>
              <w:spacing w:line="360" w:lineRule="auto"/>
              <w:ind w:firstLine="480" w:firstLineChars="200"/>
              <w:rPr>
                <w:rFonts w:hint="eastAsia" w:ascii="Times New Roman" w:hAnsi="Times New Roman" w:eastAsia="宋体" w:cs="Times New Roman"/>
                <w:bCs/>
                <w:color w:val="auto"/>
                <w:sz w:val="24"/>
                <w:lang w:val="en-US" w:eastAsia="zh-CN"/>
              </w:rPr>
            </w:pPr>
            <w:r>
              <w:rPr>
                <w:rFonts w:hint="eastAsia" w:ascii="Times New Roman" w:hAnsi="Times New Roman" w:eastAsia="宋体" w:cs="Times New Roman"/>
                <w:bCs/>
                <w:color w:val="auto"/>
                <w:sz w:val="24"/>
                <w:lang w:val="en-US" w:eastAsia="zh-CN"/>
              </w:rPr>
              <w:t>弃土场选址</w:t>
            </w:r>
            <w:r>
              <w:rPr>
                <w:rFonts w:hint="eastAsia" w:cs="Times New Roman"/>
                <w:bCs/>
                <w:color w:val="auto"/>
                <w:sz w:val="24"/>
                <w:lang w:val="en-US" w:eastAsia="zh-CN"/>
              </w:rPr>
              <w:t>合理性分析</w:t>
            </w:r>
          </w:p>
          <w:p>
            <w:pPr>
              <w:adjustRightInd w:val="0"/>
              <w:snapToGrid w:val="0"/>
              <w:spacing w:line="360" w:lineRule="auto"/>
              <w:ind w:firstLine="480" w:firstLineChars="200"/>
              <w:rPr>
                <w:rFonts w:hint="eastAsia" w:ascii="Times New Roman" w:hAnsi="Times New Roman" w:eastAsia="宋体" w:cs="Times New Roman"/>
                <w:bCs/>
                <w:color w:val="auto"/>
                <w:sz w:val="24"/>
                <w:lang w:val="en-US" w:eastAsia="zh-CN"/>
              </w:rPr>
            </w:pPr>
            <w:r>
              <w:rPr>
                <w:rFonts w:hint="eastAsia" w:ascii="Times New Roman" w:hAnsi="Times New Roman" w:eastAsia="宋体" w:cs="Times New Roman"/>
                <w:bCs/>
                <w:color w:val="auto"/>
                <w:sz w:val="24"/>
                <w:lang w:val="en-US" w:eastAsia="zh-CN"/>
              </w:rPr>
              <w:t>项目设置1处弃土场，项目续建排洪槽，新建沟道防护及边坡整治产生的弃方，占地类型为其他</w:t>
            </w:r>
            <w:r>
              <w:rPr>
                <w:rFonts w:hint="eastAsia" w:cs="Times New Roman"/>
                <w:bCs/>
                <w:color w:val="auto"/>
                <w:sz w:val="24"/>
                <w:lang w:val="en-US" w:eastAsia="zh-CN"/>
              </w:rPr>
              <w:t>土</w:t>
            </w:r>
            <w:r>
              <w:rPr>
                <w:rFonts w:hint="eastAsia" w:ascii="Times New Roman" w:hAnsi="Times New Roman" w:eastAsia="宋体" w:cs="Times New Roman"/>
                <w:bCs/>
                <w:color w:val="auto"/>
                <w:sz w:val="24"/>
                <w:lang w:val="en-US" w:eastAsia="zh-CN"/>
              </w:rPr>
              <w:t>地。弃土场周边有国道及田间道路，选址范围内无水源地、名胜古迹、自然保护区、温泉、疗养地等国家明令规定的保护对象，不在崩塌和滑坡危险区、泥石流易发区，不涉及河道、湖泊和水库。</w:t>
            </w:r>
          </w:p>
          <w:p>
            <w:pPr>
              <w:adjustRightInd w:val="0"/>
              <w:snapToGrid w:val="0"/>
              <w:spacing w:line="360" w:lineRule="auto"/>
              <w:ind w:firstLine="480" w:firstLineChars="200"/>
              <w:rPr>
                <w:rFonts w:hint="default" w:ascii="Times New Roman" w:hAnsi="Times New Roman" w:eastAsia="宋体" w:cs="Times New Roman"/>
                <w:bCs/>
                <w:color w:val="auto"/>
                <w:sz w:val="24"/>
                <w:lang w:val="en-US" w:eastAsia="zh-CN"/>
              </w:rPr>
            </w:pPr>
            <w:r>
              <w:rPr>
                <w:rFonts w:hint="eastAsia" w:ascii="Times New Roman" w:hAnsi="Times New Roman" w:eastAsia="宋体" w:cs="Times New Roman"/>
                <w:bCs/>
                <w:color w:val="auto"/>
                <w:sz w:val="24"/>
                <w:lang w:val="en-US" w:eastAsia="zh-CN"/>
              </w:rPr>
              <w:t>综上所述，本项目充分利用现状闲置</w:t>
            </w:r>
            <w:r>
              <w:rPr>
                <w:rFonts w:hint="eastAsia" w:cs="Times New Roman"/>
                <w:bCs/>
                <w:color w:val="auto"/>
                <w:sz w:val="24"/>
                <w:lang w:val="en-US" w:eastAsia="zh-CN"/>
              </w:rPr>
              <w:t>地</w:t>
            </w:r>
            <w:r>
              <w:rPr>
                <w:rFonts w:hint="eastAsia" w:ascii="Times New Roman" w:hAnsi="Times New Roman" w:eastAsia="宋体" w:cs="Times New Roman"/>
                <w:bCs/>
                <w:color w:val="auto"/>
                <w:sz w:val="24"/>
                <w:lang w:val="en-US" w:eastAsia="zh-CN"/>
              </w:rPr>
              <w:t>，弃土后区域能与周边地形平整，弃土结束后土地整治、植被恢复。有效控制可能造成的水土流失。工程选择的弃土场合理。</w:t>
            </w:r>
          </w:p>
          <w:p>
            <w:pPr>
              <w:adjustRightInd w:val="0"/>
              <w:snapToGrid w:val="0"/>
              <w:spacing w:line="360" w:lineRule="auto"/>
              <w:ind w:firstLine="480" w:firstLineChars="200"/>
              <w:rPr>
                <w:rFonts w:hint="default" w:ascii="Times New Roman" w:hAnsi="Times New Roman" w:cs="Times New Roman"/>
                <w:bCs/>
                <w:color w:val="auto"/>
                <w:sz w:val="24"/>
              </w:rPr>
            </w:pPr>
          </w:p>
          <w:p>
            <w:pPr>
              <w:adjustRightInd w:val="0"/>
              <w:snapToGrid w:val="0"/>
              <w:spacing w:line="360" w:lineRule="auto"/>
              <w:ind w:firstLine="480" w:firstLineChars="200"/>
              <w:rPr>
                <w:rFonts w:hint="default" w:ascii="Times New Roman" w:hAnsi="Times New Roman" w:cs="Times New Roman"/>
                <w:bCs/>
                <w:color w:val="auto"/>
                <w:sz w:val="24"/>
              </w:rPr>
            </w:pPr>
          </w:p>
          <w:p>
            <w:pPr>
              <w:adjustRightInd w:val="0"/>
              <w:snapToGrid w:val="0"/>
              <w:spacing w:line="360" w:lineRule="auto"/>
              <w:ind w:firstLine="480" w:firstLineChars="200"/>
              <w:rPr>
                <w:rFonts w:hint="default" w:ascii="Times New Roman" w:hAnsi="Times New Roman" w:cs="Times New Roman"/>
                <w:bCs/>
                <w:color w:val="auto"/>
                <w:sz w:val="24"/>
              </w:rPr>
            </w:pPr>
          </w:p>
          <w:p>
            <w:pPr>
              <w:adjustRightInd w:val="0"/>
              <w:snapToGrid w:val="0"/>
              <w:spacing w:line="360" w:lineRule="auto"/>
              <w:ind w:firstLine="480" w:firstLineChars="200"/>
              <w:rPr>
                <w:rFonts w:hint="default" w:ascii="Times New Roman" w:hAnsi="Times New Roman" w:cs="Times New Roman"/>
                <w:bCs/>
                <w:color w:val="auto"/>
                <w:sz w:val="24"/>
              </w:rPr>
            </w:pPr>
          </w:p>
          <w:p>
            <w:pPr>
              <w:adjustRightInd w:val="0"/>
              <w:snapToGrid w:val="0"/>
              <w:spacing w:line="360" w:lineRule="auto"/>
              <w:ind w:firstLine="480" w:firstLineChars="200"/>
              <w:rPr>
                <w:rFonts w:hint="default" w:ascii="Times New Roman" w:hAnsi="Times New Roman" w:cs="Times New Roman"/>
                <w:bCs/>
                <w:color w:val="auto"/>
                <w:sz w:val="24"/>
              </w:rPr>
            </w:pPr>
          </w:p>
          <w:p>
            <w:pPr>
              <w:adjustRightInd w:val="0"/>
              <w:snapToGrid w:val="0"/>
              <w:rPr>
                <w:rFonts w:hint="default" w:ascii="Times New Roman" w:hAnsi="Times New Roman" w:cs="Times New Roman"/>
                <w:bCs/>
                <w:color w:val="auto"/>
                <w:szCs w:val="21"/>
              </w:rPr>
            </w:pPr>
          </w:p>
        </w:tc>
      </w:tr>
    </w:tbl>
    <w:p>
      <w:pPr>
        <w:pStyle w:val="20"/>
        <w:jc w:val="center"/>
        <w:rPr>
          <w:rFonts w:hint="default" w:ascii="Times New Roman" w:hAnsi="Times New Roman" w:eastAsia="黑体" w:cs="Times New Roman"/>
          <w:snapToGrid w:val="0"/>
          <w:color w:val="auto"/>
          <w:sz w:val="36"/>
          <w:szCs w:val="36"/>
        </w:rPr>
        <w:sectPr>
          <w:pgSz w:w="11906" w:h="16838"/>
          <w:pgMar w:top="1440" w:right="1800" w:bottom="1440" w:left="1800" w:header="851" w:footer="1077" w:gutter="0"/>
          <w:pgBorders>
            <w:top w:val="none" w:sz="0" w:space="0"/>
            <w:left w:val="none" w:sz="0" w:space="0"/>
            <w:bottom w:val="none" w:sz="0" w:space="0"/>
            <w:right w:val="none" w:sz="0" w:space="0"/>
          </w:pgBorders>
          <w:cols w:space="720" w:num="1"/>
          <w:docGrid w:linePitch="312" w:charSpace="0"/>
        </w:sectPr>
      </w:pPr>
    </w:p>
    <w:p>
      <w:pPr>
        <w:pStyle w:val="20"/>
        <w:jc w:val="center"/>
        <w:outlineLvl w:val="0"/>
        <w:rPr>
          <w:rFonts w:hint="default" w:ascii="Times New Roman" w:hAnsi="Times New Roman" w:eastAsia="黑体" w:cs="Times New Roman"/>
          <w:snapToGrid w:val="0"/>
          <w:color w:val="auto"/>
          <w:sz w:val="30"/>
          <w:szCs w:val="30"/>
        </w:rPr>
      </w:pPr>
      <w:bookmarkStart w:id="12" w:name="_Toc11762"/>
      <w:r>
        <w:rPr>
          <w:rFonts w:hint="default" w:ascii="Times New Roman" w:hAnsi="Times New Roman" w:eastAsia="黑体" w:cs="Times New Roman"/>
          <w:snapToGrid w:val="0"/>
          <w:color w:val="auto"/>
          <w:sz w:val="30"/>
          <w:szCs w:val="30"/>
        </w:rPr>
        <w:t>五、主要生态环境保护措施</w:t>
      </w:r>
      <w:bookmarkEnd w:id="12"/>
    </w:p>
    <w:tbl>
      <w:tblPr>
        <w:tblStyle w:val="24"/>
        <w:tblW w:w="921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753"/>
        <w:gridCol w:w="845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753" w:type="dxa"/>
            <w:tcMar>
              <w:left w:w="28" w:type="dxa"/>
              <w:right w:w="28" w:type="dxa"/>
            </w:tcMar>
            <w:vAlign w:val="center"/>
          </w:tcPr>
          <w:p>
            <w:pPr>
              <w:adjustRightInd w:val="0"/>
              <w:snapToGrid w:val="0"/>
              <w:jc w:val="center"/>
              <w:rPr>
                <w:rFonts w:hint="default" w:ascii="Times New Roman" w:hAnsi="Times New Roman" w:cs="Times New Roman"/>
                <w:bCs/>
                <w:color w:val="auto"/>
                <w:szCs w:val="21"/>
              </w:rPr>
            </w:pPr>
            <w:r>
              <w:rPr>
                <w:rFonts w:hint="default" w:ascii="Times New Roman" w:hAnsi="Times New Roman" w:cs="Times New Roman"/>
                <w:bCs/>
                <w:color w:val="auto"/>
                <w:spacing w:val="10"/>
                <w:sz w:val="24"/>
                <w:szCs w:val="24"/>
              </w:rPr>
              <w:t>施工期生态环境保护措施</w:t>
            </w:r>
          </w:p>
        </w:tc>
        <w:tc>
          <w:tcPr>
            <w:tcW w:w="8457" w:type="dxa"/>
          </w:tcPr>
          <w:p>
            <w:pPr>
              <w:adjustRightInd w:val="0"/>
              <w:spacing w:line="360" w:lineRule="auto"/>
              <w:ind w:firstLine="482" w:firstLineChars="200"/>
              <w:rPr>
                <w:b/>
                <w:color w:val="auto"/>
                <w:sz w:val="24"/>
              </w:rPr>
            </w:pPr>
            <w:r>
              <w:rPr>
                <w:b/>
                <w:color w:val="auto"/>
                <w:sz w:val="24"/>
              </w:rPr>
              <w:t>1、生态环境</w:t>
            </w:r>
          </w:p>
          <w:p>
            <w:pPr>
              <w:adjustRightInd w:val="0"/>
              <w:spacing w:line="360" w:lineRule="auto"/>
              <w:ind w:firstLine="480" w:firstLineChars="200"/>
              <w:rPr>
                <w:bCs/>
                <w:color w:val="auto"/>
                <w:sz w:val="24"/>
              </w:rPr>
            </w:pPr>
            <w:r>
              <w:rPr>
                <w:bCs/>
                <w:color w:val="auto"/>
                <w:sz w:val="24"/>
              </w:rPr>
              <w:t>1.1生态环境保护措施可行性分析</w:t>
            </w:r>
          </w:p>
          <w:p>
            <w:pPr>
              <w:adjustRightInd w:val="0"/>
              <w:spacing w:line="360" w:lineRule="auto"/>
              <w:ind w:firstLine="480" w:firstLineChars="200"/>
              <w:rPr>
                <w:bCs/>
                <w:color w:val="auto"/>
                <w:sz w:val="24"/>
              </w:rPr>
            </w:pPr>
            <w:r>
              <w:rPr>
                <w:bCs/>
                <w:color w:val="auto"/>
                <w:sz w:val="24"/>
              </w:rPr>
              <w:t>为了减缓施工过程对生态环境的影响，建议采取以下措施：</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1</w:t>
            </w:r>
            <w:r>
              <w:rPr>
                <w:rFonts w:ascii="宋体" w:hAnsi="宋体" w:cs="宋体"/>
                <w:bCs/>
                <w:color w:val="auto"/>
                <w:sz w:val="24"/>
              </w:rPr>
              <w:t>.1.1</w:t>
            </w:r>
            <w:r>
              <w:rPr>
                <w:rFonts w:hint="eastAsia" w:ascii="宋体" w:hAnsi="宋体" w:cs="宋体"/>
                <w:bCs/>
                <w:color w:val="auto"/>
                <w:sz w:val="24"/>
              </w:rPr>
              <w:t>施工占地保护措施</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⑴施工期间，严格控制施工范围，治理沟</w:t>
            </w:r>
            <w:r>
              <w:rPr>
                <w:rFonts w:hint="eastAsia" w:ascii="宋体" w:hAnsi="宋体" w:cs="宋体"/>
                <w:bCs/>
                <w:color w:val="auto"/>
                <w:sz w:val="24"/>
                <w:lang w:eastAsia="zh-CN"/>
              </w:rPr>
              <w:t>道</w:t>
            </w:r>
            <w:r>
              <w:rPr>
                <w:rFonts w:hint="eastAsia" w:ascii="宋体" w:hAnsi="宋体" w:cs="宋体"/>
                <w:bCs/>
                <w:color w:val="auto"/>
                <w:sz w:val="24"/>
              </w:rPr>
              <w:t>两侧施工范围控制在永久占地</w:t>
            </w:r>
            <w:r>
              <w:rPr>
                <w:rFonts w:hint="eastAsia" w:ascii="宋体" w:hAnsi="宋体" w:cs="宋体"/>
                <w:bCs/>
                <w:color w:val="auto"/>
                <w:sz w:val="24"/>
                <w:lang w:val="en-US" w:eastAsia="zh-CN"/>
              </w:rPr>
              <w:t>及临时占地</w:t>
            </w:r>
            <w:r>
              <w:rPr>
                <w:rFonts w:hint="eastAsia" w:ascii="宋体" w:hAnsi="宋体" w:cs="宋体"/>
                <w:bCs/>
                <w:color w:val="auto"/>
                <w:sz w:val="24"/>
              </w:rPr>
              <w:t>范围内，严禁随意扩大施工</w:t>
            </w:r>
            <w:r>
              <w:rPr>
                <w:rFonts w:hint="eastAsia" w:ascii="宋体" w:hAnsi="宋体" w:cs="宋体"/>
                <w:bCs/>
                <w:color w:val="auto"/>
                <w:sz w:val="24"/>
                <w:lang w:eastAsia="zh-CN"/>
              </w:rPr>
              <w:t>活动范围</w:t>
            </w:r>
            <w:r>
              <w:rPr>
                <w:rFonts w:hint="eastAsia" w:ascii="宋体" w:hAnsi="宋体" w:cs="宋体"/>
                <w:bCs/>
                <w:color w:val="auto"/>
                <w:sz w:val="24"/>
              </w:rPr>
              <w:t>；</w:t>
            </w:r>
          </w:p>
          <w:p>
            <w:pPr>
              <w:pStyle w:val="6"/>
              <w:spacing w:line="360" w:lineRule="auto"/>
              <w:rPr>
                <w:rFonts w:ascii="宋体" w:hAnsi="宋体" w:cs="宋体"/>
                <w:bCs/>
                <w:color w:val="auto"/>
                <w:sz w:val="24"/>
              </w:rPr>
            </w:pPr>
            <w:r>
              <w:rPr>
                <w:rFonts w:hint="eastAsia" w:ascii="宋体" w:hAnsi="宋体" w:cs="宋体"/>
                <w:bCs/>
                <w:color w:val="auto"/>
                <w:sz w:val="24"/>
              </w:rPr>
              <w:t>⑵</w:t>
            </w:r>
            <w:bookmarkStart w:id="13" w:name="_Hlk145497907"/>
            <w:r>
              <w:rPr>
                <w:rFonts w:hint="eastAsia" w:ascii="宋体" w:hAnsi="宋体" w:cs="宋体"/>
                <w:bCs/>
                <w:color w:val="auto"/>
                <w:sz w:val="24"/>
              </w:rPr>
              <w:t>施工期间，</w:t>
            </w:r>
            <w:bookmarkStart w:id="14" w:name="_Hlk145495605"/>
            <w:r>
              <w:rPr>
                <w:rFonts w:hint="eastAsia"/>
                <w:color w:val="auto"/>
                <w:sz w:val="24"/>
                <w:szCs w:val="24"/>
                <w:lang w:val="en-US" w:eastAsia="zh-CN"/>
              </w:rPr>
              <w:t>设置施工营地1处</w:t>
            </w:r>
            <w:r>
              <w:rPr>
                <w:rFonts w:hint="eastAsia" w:ascii="宋体" w:hAnsi="宋体" w:cs="宋体"/>
                <w:bCs/>
                <w:color w:val="auto"/>
                <w:sz w:val="24"/>
              </w:rPr>
              <w:t>；</w:t>
            </w:r>
            <w:r>
              <w:rPr>
                <w:rFonts w:hint="eastAsia" w:ascii="宋体" w:hAnsi="宋体" w:cs="宋体"/>
                <w:bCs/>
                <w:color w:val="auto"/>
                <w:sz w:val="24"/>
                <w:lang w:val="en-US" w:eastAsia="zh-CN"/>
              </w:rPr>
              <w:t>施工期间</w:t>
            </w:r>
            <w:r>
              <w:rPr>
                <w:rFonts w:hint="eastAsia" w:ascii="宋体" w:hAnsi="宋体" w:cs="宋体"/>
                <w:bCs/>
                <w:color w:val="auto"/>
                <w:sz w:val="24"/>
              </w:rPr>
              <w:t>严格控制施工用地，严禁随意扩大施工</w:t>
            </w:r>
            <w:r>
              <w:rPr>
                <w:rFonts w:hint="eastAsia" w:ascii="宋体" w:hAnsi="宋体" w:cs="宋体"/>
                <w:bCs/>
                <w:color w:val="auto"/>
                <w:sz w:val="24"/>
                <w:lang w:eastAsia="zh-CN"/>
              </w:rPr>
              <w:t>活动范围</w:t>
            </w:r>
            <w:r>
              <w:rPr>
                <w:rFonts w:hint="eastAsia" w:ascii="宋体" w:hAnsi="宋体" w:cs="宋体"/>
                <w:bCs/>
                <w:color w:val="auto"/>
                <w:sz w:val="24"/>
              </w:rPr>
              <w:t>，最大程度减少施工占地</w:t>
            </w:r>
            <w:bookmarkEnd w:id="13"/>
            <w:bookmarkEnd w:id="14"/>
            <w:r>
              <w:rPr>
                <w:rFonts w:hint="eastAsia" w:ascii="宋体" w:hAnsi="宋体" w:cs="宋体"/>
                <w:bCs/>
                <w:color w:val="auto"/>
                <w:sz w:val="24"/>
              </w:rPr>
              <w:t>。</w:t>
            </w:r>
          </w:p>
          <w:p>
            <w:pPr>
              <w:adjustRightInd w:val="0"/>
              <w:spacing w:line="360" w:lineRule="auto"/>
              <w:ind w:firstLine="480" w:firstLineChars="200"/>
              <w:rPr>
                <w:rFonts w:hint="default" w:ascii="宋体" w:hAnsi="宋体" w:eastAsia="宋体" w:cs="宋体"/>
                <w:bCs/>
                <w:color w:val="auto"/>
                <w:sz w:val="24"/>
                <w:lang w:val="en-US" w:eastAsia="zh-CN"/>
              </w:rPr>
            </w:pPr>
            <w:r>
              <w:rPr>
                <w:rFonts w:hint="eastAsia" w:ascii="宋体" w:hAnsi="宋体" w:cs="宋体"/>
                <w:bCs/>
                <w:color w:val="auto"/>
                <w:sz w:val="24"/>
                <w:lang w:val="en-US" w:eastAsia="zh-CN"/>
              </w:rPr>
              <w:t>1.1.2施工管理措施</w:t>
            </w:r>
          </w:p>
          <w:p>
            <w:pPr>
              <w:adjustRightInd w:val="0"/>
              <w:spacing w:line="360" w:lineRule="auto"/>
              <w:ind w:firstLine="480" w:firstLineChars="200"/>
              <w:rPr>
                <w:rFonts w:hint="default" w:ascii="宋体" w:hAnsi="宋体" w:eastAsia="宋体" w:cs="宋体"/>
                <w:bCs/>
                <w:color w:val="auto"/>
                <w:sz w:val="24"/>
                <w:lang w:val="en-US" w:eastAsia="zh-CN"/>
              </w:rPr>
            </w:pPr>
            <w:r>
              <w:rPr>
                <w:rFonts w:hint="eastAsia" w:ascii="宋体" w:hAnsi="宋体" w:cs="宋体"/>
                <w:bCs/>
                <w:color w:val="auto"/>
                <w:sz w:val="24"/>
                <w:lang w:eastAsia="zh-CN"/>
              </w:rPr>
              <w:t>（</w:t>
            </w:r>
            <w:r>
              <w:rPr>
                <w:rFonts w:hint="eastAsia" w:ascii="宋体" w:hAnsi="宋体" w:cs="宋体"/>
                <w:bCs/>
                <w:color w:val="auto"/>
                <w:sz w:val="24"/>
                <w:lang w:val="en-US" w:eastAsia="zh-CN"/>
              </w:rPr>
              <w:t>1</w:t>
            </w:r>
            <w:r>
              <w:rPr>
                <w:rFonts w:hint="eastAsia" w:ascii="宋体" w:hAnsi="宋体" w:cs="宋体"/>
                <w:bCs/>
                <w:color w:val="auto"/>
                <w:sz w:val="24"/>
                <w:lang w:eastAsia="zh-CN"/>
              </w:rPr>
              <w:t>）</w:t>
            </w:r>
            <w:r>
              <w:rPr>
                <w:rFonts w:hint="eastAsia" w:ascii="宋体" w:hAnsi="宋体" w:cs="宋体"/>
                <w:bCs/>
                <w:color w:val="auto"/>
                <w:sz w:val="24"/>
                <w:lang w:val="en-US" w:eastAsia="zh-CN"/>
              </w:rPr>
              <w:t>避让和减缓措施</w:t>
            </w:r>
          </w:p>
          <w:p>
            <w:pPr>
              <w:adjustRightInd w:val="0"/>
              <w:spacing w:line="360" w:lineRule="auto"/>
              <w:ind w:firstLine="480" w:firstLineChars="200"/>
              <w:rPr>
                <w:rFonts w:hint="eastAsia" w:ascii="宋体" w:hAnsi="宋体" w:cs="宋体"/>
                <w:bCs/>
                <w:color w:val="auto"/>
                <w:sz w:val="24"/>
              </w:rPr>
            </w:pPr>
            <w:r>
              <w:rPr>
                <w:rFonts w:ascii="宋体" w:hAnsi="宋体" w:cs="宋体"/>
                <w:bCs/>
                <w:color w:val="auto"/>
                <w:sz w:val="24"/>
              </w:rPr>
              <w:fldChar w:fldCharType="begin"/>
            </w:r>
            <w:r>
              <w:rPr>
                <w:rFonts w:ascii="宋体" w:hAnsi="宋体" w:cs="宋体"/>
                <w:bCs/>
                <w:color w:val="auto"/>
                <w:sz w:val="24"/>
              </w:rPr>
              <w:instrText xml:space="preserve"> </w:instrText>
            </w:r>
            <w:r>
              <w:rPr>
                <w:rFonts w:hint="eastAsia" w:ascii="宋体" w:hAnsi="宋体" w:cs="宋体"/>
                <w:bCs/>
                <w:color w:val="auto"/>
                <w:sz w:val="24"/>
              </w:rPr>
              <w:instrText xml:space="preserve">= 1 \* GB3</w:instrText>
            </w:r>
            <w:r>
              <w:rPr>
                <w:rFonts w:ascii="宋体" w:hAnsi="宋体" w:cs="宋体"/>
                <w:bCs/>
                <w:color w:val="auto"/>
                <w:sz w:val="24"/>
              </w:rPr>
              <w:instrText xml:space="preserve"> </w:instrText>
            </w:r>
            <w:r>
              <w:rPr>
                <w:rFonts w:ascii="宋体" w:hAnsi="宋体" w:cs="宋体"/>
                <w:bCs/>
                <w:color w:val="auto"/>
                <w:sz w:val="24"/>
              </w:rPr>
              <w:fldChar w:fldCharType="separate"/>
            </w:r>
            <w:r>
              <w:rPr>
                <w:rFonts w:hint="eastAsia" w:ascii="宋体" w:hAnsi="宋体" w:cs="宋体"/>
                <w:bCs/>
                <w:color w:val="auto"/>
                <w:sz w:val="24"/>
              </w:rPr>
              <w:t>①</w:t>
            </w:r>
            <w:r>
              <w:rPr>
                <w:rFonts w:ascii="宋体" w:hAnsi="宋体" w:cs="宋体"/>
                <w:bCs/>
                <w:color w:val="auto"/>
                <w:sz w:val="24"/>
              </w:rPr>
              <w:fldChar w:fldCharType="end"/>
            </w:r>
            <w:r>
              <w:rPr>
                <w:rFonts w:hint="eastAsia" w:ascii="宋体" w:hAnsi="宋体" w:cs="宋体"/>
                <w:bCs/>
                <w:color w:val="auto"/>
                <w:sz w:val="24"/>
              </w:rPr>
              <w:t>做好施工组织</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工程占地应尽量利用既有场地，</w:t>
            </w:r>
            <w:r>
              <w:rPr>
                <w:rFonts w:hint="eastAsia" w:ascii="宋体" w:hAnsi="宋体" w:cs="宋体"/>
                <w:bCs/>
                <w:color w:val="auto"/>
                <w:sz w:val="24"/>
                <w:lang w:val="en-US" w:eastAsia="zh-CN"/>
              </w:rPr>
              <w:t>项目</w:t>
            </w:r>
            <w:r>
              <w:rPr>
                <w:rFonts w:hint="eastAsia" w:ascii="宋体" w:hAnsi="宋体" w:cs="宋体"/>
                <w:bCs/>
                <w:color w:val="auto"/>
                <w:sz w:val="24"/>
                <w:lang w:eastAsia="zh-CN"/>
              </w:rPr>
              <w:t>弃方全部运至</w:t>
            </w:r>
            <w:r>
              <w:rPr>
                <w:rFonts w:hint="eastAsia" w:ascii="Times New Roman" w:hAnsi="Times New Roman" w:eastAsia="宋体" w:cs="Times New Roman"/>
                <w:bCs/>
                <w:color w:val="auto"/>
                <w:sz w:val="24"/>
                <w:lang w:val="en-US" w:eastAsia="zh-CN"/>
              </w:rPr>
              <w:t>项目</w:t>
            </w:r>
            <w:r>
              <w:rPr>
                <w:rFonts w:hint="eastAsia" w:cs="Times New Roman"/>
                <w:bCs/>
                <w:color w:val="auto"/>
                <w:sz w:val="24"/>
                <w:lang w:val="en-US" w:eastAsia="zh-CN"/>
              </w:rPr>
              <w:t>设置的弃土场</w:t>
            </w:r>
            <w:r>
              <w:rPr>
                <w:rFonts w:hint="eastAsia" w:ascii="宋体" w:hAnsi="宋体" w:cs="宋体"/>
                <w:bCs/>
                <w:color w:val="auto"/>
                <w:sz w:val="24"/>
              </w:rPr>
              <w:t>；</w:t>
            </w:r>
            <w:r>
              <w:rPr>
                <w:rFonts w:hint="eastAsia" w:ascii="宋体" w:hAnsi="宋体" w:cs="宋体"/>
                <w:bCs/>
                <w:color w:val="auto"/>
                <w:sz w:val="24"/>
                <w:lang w:val="en-US" w:eastAsia="zh-CN"/>
              </w:rPr>
              <w:t>设置</w:t>
            </w:r>
            <w:r>
              <w:rPr>
                <w:rFonts w:hint="eastAsia" w:ascii="宋体" w:hAnsi="宋体" w:cs="宋体"/>
                <w:bCs/>
                <w:color w:val="auto"/>
                <w:sz w:val="24"/>
              </w:rPr>
              <w:t>临时施工道路</w:t>
            </w:r>
            <w:r>
              <w:rPr>
                <w:rFonts w:hint="eastAsia" w:ascii="宋体" w:hAnsi="宋体" w:cs="宋体"/>
                <w:bCs/>
                <w:color w:val="auto"/>
                <w:sz w:val="24"/>
                <w:lang w:eastAsia="zh-CN"/>
              </w:rPr>
              <w:t>，</w:t>
            </w:r>
            <w:r>
              <w:rPr>
                <w:rFonts w:hint="eastAsia" w:ascii="宋体" w:hAnsi="宋体" w:cs="宋体"/>
                <w:bCs/>
                <w:color w:val="auto"/>
                <w:sz w:val="24"/>
                <w:lang w:val="en-US" w:eastAsia="zh-CN"/>
              </w:rPr>
              <w:t>施工结束后对临时施工道路进行整治；</w:t>
            </w:r>
            <w:r>
              <w:rPr>
                <w:rFonts w:hint="eastAsia" w:ascii="宋体" w:hAnsi="宋体" w:cs="宋体"/>
                <w:bCs/>
                <w:color w:val="auto"/>
                <w:sz w:val="24"/>
              </w:rPr>
              <w:t>减少临时占地对植被的破坏，降低了生物量损失，减少施工期对植被的影响。禁止越界施工占地或砍伐林木，减少占地造成的植被损失。</w:t>
            </w:r>
          </w:p>
          <w:p>
            <w:pPr>
              <w:adjustRightInd w:val="0"/>
              <w:spacing w:line="360" w:lineRule="auto"/>
              <w:ind w:firstLine="480" w:firstLineChars="200"/>
              <w:rPr>
                <w:rFonts w:hint="eastAsia" w:ascii="宋体" w:hAnsi="宋体" w:cs="宋体"/>
                <w:bCs/>
                <w:color w:val="auto"/>
                <w:sz w:val="24"/>
              </w:rPr>
            </w:pPr>
            <w:r>
              <w:rPr>
                <w:rFonts w:ascii="宋体" w:hAnsi="宋体" w:cs="宋体"/>
                <w:bCs/>
                <w:color w:val="auto"/>
                <w:sz w:val="24"/>
              </w:rPr>
              <w:fldChar w:fldCharType="begin"/>
            </w:r>
            <w:r>
              <w:rPr>
                <w:rFonts w:ascii="宋体" w:hAnsi="宋体" w:cs="宋体"/>
                <w:bCs/>
                <w:color w:val="auto"/>
                <w:sz w:val="24"/>
              </w:rPr>
              <w:instrText xml:space="preserve"> </w:instrText>
            </w:r>
            <w:r>
              <w:rPr>
                <w:rFonts w:hint="eastAsia" w:ascii="宋体" w:hAnsi="宋体" w:cs="宋体"/>
                <w:bCs/>
                <w:color w:val="auto"/>
                <w:sz w:val="24"/>
              </w:rPr>
              <w:instrText xml:space="preserve">= 2 \* GB3</w:instrText>
            </w:r>
            <w:r>
              <w:rPr>
                <w:rFonts w:ascii="宋体" w:hAnsi="宋体" w:cs="宋体"/>
                <w:bCs/>
                <w:color w:val="auto"/>
                <w:sz w:val="24"/>
              </w:rPr>
              <w:instrText xml:space="preserve"> </w:instrText>
            </w:r>
            <w:r>
              <w:rPr>
                <w:rFonts w:ascii="宋体" w:hAnsi="宋体" w:cs="宋体"/>
                <w:bCs/>
                <w:color w:val="auto"/>
                <w:sz w:val="24"/>
              </w:rPr>
              <w:fldChar w:fldCharType="separate"/>
            </w:r>
            <w:r>
              <w:rPr>
                <w:rFonts w:hint="eastAsia" w:ascii="宋体" w:hAnsi="宋体" w:cs="宋体"/>
                <w:bCs/>
                <w:color w:val="auto"/>
                <w:sz w:val="24"/>
              </w:rPr>
              <w:t>②</w:t>
            </w:r>
            <w:r>
              <w:rPr>
                <w:rFonts w:ascii="宋体" w:hAnsi="宋体" w:cs="宋体"/>
                <w:bCs/>
                <w:color w:val="auto"/>
                <w:sz w:val="24"/>
              </w:rPr>
              <w:fldChar w:fldCharType="end"/>
            </w:r>
            <w:r>
              <w:rPr>
                <w:rFonts w:hint="eastAsia" w:ascii="宋体" w:hAnsi="宋体" w:cs="宋体"/>
                <w:bCs/>
                <w:color w:val="auto"/>
                <w:sz w:val="24"/>
              </w:rPr>
              <w:t>优化工程施工时序</w:t>
            </w:r>
          </w:p>
          <w:p>
            <w:pPr>
              <w:adjustRightInd w:val="0"/>
              <w:spacing w:line="360" w:lineRule="auto"/>
              <w:ind w:firstLine="480" w:firstLineChars="200"/>
              <w:rPr>
                <w:rFonts w:hint="eastAsia" w:ascii="宋体" w:hAnsi="宋体" w:eastAsia="宋体" w:cs="宋体"/>
                <w:bCs/>
                <w:color w:val="auto"/>
                <w:sz w:val="24"/>
                <w:lang w:eastAsia="zh-CN"/>
              </w:rPr>
            </w:pPr>
            <w:r>
              <w:rPr>
                <w:rFonts w:hint="eastAsia" w:ascii="宋体" w:hAnsi="宋体" w:cs="宋体"/>
                <w:bCs/>
                <w:color w:val="auto"/>
                <w:sz w:val="24"/>
              </w:rPr>
              <w:t>保护施工区域</w:t>
            </w:r>
            <w:r>
              <w:rPr>
                <w:rFonts w:hint="eastAsia" w:ascii="宋体" w:hAnsi="宋体" w:cs="宋体"/>
                <w:bCs/>
                <w:color w:val="auto"/>
                <w:sz w:val="24"/>
                <w:lang w:val="en-US" w:eastAsia="zh-CN"/>
              </w:rPr>
              <w:t>有</w:t>
            </w:r>
            <w:r>
              <w:rPr>
                <w:rFonts w:hint="eastAsia" w:ascii="宋体" w:hAnsi="宋体" w:cs="宋体"/>
                <w:bCs/>
                <w:color w:val="auto"/>
                <w:sz w:val="24"/>
              </w:rPr>
              <w:t>农业植被</w:t>
            </w:r>
            <w:r>
              <w:rPr>
                <w:rFonts w:hint="eastAsia" w:ascii="宋体" w:hAnsi="宋体" w:cs="宋体"/>
                <w:bCs/>
                <w:color w:val="auto"/>
                <w:sz w:val="24"/>
                <w:lang w:eastAsia="zh-CN"/>
              </w:rPr>
              <w:t>，</w:t>
            </w:r>
            <w:r>
              <w:rPr>
                <w:rFonts w:hint="eastAsia" w:ascii="宋体" w:hAnsi="宋体" w:cs="宋体"/>
                <w:bCs/>
                <w:color w:val="auto"/>
                <w:sz w:val="24"/>
              </w:rPr>
              <w:t>合理安排施工时间。优化施工时段，采用分时、分段施工方式，以减少对</w:t>
            </w:r>
            <w:r>
              <w:rPr>
                <w:rFonts w:hint="eastAsia" w:ascii="宋体" w:hAnsi="宋体" w:cs="宋体"/>
                <w:bCs/>
                <w:color w:val="auto"/>
                <w:sz w:val="24"/>
                <w:lang w:val="en-US" w:eastAsia="zh-CN"/>
              </w:rPr>
              <w:t>区域植被影响</w:t>
            </w:r>
            <w:r>
              <w:rPr>
                <w:rFonts w:hint="eastAsia" w:ascii="宋体" w:hAnsi="宋体" w:cs="宋体"/>
                <w:bCs/>
                <w:color w:val="auto"/>
                <w:sz w:val="24"/>
                <w:lang w:eastAsia="zh-CN"/>
              </w:rPr>
              <w:t>。</w:t>
            </w:r>
          </w:p>
          <w:p>
            <w:pPr>
              <w:adjustRightInd w:val="0"/>
              <w:spacing w:line="360" w:lineRule="auto"/>
              <w:ind w:firstLine="480" w:firstLineChars="200"/>
              <w:rPr>
                <w:rFonts w:hint="eastAsia" w:ascii="宋体" w:hAnsi="宋体" w:cs="宋体"/>
                <w:bCs/>
                <w:color w:val="auto"/>
                <w:sz w:val="24"/>
              </w:rPr>
            </w:pPr>
            <w:r>
              <w:rPr>
                <w:rFonts w:ascii="宋体" w:hAnsi="宋体" w:cs="宋体"/>
                <w:bCs/>
                <w:color w:val="auto"/>
                <w:sz w:val="24"/>
              </w:rPr>
              <w:fldChar w:fldCharType="begin"/>
            </w:r>
            <w:r>
              <w:rPr>
                <w:rFonts w:ascii="宋体" w:hAnsi="宋体" w:cs="宋体"/>
                <w:bCs/>
                <w:color w:val="auto"/>
                <w:sz w:val="24"/>
              </w:rPr>
              <w:instrText xml:space="preserve"> </w:instrText>
            </w:r>
            <w:r>
              <w:rPr>
                <w:rFonts w:hint="eastAsia" w:ascii="宋体" w:hAnsi="宋体" w:cs="宋体"/>
                <w:bCs/>
                <w:color w:val="auto"/>
                <w:sz w:val="24"/>
              </w:rPr>
              <w:instrText xml:space="preserve">= 3 \* GB3</w:instrText>
            </w:r>
            <w:r>
              <w:rPr>
                <w:rFonts w:ascii="宋体" w:hAnsi="宋体" w:cs="宋体"/>
                <w:bCs/>
                <w:color w:val="auto"/>
                <w:sz w:val="24"/>
              </w:rPr>
              <w:instrText xml:space="preserve"> </w:instrText>
            </w:r>
            <w:r>
              <w:rPr>
                <w:rFonts w:ascii="宋体" w:hAnsi="宋体" w:cs="宋体"/>
                <w:bCs/>
                <w:color w:val="auto"/>
                <w:sz w:val="24"/>
              </w:rPr>
              <w:fldChar w:fldCharType="separate"/>
            </w:r>
            <w:r>
              <w:rPr>
                <w:rFonts w:hint="eastAsia" w:ascii="宋体" w:hAnsi="宋体" w:cs="宋体"/>
                <w:bCs/>
                <w:color w:val="auto"/>
                <w:sz w:val="24"/>
              </w:rPr>
              <w:t>③</w:t>
            </w:r>
            <w:r>
              <w:rPr>
                <w:rFonts w:ascii="宋体" w:hAnsi="宋体" w:cs="宋体"/>
                <w:bCs/>
                <w:color w:val="auto"/>
                <w:sz w:val="24"/>
              </w:rPr>
              <w:fldChar w:fldCharType="end"/>
            </w:r>
            <w:r>
              <w:rPr>
                <w:rFonts w:hint="eastAsia" w:ascii="宋体" w:hAnsi="宋体" w:cs="宋体"/>
                <w:bCs/>
                <w:color w:val="auto"/>
                <w:sz w:val="24"/>
              </w:rPr>
              <w:t>划定施工活动范围</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由于本项目为线性工程，建议施工前应划定施工活动范围，在工程涉及敏感区段设立警示标志，采取围栏、警戒线等措施限定工程占用与扰动范围，同时对施工人员进行环境保护意识教育，宣传动植物保护法规，严禁随意扩大施工范围，禁止随意</w:t>
            </w:r>
            <w:r>
              <w:rPr>
                <w:rFonts w:hint="eastAsia" w:ascii="宋体" w:hAnsi="宋体" w:cs="宋体"/>
                <w:bCs/>
                <w:color w:val="auto"/>
                <w:sz w:val="24"/>
                <w:lang w:eastAsia="zh-CN"/>
              </w:rPr>
              <w:t>乱采滥伐</w:t>
            </w:r>
            <w:r>
              <w:rPr>
                <w:rFonts w:hint="eastAsia" w:ascii="宋体" w:hAnsi="宋体" w:cs="宋体"/>
                <w:bCs/>
                <w:color w:val="auto"/>
                <w:sz w:val="24"/>
              </w:rPr>
              <w:t>等。</w:t>
            </w:r>
          </w:p>
          <w:p>
            <w:pPr>
              <w:adjustRightInd w:val="0"/>
              <w:spacing w:line="360" w:lineRule="auto"/>
              <w:ind w:firstLine="480" w:firstLineChars="200"/>
              <w:rPr>
                <w:rFonts w:hint="eastAsia" w:ascii="宋体" w:hAnsi="宋体" w:cs="宋体"/>
                <w:bCs/>
                <w:color w:val="auto"/>
                <w:sz w:val="24"/>
              </w:rPr>
            </w:pPr>
            <w:r>
              <w:rPr>
                <w:rFonts w:ascii="宋体" w:hAnsi="宋体" w:cs="宋体"/>
                <w:bCs/>
                <w:color w:val="auto"/>
                <w:sz w:val="24"/>
              </w:rPr>
              <w:fldChar w:fldCharType="begin"/>
            </w:r>
            <w:r>
              <w:rPr>
                <w:rFonts w:ascii="宋体" w:hAnsi="宋体" w:cs="宋体"/>
                <w:bCs/>
                <w:color w:val="auto"/>
                <w:sz w:val="24"/>
              </w:rPr>
              <w:instrText xml:space="preserve"> </w:instrText>
            </w:r>
            <w:r>
              <w:rPr>
                <w:rFonts w:hint="eastAsia" w:ascii="宋体" w:hAnsi="宋体" w:cs="宋体"/>
                <w:bCs/>
                <w:color w:val="auto"/>
                <w:sz w:val="24"/>
              </w:rPr>
              <w:instrText xml:space="preserve">= 4 \* GB3</w:instrText>
            </w:r>
            <w:r>
              <w:rPr>
                <w:rFonts w:ascii="宋体" w:hAnsi="宋体" w:cs="宋体"/>
                <w:bCs/>
                <w:color w:val="auto"/>
                <w:sz w:val="24"/>
              </w:rPr>
              <w:instrText xml:space="preserve"> </w:instrText>
            </w:r>
            <w:r>
              <w:rPr>
                <w:rFonts w:ascii="宋体" w:hAnsi="宋体" w:cs="宋体"/>
                <w:bCs/>
                <w:color w:val="auto"/>
                <w:sz w:val="24"/>
              </w:rPr>
              <w:fldChar w:fldCharType="separate"/>
            </w:r>
            <w:r>
              <w:rPr>
                <w:rFonts w:hint="eastAsia" w:ascii="宋体" w:hAnsi="宋体" w:cs="宋体"/>
                <w:bCs/>
                <w:color w:val="auto"/>
                <w:sz w:val="24"/>
              </w:rPr>
              <w:t>④</w:t>
            </w:r>
            <w:r>
              <w:rPr>
                <w:rFonts w:ascii="宋体" w:hAnsi="宋体" w:cs="宋体"/>
                <w:bCs/>
                <w:color w:val="auto"/>
                <w:sz w:val="24"/>
              </w:rPr>
              <w:fldChar w:fldCharType="end"/>
            </w:r>
            <w:r>
              <w:rPr>
                <w:rFonts w:hint="eastAsia" w:ascii="宋体" w:hAnsi="宋体" w:cs="宋体"/>
                <w:bCs/>
                <w:color w:val="auto"/>
                <w:sz w:val="24"/>
              </w:rPr>
              <w:t>加强施工管理</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施工过程中，加强施工人员的管理，禁止施工人员对植被滥砍滥伐，严格限制人员的活动范围，破坏沿线的生态环境。</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（2）管理措施</w:t>
            </w:r>
          </w:p>
          <w:p>
            <w:pPr>
              <w:adjustRightInd w:val="0"/>
              <w:spacing w:line="360" w:lineRule="auto"/>
              <w:ind w:firstLine="480" w:firstLineChars="200"/>
              <w:rPr>
                <w:rFonts w:hint="eastAsia" w:ascii="宋体" w:hAnsi="宋体" w:cs="宋体"/>
                <w:bCs/>
                <w:color w:val="auto"/>
                <w:sz w:val="24"/>
              </w:rPr>
            </w:pPr>
            <w:r>
              <w:rPr>
                <w:rFonts w:ascii="宋体" w:hAnsi="宋体" w:cs="宋体"/>
                <w:bCs/>
                <w:color w:val="auto"/>
                <w:sz w:val="24"/>
              </w:rPr>
              <w:fldChar w:fldCharType="begin"/>
            </w:r>
            <w:r>
              <w:rPr>
                <w:rFonts w:ascii="宋体" w:hAnsi="宋体" w:cs="宋体"/>
                <w:bCs/>
                <w:color w:val="auto"/>
                <w:sz w:val="24"/>
              </w:rPr>
              <w:instrText xml:space="preserve"> </w:instrText>
            </w:r>
            <w:r>
              <w:rPr>
                <w:rFonts w:hint="eastAsia" w:ascii="宋体" w:hAnsi="宋体" w:cs="宋体"/>
                <w:bCs/>
                <w:color w:val="auto"/>
                <w:sz w:val="24"/>
              </w:rPr>
              <w:instrText xml:space="preserve">= 1 \* GB3</w:instrText>
            </w:r>
            <w:r>
              <w:rPr>
                <w:rFonts w:ascii="宋体" w:hAnsi="宋体" w:cs="宋体"/>
                <w:bCs/>
                <w:color w:val="auto"/>
                <w:sz w:val="24"/>
              </w:rPr>
              <w:instrText xml:space="preserve"> </w:instrText>
            </w:r>
            <w:r>
              <w:rPr>
                <w:rFonts w:ascii="宋体" w:hAnsi="宋体" w:cs="宋体"/>
                <w:bCs/>
                <w:color w:val="auto"/>
                <w:sz w:val="24"/>
              </w:rPr>
              <w:fldChar w:fldCharType="separate"/>
            </w:r>
            <w:r>
              <w:rPr>
                <w:rFonts w:hint="eastAsia" w:ascii="宋体" w:hAnsi="宋体" w:cs="宋体"/>
                <w:bCs/>
                <w:color w:val="auto"/>
                <w:sz w:val="24"/>
              </w:rPr>
              <w:t>①</w:t>
            </w:r>
            <w:r>
              <w:rPr>
                <w:rFonts w:ascii="宋体" w:hAnsi="宋体" w:cs="宋体"/>
                <w:bCs/>
                <w:color w:val="auto"/>
                <w:sz w:val="24"/>
              </w:rPr>
              <w:fldChar w:fldCharType="end"/>
            </w:r>
            <w:r>
              <w:rPr>
                <w:rFonts w:hint="eastAsia" w:ascii="宋体" w:hAnsi="宋体" w:cs="宋体"/>
                <w:bCs/>
                <w:color w:val="auto"/>
                <w:sz w:val="24"/>
              </w:rPr>
              <w:t>建立完善的施工制度，有序管理施工活动。</w:t>
            </w:r>
            <w:r>
              <w:rPr>
                <w:rFonts w:hint="eastAsia" w:ascii="宋体" w:hAnsi="宋体" w:cs="宋体"/>
                <w:bCs/>
                <w:color w:val="auto"/>
                <w:sz w:val="24"/>
                <w:lang w:eastAsia="zh-CN"/>
              </w:rPr>
              <w:t>制定</w:t>
            </w:r>
            <w:r>
              <w:rPr>
                <w:rFonts w:hint="eastAsia" w:ascii="宋体" w:hAnsi="宋体" w:cs="宋体"/>
                <w:bCs/>
                <w:color w:val="auto"/>
                <w:sz w:val="24"/>
              </w:rPr>
              <w:t>施工原则，划定施工范围，限定施工时间。施工过程禁止对植被滥砍滥伐，破坏沿线生态环境尽量避免对动物生境造成不良影响；按照规定的施工时间进行施工，以减缓对动物栖息与繁殖的不利影响。</w:t>
            </w:r>
          </w:p>
          <w:p>
            <w:pPr>
              <w:adjustRightInd w:val="0"/>
              <w:spacing w:line="360" w:lineRule="auto"/>
              <w:ind w:firstLine="480" w:firstLineChars="200"/>
              <w:rPr>
                <w:rFonts w:hint="eastAsia" w:ascii="宋体" w:hAnsi="宋体" w:cs="宋体"/>
                <w:bCs/>
                <w:color w:val="auto"/>
                <w:sz w:val="24"/>
              </w:rPr>
            </w:pPr>
            <w:r>
              <w:rPr>
                <w:rFonts w:ascii="宋体" w:hAnsi="宋体" w:cs="宋体"/>
                <w:bCs/>
                <w:color w:val="auto"/>
                <w:sz w:val="24"/>
              </w:rPr>
              <w:fldChar w:fldCharType="begin"/>
            </w:r>
            <w:r>
              <w:rPr>
                <w:rFonts w:ascii="宋体" w:hAnsi="宋体" w:cs="宋体"/>
                <w:bCs/>
                <w:color w:val="auto"/>
                <w:sz w:val="24"/>
              </w:rPr>
              <w:instrText xml:space="preserve"> </w:instrText>
            </w:r>
            <w:r>
              <w:rPr>
                <w:rFonts w:hint="eastAsia" w:ascii="宋体" w:hAnsi="宋体" w:cs="宋体"/>
                <w:bCs/>
                <w:color w:val="auto"/>
                <w:sz w:val="24"/>
              </w:rPr>
              <w:instrText xml:space="preserve">= 2 \* GB3</w:instrText>
            </w:r>
            <w:r>
              <w:rPr>
                <w:rFonts w:ascii="宋体" w:hAnsi="宋体" w:cs="宋体"/>
                <w:bCs/>
                <w:color w:val="auto"/>
                <w:sz w:val="24"/>
              </w:rPr>
              <w:instrText xml:space="preserve"> </w:instrText>
            </w:r>
            <w:r>
              <w:rPr>
                <w:rFonts w:ascii="宋体" w:hAnsi="宋体" w:cs="宋体"/>
                <w:bCs/>
                <w:color w:val="auto"/>
                <w:sz w:val="24"/>
              </w:rPr>
              <w:fldChar w:fldCharType="separate"/>
            </w:r>
            <w:r>
              <w:rPr>
                <w:rFonts w:hint="eastAsia" w:ascii="宋体" w:hAnsi="宋体" w:cs="宋体"/>
                <w:bCs/>
                <w:color w:val="auto"/>
                <w:sz w:val="24"/>
              </w:rPr>
              <w:t>②</w:t>
            </w:r>
            <w:r>
              <w:rPr>
                <w:rFonts w:ascii="宋体" w:hAnsi="宋体" w:cs="宋体"/>
                <w:bCs/>
                <w:color w:val="auto"/>
                <w:sz w:val="24"/>
              </w:rPr>
              <w:fldChar w:fldCharType="end"/>
            </w:r>
            <w:r>
              <w:rPr>
                <w:rFonts w:hint="eastAsia" w:ascii="宋体" w:hAnsi="宋体" w:cs="宋体"/>
                <w:bCs/>
                <w:color w:val="auto"/>
                <w:sz w:val="24"/>
              </w:rPr>
              <w:t>加强对施工人员的管理，定期开展环保、防火等宣传教育。可组织专业人员通过宣传视频、讲座或印发图册等形式，强化施工人员环保意识；对于涉及环境敏感区段，必要时划定施工红线，布设施工围栏，防止施工人员作业、施工机械布置，增加占地区，增大对施工区域陆生动植物、生态环境的影响。加强对施工人员的管理，定期开展有关动物保护的宣传教育。可组织专业人员通过宣传视频、讲座或印发图册等形式，强化施工人员动物保护意识；开展相关野生动物保护法律法规教育，</w:t>
            </w:r>
            <w:r>
              <w:rPr>
                <w:rFonts w:hint="eastAsia" w:ascii="宋体" w:hAnsi="宋体" w:cs="宋体"/>
                <w:bCs/>
                <w:color w:val="auto"/>
                <w:sz w:val="24"/>
                <w:lang w:eastAsia="zh-CN"/>
              </w:rPr>
              <w:t>增强法律意识</w:t>
            </w:r>
            <w:r>
              <w:rPr>
                <w:rFonts w:hint="eastAsia" w:ascii="宋体" w:hAnsi="宋体" w:cs="宋体"/>
                <w:bCs/>
                <w:color w:val="auto"/>
                <w:sz w:val="24"/>
              </w:rPr>
              <w:t>，保证依法施工。</w:t>
            </w:r>
          </w:p>
          <w:p>
            <w:pPr>
              <w:adjustRightInd w:val="0"/>
              <w:spacing w:line="360" w:lineRule="auto"/>
              <w:ind w:firstLine="480" w:firstLineChars="200"/>
              <w:rPr>
                <w:rFonts w:hint="eastAsia" w:ascii="宋体" w:hAnsi="宋体" w:cs="宋体"/>
                <w:bCs/>
                <w:color w:val="auto"/>
                <w:sz w:val="24"/>
              </w:rPr>
            </w:pPr>
            <w:r>
              <w:rPr>
                <w:rFonts w:ascii="宋体" w:hAnsi="宋体" w:cs="宋体"/>
                <w:bCs/>
                <w:color w:val="auto"/>
                <w:sz w:val="24"/>
              </w:rPr>
              <w:fldChar w:fldCharType="begin"/>
            </w:r>
            <w:r>
              <w:rPr>
                <w:rFonts w:ascii="宋体" w:hAnsi="宋体" w:cs="宋体"/>
                <w:bCs/>
                <w:color w:val="auto"/>
                <w:sz w:val="24"/>
              </w:rPr>
              <w:instrText xml:space="preserve"> </w:instrText>
            </w:r>
            <w:r>
              <w:rPr>
                <w:rFonts w:hint="eastAsia" w:ascii="宋体" w:hAnsi="宋体" w:cs="宋体"/>
                <w:bCs/>
                <w:color w:val="auto"/>
                <w:sz w:val="24"/>
              </w:rPr>
              <w:instrText xml:space="preserve">= 3 \* GB3</w:instrText>
            </w:r>
            <w:r>
              <w:rPr>
                <w:rFonts w:ascii="宋体" w:hAnsi="宋体" w:cs="宋体"/>
                <w:bCs/>
                <w:color w:val="auto"/>
                <w:sz w:val="24"/>
              </w:rPr>
              <w:instrText xml:space="preserve"> </w:instrText>
            </w:r>
            <w:r>
              <w:rPr>
                <w:rFonts w:ascii="宋体" w:hAnsi="宋体" w:cs="宋体"/>
                <w:bCs/>
                <w:color w:val="auto"/>
                <w:sz w:val="24"/>
              </w:rPr>
              <w:fldChar w:fldCharType="separate"/>
            </w:r>
            <w:r>
              <w:rPr>
                <w:rFonts w:hint="eastAsia" w:ascii="宋体" w:hAnsi="宋体" w:cs="宋体"/>
                <w:bCs/>
                <w:color w:val="auto"/>
                <w:sz w:val="24"/>
              </w:rPr>
              <w:t>③</w:t>
            </w:r>
            <w:r>
              <w:rPr>
                <w:rFonts w:ascii="宋体" w:hAnsi="宋体" w:cs="宋体"/>
                <w:bCs/>
                <w:color w:val="auto"/>
                <w:sz w:val="24"/>
              </w:rPr>
              <w:fldChar w:fldCharType="end"/>
            </w:r>
            <w:r>
              <w:rPr>
                <w:rFonts w:hint="eastAsia" w:ascii="宋体" w:hAnsi="宋体" w:cs="宋体"/>
                <w:bCs/>
                <w:color w:val="auto"/>
                <w:sz w:val="24"/>
              </w:rPr>
              <w:t>建立完善的生态影响监测制度。定期对施工期、运行期产生的生态影响进行监测与调查。施工期主要对永久占地、临时</w:t>
            </w:r>
            <w:r>
              <w:rPr>
                <w:rFonts w:hint="eastAsia" w:ascii="宋体" w:hAnsi="宋体" w:cs="宋体"/>
                <w:bCs/>
                <w:color w:val="auto"/>
                <w:sz w:val="24"/>
                <w:lang w:eastAsia="zh-CN"/>
              </w:rPr>
              <w:t>占地</w:t>
            </w:r>
            <w:r>
              <w:rPr>
                <w:rFonts w:hint="eastAsia" w:ascii="宋体" w:hAnsi="宋体" w:cs="宋体"/>
                <w:bCs/>
                <w:color w:val="auto"/>
                <w:sz w:val="24"/>
              </w:rPr>
              <w:t>进行监测；运行期主要监测植被变化、生态系统整体性变化。加强生态管理，设置生态环境管理人员，建立各种管理及报告制度。通过动态监测和完善管理，使生态向良性方向发展。主要监测野生动物种群、数量变化及生态系统整体性变化。</w:t>
            </w:r>
          </w:p>
          <w:p>
            <w:pPr>
              <w:adjustRightInd w:val="0"/>
              <w:spacing w:line="360" w:lineRule="auto"/>
              <w:ind w:firstLine="480" w:firstLineChars="200"/>
              <w:rPr>
                <w:rFonts w:ascii="宋体" w:hAnsi="宋体" w:cs="宋体"/>
                <w:bCs/>
                <w:color w:val="auto"/>
                <w:sz w:val="24"/>
              </w:rPr>
            </w:pPr>
            <w:r>
              <w:rPr>
                <w:rFonts w:ascii="宋体" w:hAnsi="宋体" w:cs="宋体"/>
                <w:bCs/>
                <w:color w:val="auto"/>
                <w:sz w:val="24"/>
              </w:rPr>
              <w:fldChar w:fldCharType="begin"/>
            </w:r>
            <w:r>
              <w:rPr>
                <w:rFonts w:ascii="宋体" w:hAnsi="宋体" w:cs="宋体"/>
                <w:bCs/>
                <w:color w:val="auto"/>
                <w:sz w:val="24"/>
              </w:rPr>
              <w:instrText xml:space="preserve"> </w:instrText>
            </w:r>
            <w:r>
              <w:rPr>
                <w:rFonts w:hint="eastAsia" w:ascii="宋体" w:hAnsi="宋体" w:cs="宋体"/>
                <w:bCs/>
                <w:color w:val="auto"/>
                <w:sz w:val="24"/>
              </w:rPr>
              <w:instrText xml:space="preserve">= 4 \* GB3</w:instrText>
            </w:r>
            <w:r>
              <w:rPr>
                <w:rFonts w:ascii="宋体" w:hAnsi="宋体" w:cs="宋体"/>
                <w:bCs/>
                <w:color w:val="auto"/>
                <w:sz w:val="24"/>
              </w:rPr>
              <w:instrText xml:space="preserve"> </w:instrText>
            </w:r>
            <w:r>
              <w:rPr>
                <w:rFonts w:ascii="宋体" w:hAnsi="宋体" w:cs="宋体"/>
                <w:bCs/>
                <w:color w:val="auto"/>
                <w:sz w:val="24"/>
              </w:rPr>
              <w:fldChar w:fldCharType="separate"/>
            </w:r>
            <w:r>
              <w:rPr>
                <w:rFonts w:hint="eastAsia" w:ascii="宋体" w:hAnsi="宋体" w:cs="宋体"/>
                <w:bCs/>
                <w:color w:val="auto"/>
                <w:sz w:val="24"/>
              </w:rPr>
              <w:t>④</w:t>
            </w:r>
            <w:r>
              <w:rPr>
                <w:rFonts w:ascii="宋体" w:hAnsi="宋体" w:cs="宋体"/>
                <w:bCs/>
                <w:color w:val="auto"/>
                <w:sz w:val="24"/>
              </w:rPr>
              <w:fldChar w:fldCharType="end"/>
            </w:r>
            <w:r>
              <w:rPr>
                <w:rFonts w:hint="eastAsia" w:ascii="宋体" w:hAnsi="宋体" w:cs="宋体"/>
                <w:bCs/>
                <w:color w:val="auto"/>
                <w:sz w:val="24"/>
              </w:rPr>
              <w:t>加强与当地林草部门和各敏感区管理部门的联系工作，施工过程中若发现有受伤的野生保护动物，可及时联系有关部门进行相关救助。</w:t>
            </w:r>
          </w:p>
          <w:p>
            <w:pPr>
              <w:adjustRightInd w:val="0"/>
              <w:spacing w:line="360" w:lineRule="auto"/>
              <w:ind w:firstLine="480" w:firstLineChars="200"/>
              <w:rPr>
                <w:rFonts w:ascii="宋体" w:hAnsi="宋体" w:cs="宋体"/>
                <w:bCs/>
                <w:color w:val="auto"/>
                <w:sz w:val="24"/>
              </w:rPr>
            </w:pPr>
            <w:r>
              <w:rPr>
                <w:rFonts w:ascii="宋体" w:hAnsi="宋体" w:cs="宋体"/>
                <w:bCs/>
                <w:color w:val="auto"/>
                <w:sz w:val="24"/>
              </w:rPr>
              <w:fldChar w:fldCharType="begin"/>
            </w:r>
            <w:r>
              <w:rPr>
                <w:rFonts w:ascii="宋体" w:hAnsi="宋体" w:cs="宋体"/>
                <w:bCs/>
                <w:color w:val="auto"/>
                <w:sz w:val="24"/>
              </w:rPr>
              <w:instrText xml:space="preserve"> </w:instrText>
            </w:r>
            <w:r>
              <w:rPr>
                <w:rFonts w:hint="eastAsia" w:ascii="宋体" w:hAnsi="宋体" w:cs="宋体"/>
                <w:bCs/>
                <w:color w:val="auto"/>
                <w:sz w:val="24"/>
              </w:rPr>
              <w:instrText xml:space="preserve">= 5 \* GB3</w:instrText>
            </w:r>
            <w:r>
              <w:rPr>
                <w:rFonts w:ascii="宋体" w:hAnsi="宋体" w:cs="宋体"/>
                <w:bCs/>
                <w:color w:val="auto"/>
                <w:sz w:val="24"/>
              </w:rPr>
              <w:instrText xml:space="preserve"> </w:instrText>
            </w:r>
            <w:r>
              <w:rPr>
                <w:rFonts w:ascii="宋体" w:hAnsi="宋体" w:cs="宋体"/>
                <w:bCs/>
                <w:color w:val="auto"/>
                <w:sz w:val="24"/>
              </w:rPr>
              <w:fldChar w:fldCharType="separate"/>
            </w:r>
            <w:r>
              <w:rPr>
                <w:rFonts w:hint="eastAsia" w:ascii="宋体" w:hAnsi="宋体" w:cs="宋体"/>
                <w:bCs/>
                <w:color w:val="auto"/>
                <w:sz w:val="24"/>
              </w:rPr>
              <w:t>⑤</w:t>
            </w:r>
            <w:r>
              <w:rPr>
                <w:rFonts w:ascii="宋体" w:hAnsi="宋体" w:cs="宋体"/>
                <w:bCs/>
                <w:color w:val="auto"/>
                <w:sz w:val="24"/>
              </w:rPr>
              <w:fldChar w:fldCharType="end"/>
            </w:r>
            <w:r>
              <w:rPr>
                <w:rFonts w:ascii="宋体" w:hAnsi="宋体" w:cs="宋体"/>
                <w:bCs/>
                <w:color w:val="auto"/>
                <w:sz w:val="24"/>
              </w:rPr>
              <w:t>施工机械（含施工车辆）</w:t>
            </w:r>
            <w:r>
              <w:rPr>
                <w:rFonts w:hint="eastAsia" w:ascii="宋体" w:hAnsi="宋体" w:cs="宋体"/>
                <w:bCs/>
                <w:color w:val="auto"/>
                <w:sz w:val="24"/>
              </w:rPr>
              <w:t>维修保养在受委托社会第三方场地进行，在公共加油站进行燃料补给，禁止在施工</w:t>
            </w:r>
            <w:r>
              <w:rPr>
                <w:rFonts w:hint="eastAsia" w:ascii="宋体" w:hAnsi="宋体" w:cs="宋体"/>
                <w:bCs/>
                <w:color w:val="auto"/>
                <w:sz w:val="24"/>
                <w:lang w:val="en-US" w:eastAsia="zh-CN"/>
              </w:rPr>
              <w:t>营地</w:t>
            </w:r>
            <w:r>
              <w:rPr>
                <w:rFonts w:hint="eastAsia" w:ascii="宋体" w:hAnsi="宋体" w:cs="宋体"/>
                <w:bCs/>
                <w:color w:val="auto"/>
                <w:sz w:val="24"/>
              </w:rPr>
              <w:t>贮存柴油，严格控制易燃易爆器材的使用。</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1</w:t>
            </w:r>
            <w:r>
              <w:rPr>
                <w:rFonts w:ascii="宋体" w:hAnsi="宋体" w:cs="宋体"/>
                <w:bCs/>
                <w:color w:val="auto"/>
                <w:sz w:val="24"/>
              </w:rPr>
              <w:t>.1.</w:t>
            </w:r>
            <w:r>
              <w:rPr>
                <w:rFonts w:hint="eastAsia" w:ascii="宋体" w:hAnsi="宋体" w:cs="宋体"/>
                <w:bCs/>
                <w:color w:val="auto"/>
                <w:sz w:val="24"/>
                <w:lang w:val="en-US" w:eastAsia="zh-CN"/>
              </w:rPr>
              <w:t>3</w:t>
            </w:r>
            <w:r>
              <w:rPr>
                <w:rFonts w:hint="eastAsia" w:ascii="宋体" w:hAnsi="宋体" w:cs="宋体"/>
                <w:bCs/>
                <w:color w:val="auto"/>
                <w:sz w:val="24"/>
              </w:rPr>
              <w:t>植被保护措施</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（1）减缓措施</w:t>
            </w:r>
          </w:p>
          <w:p>
            <w:pPr>
              <w:adjustRightInd w:val="0"/>
              <w:spacing w:line="360" w:lineRule="auto"/>
              <w:ind w:firstLine="480" w:firstLineChars="200"/>
              <w:rPr>
                <w:rFonts w:hint="eastAsia" w:ascii="宋体" w:hAnsi="宋体" w:cs="宋体"/>
                <w:bCs/>
                <w:color w:val="auto"/>
                <w:sz w:val="24"/>
              </w:rPr>
            </w:pPr>
            <w:bookmarkStart w:id="15" w:name="_Hlk145497932"/>
            <w:r>
              <w:rPr>
                <w:rFonts w:hint="eastAsia" w:ascii="宋体" w:hAnsi="宋体" w:cs="宋体"/>
                <w:bCs/>
                <w:color w:val="auto"/>
                <w:sz w:val="24"/>
              </w:rPr>
              <w:t>施工前应划定施工活动范围，减少临时占地对植被的破坏，降低了生物量损失，减少施工期对植被的影响</w:t>
            </w:r>
            <w:bookmarkEnd w:id="15"/>
            <w:r>
              <w:rPr>
                <w:rFonts w:hint="eastAsia" w:ascii="宋体" w:hAnsi="宋体" w:cs="宋体"/>
                <w:bCs/>
                <w:color w:val="auto"/>
                <w:sz w:val="24"/>
              </w:rPr>
              <w:t>。</w:t>
            </w:r>
          </w:p>
          <w:p>
            <w:pPr>
              <w:adjustRightInd w:val="0"/>
              <w:spacing w:line="360" w:lineRule="auto"/>
              <w:ind w:firstLine="480" w:firstLineChars="200"/>
              <w:rPr>
                <w:rFonts w:hint="eastAsia" w:ascii="宋体" w:hAnsi="宋体" w:eastAsia="宋体" w:cs="宋体"/>
                <w:bCs/>
                <w:color w:val="auto"/>
                <w:sz w:val="24"/>
                <w:lang w:eastAsia="zh-CN"/>
              </w:rPr>
            </w:pPr>
            <w:r>
              <w:rPr>
                <w:rFonts w:hint="eastAsia" w:ascii="宋体" w:hAnsi="宋体" w:cs="宋体"/>
                <w:bCs/>
                <w:color w:val="auto"/>
                <w:sz w:val="24"/>
                <w:lang w:eastAsia="zh-CN"/>
              </w:rPr>
              <w:t>（</w:t>
            </w:r>
            <w:r>
              <w:rPr>
                <w:rFonts w:hint="eastAsia" w:ascii="宋体" w:hAnsi="宋体" w:cs="宋体"/>
                <w:bCs/>
                <w:color w:val="auto"/>
                <w:sz w:val="24"/>
                <w:lang w:val="en-US" w:eastAsia="zh-CN"/>
              </w:rPr>
              <w:t>2</w:t>
            </w:r>
            <w:r>
              <w:rPr>
                <w:rFonts w:hint="eastAsia" w:ascii="宋体" w:hAnsi="宋体" w:cs="宋体"/>
                <w:bCs/>
                <w:color w:val="auto"/>
                <w:sz w:val="24"/>
                <w:lang w:eastAsia="zh-CN"/>
              </w:rPr>
              <w:t>）</w:t>
            </w:r>
            <w:r>
              <w:rPr>
                <w:rFonts w:hint="eastAsia" w:ascii="宋体" w:hAnsi="宋体" w:cs="宋体"/>
                <w:bCs/>
                <w:color w:val="auto"/>
                <w:sz w:val="24"/>
                <w:lang w:val="en-US" w:eastAsia="zh-CN"/>
              </w:rPr>
              <w:t>管理措施</w:t>
            </w:r>
          </w:p>
          <w:p>
            <w:pPr>
              <w:adjustRightInd w:val="0"/>
              <w:spacing w:line="360" w:lineRule="auto"/>
              <w:ind w:firstLine="480" w:firstLineChars="200"/>
              <w:rPr>
                <w:rFonts w:hint="eastAsia" w:ascii="宋体" w:hAnsi="宋体" w:eastAsia="宋体" w:cs="宋体"/>
                <w:bCs/>
                <w:color w:val="auto"/>
                <w:sz w:val="24"/>
                <w:lang w:val="en-US" w:eastAsia="zh-CN"/>
              </w:rPr>
            </w:pPr>
            <w:r>
              <w:rPr>
                <w:rFonts w:hint="eastAsia" w:ascii="宋体" w:hAnsi="宋体" w:cs="宋体"/>
                <w:bCs/>
                <w:color w:val="auto"/>
                <w:sz w:val="24"/>
                <w:lang w:val="en-US" w:eastAsia="zh-CN"/>
              </w:rPr>
              <w:t>建立完善的施工制度；加强对施工人员的管理，</w:t>
            </w:r>
            <w:r>
              <w:rPr>
                <w:rFonts w:hint="eastAsia" w:ascii="宋体" w:hAnsi="宋体" w:cs="宋体"/>
                <w:bCs/>
                <w:color w:val="auto"/>
                <w:sz w:val="24"/>
              </w:rPr>
              <w:t>定期开展环保、防火等宣传教育</w:t>
            </w:r>
            <w:r>
              <w:rPr>
                <w:rFonts w:hint="eastAsia" w:ascii="宋体" w:hAnsi="宋体" w:cs="宋体"/>
                <w:bCs/>
                <w:color w:val="auto"/>
                <w:sz w:val="24"/>
                <w:lang w:eastAsia="zh-CN"/>
              </w:rPr>
              <w:t>；</w:t>
            </w:r>
            <w:r>
              <w:rPr>
                <w:rFonts w:hint="eastAsia" w:ascii="宋体" w:hAnsi="宋体" w:cs="宋体"/>
                <w:bCs/>
                <w:color w:val="auto"/>
                <w:sz w:val="24"/>
              </w:rPr>
              <w:t>建立完善的生态影响监测制度。</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（3）植被恢复</w:t>
            </w:r>
          </w:p>
          <w:p>
            <w:pPr>
              <w:adjustRightInd w:val="0"/>
              <w:spacing w:line="360" w:lineRule="auto"/>
              <w:ind w:firstLine="480" w:firstLineChars="200"/>
              <w:rPr>
                <w:rFonts w:hint="default" w:ascii="宋体" w:hAnsi="宋体" w:eastAsia="宋体" w:cs="宋体"/>
                <w:bCs/>
                <w:color w:val="auto"/>
                <w:sz w:val="24"/>
                <w:lang w:val="en-US" w:eastAsia="zh-CN"/>
              </w:rPr>
            </w:pPr>
            <w:r>
              <w:rPr>
                <w:rFonts w:hint="eastAsia" w:ascii="宋体" w:hAnsi="宋体" w:cs="宋体"/>
                <w:bCs/>
                <w:color w:val="auto"/>
                <w:sz w:val="24"/>
              </w:rPr>
              <w:t>施工结束后对沟道两岸岸边</w:t>
            </w:r>
            <w:r>
              <w:rPr>
                <w:rFonts w:hint="eastAsia" w:ascii="宋体" w:hAnsi="宋体" w:cs="宋体"/>
                <w:bCs/>
                <w:color w:val="auto"/>
                <w:sz w:val="24"/>
                <w:lang w:eastAsia="zh-CN"/>
              </w:rPr>
              <w:t>及弃土场</w:t>
            </w:r>
            <w:r>
              <w:rPr>
                <w:rFonts w:hint="eastAsia" w:ascii="宋体" w:hAnsi="宋体" w:cs="宋体"/>
                <w:bCs/>
                <w:color w:val="auto"/>
                <w:sz w:val="24"/>
              </w:rPr>
              <w:t>播撒草籽</w:t>
            </w:r>
            <w:r>
              <w:rPr>
                <w:rFonts w:hint="eastAsia" w:ascii="宋体" w:hAnsi="宋体" w:cs="宋体"/>
                <w:bCs/>
                <w:color w:val="auto"/>
                <w:sz w:val="24"/>
                <w:vertAlign w:val="baseline"/>
                <w:lang w:eastAsia="zh-CN"/>
              </w:rPr>
              <w:t>，</w:t>
            </w:r>
            <w:r>
              <w:rPr>
                <w:rFonts w:hint="eastAsia" w:ascii="宋体" w:hAnsi="宋体" w:cs="宋体"/>
                <w:bCs/>
                <w:color w:val="auto"/>
                <w:sz w:val="24"/>
                <w:vertAlign w:val="baseline"/>
                <w:lang w:val="en-US" w:eastAsia="zh-CN"/>
              </w:rPr>
              <w:t>种植扁穗冰草及油蒿</w:t>
            </w:r>
            <w:r>
              <w:rPr>
                <w:rFonts w:hint="eastAsia" w:ascii="宋体" w:hAnsi="宋体" w:cs="宋体"/>
                <w:bCs/>
                <w:color w:val="auto"/>
                <w:sz w:val="24"/>
              </w:rPr>
              <w:t>。冰草播种方法：播种时应去掉秕粒种子和杂质，将种子均匀播种即可。一般采取条播或撒播，以条播为好，条播行距10-20</w:t>
            </w:r>
            <w:r>
              <w:rPr>
                <w:rFonts w:hint="eastAsia" w:ascii="宋体" w:hAnsi="宋体" w:cs="宋体"/>
                <w:bCs/>
                <w:color w:val="auto"/>
                <w:sz w:val="24"/>
                <w:lang w:val="en-US" w:eastAsia="zh-CN"/>
              </w:rPr>
              <w:t>cm</w:t>
            </w:r>
            <w:r>
              <w:rPr>
                <w:rFonts w:hint="eastAsia" w:ascii="宋体" w:hAnsi="宋体" w:cs="宋体"/>
                <w:bCs/>
                <w:color w:val="auto"/>
                <w:sz w:val="24"/>
              </w:rPr>
              <w:t>。播种时间，春、夏、秋三季皆可播种，春播一般在每年的4月中下旬至5月上旬，秋播应在9月底之前，以利幼苗越冬</w:t>
            </w:r>
            <w:r>
              <w:rPr>
                <w:rFonts w:hint="eastAsia" w:ascii="宋体" w:hAnsi="宋体" w:cs="宋体"/>
                <w:bCs/>
                <w:color w:val="auto"/>
                <w:sz w:val="24"/>
                <w:lang w:eastAsia="zh-CN"/>
              </w:rPr>
              <w:t>。</w:t>
            </w:r>
          </w:p>
          <w:p>
            <w:pPr>
              <w:adjustRightInd w:val="0"/>
              <w:spacing w:line="360" w:lineRule="auto"/>
              <w:ind w:firstLine="480" w:firstLineChars="200"/>
              <w:rPr>
                <w:rFonts w:ascii="宋体" w:hAnsi="宋体" w:cs="宋体"/>
                <w:bCs/>
                <w:color w:val="auto"/>
                <w:sz w:val="24"/>
              </w:rPr>
            </w:pPr>
            <w:r>
              <w:rPr>
                <w:rFonts w:ascii="宋体" w:hAnsi="宋体" w:cs="宋体"/>
                <w:bCs/>
                <w:color w:val="auto"/>
                <w:sz w:val="24"/>
              </w:rPr>
              <w:t>1.1.</w:t>
            </w:r>
            <w:r>
              <w:rPr>
                <w:rFonts w:hint="eastAsia" w:ascii="宋体" w:hAnsi="宋体" w:cs="宋体"/>
                <w:bCs/>
                <w:color w:val="auto"/>
                <w:sz w:val="24"/>
                <w:lang w:val="en-US" w:eastAsia="zh-CN"/>
              </w:rPr>
              <w:t>4</w:t>
            </w:r>
            <w:r>
              <w:rPr>
                <w:rFonts w:hint="eastAsia" w:ascii="宋体" w:hAnsi="宋体" w:cs="宋体"/>
                <w:bCs/>
                <w:color w:val="auto"/>
                <w:sz w:val="24"/>
              </w:rPr>
              <w:t>动物保护措施</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（1）避让和减缓措施</w:t>
            </w:r>
          </w:p>
          <w:p>
            <w:pPr>
              <w:adjustRightInd w:val="0"/>
              <w:spacing w:line="360" w:lineRule="auto"/>
              <w:ind w:firstLine="480" w:firstLineChars="200"/>
              <w:rPr>
                <w:rFonts w:hint="eastAsia" w:ascii="宋体" w:hAnsi="宋体" w:cs="宋体"/>
                <w:bCs/>
                <w:color w:val="auto"/>
                <w:sz w:val="24"/>
                <w:lang w:val="en-US" w:eastAsia="zh-CN"/>
              </w:rPr>
            </w:pPr>
            <w:r>
              <w:rPr>
                <w:rFonts w:hint="eastAsia" w:ascii="宋体" w:hAnsi="宋体" w:cs="宋体"/>
                <w:bCs/>
                <w:color w:val="auto"/>
                <w:sz w:val="24"/>
              </w:rPr>
              <w:t>施工前应划定施工活动范围，禁止越界施工占地或砍伐林木、禁止捕猎野生动物，以最大限度</w:t>
            </w:r>
            <w:r>
              <w:rPr>
                <w:rFonts w:hint="eastAsia" w:ascii="宋体" w:hAnsi="宋体" w:cs="宋体"/>
                <w:bCs/>
                <w:color w:val="auto"/>
                <w:sz w:val="24"/>
                <w:lang w:eastAsia="zh-CN"/>
              </w:rPr>
              <w:t>减少</w:t>
            </w:r>
            <w:r>
              <w:rPr>
                <w:rFonts w:hint="eastAsia" w:ascii="宋体" w:hAnsi="宋体" w:cs="宋体"/>
                <w:bCs/>
                <w:color w:val="auto"/>
                <w:sz w:val="24"/>
              </w:rPr>
              <w:t>对野生动物正常栖息的影响。优化施工时段</w:t>
            </w:r>
            <w:r>
              <w:rPr>
                <w:rFonts w:hint="eastAsia" w:ascii="宋体" w:hAnsi="宋体" w:cs="宋体"/>
                <w:bCs/>
                <w:color w:val="auto"/>
                <w:sz w:val="24"/>
                <w:lang w:eastAsia="zh-CN"/>
              </w:rPr>
              <w:t>，</w:t>
            </w:r>
            <w:r>
              <w:rPr>
                <w:rFonts w:hint="eastAsia" w:ascii="宋体" w:hAnsi="宋体" w:cs="宋体"/>
                <w:bCs/>
                <w:color w:val="auto"/>
                <w:sz w:val="24"/>
                <w:lang w:val="en-US" w:eastAsia="zh-CN"/>
              </w:rPr>
              <w:t>夜间禁止施工。</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（2）管理措施</w:t>
            </w:r>
          </w:p>
          <w:p>
            <w:pPr>
              <w:adjustRightInd w:val="0"/>
              <w:spacing w:line="360" w:lineRule="auto"/>
              <w:ind w:firstLine="480" w:firstLineChars="200"/>
              <w:rPr>
                <w:rFonts w:hint="eastAsia" w:ascii="宋体" w:hAnsi="宋体" w:eastAsia="宋体" w:cs="宋体"/>
                <w:bCs/>
                <w:color w:val="auto"/>
                <w:sz w:val="24"/>
                <w:lang w:val="en-US" w:eastAsia="zh-CN"/>
              </w:rPr>
            </w:pPr>
            <w:r>
              <w:rPr>
                <w:rFonts w:hint="eastAsia" w:ascii="宋体" w:hAnsi="宋体" w:cs="宋体"/>
                <w:bCs/>
                <w:color w:val="auto"/>
                <w:sz w:val="24"/>
                <w:lang w:val="en-US" w:eastAsia="zh-CN"/>
              </w:rPr>
              <w:t>建立完善的施工制度；加强对施工人员的管理，</w:t>
            </w:r>
            <w:r>
              <w:rPr>
                <w:rFonts w:hint="eastAsia" w:ascii="宋体" w:hAnsi="宋体" w:cs="宋体"/>
                <w:bCs/>
                <w:color w:val="auto"/>
                <w:sz w:val="24"/>
              </w:rPr>
              <w:t>定期开展环保、防火等宣传教育</w:t>
            </w:r>
            <w:r>
              <w:rPr>
                <w:rFonts w:hint="eastAsia" w:ascii="宋体" w:hAnsi="宋体" w:cs="宋体"/>
                <w:bCs/>
                <w:color w:val="auto"/>
                <w:sz w:val="24"/>
                <w:lang w:eastAsia="zh-CN"/>
              </w:rPr>
              <w:t>；</w:t>
            </w:r>
            <w:r>
              <w:rPr>
                <w:rFonts w:hint="eastAsia" w:ascii="宋体" w:hAnsi="宋体" w:cs="宋体"/>
                <w:bCs/>
                <w:color w:val="auto"/>
                <w:sz w:val="24"/>
              </w:rPr>
              <w:t>建立完善的生态影响监测制度。</w:t>
            </w:r>
          </w:p>
          <w:p>
            <w:pPr>
              <w:adjustRightInd w:val="0"/>
              <w:spacing w:line="360" w:lineRule="auto"/>
              <w:ind w:firstLine="480" w:firstLineChars="200"/>
              <w:rPr>
                <w:rFonts w:ascii="宋体" w:hAnsi="宋体" w:cs="宋体"/>
                <w:bCs/>
                <w:color w:val="auto"/>
                <w:sz w:val="24"/>
              </w:rPr>
            </w:pPr>
            <w:r>
              <w:rPr>
                <w:rFonts w:ascii="宋体" w:hAnsi="宋体" w:cs="宋体"/>
                <w:bCs/>
                <w:color w:val="auto"/>
                <w:sz w:val="24"/>
              </w:rPr>
              <w:t>1.1.</w:t>
            </w:r>
            <w:r>
              <w:rPr>
                <w:rFonts w:hint="eastAsia" w:ascii="宋体" w:hAnsi="宋体" w:cs="宋体"/>
                <w:bCs/>
                <w:color w:val="auto"/>
                <w:sz w:val="24"/>
                <w:lang w:val="en-US" w:eastAsia="zh-CN"/>
              </w:rPr>
              <w:t>5</w:t>
            </w:r>
            <w:r>
              <w:rPr>
                <w:rFonts w:hint="eastAsia" w:ascii="宋体" w:hAnsi="宋体" w:cs="宋体"/>
                <w:bCs/>
                <w:color w:val="auto"/>
                <w:sz w:val="24"/>
              </w:rPr>
              <w:t>水生生态保护措施</w:t>
            </w:r>
          </w:p>
          <w:p>
            <w:pPr>
              <w:adjustRightInd w:val="0"/>
              <w:spacing w:line="360" w:lineRule="auto"/>
              <w:ind w:firstLine="480" w:firstLineChars="200"/>
              <w:rPr>
                <w:rFonts w:ascii="宋体" w:hAnsi="宋体" w:cs="宋体"/>
                <w:bCs/>
                <w:color w:val="auto"/>
                <w:sz w:val="24"/>
              </w:rPr>
            </w:pPr>
            <w:bookmarkStart w:id="16" w:name="_Hlk145497999"/>
            <w:r>
              <w:rPr>
                <w:rFonts w:hint="eastAsia" w:ascii="宋体" w:hAnsi="宋体" w:cs="宋体"/>
                <w:bCs/>
                <w:color w:val="auto"/>
                <w:sz w:val="24"/>
              </w:rPr>
              <w:t>本项目涉及地表水体为</w:t>
            </w:r>
            <w:r>
              <w:rPr>
                <w:rFonts w:hint="eastAsia" w:ascii="宋体" w:hAnsi="宋体" w:cs="宋体"/>
                <w:bCs/>
                <w:color w:val="auto"/>
                <w:sz w:val="24"/>
                <w:lang w:eastAsia="zh-CN"/>
              </w:rPr>
              <w:t>折腰沟</w:t>
            </w:r>
            <w:r>
              <w:rPr>
                <w:rFonts w:hint="eastAsia" w:ascii="宋体" w:hAnsi="宋体" w:cs="宋体"/>
                <w:bCs/>
                <w:color w:val="auto"/>
                <w:sz w:val="24"/>
              </w:rPr>
              <w:t>，不涉及沟道取水；不涉及重要水生生物产卵场、索饵场、越冬场和洄游通道，天然渔场，基本不涉及珍稀水生生物。因此，工程建设不会对沟道水生生态造成不利影响</w:t>
            </w:r>
            <w:bookmarkEnd w:id="16"/>
            <w:r>
              <w:rPr>
                <w:rFonts w:hint="eastAsia" w:ascii="宋体" w:hAnsi="宋体" w:cs="宋体"/>
                <w:bCs/>
                <w:color w:val="auto"/>
                <w:sz w:val="24"/>
              </w:rPr>
              <w:t>。</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1</w:t>
            </w:r>
            <w:r>
              <w:rPr>
                <w:rFonts w:ascii="宋体" w:hAnsi="宋体" w:cs="宋体"/>
                <w:bCs/>
                <w:color w:val="auto"/>
                <w:sz w:val="24"/>
              </w:rPr>
              <w:t>.1.</w:t>
            </w:r>
            <w:r>
              <w:rPr>
                <w:rFonts w:hint="eastAsia" w:ascii="宋体" w:hAnsi="宋体" w:cs="宋体"/>
                <w:bCs/>
                <w:color w:val="auto"/>
                <w:sz w:val="24"/>
                <w:lang w:val="en-US" w:eastAsia="zh-CN"/>
              </w:rPr>
              <w:t>6</w:t>
            </w:r>
            <w:r>
              <w:rPr>
                <w:rFonts w:hint="eastAsia" w:ascii="宋体" w:hAnsi="宋体" w:cs="宋体"/>
                <w:bCs/>
                <w:color w:val="auto"/>
                <w:sz w:val="24"/>
              </w:rPr>
              <w:t>水土流失减缓措施</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（1）施工期土石方工程应避免在大风日、雨天等不良天气中施工；粉状材料堆放采用围护或篷布遮挡措施，减少在恶劣天气条件下风蚀、水蚀的发生。</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（2）施工</w:t>
            </w:r>
            <w:r>
              <w:rPr>
                <w:rFonts w:hint="eastAsia" w:ascii="宋体" w:hAnsi="宋体" w:cs="宋体"/>
                <w:bCs/>
                <w:color w:val="auto"/>
                <w:sz w:val="24"/>
                <w:lang w:val="en-US" w:eastAsia="zh-CN"/>
              </w:rPr>
              <w:t>设置临时施工道路</w:t>
            </w:r>
            <w:r>
              <w:rPr>
                <w:rFonts w:hint="eastAsia" w:ascii="宋体" w:hAnsi="宋体" w:cs="宋体"/>
                <w:bCs/>
                <w:color w:val="auto"/>
                <w:sz w:val="24"/>
              </w:rPr>
              <w:t>，杜绝车辆乱碾乱轧，不随意开设便道；现场施工作业机械应严格管理，划定施工活动范围，不得在项目建设区以外的地方行驶和作业，从而保证项目区以外的表土及其附生的植被不受到破坏。</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（3）施工结束后对沟道两岸岸边</w:t>
            </w:r>
            <w:r>
              <w:rPr>
                <w:rFonts w:hint="eastAsia" w:ascii="宋体" w:hAnsi="宋体" w:cs="宋体"/>
                <w:bCs/>
                <w:color w:val="auto"/>
                <w:sz w:val="24"/>
                <w:lang w:eastAsia="zh-CN"/>
              </w:rPr>
              <w:t>及弃土场</w:t>
            </w:r>
            <w:r>
              <w:rPr>
                <w:rFonts w:hint="eastAsia" w:ascii="宋体" w:hAnsi="宋体" w:cs="宋体"/>
                <w:bCs/>
                <w:color w:val="auto"/>
                <w:sz w:val="24"/>
              </w:rPr>
              <w:t>播撒草籽。</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（4）要按照项目水土保持方案的要求，加强工程质量监管，严格执行工程设计，切实预防可能发生的地质灾害。</w:t>
            </w:r>
          </w:p>
          <w:p>
            <w:pPr>
              <w:adjustRightInd w:val="0"/>
              <w:spacing w:line="360" w:lineRule="auto"/>
              <w:ind w:firstLine="480" w:firstLineChars="200"/>
              <w:rPr>
                <w:rFonts w:ascii="宋体" w:hAnsi="宋体" w:cs="宋体"/>
                <w:bCs/>
                <w:color w:val="auto"/>
                <w:sz w:val="24"/>
              </w:rPr>
            </w:pPr>
            <w:r>
              <w:rPr>
                <w:rFonts w:ascii="宋体" w:hAnsi="宋体" w:cs="宋体"/>
                <w:bCs/>
                <w:color w:val="auto"/>
                <w:sz w:val="24"/>
              </w:rPr>
              <w:t>1.1.</w:t>
            </w:r>
            <w:r>
              <w:rPr>
                <w:rFonts w:hint="eastAsia" w:ascii="宋体" w:hAnsi="宋体" w:cs="宋体"/>
                <w:bCs/>
                <w:color w:val="auto"/>
                <w:sz w:val="24"/>
                <w:lang w:val="en-US" w:eastAsia="zh-CN"/>
              </w:rPr>
              <w:t>7</w:t>
            </w:r>
            <w:r>
              <w:rPr>
                <w:rFonts w:hint="eastAsia" w:ascii="宋体" w:hAnsi="宋体" w:cs="宋体"/>
                <w:bCs/>
                <w:color w:val="auto"/>
                <w:sz w:val="24"/>
              </w:rPr>
              <w:t>景观保护措施</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（1）施工时应当充分现有设施条件，对于可利用的排水沟等附属设施应尽量利旧，减少对景观的破坏和资料的浪费。</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（2）保护现有的植物资源，不得在施工区域外设置临时工程。</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（3）项目施工应严格遵守划定范围，要尽量减少对自然环境的破坏，减轻对自然景观分割和不破坏景观的美学价值。</w:t>
            </w:r>
          </w:p>
          <w:p>
            <w:pPr>
              <w:spacing w:line="360" w:lineRule="auto"/>
              <w:ind w:firstLine="480" w:firstLineChars="200"/>
              <w:rPr>
                <w:rFonts w:hint="eastAsia"/>
                <w:bCs/>
                <w:color w:val="auto"/>
                <w:sz w:val="24"/>
              </w:rPr>
            </w:pPr>
            <w:r>
              <w:rPr>
                <w:rFonts w:hint="eastAsia"/>
                <w:bCs/>
                <w:color w:val="auto"/>
                <w:sz w:val="24"/>
              </w:rPr>
              <w:t>1</w:t>
            </w:r>
            <w:r>
              <w:rPr>
                <w:bCs/>
                <w:color w:val="auto"/>
                <w:sz w:val="24"/>
              </w:rPr>
              <w:t>.2</w:t>
            </w:r>
            <w:r>
              <w:rPr>
                <w:rFonts w:hint="eastAsia"/>
                <w:bCs/>
                <w:color w:val="auto"/>
                <w:sz w:val="24"/>
              </w:rPr>
              <w:t>生态保护跟踪监测方案</w:t>
            </w:r>
          </w:p>
          <w:p>
            <w:pPr>
              <w:spacing w:line="360" w:lineRule="auto"/>
              <w:ind w:firstLine="480" w:firstLineChars="200"/>
              <w:rPr>
                <w:rFonts w:hint="eastAsia"/>
                <w:bCs/>
                <w:color w:val="auto"/>
                <w:sz w:val="24"/>
              </w:rPr>
            </w:pPr>
            <w:r>
              <w:rPr>
                <w:rFonts w:hint="eastAsia"/>
                <w:bCs/>
                <w:color w:val="auto"/>
                <w:sz w:val="24"/>
              </w:rPr>
              <w:t>主要了解工程建设前后评价区生物量及生物多样性变化情况，并根据调查情况对工程进行有针对性的调整或追加必要的生态环保措施，以减轻工程生态影响。</w:t>
            </w:r>
          </w:p>
          <w:p>
            <w:pPr>
              <w:spacing w:line="360" w:lineRule="auto"/>
              <w:ind w:firstLine="480" w:firstLineChars="200"/>
              <w:rPr>
                <w:rFonts w:hint="eastAsia"/>
                <w:bCs/>
                <w:color w:val="auto"/>
                <w:sz w:val="24"/>
              </w:rPr>
            </w:pPr>
            <w:r>
              <w:rPr>
                <w:rFonts w:hint="eastAsia"/>
                <w:bCs/>
                <w:color w:val="auto"/>
                <w:sz w:val="24"/>
              </w:rPr>
              <w:t>植被及野生植物资源监测</w:t>
            </w:r>
          </w:p>
          <w:p>
            <w:pPr>
              <w:spacing w:line="360" w:lineRule="auto"/>
              <w:ind w:firstLine="480" w:firstLineChars="200"/>
              <w:rPr>
                <w:rFonts w:hint="eastAsia"/>
                <w:bCs/>
                <w:color w:val="auto"/>
                <w:sz w:val="24"/>
              </w:rPr>
            </w:pPr>
            <w:r>
              <w:rPr>
                <w:rFonts w:hint="eastAsia"/>
                <w:bCs/>
                <w:color w:val="auto"/>
                <w:sz w:val="24"/>
              </w:rPr>
              <w:t>监测点位：</w:t>
            </w:r>
            <w:bookmarkStart w:id="17" w:name="_Hlk145498172"/>
            <w:r>
              <w:rPr>
                <w:rFonts w:hint="eastAsia"/>
                <w:bCs/>
                <w:color w:val="auto"/>
                <w:sz w:val="24"/>
              </w:rPr>
              <w:t>临近</w:t>
            </w:r>
            <w:r>
              <w:rPr>
                <w:rFonts w:hint="eastAsia"/>
                <w:bCs/>
                <w:color w:val="auto"/>
                <w:sz w:val="24"/>
                <w:lang w:val="en-US" w:eastAsia="zh-CN"/>
              </w:rPr>
              <w:t>折腰沟</w:t>
            </w:r>
            <w:r>
              <w:rPr>
                <w:rFonts w:hint="eastAsia"/>
                <w:bCs/>
                <w:color w:val="auto"/>
                <w:sz w:val="24"/>
              </w:rPr>
              <w:t>段设置</w:t>
            </w:r>
            <w:r>
              <w:rPr>
                <w:bCs/>
                <w:color w:val="auto"/>
                <w:sz w:val="24"/>
              </w:rPr>
              <w:t>1</w:t>
            </w:r>
            <w:r>
              <w:rPr>
                <w:rFonts w:hint="eastAsia"/>
                <w:bCs/>
                <w:color w:val="auto"/>
                <w:sz w:val="24"/>
              </w:rPr>
              <w:t>个监测点位，</w:t>
            </w:r>
            <w:r>
              <w:rPr>
                <w:rFonts w:hint="eastAsia"/>
                <w:bCs/>
                <w:color w:val="auto"/>
                <w:sz w:val="24"/>
                <w:lang w:val="en-US" w:eastAsia="zh-CN"/>
              </w:rPr>
              <w:t>临近折腰沟村</w:t>
            </w:r>
            <w:r>
              <w:rPr>
                <w:rFonts w:hint="eastAsia"/>
                <w:bCs/>
                <w:color w:val="auto"/>
                <w:sz w:val="24"/>
              </w:rPr>
              <w:t>设置1个监测点</w:t>
            </w:r>
            <w:r>
              <w:rPr>
                <w:rFonts w:hint="eastAsia"/>
                <w:bCs/>
                <w:color w:val="auto"/>
                <w:sz w:val="24"/>
                <w:lang w:eastAsia="zh-CN"/>
              </w:rPr>
              <w:t>，边坡及弃土场设置</w:t>
            </w:r>
            <w:r>
              <w:rPr>
                <w:rFonts w:hint="eastAsia"/>
                <w:bCs/>
                <w:color w:val="auto"/>
                <w:sz w:val="24"/>
                <w:lang w:val="en-US" w:eastAsia="zh-CN"/>
              </w:rPr>
              <w:t>2个</w:t>
            </w:r>
            <w:r>
              <w:rPr>
                <w:rFonts w:hint="eastAsia"/>
                <w:bCs/>
                <w:color w:val="auto"/>
                <w:sz w:val="24"/>
                <w:lang w:eastAsia="zh-CN"/>
              </w:rPr>
              <w:t>监测点</w:t>
            </w:r>
            <w:r>
              <w:rPr>
                <w:rFonts w:hint="eastAsia"/>
                <w:bCs/>
                <w:color w:val="auto"/>
                <w:sz w:val="24"/>
              </w:rPr>
              <w:t>，共设置</w:t>
            </w:r>
            <w:r>
              <w:rPr>
                <w:rFonts w:hint="eastAsia"/>
                <w:bCs/>
                <w:color w:val="auto"/>
                <w:sz w:val="24"/>
                <w:lang w:val="en-US" w:eastAsia="zh-CN"/>
              </w:rPr>
              <w:t>4</w:t>
            </w:r>
            <w:r>
              <w:rPr>
                <w:rFonts w:hint="eastAsia"/>
                <w:bCs/>
                <w:color w:val="auto"/>
                <w:sz w:val="24"/>
              </w:rPr>
              <w:t>个监测点</w:t>
            </w:r>
            <w:bookmarkEnd w:id="17"/>
            <w:r>
              <w:rPr>
                <w:rFonts w:hint="eastAsia"/>
                <w:bCs/>
                <w:color w:val="auto"/>
                <w:sz w:val="24"/>
              </w:rPr>
              <w:t>。</w:t>
            </w:r>
          </w:p>
          <w:p>
            <w:pPr>
              <w:spacing w:line="360" w:lineRule="auto"/>
              <w:ind w:firstLine="480" w:firstLineChars="200"/>
              <w:rPr>
                <w:rFonts w:hint="eastAsia"/>
                <w:bCs/>
                <w:color w:val="auto"/>
                <w:sz w:val="24"/>
              </w:rPr>
            </w:pPr>
            <w:r>
              <w:rPr>
                <w:rFonts w:hint="eastAsia"/>
                <w:bCs/>
                <w:color w:val="auto"/>
                <w:sz w:val="24"/>
                <w:lang w:eastAsia="zh-CN"/>
              </w:rPr>
              <w:t>环境监测计划具体见下表</w:t>
            </w:r>
            <w:r>
              <w:rPr>
                <w:rFonts w:hint="eastAsia"/>
                <w:bCs/>
                <w:color w:val="auto"/>
                <w:sz w:val="24"/>
                <w:lang w:val="en-US" w:eastAsia="zh-CN"/>
              </w:rPr>
              <w:t>5-1</w:t>
            </w:r>
            <w:r>
              <w:rPr>
                <w:rFonts w:hint="eastAsia"/>
                <w:bCs/>
                <w:color w:val="auto"/>
                <w:sz w:val="24"/>
              </w:rPr>
              <w:t>。</w:t>
            </w:r>
          </w:p>
          <w:p>
            <w:pPr>
              <w:pStyle w:val="20"/>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ind w:firstLine="422" w:firstLineChars="200"/>
              <w:textAlignment w:val="auto"/>
              <w:rPr>
                <w:rFonts w:hint="default" w:ascii="Times New Roman" w:hAnsi="Times New Roman" w:cs="Times New Roman"/>
                <w:b/>
                <w:bCs/>
                <w:color w:val="auto"/>
                <w:sz w:val="21"/>
                <w:szCs w:val="21"/>
              </w:rPr>
            </w:pPr>
            <w:r>
              <w:rPr>
                <w:rFonts w:hint="eastAsia" w:ascii="Times New Roman" w:hAnsi="Times New Roman" w:cs="Times New Roman"/>
                <w:b/>
                <w:bCs/>
                <w:color w:val="auto"/>
                <w:sz w:val="21"/>
                <w:szCs w:val="21"/>
                <w:lang w:val="en-US" w:eastAsia="zh-CN"/>
              </w:rPr>
              <w:t xml:space="preserve">                 表5-1 </w:t>
            </w:r>
            <w:r>
              <w:rPr>
                <w:rFonts w:hint="default" w:ascii="Times New Roman" w:hAnsi="Times New Roman" w:eastAsia="宋体" w:cs="Times New Roman"/>
                <w:b/>
                <w:bCs/>
                <w:color w:val="auto"/>
                <w:kern w:val="2"/>
                <w:sz w:val="21"/>
                <w:szCs w:val="20"/>
                <w:lang w:val="en-US" w:eastAsia="zh-CN" w:bidi="ar-SA"/>
              </w:rPr>
              <w:t>项目环境监测计划表</w:t>
            </w:r>
          </w:p>
          <w:tbl>
            <w:tblPr>
              <w:tblStyle w:val="2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690"/>
              <w:gridCol w:w="939"/>
              <w:gridCol w:w="2345"/>
              <w:gridCol w:w="2450"/>
              <w:gridCol w:w="155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690"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监测时期</w:t>
                  </w:r>
                </w:p>
              </w:tc>
              <w:tc>
                <w:tcPr>
                  <w:tcW w:w="939"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监测项目</w:t>
                  </w:r>
                </w:p>
              </w:tc>
              <w:tc>
                <w:tcPr>
                  <w:tcW w:w="234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指标</w:t>
                  </w:r>
                </w:p>
              </w:tc>
              <w:tc>
                <w:tcPr>
                  <w:tcW w:w="2450"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频次</w:t>
                  </w:r>
                </w:p>
              </w:tc>
              <w:tc>
                <w:tcPr>
                  <w:tcW w:w="15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监测点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690"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施工期</w:t>
                  </w:r>
                </w:p>
              </w:tc>
              <w:tc>
                <w:tcPr>
                  <w:tcW w:w="939"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大气监测</w:t>
                  </w:r>
                </w:p>
              </w:tc>
              <w:tc>
                <w:tcPr>
                  <w:tcW w:w="234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TSP</w:t>
                  </w:r>
                </w:p>
              </w:tc>
              <w:tc>
                <w:tcPr>
                  <w:tcW w:w="2450"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高峰期监测1次，每次连续监测3天，每天分4个时段监测。</w:t>
                  </w:r>
                </w:p>
              </w:tc>
              <w:tc>
                <w:tcPr>
                  <w:tcW w:w="1555" w:type="dxa"/>
                  <w:tcBorders>
                    <w:tl2br w:val="nil"/>
                    <w:tr2bl w:val="nil"/>
                  </w:tcBorders>
                  <w:noWrap w:val="0"/>
                  <w:vAlign w:val="center"/>
                </w:tcPr>
                <w:p>
                  <w:pPr>
                    <w:pStyle w:val="78"/>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施工现场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690"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color w:val="auto"/>
                      <w:sz w:val="21"/>
                      <w:szCs w:val="21"/>
                    </w:rPr>
                  </w:pPr>
                </w:p>
              </w:tc>
              <w:tc>
                <w:tcPr>
                  <w:tcW w:w="939"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声环境监测</w:t>
                  </w:r>
                </w:p>
              </w:tc>
              <w:tc>
                <w:tcPr>
                  <w:tcW w:w="234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等效A声级</w:t>
                  </w:r>
                </w:p>
              </w:tc>
              <w:tc>
                <w:tcPr>
                  <w:tcW w:w="2450"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施工期每个监测点</w:t>
                  </w:r>
                  <w:r>
                    <w:rPr>
                      <w:rFonts w:hint="eastAsia" w:ascii="Times New Roman" w:hAnsi="Times New Roman" w:cs="Times New Roman"/>
                      <w:color w:val="auto"/>
                      <w:sz w:val="21"/>
                      <w:szCs w:val="21"/>
                      <w:lang w:eastAsia="zh-CN"/>
                    </w:rPr>
                    <w:t>监</w:t>
                  </w:r>
                  <w:r>
                    <w:rPr>
                      <w:rFonts w:hint="default" w:ascii="Times New Roman" w:hAnsi="Times New Roman" w:cs="Times New Roman"/>
                      <w:color w:val="auto"/>
                      <w:sz w:val="21"/>
                      <w:szCs w:val="21"/>
                    </w:rPr>
                    <w:t>测一次，连续监测2天，每天昼、夜间监测1次。</w:t>
                  </w:r>
                </w:p>
              </w:tc>
              <w:tc>
                <w:tcPr>
                  <w:tcW w:w="1555" w:type="dxa"/>
                  <w:tcBorders>
                    <w:tl2br w:val="nil"/>
                    <w:tr2bl w:val="nil"/>
                  </w:tcBorders>
                  <w:noWrap w:val="0"/>
                  <w:vAlign w:val="center"/>
                </w:tcPr>
                <w:p>
                  <w:pPr>
                    <w:pStyle w:val="78"/>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施工现场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91" w:hRule="atLeast"/>
                <w:jc w:val="center"/>
              </w:trPr>
              <w:tc>
                <w:tcPr>
                  <w:tcW w:w="690"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color w:val="auto"/>
                      <w:sz w:val="21"/>
                      <w:szCs w:val="21"/>
                    </w:rPr>
                  </w:pPr>
                </w:p>
              </w:tc>
              <w:tc>
                <w:tcPr>
                  <w:tcW w:w="939"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固体废物</w:t>
                  </w:r>
                </w:p>
              </w:tc>
              <w:tc>
                <w:tcPr>
                  <w:tcW w:w="234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记录：生活垃圾</w:t>
                  </w:r>
                  <w:r>
                    <w:rPr>
                      <w:rFonts w:hint="eastAsia" w:ascii="Times New Roman" w:hAnsi="Times New Roman" w:cs="Times New Roman"/>
                      <w:color w:val="auto"/>
                      <w:sz w:val="21"/>
                      <w:szCs w:val="21"/>
                      <w:lang w:eastAsia="zh-CN"/>
                    </w:rPr>
                    <w:t>、建筑垃圾</w:t>
                  </w:r>
                  <w:r>
                    <w:rPr>
                      <w:rFonts w:hint="default" w:ascii="Times New Roman" w:hAnsi="Times New Roman" w:cs="Times New Roman"/>
                      <w:color w:val="auto"/>
                      <w:sz w:val="21"/>
                      <w:szCs w:val="21"/>
                    </w:rPr>
                    <w:t>排放量、处置方式、土石方产生量、回填量、处置方式</w:t>
                  </w:r>
                </w:p>
              </w:tc>
              <w:tc>
                <w:tcPr>
                  <w:tcW w:w="2450"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宋体" w:cs="Times New Roman"/>
                      <w:color w:val="auto"/>
                      <w:sz w:val="21"/>
                      <w:szCs w:val="21"/>
                      <w:lang w:eastAsia="zh-CN"/>
                    </w:rPr>
                  </w:pPr>
                  <w:r>
                    <w:rPr>
                      <w:rFonts w:hint="eastAsia" w:ascii="Times New Roman" w:hAnsi="Times New Roman" w:eastAsia="宋体" w:cs="Times New Roman"/>
                      <w:color w:val="auto"/>
                      <w:sz w:val="21"/>
                      <w:szCs w:val="21"/>
                      <w:lang w:eastAsia="zh-CN"/>
                    </w:rPr>
                    <w:t>每天进行统计</w:t>
                  </w:r>
                </w:p>
              </w:tc>
              <w:tc>
                <w:tcPr>
                  <w:tcW w:w="15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cs="Times New Roman"/>
                      <w:color w:val="auto"/>
                      <w:sz w:val="21"/>
                      <w:szCs w:val="21"/>
                    </w:rPr>
                    <w:t>施工现场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95" w:hRule="atLeast"/>
                <w:jc w:val="center"/>
              </w:trPr>
              <w:tc>
                <w:tcPr>
                  <w:tcW w:w="690"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运营期</w:t>
                  </w:r>
                </w:p>
              </w:tc>
              <w:tc>
                <w:tcPr>
                  <w:tcW w:w="939"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生态</w:t>
                  </w:r>
                </w:p>
              </w:tc>
              <w:tc>
                <w:tcPr>
                  <w:tcW w:w="234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bCs/>
                      <w:color w:val="auto"/>
                      <w:sz w:val="21"/>
                      <w:szCs w:val="21"/>
                      <w:lang w:eastAsia="zh-CN"/>
                    </w:rPr>
                  </w:pPr>
                  <w:r>
                    <w:rPr>
                      <w:rFonts w:hint="default" w:ascii="Times New Roman" w:hAnsi="Times New Roman" w:eastAsia="宋体" w:cs="Times New Roman"/>
                      <w:bCs/>
                      <w:color w:val="auto"/>
                      <w:sz w:val="21"/>
                      <w:szCs w:val="21"/>
                      <w:lang w:eastAsia="zh-CN"/>
                    </w:rPr>
                    <w:t>植被生长情况、种植覆盖度</w:t>
                  </w:r>
                </w:p>
              </w:tc>
              <w:tc>
                <w:tcPr>
                  <w:tcW w:w="2450"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工程完工后的第一年春季调查一次，其后一年一次，连续</w:t>
                  </w:r>
                  <w:r>
                    <w:rPr>
                      <w:rFonts w:hint="eastAsia" w:ascii="Times New Roman" w:hAnsi="Times New Roman" w:cs="Times New Roman"/>
                      <w:bCs/>
                      <w:color w:val="auto"/>
                      <w:sz w:val="21"/>
                      <w:szCs w:val="21"/>
                      <w:lang w:val="en-US" w:eastAsia="zh-CN"/>
                    </w:rPr>
                    <w:t>3-5</w:t>
                  </w:r>
                  <w:r>
                    <w:rPr>
                      <w:rFonts w:hint="default" w:ascii="Times New Roman" w:hAnsi="Times New Roman" w:cs="Times New Roman"/>
                      <w:bCs/>
                      <w:color w:val="auto"/>
                      <w:sz w:val="21"/>
                      <w:szCs w:val="21"/>
                    </w:rPr>
                    <w:t>年。</w:t>
                  </w:r>
                </w:p>
              </w:tc>
              <w:tc>
                <w:tcPr>
                  <w:tcW w:w="15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cs="Times New Roman"/>
                      <w:bCs/>
                      <w:color w:val="auto"/>
                      <w:sz w:val="21"/>
                      <w:szCs w:val="21"/>
                    </w:rPr>
                  </w:pPr>
                  <w:r>
                    <w:rPr>
                      <w:rFonts w:hint="default" w:ascii="Times New Roman" w:hAnsi="Times New Roman" w:cs="Times New Roman"/>
                      <w:color w:val="auto"/>
                      <w:sz w:val="21"/>
                      <w:szCs w:val="21"/>
                    </w:rPr>
                    <w:t>施工现场</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firstLine="480" w:firstLineChars="200"/>
              <w:textAlignment w:val="auto"/>
              <w:rPr>
                <w:rFonts w:hint="default" w:eastAsia="宋体"/>
                <w:bCs/>
                <w:color w:val="auto"/>
                <w:sz w:val="24"/>
                <w:lang w:val="en-US" w:eastAsia="zh-CN"/>
              </w:rPr>
            </w:pPr>
            <w:r>
              <w:rPr>
                <w:rFonts w:hint="eastAsia"/>
                <w:bCs/>
                <w:color w:val="auto"/>
                <w:sz w:val="24"/>
                <w:lang w:eastAsia="zh-CN"/>
              </w:rPr>
              <w:t>本项目运营期监测点位图见附图</w:t>
            </w:r>
            <w:r>
              <w:rPr>
                <w:rFonts w:hint="eastAsia"/>
                <w:bCs/>
                <w:color w:val="auto"/>
                <w:sz w:val="24"/>
                <w:lang w:val="en-US" w:eastAsia="zh-CN"/>
              </w:rPr>
              <w:t>17。</w:t>
            </w:r>
          </w:p>
          <w:p>
            <w:pPr>
              <w:pStyle w:val="84"/>
              <w:adjustRightInd w:val="0"/>
              <w:snapToGrid w:val="0"/>
              <w:spacing w:before="0" w:beforeAutospacing="0" w:after="0" w:afterAutospacing="0" w:line="360" w:lineRule="auto"/>
              <w:ind w:firstLine="482" w:firstLineChars="200"/>
              <w:rPr>
                <w:b/>
                <w:color w:val="auto"/>
              </w:rPr>
            </w:pPr>
            <w:r>
              <w:rPr>
                <w:b/>
                <w:color w:val="auto"/>
              </w:rPr>
              <w:t>2、废气</w:t>
            </w:r>
          </w:p>
          <w:p>
            <w:pPr>
              <w:adjustRightInd w:val="0"/>
              <w:spacing w:line="360" w:lineRule="auto"/>
              <w:ind w:firstLine="480" w:firstLineChars="200"/>
              <w:rPr>
                <w:color w:val="auto"/>
                <w:sz w:val="24"/>
              </w:rPr>
            </w:pPr>
            <w:r>
              <w:rPr>
                <w:color w:val="auto"/>
                <w:sz w:val="24"/>
              </w:rPr>
              <w:t>项目施工期废气主要为施工扬尘和运输车辆机械尾气。</w:t>
            </w:r>
          </w:p>
          <w:p>
            <w:pPr>
              <w:adjustRightInd w:val="0"/>
              <w:spacing w:line="360" w:lineRule="auto"/>
              <w:ind w:firstLine="480" w:firstLineChars="200"/>
              <w:rPr>
                <w:color w:val="auto"/>
                <w:sz w:val="24"/>
              </w:rPr>
            </w:pPr>
            <w:r>
              <w:rPr>
                <w:color w:val="auto"/>
                <w:sz w:val="24"/>
              </w:rPr>
              <w:t>根据自治区住建厅，宁</w:t>
            </w:r>
            <w:r>
              <w:rPr>
                <w:rFonts w:hint="eastAsia"/>
                <w:color w:val="auto"/>
                <w:sz w:val="24"/>
                <w:lang w:eastAsia="zh-CN"/>
              </w:rPr>
              <w:t>（</w:t>
            </w:r>
            <w:r>
              <w:rPr>
                <w:color w:val="auto"/>
                <w:sz w:val="24"/>
              </w:rPr>
              <w:t>建</w:t>
            </w:r>
            <w:r>
              <w:rPr>
                <w:rFonts w:hint="eastAsia"/>
                <w:color w:val="auto"/>
                <w:sz w:val="24"/>
                <w:lang w:eastAsia="zh-CN"/>
              </w:rPr>
              <w:t>）</w:t>
            </w:r>
            <w:r>
              <w:rPr>
                <w:color w:val="auto"/>
                <w:sz w:val="24"/>
              </w:rPr>
              <w:t>发</w:t>
            </w:r>
            <w:r>
              <w:rPr>
                <w:rFonts w:hint="eastAsia"/>
                <w:color w:val="auto"/>
                <w:sz w:val="24"/>
                <w:lang w:eastAsia="zh-CN"/>
              </w:rPr>
              <w:t>〔</w:t>
            </w:r>
            <w:r>
              <w:rPr>
                <w:color w:val="auto"/>
                <w:sz w:val="24"/>
              </w:rPr>
              <w:t>2017</w:t>
            </w:r>
            <w:r>
              <w:rPr>
                <w:rFonts w:hint="eastAsia"/>
                <w:color w:val="auto"/>
                <w:sz w:val="24"/>
                <w:lang w:eastAsia="zh-CN"/>
              </w:rPr>
              <w:t>〕</w:t>
            </w:r>
            <w:r>
              <w:rPr>
                <w:color w:val="auto"/>
                <w:sz w:val="24"/>
              </w:rPr>
              <w:t>17号《关于进一步加强建筑工地施工扬尘控制和标准化管理的通知》、自治区环境保护厅《加强全区城市扬尘污染整治工作方案》</w:t>
            </w:r>
            <w:r>
              <w:rPr>
                <w:rFonts w:hint="eastAsia"/>
                <w:color w:val="auto"/>
                <w:sz w:val="24"/>
              </w:rPr>
              <w:t>《宁夏建筑施工扬尘治理标准化实施指南》</w:t>
            </w:r>
            <w:r>
              <w:rPr>
                <w:color w:val="auto"/>
                <w:sz w:val="24"/>
              </w:rPr>
              <w:t>，施工单位应加强管理，文明施工，为减少扬尘对环境的影响，严格采取以下措施：</w:t>
            </w:r>
          </w:p>
          <w:p>
            <w:pPr>
              <w:adjustRightInd w:val="0"/>
              <w:snapToGrid w:val="0"/>
              <w:spacing w:line="360" w:lineRule="auto"/>
              <w:ind w:firstLine="480" w:firstLineChars="200"/>
              <w:rPr>
                <w:color w:val="auto"/>
                <w:sz w:val="24"/>
              </w:rPr>
            </w:pPr>
            <w:r>
              <w:rPr>
                <w:rFonts w:hint="eastAsia" w:ascii="宋体" w:hAnsi="宋体" w:cs="宋体"/>
                <w:color w:val="auto"/>
                <w:sz w:val="24"/>
              </w:rPr>
              <w:t>⑴</w:t>
            </w:r>
            <w:r>
              <w:rPr>
                <w:color w:val="auto"/>
                <w:sz w:val="24"/>
              </w:rPr>
              <w:t>施工单位应建立健全施工扬尘治理责任制，制定具体的施工扬尘治理实施方案并报建设、监理单位审批，开工前应将扬尘治理实施方案及时报送主管部门。要严格执行施工工地扬尘治理实施方案，设专职管理人员负责落实扬尘治理措施。将项目扬尘防控经费纳入项目预算。</w:t>
            </w:r>
          </w:p>
          <w:p>
            <w:pPr>
              <w:adjustRightInd w:val="0"/>
              <w:snapToGrid w:val="0"/>
              <w:spacing w:line="360" w:lineRule="auto"/>
              <w:ind w:firstLine="480" w:firstLineChars="200"/>
              <w:rPr>
                <w:color w:val="auto"/>
                <w:sz w:val="24"/>
              </w:rPr>
            </w:pPr>
            <w:r>
              <w:rPr>
                <w:rFonts w:hint="eastAsia" w:ascii="宋体" w:hAnsi="宋体" w:cs="宋体"/>
                <w:color w:val="auto"/>
                <w:sz w:val="24"/>
              </w:rPr>
              <w:t>⑵施工工地周边围挡标准化。</w:t>
            </w:r>
            <w:r>
              <w:rPr>
                <w:color w:val="auto"/>
                <w:sz w:val="24"/>
              </w:rPr>
              <w:t>对施工现场和建筑体分别采取围栏、设置工棚、覆盖遮蔽等措施，阻隔施工扬尘污染；施工围挡</w:t>
            </w:r>
            <w:r>
              <w:rPr>
                <w:rFonts w:hint="eastAsia"/>
                <w:color w:val="auto"/>
                <w:sz w:val="24"/>
                <w:lang w:eastAsia="zh-CN"/>
              </w:rPr>
              <w:t>（</w:t>
            </w:r>
            <w:r>
              <w:rPr>
                <w:color w:val="auto"/>
                <w:sz w:val="24"/>
              </w:rPr>
              <w:t>墙</w:t>
            </w:r>
            <w:r>
              <w:rPr>
                <w:rFonts w:hint="eastAsia"/>
                <w:color w:val="auto"/>
                <w:sz w:val="24"/>
                <w:lang w:eastAsia="zh-CN"/>
              </w:rPr>
              <w:t>）</w:t>
            </w:r>
            <w:r>
              <w:rPr>
                <w:color w:val="auto"/>
                <w:sz w:val="24"/>
              </w:rPr>
              <w:t>要规范封闭、连续设置，材质、高度符合标准，做到坚固、整齐、洁净、美观，鼓励使用定型化设施围挡。</w:t>
            </w:r>
          </w:p>
          <w:p>
            <w:pPr>
              <w:adjustRightInd w:val="0"/>
              <w:snapToGrid w:val="0"/>
              <w:spacing w:line="360" w:lineRule="auto"/>
              <w:ind w:firstLine="480" w:firstLineChars="200"/>
              <w:rPr>
                <w:rFonts w:hint="eastAsia"/>
                <w:color w:val="auto"/>
                <w:sz w:val="24"/>
              </w:rPr>
            </w:pPr>
            <w:r>
              <w:rPr>
                <w:rFonts w:hint="eastAsia" w:ascii="宋体" w:hAnsi="宋体" w:cs="宋体"/>
                <w:color w:val="auto"/>
                <w:sz w:val="24"/>
              </w:rPr>
              <w:t>⑶出入车辆冲洗标准化。</w:t>
            </w:r>
            <w:r>
              <w:rPr>
                <w:color w:val="auto"/>
                <w:sz w:val="24"/>
              </w:rPr>
              <w:t>施工场地出入口，</w:t>
            </w:r>
            <w:r>
              <w:rPr>
                <w:rFonts w:hint="eastAsia"/>
                <w:color w:val="auto"/>
                <w:sz w:val="24"/>
              </w:rPr>
              <w:t>设置</w:t>
            </w:r>
            <w:r>
              <w:rPr>
                <w:rFonts w:hint="eastAsia"/>
                <w:color w:val="auto"/>
                <w:sz w:val="24"/>
                <w:lang w:val="en-US" w:eastAsia="zh-CN"/>
              </w:rPr>
              <w:t>草垫子及洒水装置</w:t>
            </w:r>
            <w:r>
              <w:rPr>
                <w:color w:val="auto"/>
                <w:sz w:val="24"/>
              </w:rPr>
              <w:t>对出入工地的运输车辆</w:t>
            </w:r>
            <w:r>
              <w:rPr>
                <w:rFonts w:hint="eastAsia"/>
                <w:color w:val="auto"/>
                <w:sz w:val="24"/>
              </w:rPr>
              <w:t>轮胎进行</w:t>
            </w:r>
            <w:r>
              <w:rPr>
                <w:color w:val="auto"/>
                <w:sz w:val="24"/>
              </w:rPr>
              <w:t>冲洗，不得携带泥土驶出施工</w:t>
            </w:r>
            <w:r>
              <w:rPr>
                <w:rFonts w:hint="eastAsia"/>
                <w:color w:val="auto"/>
                <w:sz w:val="24"/>
              </w:rPr>
              <w:t>场地</w:t>
            </w:r>
            <w:r>
              <w:rPr>
                <w:color w:val="auto"/>
                <w:sz w:val="24"/>
              </w:rPr>
              <w:t>；</w:t>
            </w:r>
            <w:r>
              <w:rPr>
                <w:rFonts w:hint="eastAsia"/>
                <w:color w:val="auto"/>
                <w:sz w:val="24"/>
              </w:rPr>
              <w:t>加强运输道路的管理和维护，经常洒水降尘，保证道路的良好运行状态；并通过限制车速、及时维护车辆、加强管理等措施，降低道路扬尘对周围环境的影响。</w:t>
            </w:r>
          </w:p>
          <w:p>
            <w:pPr>
              <w:pStyle w:val="6"/>
              <w:spacing w:line="360" w:lineRule="auto"/>
              <w:rPr>
                <w:color w:val="auto"/>
                <w:sz w:val="24"/>
                <w:szCs w:val="24"/>
              </w:rPr>
            </w:pPr>
            <w:r>
              <w:rPr>
                <w:rFonts w:hint="eastAsia" w:ascii="宋体" w:hAnsi="宋体" w:cs="宋体"/>
                <w:color w:val="auto"/>
                <w:sz w:val="24"/>
              </w:rPr>
              <w:t>⑷施工现场地面硬化标准化。施工场地</w:t>
            </w:r>
            <w:r>
              <w:rPr>
                <w:color w:val="auto"/>
                <w:sz w:val="24"/>
              </w:rPr>
              <w:t>主要道路必须进行硬化，防止起尘。</w:t>
            </w:r>
            <w:r>
              <w:rPr>
                <w:rFonts w:hint="eastAsia"/>
                <w:color w:val="auto"/>
                <w:sz w:val="24"/>
              </w:rPr>
              <w:t>项目</w:t>
            </w:r>
            <w:r>
              <w:rPr>
                <w:rFonts w:hint="eastAsia"/>
                <w:color w:val="auto"/>
                <w:sz w:val="24"/>
                <w:szCs w:val="24"/>
                <w:lang w:val="en-US" w:eastAsia="zh-CN"/>
              </w:rPr>
              <w:t>新建施工道路1.1km，路面宽5m，占地面积8.25亩（5500m</w:t>
            </w:r>
            <w:r>
              <w:rPr>
                <w:rFonts w:hint="eastAsia"/>
                <w:color w:val="auto"/>
                <w:sz w:val="24"/>
                <w:szCs w:val="24"/>
                <w:vertAlign w:val="superscript"/>
                <w:lang w:val="en-US" w:eastAsia="zh-CN"/>
              </w:rPr>
              <w:t>2</w:t>
            </w:r>
            <w:r>
              <w:rPr>
                <w:rFonts w:hint="eastAsia"/>
                <w:color w:val="auto"/>
                <w:sz w:val="24"/>
                <w:szCs w:val="24"/>
                <w:lang w:val="en-US" w:eastAsia="zh-CN"/>
              </w:rPr>
              <w:t>），砂砾石路面，项目施工结束后对临时施工道路进行整治。</w:t>
            </w:r>
          </w:p>
          <w:p>
            <w:pPr>
              <w:adjustRightInd w:val="0"/>
              <w:snapToGrid w:val="0"/>
              <w:spacing w:line="360" w:lineRule="auto"/>
              <w:ind w:firstLine="480" w:firstLineChars="200"/>
              <w:rPr>
                <w:color w:val="auto"/>
                <w:sz w:val="24"/>
              </w:rPr>
            </w:pPr>
            <w:r>
              <w:rPr>
                <w:rFonts w:hint="eastAsia" w:ascii="宋体" w:hAnsi="宋体" w:cs="宋体"/>
                <w:color w:val="auto"/>
                <w:sz w:val="24"/>
              </w:rPr>
              <w:t>⑸物料堆放覆盖标准化。</w:t>
            </w:r>
            <w:r>
              <w:rPr>
                <w:color w:val="auto"/>
                <w:sz w:val="24"/>
              </w:rPr>
              <w:t>施工</w:t>
            </w:r>
            <w:r>
              <w:rPr>
                <w:rFonts w:hint="eastAsia"/>
                <w:color w:val="auto"/>
                <w:sz w:val="24"/>
              </w:rPr>
              <w:t>场地</w:t>
            </w:r>
            <w:r>
              <w:rPr>
                <w:color w:val="auto"/>
                <w:sz w:val="24"/>
              </w:rPr>
              <w:t>内存放的</w:t>
            </w:r>
            <w:r>
              <w:rPr>
                <w:rFonts w:hint="eastAsia"/>
                <w:color w:val="auto"/>
                <w:sz w:val="24"/>
              </w:rPr>
              <w:t>砂石</w:t>
            </w:r>
            <w:r>
              <w:rPr>
                <w:color w:val="auto"/>
                <w:sz w:val="24"/>
              </w:rPr>
              <w:t>等易产生扬尘的材料和裸露土地面要使用密目式防尘网等材料进行覆盖，覆盖要封闭严密，破损的要及时修复</w:t>
            </w:r>
            <w:r>
              <w:rPr>
                <w:rFonts w:hint="eastAsia"/>
                <w:color w:val="auto"/>
                <w:sz w:val="24"/>
              </w:rPr>
              <w:t>，避免扬尘污染</w:t>
            </w:r>
            <w:r>
              <w:rPr>
                <w:color w:val="auto"/>
                <w:sz w:val="24"/>
              </w:rPr>
              <w:t>。</w:t>
            </w:r>
          </w:p>
          <w:p>
            <w:pPr>
              <w:adjustRightInd w:val="0"/>
              <w:snapToGrid w:val="0"/>
              <w:spacing w:line="360" w:lineRule="auto"/>
              <w:ind w:firstLine="480" w:firstLineChars="200"/>
              <w:rPr>
                <w:color w:val="auto"/>
                <w:sz w:val="24"/>
              </w:rPr>
            </w:pPr>
            <w:r>
              <w:rPr>
                <w:rFonts w:hint="eastAsia" w:ascii="宋体" w:hAnsi="宋体" w:cs="宋体"/>
                <w:color w:val="auto"/>
                <w:sz w:val="24"/>
              </w:rPr>
              <w:t>⑹渣土车辆密闭运输标准化。</w:t>
            </w:r>
            <w:r>
              <w:rPr>
                <w:color w:val="auto"/>
                <w:sz w:val="24"/>
              </w:rPr>
              <w:t>运输垃圾、渣土、砂石等散装、流体物料的车辆应当采取密闭</w:t>
            </w:r>
            <w:r>
              <w:rPr>
                <w:rFonts w:hint="eastAsia"/>
                <w:color w:val="auto"/>
                <w:sz w:val="24"/>
              </w:rPr>
              <w:t>措施</w:t>
            </w:r>
            <w:r>
              <w:rPr>
                <w:color w:val="auto"/>
                <w:sz w:val="24"/>
              </w:rPr>
              <w:t>或者</w:t>
            </w:r>
            <w:r>
              <w:rPr>
                <w:rFonts w:hint="eastAsia"/>
                <w:color w:val="auto"/>
                <w:sz w:val="24"/>
              </w:rPr>
              <w:t>遮盖等</w:t>
            </w:r>
            <w:r>
              <w:rPr>
                <w:color w:val="auto"/>
                <w:sz w:val="24"/>
              </w:rPr>
              <w:t>措施防止物料遗撒</w:t>
            </w:r>
            <w:r>
              <w:rPr>
                <w:rFonts w:hint="eastAsia"/>
                <w:color w:val="auto"/>
                <w:sz w:val="24"/>
              </w:rPr>
              <w:t>，</w:t>
            </w:r>
            <w:r>
              <w:rPr>
                <w:color w:val="auto"/>
                <w:sz w:val="24"/>
              </w:rPr>
              <w:t>造成扬尘污染，并按照规定路线行驶。</w:t>
            </w:r>
          </w:p>
          <w:p>
            <w:pPr>
              <w:adjustRightInd w:val="0"/>
              <w:snapToGrid w:val="0"/>
              <w:spacing w:line="360" w:lineRule="auto"/>
              <w:ind w:firstLine="480" w:firstLineChars="200"/>
              <w:rPr>
                <w:color w:val="auto"/>
                <w:sz w:val="24"/>
              </w:rPr>
            </w:pPr>
            <w:r>
              <w:rPr>
                <w:rFonts w:hint="eastAsia" w:ascii="宋体" w:hAnsi="宋体" w:cs="宋体"/>
                <w:color w:val="auto"/>
                <w:sz w:val="24"/>
              </w:rPr>
              <w:t>⑺拆迁工地湿法作业标准化。</w:t>
            </w:r>
            <w:r>
              <w:rPr>
                <w:rFonts w:hint="eastAsia"/>
                <w:color w:val="auto"/>
                <w:sz w:val="24"/>
                <w:lang w:val="en-US" w:eastAsia="zh-CN"/>
              </w:rPr>
              <w:t>建筑物维修施工</w:t>
            </w:r>
            <w:r>
              <w:rPr>
                <w:color w:val="auto"/>
                <w:sz w:val="24"/>
              </w:rPr>
              <w:t>单位应当按照规定在拆除现场周围设置围挡，在拆除过程中，应当采取湿式作业等有效防尘措施。拆除和施工过程中产生的建筑垃圾应及时清运并在指定的</w:t>
            </w:r>
            <w:r>
              <w:rPr>
                <w:rFonts w:hint="eastAsia"/>
                <w:color w:val="auto"/>
                <w:sz w:val="24"/>
              </w:rPr>
              <w:t>填埋场</w:t>
            </w:r>
            <w:r>
              <w:rPr>
                <w:color w:val="auto"/>
                <w:sz w:val="24"/>
              </w:rPr>
              <w:t>处置。不能及时清运的，应当采取封闭、遮盖等有效防尘措施。土方开挖、运输和填筑、易产生扬尘工序等施工时，必须进行湿法作业，应配备足量除尘雾炮、喷淋设施。气象预报5级以上大风或重度污染天气时，严禁土方开挖、回填、转运以及其他可能产生扬尘污染的施工，并做好作业面覆盖工作。</w:t>
            </w:r>
          </w:p>
          <w:p>
            <w:pPr>
              <w:adjustRightInd w:val="0"/>
              <w:snapToGrid w:val="0"/>
              <w:spacing w:line="360" w:lineRule="auto"/>
              <w:ind w:firstLine="480" w:firstLineChars="200"/>
              <w:rPr>
                <w:color w:val="auto"/>
                <w:sz w:val="24"/>
              </w:rPr>
            </w:pPr>
            <w:r>
              <w:rPr>
                <w:rFonts w:hint="eastAsia" w:ascii="宋体" w:hAnsi="宋体" w:cs="宋体"/>
                <w:color w:val="auto"/>
                <w:sz w:val="24"/>
              </w:rPr>
              <w:t>⑻</w:t>
            </w:r>
            <w:r>
              <w:rPr>
                <w:rFonts w:hint="eastAsia"/>
                <w:color w:val="auto"/>
                <w:sz w:val="24"/>
              </w:rPr>
              <w:t>施工机械及运输车辆需定期检修与保养，及时清洗、维修，确保施工机械及运输车辆始终处于良好的工作状态，应使用高标号的燃油，禁止使用含铅汽油，确保施工机械废气排放符合环保要求。加强大型施工机械和车辆的管理，执行定期检查维护制度，可有效减少机械尾气的产生。</w:t>
            </w:r>
          </w:p>
          <w:p>
            <w:pPr>
              <w:adjustRightInd w:val="0"/>
              <w:snapToGrid w:val="0"/>
              <w:spacing w:line="360" w:lineRule="auto"/>
              <w:ind w:firstLine="480" w:firstLineChars="200"/>
              <w:rPr>
                <w:color w:val="auto"/>
              </w:rPr>
            </w:pPr>
            <w:r>
              <w:rPr>
                <w:color w:val="auto"/>
                <w:sz w:val="24"/>
              </w:rPr>
              <w:t>综上，项目施工期会对项目所在地环境</w:t>
            </w:r>
            <w:r>
              <w:rPr>
                <w:rFonts w:hint="eastAsia"/>
                <w:color w:val="auto"/>
                <w:sz w:val="24"/>
              </w:rPr>
              <w:t>空气</w:t>
            </w:r>
            <w:r>
              <w:rPr>
                <w:color w:val="auto"/>
                <w:sz w:val="24"/>
              </w:rPr>
              <w:t>质量造成一定影响，但这些影响随着施工期的结束而消失。因此，项目施工期不会造成项目所在环境空气质量的恶化。</w:t>
            </w:r>
          </w:p>
          <w:p>
            <w:pPr>
              <w:adjustRightInd w:val="0"/>
              <w:spacing w:line="360" w:lineRule="auto"/>
              <w:ind w:firstLine="482" w:firstLineChars="200"/>
              <w:rPr>
                <w:b/>
                <w:color w:val="auto"/>
                <w:sz w:val="24"/>
              </w:rPr>
            </w:pPr>
            <w:r>
              <w:rPr>
                <w:b/>
                <w:color w:val="auto"/>
                <w:sz w:val="24"/>
              </w:rPr>
              <w:t>3、废水</w:t>
            </w:r>
          </w:p>
          <w:p>
            <w:pPr>
              <w:adjustRightInd w:val="0"/>
              <w:snapToGrid w:val="0"/>
              <w:spacing w:line="360" w:lineRule="auto"/>
              <w:ind w:firstLine="480" w:firstLineChars="200"/>
              <w:rPr>
                <w:rFonts w:hint="eastAsia" w:hAnsi="宋体"/>
                <w:color w:val="auto"/>
                <w:sz w:val="24"/>
                <w:lang w:val="en-US" w:eastAsia="zh-CN"/>
              </w:rPr>
            </w:pPr>
            <w:r>
              <w:rPr>
                <w:rFonts w:hint="eastAsia" w:ascii="Times New Roman" w:hAnsi="Times New Roman" w:eastAsia="宋体" w:cs="Times New Roman"/>
                <w:color w:val="auto"/>
                <w:sz w:val="24"/>
              </w:rPr>
              <w:t>本项目施工人员均雇佣周边居民，项目</w:t>
            </w:r>
            <w:r>
              <w:rPr>
                <w:rFonts w:hint="eastAsia" w:ascii="Times New Roman" w:hAnsi="Times New Roman" w:eastAsia="宋体" w:cs="Times New Roman"/>
                <w:color w:val="auto"/>
                <w:sz w:val="24"/>
                <w:lang w:eastAsia="zh-CN"/>
              </w:rPr>
              <w:t>施工营地</w:t>
            </w:r>
            <w:r>
              <w:rPr>
                <w:rFonts w:hint="eastAsia" w:ascii="Times New Roman" w:hAnsi="Times New Roman" w:eastAsia="宋体" w:cs="Times New Roman"/>
                <w:color w:val="auto"/>
                <w:sz w:val="24"/>
              </w:rPr>
              <w:t>不设置食宿，设置环保型旱厕粪便定期清掏外运。施工期</w:t>
            </w:r>
            <w:r>
              <w:rPr>
                <w:rFonts w:hint="eastAsia" w:ascii="Times New Roman" w:hAnsi="Times New Roman" w:eastAsia="宋体" w:cs="Times New Roman"/>
                <w:color w:val="auto"/>
                <w:sz w:val="24"/>
                <w:lang w:val="en-US" w:eastAsia="zh-CN"/>
              </w:rPr>
              <w:t>预制件及商品砼全部外购，施工期车辆出入，设置草垫子及草垫子洒水对出入车辆轮胎刷洗，施工期废水主要为车轮</w:t>
            </w:r>
            <w:r>
              <w:rPr>
                <w:rFonts w:hint="eastAsia" w:cs="Times New Roman"/>
                <w:color w:val="auto"/>
                <w:sz w:val="24"/>
                <w:lang w:val="en-US" w:eastAsia="zh-CN"/>
              </w:rPr>
              <w:t>刷</w:t>
            </w:r>
            <w:r>
              <w:rPr>
                <w:rFonts w:hint="eastAsia" w:ascii="Times New Roman" w:hAnsi="Times New Roman" w:eastAsia="宋体" w:cs="Times New Roman"/>
                <w:color w:val="auto"/>
                <w:sz w:val="24"/>
                <w:lang w:val="en-US" w:eastAsia="zh-CN"/>
              </w:rPr>
              <w:t>洗废水，</w:t>
            </w:r>
            <w:r>
              <w:rPr>
                <w:rFonts w:hint="eastAsia" w:hAnsi="宋体"/>
                <w:color w:val="auto"/>
                <w:sz w:val="24"/>
                <w:lang w:val="en-US" w:eastAsia="zh-CN"/>
              </w:rPr>
              <w:t>车轮刷洗废水蒸发损耗不外排。</w:t>
            </w:r>
          </w:p>
          <w:p>
            <w:pPr>
              <w:adjustRightInd w:val="0"/>
              <w:snapToGrid w:val="0"/>
              <w:spacing w:line="360" w:lineRule="auto"/>
              <w:ind w:firstLine="480" w:firstLineChars="200"/>
              <w:rPr>
                <w:color w:val="auto"/>
                <w:sz w:val="24"/>
              </w:rPr>
            </w:pPr>
            <w:r>
              <w:rPr>
                <w:color w:val="auto"/>
                <w:sz w:val="24"/>
              </w:rPr>
              <w:t>综上所述，在采取本次评价提出的防治措施后，项目施工过程对周围环境的不利影响较小。</w:t>
            </w:r>
          </w:p>
          <w:p>
            <w:pPr>
              <w:adjustRightInd w:val="0"/>
              <w:spacing w:line="360" w:lineRule="auto"/>
              <w:ind w:firstLine="482" w:firstLineChars="200"/>
              <w:rPr>
                <w:b/>
                <w:color w:val="auto"/>
                <w:sz w:val="24"/>
              </w:rPr>
            </w:pPr>
            <w:r>
              <w:rPr>
                <w:b/>
                <w:color w:val="auto"/>
                <w:sz w:val="24"/>
              </w:rPr>
              <w:t>4、噪声</w:t>
            </w:r>
          </w:p>
          <w:p>
            <w:pPr>
              <w:adjustRightInd w:val="0"/>
              <w:snapToGrid w:val="0"/>
              <w:spacing w:line="360" w:lineRule="auto"/>
              <w:ind w:firstLine="480" w:firstLineChars="200"/>
              <w:rPr>
                <w:color w:val="auto"/>
                <w:sz w:val="24"/>
              </w:rPr>
            </w:pPr>
            <w:r>
              <w:rPr>
                <w:color w:val="auto"/>
                <w:sz w:val="24"/>
              </w:rPr>
              <w:t>为了减轻本项目施工期噪声的环境影响，须采取以下控制措施：</w:t>
            </w:r>
          </w:p>
          <w:p>
            <w:pPr>
              <w:adjustRightInd w:val="0"/>
              <w:snapToGrid w:val="0"/>
              <w:spacing w:line="360" w:lineRule="auto"/>
              <w:ind w:firstLine="480" w:firstLineChars="200"/>
              <w:rPr>
                <w:color w:val="auto"/>
                <w:sz w:val="24"/>
              </w:rPr>
            </w:pPr>
            <w:r>
              <w:rPr>
                <w:rFonts w:hint="eastAsia" w:ascii="宋体" w:hAnsi="宋体" w:cs="宋体"/>
                <w:color w:val="auto"/>
                <w:sz w:val="24"/>
              </w:rPr>
              <w:t>⑴</w:t>
            </w:r>
            <w:r>
              <w:rPr>
                <w:color w:val="auto"/>
                <w:sz w:val="24"/>
              </w:rPr>
              <w:t>施工时采用降噪作业方式：施工机械选型时尽量选用可替代的低噪声的设备，对动力机械设备进行定期的维修、养护，避免设备因松动部件的振动或消音器的损坏而增加其工作时的声压级；设备用完后或不用时应立即关闭</w:t>
            </w:r>
            <w:r>
              <w:rPr>
                <w:rFonts w:hint="eastAsia"/>
                <w:color w:val="auto"/>
                <w:sz w:val="24"/>
              </w:rPr>
              <w:t>，</w:t>
            </w:r>
            <w:r>
              <w:rPr>
                <w:rFonts w:hint="eastAsia" w:ascii="宋体" w:hAnsi="宋体" w:cs="宋体"/>
                <w:color w:val="auto"/>
                <w:sz w:val="24"/>
              </w:rPr>
              <w:t>从源强和运行方式上降低噪声影响；</w:t>
            </w:r>
          </w:p>
          <w:p>
            <w:pPr>
              <w:adjustRightInd w:val="0"/>
              <w:snapToGrid w:val="0"/>
              <w:spacing w:line="360" w:lineRule="auto"/>
              <w:ind w:firstLine="480" w:firstLineChars="200"/>
              <w:rPr>
                <w:color w:val="auto"/>
                <w:sz w:val="24"/>
              </w:rPr>
            </w:pPr>
            <w:r>
              <w:rPr>
                <w:rFonts w:hint="eastAsia" w:ascii="宋体" w:hAnsi="宋体" w:cs="宋体"/>
                <w:color w:val="auto"/>
                <w:sz w:val="24"/>
              </w:rPr>
              <w:t>⑵</w:t>
            </w:r>
            <w:r>
              <w:rPr>
                <w:rFonts w:hint="eastAsia"/>
                <w:color w:val="auto"/>
                <w:sz w:val="24"/>
              </w:rPr>
              <w:t>优化施工组织设计和加强施工管理，采用合理施工方式、科学施工、合理安排施工时间及施工内容，</w:t>
            </w:r>
            <w:r>
              <w:rPr>
                <w:color w:val="auto"/>
                <w:sz w:val="24"/>
              </w:rPr>
              <w:t>应尽可能避免大量高噪声设备同时施工；</w:t>
            </w:r>
          </w:p>
          <w:p>
            <w:pPr>
              <w:adjustRightInd w:val="0"/>
              <w:snapToGrid w:val="0"/>
              <w:spacing w:line="360" w:lineRule="auto"/>
              <w:ind w:firstLine="480" w:firstLineChars="200"/>
              <w:rPr>
                <w:color w:val="auto"/>
                <w:sz w:val="24"/>
              </w:rPr>
            </w:pPr>
            <w:r>
              <w:rPr>
                <w:rFonts w:hint="eastAsia" w:ascii="宋体" w:hAnsi="宋体" w:cs="宋体"/>
                <w:color w:val="auto"/>
                <w:sz w:val="24"/>
              </w:rPr>
              <w:t>⑶</w:t>
            </w:r>
            <w:r>
              <w:rPr>
                <w:color w:val="auto"/>
                <w:sz w:val="24"/>
              </w:rPr>
              <w:t>合理安排施工时间：制订施工计划时；</w:t>
            </w:r>
            <w:r>
              <w:rPr>
                <w:rFonts w:hint="eastAsia"/>
                <w:color w:val="auto"/>
                <w:sz w:val="24"/>
              </w:rPr>
              <w:t>避开午休时间，</w:t>
            </w:r>
            <w:r>
              <w:rPr>
                <w:color w:val="auto"/>
                <w:sz w:val="24"/>
              </w:rPr>
              <w:t>禁止夜间施工</w:t>
            </w:r>
            <w:r>
              <w:rPr>
                <w:rFonts w:hint="eastAsia"/>
                <w:color w:val="auto"/>
                <w:sz w:val="24"/>
              </w:rPr>
              <w:t>，</w:t>
            </w:r>
            <w:r>
              <w:rPr>
                <w:color w:val="auto"/>
                <w:sz w:val="24"/>
              </w:rPr>
              <w:t>工艺要求的夜间施工必须报请</w:t>
            </w:r>
            <w:r>
              <w:rPr>
                <w:rFonts w:hint="eastAsia"/>
                <w:color w:val="auto"/>
                <w:sz w:val="24"/>
              </w:rPr>
              <w:t>相关</w:t>
            </w:r>
            <w:r>
              <w:rPr>
                <w:color w:val="auto"/>
                <w:sz w:val="24"/>
              </w:rPr>
              <w:t>管理部门同意；</w:t>
            </w:r>
          </w:p>
          <w:p>
            <w:pPr>
              <w:adjustRightInd w:val="0"/>
              <w:snapToGrid w:val="0"/>
              <w:spacing w:line="360" w:lineRule="auto"/>
              <w:ind w:firstLine="480" w:firstLineChars="200"/>
              <w:rPr>
                <w:color w:val="auto"/>
                <w:sz w:val="24"/>
              </w:rPr>
            </w:pPr>
            <w:r>
              <w:rPr>
                <w:rFonts w:hint="eastAsia" w:ascii="宋体" w:hAnsi="宋体" w:cs="宋体"/>
                <w:color w:val="auto"/>
                <w:sz w:val="24"/>
              </w:rPr>
              <w:t>⑷</w:t>
            </w:r>
            <w:r>
              <w:rPr>
                <w:color w:val="auto"/>
                <w:sz w:val="24"/>
              </w:rPr>
              <w:t>降低人为噪声：按规定操作机械设备，尽量少用哨子、笛等指挥作业；</w:t>
            </w:r>
          </w:p>
          <w:p>
            <w:pPr>
              <w:adjustRightInd w:val="0"/>
              <w:snapToGrid w:val="0"/>
              <w:spacing w:line="360" w:lineRule="auto"/>
              <w:ind w:firstLine="480" w:firstLineChars="200"/>
              <w:rPr>
                <w:color w:val="auto"/>
                <w:sz w:val="24"/>
              </w:rPr>
            </w:pPr>
            <w:r>
              <w:rPr>
                <w:rFonts w:hint="eastAsia" w:ascii="宋体" w:hAnsi="宋体" w:cs="宋体"/>
                <w:color w:val="auto"/>
                <w:sz w:val="24"/>
              </w:rPr>
              <w:t>⑸</w:t>
            </w:r>
            <w:r>
              <w:rPr>
                <w:rFonts w:hint="eastAsia"/>
                <w:color w:val="auto"/>
                <w:sz w:val="24"/>
              </w:rPr>
              <w:t>施工运输车辆在通过村庄时，应减缓车速，行车速度控制在20km/h以内，并禁止鸣笛；通过优化运输方案控制车流量，以减轻交通噪声的干扰</w:t>
            </w:r>
            <w:r>
              <w:rPr>
                <w:color w:val="auto"/>
                <w:sz w:val="24"/>
              </w:rPr>
              <w:t>。</w:t>
            </w:r>
          </w:p>
          <w:p>
            <w:pPr>
              <w:adjustRightInd w:val="0"/>
              <w:snapToGrid w:val="0"/>
              <w:spacing w:line="360" w:lineRule="auto"/>
              <w:ind w:firstLine="480" w:firstLineChars="200"/>
              <w:rPr>
                <w:color w:val="auto"/>
                <w:sz w:val="24"/>
              </w:rPr>
            </w:pPr>
            <w:r>
              <w:rPr>
                <w:color w:val="auto"/>
                <w:sz w:val="24"/>
              </w:rPr>
              <w:fldChar w:fldCharType="begin"/>
            </w:r>
            <w:r>
              <w:rPr>
                <w:color w:val="auto"/>
                <w:sz w:val="24"/>
              </w:rPr>
              <w:instrText xml:space="preserve"> </w:instrText>
            </w:r>
            <w:r>
              <w:rPr>
                <w:rFonts w:hint="eastAsia"/>
                <w:color w:val="auto"/>
                <w:sz w:val="24"/>
              </w:rPr>
              <w:instrText xml:space="preserve">= 6 \* GB2</w:instrText>
            </w:r>
            <w:r>
              <w:rPr>
                <w:color w:val="auto"/>
                <w:sz w:val="24"/>
              </w:rPr>
              <w:instrText xml:space="preserve"> </w:instrText>
            </w:r>
            <w:r>
              <w:rPr>
                <w:color w:val="auto"/>
                <w:sz w:val="24"/>
              </w:rPr>
              <w:fldChar w:fldCharType="separate"/>
            </w:r>
            <w:r>
              <w:rPr>
                <w:rFonts w:hint="eastAsia"/>
                <w:color w:val="auto"/>
                <w:sz w:val="24"/>
              </w:rPr>
              <w:t>⑹</w:t>
            </w:r>
            <w:r>
              <w:rPr>
                <w:color w:val="auto"/>
                <w:sz w:val="24"/>
              </w:rPr>
              <w:fldChar w:fldCharType="end"/>
            </w:r>
            <w:r>
              <w:rPr>
                <w:rFonts w:hint="eastAsia"/>
                <w:color w:val="auto"/>
                <w:sz w:val="24"/>
              </w:rPr>
              <w:t>施工单位应加强宣传，充分做好与当地居民的沟通工作，尽量减少对敏感点居民的影响。</w:t>
            </w:r>
          </w:p>
          <w:p>
            <w:pPr>
              <w:adjustRightInd w:val="0"/>
              <w:snapToGrid w:val="0"/>
              <w:spacing w:line="360" w:lineRule="auto"/>
              <w:ind w:firstLine="480" w:firstLineChars="200"/>
              <w:rPr>
                <w:color w:val="auto"/>
                <w:sz w:val="24"/>
              </w:rPr>
            </w:pPr>
            <w:r>
              <w:rPr>
                <w:color w:val="auto"/>
                <w:sz w:val="24"/>
              </w:rPr>
              <w:t>采取以上措施后，本项目施工期噪声对周围环境影响较小。</w:t>
            </w:r>
          </w:p>
          <w:p>
            <w:pPr>
              <w:adjustRightInd w:val="0"/>
              <w:spacing w:line="360" w:lineRule="auto"/>
              <w:ind w:firstLine="482" w:firstLineChars="200"/>
              <w:rPr>
                <w:b/>
                <w:color w:val="auto"/>
                <w:sz w:val="24"/>
              </w:rPr>
            </w:pPr>
            <w:r>
              <w:rPr>
                <w:b/>
                <w:color w:val="auto"/>
                <w:sz w:val="24"/>
              </w:rPr>
              <w:t>5、固体废物</w:t>
            </w:r>
          </w:p>
          <w:p>
            <w:pPr>
              <w:snapToGrid w:val="0"/>
              <w:spacing w:line="360" w:lineRule="auto"/>
              <w:ind w:firstLine="480" w:firstLineChars="200"/>
              <w:rPr>
                <w:rFonts w:hAnsi="宋体"/>
                <w:bCs/>
                <w:color w:val="auto"/>
                <w:sz w:val="24"/>
              </w:rPr>
            </w:pPr>
            <w:r>
              <w:rPr>
                <w:rFonts w:hint="eastAsia" w:hAnsi="宋体"/>
                <w:bCs/>
                <w:color w:val="auto"/>
                <w:sz w:val="24"/>
              </w:rPr>
              <w:t>施工期</w:t>
            </w:r>
            <w:r>
              <w:rPr>
                <w:rFonts w:hint="eastAsia" w:hAnsi="宋体"/>
                <w:bCs/>
                <w:color w:val="auto"/>
                <w:sz w:val="24"/>
                <w:lang w:eastAsia="zh-CN"/>
              </w:rPr>
              <w:t>产生的弃方全部运至</w:t>
            </w:r>
            <w:r>
              <w:rPr>
                <w:rFonts w:hint="eastAsia" w:ascii="Times New Roman" w:hAnsi="Times New Roman" w:eastAsia="宋体" w:cs="Times New Roman"/>
                <w:color w:val="auto"/>
                <w:sz w:val="24"/>
                <w:szCs w:val="24"/>
                <w:lang w:val="en-US" w:eastAsia="zh-CN"/>
              </w:rPr>
              <w:t>项目弃土场</w:t>
            </w:r>
            <w:r>
              <w:rPr>
                <w:rFonts w:hint="eastAsia" w:cs="Times New Roman"/>
                <w:color w:val="auto"/>
                <w:sz w:val="24"/>
                <w:szCs w:val="24"/>
                <w:lang w:val="en-US" w:eastAsia="zh-CN"/>
              </w:rPr>
              <w:t>，</w:t>
            </w:r>
            <w:r>
              <w:rPr>
                <w:rFonts w:hint="eastAsia" w:hAnsi="宋体"/>
                <w:bCs/>
                <w:color w:val="auto"/>
                <w:sz w:val="24"/>
              </w:rPr>
              <w:t>施工期固废</w:t>
            </w:r>
            <w:r>
              <w:rPr>
                <w:rFonts w:hAnsi="宋体"/>
                <w:bCs/>
                <w:color w:val="auto"/>
                <w:sz w:val="24"/>
              </w:rPr>
              <w:t>主要为施工人员产生的少量生活垃圾</w:t>
            </w:r>
            <w:r>
              <w:rPr>
                <w:rFonts w:hint="eastAsia" w:hAnsi="宋体"/>
                <w:bCs/>
                <w:color w:val="auto"/>
                <w:sz w:val="24"/>
                <w:lang w:eastAsia="zh-CN"/>
              </w:rPr>
              <w:t>、建筑垃圾及产生的弃方</w:t>
            </w:r>
            <w:r>
              <w:rPr>
                <w:rFonts w:hAnsi="宋体"/>
                <w:bCs/>
                <w:color w:val="auto"/>
                <w:sz w:val="24"/>
              </w:rPr>
              <w:t>。</w:t>
            </w:r>
          </w:p>
          <w:p>
            <w:pPr>
              <w:adjustRightInd w:val="0"/>
              <w:snapToGrid w:val="0"/>
              <w:spacing w:line="360" w:lineRule="auto"/>
              <w:ind w:firstLine="480" w:firstLineChars="200"/>
              <w:rPr>
                <w:bCs/>
                <w:color w:val="auto"/>
                <w:sz w:val="24"/>
              </w:rPr>
            </w:pPr>
            <w:r>
              <w:rPr>
                <w:rFonts w:hint="eastAsia"/>
                <w:bCs/>
                <w:color w:val="auto"/>
                <w:sz w:val="24"/>
              </w:rPr>
              <w:t>（1）弃渣（土）</w:t>
            </w:r>
          </w:p>
          <w:p>
            <w:pPr>
              <w:adjustRightInd w:val="0"/>
              <w:snapToGrid w:val="0"/>
              <w:spacing w:line="360" w:lineRule="auto"/>
              <w:ind w:firstLine="480" w:firstLineChars="200"/>
              <w:rPr>
                <w:rFonts w:hint="eastAsia"/>
                <w:bCs/>
                <w:color w:val="auto"/>
                <w:sz w:val="24"/>
              </w:rPr>
            </w:pPr>
            <w:r>
              <w:rPr>
                <w:rFonts w:hint="eastAsia"/>
                <w:bCs/>
                <w:color w:val="auto"/>
                <w:sz w:val="24"/>
              </w:rPr>
              <w:t>项目</w:t>
            </w:r>
            <w:r>
              <w:rPr>
                <w:rFonts w:hint="eastAsia"/>
                <w:bCs/>
                <w:color w:val="auto"/>
                <w:sz w:val="24"/>
                <w:lang w:eastAsia="zh-CN"/>
              </w:rPr>
              <w:t>产生的弃方</w:t>
            </w:r>
            <w:r>
              <w:rPr>
                <w:rFonts w:hint="eastAsia" w:hAnsi="宋体"/>
                <w:bCs/>
                <w:color w:val="auto"/>
                <w:sz w:val="24"/>
                <w:lang w:eastAsia="zh-CN"/>
              </w:rPr>
              <w:t>全部运至</w:t>
            </w:r>
            <w:r>
              <w:rPr>
                <w:rFonts w:hint="eastAsia" w:ascii="Times New Roman" w:hAnsi="Times New Roman" w:eastAsia="宋体" w:cs="Times New Roman"/>
                <w:color w:val="auto"/>
                <w:sz w:val="24"/>
                <w:szCs w:val="24"/>
                <w:lang w:val="en-US" w:eastAsia="zh-CN"/>
              </w:rPr>
              <w:t>项目弃土场</w:t>
            </w:r>
            <w:r>
              <w:rPr>
                <w:rFonts w:hint="eastAsia"/>
                <w:bCs/>
                <w:color w:val="auto"/>
                <w:sz w:val="24"/>
              </w:rPr>
              <w:t>，</w:t>
            </w:r>
            <w:r>
              <w:rPr>
                <w:rFonts w:hint="eastAsia" w:hAnsi="宋体"/>
                <w:color w:val="auto"/>
                <w:sz w:val="24"/>
              </w:rPr>
              <w:t>施工过程中土石方开挖及回填还应采取以下措施：</w:t>
            </w:r>
          </w:p>
          <w:p>
            <w:pPr>
              <w:numPr>
                <w:ilvl w:val="0"/>
                <w:numId w:val="9"/>
              </w:numPr>
              <w:adjustRightInd w:val="0"/>
              <w:snapToGrid w:val="0"/>
              <w:spacing w:line="360" w:lineRule="auto"/>
              <w:rPr>
                <w:rFonts w:hint="eastAsia"/>
                <w:bCs/>
                <w:color w:val="auto"/>
                <w:sz w:val="24"/>
              </w:rPr>
            </w:pPr>
            <w:r>
              <w:rPr>
                <w:rFonts w:hint="eastAsia"/>
                <w:bCs/>
                <w:color w:val="auto"/>
                <w:sz w:val="24"/>
              </w:rPr>
              <w:t>合理安排施工过程，优化工序，减少施工过程中挖方量。</w:t>
            </w:r>
          </w:p>
          <w:p>
            <w:pPr>
              <w:numPr>
                <w:ilvl w:val="0"/>
                <w:numId w:val="9"/>
              </w:numPr>
              <w:adjustRightInd w:val="0"/>
              <w:snapToGrid w:val="0"/>
              <w:spacing w:line="360" w:lineRule="auto"/>
              <w:rPr>
                <w:rFonts w:hint="eastAsia"/>
                <w:bCs/>
                <w:color w:val="auto"/>
                <w:sz w:val="24"/>
              </w:rPr>
            </w:pPr>
            <w:r>
              <w:rPr>
                <w:rFonts w:hint="eastAsia"/>
                <w:bCs/>
                <w:color w:val="auto"/>
                <w:sz w:val="24"/>
              </w:rPr>
              <w:t>遇到五级以上大风天气应停止土方作业。</w:t>
            </w:r>
          </w:p>
          <w:p>
            <w:pPr>
              <w:adjustRightInd w:val="0"/>
              <w:snapToGrid w:val="0"/>
              <w:spacing w:line="360" w:lineRule="auto"/>
              <w:ind w:firstLine="480" w:firstLineChars="200"/>
              <w:rPr>
                <w:rFonts w:hint="eastAsia"/>
                <w:bCs/>
                <w:color w:val="auto"/>
                <w:sz w:val="24"/>
              </w:rPr>
            </w:pPr>
            <w:r>
              <w:rPr>
                <w:rFonts w:hint="eastAsia"/>
                <w:bCs/>
                <w:color w:val="auto"/>
                <w:sz w:val="24"/>
              </w:rPr>
              <w:t>③进出工地的渣土运输车辆应采用密闭斗车。若无密闭斗车，物料、垃圾、渣土的装载高度不得超过车辆槽帮上沿，车斗用苫布遮盖严实。苫布边缘至少要遮住槽帮上沿以下15cm。车辆应按照批准的路线时间进行物料、渣土、垃圾的运输。</w:t>
            </w:r>
          </w:p>
          <w:p>
            <w:pPr>
              <w:adjustRightInd w:val="0"/>
              <w:snapToGrid w:val="0"/>
              <w:spacing w:line="360" w:lineRule="auto"/>
              <w:ind w:firstLine="480" w:firstLineChars="200"/>
              <w:rPr>
                <w:bCs/>
                <w:color w:val="auto"/>
                <w:sz w:val="24"/>
              </w:rPr>
            </w:pPr>
            <w:r>
              <w:rPr>
                <w:rFonts w:hint="eastAsia"/>
                <w:bCs/>
                <w:color w:val="auto"/>
                <w:sz w:val="24"/>
              </w:rPr>
              <w:t>（2）建筑垃圾</w:t>
            </w:r>
          </w:p>
          <w:p>
            <w:pPr>
              <w:adjustRightInd w:val="0"/>
              <w:snapToGrid w:val="0"/>
              <w:spacing w:line="360" w:lineRule="auto"/>
              <w:ind w:firstLine="480" w:firstLineChars="200"/>
              <w:rPr>
                <w:rFonts w:hint="eastAsia"/>
                <w:bCs/>
                <w:color w:val="auto"/>
                <w:sz w:val="24"/>
              </w:rPr>
            </w:pPr>
            <w:r>
              <w:rPr>
                <w:rFonts w:hint="eastAsia"/>
                <w:bCs/>
                <w:color w:val="auto"/>
                <w:sz w:val="24"/>
              </w:rPr>
              <w:t>施工期应加强施工组织管理，提高施工技术和施工工艺，减少建筑垃圾的产生，并规范和分类堆存建筑垃圾，不得乱堆乱放。拆除的建筑垃圾</w:t>
            </w:r>
            <w:r>
              <w:rPr>
                <w:rFonts w:hint="eastAsia"/>
                <w:bCs/>
                <w:color w:val="auto"/>
                <w:sz w:val="24"/>
                <w:lang w:eastAsia="zh-CN"/>
              </w:rPr>
              <w:t>综合利用，未利用的交由建设单位运至由环境卫生主管部门指定的建筑垃圾填埋场进行处置</w:t>
            </w:r>
            <w:r>
              <w:rPr>
                <w:rFonts w:hint="eastAsia"/>
                <w:bCs/>
                <w:color w:val="auto"/>
                <w:sz w:val="24"/>
              </w:rPr>
              <w:t>。</w:t>
            </w:r>
          </w:p>
          <w:p>
            <w:pPr>
              <w:adjustRightInd w:val="0"/>
              <w:snapToGrid w:val="0"/>
              <w:spacing w:line="360" w:lineRule="auto"/>
              <w:ind w:firstLine="480" w:firstLineChars="200"/>
              <w:rPr>
                <w:bCs/>
                <w:color w:val="auto"/>
                <w:sz w:val="24"/>
              </w:rPr>
            </w:pPr>
            <w:r>
              <w:rPr>
                <w:rFonts w:hint="eastAsia"/>
                <w:bCs/>
                <w:color w:val="auto"/>
                <w:sz w:val="24"/>
              </w:rPr>
              <w:t>（</w:t>
            </w:r>
            <w:r>
              <w:rPr>
                <w:rFonts w:hint="eastAsia"/>
                <w:bCs/>
                <w:color w:val="auto"/>
                <w:sz w:val="24"/>
                <w:lang w:val="en-US" w:eastAsia="zh-CN"/>
              </w:rPr>
              <w:t>3</w:t>
            </w:r>
            <w:r>
              <w:rPr>
                <w:rFonts w:hint="eastAsia"/>
                <w:bCs/>
                <w:color w:val="auto"/>
                <w:sz w:val="24"/>
              </w:rPr>
              <w:t>）生活垃圾</w:t>
            </w:r>
          </w:p>
          <w:p>
            <w:pPr>
              <w:adjustRightInd w:val="0"/>
              <w:snapToGrid w:val="0"/>
              <w:spacing w:line="360" w:lineRule="auto"/>
              <w:ind w:firstLine="480" w:firstLineChars="200"/>
              <w:rPr>
                <w:bCs/>
                <w:color w:val="auto"/>
                <w:sz w:val="24"/>
              </w:rPr>
            </w:pPr>
            <w:r>
              <w:rPr>
                <w:rFonts w:hint="eastAsia"/>
                <w:bCs/>
                <w:color w:val="auto"/>
                <w:sz w:val="24"/>
              </w:rPr>
              <w:t>在施工营地设置垃圾桶集中收集生活垃圾，安排专人负责生活垃圾的清扫，分类收集后交由环卫部门统一处置。</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cs="Times New Roman"/>
                <w:color w:val="auto"/>
              </w:rPr>
            </w:pPr>
            <w:r>
              <w:rPr>
                <w:rFonts w:hint="eastAsia" w:ascii="Times New Roman" w:hAnsi="Times New Roman" w:eastAsia="宋体" w:cs="Times New Roman"/>
                <w:bCs/>
                <w:color w:val="auto"/>
                <w:sz w:val="24"/>
              </w:rPr>
              <w:t>通过采取以上措施，项目施工期产生的固体废物对环境的不利影响较小</w:t>
            </w:r>
            <w:r>
              <w:rPr>
                <w:rFonts w:hint="eastAsia" w:ascii="Times New Roman" w:hAnsi="Times New Roman" w:eastAsia="宋体" w:cs="Times New Roman"/>
                <w:bCs/>
                <w:color w:val="auto"/>
                <w:sz w:val="24"/>
                <w:lang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753" w:type="dxa"/>
            <w:tcMar>
              <w:left w:w="28" w:type="dxa"/>
              <w:right w:w="28" w:type="dxa"/>
            </w:tcMar>
            <w:vAlign w:val="center"/>
          </w:tcPr>
          <w:p>
            <w:pPr>
              <w:adjustRightInd w:val="0"/>
              <w:snapToGrid w:val="0"/>
              <w:jc w:val="center"/>
              <w:rPr>
                <w:rFonts w:hint="default" w:ascii="Times New Roman" w:hAnsi="Times New Roman" w:cs="Times New Roman"/>
                <w:bCs/>
                <w:color w:val="auto"/>
                <w:spacing w:val="10"/>
                <w:szCs w:val="21"/>
              </w:rPr>
            </w:pPr>
            <w:r>
              <w:rPr>
                <w:rFonts w:hint="default" w:ascii="Times New Roman" w:hAnsi="Times New Roman" w:cs="Times New Roman"/>
                <w:bCs/>
                <w:color w:val="auto"/>
                <w:spacing w:val="10"/>
                <w:sz w:val="24"/>
                <w:szCs w:val="24"/>
              </w:rPr>
              <w:t>运营期生态环境保护措施</w:t>
            </w:r>
          </w:p>
        </w:tc>
        <w:tc>
          <w:tcPr>
            <w:tcW w:w="8457" w:type="dxa"/>
          </w:tcPr>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eastAsia="宋体" w:cs="Times New Roman"/>
                <w:bCs/>
                <w:color w:val="auto"/>
                <w:spacing w:val="10"/>
                <w:szCs w:val="21"/>
                <w:lang w:val="en-US" w:eastAsia="zh-CN"/>
              </w:rPr>
            </w:pPr>
            <w:r>
              <w:rPr>
                <w:rFonts w:hint="default" w:ascii="Times New Roman" w:hAnsi="Times New Roman" w:cs="Times New Roman"/>
                <w:bCs/>
                <w:color w:val="auto"/>
                <w:spacing w:val="10"/>
                <w:sz w:val="24"/>
              </w:rPr>
              <w:t>本项目为防洪除涝工程，项目营运期无废水、废气、噪声及固体废弃物产生。项目建成后可以使洪水有序、顺畅的导入主要泄洪沟道，有效</w:t>
            </w:r>
            <w:r>
              <w:rPr>
                <w:rFonts w:hint="eastAsia" w:ascii="Times New Roman" w:hAnsi="Times New Roman" w:cs="Times New Roman"/>
                <w:bCs/>
                <w:color w:val="auto"/>
                <w:spacing w:val="10"/>
                <w:sz w:val="24"/>
                <w:lang w:eastAsia="zh-CN"/>
              </w:rPr>
              <w:t>提高防洪排水安全</w:t>
            </w:r>
            <w:r>
              <w:rPr>
                <w:rFonts w:hint="default" w:ascii="Times New Roman" w:hAnsi="Times New Roman" w:cs="Times New Roman"/>
                <w:bCs/>
                <w:color w:val="auto"/>
                <w:spacing w:val="10"/>
                <w:sz w:val="24"/>
              </w:rPr>
              <w:t>，解决项目区安全保障问题，</w:t>
            </w:r>
            <w:r>
              <w:rPr>
                <w:rFonts w:hint="default" w:ascii="Times New Roman" w:hAnsi="Times New Roman" w:cs="Times New Roman"/>
                <w:color w:val="auto"/>
                <w:kern w:val="0"/>
                <w:sz w:val="24"/>
              </w:rPr>
              <w:t>促进生态环境向良性循环发展，可进一步实现区域水土资源的可持续利用和生态环境的可持续维护，改善区域条件，促进</w:t>
            </w:r>
            <w:r>
              <w:rPr>
                <w:rFonts w:hint="eastAsia" w:ascii="Times New Roman" w:hAnsi="Times New Roman" w:cs="Times New Roman"/>
                <w:color w:val="auto"/>
                <w:kern w:val="0"/>
                <w:sz w:val="24"/>
                <w:lang w:eastAsia="zh-CN"/>
              </w:rPr>
              <w:t>地方</w:t>
            </w:r>
            <w:r>
              <w:rPr>
                <w:rFonts w:hint="default" w:ascii="Times New Roman" w:hAnsi="Times New Roman" w:cs="Times New Roman"/>
                <w:color w:val="auto"/>
                <w:kern w:val="0"/>
                <w:sz w:val="24"/>
              </w:rPr>
              <w:t>经济发展。</w:t>
            </w:r>
            <w:r>
              <w:rPr>
                <w:rFonts w:hint="eastAsia" w:cs="Times New Roman"/>
                <w:color w:val="auto"/>
                <w:kern w:val="0"/>
                <w:sz w:val="24"/>
                <w:lang w:eastAsia="zh-CN"/>
              </w:rPr>
              <w:t>本项目生态恢复措施布局图见附图</w:t>
            </w:r>
            <w:r>
              <w:rPr>
                <w:rFonts w:hint="eastAsia" w:cs="Times New Roman"/>
                <w:color w:val="auto"/>
                <w:kern w:val="0"/>
                <w:sz w:val="24"/>
                <w:lang w:val="en-US" w:eastAsia="zh-CN"/>
              </w:rPr>
              <w:t>18。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753" w:type="dxa"/>
            <w:vAlign w:val="center"/>
          </w:tcPr>
          <w:p>
            <w:pPr>
              <w:adjustRightInd w:val="0"/>
              <w:snapToGrid w:val="0"/>
              <w:jc w:val="center"/>
              <w:rPr>
                <w:rFonts w:hint="default" w:ascii="Times New Roman" w:hAnsi="Times New Roman" w:cs="Times New Roman"/>
                <w:bCs/>
                <w:color w:val="auto"/>
                <w:spacing w:val="10"/>
                <w:szCs w:val="21"/>
              </w:rPr>
            </w:pPr>
            <w:r>
              <w:rPr>
                <w:rFonts w:hint="default" w:ascii="Times New Roman" w:hAnsi="Times New Roman" w:cs="Times New Roman"/>
                <w:bCs/>
                <w:color w:val="auto"/>
                <w:sz w:val="24"/>
                <w:szCs w:val="24"/>
              </w:rPr>
              <w:t>其他</w:t>
            </w:r>
          </w:p>
        </w:tc>
        <w:tc>
          <w:tcPr>
            <w:tcW w:w="8457" w:type="dxa"/>
          </w:tcPr>
          <w:p>
            <w:pPr>
              <w:keepNext w:val="0"/>
              <w:keepLines w:val="0"/>
              <w:pageBreakBefore w:val="0"/>
              <w:widowControl w:val="0"/>
              <w:kinsoku/>
              <w:wordWrap/>
              <w:overflowPunct/>
              <w:topLinePunct w:val="0"/>
              <w:autoSpaceDE/>
              <w:autoSpaceDN/>
              <w:bidi w:val="0"/>
              <w:adjustRightInd w:val="0"/>
              <w:snapToGrid w:val="0"/>
              <w:ind w:firstLine="520" w:firstLineChars="200"/>
              <w:jc w:val="both"/>
              <w:textAlignment w:val="auto"/>
              <w:rPr>
                <w:rFonts w:hint="eastAsia" w:ascii="Times New Roman" w:hAnsi="Times New Roman" w:eastAsia="宋体" w:cs="Times New Roman"/>
                <w:bCs/>
                <w:color w:val="auto"/>
                <w:spacing w:val="10"/>
                <w:szCs w:val="21"/>
                <w:lang w:eastAsia="zh-CN"/>
              </w:rPr>
            </w:pPr>
            <w:r>
              <w:rPr>
                <w:rFonts w:hint="eastAsia" w:cs="Times New Roman"/>
                <w:bCs/>
                <w:color w:val="auto"/>
                <w:spacing w:val="10"/>
                <w:sz w:val="24"/>
                <w:szCs w:val="24"/>
                <w:lang w:eastAsia="zh-CN"/>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21" w:hRule="atLeast"/>
          <w:jc w:val="center"/>
        </w:trPr>
        <w:tc>
          <w:tcPr>
            <w:tcW w:w="753" w:type="dxa"/>
            <w:vAlign w:val="center"/>
          </w:tcPr>
          <w:p>
            <w:pPr>
              <w:adjustRightInd w:val="0"/>
              <w:snapToGrid w:val="0"/>
              <w:jc w:val="center"/>
              <w:rPr>
                <w:rFonts w:hint="default" w:ascii="Times New Roman" w:hAnsi="Times New Roman" w:cs="Times New Roman"/>
                <w:bCs/>
                <w:color w:val="auto"/>
                <w:spacing w:val="10"/>
                <w:szCs w:val="21"/>
              </w:rPr>
            </w:pPr>
            <w:r>
              <w:rPr>
                <w:rFonts w:hint="default" w:ascii="Times New Roman" w:hAnsi="Times New Roman" w:cs="Times New Roman"/>
                <w:bCs/>
                <w:color w:val="auto"/>
                <w:sz w:val="24"/>
                <w:szCs w:val="24"/>
              </w:rPr>
              <w:t>环保投资</w:t>
            </w:r>
          </w:p>
        </w:tc>
        <w:tc>
          <w:tcPr>
            <w:tcW w:w="8457" w:type="dxa"/>
          </w:tcPr>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cs="Times New Roman"/>
                <w:color w:val="auto"/>
                <w:sz w:val="24"/>
                <w:szCs w:val="32"/>
              </w:rPr>
            </w:pPr>
            <w:r>
              <w:rPr>
                <w:rFonts w:hint="default" w:ascii="Times New Roman" w:hAnsi="Times New Roman" w:cs="Times New Roman"/>
                <w:color w:val="auto"/>
                <w:sz w:val="24"/>
                <w:szCs w:val="32"/>
              </w:rPr>
              <w:t>本项目总投资为</w:t>
            </w:r>
            <w:r>
              <w:rPr>
                <w:rFonts w:hint="eastAsia" w:cs="Times New Roman"/>
                <w:color w:val="auto"/>
                <w:sz w:val="24"/>
                <w:szCs w:val="32"/>
                <w:lang w:val="en-US" w:eastAsia="zh-CN"/>
              </w:rPr>
              <w:t>320.27</w:t>
            </w:r>
            <w:r>
              <w:rPr>
                <w:rFonts w:hint="default" w:ascii="Times New Roman" w:hAnsi="Times New Roman" w:cs="Times New Roman"/>
                <w:color w:val="auto"/>
                <w:sz w:val="24"/>
                <w:szCs w:val="32"/>
              </w:rPr>
              <w:t>万元，</w:t>
            </w:r>
            <w:r>
              <w:rPr>
                <w:rFonts w:hint="default" w:ascii="Times New Roman" w:hAnsi="Times New Roman" w:cs="Times New Roman"/>
                <w:color w:val="auto"/>
                <w:sz w:val="24"/>
                <w:szCs w:val="32"/>
                <w:lang w:val="en-US" w:eastAsia="zh-CN"/>
              </w:rPr>
              <w:t>环保投资</w:t>
            </w:r>
            <w:r>
              <w:rPr>
                <w:rFonts w:hint="eastAsia" w:cs="Times New Roman"/>
                <w:color w:val="auto"/>
                <w:sz w:val="24"/>
                <w:szCs w:val="32"/>
                <w:lang w:val="en-US" w:eastAsia="zh-CN"/>
              </w:rPr>
              <w:t>78.31</w:t>
            </w:r>
            <w:r>
              <w:rPr>
                <w:rFonts w:hint="default" w:ascii="Times New Roman" w:hAnsi="Times New Roman" w:cs="Times New Roman"/>
                <w:color w:val="auto"/>
                <w:sz w:val="24"/>
                <w:szCs w:val="32"/>
                <w:lang w:val="en-US" w:eastAsia="zh-CN"/>
              </w:rPr>
              <w:t>万元</w:t>
            </w:r>
            <w:r>
              <w:rPr>
                <w:rFonts w:hint="default" w:ascii="Times New Roman" w:hAnsi="Times New Roman" w:cs="Times New Roman"/>
                <w:color w:val="auto"/>
                <w:sz w:val="24"/>
                <w:szCs w:val="32"/>
              </w:rPr>
              <w:t>，占工程总投资的</w:t>
            </w:r>
            <w:r>
              <w:rPr>
                <w:rFonts w:hint="eastAsia" w:cs="Times New Roman"/>
                <w:color w:val="auto"/>
                <w:sz w:val="24"/>
                <w:szCs w:val="32"/>
                <w:lang w:val="en-US" w:eastAsia="zh-CN"/>
              </w:rPr>
              <w:t>24.45</w:t>
            </w:r>
            <w:r>
              <w:rPr>
                <w:rFonts w:hint="default" w:ascii="Times New Roman" w:hAnsi="Times New Roman" w:cs="Times New Roman"/>
                <w:color w:val="auto"/>
                <w:sz w:val="24"/>
                <w:szCs w:val="32"/>
              </w:rPr>
              <w:t>%。具体环保投资费用估算情况详见表5-</w:t>
            </w:r>
            <w:r>
              <w:rPr>
                <w:rFonts w:hint="eastAsia" w:cs="Times New Roman"/>
                <w:color w:val="auto"/>
                <w:sz w:val="24"/>
                <w:szCs w:val="32"/>
                <w:lang w:val="en-US" w:eastAsia="zh-CN"/>
              </w:rPr>
              <w:t>2</w:t>
            </w:r>
            <w:r>
              <w:rPr>
                <w:rFonts w:hint="default" w:ascii="Times New Roman" w:hAnsi="Times New Roman" w:cs="Times New Roman"/>
                <w:color w:val="auto"/>
                <w:sz w:val="24"/>
                <w:szCs w:val="32"/>
              </w:rPr>
              <w:t>。</w:t>
            </w:r>
          </w:p>
          <w:p>
            <w:pPr>
              <w:pStyle w:val="6"/>
              <w:ind w:firstLine="0"/>
              <w:jc w:val="center"/>
              <w:rPr>
                <w:rFonts w:hint="default" w:ascii="Times New Roman" w:hAnsi="Times New Roman" w:cs="Times New Roman"/>
                <w:b/>
                <w:bCs/>
                <w:color w:val="auto"/>
              </w:rPr>
            </w:pPr>
            <w:r>
              <w:rPr>
                <w:rFonts w:hint="default" w:ascii="Times New Roman" w:hAnsi="Times New Roman" w:cs="Times New Roman"/>
                <w:b/>
                <w:bCs/>
                <w:color w:val="auto"/>
              </w:rPr>
              <w:t>表5-</w:t>
            </w:r>
            <w:r>
              <w:rPr>
                <w:rFonts w:hint="eastAsia" w:cs="Times New Roman"/>
                <w:b/>
                <w:bCs/>
                <w:color w:val="auto"/>
                <w:lang w:val="en-US" w:eastAsia="zh-CN"/>
              </w:rPr>
              <w:t>2</w:t>
            </w:r>
            <w:r>
              <w:rPr>
                <w:rFonts w:hint="default" w:ascii="Times New Roman" w:hAnsi="Times New Roman" w:cs="Times New Roman"/>
                <w:b/>
                <w:bCs/>
                <w:color w:val="auto"/>
              </w:rPr>
              <w:t>环保投资情况表</w:t>
            </w:r>
          </w:p>
          <w:tbl>
            <w:tblPr>
              <w:tblStyle w:val="2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487"/>
              <w:gridCol w:w="1297"/>
              <w:gridCol w:w="5153"/>
              <w:gridCol w:w="127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84" w:type="dxa"/>
                  <w:gridSpan w:val="2"/>
                  <w:tcBorders>
                    <w:tl2br w:val="nil"/>
                    <w:tr2bl w:val="nil"/>
                  </w:tcBorders>
                  <w:noWrap w:val="0"/>
                  <w:vAlign w:val="center"/>
                </w:tcPr>
                <w:p>
                  <w:pPr>
                    <w:tabs>
                      <w:tab w:val="left" w:pos="6090"/>
                    </w:tabs>
                    <w:adjustRightInd w:val="0"/>
                    <w:snapToGrid w:val="0"/>
                    <w:jc w:val="center"/>
                    <w:rPr>
                      <w:b/>
                      <w:color w:val="auto"/>
                      <w:szCs w:val="21"/>
                    </w:rPr>
                  </w:pPr>
                  <w:r>
                    <w:rPr>
                      <w:rFonts w:hAnsi="宋体"/>
                      <w:b/>
                      <w:color w:val="auto"/>
                      <w:szCs w:val="21"/>
                    </w:rPr>
                    <w:t>类别</w:t>
                  </w:r>
                </w:p>
              </w:tc>
              <w:tc>
                <w:tcPr>
                  <w:tcW w:w="5153" w:type="dxa"/>
                  <w:tcBorders>
                    <w:tl2br w:val="nil"/>
                    <w:tr2bl w:val="nil"/>
                  </w:tcBorders>
                  <w:noWrap w:val="0"/>
                  <w:vAlign w:val="center"/>
                </w:tcPr>
                <w:p>
                  <w:pPr>
                    <w:tabs>
                      <w:tab w:val="left" w:pos="6090"/>
                    </w:tabs>
                    <w:adjustRightInd w:val="0"/>
                    <w:snapToGrid w:val="0"/>
                    <w:jc w:val="center"/>
                    <w:rPr>
                      <w:b/>
                      <w:color w:val="auto"/>
                      <w:szCs w:val="21"/>
                    </w:rPr>
                  </w:pPr>
                  <w:r>
                    <w:rPr>
                      <w:rFonts w:hAnsi="宋体"/>
                      <w:b/>
                      <w:color w:val="auto"/>
                      <w:szCs w:val="21"/>
                    </w:rPr>
                    <w:t>环保设施名称</w:t>
                  </w:r>
                </w:p>
              </w:tc>
              <w:tc>
                <w:tcPr>
                  <w:tcW w:w="1274" w:type="dxa"/>
                  <w:tcBorders>
                    <w:tl2br w:val="nil"/>
                    <w:tr2bl w:val="nil"/>
                  </w:tcBorders>
                  <w:noWrap w:val="0"/>
                  <w:vAlign w:val="center"/>
                </w:tcPr>
                <w:p>
                  <w:pPr>
                    <w:tabs>
                      <w:tab w:val="left" w:pos="6090"/>
                    </w:tabs>
                    <w:adjustRightInd w:val="0"/>
                    <w:snapToGrid w:val="0"/>
                    <w:jc w:val="center"/>
                    <w:rPr>
                      <w:b/>
                      <w:color w:val="auto"/>
                      <w:szCs w:val="21"/>
                    </w:rPr>
                  </w:pPr>
                  <w:r>
                    <w:rPr>
                      <w:rFonts w:hAnsi="宋体"/>
                      <w:b/>
                      <w:color w:val="auto"/>
                      <w:szCs w:val="21"/>
                    </w:rPr>
                    <w:t>投资（万元）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87" w:type="dxa"/>
                  <w:vMerge w:val="restart"/>
                  <w:tcBorders>
                    <w:tl2br w:val="nil"/>
                    <w:tr2bl w:val="nil"/>
                  </w:tcBorders>
                  <w:noWrap w:val="0"/>
                  <w:vAlign w:val="center"/>
                </w:tcPr>
                <w:p>
                  <w:pPr>
                    <w:tabs>
                      <w:tab w:val="left" w:pos="6090"/>
                    </w:tabs>
                    <w:adjustRightInd w:val="0"/>
                    <w:snapToGrid w:val="0"/>
                    <w:jc w:val="center"/>
                    <w:rPr>
                      <w:color w:val="auto"/>
                      <w:szCs w:val="21"/>
                    </w:rPr>
                  </w:pPr>
                  <w:r>
                    <w:rPr>
                      <w:rFonts w:hAnsi="宋体"/>
                      <w:color w:val="auto"/>
                      <w:szCs w:val="21"/>
                    </w:rPr>
                    <w:t>施工期</w:t>
                  </w:r>
                </w:p>
              </w:tc>
              <w:tc>
                <w:tcPr>
                  <w:tcW w:w="1297" w:type="dxa"/>
                  <w:tcBorders>
                    <w:tl2br w:val="nil"/>
                    <w:tr2bl w:val="nil"/>
                  </w:tcBorders>
                  <w:noWrap w:val="0"/>
                  <w:vAlign w:val="center"/>
                </w:tcPr>
                <w:p>
                  <w:pPr>
                    <w:tabs>
                      <w:tab w:val="left" w:pos="6090"/>
                    </w:tabs>
                    <w:adjustRightInd w:val="0"/>
                    <w:snapToGrid w:val="0"/>
                    <w:jc w:val="center"/>
                    <w:rPr>
                      <w:color w:val="auto"/>
                      <w:szCs w:val="21"/>
                    </w:rPr>
                  </w:pPr>
                  <w:r>
                    <w:rPr>
                      <w:rFonts w:hAnsi="宋体"/>
                      <w:color w:val="auto"/>
                      <w:szCs w:val="21"/>
                    </w:rPr>
                    <w:t>扬尘治理</w:t>
                  </w:r>
                </w:p>
              </w:tc>
              <w:tc>
                <w:tcPr>
                  <w:tcW w:w="5153" w:type="dxa"/>
                  <w:tcBorders>
                    <w:tl2br w:val="nil"/>
                    <w:tr2bl w:val="nil"/>
                  </w:tcBorders>
                  <w:noWrap w:val="0"/>
                  <w:vAlign w:val="center"/>
                </w:tcPr>
                <w:p>
                  <w:pPr>
                    <w:jc w:val="center"/>
                    <w:outlineLvl w:val="1"/>
                    <w:rPr>
                      <w:color w:val="auto"/>
                      <w:szCs w:val="21"/>
                    </w:rPr>
                  </w:pPr>
                  <w:r>
                    <w:rPr>
                      <w:rFonts w:hAnsi="宋体"/>
                      <w:color w:val="auto"/>
                      <w:szCs w:val="21"/>
                    </w:rPr>
                    <w:t>施工场地全面落实</w:t>
                  </w:r>
                  <w:r>
                    <w:rPr>
                      <w:rFonts w:hint="eastAsia" w:ascii="宋体" w:hAnsi="宋体"/>
                      <w:color w:val="auto"/>
                      <w:szCs w:val="21"/>
                    </w:rPr>
                    <w:t>出入车辆冲洗标准化、物料堆放覆盖标准化、渣土车辆密闭运输标准化、拆除工作湿法作业标准化</w:t>
                  </w:r>
                </w:p>
              </w:tc>
              <w:tc>
                <w:tcPr>
                  <w:tcW w:w="1274" w:type="dxa"/>
                  <w:tcBorders>
                    <w:tl2br w:val="nil"/>
                    <w:tr2bl w:val="nil"/>
                  </w:tcBorders>
                  <w:noWrap w:val="0"/>
                  <w:vAlign w:val="center"/>
                </w:tcPr>
                <w:p>
                  <w:pPr>
                    <w:tabs>
                      <w:tab w:val="left" w:pos="6090"/>
                    </w:tabs>
                    <w:adjustRightInd w:val="0"/>
                    <w:snapToGrid w:val="0"/>
                    <w:jc w:val="center"/>
                    <w:rPr>
                      <w:rFonts w:hint="default" w:eastAsia="宋体"/>
                      <w:color w:val="auto"/>
                      <w:szCs w:val="21"/>
                      <w:lang w:val="en-US" w:eastAsia="zh-CN"/>
                    </w:rPr>
                  </w:pPr>
                  <w:r>
                    <w:rPr>
                      <w:rFonts w:hint="eastAsia"/>
                      <w:color w:val="auto"/>
                      <w:szCs w:val="21"/>
                      <w:lang w:val="en-US" w:eastAsia="zh-CN"/>
                    </w:rPr>
                    <w:t>18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87" w:type="dxa"/>
                  <w:vMerge w:val="continue"/>
                  <w:tcBorders>
                    <w:tl2br w:val="nil"/>
                    <w:tr2bl w:val="nil"/>
                  </w:tcBorders>
                  <w:noWrap w:val="0"/>
                  <w:vAlign w:val="center"/>
                </w:tcPr>
                <w:p>
                  <w:pPr>
                    <w:tabs>
                      <w:tab w:val="left" w:pos="6090"/>
                    </w:tabs>
                    <w:adjustRightInd w:val="0"/>
                    <w:snapToGrid w:val="0"/>
                    <w:jc w:val="center"/>
                    <w:rPr>
                      <w:color w:val="auto"/>
                      <w:szCs w:val="21"/>
                    </w:rPr>
                  </w:pPr>
                </w:p>
              </w:tc>
              <w:tc>
                <w:tcPr>
                  <w:tcW w:w="1297" w:type="dxa"/>
                  <w:tcBorders>
                    <w:tl2br w:val="nil"/>
                    <w:tr2bl w:val="nil"/>
                  </w:tcBorders>
                  <w:noWrap w:val="0"/>
                  <w:vAlign w:val="center"/>
                </w:tcPr>
                <w:p>
                  <w:pPr>
                    <w:tabs>
                      <w:tab w:val="left" w:pos="6090"/>
                    </w:tabs>
                    <w:adjustRightInd w:val="0"/>
                    <w:snapToGrid w:val="0"/>
                    <w:jc w:val="center"/>
                    <w:rPr>
                      <w:color w:val="auto"/>
                      <w:szCs w:val="21"/>
                    </w:rPr>
                  </w:pPr>
                  <w:r>
                    <w:rPr>
                      <w:rFonts w:hAnsi="宋体"/>
                      <w:color w:val="auto"/>
                      <w:szCs w:val="21"/>
                    </w:rPr>
                    <w:t>运输车辆尾气</w:t>
                  </w:r>
                </w:p>
              </w:tc>
              <w:tc>
                <w:tcPr>
                  <w:tcW w:w="5153" w:type="dxa"/>
                  <w:tcBorders>
                    <w:tl2br w:val="nil"/>
                    <w:tr2bl w:val="nil"/>
                  </w:tcBorders>
                  <w:noWrap w:val="0"/>
                  <w:vAlign w:val="center"/>
                </w:tcPr>
                <w:p>
                  <w:pPr>
                    <w:jc w:val="center"/>
                    <w:outlineLvl w:val="1"/>
                    <w:rPr>
                      <w:color w:val="auto"/>
                      <w:szCs w:val="21"/>
                    </w:rPr>
                  </w:pPr>
                  <w:r>
                    <w:rPr>
                      <w:rFonts w:hAnsi="宋体"/>
                      <w:color w:val="auto"/>
                      <w:szCs w:val="21"/>
                    </w:rPr>
                    <w:t>严格控制运输时间段及运输路线</w:t>
                  </w:r>
                </w:p>
              </w:tc>
              <w:tc>
                <w:tcPr>
                  <w:tcW w:w="1274" w:type="dxa"/>
                  <w:tcBorders>
                    <w:tl2br w:val="nil"/>
                    <w:tr2bl w:val="nil"/>
                  </w:tcBorders>
                  <w:noWrap w:val="0"/>
                  <w:vAlign w:val="center"/>
                </w:tcPr>
                <w:p>
                  <w:pPr>
                    <w:tabs>
                      <w:tab w:val="left" w:pos="6090"/>
                    </w:tabs>
                    <w:adjustRightInd w:val="0"/>
                    <w:snapToGrid w:val="0"/>
                    <w:jc w:val="center"/>
                    <w:rPr>
                      <w:rFonts w:hint="default" w:eastAsia="宋体"/>
                      <w:color w:val="auto"/>
                      <w:szCs w:val="21"/>
                      <w:lang w:val="en-US" w:eastAsia="zh-CN"/>
                    </w:rPr>
                  </w:pPr>
                  <w:r>
                    <w:rPr>
                      <w:rFonts w:hint="eastAsia"/>
                      <w:color w:val="auto"/>
                      <w:szCs w:val="21"/>
                      <w:lang w:val="en-US" w:eastAsia="zh-CN"/>
                    </w:rPr>
                    <w:t>0.5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87" w:type="dxa"/>
                  <w:vMerge w:val="continue"/>
                  <w:tcBorders>
                    <w:tl2br w:val="nil"/>
                    <w:tr2bl w:val="nil"/>
                  </w:tcBorders>
                  <w:noWrap w:val="0"/>
                  <w:vAlign w:val="center"/>
                </w:tcPr>
                <w:p>
                  <w:pPr>
                    <w:tabs>
                      <w:tab w:val="left" w:pos="6090"/>
                    </w:tabs>
                    <w:adjustRightInd w:val="0"/>
                    <w:snapToGrid w:val="0"/>
                    <w:jc w:val="center"/>
                    <w:rPr>
                      <w:color w:val="auto"/>
                      <w:szCs w:val="21"/>
                    </w:rPr>
                  </w:pPr>
                </w:p>
              </w:tc>
              <w:tc>
                <w:tcPr>
                  <w:tcW w:w="1297" w:type="dxa"/>
                  <w:tcBorders>
                    <w:tl2br w:val="nil"/>
                    <w:tr2bl w:val="nil"/>
                  </w:tcBorders>
                  <w:noWrap w:val="0"/>
                  <w:vAlign w:val="center"/>
                </w:tcPr>
                <w:p>
                  <w:pPr>
                    <w:tabs>
                      <w:tab w:val="left" w:pos="6090"/>
                    </w:tabs>
                    <w:adjustRightInd w:val="0"/>
                    <w:snapToGrid w:val="0"/>
                    <w:jc w:val="center"/>
                    <w:rPr>
                      <w:color w:val="auto"/>
                      <w:szCs w:val="21"/>
                    </w:rPr>
                  </w:pPr>
                  <w:r>
                    <w:rPr>
                      <w:rFonts w:hAnsi="宋体"/>
                      <w:color w:val="auto"/>
                      <w:szCs w:val="21"/>
                    </w:rPr>
                    <w:t>噪声防治</w:t>
                  </w:r>
                </w:p>
              </w:tc>
              <w:tc>
                <w:tcPr>
                  <w:tcW w:w="5153" w:type="dxa"/>
                  <w:tcBorders>
                    <w:tl2br w:val="nil"/>
                    <w:tr2bl w:val="nil"/>
                  </w:tcBorders>
                  <w:noWrap w:val="0"/>
                  <w:vAlign w:val="center"/>
                </w:tcPr>
                <w:p>
                  <w:pPr>
                    <w:jc w:val="center"/>
                    <w:outlineLvl w:val="1"/>
                    <w:rPr>
                      <w:color w:val="auto"/>
                      <w:szCs w:val="21"/>
                    </w:rPr>
                  </w:pPr>
                  <w:r>
                    <w:rPr>
                      <w:rFonts w:hAnsi="宋体"/>
                      <w:color w:val="auto"/>
                      <w:szCs w:val="21"/>
                    </w:rPr>
                    <w:t>项目施工期噪声主要为施工机械作业时产生的噪声，选择低</w:t>
                  </w:r>
                  <w:r>
                    <w:rPr>
                      <w:rFonts w:hint="eastAsia" w:hAnsi="宋体"/>
                      <w:color w:val="auto"/>
                      <w:szCs w:val="21"/>
                      <w:lang w:eastAsia="zh-CN"/>
                    </w:rPr>
                    <w:t>噪声</w:t>
                  </w:r>
                  <w:r>
                    <w:rPr>
                      <w:rFonts w:hAnsi="宋体"/>
                      <w:color w:val="auto"/>
                      <w:szCs w:val="21"/>
                    </w:rPr>
                    <w:t>设备；优化施工方案，尽量缩短施工周期；对车辆噪声采取严格控制运输时间和运输路线，禁止鸣笛；禁止夜间施工</w:t>
                  </w:r>
                </w:p>
              </w:tc>
              <w:tc>
                <w:tcPr>
                  <w:tcW w:w="1274" w:type="dxa"/>
                  <w:tcBorders>
                    <w:tl2br w:val="nil"/>
                    <w:tr2bl w:val="nil"/>
                  </w:tcBorders>
                  <w:noWrap w:val="0"/>
                  <w:vAlign w:val="center"/>
                </w:tcPr>
                <w:p>
                  <w:pPr>
                    <w:tabs>
                      <w:tab w:val="left" w:pos="6090"/>
                    </w:tabs>
                    <w:adjustRightInd w:val="0"/>
                    <w:snapToGrid w:val="0"/>
                    <w:jc w:val="center"/>
                    <w:rPr>
                      <w:rFonts w:hint="default" w:eastAsia="宋体"/>
                      <w:color w:val="auto"/>
                      <w:szCs w:val="21"/>
                      <w:lang w:val="en-US" w:eastAsia="zh-CN"/>
                    </w:rPr>
                  </w:pPr>
                  <w:r>
                    <w:rPr>
                      <w:rFonts w:hint="eastAsia"/>
                      <w:color w:val="auto"/>
                      <w:szCs w:val="21"/>
                      <w:lang w:val="en-US" w:eastAsia="zh-CN"/>
                    </w:rPr>
                    <w:t>4.5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87" w:type="dxa"/>
                  <w:vMerge w:val="continue"/>
                  <w:tcBorders>
                    <w:tl2br w:val="nil"/>
                    <w:tr2bl w:val="nil"/>
                  </w:tcBorders>
                  <w:noWrap w:val="0"/>
                  <w:vAlign w:val="center"/>
                </w:tcPr>
                <w:p>
                  <w:pPr>
                    <w:tabs>
                      <w:tab w:val="left" w:pos="6090"/>
                    </w:tabs>
                    <w:adjustRightInd w:val="0"/>
                    <w:snapToGrid w:val="0"/>
                    <w:jc w:val="center"/>
                    <w:rPr>
                      <w:color w:val="auto"/>
                      <w:szCs w:val="21"/>
                    </w:rPr>
                  </w:pPr>
                </w:p>
              </w:tc>
              <w:tc>
                <w:tcPr>
                  <w:tcW w:w="1297" w:type="dxa"/>
                  <w:tcBorders>
                    <w:tl2br w:val="nil"/>
                    <w:tr2bl w:val="nil"/>
                  </w:tcBorders>
                  <w:noWrap w:val="0"/>
                  <w:vAlign w:val="center"/>
                </w:tcPr>
                <w:p>
                  <w:pPr>
                    <w:tabs>
                      <w:tab w:val="left" w:pos="6090"/>
                    </w:tabs>
                    <w:adjustRightInd w:val="0"/>
                    <w:snapToGrid w:val="0"/>
                    <w:jc w:val="center"/>
                    <w:rPr>
                      <w:color w:val="auto"/>
                      <w:szCs w:val="21"/>
                    </w:rPr>
                  </w:pPr>
                  <w:r>
                    <w:rPr>
                      <w:rFonts w:hAnsi="宋体"/>
                      <w:color w:val="auto"/>
                      <w:szCs w:val="21"/>
                    </w:rPr>
                    <w:t>固体废弃物处置</w:t>
                  </w:r>
                </w:p>
              </w:tc>
              <w:tc>
                <w:tcPr>
                  <w:tcW w:w="5153" w:type="dxa"/>
                  <w:tcBorders>
                    <w:tl2br w:val="nil"/>
                    <w:tr2bl w:val="nil"/>
                  </w:tcBorders>
                  <w:noWrap w:val="0"/>
                  <w:vAlign w:val="center"/>
                </w:tcPr>
                <w:p>
                  <w:pPr>
                    <w:jc w:val="center"/>
                    <w:outlineLvl w:val="1"/>
                    <w:rPr>
                      <w:color w:val="auto"/>
                      <w:szCs w:val="21"/>
                    </w:rPr>
                  </w:pPr>
                  <w:r>
                    <w:rPr>
                      <w:rFonts w:hAnsi="宋体"/>
                      <w:color w:val="auto"/>
                      <w:szCs w:val="21"/>
                    </w:rPr>
                    <w:t>项目</w:t>
                  </w:r>
                  <w:r>
                    <w:rPr>
                      <w:rFonts w:hint="eastAsia" w:hAnsi="宋体"/>
                      <w:color w:val="auto"/>
                      <w:szCs w:val="21"/>
                      <w:lang w:eastAsia="zh-CN"/>
                    </w:rPr>
                    <w:t>弃方全部运至</w:t>
                  </w:r>
                  <w:r>
                    <w:rPr>
                      <w:rFonts w:hint="eastAsia" w:hAnsi="宋体"/>
                      <w:color w:val="auto"/>
                      <w:szCs w:val="21"/>
                      <w:lang w:val="en-US" w:eastAsia="zh-CN"/>
                    </w:rPr>
                    <w:t>项目设置的弃土场</w:t>
                  </w:r>
                  <w:r>
                    <w:rPr>
                      <w:rFonts w:hint="eastAsia" w:hAnsi="宋体"/>
                      <w:color w:val="auto"/>
                      <w:szCs w:val="21"/>
                    </w:rPr>
                    <w:t>；拆除的</w:t>
                  </w:r>
                  <w:r>
                    <w:rPr>
                      <w:rFonts w:hint="eastAsia" w:hAnsi="宋体"/>
                      <w:color w:val="auto"/>
                      <w:szCs w:val="21"/>
                      <w:lang w:eastAsia="zh-CN"/>
                    </w:rPr>
                    <w:t>建筑垃圾</w:t>
                  </w:r>
                  <w:r>
                    <w:rPr>
                      <w:rFonts w:hint="eastAsia" w:hAnsi="宋体"/>
                      <w:color w:val="auto"/>
                      <w:szCs w:val="21"/>
                      <w:lang w:val="en-US" w:eastAsia="zh-CN"/>
                    </w:rPr>
                    <w:t>集中</w:t>
                  </w:r>
                  <w:r>
                    <w:rPr>
                      <w:rFonts w:hint="eastAsia" w:hAnsi="宋体"/>
                      <w:color w:val="auto"/>
                      <w:szCs w:val="21"/>
                    </w:rPr>
                    <w:t>收集后运送至</w:t>
                  </w:r>
                  <w:r>
                    <w:rPr>
                      <w:rFonts w:hint="eastAsia" w:hAnsi="宋体"/>
                      <w:color w:val="auto"/>
                      <w:szCs w:val="21"/>
                      <w:lang w:val="en-US" w:eastAsia="zh-CN"/>
                    </w:rPr>
                    <w:t>一般固废</w:t>
                  </w:r>
                  <w:r>
                    <w:rPr>
                      <w:rFonts w:hint="eastAsia" w:hAnsi="宋体"/>
                      <w:color w:val="auto"/>
                      <w:szCs w:val="21"/>
                    </w:rPr>
                    <w:t>填埋场处置；</w:t>
                  </w:r>
                  <w:r>
                    <w:rPr>
                      <w:rFonts w:hAnsi="宋体"/>
                      <w:color w:val="auto"/>
                      <w:szCs w:val="21"/>
                    </w:rPr>
                    <w:t>生活垃圾</w:t>
                  </w:r>
                  <w:r>
                    <w:rPr>
                      <w:rFonts w:hint="eastAsia" w:hAnsi="宋体"/>
                      <w:color w:val="auto"/>
                      <w:szCs w:val="21"/>
                    </w:rPr>
                    <w:t>分类</w:t>
                  </w:r>
                  <w:r>
                    <w:rPr>
                      <w:rFonts w:hAnsi="宋体"/>
                      <w:color w:val="auto"/>
                      <w:szCs w:val="21"/>
                    </w:rPr>
                    <w:t>收集后交由环卫部门统一处置</w:t>
                  </w:r>
                </w:p>
              </w:tc>
              <w:tc>
                <w:tcPr>
                  <w:tcW w:w="1274" w:type="dxa"/>
                  <w:tcBorders>
                    <w:tl2br w:val="nil"/>
                    <w:tr2bl w:val="nil"/>
                  </w:tcBorders>
                  <w:noWrap w:val="0"/>
                  <w:vAlign w:val="center"/>
                </w:tcPr>
                <w:p>
                  <w:pPr>
                    <w:tabs>
                      <w:tab w:val="left" w:pos="6090"/>
                    </w:tabs>
                    <w:adjustRightInd w:val="0"/>
                    <w:snapToGrid w:val="0"/>
                    <w:jc w:val="center"/>
                    <w:rPr>
                      <w:rFonts w:hint="eastAsia" w:eastAsia="宋体"/>
                      <w:color w:val="auto"/>
                      <w:szCs w:val="21"/>
                      <w:lang w:eastAsia="zh-CN"/>
                    </w:rPr>
                  </w:pPr>
                  <w:r>
                    <w:rPr>
                      <w:rFonts w:hint="eastAsia"/>
                      <w:color w:val="auto"/>
                      <w:szCs w:val="21"/>
                      <w:lang w:val="en-US" w:eastAsia="zh-CN"/>
                    </w:rPr>
                    <w:t>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87" w:type="dxa"/>
                  <w:vMerge w:val="continue"/>
                  <w:tcBorders>
                    <w:tl2br w:val="nil"/>
                    <w:tr2bl w:val="nil"/>
                  </w:tcBorders>
                  <w:noWrap w:val="0"/>
                  <w:vAlign w:val="center"/>
                </w:tcPr>
                <w:p>
                  <w:pPr>
                    <w:tabs>
                      <w:tab w:val="left" w:pos="6090"/>
                    </w:tabs>
                    <w:adjustRightInd w:val="0"/>
                    <w:snapToGrid w:val="0"/>
                    <w:jc w:val="center"/>
                    <w:rPr>
                      <w:color w:val="auto"/>
                      <w:szCs w:val="21"/>
                    </w:rPr>
                  </w:pPr>
                </w:p>
              </w:tc>
              <w:tc>
                <w:tcPr>
                  <w:tcW w:w="1297" w:type="dxa"/>
                  <w:tcBorders>
                    <w:tl2br w:val="nil"/>
                    <w:tr2bl w:val="nil"/>
                  </w:tcBorders>
                  <w:noWrap w:val="0"/>
                  <w:vAlign w:val="center"/>
                </w:tcPr>
                <w:p>
                  <w:pPr>
                    <w:tabs>
                      <w:tab w:val="left" w:pos="6090"/>
                    </w:tabs>
                    <w:adjustRightInd w:val="0"/>
                    <w:snapToGrid w:val="0"/>
                    <w:jc w:val="center"/>
                    <w:rPr>
                      <w:color w:val="auto"/>
                      <w:szCs w:val="21"/>
                    </w:rPr>
                  </w:pPr>
                  <w:r>
                    <w:rPr>
                      <w:rFonts w:hAnsi="宋体"/>
                      <w:color w:val="auto"/>
                      <w:szCs w:val="21"/>
                    </w:rPr>
                    <w:t>废水</w:t>
                  </w:r>
                </w:p>
              </w:tc>
              <w:tc>
                <w:tcPr>
                  <w:tcW w:w="5153" w:type="dxa"/>
                  <w:tcBorders>
                    <w:tl2br w:val="nil"/>
                    <w:tr2bl w:val="nil"/>
                  </w:tcBorders>
                  <w:noWrap w:val="0"/>
                  <w:vAlign w:val="center"/>
                </w:tcPr>
                <w:p>
                  <w:pPr>
                    <w:jc w:val="center"/>
                    <w:outlineLvl w:val="1"/>
                    <w:rPr>
                      <w:color w:val="auto"/>
                      <w:szCs w:val="21"/>
                    </w:rPr>
                  </w:pPr>
                  <w:r>
                    <w:rPr>
                      <w:rFonts w:hint="eastAsia"/>
                      <w:color w:val="auto"/>
                      <w:szCs w:val="21"/>
                    </w:rPr>
                    <w:t>项目施工期车轮</w:t>
                  </w:r>
                  <w:r>
                    <w:rPr>
                      <w:rFonts w:hint="eastAsia"/>
                      <w:color w:val="auto"/>
                      <w:szCs w:val="21"/>
                      <w:lang w:eastAsia="zh-CN"/>
                    </w:rPr>
                    <w:t>刷</w:t>
                  </w:r>
                  <w:r>
                    <w:rPr>
                      <w:rFonts w:hint="eastAsia"/>
                      <w:color w:val="auto"/>
                      <w:szCs w:val="21"/>
                    </w:rPr>
                    <w:t>洗废水</w:t>
                  </w:r>
                  <w:r>
                    <w:rPr>
                      <w:rFonts w:hint="eastAsia"/>
                      <w:color w:val="auto"/>
                      <w:szCs w:val="21"/>
                      <w:lang w:val="en-US" w:eastAsia="zh-CN"/>
                    </w:rPr>
                    <w:t>蒸发损耗不外排；</w:t>
                  </w:r>
                  <w:r>
                    <w:rPr>
                      <w:rFonts w:hint="eastAsia"/>
                      <w:color w:val="auto"/>
                      <w:szCs w:val="21"/>
                      <w:lang w:eastAsia="zh-CN"/>
                    </w:rPr>
                    <w:t>施工营地</w:t>
                  </w:r>
                  <w:r>
                    <w:rPr>
                      <w:rFonts w:hint="eastAsia"/>
                      <w:color w:val="auto"/>
                      <w:szCs w:val="21"/>
                    </w:rPr>
                    <w:t>设置环保旱厕，旱厕定期清掏外运</w:t>
                  </w:r>
                </w:p>
              </w:tc>
              <w:tc>
                <w:tcPr>
                  <w:tcW w:w="1274" w:type="dxa"/>
                  <w:tcBorders>
                    <w:tl2br w:val="nil"/>
                    <w:tr2bl w:val="nil"/>
                  </w:tcBorders>
                  <w:noWrap w:val="0"/>
                  <w:vAlign w:val="center"/>
                </w:tcPr>
                <w:p>
                  <w:pPr>
                    <w:tabs>
                      <w:tab w:val="left" w:pos="6090"/>
                    </w:tabs>
                    <w:adjustRightInd w:val="0"/>
                    <w:snapToGrid w:val="0"/>
                    <w:jc w:val="center"/>
                    <w:rPr>
                      <w:rFonts w:hint="eastAsia" w:eastAsia="宋体"/>
                      <w:color w:val="auto"/>
                      <w:szCs w:val="21"/>
                      <w:lang w:eastAsia="zh-CN"/>
                    </w:rPr>
                  </w:pPr>
                  <w:r>
                    <w:rPr>
                      <w:rFonts w:hint="eastAsia"/>
                      <w:color w:val="auto"/>
                      <w:szCs w:val="21"/>
                      <w:lang w:val="en-US" w:eastAsia="zh-CN"/>
                    </w:rPr>
                    <w:t>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87" w:type="dxa"/>
                  <w:vMerge w:val="continue"/>
                  <w:tcBorders>
                    <w:tl2br w:val="nil"/>
                    <w:tr2bl w:val="nil"/>
                  </w:tcBorders>
                  <w:noWrap w:val="0"/>
                  <w:vAlign w:val="center"/>
                </w:tcPr>
                <w:p>
                  <w:pPr>
                    <w:tabs>
                      <w:tab w:val="left" w:pos="6090"/>
                    </w:tabs>
                    <w:adjustRightInd w:val="0"/>
                    <w:snapToGrid w:val="0"/>
                    <w:jc w:val="center"/>
                    <w:rPr>
                      <w:color w:val="auto"/>
                      <w:szCs w:val="21"/>
                    </w:rPr>
                  </w:pPr>
                </w:p>
              </w:tc>
              <w:tc>
                <w:tcPr>
                  <w:tcW w:w="1297" w:type="dxa"/>
                  <w:tcBorders>
                    <w:tl2br w:val="nil"/>
                    <w:tr2bl w:val="nil"/>
                  </w:tcBorders>
                  <w:noWrap w:val="0"/>
                  <w:vAlign w:val="center"/>
                </w:tcPr>
                <w:p>
                  <w:pPr>
                    <w:tabs>
                      <w:tab w:val="left" w:pos="6090"/>
                    </w:tabs>
                    <w:adjustRightInd w:val="0"/>
                    <w:snapToGrid w:val="0"/>
                    <w:jc w:val="center"/>
                    <w:rPr>
                      <w:color w:val="auto"/>
                      <w:szCs w:val="21"/>
                    </w:rPr>
                  </w:pPr>
                  <w:r>
                    <w:rPr>
                      <w:rFonts w:hAnsi="宋体"/>
                      <w:color w:val="auto"/>
                      <w:szCs w:val="21"/>
                    </w:rPr>
                    <w:t>生态环境保护</w:t>
                  </w:r>
                </w:p>
              </w:tc>
              <w:tc>
                <w:tcPr>
                  <w:tcW w:w="5153" w:type="dxa"/>
                  <w:tcBorders>
                    <w:tl2br w:val="nil"/>
                    <w:tr2bl w:val="nil"/>
                  </w:tcBorders>
                  <w:noWrap w:val="0"/>
                  <w:vAlign w:val="center"/>
                </w:tcPr>
                <w:p>
                  <w:pPr>
                    <w:jc w:val="center"/>
                    <w:outlineLvl w:val="1"/>
                    <w:rPr>
                      <w:rFonts w:hint="eastAsia" w:eastAsia="宋体"/>
                      <w:color w:val="auto"/>
                      <w:szCs w:val="21"/>
                      <w:lang w:eastAsia="zh-CN"/>
                    </w:rPr>
                  </w:pPr>
                  <w:r>
                    <w:rPr>
                      <w:rFonts w:hint="eastAsia"/>
                      <w:color w:val="auto"/>
                      <w:szCs w:val="21"/>
                    </w:rPr>
                    <w:t>进一步优化工程选址选线占地；做好施工组织，划定施工活动范围，确保工程建设对陆生生态的影响降至最低。加强管理，降低对施工区域生态环境的扰动</w:t>
                  </w:r>
                  <w:r>
                    <w:rPr>
                      <w:rFonts w:hint="eastAsia"/>
                      <w:color w:val="auto"/>
                      <w:szCs w:val="21"/>
                      <w:lang w:eastAsia="zh-CN"/>
                    </w:rPr>
                    <w:t>。</w:t>
                  </w:r>
                  <w:r>
                    <w:rPr>
                      <w:rFonts w:hint="eastAsia" w:ascii="宋体" w:hAnsi="宋体" w:cs="宋体"/>
                      <w:bCs/>
                      <w:color w:val="auto"/>
                      <w:sz w:val="21"/>
                      <w:szCs w:val="21"/>
                    </w:rPr>
                    <w:t>施工结束后对</w:t>
                  </w:r>
                  <w:r>
                    <w:rPr>
                      <w:rFonts w:hint="eastAsia" w:ascii="宋体" w:hAnsi="宋体" w:cs="宋体"/>
                      <w:bCs/>
                      <w:color w:val="auto"/>
                      <w:sz w:val="21"/>
                      <w:szCs w:val="21"/>
                      <w:lang w:val="en-US" w:eastAsia="zh-CN"/>
                    </w:rPr>
                    <w:t>沟道两岸岸边及弃土场</w:t>
                  </w:r>
                  <w:r>
                    <w:rPr>
                      <w:rFonts w:hint="eastAsia" w:ascii="宋体" w:hAnsi="宋体" w:cs="宋体"/>
                      <w:bCs/>
                      <w:color w:val="auto"/>
                      <w:sz w:val="21"/>
                      <w:szCs w:val="21"/>
                    </w:rPr>
                    <w:t>播撒草籽</w:t>
                  </w:r>
                </w:p>
              </w:tc>
              <w:tc>
                <w:tcPr>
                  <w:tcW w:w="1274" w:type="dxa"/>
                  <w:tcBorders>
                    <w:tl2br w:val="nil"/>
                    <w:tr2bl w:val="nil"/>
                  </w:tcBorders>
                  <w:noWrap w:val="0"/>
                  <w:vAlign w:val="center"/>
                </w:tcPr>
                <w:p>
                  <w:pPr>
                    <w:tabs>
                      <w:tab w:val="left" w:pos="6090"/>
                    </w:tabs>
                    <w:adjustRightInd w:val="0"/>
                    <w:snapToGrid w:val="0"/>
                    <w:jc w:val="center"/>
                    <w:rPr>
                      <w:rFonts w:hint="default" w:eastAsia="宋体"/>
                      <w:color w:val="auto"/>
                      <w:szCs w:val="21"/>
                      <w:lang w:val="en-US" w:eastAsia="zh-CN"/>
                    </w:rPr>
                  </w:pPr>
                  <w:r>
                    <w:rPr>
                      <w:rFonts w:hint="eastAsia"/>
                      <w:color w:val="auto"/>
                      <w:szCs w:val="21"/>
                      <w:lang w:val="en-US" w:eastAsia="zh-CN"/>
                    </w:rPr>
                    <w:t>22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84" w:type="dxa"/>
                  <w:gridSpan w:val="2"/>
                  <w:tcBorders>
                    <w:tl2br w:val="nil"/>
                    <w:tr2bl w:val="nil"/>
                  </w:tcBorders>
                  <w:noWrap w:val="0"/>
                  <w:vAlign w:val="center"/>
                </w:tcPr>
                <w:p>
                  <w:pPr>
                    <w:tabs>
                      <w:tab w:val="left" w:pos="6090"/>
                    </w:tabs>
                    <w:adjustRightInd w:val="0"/>
                    <w:snapToGrid w:val="0"/>
                    <w:jc w:val="center"/>
                    <w:rPr>
                      <w:rFonts w:hAnsi="宋体"/>
                      <w:color w:val="auto"/>
                      <w:szCs w:val="21"/>
                    </w:rPr>
                  </w:pPr>
                  <w:r>
                    <w:rPr>
                      <w:rFonts w:hint="eastAsia" w:hAnsi="宋体"/>
                      <w:color w:val="auto"/>
                      <w:szCs w:val="21"/>
                    </w:rPr>
                    <w:t>水土保持</w:t>
                  </w:r>
                </w:p>
              </w:tc>
              <w:tc>
                <w:tcPr>
                  <w:tcW w:w="5153" w:type="dxa"/>
                  <w:tcBorders>
                    <w:tl2br w:val="nil"/>
                    <w:tr2bl w:val="nil"/>
                  </w:tcBorders>
                  <w:noWrap w:val="0"/>
                  <w:vAlign w:val="center"/>
                </w:tcPr>
                <w:p>
                  <w:pPr>
                    <w:jc w:val="center"/>
                    <w:outlineLvl w:val="1"/>
                    <w:rPr>
                      <w:rFonts w:hAnsi="宋体"/>
                      <w:color w:val="auto"/>
                      <w:szCs w:val="21"/>
                    </w:rPr>
                  </w:pPr>
                  <w:r>
                    <w:rPr>
                      <w:rFonts w:hint="eastAsia" w:hAnsi="宋体"/>
                      <w:color w:val="auto"/>
                      <w:szCs w:val="21"/>
                    </w:rPr>
                    <w:t>水土保持投资</w:t>
                  </w:r>
                </w:p>
              </w:tc>
              <w:tc>
                <w:tcPr>
                  <w:tcW w:w="1274" w:type="dxa"/>
                  <w:tcBorders>
                    <w:tl2br w:val="nil"/>
                    <w:tr2bl w:val="nil"/>
                  </w:tcBorders>
                  <w:noWrap w:val="0"/>
                  <w:vAlign w:val="center"/>
                </w:tcPr>
                <w:p>
                  <w:pPr>
                    <w:tabs>
                      <w:tab w:val="left" w:pos="6090"/>
                    </w:tabs>
                    <w:adjustRightInd w:val="0"/>
                    <w:snapToGrid w:val="0"/>
                    <w:jc w:val="center"/>
                    <w:rPr>
                      <w:rFonts w:hint="default"/>
                      <w:color w:val="auto"/>
                      <w:szCs w:val="21"/>
                      <w:lang w:val="en-US" w:eastAsia="zh-CN"/>
                    </w:rPr>
                  </w:pPr>
                  <w:r>
                    <w:rPr>
                      <w:rFonts w:hint="eastAsia"/>
                      <w:color w:val="auto"/>
                      <w:szCs w:val="21"/>
                      <w:lang w:val="en-US" w:eastAsia="zh-CN"/>
                    </w:rPr>
                    <w:t>19.31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937" w:type="dxa"/>
                  <w:gridSpan w:val="3"/>
                  <w:tcBorders>
                    <w:tl2br w:val="nil"/>
                    <w:tr2bl w:val="nil"/>
                  </w:tcBorders>
                  <w:noWrap w:val="0"/>
                  <w:vAlign w:val="center"/>
                </w:tcPr>
                <w:p>
                  <w:pPr>
                    <w:tabs>
                      <w:tab w:val="left" w:pos="6090"/>
                    </w:tabs>
                    <w:adjustRightInd w:val="0"/>
                    <w:snapToGrid w:val="0"/>
                    <w:jc w:val="center"/>
                    <w:rPr>
                      <w:color w:val="auto"/>
                      <w:szCs w:val="21"/>
                    </w:rPr>
                  </w:pPr>
                  <w:r>
                    <w:rPr>
                      <w:rFonts w:hAnsi="宋体"/>
                      <w:color w:val="auto"/>
                      <w:szCs w:val="21"/>
                    </w:rPr>
                    <w:t>合计</w:t>
                  </w:r>
                </w:p>
              </w:tc>
              <w:tc>
                <w:tcPr>
                  <w:tcW w:w="1274" w:type="dxa"/>
                  <w:tcBorders>
                    <w:tl2br w:val="nil"/>
                    <w:tr2bl w:val="nil"/>
                  </w:tcBorders>
                  <w:noWrap w:val="0"/>
                  <w:vAlign w:val="center"/>
                </w:tcPr>
                <w:p>
                  <w:pPr>
                    <w:tabs>
                      <w:tab w:val="left" w:pos="6090"/>
                    </w:tabs>
                    <w:adjustRightInd w:val="0"/>
                    <w:snapToGrid w:val="0"/>
                    <w:jc w:val="center"/>
                    <w:rPr>
                      <w:rFonts w:hint="default" w:eastAsia="宋体"/>
                      <w:color w:val="auto"/>
                      <w:szCs w:val="21"/>
                      <w:lang w:val="en-US" w:eastAsia="zh-CN"/>
                    </w:rPr>
                  </w:pPr>
                  <w:r>
                    <w:rPr>
                      <w:rFonts w:hint="eastAsia"/>
                      <w:color w:val="auto"/>
                      <w:szCs w:val="21"/>
                      <w:lang w:val="en-US" w:eastAsia="zh-CN"/>
                    </w:rPr>
                    <w:t>78.31</w:t>
                  </w:r>
                </w:p>
              </w:tc>
            </w:tr>
          </w:tbl>
          <w:p>
            <w:pPr>
              <w:pStyle w:val="6"/>
              <w:ind w:firstLine="0"/>
              <w:rPr>
                <w:rFonts w:hint="default" w:ascii="Times New Roman" w:hAnsi="Times New Roman" w:cs="Times New Roman"/>
                <w:bCs/>
                <w:color w:val="auto"/>
                <w:spacing w:val="10"/>
                <w:szCs w:val="21"/>
              </w:rPr>
            </w:pPr>
          </w:p>
        </w:tc>
      </w:tr>
    </w:tbl>
    <w:p>
      <w:pPr>
        <w:rPr>
          <w:rFonts w:hint="default" w:ascii="Times New Roman" w:hAnsi="Times New Roman" w:cs="Times New Roman"/>
          <w:color w:val="auto"/>
        </w:rPr>
        <w:sectPr>
          <w:pgSz w:w="11907" w:h="16840"/>
          <w:pgMar w:top="1440" w:right="1797" w:bottom="1440" w:left="1797" w:header="851" w:footer="1077" w:gutter="0"/>
          <w:pgBorders>
            <w:top w:val="none" w:sz="0" w:space="0"/>
            <w:left w:val="none" w:sz="0" w:space="0"/>
            <w:bottom w:val="none" w:sz="0" w:space="0"/>
            <w:right w:val="none" w:sz="0" w:space="0"/>
          </w:pgBorders>
          <w:cols w:space="720" w:num="1"/>
          <w:docGrid w:linePitch="312" w:charSpace="0"/>
        </w:sectPr>
      </w:pPr>
    </w:p>
    <w:p>
      <w:pPr>
        <w:pStyle w:val="20"/>
        <w:jc w:val="center"/>
        <w:outlineLvl w:val="0"/>
        <w:rPr>
          <w:rFonts w:hint="default" w:ascii="Times New Roman" w:hAnsi="Times New Roman" w:eastAsia="黑体" w:cs="Times New Roman"/>
          <w:snapToGrid w:val="0"/>
          <w:color w:val="auto"/>
          <w:sz w:val="30"/>
          <w:szCs w:val="30"/>
        </w:rPr>
      </w:pPr>
      <w:bookmarkStart w:id="18" w:name="_Toc27751"/>
      <w:r>
        <w:rPr>
          <w:rFonts w:hint="default" w:ascii="Times New Roman" w:hAnsi="Times New Roman" w:eastAsia="黑体" w:cs="Times New Roman"/>
          <w:snapToGrid w:val="0"/>
          <w:color w:val="auto"/>
          <w:sz w:val="30"/>
          <w:szCs w:val="30"/>
        </w:rPr>
        <w:t>六、生态环境保护措施监督检查清单</w:t>
      </w:r>
      <w:bookmarkEnd w:id="18"/>
    </w:p>
    <w:tbl>
      <w:tblPr>
        <w:tblStyle w:val="2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93"/>
        <w:gridCol w:w="2125"/>
        <w:gridCol w:w="1725"/>
        <w:gridCol w:w="1537"/>
        <w:gridCol w:w="11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Merge w:val="restart"/>
            <w:tcBorders>
              <w:tl2br w:val="single" w:color="auto" w:sz="4" w:space="0"/>
            </w:tcBorders>
          </w:tcPr>
          <w:p>
            <w:pPr>
              <w:pStyle w:val="20"/>
              <w:adjustRightInd w:val="0"/>
              <w:snapToGrid w:val="0"/>
              <w:spacing w:before="72" w:beforeLines="30" w:beforeAutospacing="0" w:after="0" w:afterAutospacing="0"/>
              <w:jc w:val="center"/>
              <w:rPr>
                <w:rFonts w:hint="default" w:ascii="Times New Roman" w:hAnsi="Times New Roman" w:cs="Times New Roman"/>
                <w:b/>
                <w:bCs/>
                <w:color w:val="auto"/>
                <w:kern w:val="2"/>
                <w:sz w:val="21"/>
                <w:szCs w:val="21"/>
              </w:rPr>
            </w:pPr>
          </w:p>
          <w:p>
            <w:pPr>
              <w:pStyle w:val="20"/>
              <w:adjustRightInd w:val="0"/>
              <w:snapToGrid w:val="0"/>
              <w:spacing w:before="72" w:beforeLines="30" w:beforeAutospacing="0" w:after="0" w:afterAutospacing="0"/>
              <w:jc w:val="center"/>
              <w:outlineLvl w:val="0"/>
              <w:rPr>
                <w:rFonts w:hint="default" w:ascii="Times New Roman" w:hAnsi="Times New Roman" w:cs="Times New Roman"/>
                <w:b/>
                <w:bCs/>
                <w:color w:val="auto"/>
                <w:kern w:val="2"/>
                <w:sz w:val="21"/>
                <w:szCs w:val="21"/>
              </w:rPr>
            </w:pPr>
            <w:bookmarkStart w:id="19" w:name="_Toc6897"/>
            <w:r>
              <w:rPr>
                <w:rFonts w:hint="default" w:ascii="Times New Roman" w:hAnsi="Times New Roman" w:cs="Times New Roman"/>
                <w:b/>
                <w:bCs/>
                <w:color w:val="auto"/>
                <w:kern w:val="2"/>
                <w:sz w:val="21"/>
                <w:szCs w:val="21"/>
              </w:rPr>
              <w:t>内容</w:t>
            </w:r>
            <w:bookmarkEnd w:id="19"/>
          </w:p>
          <w:p>
            <w:pPr>
              <w:pStyle w:val="20"/>
              <w:adjustRightInd w:val="0"/>
              <w:snapToGrid w:val="0"/>
              <w:spacing w:before="0" w:beforeAutospacing="0" w:after="0" w:afterAutospacing="0" w:line="14" w:lineRule="auto"/>
              <w:rPr>
                <w:rFonts w:hint="default" w:ascii="Times New Roman" w:hAnsi="Times New Roman" w:cs="Times New Roman"/>
                <w:b/>
                <w:bCs/>
                <w:color w:val="auto"/>
                <w:kern w:val="2"/>
                <w:sz w:val="135"/>
                <w:szCs w:val="21"/>
              </w:rPr>
            </w:pPr>
          </w:p>
          <w:p>
            <w:pPr>
              <w:pStyle w:val="20"/>
              <w:adjustRightInd w:val="0"/>
              <w:snapToGrid w:val="0"/>
              <w:spacing w:before="0" w:beforeAutospacing="0" w:after="0" w:afterAutospacing="0"/>
              <w:outlineLvl w:val="0"/>
              <w:rPr>
                <w:rFonts w:hint="default" w:ascii="Times New Roman" w:hAnsi="Times New Roman" w:cs="Times New Roman"/>
                <w:b/>
                <w:bCs/>
                <w:color w:val="auto"/>
                <w:kern w:val="2"/>
                <w:sz w:val="21"/>
                <w:szCs w:val="21"/>
              </w:rPr>
            </w:pPr>
            <w:bookmarkStart w:id="20" w:name="_Toc27779"/>
            <w:r>
              <w:rPr>
                <w:rFonts w:hint="default" w:ascii="Times New Roman" w:hAnsi="Times New Roman" w:cs="Times New Roman"/>
                <w:b/>
                <w:bCs/>
                <w:color w:val="auto"/>
                <w:kern w:val="2"/>
                <w:sz w:val="21"/>
                <w:szCs w:val="21"/>
              </w:rPr>
              <w:t>要素</w:t>
            </w:r>
            <w:bookmarkEnd w:id="20"/>
          </w:p>
        </w:tc>
        <w:tc>
          <w:tcPr>
            <w:tcW w:w="2258" w:type="pct"/>
            <w:gridSpan w:val="2"/>
            <w:vAlign w:val="center"/>
          </w:tcPr>
          <w:p>
            <w:pPr>
              <w:pStyle w:val="20"/>
              <w:adjustRightInd w:val="0"/>
              <w:snapToGrid w:val="0"/>
              <w:spacing w:before="0" w:beforeAutospacing="0" w:after="0" w:afterAutospacing="0"/>
              <w:jc w:val="center"/>
              <w:outlineLvl w:val="0"/>
              <w:rPr>
                <w:rFonts w:hint="default" w:ascii="Times New Roman" w:hAnsi="Times New Roman" w:cs="Times New Roman"/>
                <w:b/>
                <w:bCs/>
                <w:color w:val="auto"/>
                <w:kern w:val="2"/>
                <w:sz w:val="21"/>
                <w:szCs w:val="21"/>
              </w:rPr>
            </w:pPr>
            <w:bookmarkStart w:id="21" w:name="_Toc20327"/>
            <w:r>
              <w:rPr>
                <w:rFonts w:hint="default" w:ascii="Times New Roman" w:hAnsi="Times New Roman" w:cs="Times New Roman"/>
                <w:b/>
                <w:bCs/>
                <w:color w:val="auto"/>
                <w:kern w:val="2"/>
                <w:sz w:val="21"/>
                <w:szCs w:val="21"/>
              </w:rPr>
              <w:t>施工期</w:t>
            </w:r>
            <w:bookmarkEnd w:id="21"/>
          </w:p>
        </w:tc>
        <w:tc>
          <w:tcPr>
            <w:tcW w:w="1571" w:type="pct"/>
            <w:gridSpan w:val="2"/>
            <w:vAlign w:val="center"/>
          </w:tcPr>
          <w:p>
            <w:pPr>
              <w:pStyle w:val="20"/>
              <w:adjustRightInd w:val="0"/>
              <w:snapToGrid w:val="0"/>
              <w:spacing w:before="0" w:beforeAutospacing="0" w:after="0" w:afterAutospacing="0"/>
              <w:jc w:val="center"/>
              <w:outlineLvl w:val="0"/>
              <w:rPr>
                <w:rFonts w:hint="default" w:ascii="Times New Roman" w:hAnsi="Times New Roman" w:cs="Times New Roman"/>
                <w:b/>
                <w:bCs/>
                <w:color w:val="auto"/>
                <w:kern w:val="2"/>
                <w:sz w:val="21"/>
                <w:szCs w:val="21"/>
              </w:rPr>
            </w:pPr>
            <w:bookmarkStart w:id="22" w:name="_Toc4702"/>
            <w:r>
              <w:rPr>
                <w:rFonts w:hint="default" w:ascii="Times New Roman" w:hAnsi="Times New Roman" w:cs="Times New Roman"/>
                <w:b/>
                <w:bCs/>
                <w:color w:val="auto"/>
                <w:kern w:val="2"/>
                <w:sz w:val="21"/>
                <w:szCs w:val="21"/>
              </w:rPr>
              <w:t>运营期</w:t>
            </w:r>
            <w:bookmarkEnd w:id="2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Merge w:val="continue"/>
          </w:tcPr>
          <w:p>
            <w:pPr>
              <w:pStyle w:val="20"/>
              <w:adjustRightInd w:val="0"/>
              <w:snapToGrid w:val="0"/>
              <w:spacing w:before="0" w:beforeAutospacing="0" w:after="0" w:afterAutospacing="0"/>
              <w:ind w:firstLine="840"/>
              <w:jc w:val="center"/>
              <w:rPr>
                <w:rFonts w:hint="default" w:ascii="Times New Roman" w:hAnsi="Times New Roman" w:eastAsia="黑体" w:cs="Times New Roman"/>
                <w:b/>
                <w:bCs/>
                <w:color w:val="auto"/>
                <w:kern w:val="2"/>
                <w:sz w:val="21"/>
                <w:szCs w:val="21"/>
              </w:rPr>
            </w:pPr>
          </w:p>
        </w:tc>
        <w:tc>
          <w:tcPr>
            <w:tcW w:w="1246" w:type="pct"/>
            <w:vAlign w:val="center"/>
          </w:tcPr>
          <w:p>
            <w:pPr>
              <w:pStyle w:val="20"/>
              <w:adjustRightInd w:val="0"/>
              <w:snapToGrid w:val="0"/>
              <w:spacing w:before="0" w:beforeAutospacing="0" w:after="0" w:afterAutospacing="0"/>
              <w:jc w:val="center"/>
              <w:outlineLvl w:val="0"/>
              <w:rPr>
                <w:rFonts w:hint="default" w:ascii="Times New Roman" w:hAnsi="Times New Roman" w:cs="Times New Roman"/>
                <w:b/>
                <w:bCs/>
                <w:color w:val="auto"/>
                <w:kern w:val="2"/>
                <w:sz w:val="21"/>
                <w:szCs w:val="21"/>
              </w:rPr>
            </w:pPr>
            <w:bookmarkStart w:id="23" w:name="_Toc28482"/>
            <w:r>
              <w:rPr>
                <w:rFonts w:hint="default" w:ascii="Times New Roman" w:hAnsi="Times New Roman" w:cs="Times New Roman"/>
                <w:b/>
                <w:bCs/>
                <w:color w:val="auto"/>
                <w:kern w:val="2"/>
                <w:sz w:val="21"/>
                <w:szCs w:val="21"/>
              </w:rPr>
              <w:t>环境保护措施</w:t>
            </w:r>
            <w:bookmarkEnd w:id="23"/>
          </w:p>
        </w:tc>
        <w:tc>
          <w:tcPr>
            <w:tcW w:w="1012" w:type="pct"/>
            <w:vAlign w:val="center"/>
          </w:tcPr>
          <w:p>
            <w:pPr>
              <w:pStyle w:val="20"/>
              <w:adjustRightInd w:val="0"/>
              <w:snapToGrid w:val="0"/>
              <w:spacing w:before="0" w:beforeAutospacing="0" w:after="0" w:afterAutospacing="0"/>
              <w:jc w:val="center"/>
              <w:outlineLvl w:val="0"/>
              <w:rPr>
                <w:rFonts w:hint="default" w:ascii="Times New Roman" w:hAnsi="Times New Roman" w:cs="Times New Roman"/>
                <w:b/>
                <w:bCs/>
                <w:color w:val="auto"/>
                <w:kern w:val="2"/>
                <w:sz w:val="21"/>
                <w:szCs w:val="21"/>
              </w:rPr>
            </w:pPr>
            <w:bookmarkStart w:id="24" w:name="_Toc27949"/>
            <w:r>
              <w:rPr>
                <w:rFonts w:hint="default" w:ascii="Times New Roman" w:hAnsi="Times New Roman" w:cs="Times New Roman"/>
                <w:b/>
                <w:bCs/>
                <w:color w:val="auto"/>
                <w:kern w:val="2"/>
                <w:sz w:val="21"/>
                <w:szCs w:val="21"/>
              </w:rPr>
              <w:t>验收要求</w:t>
            </w:r>
            <w:bookmarkEnd w:id="24"/>
          </w:p>
        </w:tc>
        <w:tc>
          <w:tcPr>
            <w:tcW w:w="901" w:type="pct"/>
            <w:vAlign w:val="center"/>
          </w:tcPr>
          <w:p>
            <w:pPr>
              <w:pStyle w:val="20"/>
              <w:adjustRightInd w:val="0"/>
              <w:snapToGrid w:val="0"/>
              <w:spacing w:before="0" w:beforeAutospacing="0" w:after="0" w:afterAutospacing="0"/>
              <w:jc w:val="center"/>
              <w:outlineLvl w:val="0"/>
              <w:rPr>
                <w:rFonts w:hint="default" w:ascii="Times New Roman" w:hAnsi="Times New Roman" w:cs="Times New Roman"/>
                <w:b/>
                <w:bCs/>
                <w:color w:val="auto"/>
                <w:kern w:val="2"/>
                <w:sz w:val="21"/>
                <w:szCs w:val="21"/>
              </w:rPr>
            </w:pPr>
            <w:bookmarkStart w:id="25" w:name="_Toc25563"/>
            <w:r>
              <w:rPr>
                <w:rFonts w:hint="default" w:ascii="Times New Roman" w:hAnsi="Times New Roman" w:cs="Times New Roman"/>
                <w:b/>
                <w:bCs/>
                <w:color w:val="auto"/>
                <w:kern w:val="2"/>
                <w:sz w:val="21"/>
                <w:szCs w:val="21"/>
              </w:rPr>
              <w:t>环境保护措施</w:t>
            </w:r>
            <w:bookmarkEnd w:id="25"/>
          </w:p>
        </w:tc>
        <w:tc>
          <w:tcPr>
            <w:tcW w:w="670" w:type="pct"/>
            <w:vAlign w:val="center"/>
          </w:tcPr>
          <w:p>
            <w:pPr>
              <w:pStyle w:val="20"/>
              <w:adjustRightInd w:val="0"/>
              <w:snapToGrid w:val="0"/>
              <w:spacing w:before="0" w:beforeAutospacing="0" w:after="0" w:afterAutospacing="0"/>
              <w:jc w:val="center"/>
              <w:outlineLvl w:val="0"/>
              <w:rPr>
                <w:rFonts w:hint="default" w:ascii="Times New Roman" w:hAnsi="Times New Roman" w:cs="Times New Roman"/>
                <w:b/>
                <w:bCs/>
                <w:color w:val="auto"/>
                <w:kern w:val="2"/>
                <w:sz w:val="21"/>
                <w:szCs w:val="21"/>
              </w:rPr>
            </w:pPr>
            <w:bookmarkStart w:id="26" w:name="_Toc25588"/>
            <w:r>
              <w:rPr>
                <w:rFonts w:hint="default" w:ascii="Times New Roman" w:hAnsi="Times New Roman" w:cs="Times New Roman"/>
                <w:b/>
                <w:bCs/>
                <w:color w:val="auto"/>
                <w:kern w:val="2"/>
                <w:sz w:val="21"/>
                <w:szCs w:val="21"/>
              </w:rPr>
              <w:t>验收要求</w:t>
            </w:r>
            <w:bookmarkEnd w:id="2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陆生生态</w:t>
            </w:r>
          </w:p>
        </w:tc>
        <w:tc>
          <w:tcPr>
            <w:tcW w:w="1246" w:type="pct"/>
            <w:vAlign w:val="center"/>
          </w:tcPr>
          <w:p>
            <w:pPr>
              <w:adjustRightInd w:val="0"/>
              <w:snapToGrid w:val="0"/>
              <w:jc w:val="center"/>
              <w:rPr>
                <w:rFonts w:hint="default" w:ascii="Times New Roman" w:hAnsi="Times New Roman" w:cs="Times New Roman"/>
                <w:color w:val="auto"/>
                <w:szCs w:val="21"/>
              </w:rPr>
            </w:pPr>
            <w:r>
              <w:rPr>
                <w:rFonts w:hint="eastAsia"/>
                <w:color w:val="auto"/>
                <w:sz w:val="21"/>
                <w:szCs w:val="21"/>
              </w:rPr>
              <w:t>进一步优化工程选址选线占地；做好施工组织，划定施工活动范围，确保工程建设对陆生生态的影响降至最低。施工完成以后，</w:t>
            </w:r>
            <w:r>
              <w:rPr>
                <w:rFonts w:hint="eastAsia" w:ascii="宋体" w:hAnsi="宋体" w:cs="宋体"/>
                <w:bCs/>
                <w:color w:val="auto"/>
                <w:sz w:val="21"/>
                <w:szCs w:val="21"/>
              </w:rPr>
              <w:t>施工结束后对</w:t>
            </w:r>
            <w:r>
              <w:rPr>
                <w:rFonts w:hint="eastAsia" w:ascii="宋体" w:hAnsi="宋体" w:cs="宋体"/>
                <w:bCs/>
                <w:color w:val="auto"/>
                <w:sz w:val="21"/>
                <w:szCs w:val="21"/>
                <w:lang w:val="en-US" w:eastAsia="zh-CN"/>
              </w:rPr>
              <w:t>沟道两岸岸边</w:t>
            </w:r>
            <w:r>
              <w:rPr>
                <w:rFonts w:hint="eastAsia" w:ascii="宋体" w:hAnsi="宋体" w:cs="宋体"/>
                <w:bCs/>
                <w:color w:val="auto"/>
                <w:sz w:val="21"/>
                <w:szCs w:val="21"/>
              </w:rPr>
              <w:t>播撒草籽</w:t>
            </w:r>
            <w:r>
              <w:rPr>
                <w:rFonts w:hint="eastAsia"/>
                <w:color w:val="auto"/>
                <w:sz w:val="21"/>
                <w:szCs w:val="21"/>
              </w:rPr>
              <w:t>。加强管理，降低对敏感区生态环境的扰动。合理规划施工</w:t>
            </w:r>
          </w:p>
        </w:tc>
        <w:tc>
          <w:tcPr>
            <w:tcW w:w="1012" w:type="pct"/>
            <w:vAlign w:val="center"/>
          </w:tcPr>
          <w:p>
            <w:pPr>
              <w:adjustRightInd w:val="0"/>
              <w:snapToGrid w:val="0"/>
              <w:jc w:val="center"/>
              <w:rPr>
                <w:rFonts w:hint="default" w:ascii="Times New Roman" w:hAnsi="Times New Roman" w:cs="Times New Roman"/>
                <w:color w:val="auto"/>
                <w:szCs w:val="21"/>
              </w:rPr>
            </w:pPr>
            <w:r>
              <w:rPr>
                <w:color w:val="auto"/>
                <w:szCs w:val="21"/>
              </w:rPr>
              <w:t>对周围环境影响可接受</w:t>
            </w:r>
          </w:p>
        </w:tc>
        <w:tc>
          <w:tcPr>
            <w:tcW w:w="901"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工程完工后的第一年春季调查一次，其后一年一次，连续</w:t>
            </w:r>
            <w:r>
              <w:rPr>
                <w:rFonts w:hint="default" w:ascii="Times New Roman" w:hAnsi="Times New Roman" w:cs="Times New Roman"/>
                <w:color w:val="auto"/>
                <w:szCs w:val="21"/>
                <w:lang w:val="en-US" w:eastAsia="zh-CN"/>
              </w:rPr>
              <w:t>3-5</w:t>
            </w:r>
            <w:r>
              <w:rPr>
                <w:rFonts w:hint="default" w:ascii="Times New Roman" w:hAnsi="Times New Roman" w:cs="Times New Roman"/>
                <w:color w:val="auto"/>
                <w:szCs w:val="21"/>
              </w:rPr>
              <w:t>年。</w:t>
            </w:r>
          </w:p>
        </w:tc>
        <w:tc>
          <w:tcPr>
            <w:tcW w:w="670" w:type="pct"/>
            <w:vAlign w:val="center"/>
          </w:tcPr>
          <w:p>
            <w:pPr>
              <w:adjustRightInd w:val="0"/>
              <w:snapToGrid w:val="0"/>
              <w:jc w:val="center"/>
              <w:rPr>
                <w:rFonts w:hint="eastAsia" w:ascii="Times New Roman" w:hAnsi="Times New Roman" w:eastAsia="宋体" w:cs="Times New Roman"/>
                <w:color w:val="auto"/>
                <w:szCs w:val="21"/>
                <w:lang w:eastAsia="zh-CN"/>
              </w:rPr>
            </w:pPr>
            <w:r>
              <w:rPr>
                <w:rFonts w:hint="eastAsia" w:cs="Times New Roman"/>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水生生态</w:t>
            </w:r>
          </w:p>
        </w:tc>
        <w:tc>
          <w:tcPr>
            <w:tcW w:w="1246" w:type="pct"/>
            <w:vAlign w:val="center"/>
          </w:tcPr>
          <w:p>
            <w:pPr>
              <w:adjustRightInd w:val="0"/>
              <w:snapToGrid w:val="0"/>
              <w:jc w:val="center"/>
              <w:rPr>
                <w:rFonts w:hint="default" w:ascii="Times New Roman" w:hAnsi="Times New Roman" w:cs="Times New Roman"/>
                <w:color w:val="auto"/>
                <w:szCs w:val="21"/>
              </w:rPr>
            </w:pPr>
            <w:r>
              <w:rPr>
                <w:rFonts w:hint="eastAsia"/>
                <w:color w:val="auto"/>
                <w:sz w:val="21"/>
                <w:szCs w:val="21"/>
                <w:lang w:eastAsia="zh-CN"/>
              </w:rPr>
              <w:t>折腰</w:t>
            </w:r>
            <w:r>
              <w:rPr>
                <w:rFonts w:hint="eastAsia"/>
                <w:color w:val="auto"/>
                <w:sz w:val="21"/>
                <w:szCs w:val="21"/>
              </w:rPr>
              <w:t>沟施工期，沟道干涸，项目施工对水生生态基本无影响</w:t>
            </w:r>
          </w:p>
        </w:tc>
        <w:tc>
          <w:tcPr>
            <w:tcW w:w="1012"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901"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670"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地表水环境</w:t>
            </w:r>
          </w:p>
        </w:tc>
        <w:tc>
          <w:tcPr>
            <w:tcW w:w="1246" w:type="pct"/>
            <w:vAlign w:val="center"/>
          </w:tcPr>
          <w:p>
            <w:pPr>
              <w:adjustRightInd w:val="0"/>
              <w:snapToGrid w:val="0"/>
              <w:spacing w:line="240" w:lineRule="atLeast"/>
              <w:jc w:val="center"/>
              <w:rPr>
                <w:rFonts w:hint="default" w:ascii="Times New Roman" w:hAnsi="Times New Roman" w:cs="Times New Roman"/>
                <w:color w:val="auto"/>
                <w:szCs w:val="21"/>
              </w:rPr>
            </w:pPr>
            <w:r>
              <w:rPr>
                <w:rFonts w:hint="eastAsia"/>
                <w:color w:val="auto"/>
                <w:szCs w:val="21"/>
              </w:rPr>
              <w:t>项目施工期车轮</w:t>
            </w:r>
            <w:r>
              <w:rPr>
                <w:rFonts w:hint="eastAsia"/>
                <w:color w:val="auto"/>
                <w:szCs w:val="21"/>
                <w:lang w:eastAsia="zh-CN"/>
              </w:rPr>
              <w:t>刷</w:t>
            </w:r>
            <w:r>
              <w:rPr>
                <w:rFonts w:hint="eastAsia"/>
                <w:color w:val="auto"/>
                <w:szCs w:val="21"/>
              </w:rPr>
              <w:t>洗废水</w:t>
            </w:r>
            <w:r>
              <w:rPr>
                <w:rFonts w:hint="eastAsia"/>
                <w:color w:val="auto"/>
                <w:szCs w:val="21"/>
                <w:lang w:val="en-US" w:eastAsia="zh-CN"/>
              </w:rPr>
              <w:t>蒸发损耗不外排；</w:t>
            </w:r>
            <w:r>
              <w:rPr>
                <w:rFonts w:hint="eastAsia"/>
                <w:color w:val="auto"/>
                <w:szCs w:val="21"/>
                <w:lang w:eastAsia="zh-CN"/>
              </w:rPr>
              <w:t>施工营地</w:t>
            </w:r>
            <w:r>
              <w:rPr>
                <w:rFonts w:hint="eastAsia"/>
                <w:color w:val="auto"/>
                <w:szCs w:val="21"/>
              </w:rPr>
              <w:t>设置环保旱厕，旱厕定期清掏外运</w:t>
            </w:r>
          </w:p>
        </w:tc>
        <w:tc>
          <w:tcPr>
            <w:tcW w:w="1012" w:type="pct"/>
            <w:vAlign w:val="center"/>
          </w:tcPr>
          <w:p>
            <w:pPr>
              <w:adjustRightInd w:val="0"/>
              <w:snapToGrid w:val="0"/>
              <w:jc w:val="center"/>
              <w:rPr>
                <w:rFonts w:hint="default" w:ascii="Times New Roman" w:hAnsi="Times New Roman" w:cs="Times New Roman"/>
                <w:color w:val="auto"/>
                <w:szCs w:val="21"/>
              </w:rPr>
            </w:pPr>
            <w:r>
              <w:rPr>
                <w:color w:val="auto"/>
                <w:szCs w:val="21"/>
              </w:rPr>
              <w:t>对周围环境影响可接受</w:t>
            </w:r>
          </w:p>
        </w:tc>
        <w:tc>
          <w:tcPr>
            <w:tcW w:w="901"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670"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地下水及土壤环境</w:t>
            </w:r>
          </w:p>
        </w:tc>
        <w:tc>
          <w:tcPr>
            <w:tcW w:w="1246"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012" w:type="pct"/>
            <w:vAlign w:val="center"/>
          </w:tcPr>
          <w:p>
            <w:pPr>
              <w:adjustRightInd w:val="0"/>
              <w:snapToGrid w:val="0"/>
              <w:jc w:val="center"/>
              <w:rPr>
                <w:rFonts w:hint="eastAsia" w:ascii="Times New Roman" w:hAnsi="Times New Roman" w:eastAsia="宋体" w:cs="Times New Roman"/>
                <w:color w:val="auto"/>
                <w:szCs w:val="21"/>
                <w:lang w:eastAsia="zh-CN"/>
              </w:rPr>
            </w:pPr>
            <w:r>
              <w:rPr>
                <w:rFonts w:hint="eastAsia" w:cs="Times New Roman"/>
                <w:color w:val="auto"/>
                <w:sz w:val="21"/>
                <w:szCs w:val="21"/>
                <w:lang w:val="en-US" w:eastAsia="zh-CN"/>
              </w:rPr>
              <w:t>/</w:t>
            </w:r>
          </w:p>
        </w:tc>
        <w:tc>
          <w:tcPr>
            <w:tcW w:w="901"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670" w:type="pct"/>
            <w:vAlign w:val="center"/>
          </w:tcPr>
          <w:p>
            <w:pPr>
              <w:adjustRightInd w:val="0"/>
              <w:snapToGrid w:val="0"/>
              <w:jc w:val="center"/>
              <w:rPr>
                <w:rFonts w:hint="eastAsia" w:ascii="Times New Roman" w:hAnsi="Times New Roman" w:eastAsia="宋体" w:cs="Times New Roman"/>
                <w:color w:val="auto"/>
                <w:szCs w:val="21"/>
                <w:lang w:eastAsia="zh-CN"/>
              </w:rPr>
            </w:pPr>
            <w:r>
              <w:rPr>
                <w:rFonts w:hint="eastAsia" w:cs="Times New Roman"/>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声环境</w:t>
            </w:r>
          </w:p>
        </w:tc>
        <w:tc>
          <w:tcPr>
            <w:tcW w:w="1246" w:type="pct"/>
            <w:vAlign w:val="center"/>
          </w:tcPr>
          <w:p>
            <w:pPr>
              <w:adjustRightInd w:val="0"/>
              <w:snapToGrid w:val="0"/>
              <w:jc w:val="center"/>
              <w:rPr>
                <w:rFonts w:hint="default" w:ascii="Times New Roman" w:hAnsi="Times New Roman" w:cs="Times New Roman"/>
                <w:color w:val="auto"/>
                <w:szCs w:val="21"/>
              </w:rPr>
            </w:pPr>
            <w:r>
              <w:rPr>
                <w:rFonts w:hAnsi="宋体"/>
                <w:color w:val="auto"/>
                <w:szCs w:val="21"/>
              </w:rPr>
              <w:t>项目施工期噪声主要为施工机械作业时产生的噪声，选择低</w:t>
            </w:r>
            <w:r>
              <w:rPr>
                <w:rFonts w:hint="eastAsia" w:hAnsi="宋体"/>
                <w:color w:val="auto"/>
                <w:szCs w:val="21"/>
                <w:lang w:eastAsia="zh-CN"/>
              </w:rPr>
              <w:t>噪声</w:t>
            </w:r>
            <w:r>
              <w:rPr>
                <w:rFonts w:hAnsi="宋体"/>
                <w:color w:val="auto"/>
                <w:szCs w:val="21"/>
              </w:rPr>
              <w:t>设备，施工场地设置围挡；优化施工方案，尽量缩短施工周期；对车辆噪声采取严格控制运输时间和运输路线，禁止鸣笛；禁止夜间施工</w:t>
            </w:r>
          </w:p>
        </w:tc>
        <w:tc>
          <w:tcPr>
            <w:tcW w:w="1012" w:type="pct"/>
            <w:vAlign w:val="center"/>
          </w:tcPr>
          <w:p>
            <w:pPr>
              <w:adjustRightInd w:val="0"/>
              <w:snapToGrid w:val="0"/>
              <w:jc w:val="center"/>
              <w:rPr>
                <w:rFonts w:hint="default" w:ascii="Times New Roman" w:hAnsi="Times New Roman" w:cs="Times New Roman"/>
                <w:color w:val="auto"/>
                <w:szCs w:val="21"/>
              </w:rPr>
            </w:pPr>
            <w:r>
              <w:rPr>
                <w:color w:val="auto"/>
                <w:szCs w:val="21"/>
              </w:rPr>
              <w:t>《建筑施工</w:t>
            </w:r>
            <w:r>
              <w:rPr>
                <w:rFonts w:hint="eastAsia"/>
                <w:color w:val="auto"/>
                <w:szCs w:val="21"/>
                <w:lang w:val="en-US" w:eastAsia="zh-CN"/>
              </w:rPr>
              <w:t>场界</w:t>
            </w:r>
            <w:r>
              <w:rPr>
                <w:color w:val="auto"/>
                <w:szCs w:val="21"/>
              </w:rPr>
              <w:t>环境噪声排放标准》</w:t>
            </w:r>
            <w:r>
              <w:rPr>
                <w:rFonts w:hint="eastAsia"/>
                <w:color w:val="auto"/>
                <w:szCs w:val="21"/>
                <w:lang w:eastAsia="zh-CN"/>
              </w:rPr>
              <w:t>（</w:t>
            </w:r>
            <w:r>
              <w:rPr>
                <w:color w:val="auto"/>
                <w:szCs w:val="21"/>
              </w:rPr>
              <w:t>GB12523-2011</w:t>
            </w:r>
            <w:r>
              <w:rPr>
                <w:rFonts w:hint="eastAsia"/>
                <w:color w:val="auto"/>
                <w:szCs w:val="21"/>
                <w:lang w:eastAsia="zh-CN"/>
              </w:rPr>
              <w:t>）</w:t>
            </w:r>
            <w:r>
              <w:rPr>
                <w:color w:val="auto"/>
                <w:szCs w:val="21"/>
              </w:rPr>
              <w:t>表1中限值</w:t>
            </w:r>
          </w:p>
        </w:tc>
        <w:tc>
          <w:tcPr>
            <w:tcW w:w="901"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670" w:type="pct"/>
            <w:vAlign w:val="center"/>
          </w:tcPr>
          <w:p>
            <w:pPr>
              <w:adjustRightInd w:val="0"/>
              <w:snapToGrid w:val="0"/>
              <w:jc w:val="center"/>
              <w:rPr>
                <w:rFonts w:hint="eastAsia" w:ascii="Times New Roman" w:hAnsi="Times New Roman" w:eastAsia="宋体" w:cs="Times New Roman"/>
                <w:color w:val="auto"/>
                <w:szCs w:val="21"/>
                <w:lang w:eastAsia="zh-CN"/>
              </w:rPr>
            </w:pPr>
            <w:r>
              <w:rPr>
                <w:rFonts w:hint="eastAsia" w:cs="Times New Roman"/>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振动</w:t>
            </w:r>
          </w:p>
        </w:tc>
        <w:tc>
          <w:tcPr>
            <w:tcW w:w="1246"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012"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901"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670" w:type="pct"/>
            <w:vAlign w:val="center"/>
          </w:tcPr>
          <w:p>
            <w:pPr>
              <w:adjustRightInd w:val="0"/>
              <w:snapToGrid w:val="0"/>
              <w:jc w:val="center"/>
              <w:rPr>
                <w:rFonts w:hint="default" w:ascii="Times New Roman" w:hAnsi="Times New Roman" w:cs="Times New Roman"/>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大气环境</w:t>
            </w:r>
          </w:p>
        </w:tc>
        <w:tc>
          <w:tcPr>
            <w:tcW w:w="1246" w:type="pct"/>
            <w:vAlign w:val="center"/>
          </w:tcPr>
          <w:p>
            <w:pPr>
              <w:adjustRightInd w:val="0"/>
              <w:snapToGrid w:val="0"/>
              <w:jc w:val="center"/>
              <w:rPr>
                <w:rFonts w:hint="default" w:ascii="Times New Roman" w:hAnsi="Times New Roman" w:cs="Times New Roman"/>
                <w:color w:val="auto"/>
                <w:szCs w:val="21"/>
              </w:rPr>
            </w:pPr>
            <w:r>
              <w:rPr>
                <w:rFonts w:hint="eastAsia"/>
                <w:color w:val="auto"/>
                <w:szCs w:val="21"/>
              </w:rPr>
              <w:t>施工场地全面落实</w:t>
            </w:r>
            <w:r>
              <w:rPr>
                <w:rFonts w:hAnsi="宋体"/>
                <w:color w:val="auto"/>
                <w:szCs w:val="21"/>
              </w:rPr>
              <w:t>六个</w:t>
            </w:r>
            <w:r>
              <w:rPr>
                <w:rFonts w:hint="eastAsia"/>
                <w:color w:val="auto"/>
                <w:szCs w:val="21"/>
              </w:rPr>
              <w:t>标准化</w:t>
            </w:r>
            <w:r>
              <w:rPr>
                <w:rFonts w:hAnsi="宋体"/>
                <w:color w:val="auto"/>
                <w:szCs w:val="21"/>
              </w:rPr>
              <w:t>的扬尘控制措施，</w:t>
            </w:r>
            <w:r>
              <w:rPr>
                <w:rFonts w:hint="eastAsia" w:ascii="宋体" w:hAnsi="宋体"/>
                <w:color w:val="auto"/>
                <w:szCs w:val="21"/>
              </w:rPr>
              <w:t>施工工地周边围挡标准化、出入车辆冲洗标准化、施工现场地面硬化标准化、物料堆放覆盖标准化、渣土车辆密闭运输标准化、拆除工作湿法作业标准化</w:t>
            </w:r>
            <w:r>
              <w:rPr>
                <w:rFonts w:hint="eastAsia"/>
                <w:color w:val="auto"/>
                <w:szCs w:val="21"/>
              </w:rPr>
              <w:t>；施工期严格控制运输时间段及运输路线，施工机械尾气对周边环境影响较小</w:t>
            </w:r>
          </w:p>
        </w:tc>
        <w:tc>
          <w:tcPr>
            <w:tcW w:w="1012" w:type="pct"/>
            <w:vAlign w:val="center"/>
          </w:tcPr>
          <w:p>
            <w:pPr>
              <w:adjustRightInd w:val="0"/>
              <w:snapToGrid w:val="0"/>
              <w:jc w:val="center"/>
              <w:rPr>
                <w:rFonts w:hint="default" w:ascii="Times New Roman" w:hAnsi="Times New Roman" w:cs="Times New Roman"/>
                <w:color w:val="auto"/>
                <w:szCs w:val="21"/>
              </w:rPr>
            </w:pPr>
            <w:r>
              <w:rPr>
                <w:rFonts w:hint="eastAsia"/>
                <w:color w:val="auto"/>
                <w:szCs w:val="21"/>
              </w:rPr>
              <w:t>《大气污染物综合排放标准》</w:t>
            </w:r>
            <w:r>
              <w:rPr>
                <w:rFonts w:hint="eastAsia"/>
                <w:color w:val="auto"/>
                <w:szCs w:val="21"/>
                <w:lang w:eastAsia="zh-CN"/>
              </w:rPr>
              <w:t>（</w:t>
            </w:r>
            <w:r>
              <w:rPr>
                <w:rFonts w:hint="eastAsia"/>
                <w:color w:val="auto"/>
                <w:szCs w:val="21"/>
              </w:rPr>
              <w:t>GB16297-1996</w:t>
            </w:r>
            <w:r>
              <w:rPr>
                <w:rFonts w:hint="eastAsia"/>
                <w:color w:val="auto"/>
                <w:szCs w:val="21"/>
                <w:lang w:eastAsia="zh-CN"/>
              </w:rPr>
              <w:t>）</w:t>
            </w:r>
            <w:r>
              <w:rPr>
                <w:rFonts w:hint="eastAsia"/>
                <w:color w:val="auto"/>
                <w:szCs w:val="21"/>
              </w:rPr>
              <w:t>中无组织排放监控浓度限值</w:t>
            </w:r>
          </w:p>
        </w:tc>
        <w:tc>
          <w:tcPr>
            <w:tcW w:w="901"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670" w:type="pct"/>
            <w:vAlign w:val="center"/>
          </w:tcPr>
          <w:p>
            <w:pPr>
              <w:adjustRightInd w:val="0"/>
              <w:snapToGrid w:val="0"/>
              <w:jc w:val="center"/>
              <w:rPr>
                <w:rFonts w:hint="eastAsia" w:ascii="Times New Roman" w:hAnsi="Times New Roman" w:eastAsia="宋体" w:cs="Times New Roman"/>
                <w:color w:val="auto"/>
                <w:szCs w:val="21"/>
                <w:lang w:eastAsia="zh-CN"/>
              </w:rPr>
            </w:pPr>
            <w:r>
              <w:rPr>
                <w:rFonts w:hint="eastAsia" w:cs="Times New Roman"/>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固体废物</w:t>
            </w:r>
          </w:p>
        </w:tc>
        <w:tc>
          <w:tcPr>
            <w:tcW w:w="1246" w:type="pct"/>
            <w:vAlign w:val="center"/>
          </w:tcPr>
          <w:p>
            <w:pPr>
              <w:adjustRightInd w:val="0"/>
              <w:snapToGrid w:val="0"/>
              <w:jc w:val="center"/>
              <w:rPr>
                <w:rFonts w:hint="default" w:ascii="Times New Roman" w:hAnsi="Times New Roman" w:cs="Times New Roman"/>
                <w:color w:val="auto"/>
                <w:szCs w:val="21"/>
              </w:rPr>
            </w:pPr>
            <w:r>
              <w:rPr>
                <w:rFonts w:hAnsi="宋体"/>
                <w:color w:val="auto"/>
                <w:szCs w:val="21"/>
              </w:rPr>
              <w:t>项目</w:t>
            </w:r>
            <w:r>
              <w:rPr>
                <w:rFonts w:hint="eastAsia" w:hAnsi="宋体"/>
                <w:color w:val="auto"/>
                <w:szCs w:val="21"/>
                <w:lang w:eastAsia="zh-CN"/>
              </w:rPr>
              <w:t>弃方全部运至</w:t>
            </w:r>
            <w:r>
              <w:rPr>
                <w:rFonts w:hint="eastAsia" w:hAnsi="宋体"/>
                <w:color w:val="auto"/>
                <w:szCs w:val="21"/>
                <w:lang w:val="en-US" w:eastAsia="zh-CN"/>
              </w:rPr>
              <w:t>项目设置的弃土场</w:t>
            </w:r>
            <w:r>
              <w:rPr>
                <w:rFonts w:hint="eastAsia" w:hAnsi="宋体"/>
                <w:color w:val="auto"/>
                <w:szCs w:val="21"/>
              </w:rPr>
              <w:t>；拆除的建筑垃圾</w:t>
            </w:r>
            <w:r>
              <w:rPr>
                <w:rFonts w:hint="eastAsia" w:hAnsi="宋体"/>
                <w:color w:val="auto"/>
                <w:szCs w:val="21"/>
                <w:lang w:eastAsia="zh-CN"/>
              </w:rPr>
              <w:t>综合利用，未利用的交由建设单位运至由环境卫生主管部门指定的建筑垃圾填埋场进行处置</w:t>
            </w:r>
            <w:r>
              <w:rPr>
                <w:rFonts w:hint="eastAsia" w:hAnsi="宋体"/>
                <w:color w:val="auto"/>
                <w:szCs w:val="21"/>
              </w:rPr>
              <w:t>；</w:t>
            </w:r>
            <w:r>
              <w:rPr>
                <w:rFonts w:hAnsi="宋体"/>
                <w:color w:val="auto"/>
                <w:szCs w:val="21"/>
              </w:rPr>
              <w:t>生活垃圾</w:t>
            </w:r>
            <w:r>
              <w:rPr>
                <w:rFonts w:hint="eastAsia" w:hAnsi="宋体"/>
                <w:color w:val="auto"/>
                <w:szCs w:val="21"/>
              </w:rPr>
              <w:t>分类</w:t>
            </w:r>
            <w:r>
              <w:rPr>
                <w:rFonts w:hAnsi="宋体"/>
                <w:color w:val="auto"/>
                <w:szCs w:val="21"/>
              </w:rPr>
              <w:t>收集后交由环卫部门统一处置</w:t>
            </w:r>
          </w:p>
        </w:tc>
        <w:tc>
          <w:tcPr>
            <w:tcW w:w="1012" w:type="pct"/>
            <w:vAlign w:val="center"/>
          </w:tcPr>
          <w:p>
            <w:pPr>
              <w:adjustRightInd w:val="0"/>
              <w:snapToGrid w:val="0"/>
              <w:jc w:val="center"/>
              <w:rPr>
                <w:rFonts w:hint="default" w:ascii="Times New Roman" w:hAnsi="Times New Roman" w:cs="Times New Roman"/>
                <w:color w:val="auto"/>
                <w:szCs w:val="21"/>
              </w:rPr>
            </w:pPr>
            <w:r>
              <w:rPr>
                <w:rFonts w:hint="eastAsia"/>
                <w:color w:val="auto"/>
                <w:szCs w:val="21"/>
              </w:rPr>
              <w:t>妥善处置</w:t>
            </w:r>
          </w:p>
        </w:tc>
        <w:tc>
          <w:tcPr>
            <w:tcW w:w="901"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670"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电磁环境</w:t>
            </w:r>
          </w:p>
        </w:tc>
        <w:tc>
          <w:tcPr>
            <w:tcW w:w="1246"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012"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901"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670"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环境风险</w:t>
            </w:r>
          </w:p>
        </w:tc>
        <w:tc>
          <w:tcPr>
            <w:tcW w:w="1246"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012"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901"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670"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环境监测</w:t>
            </w:r>
          </w:p>
        </w:tc>
        <w:tc>
          <w:tcPr>
            <w:tcW w:w="1246" w:type="pct"/>
            <w:vAlign w:val="center"/>
          </w:tcPr>
          <w:p>
            <w:pPr>
              <w:adjustRightInd w:val="0"/>
              <w:snapToGrid w:val="0"/>
              <w:jc w:val="center"/>
              <w:rPr>
                <w:rFonts w:hint="eastAsia" w:ascii="Times New Roman" w:hAnsi="Times New Roman" w:eastAsia="宋体" w:cs="Times New Roman"/>
                <w:color w:val="auto"/>
                <w:szCs w:val="21"/>
                <w:lang w:eastAsia="zh-CN"/>
              </w:rPr>
            </w:pPr>
            <w:r>
              <w:rPr>
                <w:rFonts w:hint="eastAsia" w:cs="Times New Roman"/>
                <w:color w:val="auto"/>
                <w:szCs w:val="21"/>
                <w:lang w:val="en-US" w:eastAsia="zh-CN"/>
              </w:rPr>
              <w:t>/</w:t>
            </w:r>
          </w:p>
        </w:tc>
        <w:tc>
          <w:tcPr>
            <w:tcW w:w="1012"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901"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670"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其他</w:t>
            </w:r>
          </w:p>
        </w:tc>
        <w:tc>
          <w:tcPr>
            <w:tcW w:w="1246"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012"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901"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670"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bl>
    <w:p>
      <w:pPr>
        <w:pStyle w:val="20"/>
        <w:spacing w:before="192" w:beforeLines="80" w:beforeAutospacing="0"/>
        <w:jc w:val="center"/>
        <w:rPr>
          <w:rFonts w:hint="default" w:ascii="Times New Roman" w:hAnsi="Times New Roman" w:eastAsia="黑体" w:cs="Times New Roman"/>
          <w:snapToGrid w:val="0"/>
          <w:color w:val="auto"/>
          <w:sz w:val="30"/>
          <w:szCs w:val="30"/>
        </w:rPr>
        <w:sectPr>
          <w:pgSz w:w="11906" w:h="16838"/>
          <w:pgMar w:top="1440" w:right="1800" w:bottom="1440" w:left="1800" w:header="851" w:footer="1077" w:gutter="0"/>
          <w:pgBorders>
            <w:top w:val="none" w:sz="0" w:space="0"/>
            <w:left w:val="none" w:sz="0" w:space="0"/>
            <w:bottom w:val="none" w:sz="0" w:space="0"/>
            <w:right w:val="none" w:sz="0" w:space="0"/>
          </w:pgBorders>
          <w:cols w:space="720" w:num="1"/>
          <w:docGrid w:linePitch="312" w:charSpace="0"/>
        </w:sectPr>
      </w:pPr>
    </w:p>
    <w:p>
      <w:pPr>
        <w:pStyle w:val="20"/>
        <w:spacing w:before="192" w:beforeLines="80" w:beforeAutospacing="0"/>
        <w:jc w:val="center"/>
        <w:outlineLvl w:val="0"/>
        <w:rPr>
          <w:rFonts w:hint="default" w:ascii="Times New Roman" w:hAnsi="Times New Roman" w:eastAsia="黑体" w:cs="Times New Roman"/>
          <w:snapToGrid w:val="0"/>
          <w:color w:val="auto"/>
          <w:sz w:val="30"/>
          <w:szCs w:val="30"/>
        </w:rPr>
      </w:pPr>
      <w:bookmarkStart w:id="27" w:name="_Toc22253"/>
      <w:r>
        <w:rPr>
          <w:rFonts w:hint="default" w:ascii="Times New Roman" w:hAnsi="Times New Roman" w:eastAsia="黑体" w:cs="Times New Roman"/>
          <w:snapToGrid w:val="0"/>
          <w:color w:val="auto"/>
          <w:sz w:val="30"/>
          <w:szCs w:val="30"/>
        </w:rPr>
        <w:t>七、结论</w:t>
      </w:r>
      <w:bookmarkEnd w:id="27"/>
    </w:p>
    <w:tbl>
      <w:tblPr>
        <w:tblStyle w:val="24"/>
        <w:tblW w:w="928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28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349" w:hRule="atLeast"/>
          <w:jc w:val="center"/>
        </w:trPr>
        <w:tc>
          <w:tcPr>
            <w:tcW w:w="9289" w:type="dxa"/>
          </w:tcPr>
          <w:p>
            <w:pPr>
              <w:pStyle w:val="34"/>
              <w:ind w:firstLine="480"/>
              <w:rPr>
                <w:rFonts w:hint="default" w:ascii="Times New Roman" w:hAnsi="Times New Roman" w:cs="Times New Roman"/>
                <w:color w:val="auto"/>
                <w:szCs w:val="21"/>
              </w:rPr>
            </w:pPr>
            <w:r>
              <w:rPr>
                <w:rFonts w:hint="default" w:ascii="Times New Roman" w:hAnsi="Times New Roman" w:cs="Times New Roman"/>
                <w:color w:val="auto"/>
                <w:szCs w:val="21"/>
              </w:rPr>
              <w:t>从环境保护角度分析，本项目在拟建地建设是可行的。</w:t>
            </w:r>
          </w:p>
          <w:p>
            <w:pPr>
              <w:pStyle w:val="34"/>
              <w:ind w:firstLine="480"/>
              <w:rPr>
                <w:rFonts w:hint="default" w:ascii="Times New Roman" w:hAnsi="Times New Roman" w:cs="Times New Roman"/>
                <w:color w:val="auto"/>
                <w:szCs w:val="21"/>
              </w:rPr>
            </w:pPr>
          </w:p>
        </w:tc>
      </w:tr>
    </w:tbl>
    <w:p>
      <w:pPr>
        <w:rPr>
          <w:color w:val="auto"/>
        </w:rPr>
      </w:pPr>
    </w:p>
    <w:p>
      <w:pPr>
        <w:widowControl/>
        <w:adjustRightInd w:val="0"/>
        <w:snapToGrid w:val="0"/>
        <w:spacing w:before="192" w:beforeLines="80"/>
        <w:jc w:val="left"/>
        <w:rPr>
          <w:color w:val="auto"/>
        </w:rPr>
      </w:pPr>
    </w:p>
    <w:sectPr>
      <w:pgSz w:w="11906" w:h="16838"/>
      <w:pgMar w:top="1440" w:right="1800" w:bottom="1440" w:left="1800" w:header="851" w:footer="1077"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outside" w:y="1"/>
      <w:rPr>
        <w:rStyle w:val="28"/>
      </w:rPr>
    </w:pPr>
    <w:r>
      <w:fldChar w:fldCharType="begin"/>
    </w:r>
    <w:r>
      <w:rPr>
        <w:rStyle w:val="28"/>
      </w:rPr>
      <w:instrText xml:space="preserve">PAGE  </w:instrText>
    </w:r>
    <w:r>
      <w:fldChar w:fldCharType="end"/>
    </w:r>
  </w:p>
  <w:p>
    <w:pPr>
      <w:pStyle w:val="15"/>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360"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5"/>
                          </w:pPr>
                          <w:r>
                            <w:fldChar w:fldCharType="begin"/>
                          </w:r>
                          <w:r>
                            <w:instrText xml:space="preserve"> PAGE  \* MERGEFORMAT </w:instrText>
                          </w:r>
                          <w:r>
                            <w:fldChar w:fldCharType="separate"/>
                          </w:r>
                          <w:r>
                            <w:t>42</w:t>
                          </w:r>
                          <w:r>
                            <w:fldChar w:fldCharType="end"/>
                          </w:r>
                        </w:p>
                      </w:txbxContent>
                    </wps:txbx>
                    <wps:bodyPr vert="horz" wrap="none" lIns="0" tIns="0" rIns="0" bIns="0" anchor="t" anchorCtr="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19g2NYBAACyAwAADgAAAGRycy9lMm9Eb2MueG1srVPNjtMwEL4j8Q6W&#10;7zRpD6iKmq6AahESAqSFB3Adp7HkP3mmTcoDwBtw4sKd5+pzMHaS7rJc9sAlGc+Mv/m+mfHmZrCG&#10;nVQE7V3Nl4uSM+Wkb7Q71PzL59sXa84AhWuE8U7V/KyA32yfP9v0oVIr33nTqMgIxEHVh5p3iKEq&#10;CpCdsgIWPihHwdZHK5CO8VA0UfSEbk2xKsuXRe9jE6KXCoC8uzHIJ8T4FEDftlqqnZdHqxyOqFEZ&#10;gSQJOh2AbzPbtlUSP7YtKGSm5qQU85eKkL1P32K7EdUhitBpOVEQT6HwSJMV2lHRK9ROoGDHqP+B&#10;slpGD77FhfS2GIXkjpCKZfmoN3edCCproVZDuDYd/h+s/HD6FJluar7izAlLA7/8+H75+fvy6xtb&#10;pvb0ASrKuguUh8NrP9DSzH4gZ1I9tNGmP+lhFKfmnq/NVQMymS6tV+t1SSFJsflA+MX99RAB3ypv&#10;WTJqHml6uani9B5wTJ1TUjXnb7UxeYLG/eUgzOQpEveRY7Jw2A+ToL1vzqSHngHV6Xz8yllPS1Bz&#10;RzvPmXnnqMdpX2YjzsZ+NoSTdLHmyNlovsG8V4kIhFdHJHaZdCo91psY0Siz7Gnt0q48POes+6e2&#10;/Q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OqXm5zwAAAAUBAAAPAAAAAAAAAAEAIAAAACIAAABk&#10;cnMvZG93bnJldi54bWxQSwECFAAUAAAACACHTuJA719g2NYBAACyAwAADgAAAAAAAAABACAAAAAe&#10;AQAAZHJzL2Uyb0RvYy54bWxQSwUGAAAAAAYABgBZAQAAZgUAAAAA&#10;">
              <v:fill on="f" focussize="0,0"/>
              <v:stroke on="f"/>
              <v:imagedata o:title=""/>
              <o:lock v:ext="edit" aspectratio="f"/>
              <v:textbox inset="0mm,0mm,0mm,0mm" style="mso-fit-shape-to-text:t;">
                <w:txbxContent>
                  <w:p>
                    <w:pPr>
                      <w:pStyle w:val="15"/>
                    </w:pPr>
                    <w:r>
                      <w:fldChar w:fldCharType="begin"/>
                    </w:r>
                    <w:r>
                      <w:instrText xml:space="preserve"> PAGE  \* MERGEFORMAT </w:instrText>
                    </w:r>
                    <w:r>
                      <w:fldChar w:fldCharType="separate"/>
                    </w:r>
                    <w:r>
                      <w:t>42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99D12B"/>
    <w:multiLevelType w:val="singleLevel"/>
    <w:tmpl w:val="8099D12B"/>
    <w:lvl w:ilvl="0" w:tentative="0">
      <w:start w:val="1"/>
      <w:numFmt w:val="decimal"/>
      <w:suff w:val="nothing"/>
      <w:lvlText w:val="（%1）"/>
      <w:lvlJc w:val="left"/>
    </w:lvl>
  </w:abstractNum>
  <w:abstractNum w:abstractNumId="1">
    <w:nsid w:val="B94DA3BB"/>
    <w:multiLevelType w:val="singleLevel"/>
    <w:tmpl w:val="B94DA3BB"/>
    <w:lvl w:ilvl="0" w:tentative="0">
      <w:start w:val="1"/>
      <w:numFmt w:val="decimal"/>
      <w:suff w:val="nothing"/>
      <w:lvlText w:val="%1、"/>
      <w:lvlJc w:val="left"/>
    </w:lvl>
  </w:abstractNum>
  <w:abstractNum w:abstractNumId="2">
    <w:nsid w:val="EE2B3700"/>
    <w:multiLevelType w:val="singleLevel"/>
    <w:tmpl w:val="EE2B3700"/>
    <w:lvl w:ilvl="0" w:tentative="0">
      <w:start w:val="1"/>
      <w:numFmt w:val="decimal"/>
      <w:suff w:val="nothing"/>
      <w:lvlText w:val="（%1）"/>
      <w:lvlJc w:val="left"/>
      <w:pPr>
        <w:tabs>
          <w:tab w:val="left" w:pos="0"/>
        </w:tabs>
      </w:pPr>
      <w:rPr>
        <w:rFonts w:hint="default"/>
      </w:rPr>
    </w:lvl>
  </w:abstractNum>
  <w:abstractNum w:abstractNumId="3">
    <w:nsid w:val="2F6451BA"/>
    <w:multiLevelType w:val="singleLevel"/>
    <w:tmpl w:val="2F6451BA"/>
    <w:lvl w:ilvl="0" w:tentative="0">
      <w:start w:val="4"/>
      <w:numFmt w:val="decimal"/>
      <w:suff w:val="nothing"/>
      <w:lvlText w:val="（%1）"/>
      <w:lvlJc w:val="left"/>
    </w:lvl>
  </w:abstractNum>
  <w:abstractNum w:abstractNumId="4">
    <w:nsid w:val="47FC90A5"/>
    <w:multiLevelType w:val="singleLevel"/>
    <w:tmpl w:val="47FC90A5"/>
    <w:lvl w:ilvl="0" w:tentative="0">
      <w:start w:val="5"/>
      <w:numFmt w:val="decimal"/>
      <w:suff w:val="nothing"/>
      <w:lvlText w:val="%1、"/>
      <w:lvlJc w:val="left"/>
    </w:lvl>
  </w:abstractNum>
  <w:abstractNum w:abstractNumId="5">
    <w:nsid w:val="4D557951"/>
    <w:multiLevelType w:val="multilevel"/>
    <w:tmpl w:val="4D557951"/>
    <w:lvl w:ilvl="0" w:tentative="0">
      <w:start w:val="1"/>
      <w:numFmt w:val="decimalEnclosedCircle"/>
      <w:lvlText w:val="%1"/>
      <w:lvlJc w:val="left"/>
      <w:pPr>
        <w:ind w:left="840" w:hanging="36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6">
    <w:nsid w:val="4F893777"/>
    <w:multiLevelType w:val="singleLevel"/>
    <w:tmpl w:val="4F893777"/>
    <w:lvl w:ilvl="0" w:tentative="0">
      <w:start w:val="1"/>
      <w:numFmt w:val="decimal"/>
      <w:suff w:val="nothing"/>
      <w:lvlText w:val="%1、"/>
      <w:lvlJc w:val="left"/>
    </w:lvl>
  </w:abstractNum>
  <w:abstractNum w:abstractNumId="7">
    <w:nsid w:val="58A592F3"/>
    <w:multiLevelType w:val="singleLevel"/>
    <w:tmpl w:val="58A592F3"/>
    <w:lvl w:ilvl="0" w:tentative="0">
      <w:start w:val="2"/>
      <w:numFmt w:val="decimal"/>
      <w:suff w:val="nothing"/>
      <w:lvlText w:val="%1、"/>
      <w:lvlJc w:val="left"/>
    </w:lvl>
  </w:abstractNum>
  <w:abstractNum w:abstractNumId="8">
    <w:nsid w:val="5FC608CD"/>
    <w:multiLevelType w:val="multilevel"/>
    <w:tmpl w:val="5FC608CD"/>
    <w:lvl w:ilvl="0" w:tentative="0">
      <w:start w:val="1"/>
      <w:numFmt w:val="chineseCountingThousand"/>
      <w:lvlText w:val="第%1章 "/>
      <w:lvlJc w:val="center"/>
      <w:pPr>
        <w:ind w:left="0" w:firstLine="288"/>
      </w:pPr>
      <w:rPr>
        <w:rFonts w:hint="eastAsia"/>
        <w:b w:val="0"/>
        <w:i w:val="0"/>
        <w:sz w:val="44"/>
        <w:szCs w:val="44"/>
        <w:lang w:val="en-US"/>
      </w:rPr>
    </w:lvl>
    <w:lvl w:ilvl="1" w:tentative="0">
      <w:start w:val="1"/>
      <w:numFmt w:val="decimal"/>
      <w:isLgl/>
      <w:lvlText w:val="%1.%2"/>
      <w:lvlJc w:val="left"/>
      <w:pPr>
        <w:ind w:left="992" w:hanging="992"/>
      </w:pPr>
      <w:rPr>
        <w:rFonts w:hint="eastAsia" w:ascii="黑体" w:hAnsi="黑体" w:eastAsia="黑体"/>
        <w:b w:val="0"/>
        <w:i w:val="0"/>
        <w:sz w:val="32"/>
        <w:szCs w:val="32"/>
      </w:rPr>
    </w:lvl>
    <w:lvl w:ilvl="2" w:tentative="0">
      <w:start w:val="1"/>
      <w:numFmt w:val="decimal"/>
      <w:isLgl/>
      <w:lvlText w:val="%1.%2.%3"/>
      <w:lvlJc w:val="left"/>
      <w:pPr>
        <w:ind w:left="0" w:firstLine="0"/>
      </w:pPr>
      <w:rPr>
        <w:rFonts w:hint="eastAsia" w:ascii="Times New Roman" w:hAnsi="Times New Roman" w:cs="Times New Roman"/>
        <w:b w:val="0"/>
        <w:bCs w:val="0"/>
        <w:i w:val="0"/>
        <w:iCs w:val="0"/>
        <w:caps w:val="0"/>
        <w:smallCaps w:val="0"/>
        <w:strike w:val="0"/>
        <w:dstrike w:val="0"/>
        <w:vanish w:val="0"/>
        <w:spacing w:val="0"/>
        <w:kern w:val="0"/>
        <w:position w:val="0"/>
        <w:u w:val="none"/>
        <w:vertAlign w:val="baseline"/>
      </w:rPr>
    </w:lvl>
    <w:lvl w:ilvl="3" w:tentative="0">
      <w:start w:val="1"/>
      <w:numFmt w:val="decimal"/>
      <w:pStyle w:val="79"/>
      <w:isLgl/>
      <w:lvlText w:val="%1.%2.%3.%4"/>
      <w:lvlJc w:val="left"/>
      <w:pPr>
        <w:ind w:left="0" w:firstLine="0"/>
      </w:pPr>
      <w:rPr>
        <w:rFonts w:hint="eastAsia" w:ascii="Times New Roman" w:hAnsi="Times New Roman" w:cs="Times New Roman"/>
        <w:b w:val="0"/>
        <w:bCs w:val="0"/>
        <w:i w:val="0"/>
        <w:iCs w:val="0"/>
        <w:caps w:val="0"/>
        <w:smallCaps w:val="0"/>
        <w:strike w:val="0"/>
        <w:dstrike w:val="0"/>
        <w:vanish w:val="0"/>
        <w:spacing w:val="0"/>
        <w:kern w:val="0"/>
        <w:position w:val="0"/>
        <w:u w:val="none"/>
        <w:vertAlign w:val="baseline"/>
      </w:rPr>
    </w:lvl>
    <w:lvl w:ilvl="4" w:tentative="0">
      <w:start w:val="1"/>
      <w:numFmt w:val="decimal"/>
      <w:isLgl/>
      <w:lvlText w:val="%1.%2.%3.%4.%5"/>
      <w:lvlJc w:val="left"/>
      <w:pPr>
        <w:ind w:left="1701" w:hanging="1701"/>
      </w:pPr>
      <w:rPr>
        <w:rFonts w:hint="eastAsia"/>
      </w:rPr>
    </w:lvl>
    <w:lvl w:ilvl="5" w:tentative="0">
      <w:start w:val="1"/>
      <w:numFmt w:val="decimal"/>
      <w:lvlText w:val="%1.%2.%3.%4.%5.%6"/>
      <w:lvlJc w:val="left"/>
      <w:pPr>
        <w:ind w:left="2692" w:hanging="567"/>
      </w:pPr>
      <w:rPr>
        <w:rFonts w:hint="eastAsia"/>
      </w:rPr>
    </w:lvl>
    <w:lvl w:ilvl="6" w:tentative="0">
      <w:start w:val="1"/>
      <w:numFmt w:val="decimal"/>
      <w:lvlText w:val="%1.%2.%3.%4.%5.%6.%7"/>
      <w:lvlJc w:val="left"/>
      <w:pPr>
        <w:ind w:left="3117" w:hanging="567"/>
      </w:pPr>
      <w:rPr>
        <w:rFonts w:hint="eastAsia"/>
      </w:rPr>
    </w:lvl>
    <w:lvl w:ilvl="7" w:tentative="0">
      <w:start w:val="1"/>
      <w:numFmt w:val="decimal"/>
      <w:lvlText w:val="%1.%2.%3.%4.%5.%6.%7.%8"/>
      <w:lvlJc w:val="left"/>
      <w:pPr>
        <w:ind w:left="3542" w:hanging="567"/>
      </w:pPr>
      <w:rPr>
        <w:rFonts w:hint="eastAsia"/>
      </w:rPr>
    </w:lvl>
    <w:lvl w:ilvl="8" w:tentative="0">
      <w:start w:val="1"/>
      <w:numFmt w:val="decimal"/>
      <w:lvlText w:val="%1.%2.%3.%4.%5.%6.%7.%8.%9"/>
      <w:lvlJc w:val="left"/>
      <w:pPr>
        <w:ind w:left="3967" w:hanging="567"/>
      </w:pPr>
      <w:rPr>
        <w:rFonts w:hint="eastAsia"/>
      </w:rPr>
    </w:lvl>
  </w:abstractNum>
  <w:num w:numId="1">
    <w:abstractNumId w:val="8"/>
  </w:num>
  <w:num w:numId="2">
    <w:abstractNumId w:val="4"/>
  </w:num>
  <w:num w:numId="3">
    <w:abstractNumId w:val="7"/>
  </w:num>
  <w:num w:numId="4">
    <w:abstractNumId w:val="2"/>
  </w:num>
  <w:num w:numId="5">
    <w:abstractNumId w:val="3"/>
  </w:num>
  <w:num w:numId="6">
    <w:abstractNumId w:val="6"/>
  </w:num>
  <w:num w:numId="7">
    <w:abstractNumId w:val="1"/>
  </w:num>
  <w:num w:numId="8">
    <w:abstractNumId w:val="0"/>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42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0ZjBhZjUwYWU3MDlkYjRiNjQ3NWE4MTI3NWQ2OGUifQ=="/>
    <w:docVar w:name="KSO_WPS_MARK_KEY" w:val="b77861d1-3dae-4ca9-bf48-ae54979eb69e"/>
  </w:docVars>
  <w:rsids>
    <w:rsidRoot w:val="00A14947"/>
    <w:rsid w:val="00001CED"/>
    <w:rsid w:val="00001E67"/>
    <w:rsid w:val="00003CD8"/>
    <w:rsid w:val="00014965"/>
    <w:rsid w:val="0001523A"/>
    <w:rsid w:val="00016ECB"/>
    <w:rsid w:val="000269F6"/>
    <w:rsid w:val="00031939"/>
    <w:rsid w:val="00032D25"/>
    <w:rsid w:val="0005219D"/>
    <w:rsid w:val="0005568F"/>
    <w:rsid w:val="0006153D"/>
    <w:rsid w:val="00061B1F"/>
    <w:rsid w:val="000664DB"/>
    <w:rsid w:val="0007127D"/>
    <w:rsid w:val="00071AE5"/>
    <w:rsid w:val="00074783"/>
    <w:rsid w:val="000801E0"/>
    <w:rsid w:val="00082A29"/>
    <w:rsid w:val="0008331D"/>
    <w:rsid w:val="00083C18"/>
    <w:rsid w:val="00092899"/>
    <w:rsid w:val="000A178E"/>
    <w:rsid w:val="000A557E"/>
    <w:rsid w:val="000B058F"/>
    <w:rsid w:val="000B693F"/>
    <w:rsid w:val="000C09AC"/>
    <w:rsid w:val="000C0A63"/>
    <w:rsid w:val="000C437E"/>
    <w:rsid w:val="000E5F16"/>
    <w:rsid w:val="000F4452"/>
    <w:rsid w:val="000F6DA1"/>
    <w:rsid w:val="000F701B"/>
    <w:rsid w:val="001056A0"/>
    <w:rsid w:val="00115279"/>
    <w:rsid w:val="00117459"/>
    <w:rsid w:val="0011749A"/>
    <w:rsid w:val="00127A68"/>
    <w:rsid w:val="0013031C"/>
    <w:rsid w:val="00140B13"/>
    <w:rsid w:val="00141B68"/>
    <w:rsid w:val="001466DA"/>
    <w:rsid w:val="00154DE1"/>
    <w:rsid w:val="00155B40"/>
    <w:rsid w:val="00157435"/>
    <w:rsid w:val="00163EEA"/>
    <w:rsid w:val="00167A07"/>
    <w:rsid w:val="0017046A"/>
    <w:rsid w:val="001704A3"/>
    <w:rsid w:val="0017504D"/>
    <w:rsid w:val="00177422"/>
    <w:rsid w:val="001834BD"/>
    <w:rsid w:val="00184F10"/>
    <w:rsid w:val="00185546"/>
    <w:rsid w:val="0019146B"/>
    <w:rsid w:val="00194398"/>
    <w:rsid w:val="001A7D2A"/>
    <w:rsid w:val="001B574C"/>
    <w:rsid w:val="001C0AF9"/>
    <w:rsid w:val="001C155A"/>
    <w:rsid w:val="001C48C0"/>
    <w:rsid w:val="001D6726"/>
    <w:rsid w:val="001F3347"/>
    <w:rsid w:val="001F4440"/>
    <w:rsid w:val="001F69E4"/>
    <w:rsid w:val="00206A65"/>
    <w:rsid w:val="00212D31"/>
    <w:rsid w:val="002130C7"/>
    <w:rsid w:val="002218A8"/>
    <w:rsid w:val="0022306D"/>
    <w:rsid w:val="00226574"/>
    <w:rsid w:val="002278EC"/>
    <w:rsid w:val="002357C7"/>
    <w:rsid w:val="002367C4"/>
    <w:rsid w:val="0025679E"/>
    <w:rsid w:val="00260C68"/>
    <w:rsid w:val="002648B0"/>
    <w:rsid w:val="00275271"/>
    <w:rsid w:val="0027535E"/>
    <w:rsid w:val="00275AA6"/>
    <w:rsid w:val="002807D5"/>
    <w:rsid w:val="00282CCD"/>
    <w:rsid w:val="002A168C"/>
    <w:rsid w:val="002A2C48"/>
    <w:rsid w:val="002A3EED"/>
    <w:rsid w:val="002A4A39"/>
    <w:rsid w:val="002A5A17"/>
    <w:rsid w:val="002A6425"/>
    <w:rsid w:val="002B49E2"/>
    <w:rsid w:val="002B7B00"/>
    <w:rsid w:val="002B7C44"/>
    <w:rsid w:val="002C1388"/>
    <w:rsid w:val="002C3C6A"/>
    <w:rsid w:val="002D42DB"/>
    <w:rsid w:val="002E1F3A"/>
    <w:rsid w:val="002E298A"/>
    <w:rsid w:val="002F02A4"/>
    <w:rsid w:val="002F272B"/>
    <w:rsid w:val="002F7C6D"/>
    <w:rsid w:val="003027E4"/>
    <w:rsid w:val="0030332C"/>
    <w:rsid w:val="00312296"/>
    <w:rsid w:val="0031340E"/>
    <w:rsid w:val="00316464"/>
    <w:rsid w:val="0032073A"/>
    <w:rsid w:val="00321D8E"/>
    <w:rsid w:val="00334996"/>
    <w:rsid w:val="00336969"/>
    <w:rsid w:val="00336C52"/>
    <w:rsid w:val="00341B3E"/>
    <w:rsid w:val="00341B42"/>
    <w:rsid w:val="003443EA"/>
    <w:rsid w:val="00345154"/>
    <w:rsid w:val="0034560E"/>
    <w:rsid w:val="00350523"/>
    <w:rsid w:val="00351C46"/>
    <w:rsid w:val="00352975"/>
    <w:rsid w:val="00356868"/>
    <w:rsid w:val="0036485B"/>
    <w:rsid w:val="00373B0D"/>
    <w:rsid w:val="00376988"/>
    <w:rsid w:val="00381A72"/>
    <w:rsid w:val="003A1948"/>
    <w:rsid w:val="003B152A"/>
    <w:rsid w:val="003B545B"/>
    <w:rsid w:val="003D3EE9"/>
    <w:rsid w:val="003E7681"/>
    <w:rsid w:val="003F0809"/>
    <w:rsid w:val="003F611C"/>
    <w:rsid w:val="003F755C"/>
    <w:rsid w:val="00406F01"/>
    <w:rsid w:val="00411B36"/>
    <w:rsid w:val="004121D7"/>
    <w:rsid w:val="00416D50"/>
    <w:rsid w:val="00417772"/>
    <w:rsid w:val="00420E6A"/>
    <w:rsid w:val="00433CA9"/>
    <w:rsid w:val="0043521D"/>
    <w:rsid w:val="00442024"/>
    <w:rsid w:val="0044254C"/>
    <w:rsid w:val="00443F6A"/>
    <w:rsid w:val="00450A17"/>
    <w:rsid w:val="00464F3D"/>
    <w:rsid w:val="00466321"/>
    <w:rsid w:val="004672AF"/>
    <w:rsid w:val="004727B0"/>
    <w:rsid w:val="00480247"/>
    <w:rsid w:val="0048081D"/>
    <w:rsid w:val="0048117E"/>
    <w:rsid w:val="004855F6"/>
    <w:rsid w:val="00486F0C"/>
    <w:rsid w:val="00494670"/>
    <w:rsid w:val="004A0EB4"/>
    <w:rsid w:val="004A3823"/>
    <w:rsid w:val="004A59BB"/>
    <w:rsid w:val="004B43A3"/>
    <w:rsid w:val="004B4C49"/>
    <w:rsid w:val="004B58A5"/>
    <w:rsid w:val="004B63D9"/>
    <w:rsid w:val="004C0882"/>
    <w:rsid w:val="004C55BE"/>
    <w:rsid w:val="004E5B30"/>
    <w:rsid w:val="004F0779"/>
    <w:rsid w:val="004F1230"/>
    <w:rsid w:val="004F173F"/>
    <w:rsid w:val="004F177C"/>
    <w:rsid w:val="004F2DCE"/>
    <w:rsid w:val="005039CB"/>
    <w:rsid w:val="0050558F"/>
    <w:rsid w:val="005057E0"/>
    <w:rsid w:val="00506286"/>
    <w:rsid w:val="00510813"/>
    <w:rsid w:val="00511DE0"/>
    <w:rsid w:val="00517F02"/>
    <w:rsid w:val="00524547"/>
    <w:rsid w:val="005258A2"/>
    <w:rsid w:val="00530F7C"/>
    <w:rsid w:val="00534567"/>
    <w:rsid w:val="00534F43"/>
    <w:rsid w:val="00535A84"/>
    <w:rsid w:val="00536889"/>
    <w:rsid w:val="00542E07"/>
    <w:rsid w:val="00554A7B"/>
    <w:rsid w:val="0055572C"/>
    <w:rsid w:val="0056064F"/>
    <w:rsid w:val="00561B84"/>
    <w:rsid w:val="00571D98"/>
    <w:rsid w:val="005720AE"/>
    <w:rsid w:val="0058030D"/>
    <w:rsid w:val="00582045"/>
    <w:rsid w:val="00590AE3"/>
    <w:rsid w:val="005918F1"/>
    <w:rsid w:val="005A06B7"/>
    <w:rsid w:val="005A1759"/>
    <w:rsid w:val="005D0369"/>
    <w:rsid w:val="005D53FE"/>
    <w:rsid w:val="005D7A0F"/>
    <w:rsid w:val="005E0438"/>
    <w:rsid w:val="005E1791"/>
    <w:rsid w:val="005E2CE6"/>
    <w:rsid w:val="005E6324"/>
    <w:rsid w:val="005F228B"/>
    <w:rsid w:val="005F29CD"/>
    <w:rsid w:val="005F4DFB"/>
    <w:rsid w:val="005F6CC0"/>
    <w:rsid w:val="00603E5B"/>
    <w:rsid w:val="00604BC8"/>
    <w:rsid w:val="00615B4C"/>
    <w:rsid w:val="00615B5D"/>
    <w:rsid w:val="0062146F"/>
    <w:rsid w:val="006343AF"/>
    <w:rsid w:val="0063634A"/>
    <w:rsid w:val="0064250D"/>
    <w:rsid w:val="006535EB"/>
    <w:rsid w:val="00663016"/>
    <w:rsid w:val="00674605"/>
    <w:rsid w:val="006748B8"/>
    <w:rsid w:val="0068535B"/>
    <w:rsid w:val="0068736E"/>
    <w:rsid w:val="0069290A"/>
    <w:rsid w:val="00697032"/>
    <w:rsid w:val="006975AC"/>
    <w:rsid w:val="006A15FB"/>
    <w:rsid w:val="006A72BF"/>
    <w:rsid w:val="006B332A"/>
    <w:rsid w:val="006B33BD"/>
    <w:rsid w:val="006C3F75"/>
    <w:rsid w:val="006D170E"/>
    <w:rsid w:val="006E06AF"/>
    <w:rsid w:val="006F1789"/>
    <w:rsid w:val="00706C5D"/>
    <w:rsid w:val="007118E6"/>
    <w:rsid w:val="007225C9"/>
    <w:rsid w:val="00735CD7"/>
    <w:rsid w:val="00754034"/>
    <w:rsid w:val="00754BF1"/>
    <w:rsid w:val="00755A30"/>
    <w:rsid w:val="00755E1C"/>
    <w:rsid w:val="00756556"/>
    <w:rsid w:val="0076132B"/>
    <w:rsid w:val="007623AE"/>
    <w:rsid w:val="00770B19"/>
    <w:rsid w:val="00774FA0"/>
    <w:rsid w:val="00776620"/>
    <w:rsid w:val="00777B6D"/>
    <w:rsid w:val="00784855"/>
    <w:rsid w:val="00784F39"/>
    <w:rsid w:val="0078545C"/>
    <w:rsid w:val="007906C4"/>
    <w:rsid w:val="007940EA"/>
    <w:rsid w:val="007967E8"/>
    <w:rsid w:val="007A63F2"/>
    <w:rsid w:val="007B68DE"/>
    <w:rsid w:val="007C1857"/>
    <w:rsid w:val="007C514F"/>
    <w:rsid w:val="007D0F95"/>
    <w:rsid w:val="007D7ECB"/>
    <w:rsid w:val="007E25A1"/>
    <w:rsid w:val="007E4BD2"/>
    <w:rsid w:val="007E7145"/>
    <w:rsid w:val="007F3916"/>
    <w:rsid w:val="00801179"/>
    <w:rsid w:val="00802479"/>
    <w:rsid w:val="00805372"/>
    <w:rsid w:val="00805B7B"/>
    <w:rsid w:val="0081293E"/>
    <w:rsid w:val="00814FFB"/>
    <w:rsid w:val="00820568"/>
    <w:rsid w:val="00831A80"/>
    <w:rsid w:val="008332C8"/>
    <w:rsid w:val="00833743"/>
    <w:rsid w:val="008340A4"/>
    <w:rsid w:val="00836799"/>
    <w:rsid w:val="00837028"/>
    <w:rsid w:val="00837131"/>
    <w:rsid w:val="00845F57"/>
    <w:rsid w:val="008521E0"/>
    <w:rsid w:val="008525B0"/>
    <w:rsid w:val="0085558F"/>
    <w:rsid w:val="00867CBC"/>
    <w:rsid w:val="0087099D"/>
    <w:rsid w:val="00876C30"/>
    <w:rsid w:val="00877017"/>
    <w:rsid w:val="008773C0"/>
    <w:rsid w:val="00880364"/>
    <w:rsid w:val="00886C4C"/>
    <w:rsid w:val="0088711C"/>
    <w:rsid w:val="00892ECF"/>
    <w:rsid w:val="00892F06"/>
    <w:rsid w:val="00894285"/>
    <w:rsid w:val="008A40AE"/>
    <w:rsid w:val="008A4E19"/>
    <w:rsid w:val="008A67C5"/>
    <w:rsid w:val="008B22E1"/>
    <w:rsid w:val="008B3C78"/>
    <w:rsid w:val="008B4AE9"/>
    <w:rsid w:val="008C30AD"/>
    <w:rsid w:val="008D068E"/>
    <w:rsid w:val="008D0F7A"/>
    <w:rsid w:val="008D63BE"/>
    <w:rsid w:val="008E0CFF"/>
    <w:rsid w:val="008E5D6B"/>
    <w:rsid w:val="008E689B"/>
    <w:rsid w:val="008E76F0"/>
    <w:rsid w:val="008F15FE"/>
    <w:rsid w:val="008F2A94"/>
    <w:rsid w:val="008F5187"/>
    <w:rsid w:val="008F709C"/>
    <w:rsid w:val="0090312B"/>
    <w:rsid w:val="00904961"/>
    <w:rsid w:val="0091736D"/>
    <w:rsid w:val="00931001"/>
    <w:rsid w:val="00931863"/>
    <w:rsid w:val="00933524"/>
    <w:rsid w:val="0094278D"/>
    <w:rsid w:val="0095308A"/>
    <w:rsid w:val="00955AEE"/>
    <w:rsid w:val="00956F14"/>
    <w:rsid w:val="00961894"/>
    <w:rsid w:val="009620FD"/>
    <w:rsid w:val="0096247A"/>
    <w:rsid w:val="00965F4B"/>
    <w:rsid w:val="00970F8A"/>
    <w:rsid w:val="00971FB5"/>
    <w:rsid w:val="00972D2A"/>
    <w:rsid w:val="00975CC5"/>
    <w:rsid w:val="00976328"/>
    <w:rsid w:val="00976B4E"/>
    <w:rsid w:val="00984458"/>
    <w:rsid w:val="00985283"/>
    <w:rsid w:val="00987322"/>
    <w:rsid w:val="009A0F3B"/>
    <w:rsid w:val="009A72C7"/>
    <w:rsid w:val="009B0897"/>
    <w:rsid w:val="009D0852"/>
    <w:rsid w:val="009D1FBF"/>
    <w:rsid w:val="009E399C"/>
    <w:rsid w:val="009E43C1"/>
    <w:rsid w:val="009E6161"/>
    <w:rsid w:val="009E7E95"/>
    <w:rsid w:val="009F116F"/>
    <w:rsid w:val="009F329E"/>
    <w:rsid w:val="009F7ED3"/>
    <w:rsid w:val="00A03607"/>
    <w:rsid w:val="00A047FF"/>
    <w:rsid w:val="00A04FEF"/>
    <w:rsid w:val="00A122CD"/>
    <w:rsid w:val="00A12A32"/>
    <w:rsid w:val="00A14248"/>
    <w:rsid w:val="00A14947"/>
    <w:rsid w:val="00A23DC5"/>
    <w:rsid w:val="00A34028"/>
    <w:rsid w:val="00A35568"/>
    <w:rsid w:val="00A37056"/>
    <w:rsid w:val="00A4358F"/>
    <w:rsid w:val="00A46F67"/>
    <w:rsid w:val="00A54AA1"/>
    <w:rsid w:val="00A568FF"/>
    <w:rsid w:val="00A61496"/>
    <w:rsid w:val="00A61833"/>
    <w:rsid w:val="00A624C6"/>
    <w:rsid w:val="00A63CEC"/>
    <w:rsid w:val="00A7031E"/>
    <w:rsid w:val="00A728B1"/>
    <w:rsid w:val="00A763DE"/>
    <w:rsid w:val="00A76EBF"/>
    <w:rsid w:val="00A803D6"/>
    <w:rsid w:val="00A81282"/>
    <w:rsid w:val="00A8713F"/>
    <w:rsid w:val="00A91167"/>
    <w:rsid w:val="00A9171C"/>
    <w:rsid w:val="00A92FFD"/>
    <w:rsid w:val="00A95975"/>
    <w:rsid w:val="00A9708D"/>
    <w:rsid w:val="00AA2C17"/>
    <w:rsid w:val="00AA4172"/>
    <w:rsid w:val="00AB1914"/>
    <w:rsid w:val="00AB5330"/>
    <w:rsid w:val="00AB7747"/>
    <w:rsid w:val="00AC2532"/>
    <w:rsid w:val="00AD1507"/>
    <w:rsid w:val="00AD5A70"/>
    <w:rsid w:val="00AD738B"/>
    <w:rsid w:val="00AE1BF4"/>
    <w:rsid w:val="00AE5D97"/>
    <w:rsid w:val="00AE6794"/>
    <w:rsid w:val="00B01110"/>
    <w:rsid w:val="00B02262"/>
    <w:rsid w:val="00B03CEC"/>
    <w:rsid w:val="00B1209F"/>
    <w:rsid w:val="00B12AD0"/>
    <w:rsid w:val="00B24F30"/>
    <w:rsid w:val="00B31ABF"/>
    <w:rsid w:val="00B335AE"/>
    <w:rsid w:val="00B37CE1"/>
    <w:rsid w:val="00B40ACF"/>
    <w:rsid w:val="00B46BAA"/>
    <w:rsid w:val="00B50B5F"/>
    <w:rsid w:val="00B54128"/>
    <w:rsid w:val="00B55826"/>
    <w:rsid w:val="00B55DAD"/>
    <w:rsid w:val="00B60426"/>
    <w:rsid w:val="00B622DD"/>
    <w:rsid w:val="00B63522"/>
    <w:rsid w:val="00B76F1D"/>
    <w:rsid w:val="00B92A19"/>
    <w:rsid w:val="00B9544C"/>
    <w:rsid w:val="00BA29E9"/>
    <w:rsid w:val="00BB3618"/>
    <w:rsid w:val="00BC0C9E"/>
    <w:rsid w:val="00BC32DC"/>
    <w:rsid w:val="00BD1B51"/>
    <w:rsid w:val="00BD47F6"/>
    <w:rsid w:val="00BE312D"/>
    <w:rsid w:val="00BE3FCA"/>
    <w:rsid w:val="00C05719"/>
    <w:rsid w:val="00C10578"/>
    <w:rsid w:val="00C17D62"/>
    <w:rsid w:val="00C21FDC"/>
    <w:rsid w:val="00C24EE7"/>
    <w:rsid w:val="00C2596A"/>
    <w:rsid w:val="00C271BE"/>
    <w:rsid w:val="00C27425"/>
    <w:rsid w:val="00C328FE"/>
    <w:rsid w:val="00C33A05"/>
    <w:rsid w:val="00C42500"/>
    <w:rsid w:val="00C43986"/>
    <w:rsid w:val="00C4409D"/>
    <w:rsid w:val="00C455BE"/>
    <w:rsid w:val="00C51E5F"/>
    <w:rsid w:val="00C61E4B"/>
    <w:rsid w:val="00C62E3A"/>
    <w:rsid w:val="00C64503"/>
    <w:rsid w:val="00C64A1F"/>
    <w:rsid w:val="00C64BFF"/>
    <w:rsid w:val="00C763C9"/>
    <w:rsid w:val="00C80057"/>
    <w:rsid w:val="00C82C79"/>
    <w:rsid w:val="00C84753"/>
    <w:rsid w:val="00C91611"/>
    <w:rsid w:val="00CA3585"/>
    <w:rsid w:val="00CA3D5A"/>
    <w:rsid w:val="00CA4C7C"/>
    <w:rsid w:val="00CB0183"/>
    <w:rsid w:val="00CB1EA3"/>
    <w:rsid w:val="00CB552C"/>
    <w:rsid w:val="00CB6A9E"/>
    <w:rsid w:val="00CC6181"/>
    <w:rsid w:val="00CD2BCD"/>
    <w:rsid w:val="00CD36AA"/>
    <w:rsid w:val="00CD3791"/>
    <w:rsid w:val="00CD65B0"/>
    <w:rsid w:val="00CE02CD"/>
    <w:rsid w:val="00CE10E9"/>
    <w:rsid w:val="00D0072E"/>
    <w:rsid w:val="00D15727"/>
    <w:rsid w:val="00D16332"/>
    <w:rsid w:val="00D24972"/>
    <w:rsid w:val="00D2515E"/>
    <w:rsid w:val="00D308ED"/>
    <w:rsid w:val="00D56178"/>
    <w:rsid w:val="00D56CF0"/>
    <w:rsid w:val="00D56F5C"/>
    <w:rsid w:val="00D704B1"/>
    <w:rsid w:val="00D70B63"/>
    <w:rsid w:val="00D72B92"/>
    <w:rsid w:val="00D72ED4"/>
    <w:rsid w:val="00D73F61"/>
    <w:rsid w:val="00D754C0"/>
    <w:rsid w:val="00D776A2"/>
    <w:rsid w:val="00D801C4"/>
    <w:rsid w:val="00D90836"/>
    <w:rsid w:val="00D95896"/>
    <w:rsid w:val="00D95CC6"/>
    <w:rsid w:val="00DA2DA3"/>
    <w:rsid w:val="00DA6615"/>
    <w:rsid w:val="00DA76AE"/>
    <w:rsid w:val="00DB181E"/>
    <w:rsid w:val="00DB1C7A"/>
    <w:rsid w:val="00DB2983"/>
    <w:rsid w:val="00DB343D"/>
    <w:rsid w:val="00DB5579"/>
    <w:rsid w:val="00DB5CFE"/>
    <w:rsid w:val="00DC72A6"/>
    <w:rsid w:val="00DD2113"/>
    <w:rsid w:val="00DD265E"/>
    <w:rsid w:val="00DF1930"/>
    <w:rsid w:val="00DF514A"/>
    <w:rsid w:val="00E0358D"/>
    <w:rsid w:val="00E06327"/>
    <w:rsid w:val="00E2064B"/>
    <w:rsid w:val="00E25239"/>
    <w:rsid w:val="00E265B1"/>
    <w:rsid w:val="00E275B0"/>
    <w:rsid w:val="00E412D0"/>
    <w:rsid w:val="00E47CDB"/>
    <w:rsid w:val="00E566BC"/>
    <w:rsid w:val="00E60982"/>
    <w:rsid w:val="00E60C8D"/>
    <w:rsid w:val="00E6162F"/>
    <w:rsid w:val="00E6311B"/>
    <w:rsid w:val="00E65D97"/>
    <w:rsid w:val="00E67EFD"/>
    <w:rsid w:val="00E702DC"/>
    <w:rsid w:val="00E71FFB"/>
    <w:rsid w:val="00E729DE"/>
    <w:rsid w:val="00E76D1D"/>
    <w:rsid w:val="00E806F8"/>
    <w:rsid w:val="00E87752"/>
    <w:rsid w:val="00E8793B"/>
    <w:rsid w:val="00E90F81"/>
    <w:rsid w:val="00E91A6D"/>
    <w:rsid w:val="00E9242D"/>
    <w:rsid w:val="00EB041C"/>
    <w:rsid w:val="00EC258D"/>
    <w:rsid w:val="00EC5874"/>
    <w:rsid w:val="00ED192D"/>
    <w:rsid w:val="00ED30B4"/>
    <w:rsid w:val="00ED31F5"/>
    <w:rsid w:val="00EF2759"/>
    <w:rsid w:val="00EF45EB"/>
    <w:rsid w:val="00EF5099"/>
    <w:rsid w:val="00EF5E33"/>
    <w:rsid w:val="00F00075"/>
    <w:rsid w:val="00F07822"/>
    <w:rsid w:val="00F15C95"/>
    <w:rsid w:val="00F22985"/>
    <w:rsid w:val="00F241AB"/>
    <w:rsid w:val="00F31382"/>
    <w:rsid w:val="00F35829"/>
    <w:rsid w:val="00F42868"/>
    <w:rsid w:val="00F465A7"/>
    <w:rsid w:val="00F50B7C"/>
    <w:rsid w:val="00F5202D"/>
    <w:rsid w:val="00F52CF6"/>
    <w:rsid w:val="00F54496"/>
    <w:rsid w:val="00F61097"/>
    <w:rsid w:val="00F74345"/>
    <w:rsid w:val="00F74441"/>
    <w:rsid w:val="00F77F30"/>
    <w:rsid w:val="00F82589"/>
    <w:rsid w:val="00F82B19"/>
    <w:rsid w:val="00F90AA7"/>
    <w:rsid w:val="00F9212D"/>
    <w:rsid w:val="00FA301A"/>
    <w:rsid w:val="00FA406A"/>
    <w:rsid w:val="00FA5CB6"/>
    <w:rsid w:val="00FC66AC"/>
    <w:rsid w:val="00FD18F4"/>
    <w:rsid w:val="00FD74B4"/>
    <w:rsid w:val="00FF6FCE"/>
    <w:rsid w:val="00FF7518"/>
    <w:rsid w:val="00FF7FD8"/>
    <w:rsid w:val="020B3FD7"/>
    <w:rsid w:val="021104AD"/>
    <w:rsid w:val="021B2558"/>
    <w:rsid w:val="02810D87"/>
    <w:rsid w:val="02AB7B5B"/>
    <w:rsid w:val="0310205E"/>
    <w:rsid w:val="03355597"/>
    <w:rsid w:val="03DD3DEF"/>
    <w:rsid w:val="041C31A0"/>
    <w:rsid w:val="041E69E5"/>
    <w:rsid w:val="04476E46"/>
    <w:rsid w:val="047A0F0B"/>
    <w:rsid w:val="047D749D"/>
    <w:rsid w:val="04BE2BAD"/>
    <w:rsid w:val="052A7D48"/>
    <w:rsid w:val="05742AC8"/>
    <w:rsid w:val="05B44B60"/>
    <w:rsid w:val="05D07A24"/>
    <w:rsid w:val="06352F05"/>
    <w:rsid w:val="063E7D85"/>
    <w:rsid w:val="06616A9A"/>
    <w:rsid w:val="06CB0A74"/>
    <w:rsid w:val="06E03AA2"/>
    <w:rsid w:val="070875E0"/>
    <w:rsid w:val="07293586"/>
    <w:rsid w:val="07295285"/>
    <w:rsid w:val="076C1EA1"/>
    <w:rsid w:val="07770C56"/>
    <w:rsid w:val="07B0538A"/>
    <w:rsid w:val="08061091"/>
    <w:rsid w:val="086251F1"/>
    <w:rsid w:val="08782AD4"/>
    <w:rsid w:val="08DF66BD"/>
    <w:rsid w:val="08E33DA2"/>
    <w:rsid w:val="09162C5D"/>
    <w:rsid w:val="092217DD"/>
    <w:rsid w:val="093A7294"/>
    <w:rsid w:val="09CD2EDE"/>
    <w:rsid w:val="0A1F30FA"/>
    <w:rsid w:val="0A563A66"/>
    <w:rsid w:val="0A5A19EB"/>
    <w:rsid w:val="0AE624DC"/>
    <w:rsid w:val="0B231F9E"/>
    <w:rsid w:val="0B2526F2"/>
    <w:rsid w:val="0B4D7C96"/>
    <w:rsid w:val="0BD06598"/>
    <w:rsid w:val="0BD27BF6"/>
    <w:rsid w:val="0CA973AD"/>
    <w:rsid w:val="0D3C64A6"/>
    <w:rsid w:val="0D6E0C30"/>
    <w:rsid w:val="0D8B22D1"/>
    <w:rsid w:val="0DD6777B"/>
    <w:rsid w:val="0E110D06"/>
    <w:rsid w:val="0E7532CC"/>
    <w:rsid w:val="0EA7676E"/>
    <w:rsid w:val="0EB9507E"/>
    <w:rsid w:val="0EC553FF"/>
    <w:rsid w:val="0F13775A"/>
    <w:rsid w:val="0F3A5EF9"/>
    <w:rsid w:val="0F606D5A"/>
    <w:rsid w:val="0F6532DD"/>
    <w:rsid w:val="0F9A112B"/>
    <w:rsid w:val="100504DF"/>
    <w:rsid w:val="102B511D"/>
    <w:rsid w:val="10622ECE"/>
    <w:rsid w:val="106D2F64"/>
    <w:rsid w:val="1087637C"/>
    <w:rsid w:val="10B63710"/>
    <w:rsid w:val="10ED30D4"/>
    <w:rsid w:val="11182893"/>
    <w:rsid w:val="111C2F7A"/>
    <w:rsid w:val="111C5B5C"/>
    <w:rsid w:val="111D6207"/>
    <w:rsid w:val="112876A9"/>
    <w:rsid w:val="113013DE"/>
    <w:rsid w:val="11AF5257"/>
    <w:rsid w:val="11B762D9"/>
    <w:rsid w:val="122B06C2"/>
    <w:rsid w:val="1263699C"/>
    <w:rsid w:val="12C02E2D"/>
    <w:rsid w:val="13951726"/>
    <w:rsid w:val="142E323C"/>
    <w:rsid w:val="142F374B"/>
    <w:rsid w:val="14396509"/>
    <w:rsid w:val="1447165C"/>
    <w:rsid w:val="157A6E47"/>
    <w:rsid w:val="159521EE"/>
    <w:rsid w:val="17735226"/>
    <w:rsid w:val="17962A8E"/>
    <w:rsid w:val="17AA5F28"/>
    <w:rsid w:val="180E011D"/>
    <w:rsid w:val="18AA5B83"/>
    <w:rsid w:val="18DC2CC2"/>
    <w:rsid w:val="18F334E0"/>
    <w:rsid w:val="1908135D"/>
    <w:rsid w:val="19343164"/>
    <w:rsid w:val="195048E3"/>
    <w:rsid w:val="1972483F"/>
    <w:rsid w:val="1A09723D"/>
    <w:rsid w:val="1A0D1240"/>
    <w:rsid w:val="1A1C66C0"/>
    <w:rsid w:val="1A370B9F"/>
    <w:rsid w:val="1A42393B"/>
    <w:rsid w:val="1A6709D9"/>
    <w:rsid w:val="1A865494"/>
    <w:rsid w:val="1AA52CB1"/>
    <w:rsid w:val="1B046F80"/>
    <w:rsid w:val="1B3267B5"/>
    <w:rsid w:val="1B6D2E1F"/>
    <w:rsid w:val="1BC25DC8"/>
    <w:rsid w:val="1C3256B4"/>
    <w:rsid w:val="1C380BB7"/>
    <w:rsid w:val="1C5E7925"/>
    <w:rsid w:val="1C8507BC"/>
    <w:rsid w:val="1C887FC8"/>
    <w:rsid w:val="1C955AB8"/>
    <w:rsid w:val="1C9F7B87"/>
    <w:rsid w:val="1D095BC4"/>
    <w:rsid w:val="1D5F6196"/>
    <w:rsid w:val="1D6132A5"/>
    <w:rsid w:val="1D8D6AB9"/>
    <w:rsid w:val="1D8E56D5"/>
    <w:rsid w:val="1DDF76FE"/>
    <w:rsid w:val="1E7A43DA"/>
    <w:rsid w:val="1EB277FE"/>
    <w:rsid w:val="1ED46BF8"/>
    <w:rsid w:val="1F3C020A"/>
    <w:rsid w:val="1F494BDF"/>
    <w:rsid w:val="1FCC189D"/>
    <w:rsid w:val="1FE32388"/>
    <w:rsid w:val="1FE7539E"/>
    <w:rsid w:val="1FEF669A"/>
    <w:rsid w:val="20805009"/>
    <w:rsid w:val="20963CB8"/>
    <w:rsid w:val="20A83488"/>
    <w:rsid w:val="20B07FB6"/>
    <w:rsid w:val="20B971DB"/>
    <w:rsid w:val="20C560E6"/>
    <w:rsid w:val="20C91F2E"/>
    <w:rsid w:val="213B74B1"/>
    <w:rsid w:val="21556A21"/>
    <w:rsid w:val="215A2310"/>
    <w:rsid w:val="21D51E30"/>
    <w:rsid w:val="21DE318A"/>
    <w:rsid w:val="21EF5B80"/>
    <w:rsid w:val="22403E68"/>
    <w:rsid w:val="22576990"/>
    <w:rsid w:val="22744244"/>
    <w:rsid w:val="229C4EAB"/>
    <w:rsid w:val="22E52C76"/>
    <w:rsid w:val="23370256"/>
    <w:rsid w:val="23E67D1E"/>
    <w:rsid w:val="242812F0"/>
    <w:rsid w:val="246119D1"/>
    <w:rsid w:val="248A3DB0"/>
    <w:rsid w:val="252D53FE"/>
    <w:rsid w:val="2530061B"/>
    <w:rsid w:val="25364E98"/>
    <w:rsid w:val="2551057C"/>
    <w:rsid w:val="2554070D"/>
    <w:rsid w:val="258B7138"/>
    <w:rsid w:val="25EC2D81"/>
    <w:rsid w:val="262D71BC"/>
    <w:rsid w:val="264528BD"/>
    <w:rsid w:val="27511310"/>
    <w:rsid w:val="27D15DD1"/>
    <w:rsid w:val="27DC79BB"/>
    <w:rsid w:val="28A76295"/>
    <w:rsid w:val="28DA468F"/>
    <w:rsid w:val="29206EB8"/>
    <w:rsid w:val="292469E8"/>
    <w:rsid w:val="29437BF5"/>
    <w:rsid w:val="29AE3346"/>
    <w:rsid w:val="29AF248E"/>
    <w:rsid w:val="29E325E0"/>
    <w:rsid w:val="2A21396F"/>
    <w:rsid w:val="2A2773C7"/>
    <w:rsid w:val="2A452503"/>
    <w:rsid w:val="2A7847F4"/>
    <w:rsid w:val="2B212BD5"/>
    <w:rsid w:val="2B820658"/>
    <w:rsid w:val="2BA936A8"/>
    <w:rsid w:val="2C315A5A"/>
    <w:rsid w:val="2C9A1D23"/>
    <w:rsid w:val="2D08354D"/>
    <w:rsid w:val="2D1219CB"/>
    <w:rsid w:val="2D3E28D1"/>
    <w:rsid w:val="2D4D5CC5"/>
    <w:rsid w:val="2D937732"/>
    <w:rsid w:val="2D9E56F5"/>
    <w:rsid w:val="2E4216A4"/>
    <w:rsid w:val="2E667F96"/>
    <w:rsid w:val="2E8226AB"/>
    <w:rsid w:val="2EA40620"/>
    <w:rsid w:val="2EC46F9A"/>
    <w:rsid w:val="2EFE0305"/>
    <w:rsid w:val="2F337EDA"/>
    <w:rsid w:val="2F4A1308"/>
    <w:rsid w:val="2F832C79"/>
    <w:rsid w:val="2FA44102"/>
    <w:rsid w:val="2FEF2D58"/>
    <w:rsid w:val="30580BC9"/>
    <w:rsid w:val="30603568"/>
    <w:rsid w:val="30B25EE1"/>
    <w:rsid w:val="30E266CD"/>
    <w:rsid w:val="311E2ED7"/>
    <w:rsid w:val="315C449C"/>
    <w:rsid w:val="316D5E64"/>
    <w:rsid w:val="319D2F4A"/>
    <w:rsid w:val="31A61558"/>
    <w:rsid w:val="31B82709"/>
    <w:rsid w:val="32400B34"/>
    <w:rsid w:val="329E6876"/>
    <w:rsid w:val="32D537D9"/>
    <w:rsid w:val="33684435"/>
    <w:rsid w:val="33D934D4"/>
    <w:rsid w:val="33FE2F6A"/>
    <w:rsid w:val="34550F6E"/>
    <w:rsid w:val="346F67C8"/>
    <w:rsid w:val="34866582"/>
    <w:rsid w:val="34D90A42"/>
    <w:rsid w:val="356356DE"/>
    <w:rsid w:val="35EC3F19"/>
    <w:rsid w:val="36074A7F"/>
    <w:rsid w:val="36677CE8"/>
    <w:rsid w:val="36751FFF"/>
    <w:rsid w:val="36923549"/>
    <w:rsid w:val="36B27E7B"/>
    <w:rsid w:val="36B75FBF"/>
    <w:rsid w:val="36FB4891"/>
    <w:rsid w:val="37127EAC"/>
    <w:rsid w:val="372E3D52"/>
    <w:rsid w:val="373D6C13"/>
    <w:rsid w:val="37982A35"/>
    <w:rsid w:val="37C45BE1"/>
    <w:rsid w:val="37D722CE"/>
    <w:rsid w:val="383003C4"/>
    <w:rsid w:val="386A0A0E"/>
    <w:rsid w:val="38F12CD3"/>
    <w:rsid w:val="38F94775"/>
    <w:rsid w:val="39261FAF"/>
    <w:rsid w:val="392971ED"/>
    <w:rsid w:val="39781038"/>
    <w:rsid w:val="39812B34"/>
    <w:rsid w:val="39A8145C"/>
    <w:rsid w:val="39E469FB"/>
    <w:rsid w:val="3AF865CC"/>
    <w:rsid w:val="3B3763D1"/>
    <w:rsid w:val="3BC742F4"/>
    <w:rsid w:val="3C2319A5"/>
    <w:rsid w:val="3C3F3C09"/>
    <w:rsid w:val="3CAD6FC8"/>
    <w:rsid w:val="3CC75B9E"/>
    <w:rsid w:val="3CDA245A"/>
    <w:rsid w:val="3CEE0A37"/>
    <w:rsid w:val="3DBD46AD"/>
    <w:rsid w:val="3E6D5563"/>
    <w:rsid w:val="3EED49AB"/>
    <w:rsid w:val="3EFA7D28"/>
    <w:rsid w:val="3F660E74"/>
    <w:rsid w:val="3F6F27ED"/>
    <w:rsid w:val="3F7A2EE6"/>
    <w:rsid w:val="3F7F6FEF"/>
    <w:rsid w:val="3FAE5ADE"/>
    <w:rsid w:val="3FCB524E"/>
    <w:rsid w:val="3FCF649D"/>
    <w:rsid w:val="403F16C6"/>
    <w:rsid w:val="407A6407"/>
    <w:rsid w:val="40915C78"/>
    <w:rsid w:val="40AD06B3"/>
    <w:rsid w:val="40F13762"/>
    <w:rsid w:val="41396558"/>
    <w:rsid w:val="42213C39"/>
    <w:rsid w:val="423A3BCC"/>
    <w:rsid w:val="424526EE"/>
    <w:rsid w:val="42742CF9"/>
    <w:rsid w:val="42941061"/>
    <w:rsid w:val="433A6FE6"/>
    <w:rsid w:val="4350713C"/>
    <w:rsid w:val="436653E0"/>
    <w:rsid w:val="439912A3"/>
    <w:rsid w:val="442314DC"/>
    <w:rsid w:val="443C7B3C"/>
    <w:rsid w:val="44780E44"/>
    <w:rsid w:val="44B97144"/>
    <w:rsid w:val="44C821E0"/>
    <w:rsid w:val="44CD14E0"/>
    <w:rsid w:val="4584178D"/>
    <w:rsid w:val="458946E9"/>
    <w:rsid w:val="46296FA0"/>
    <w:rsid w:val="463C4FC9"/>
    <w:rsid w:val="46914611"/>
    <w:rsid w:val="46D955A7"/>
    <w:rsid w:val="47133957"/>
    <w:rsid w:val="4779329E"/>
    <w:rsid w:val="47965D34"/>
    <w:rsid w:val="479E69E5"/>
    <w:rsid w:val="47A07E0C"/>
    <w:rsid w:val="48082A58"/>
    <w:rsid w:val="480C46E8"/>
    <w:rsid w:val="4870272E"/>
    <w:rsid w:val="48CB12DB"/>
    <w:rsid w:val="48F47AA5"/>
    <w:rsid w:val="496334E4"/>
    <w:rsid w:val="497712D5"/>
    <w:rsid w:val="49DC7715"/>
    <w:rsid w:val="49EC4E5D"/>
    <w:rsid w:val="49EF1D93"/>
    <w:rsid w:val="49FE3E1C"/>
    <w:rsid w:val="4A023139"/>
    <w:rsid w:val="4A7B576F"/>
    <w:rsid w:val="4AB3134A"/>
    <w:rsid w:val="4BAC5E94"/>
    <w:rsid w:val="4C4A0649"/>
    <w:rsid w:val="4C52103F"/>
    <w:rsid w:val="4CC17237"/>
    <w:rsid w:val="4CCF3938"/>
    <w:rsid w:val="4CE470D3"/>
    <w:rsid w:val="4D720CBA"/>
    <w:rsid w:val="4D8900BB"/>
    <w:rsid w:val="4DA40E78"/>
    <w:rsid w:val="4DEC4FB0"/>
    <w:rsid w:val="4DEF1265"/>
    <w:rsid w:val="4E013D57"/>
    <w:rsid w:val="4E075D8A"/>
    <w:rsid w:val="4EA348E9"/>
    <w:rsid w:val="4EA5674F"/>
    <w:rsid w:val="4F2616C5"/>
    <w:rsid w:val="4F2D0310"/>
    <w:rsid w:val="4F360DA8"/>
    <w:rsid w:val="4F90683E"/>
    <w:rsid w:val="4FC62A8C"/>
    <w:rsid w:val="4FE20F0D"/>
    <w:rsid w:val="50504C4B"/>
    <w:rsid w:val="509776AD"/>
    <w:rsid w:val="509C6E7C"/>
    <w:rsid w:val="50D72716"/>
    <w:rsid w:val="50EB02B6"/>
    <w:rsid w:val="50F25811"/>
    <w:rsid w:val="51200A58"/>
    <w:rsid w:val="514E7403"/>
    <w:rsid w:val="515656E0"/>
    <w:rsid w:val="5162104E"/>
    <w:rsid w:val="51735B92"/>
    <w:rsid w:val="51961169"/>
    <w:rsid w:val="51EA5DDF"/>
    <w:rsid w:val="525A6978"/>
    <w:rsid w:val="52AE78B1"/>
    <w:rsid w:val="52CB3708"/>
    <w:rsid w:val="52CE6B1A"/>
    <w:rsid w:val="52D55408"/>
    <w:rsid w:val="52DF5A85"/>
    <w:rsid w:val="53330701"/>
    <w:rsid w:val="538128BD"/>
    <w:rsid w:val="539F006D"/>
    <w:rsid w:val="53A039CC"/>
    <w:rsid w:val="53A1505A"/>
    <w:rsid w:val="54063E08"/>
    <w:rsid w:val="543437E8"/>
    <w:rsid w:val="550A6B45"/>
    <w:rsid w:val="55683A1E"/>
    <w:rsid w:val="5592691F"/>
    <w:rsid w:val="559B174B"/>
    <w:rsid w:val="55CD58B3"/>
    <w:rsid w:val="55CE0CF4"/>
    <w:rsid w:val="55EF63CB"/>
    <w:rsid w:val="560D56A9"/>
    <w:rsid w:val="56101068"/>
    <w:rsid w:val="563546B0"/>
    <w:rsid w:val="563F2CD3"/>
    <w:rsid w:val="56B22A9C"/>
    <w:rsid w:val="57997DB1"/>
    <w:rsid w:val="57A75A1C"/>
    <w:rsid w:val="57B72A76"/>
    <w:rsid w:val="57E13056"/>
    <w:rsid w:val="582F5A02"/>
    <w:rsid w:val="58841312"/>
    <w:rsid w:val="598629F0"/>
    <w:rsid w:val="59EC64B5"/>
    <w:rsid w:val="5A0A31AF"/>
    <w:rsid w:val="5A3C747D"/>
    <w:rsid w:val="5A9C5AE3"/>
    <w:rsid w:val="5AB85045"/>
    <w:rsid w:val="5ABE2233"/>
    <w:rsid w:val="5AE23032"/>
    <w:rsid w:val="5B276D18"/>
    <w:rsid w:val="5B64617A"/>
    <w:rsid w:val="5B882AA2"/>
    <w:rsid w:val="5BA53CC0"/>
    <w:rsid w:val="5BDF5D95"/>
    <w:rsid w:val="5C86408E"/>
    <w:rsid w:val="5CA05E7F"/>
    <w:rsid w:val="5D275CCF"/>
    <w:rsid w:val="5D500679"/>
    <w:rsid w:val="5DAB3B72"/>
    <w:rsid w:val="5DB1402C"/>
    <w:rsid w:val="5DEC37F3"/>
    <w:rsid w:val="5DF87A0F"/>
    <w:rsid w:val="5EB915BA"/>
    <w:rsid w:val="5EFA1F83"/>
    <w:rsid w:val="5F0C25F1"/>
    <w:rsid w:val="5F1A2B43"/>
    <w:rsid w:val="5FB27A46"/>
    <w:rsid w:val="5FB837BB"/>
    <w:rsid w:val="5FC07E46"/>
    <w:rsid w:val="5FC11974"/>
    <w:rsid w:val="5FC24952"/>
    <w:rsid w:val="5FFA55EB"/>
    <w:rsid w:val="6063347E"/>
    <w:rsid w:val="60F95D0E"/>
    <w:rsid w:val="612A3FC1"/>
    <w:rsid w:val="61927700"/>
    <w:rsid w:val="619A16DC"/>
    <w:rsid w:val="61E427AF"/>
    <w:rsid w:val="61EA2498"/>
    <w:rsid w:val="621511BF"/>
    <w:rsid w:val="622A6076"/>
    <w:rsid w:val="62364782"/>
    <w:rsid w:val="62BA67B8"/>
    <w:rsid w:val="635376CA"/>
    <w:rsid w:val="63C87E04"/>
    <w:rsid w:val="63CC6BCE"/>
    <w:rsid w:val="63D40BE9"/>
    <w:rsid w:val="63E0211F"/>
    <w:rsid w:val="645372AF"/>
    <w:rsid w:val="64542204"/>
    <w:rsid w:val="64943EE2"/>
    <w:rsid w:val="64BA2A97"/>
    <w:rsid w:val="64DB0EF3"/>
    <w:rsid w:val="65010BA0"/>
    <w:rsid w:val="65373578"/>
    <w:rsid w:val="65CD2940"/>
    <w:rsid w:val="65E97DB0"/>
    <w:rsid w:val="66CD3A36"/>
    <w:rsid w:val="673F2C7A"/>
    <w:rsid w:val="67DE3038"/>
    <w:rsid w:val="67E31626"/>
    <w:rsid w:val="681F2CF5"/>
    <w:rsid w:val="681F6961"/>
    <w:rsid w:val="68610A2F"/>
    <w:rsid w:val="68805514"/>
    <w:rsid w:val="69345F0F"/>
    <w:rsid w:val="693F6B2D"/>
    <w:rsid w:val="694E2071"/>
    <w:rsid w:val="697A3B33"/>
    <w:rsid w:val="699E2456"/>
    <w:rsid w:val="69B25E89"/>
    <w:rsid w:val="69C57FA5"/>
    <w:rsid w:val="6A2014B1"/>
    <w:rsid w:val="6B322639"/>
    <w:rsid w:val="6B9F73FA"/>
    <w:rsid w:val="6BC5689C"/>
    <w:rsid w:val="6C636C38"/>
    <w:rsid w:val="6DA40B7A"/>
    <w:rsid w:val="6DAC1038"/>
    <w:rsid w:val="6DB34098"/>
    <w:rsid w:val="6DB545B6"/>
    <w:rsid w:val="6E115415"/>
    <w:rsid w:val="6E2E2850"/>
    <w:rsid w:val="6E3D468C"/>
    <w:rsid w:val="6E4375A0"/>
    <w:rsid w:val="6E514CED"/>
    <w:rsid w:val="6E79491A"/>
    <w:rsid w:val="6EB563D5"/>
    <w:rsid w:val="6EC247BC"/>
    <w:rsid w:val="6F0C2B8F"/>
    <w:rsid w:val="6F225983"/>
    <w:rsid w:val="6F2B6694"/>
    <w:rsid w:val="6F5E6AA9"/>
    <w:rsid w:val="6FE4084F"/>
    <w:rsid w:val="6FFC5590"/>
    <w:rsid w:val="702C4BD4"/>
    <w:rsid w:val="70301DA3"/>
    <w:rsid w:val="706D1DD0"/>
    <w:rsid w:val="707A6D80"/>
    <w:rsid w:val="70856B87"/>
    <w:rsid w:val="70D527EE"/>
    <w:rsid w:val="715B5300"/>
    <w:rsid w:val="715F4BD7"/>
    <w:rsid w:val="716D1530"/>
    <w:rsid w:val="71D27F8A"/>
    <w:rsid w:val="71F744C6"/>
    <w:rsid w:val="71F960CF"/>
    <w:rsid w:val="727427F4"/>
    <w:rsid w:val="72777C26"/>
    <w:rsid w:val="72905D6F"/>
    <w:rsid w:val="731F5D5E"/>
    <w:rsid w:val="73977BF2"/>
    <w:rsid w:val="73E13EE4"/>
    <w:rsid w:val="741E793C"/>
    <w:rsid w:val="74376DFD"/>
    <w:rsid w:val="74500088"/>
    <w:rsid w:val="74E74932"/>
    <w:rsid w:val="758D75E2"/>
    <w:rsid w:val="75B734CB"/>
    <w:rsid w:val="75C77D48"/>
    <w:rsid w:val="75F55855"/>
    <w:rsid w:val="764352FA"/>
    <w:rsid w:val="77762421"/>
    <w:rsid w:val="779D739E"/>
    <w:rsid w:val="77D8265E"/>
    <w:rsid w:val="77FB7DBA"/>
    <w:rsid w:val="780F09F4"/>
    <w:rsid w:val="7824602F"/>
    <w:rsid w:val="789C4F47"/>
    <w:rsid w:val="78A11F10"/>
    <w:rsid w:val="78A90480"/>
    <w:rsid w:val="7948501B"/>
    <w:rsid w:val="79811327"/>
    <w:rsid w:val="79D456AC"/>
    <w:rsid w:val="7A347E17"/>
    <w:rsid w:val="7A364017"/>
    <w:rsid w:val="7A3C795A"/>
    <w:rsid w:val="7A8265E1"/>
    <w:rsid w:val="7A870DBC"/>
    <w:rsid w:val="7AC313F4"/>
    <w:rsid w:val="7B1D1548"/>
    <w:rsid w:val="7B686D42"/>
    <w:rsid w:val="7B841746"/>
    <w:rsid w:val="7CE71579"/>
    <w:rsid w:val="7D0239FF"/>
    <w:rsid w:val="7D03040F"/>
    <w:rsid w:val="7D28320C"/>
    <w:rsid w:val="7D464325"/>
    <w:rsid w:val="7D5E40CD"/>
    <w:rsid w:val="7D693BED"/>
    <w:rsid w:val="7D7632BB"/>
    <w:rsid w:val="7D8D42D6"/>
    <w:rsid w:val="7DC975CB"/>
    <w:rsid w:val="7E72519D"/>
    <w:rsid w:val="7F37727D"/>
    <w:rsid w:val="7FE47E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1" w:semiHidden="0" w:name="heading 2" w:locked="1"/>
    <w:lsdException w:qFormat="1" w:unhideWhenUsed="0" w:uiPriority="1" w:semiHidden="0" w:name="heading 3" w:locked="1"/>
    <w:lsdException w:qFormat="1" w:unhideWhenUsed="0" w:uiPriority="1" w:semiHidden="0" w:name="heading 4" w:locked="1"/>
    <w:lsdException w:unhideWhenUsed="0" w:uiPriority="0" w:semiHidden="0" w:name="heading 5" w:locked="1"/>
    <w:lsdException w:unhideWhenUsed="0" w:uiPriority="0" w:semiHidden="0" w:name="heading 6" w:locked="1"/>
    <w:lsdException w:unhideWhenUsed="0" w:uiPriority="0" w:semiHidden="0" w:name="heading 7" w:locked="1"/>
    <w:lsdException w:unhideWhenUsed="0" w:uiPriority="0" w:semiHidden="0" w:name="heading 8" w:locked="1"/>
    <w:lsdException w:unhideWhenUsed="0" w:uiPriority="0" w:semiHidden="0" w:name="heading 9" w:locked="1"/>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qFormat="1" w:unhideWhenUsed="0" w:uiPriority="99" w:semiHidden="0" w:name="index heading"/>
    <w:lsdException w:unhideWhenUsed="0" w:uiPriority="0" w:semiHidden="0"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ocked="1"/>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ocked="1"/>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ocked="1"/>
    <w:lsdException w:qFormat="1" w:unhideWhenUsed="0" w:uiPriority="0" w:semiHidden="0" w:name="Emphasis" w:locked="1"/>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3">
    <w:name w:val="heading 2"/>
    <w:basedOn w:val="1"/>
    <w:next w:val="1"/>
    <w:qFormat/>
    <w:locked/>
    <w:uiPriority w:val="1"/>
    <w:pPr>
      <w:ind w:left="240"/>
      <w:outlineLvl w:val="1"/>
    </w:pPr>
    <w:rPr>
      <w:rFonts w:ascii="宋体" w:hAnsi="宋体" w:cs="宋体"/>
      <w:b/>
      <w:bCs/>
      <w:sz w:val="30"/>
      <w:szCs w:val="30"/>
    </w:rPr>
  </w:style>
  <w:style w:type="paragraph" w:styleId="4">
    <w:name w:val="heading 3"/>
    <w:basedOn w:val="1"/>
    <w:next w:val="1"/>
    <w:qFormat/>
    <w:locked/>
    <w:uiPriority w:val="1"/>
    <w:pPr>
      <w:ind w:left="801"/>
      <w:outlineLvl w:val="2"/>
    </w:pPr>
    <w:rPr>
      <w:rFonts w:ascii="宋体" w:hAnsi="宋体" w:cs="宋体"/>
      <w:b/>
      <w:bCs/>
      <w:sz w:val="28"/>
      <w:szCs w:val="28"/>
    </w:rPr>
  </w:style>
  <w:style w:type="paragraph" w:styleId="5">
    <w:name w:val="heading 4"/>
    <w:basedOn w:val="1"/>
    <w:next w:val="1"/>
    <w:qFormat/>
    <w:locked/>
    <w:uiPriority w:val="1"/>
    <w:pPr>
      <w:ind w:left="783"/>
      <w:outlineLvl w:val="3"/>
    </w:pPr>
    <w:rPr>
      <w:rFonts w:eastAsia="Times New Roman"/>
      <w:b/>
      <w:bCs/>
      <w:sz w:val="28"/>
      <w:szCs w:val="28"/>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ind w:firstLine="420"/>
    </w:pPr>
    <w:rPr>
      <w:szCs w:val="20"/>
    </w:rPr>
  </w:style>
  <w:style w:type="paragraph" w:styleId="7">
    <w:name w:val="annotation text"/>
    <w:basedOn w:val="1"/>
    <w:link w:val="43"/>
    <w:semiHidden/>
    <w:qFormat/>
    <w:uiPriority w:val="0"/>
    <w:pPr>
      <w:jc w:val="left"/>
    </w:pPr>
    <w:rPr>
      <w:kern w:val="0"/>
      <w:sz w:val="20"/>
    </w:rPr>
  </w:style>
  <w:style w:type="paragraph" w:styleId="8">
    <w:name w:val="Body Text"/>
    <w:basedOn w:val="1"/>
    <w:link w:val="40"/>
    <w:qFormat/>
    <w:uiPriority w:val="0"/>
    <w:pPr>
      <w:widowControl/>
      <w:snapToGrid w:val="0"/>
      <w:spacing w:before="60" w:after="160" w:line="259" w:lineRule="auto"/>
      <w:ind w:right="113"/>
    </w:pPr>
    <w:rPr>
      <w:kern w:val="0"/>
      <w:sz w:val="18"/>
      <w:szCs w:val="18"/>
    </w:rPr>
  </w:style>
  <w:style w:type="paragraph" w:styleId="9">
    <w:name w:val="Body Text Indent"/>
    <w:basedOn w:val="1"/>
    <w:next w:val="10"/>
    <w:link w:val="44"/>
    <w:semiHidden/>
    <w:qFormat/>
    <w:uiPriority w:val="0"/>
    <w:pPr>
      <w:spacing w:after="120"/>
      <w:ind w:left="420" w:leftChars="200"/>
    </w:pPr>
  </w:style>
  <w:style w:type="paragraph" w:styleId="10">
    <w:name w:val="Body Text First Indent 2"/>
    <w:basedOn w:val="9"/>
    <w:next w:val="1"/>
    <w:qFormat/>
    <w:uiPriority w:val="0"/>
    <w:pPr>
      <w:ind w:firstLine="420" w:firstLineChars="200"/>
    </w:pPr>
  </w:style>
  <w:style w:type="paragraph" w:styleId="11">
    <w:name w:val="Plain Text"/>
    <w:basedOn w:val="1"/>
    <w:next w:val="12"/>
    <w:qFormat/>
    <w:uiPriority w:val="0"/>
    <w:rPr>
      <w:rFonts w:ascii="宋体" w:hAnsi="Courier New"/>
    </w:rPr>
  </w:style>
  <w:style w:type="paragraph" w:styleId="12">
    <w:name w:val="toc 1"/>
    <w:basedOn w:val="1"/>
    <w:next w:val="1"/>
    <w:qFormat/>
    <w:locked/>
    <w:uiPriority w:val="39"/>
    <w:pPr>
      <w:tabs>
        <w:tab w:val="right" w:leader="dot" w:pos="8296"/>
      </w:tabs>
      <w:spacing w:beforeLines="100" w:line="360" w:lineRule="auto"/>
    </w:pPr>
    <w:rPr>
      <w:snapToGrid w:val="0"/>
      <w:kern w:val="0"/>
      <w:sz w:val="24"/>
    </w:rPr>
  </w:style>
  <w:style w:type="paragraph" w:styleId="13">
    <w:name w:val="Date"/>
    <w:basedOn w:val="1"/>
    <w:next w:val="1"/>
    <w:link w:val="45"/>
    <w:qFormat/>
    <w:uiPriority w:val="0"/>
    <w:pPr>
      <w:ind w:left="100" w:leftChars="2500"/>
    </w:pPr>
    <w:rPr>
      <w:kern w:val="0"/>
      <w:sz w:val="20"/>
    </w:rPr>
  </w:style>
  <w:style w:type="paragraph" w:styleId="14">
    <w:name w:val="Balloon Text"/>
    <w:basedOn w:val="1"/>
    <w:link w:val="46"/>
    <w:semiHidden/>
    <w:qFormat/>
    <w:uiPriority w:val="0"/>
    <w:rPr>
      <w:sz w:val="18"/>
      <w:szCs w:val="18"/>
    </w:rPr>
  </w:style>
  <w:style w:type="paragraph" w:styleId="15">
    <w:name w:val="footer"/>
    <w:basedOn w:val="1"/>
    <w:link w:val="42"/>
    <w:qFormat/>
    <w:uiPriority w:val="0"/>
    <w:pPr>
      <w:tabs>
        <w:tab w:val="center" w:pos="4153"/>
        <w:tab w:val="right" w:pos="8306"/>
      </w:tabs>
      <w:snapToGrid w:val="0"/>
      <w:jc w:val="left"/>
    </w:pPr>
    <w:rPr>
      <w:sz w:val="18"/>
      <w:szCs w:val="18"/>
    </w:rPr>
  </w:style>
  <w:style w:type="paragraph" w:styleId="16">
    <w:name w:val="header"/>
    <w:basedOn w:val="1"/>
    <w:link w:val="47"/>
    <w:qFormat/>
    <w:uiPriority w:val="0"/>
    <w:pPr>
      <w:pBdr>
        <w:bottom w:val="single" w:color="auto" w:sz="6" w:space="1"/>
      </w:pBdr>
      <w:tabs>
        <w:tab w:val="center" w:pos="4153"/>
        <w:tab w:val="right" w:pos="8306"/>
      </w:tabs>
      <w:snapToGrid w:val="0"/>
      <w:jc w:val="center"/>
    </w:pPr>
    <w:rPr>
      <w:sz w:val="18"/>
      <w:szCs w:val="18"/>
    </w:rPr>
  </w:style>
  <w:style w:type="paragraph" w:styleId="17">
    <w:name w:val="index heading"/>
    <w:basedOn w:val="1"/>
    <w:next w:val="18"/>
    <w:qFormat/>
    <w:uiPriority w:val="99"/>
    <w:rPr>
      <w:rFonts w:ascii="Arial" w:hAnsi="Arial"/>
      <w:b/>
    </w:rPr>
  </w:style>
  <w:style w:type="paragraph" w:styleId="18">
    <w:name w:val="index 1"/>
    <w:basedOn w:val="1"/>
    <w:next w:val="1"/>
    <w:qFormat/>
    <w:uiPriority w:val="0"/>
  </w:style>
  <w:style w:type="paragraph" w:styleId="19">
    <w:name w:val="Body Text 2"/>
    <w:basedOn w:val="1"/>
    <w:qFormat/>
    <w:uiPriority w:val="0"/>
    <w:pPr>
      <w:spacing w:after="120" w:line="480" w:lineRule="auto"/>
    </w:pPr>
  </w:style>
  <w:style w:type="paragraph" w:styleId="20">
    <w:name w:val="Normal (Web)"/>
    <w:basedOn w:val="1"/>
    <w:link w:val="48"/>
    <w:qFormat/>
    <w:uiPriority w:val="0"/>
    <w:pPr>
      <w:widowControl/>
      <w:spacing w:before="100" w:beforeAutospacing="1" w:after="100" w:afterAutospacing="1"/>
      <w:jc w:val="left"/>
    </w:pPr>
    <w:rPr>
      <w:rFonts w:ascii="宋体" w:hAnsi="宋体"/>
      <w:kern w:val="0"/>
      <w:sz w:val="24"/>
    </w:rPr>
  </w:style>
  <w:style w:type="paragraph" w:styleId="21">
    <w:name w:val="Title"/>
    <w:basedOn w:val="1"/>
    <w:next w:val="1"/>
    <w:qFormat/>
    <w:locked/>
    <w:uiPriority w:val="10"/>
    <w:pPr>
      <w:adjustRightInd w:val="0"/>
      <w:snapToGrid w:val="0"/>
      <w:jc w:val="center"/>
      <w:outlineLvl w:val="0"/>
    </w:pPr>
    <w:rPr>
      <w:b/>
      <w:bCs/>
      <w:sz w:val="24"/>
      <w:szCs w:val="32"/>
    </w:rPr>
  </w:style>
  <w:style w:type="paragraph" w:styleId="22">
    <w:name w:val="annotation subject"/>
    <w:basedOn w:val="7"/>
    <w:next w:val="7"/>
    <w:link w:val="49"/>
    <w:semiHidden/>
    <w:qFormat/>
    <w:uiPriority w:val="0"/>
    <w:rPr>
      <w:b/>
      <w:bCs/>
    </w:rPr>
  </w:style>
  <w:style w:type="paragraph" w:styleId="23">
    <w:name w:val="Body Text First Indent"/>
    <w:basedOn w:val="8"/>
    <w:next w:val="1"/>
    <w:qFormat/>
    <w:uiPriority w:val="0"/>
    <w:pPr>
      <w:spacing w:after="120"/>
      <w:ind w:firstLine="420" w:firstLineChars="100"/>
    </w:pPr>
    <w:rPr>
      <w:sz w:val="21"/>
      <w:szCs w:val="20"/>
    </w:rPr>
  </w:style>
  <w:style w:type="table" w:styleId="25">
    <w:name w:val="Table Grid"/>
    <w:basedOn w:val="2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Strong"/>
    <w:basedOn w:val="26"/>
    <w:qFormat/>
    <w:locked/>
    <w:uiPriority w:val="0"/>
    <w:rPr>
      <w:b/>
    </w:rPr>
  </w:style>
  <w:style w:type="character" w:styleId="28">
    <w:name w:val="page number"/>
    <w:basedOn w:val="26"/>
    <w:qFormat/>
    <w:uiPriority w:val="0"/>
  </w:style>
  <w:style w:type="character" w:styleId="29">
    <w:name w:val="Emphasis"/>
    <w:basedOn w:val="26"/>
    <w:qFormat/>
    <w:locked/>
    <w:uiPriority w:val="0"/>
    <w:rPr>
      <w:i/>
    </w:rPr>
  </w:style>
  <w:style w:type="character" w:styleId="30">
    <w:name w:val="Hyperlink"/>
    <w:basedOn w:val="26"/>
    <w:qFormat/>
    <w:uiPriority w:val="0"/>
    <w:rPr>
      <w:color w:val="0000FF"/>
      <w:u w:val="single"/>
    </w:rPr>
  </w:style>
  <w:style w:type="character" w:styleId="31">
    <w:name w:val="annotation reference"/>
    <w:basedOn w:val="26"/>
    <w:semiHidden/>
    <w:qFormat/>
    <w:uiPriority w:val="0"/>
    <w:rPr>
      <w:sz w:val="21"/>
    </w:rPr>
  </w:style>
  <w:style w:type="paragraph" w:customStyle="1" w:styleId="32">
    <w:name w:val="NormalIndent"/>
    <w:basedOn w:val="1"/>
    <w:next w:val="33"/>
    <w:qFormat/>
    <w:uiPriority w:val="0"/>
    <w:pPr>
      <w:ind w:firstLine="420"/>
      <w:textAlignment w:val="baseline"/>
    </w:pPr>
    <w:rPr>
      <w:rFonts w:ascii="Calibri" w:hAnsi="Calibri"/>
      <w:szCs w:val="20"/>
    </w:rPr>
  </w:style>
  <w:style w:type="paragraph" w:customStyle="1" w:styleId="33">
    <w:name w:val="UserStyle_0"/>
    <w:basedOn w:val="1"/>
    <w:next w:val="1"/>
    <w:qFormat/>
    <w:uiPriority w:val="0"/>
    <w:pPr>
      <w:textAlignment w:val="baseline"/>
    </w:pPr>
    <w:rPr>
      <w:rFonts w:ascii="Calibri" w:hAnsi="Calibri"/>
      <w:sz w:val="24"/>
    </w:rPr>
  </w:style>
  <w:style w:type="paragraph" w:customStyle="1" w:styleId="34">
    <w:name w:val="正文1"/>
    <w:basedOn w:val="1"/>
    <w:next w:val="1"/>
    <w:link w:val="67"/>
    <w:qFormat/>
    <w:uiPriority w:val="0"/>
    <w:pPr>
      <w:adjustRightInd w:val="0"/>
      <w:snapToGrid w:val="0"/>
      <w:spacing w:line="360" w:lineRule="auto"/>
      <w:ind w:firstLine="720" w:firstLineChars="200"/>
    </w:pPr>
    <w:rPr>
      <w:rFonts w:hint="eastAsia"/>
      <w:sz w:val="24"/>
    </w:rPr>
  </w:style>
  <w:style w:type="paragraph" w:customStyle="1" w:styleId="35">
    <w:name w:val="表格文字"/>
    <w:qFormat/>
    <w:uiPriority w:val="0"/>
    <w:pPr>
      <w:widowControl w:val="0"/>
      <w:jc w:val="center"/>
      <w:textAlignment w:val="center"/>
    </w:pPr>
    <w:rPr>
      <w:rFonts w:ascii="Times New Roman" w:hAnsi="Times New Roman" w:eastAsia="宋体" w:cs="Times New Roman"/>
      <w:kern w:val="2"/>
      <w:sz w:val="21"/>
      <w:szCs w:val="21"/>
      <w:lang w:val="en-US" w:eastAsia="zh-CN" w:bidi="ar-SA"/>
    </w:rPr>
  </w:style>
  <w:style w:type="paragraph" w:customStyle="1" w:styleId="36">
    <w:name w:val="xl27"/>
    <w:basedOn w:val="1"/>
    <w:qFormat/>
    <w:uiPriority w:val="0"/>
    <w:pPr>
      <w:widowControl/>
      <w:pBdr>
        <w:bottom w:val="single" w:color="auto" w:sz="4" w:space="0"/>
        <w:right w:val="single" w:color="auto" w:sz="4" w:space="0"/>
      </w:pBdr>
      <w:spacing w:before="100" w:beforeAutospacing="1" w:after="100" w:afterAutospacing="1"/>
      <w:jc w:val="center"/>
    </w:pPr>
    <w:rPr>
      <w:kern w:val="0"/>
      <w:szCs w:val="21"/>
    </w:rPr>
  </w:style>
  <w:style w:type="paragraph" w:customStyle="1" w:styleId="37">
    <w:name w:val="正文."/>
    <w:basedOn w:val="1"/>
    <w:qFormat/>
    <w:uiPriority w:val="0"/>
    <w:rPr>
      <w:sz w:val="28"/>
      <w:szCs w:val="28"/>
    </w:rPr>
  </w:style>
  <w:style w:type="paragraph" w:customStyle="1" w:styleId="38">
    <w:name w:val="表格"/>
    <w:basedOn w:val="6"/>
    <w:next w:val="1"/>
    <w:link w:val="54"/>
    <w:qFormat/>
    <w:uiPriority w:val="0"/>
    <w:pPr>
      <w:adjustRightInd w:val="0"/>
      <w:snapToGrid w:val="0"/>
      <w:spacing w:beforeLines="10" w:afterLines="10" w:line="259" w:lineRule="auto"/>
      <w:jc w:val="center"/>
    </w:pPr>
    <w:rPr>
      <w:rFonts w:ascii="宋体"/>
      <w:kern w:val="0"/>
      <w:sz w:val="20"/>
      <w:szCs w:val="21"/>
    </w:rPr>
  </w:style>
  <w:style w:type="paragraph" w:customStyle="1" w:styleId="39">
    <w:name w:val="表头"/>
    <w:basedOn w:val="1"/>
    <w:next w:val="1"/>
    <w:qFormat/>
    <w:uiPriority w:val="0"/>
    <w:pPr>
      <w:jc w:val="left"/>
    </w:pPr>
  </w:style>
  <w:style w:type="character" w:customStyle="1" w:styleId="40">
    <w:name w:val="正文文本 Char"/>
    <w:link w:val="8"/>
    <w:qFormat/>
    <w:locked/>
    <w:uiPriority w:val="0"/>
    <w:rPr>
      <w:sz w:val="18"/>
    </w:rPr>
  </w:style>
  <w:style w:type="paragraph" w:customStyle="1" w:styleId="41">
    <w:name w:val="Date1"/>
    <w:basedOn w:val="1"/>
    <w:next w:val="1"/>
    <w:qFormat/>
    <w:uiPriority w:val="0"/>
    <w:pPr>
      <w:adjustRightInd w:val="0"/>
      <w:jc w:val="left"/>
      <w:textAlignment w:val="baseline"/>
    </w:pPr>
    <w:rPr>
      <w:rFonts w:ascii="宋体" w:hAnsi="宋体"/>
      <w:sz w:val="28"/>
      <w:szCs w:val="20"/>
    </w:rPr>
  </w:style>
  <w:style w:type="character" w:customStyle="1" w:styleId="42">
    <w:name w:val="页脚 Char"/>
    <w:basedOn w:val="26"/>
    <w:link w:val="15"/>
    <w:qFormat/>
    <w:locked/>
    <w:uiPriority w:val="0"/>
    <w:rPr>
      <w:rFonts w:cs="Times New Roman"/>
      <w:sz w:val="18"/>
      <w:szCs w:val="18"/>
    </w:rPr>
  </w:style>
  <w:style w:type="character" w:customStyle="1" w:styleId="43">
    <w:name w:val="批注文字 Char"/>
    <w:link w:val="7"/>
    <w:qFormat/>
    <w:locked/>
    <w:uiPriority w:val="0"/>
    <w:rPr>
      <w:rFonts w:ascii="Times New Roman" w:hAnsi="Times New Roman" w:eastAsia="宋体"/>
      <w:sz w:val="24"/>
    </w:rPr>
  </w:style>
  <w:style w:type="character" w:customStyle="1" w:styleId="44">
    <w:name w:val="正文文本缩进 Char"/>
    <w:basedOn w:val="26"/>
    <w:link w:val="9"/>
    <w:semiHidden/>
    <w:qFormat/>
    <w:locked/>
    <w:uiPriority w:val="0"/>
    <w:rPr>
      <w:rFonts w:ascii="Times New Roman" w:hAnsi="Times New Roman" w:eastAsia="宋体" w:cs="Times New Roman"/>
      <w:sz w:val="24"/>
      <w:szCs w:val="24"/>
    </w:rPr>
  </w:style>
  <w:style w:type="character" w:customStyle="1" w:styleId="45">
    <w:name w:val="日期 Char"/>
    <w:link w:val="13"/>
    <w:qFormat/>
    <w:locked/>
    <w:uiPriority w:val="0"/>
    <w:rPr>
      <w:rFonts w:ascii="Times New Roman" w:hAnsi="Times New Roman" w:eastAsia="宋体"/>
      <w:sz w:val="24"/>
    </w:rPr>
  </w:style>
  <w:style w:type="character" w:customStyle="1" w:styleId="46">
    <w:name w:val="批注框文本 Char"/>
    <w:basedOn w:val="26"/>
    <w:link w:val="14"/>
    <w:semiHidden/>
    <w:qFormat/>
    <w:locked/>
    <w:uiPriority w:val="0"/>
    <w:rPr>
      <w:rFonts w:ascii="Times New Roman" w:hAnsi="Times New Roman" w:eastAsia="宋体" w:cs="Times New Roman"/>
      <w:sz w:val="18"/>
      <w:szCs w:val="18"/>
    </w:rPr>
  </w:style>
  <w:style w:type="character" w:customStyle="1" w:styleId="47">
    <w:name w:val="页眉 Char"/>
    <w:basedOn w:val="26"/>
    <w:link w:val="16"/>
    <w:qFormat/>
    <w:locked/>
    <w:uiPriority w:val="0"/>
    <w:rPr>
      <w:rFonts w:cs="Times New Roman"/>
      <w:sz w:val="18"/>
      <w:szCs w:val="18"/>
    </w:rPr>
  </w:style>
  <w:style w:type="character" w:customStyle="1" w:styleId="48">
    <w:name w:val="普通(网站) Char1"/>
    <w:link w:val="20"/>
    <w:qFormat/>
    <w:locked/>
    <w:uiPriority w:val="0"/>
    <w:rPr>
      <w:rFonts w:ascii="宋体" w:hAnsi="宋体" w:eastAsia="宋体"/>
      <w:sz w:val="24"/>
    </w:rPr>
  </w:style>
  <w:style w:type="character" w:customStyle="1" w:styleId="49">
    <w:name w:val="批注主题 Char"/>
    <w:basedOn w:val="43"/>
    <w:link w:val="22"/>
    <w:semiHidden/>
    <w:qFormat/>
    <w:locked/>
    <w:uiPriority w:val="0"/>
    <w:rPr>
      <w:rFonts w:ascii="Times New Roman" w:hAnsi="Times New Roman" w:eastAsia="宋体" w:cs="Times New Roman"/>
      <w:b/>
      <w:bCs/>
      <w:kern w:val="2"/>
      <w:sz w:val="24"/>
      <w:szCs w:val="24"/>
    </w:rPr>
  </w:style>
  <w:style w:type="paragraph" w:customStyle="1" w:styleId="50">
    <w:name w:val="正文（首行缩进两字）"/>
    <w:basedOn w:val="1"/>
    <w:qFormat/>
    <w:uiPriority w:val="0"/>
    <w:pPr>
      <w:ind w:firstLine="420"/>
    </w:pPr>
    <w:rPr>
      <w:sz w:val="28"/>
      <w:szCs w:val="21"/>
    </w:rPr>
  </w:style>
  <w:style w:type="character" w:customStyle="1" w:styleId="51">
    <w:name w:val="正文文本 字符1"/>
    <w:basedOn w:val="26"/>
    <w:semiHidden/>
    <w:qFormat/>
    <w:uiPriority w:val="0"/>
    <w:rPr>
      <w:rFonts w:ascii="Times New Roman" w:hAnsi="Times New Roman" w:eastAsia="宋体" w:cs="Times New Roman"/>
      <w:sz w:val="24"/>
      <w:szCs w:val="24"/>
    </w:rPr>
  </w:style>
  <w:style w:type="character" w:customStyle="1" w:styleId="52">
    <w:name w:val="日期 字符"/>
    <w:basedOn w:val="26"/>
    <w:semiHidden/>
    <w:qFormat/>
    <w:uiPriority w:val="0"/>
    <w:rPr>
      <w:rFonts w:ascii="Times New Roman" w:hAnsi="Times New Roman" w:eastAsia="宋体" w:cs="Times New Roman"/>
      <w:sz w:val="24"/>
      <w:szCs w:val="24"/>
    </w:rPr>
  </w:style>
  <w:style w:type="character" w:customStyle="1" w:styleId="53">
    <w:name w:val="普通(网站) Char"/>
    <w:qFormat/>
    <w:locked/>
    <w:uiPriority w:val="0"/>
    <w:rPr>
      <w:rFonts w:ascii="宋体" w:hAnsi="宋体" w:eastAsia="宋体"/>
      <w:sz w:val="24"/>
    </w:rPr>
  </w:style>
  <w:style w:type="character" w:customStyle="1" w:styleId="54">
    <w:name w:val="表格 Char"/>
    <w:link w:val="38"/>
    <w:qFormat/>
    <w:locked/>
    <w:uiPriority w:val="0"/>
    <w:rPr>
      <w:rFonts w:ascii="宋体"/>
      <w:sz w:val="21"/>
    </w:rPr>
  </w:style>
  <w:style w:type="character" w:customStyle="1" w:styleId="55">
    <w:name w:val="批注文字 字符1"/>
    <w:basedOn w:val="26"/>
    <w:semiHidden/>
    <w:qFormat/>
    <w:uiPriority w:val="0"/>
    <w:rPr>
      <w:rFonts w:ascii="Times New Roman" w:hAnsi="Times New Roman" w:eastAsia="宋体" w:cs="Times New Roman"/>
      <w:sz w:val="24"/>
      <w:szCs w:val="24"/>
    </w:rPr>
  </w:style>
  <w:style w:type="paragraph" w:customStyle="1" w:styleId="56">
    <w:name w:val="普通(网站)2"/>
    <w:basedOn w:val="1"/>
    <w:qFormat/>
    <w:uiPriority w:val="0"/>
    <w:pPr>
      <w:widowControl/>
      <w:spacing w:before="100" w:beforeAutospacing="1" w:after="100" w:afterAutospacing="1"/>
      <w:jc w:val="left"/>
    </w:pPr>
    <w:rPr>
      <w:rFonts w:ascii="宋体" w:hAnsi="宋体"/>
      <w:sz w:val="24"/>
      <w:szCs w:val="20"/>
    </w:rPr>
  </w:style>
  <w:style w:type="paragraph" w:customStyle="1" w:styleId="57">
    <w:name w:val="报告表标题1"/>
    <w:basedOn w:val="1"/>
    <w:qFormat/>
    <w:uiPriority w:val="0"/>
    <w:pPr>
      <w:adjustRightInd w:val="0"/>
    </w:pPr>
    <w:rPr>
      <w:rFonts w:ascii="Calibri" w:hAnsi="Calibri" w:eastAsia="黑体"/>
    </w:rPr>
  </w:style>
  <w:style w:type="paragraph" w:customStyle="1" w:styleId="58">
    <w:name w:val="Table Paragraph"/>
    <w:basedOn w:val="1"/>
    <w:qFormat/>
    <w:uiPriority w:val="1"/>
    <w:pPr>
      <w:jc w:val="center"/>
    </w:pPr>
    <w:rPr>
      <w:rFonts w:eastAsia="Times New Roman"/>
    </w:rPr>
  </w:style>
  <w:style w:type="paragraph" w:styleId="59">
    <w:name w:val="List Paragraph"/>
    <w:basedOn w:val="1"/>
    <w:qFormat/>
    <w:uiPriority w:val="1"/>
    <w:pPr>
      <w:ind w:left="956" w:hanging="197"/>
    </w:pPr>
    <w:rPr>
      <w:rFonts w:ascii="宋体" w:hAnsi="宋体" w:cs="宋体"/>
    </w:rPr>
  </w:style>
  <w:style w:type="paragraph" w:customStyle="1" w:styleId="60">
    <w:name w:val="Default"/>
    <w:next w:val="17"/>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61">
    <w:name w:val="环评送审"/>
    <w:basedOn w:val="1"/>
    <w:qFormat/>
    <w:uiPriority w:val="0"/>
    <w:pPr>
      <w:spacing w:line="360" w:lineRule="auto"/>
      <w:ind w:firstLine="480" w:firstLineChars="200"/>
      <w:jc w:val="left"/>
    </w:pPr>
    <w:rPr>
      <w:rFonts w:ascii="仿宋_GB2312" w:eastAsia="仿宋_GB2312"/>
      <w:sz w:val="24"/>
      <w:szCs w:val="20"/>
    </w:rPr>
  </w:style>
  <w:style w:type="paragraph" w:customStyle="1" w:styleId="62">
    <w:name w:val="【正文】"/>
    <w:basedOn w:val="1"/>
    <w:qFormat/>
    <w:uiPriority w:val="0"/>
    <w:pPr>
      <w:spacing w:line="440" w:lineRule="exact"/>
      <w:ind w:firstLine="544"/>
    </w:pPr>
    <w:rPr>
      <w:rFonts w:cs="宋体"/>
      <w:sz w:val="24"/>
      <w:szCs w:val="20"/>
    </w:rPr>
  </w:style>
  <w:style w:type="paragraph" w:customStyle="1" w:styleId="63">
    <w:name w:val="正文120"/>
    <w:basedOn w:val="1"/>
    <w:qFormat/>
    <w:uiPriority w:val="0"/>
    <w:pPr>
      <w:spacing w:line="360" w:lineRule="auto"/>
      <w:ind w:firstLine="720" w:firstLineChars="200"/>
    </w:pPr>
    <w:rPr>
      <w:sz w:val="24"/>
    </w:rPr>
  </w:style>
  <w:style w:type="paragraph" w:customStyle="1" w:styleId="64">
    <w:name w:val="小标题"/>
    <w:basedOn w:val="1"/>
    <w:qFormat/>
    <w:uiPriority w:val="0"/>
    <w:pPr>
      <w:jc w:val="center"/>
    </w:pPr>
    <w:rPr>
      <w:rFonts w:hint="eastAsia"/>
      <w:b/>
    </w:rPr>
  </w:style>
  <w:style w:type="paragraph" w:customStyle="1" w:styleId="65">
    <w:name w:val="表格1"/>
    <w:basedOn w:val="1"/>
    <w:qFormat/>
    <w:uiPriority w:val="0"/>
    <w:pPr>
      <w:jc w:val="center"/>
    </w:pPr>
    <w:rPr>
      <w:rFonts w:hint="eastAsia"/>
    </w:rPr>
  </w:style>
  <w:style w:type="paragraph" w:customStyle="1" w:styleId="66">
    <w:name w:val="表格加粗"/>
    <w:basedOn w:val="1"/>
    <w:link w:val="71"/>
    <w:qFormat/>
    <w:uiPriority w:val="0"/>
    <w:pPr>
      <w:adjustRightInd w:val="0"/>
      <w:snapToGrid w:val="0"/>
      <w:jc w:val="center"/>
    </w:pPr>
    <w:rPr>
      <w:rFonts w:hint="eastAsia"/>
      <w:b/>
      <w:kern w:val="0"/>
    </w:rPr>
  </w:style>
  <w:style w:type="character" w:customStyle="1" w:styleId="67">
    <w:name w:val="正文1 Char"/>
    <w:link w:val="34"/>
    <w:qFormat/>
    <w:uiPriority w:val="0"/>
    <w:rPr>
      <w:rFonts w:hint="eastAsia" w:ascii="Times New Roman" w:hAnsi="Times New Roman" w:cs="Times New Roman"/>
      <w:color w:val="auto"/>
      <w:sz w:val="24"/>
    </w:rPr>
  </w:style>
  <w:style w:type="character" w:customStyle="1" w:styleId="68">
    <w:name w:val="font21"/>
    <w:basedOn w:val="26"/>
    <w:qFormat/>
    <w:uiPriority w:val="0"/>
    <w:rPr>
      <w:rFonts w:hint="default" w:ascii="Times New Roman" w:hAnsi="Times New Roman" w:cs="Times New Roman"/>
      <w:color w:val="000000"/>
      <w:sz w:val="24"/>
      <w:szCs w:val="24"/>
      <w:u w:val="none"/>
    </w:rPr>
  </w:style>
  <w:style w:type="character" w:customStyle="1" w:styleId="69">
    <w:name w:val="font01"/>
    <w:basedOn w:val="26"/>
    <w:qFormat/>
    <w:uiPriority w:val="0"/>
    <w:rPr>
      <w:rFonts w:hint="eastAsia" w:ascii="宋体" w:hAnsi="宋体" w:eastAsia="宋体" w:cs="宋体"/>
      <w:color w:val="000000"/>
      <w:sz w:val="24"/>
      <w:szCs w:val="24"/>
      <w:u w:val="none"/>
    </w:rPr>
  </w:style>
  <w:style w:type="character" w:customStyle="1" w:styleId="70">
    <w:name w:val="font31"/>
    <w:basedOn w:val="26"/>
    <w:qFormat/>
    <w:uiPriority w:val="0"/>
    <w:rPr>
      <w:rFonts w:hint="default" w:ascii="Times New Roman" w:hAnsi="Times New Roman" w:cs="Times New Roman"/>
      <w:color w:val="000000"/>
      <w:sz w:val="21"/>
      <w:szCs w:val="21"/>
      <w:u w:val="none"/>
    </w:rPr>
  </w:style>
  <w:style w:type="character" w:customStyle="1" w:styleId="71">
    <w:name w:val="表格加粗 Char"/>
    <w:link w:val="66"/>
    <w:qFormat/>
    <w:uiPriority w:val="0"/>
    <w:rPr>
      <w:rFonts w:hint="eastAsia" w:ascii="Times New Roman" w:hAnsi="Times New Roman" w:eastAsia="宋体"/>
      <w:b/>
      <w:color w:val="auto"/>
      <w:kern w:val="0"/>
    </w:rPr>
  </w:style>
  <w:style w:type="paragraph" w:customStyle="1" w:styleId="72">
    <w:name w:val="WPSOffice手动目录 1"/>
    <w:qFormat/>
    <w:uiPriority w:val="0"/>
    <w:rPr>
      <w:rFonts w:ascii="Times New Roman" w:hAnsi="Times New Roman" w:eastAsia="宋体" w:cs="Times New Roman"/>
      <w:lang w:val="en-US" w:eastAsia="zh-CN" w:bidi="ar-SA"/>
    </w:rPr>
  </w:style>
  <w:style w:type="paragraph" w:customStyle="1" w:styleId="73">
    <w:name w:val="表格（长）"/>
    <w:basedOn w:val="1"/>
    <w:qFormat/>
    <w:uiPriority w:val="0"/>
    <w:pPr>
      <w:widowControl/>
      <w:spacing w:line="240" w:lineRule="auto"/>
      <w:jc w:val="both"/>
    </w:pPr>
    <w:rPr>
      <w:rFonts w:hint="default" w:ascii="Times New Roman" w:hAnsi="Times New Roman" w:cs="宋体"/>
      <w:color w:val="000000"/>
      <w:kern w:val="0"/>
      <w:sz w:val="21"/>
      <w:szCs w:val="21"/>
      <w:lang w:bidi="ar"/>
    </w:rPr>
  </w:style>
  <w:style w:type="paragraph" w:customStyle="1" w:styleId="74">
    <w:name w:val="正文（缩进）"/>
    <w:basedOn w:val="75"/>
    <w:qFormat/>
    <w:uiPriority w:val="0"/>
    <w:pPr>
      <w:spacing w:line="360" w:lineRule="auto"/>
      <w:ind w:firstLine="480" w:firstLineChars="200"/>
    </w:pPr>
    <w:rPr>
      <w:sz w:val="24"/>
      <w:szCs w:val="20"/>
    </w:rPr>
  </w:style>
  <w:style w:type="paragraph" w:customStyle="1" w:styleId="75">
    <w:name w:val="正文(首行缩进)"/>
    <w:basedOn w:val="1"/>
    <w:qFormat/>
    <w:uiPriority w:val="0"/>
    <w:pPr>
      <w:spacing w:line="460" w:lineRule="exact"/>
      <w:ind w:firstLine="560" w:firstLineChars="200"/>
    </w:pPr>
    <w:rPr>
      <w:rFonts w:ascii="宋体" w:hAnsi="宋体"/>
      <w:snapToGrid w:val="0"/>
      <w:color w:val="000000"/>
      <w:kern w:val="0"/>
      <w:sz w:val="24"/>
      <w:szCs w:val="24"/>
    </w:rPr>
  </w:style>
  <w:style w:type="paragraph" w:customStyle="1" w:styleId="76">
    <w:name w:val="0-正文"/>
    <w:basedOn w:val="1"/>
    <w:qFormat/>
    <w:uiPriority w:val="0"/>
    <w:pPr>
      <w:snapToGrid w:val="0"/>
      <w:spacing w:before="120" w:after="120" w:line="360" w:lineRule="auto"/>
      <w:ind w:firstLine="480" w:firstLineChars="200"/>
      <w:jc w:val="left"/>
    </w:pPr>
    <w:rPr>
      <w:rFonts w:hAnsi="宋体"/>
      <w:snapToGrid w:val="0"/>
      <w:kern w:val="0"/>
      <w:sz w:val="24"/>
      <w:szCs w:val="22"/>
    </w:rPr>
  </w:style>
  <w:style w:type="paragraph" w:customStyle="1" w:styleId="77">
    <w:name w:val="报告表正文"/>
    <w:basedOn w:val="1"/>
    <w:qFormat/>
    <w:uiPriority w:val="0"/>
    <w:pPr>
      <w:adjustRightInd w:val="0"/>
      <w:spacing w:line="312" w:lineRule="auto"/>
      <w:ind w:left="113" w:right="113" w:firstLine="482"/>
      <w:jc w:val="left"/>
      <w:textAlignment w:val="baseline"/>
    </w:pPr>
    <w:rPr>
      <w:rFonts w:ascii="Times New Roman" w:hAnsi="Times New Roman"/>
      <w:color w:val="auto"/>
      <w:kern w:val="0"/>
      <w:szCs w:val="20"/>
    </w:rPr>
  </w:style>
  <w:style w:type="paragraph" w:customStyle="1" w:styleId="78">
    <w:name w:val="永环表内格式"/>
    <w:basedOn w:val="1"/>
    <w:qFormat/>
    <w:uiPriority w:val="0"/>
    <w:pPr>
      <w:adjustRightInd w:val="0"/>
      <w:snapToGrid w:val="0"/>
      <w:spacing w:line="300" w:lineRule="exact"/>
      <w:jc w:val="center"/>
    </w:pPr>
    <w:rPr>
      <w:rFonts w:ascii="宋体" w:hAnsi="宋体"/>
      <w:kern w:val="0"/>
      <w:szCs w:val="21"/>
    </w:rPr>
  </w:style>
  <w:style w:type="paragraph" w:customStyle="1" w:styleId="79">
    <w:name w:val="4级标题"/>
    <w:basedOn w:val="1"/>
    <w:qFormat/>
    <w:uiPriority w:val="0"/>
    <w:pPr>
      <w:numPr>
        <w:ilvl w:val="3"/>
        <w:numId w:val="1"/>
      </w:numPr>
      <w:snapToGrid w:val="0"/>
      <w:spacing w:before="240" w:line="360" w:lineRule="auto"/>
      <w:jc w:val="left"/>
      <w:outlineLvl w:val="3"/>
    </w:pPr>
    <w:rPr>
      <w:rFonts w:ascii="黑体" w:hAnsi="黑体" w:eastAsia="黑体"/>
      <w:sz w:val="24"/>
    </w:rPr>
  </w:style>
  <w:style w:type="paragraph" w:customStyle="1" w:styleId="80">
    <w:name w:val="_正文格式"/>
    <w:basedOn w:val="1"/>
    <w:qFormat/>
    <w:uiPriority w:val="0"/>
    <w:pPr>
      <w:spacing w:line="480" w:lineRule="exact"/>
      <w:ind w:firstLine="567"/>
    </w:pPr>
    <w:rPr>
      <w:rFonts w:eastAsia="仿宋_GB2312"/>
      <w:sz w:val="28"/>
    </w:rPr>
  </w:style>
  <w:style w:type="paragraph" w:customStyle="1" w:styleId="81">
    <w:name w:val="表格内容"/>
    <w:basedOn w:val="6"/>
    <w:qFormat/>
    <w:uiPriority w:val="0"/>
    <w:pPr>
      <w:widowControl/>
      <w:adjustRightInd w:val="0"/>
      <w:snapToGrid w:val="0"/>
      <w:spacing w:line="240" w:lineRule="atLeast"/>
      <w:ind w:firstLine="0"/>
      <w:jc w:val="center"/>
    </w:pPr>
    <w:rPr>
      <w:rFonts w:ascii="Times New Roman" w:hAnsi="Times New Roman" w:eastAsia="宋体"/>
      <w:snapToGrid w:val="0"/>
      <w:kern w:val="0"/>
      <w:sz w:val="21"/>
      <w:szCs w:val="24"/>
    </w:rPr>
  </w:style>
  <w:style w:type="paragraph" w:customStyle="1" w:styleId="82">
    <w:name w:val="！表格项目"/>
    <w:basedOn w:val="1"/>
    <w:qFormat/>
    <w:uiPriority w:val="0"/>
    <w:pPr>
      <w:spacing w:line="240" w:lineRule="atLeast"/>
      <w:jc w:val="center"/>
    </w:pPr>
    <w:rPr>
      <w:szCs w:val="20"/>
    </w:rPr>
  </w:style>
  <w:style w:type="paragraph" w:customStyle="1" w:styleId="83">
    <w:name w:val="样式4"/>
    <w:basedOn w:val="8"/>
    <w:qFormat/>
    <w:uiPriority w:val="0"/>
    <w:pPr>
      <w:widowControl w:val="0"/>
      <w:spacing w:before="0" w:after="0" w:line="360" w:lineRule="auto"/>
      <w:ind w:right="0" w:firstLine="567"/>
    </w:pPr>
    <w:rPr>
      <w:rFonts w:ascii="Calibri" w:hAnsi="Calibri" w:eastAsia="仿宋_GB2312" w:cs="宋体"/>
      <w:snapToGrid w:val="0"/>
      <w:kern w:val="2"/>
      <w:sz w:val="28"/>
      <w:szCs w:val="24"/>
      <w:lang w:val="en-US" w:eastAsia="zh-CN"/>
    </w:rPr>
  </w:style>
  <w:style w:type="paragraph" w:customStyle="1" w:styleId="84">
    <w:name w:val="msonormalcxspmiddle"/>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3.jpeg"/><Relationship Id="rId8" Type="http://schemas.openxmlformats.org/officeDocument/2006/relationships/image" Target="media/image2.jpeg"/><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7.emf"/><Relationship Id="rId13" Type="http://schemas.openxmlformats.org/officeDocument/2006/relationships/oleObject" Target="embeddings/oleObject1.bin"/><Relationship Id="rId12" Type="http://schemas.openxmlformats.org/officeDocument/2006/relationships/image" Target="media/image6.png"/><Relationship Id="rId11" Type="http://schemas.openxmlformats.org/officeDocument/2006/relationships/image" Target="media/image5.png"/><Relationship Id="rId10" Type="http://schemas.openxmlformats.org/officeDocument/2006/relationships/image" Target="media/image4.jpe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55</Pages>
  <Words>33140</Words>
  <Characters>35601</Characters>
  <Lines>195</Lines>
  <Paragraphs>55</Paragraphs>
  <TotalTime>1</TotalTime>
  <ScaleCrop>false</ScaleCrop>
  <LinksUpToDate>false</LinksUpToDate>
  <CharactersWithSpaces>35764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2023-04-03T08:52:00Z</dcterms:created>
  <dc:creator>lhj</dc:creator>
  <cp:lastModifiedBy>Administrator</cp:lastModifiedBy>
  <cp:lastPrinted>2020-12-24T01:50:00Z</cp:lastPrinted>
  <dcterms:modified xsi:type="dcterms:W3CDTF">2024-02-07T07:40:49Z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105866F722344032B4B88173D2B91453_13</vt:lpwstr>
  </property>
</Properties>
</file>