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sz w:val="36"/>
          <w:szCs w:val="36"/>
        </w:rPr>
      </w:pPr>
      <w:bookmarkStart w:id="0" w:name="_Hlk57883707"/>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p>
      <w:pPr>
        <w:rPr>
          <w:rFonts w:ascii="仿宋_GB2312" w:hAnsi="仿宋_GB2312" w:eastAsia="仿宋_GB2312" w:cs="仿宋_GB2312"/>
          <w:sz w:val="36"/>
          <w:szCs w:val="36"/>
        </w:rPr>
      </w:pPr>
    </w:p>
    <w:bookmarkEnd w:id="0"/>
    <w:p>
      <w:pPr>
        <w:adjustRightInd w:val="0"/>
        <w:snapToGrid w:val="0"/>
        <w:jc w:val="center"/>
        <w:outlineLvl w:val="0"/>
        <w:rPr>
          <w:rFonts w:hint="default" w:ascii="Times New Roman" w:hAnsi="Times New Roman" w:eastAsia="方正小标宋_GBK" w:cs="Times New Roman"/>
          <w:bCs/>
          <w:sz w:val="72"/>
          <w:szCs w:val="72"/>
        </w:rPr>
      </w:pPr>
      <w:r>
        <w:rPr>
          <w:rFonts w:hint="default" w:ascii="Times New Roman" w:hAnsi="Times New Roman" w:eastAsia="方正小标宋_GBK" w:cs="Times New Roman"/>
          <w:bCs/>
          <w:sz w:val="72"/>
          <w:szCs w:val="72"/>
        </w:rPr>
        <w:t>建设项目环境影响报告表</w:t>
      </w:r>
    </w:p>
    <w:p>
      <w:pPr>
        <w:adjustRightInd w:val="0"/>
        <w:snapToGrid w:val="0"/>
        <w:spacing w:before="192" w:beforeLines="80"/>
        <w:jc w:val="center"/>
        <w:rPr>
          <w:rFonts w:hint="default" w:ascii="Times New Roman" w:hAnsi="Times New Roman" w:eastAsia="楷体_GB2312" w:cs="Times New Roman"/>
          <w:bCs/>
          <w:sz w:val="48"/>
          <w:szCs w:val="48"/>
        </w:rPr>
      </w:pPr>
      <w:r>
        <w:rPr>
          <w:rFonts w:hint="default" w:ascii="Times New Roman" w:hAnsi="Times New Roman" w:eastAsia="楷体_GB2312" w:cs="Times New Roman"/>
          <w:bCs/>
          <w:sz w:val="48"/>
          <w:szCs w:val="48"/>
        </w:rPr>
        <w:t>（生态影响类）</w:t>
      </w:r>
    </w:p>
    <w:p>
      <w:pPr>
        <w:adjustRightInd w:val="0"/>
        <w:snapToGrid w:val="0"/>
        <w:spacing w:line="288" w:lineRule="auto"/>
        <w:jc w:val="center"/>
        <w:outlineLvl w:val="0"/>
        <w:rPr>
          <w:rFonts w:hint="default" w:ascii="Times New Roman" w:hAnsi="Times New Roman" w:eastAsia="华文仿宋" w:cs="Times New Roman"/>
          <w:color w:val="000000"/>
          <w:kern w:val="44"/>
          <w:sz w:val="44"/>
          <w:szCs w:val="44"/>
        </w:rPr>
      </w:pPr>
      <w:bookmarkStart w:id="1" w:name="_Hlk57883728"/>
    </w:p>
    <w:p>
      <w:pPr>
        <w:jc w:val="center"/>
        <w:rPr>
          <w:rFonts w:hint="default" w:ascii="Times New Roman" w:hAnsi="Times New Roman" w:eastAsia="仿宋" w:cs="Times New Roman"/>
          <w:sz w:val="52"/>
          <w:szCs w:val="52"/>
        </w:rPr>
      </w:pPr>
    </w:p>
    <w:p>
      <w:pPr>
        <w:ind w:firstLine="1040"/>
        <w:rPr>
          <w:rFonts w:hint="default" w:ascii="Times New Roman" w:hAnsi="Times New Roman" w:eastAsia="仿宋" w:cs="Times New Roman"/>
          <w:sz w:val="44"/>
          <w:szCs w:val="44"/>
        </w:rPr>
      </w:pPr>
    </w:p>
    <w:p>
      <w:pPr>
        <w:ind w:firstLine="1040"/>
        <w:rPr>
          <w:rFonts w:hint="default" w:ascii="Times New Roman" w:hAnsi="Times New Roman" w:eastAsia="仿宋" w:cs="Times New Roman"/>
          <w:sz w:val="44"/>
          <w:szCs w:val="44"/>
        </w:rPr>
      </w:pPr>
    </w:p>
    <w:p>
      <w:pPr>
        <w:ind w:firstLine="1040"/>
        <w:rPr>
          <w:rFonts w:hint="default" w:ascii="Times New Roman" w:hAnsi="Times New Roman" w:eastAsia="仿宋" w:cs="Times New Roman"/>
          <w:sz w:val="44"/>
          <w:szCs w:val="44"/>
        </w:rPr>
      </w:pPr>
    </w:p>
    <w:p>
      <w:pPr>
        <w:ind w:firstLine="1040"/>
        <w:rPr>
          <w:rFonts w:hint="default" w:ascii="Times New Roman" w:hAnsi="Times New Roman" w:eastAsia="仿宋" w:cs="Times New Roman"/>
          <w:sz w:val="44"/>
          <w:szCs w:val="44"/>
        </w:rPr>
      </w:pPr>
    </w:p>
    <w:bookmarkEnd w:id="1"/>
    <w:p>
      <w:pPr>
        <w:adjustRightInd w:val="0"/>
        <w:snapToGrid w:val="0"/>
        <w:spacing w:line="288" w:lineRule="auto"/>
        <w:rPr>
          <w:rFonts w:hint="default" w:ascii="Times New Roman" w:hAnsi="Times New Roman" w:eastAsia="仿宋_GB2312" w:cs="Times New Roman"/>
          <w:sz w:val="36"/>
          <w:szCs w:val="36"/>
          <w:u w:val="single"/>
        </w:rPr>
      </w:pPr>
      <w:r>
        <w:rPr>
          <w:rFonts w:hint="default" w:ascii="Times New Roman" w:hAnsi="Times New Roman" w:eastAsia="仿宋_GB2312" w:cs="Times New Roman"/>
          <w:sz w:val="36"/>
          <w:szCs w:val="36"/>
        </w:rPr>
        <w:t xml:space="preserve">项目名称： </w:t>
      </w:r>
      <w:r>
        <w:rPr>
          <w:rFonts w:hint="default" w:ascii="Times New Roman" w:hAnsi="Times New Roman" w:eastAsia="仿宋_GB2312" w:cs="Times New Roman"/>
          <w:sz w:val="36"/>
          <w:szCs w:val="36"/>
          <w:u w:val="single"/>
        </w:rPr>
        <w:t>同心县河西镇上河湾移民村防洪排涝工程</w:t>
      </w:r>
    </w:p>
    <w:p>
      <w:pPr>
        <w:adjustRightInd w:val="0"/>
        <w:snapToGrid w:val="0"/>
        <w:spacing w:line="288" w:lineRule="auto"/>
        <w:rPr>
          <w:rFonts w:hint="default" w:ascii="Times New Roman" w:hAnsi="Times New Roman" w:eastAsia="仿宋_GB2312" w:cs="Times New Roman"/>
          <w:sz w:val="36"/>
          <w:szCs w:val="36"/>
          <w:u w:val="single"/>
        </w:rPr>
      </w:pPr>
      <w:r>
        <w:rPr>
          <w:rFonts w:hint="default" w:ascii="Times New Roman" w:hAnsi="Times New Roman" w:eastAsia="仿宋_GB2312" w:cs="Times New Roman"/>
          <w:sz w:val="36"/>
          <w:szCs w:val="36"/>
        </w:rPr>
        <w:t>建设单位（盖章）：</w:t>
      </w:r>
      <w:r>
        <w:rPr>
          <w:rFonts w:hint="default" w:ascii="Times New Roman" w:hAnsi="Times New Roman" w:eastAsia="仿宋_GB2312" w:cs="Times New Roman"/>
          <w:sz w:val="36"/>
          <w:szCs w:val="36"/>
          <w:u w:val="single"/>
        </w:rPr>
        <w:t xml:space="preserve"> </w:t>
      </w:r>
      <w:r>
        <w:rPr>
          <w:rFonts w:hint="default" w:ascii="Times New Roman" w:hAnsi="Times New Roman" w:eastAsia="仿宋_GB2312" w:cs="Times New Roman"/>
          <w:sz w:val="36"/>
          <w:szCs w:val="36"/>
          <w:u w:val="single"/>
          <w:lang w:val="en-US" w:eastAsia="zh-CN"/>
        </w:rPr>
        <w:t xml:space="preserve">  </w:t>
      </w:r>
      <w:r>
        <w:rPr>
          <w:rFonts w:hint="default" w:ascii="Times New Roman" w:hAnsi="Times New Roman" w:eastAsia="仿宋_GB2312" w:cs="Times New Roman"/>
          <w:sz w:val="36"/>
          <w:szCs w:val="36"/>
          <w:u w:val="single"/>
        </w:rPr>
        <w:t>同心县</w:t>
      </w:r>
      <w:r>
        <w:rPr>
          <w:rFonts w:hint="eastAsia" w:ascii="Times New Roman" w:hAnsi="Times New Roman" w:eastAsia="仿宋_GB2312" w:cs="Times New Roman"/>
          <w:sz w:val="36"/>
          <w:szCs w:val="36"/>
          <w:u w:val="single"/>
          <w:lang w:eastAsia="zh-CN"/>
        </w:rPr>
        <w:t>水利工程建设管理中心</w:t>
      </w:r>
      <w:r>
        <w:rPr>
          <w:rFonts w:hint="default" w:ascii="Times New Roman" w:hAnsi="Times New Roman" w:eastAsia="仿宋_GB2312" w:cs="Times New Roman"/>
          <w:sz w:val="36"/>
          <w:szCs w:val="36"/>
          <w:u w:val="single"/>
        </w:rPr>
        <w:t xml:space="preserve">              </w:t>
      </w:r>
    </w:p>
    <w:p>
      <w:pPr>
        <w:adjustRightInd w:val="0"/>
        <w:snapToGrid w:val="0"/>
        <w:spacing w:line="288" w:lineRule="auto"/>
        <w:rPr>
          <w:rFonts w:hint="default" w:ascii="Times New Roman" w:hAnsi="Times New Roman" w:eastAsia="仿宋_GB2312" w:cs="Times New Roman"/>
          <w:sz w:val="36"/>
          <w:szCs w:val="36"/>
          <w:u w:val="single"/>
        </w:rPr>
      </w:pPr>
      <w:r>
        <w:rPr>
          <w:rFonts w:hint="default" w:ascii="Times New Roman" w:hAnsi="Times New Roman" w:eastAsia="仿宋_GB2312" w:cs="Times New Roman"/>
          <w:sz w:val="36"/>
          <w:szCs w:val="36"/>
        </w:rPr>
        <w:t>编制日期：</w:t>
      </w:r>
      <w:r>
        <w:rPr>
          <w:rFonts w:hint="default" w:ascii="Times New Roman" w:hAnsi="Times New Roman" w:eastAsia="仿宋_GB2312" w:cs="Times New Roman"/>
          <w:sz w:val="36"/>
          <w:szCs w:val="36"/>
          <w:u w:val="single"/>
        </w:rPr>
        <w:t xml:space="preserve">        </w:t>
      </w:r>
      <w:r>
        <w:rPr>
          <w:rFonts w:hint="default" w:ascii="Times New Roman" w:hAnsi="Times New Roman" w:eastAsia="仿宋_GB2312" w:cs="Times New Roman"/>
          <w:sz w:val="36"/>
          <w:szCs w:val="36"/>
          <w:u w:val="single"/>
          <w:lang w:val="en-US" w:eastAsia="zh-CN"/>
        </w:rPr>
        <w:t xml:space="preserve">   </w:t>
      </w:r>
      <w:r>
        <w:rPr>
          <w:rFonts w:hint="default" w:ascii="Times New Roman" w:hAnsi="Times New Roman" w:eastAsia="仿宋_GB2312" w:cs="Times New Roman"/>
          <w:sz w:val="36"/>
          <w:szCs w:val="36"/>
          <w:u w:val="single"/>
        </w:rPr>
        <w:t>202</w:t>
      </w:r>
      <w:r>
        <w:rPr>
          <w:rFonts w:hint="eastAsia" w:eastAsia="仿宋_GB2312" w:cs="Times New Roman"/>
          <w:sz w:val="36"/>
          <w:szCs w:val="36"/>
          <w:u w:val="single"/>
          <w:lang w:val="en-US" w:eastAsia="zh-CN"/>
        </w:rPr>
        <w:t>3</w:t>
      </w:r>
      <w:r>
        <w:rPr>
          <w:rFonts w:hint="default" w:ascii="Times New Roman" w:hAnsi="Times New Roman" w:eastAsia="仿宋_GB2312" w:cs="Times New Roman"/>
          <w:sz w:val="36"/>
          <w:szCs w:val="36"/>
          <w:u w:val="single"/>
        </w:rPr>
        <w:t>年</w:t>
      </w:r>
      <w:r>
        <w:rPr>
          <w:rFonts w:hint="eastAsia" w:eastAsia="仿宋_GB2312" w:cs="Times New Roman"/>
          <w:sz w:val="36"/>
          <w:szCs w:val="36"/>
          <w:u w:val="single"/>
          <w:lang w:val="en-US" w:eastAsia="zh-CN"/>
        </w:rPr>
        <w:t>10</w:t>
      </w:r>
      <w:r>
        <w:rPr>
          <w:rFonts w:hint="default" w:ascii="Times New Roman" w:hAnsi="Times New Roman" w:eastAsia="仿宋_GB2312" w:cs="Times New Roman"/>
          <w:sz w:val="36"/>
          <w:szCs w:val="36"/>
          <w:u w:val="single"/>
        </w:rPr>
        <w:t>月</w:t>
      </w:r>
      <w:r>
        <w:rPr>
          <w:rFonts w:hint="default" w:ascii="Times New Roman" w:hAnsi="Times New Roman" w:eastAsia="仿宋_GB2312" w:cs="Times New Roman"/>
          <w:sz w:val="36"/>
          <w:szCs w:val="36"/>
          <w:u w:val="single"/>
          <w:lang w:val="en-US" w:eastAsia="zh-CN"/>
        </w:rPr>
        <w:t xml:space="preserve">       </w:t>
      </w:r>
      <w:r>
        <w:rPr>
          <w:rFonts w:hint="default" w:ascii="Times New Roman" w:hAnsi="Times New Roman" w:eastAsia="仿宋_GB2312" w:cs="Times New Roman"/>
          <w:sz w:val="36"/>
          <w:szCs w:val="36"/>
          <w:u w:val="single"/>
        </w:rPr>
        <w:t xml:space="preserve">        </w:t>
      </w:r>
    </w:p>
    <w:p>
      <w:pPr>
        <w:adjustRightInd w:val="0"/>
        <w:snapToGrid w:val="0"/>
        <w:spacing w:line="288" w:lineRule="auto"/>
        <w:ind w:firstLine="1040"/>
        <w:rPr>
          <w:rFonts w:hint="default" w:ascii="Times New Roman" w:hAnsi="Times New Roman" w:eastAsia="仿宋_GB2312" w:cs="Times New Roman"/>
          <w:sz w:val="36"/>
          <w:szCs w:val="36"/>
          <w:u w:val="single"/>
        </w:rPr>
      </w:pPr>
    </w:p>
    <w:p>
      <w:pPr>
        <w:adjustRightInd w:val="0"/>
        <w:snapToGrid w:val="0"/>
        <w:spacing w:line="288" w:lineRule="auto"/>
        <w:ind w:firstLine="1040"/>
        <w:rPr>
          <w:rFonts w:hint="default" w:ascii="Times New Roman" w:hAnsi="Times New Roman" w:eastAsia="仿宋_GB2312" w:cs="Times New Roman"/>
          <w:sz w:val="36"/>
          <w:szCs w:val="36"/>
        </w:rPr>
      </w:pPr>
    </w:p>
    <w:p>
      <w:pPr>
        <w:adjustRightInd w:val="0"/>
        <w:snapToGrid w:val="0"/>
        <w:spacing w:line="288" w:lineRule="auto"/>
        <w:ind w:firstLine="1040"/>
        <w:rPr>
          <w:rFonts w:hint="default" w:ascii="Times New Roman" w:hAnsi="Times New Roman" w:eastAsia="仿宋_GB2312" w:cs="Times New Roman"/>
          <w:sz w:val="36"/>
          <w:szCs w:val="36"/>
        </w:rPr>
      </w:pPr>
    </w:p>
    <w:p>
      <w:pPr>
        <w:adjustRightInd w:val="0"/>
        <w:snapToGrid w:val="0"/>
        <w:spacing w:line="288" w:lineRule="auto"/>
        <w:ind w:firstLine="1040"/>
        <w:rPr>
          <w:rFonts w:hint="default" w:ascii="Times New Roman" w:hAnsi="Times New Roman" w:eastAsia="仿宋_GB2312" w:cs="Times New Roman"/>
          <w:sz w:val="36"/>
          <w:szCs w:val="36"/>
        </w:rPr>
      </w:pPr>
    </w:p>
    <w:p>
      <w:pPr>
        <w:adjustRightInd w:val="0"/>
        <w:snapToGrid w:val="0"/>
        <w:spacing w:line="288" w:lineRule="auto"/>
        <w:ind w:firstLine="1040"/>
        <w:rPr>
          <w:rFonts w:hint="default" w:ascii="Times New Roman" w:hAnsi="Times New Roman" w:eastAsia="仿宋_GB2312" w:cs="Times New Roman"/>
          <w:sz w:val="36"/>
          <w:szCs w:val="36"/>
        </w:rPr>
      </w:pPr>
    </w:p>
    <w:p>
      <w:pPr>
        <w:adjustRightInd w:val="0"/>
        <w:snapToGrid w:val="0"/>
        <w:spacing w:line="288" w:lineRule="auto"/>
        <w:jc w:val="center"/>
        <w:rPr>
          <w:rFonts w:hint="default" w:ascii="Times New Roman" w:hAnsi="Times New Roman" w:eastAsia="楷体_GB2312" w:cs="Times New Roman"/>
          <w:sz w:val="36"/>
          <w:szCs w:val="36"/>
        </w:rPr>
      </w:pPr>
      <w:r>
        <w:rPr>
          <w:rFonts w:hint="default" w:ascii="Times New Roman" w:hAnsi="Times New Roman" w:eastAsia="楷体_GB2312" w:cs="Times New Roman"/>
          <w:sz w:val="36"/>
          <w:szCs w:val="36"/>
        </w:rPr>
        <w:t>中华人民共和国生态环境部制</w:t>
      </w:r>
    </w:p>
    <w:p>
      <w:pPr>
        <w:adjustRightInd w:val="0"/>
        <w:snapToGrid w:val="0"/>
        <w:spacing w:line="288" w:lineRule="auto"/>
        <w:ind w:firstLine="1040"/>
        <w:rPr>
          <w:rFonts w:hint="default" w:ascii="Times New Roman" w:hAnsi="Times New Roman" w:eastAsia="仿宋_GB2312" w:cs="Times New Roman"/>
          <w:sz w:val="36"/>
          <w:szCs w:val="36"/>
        </w:rPr>
        <w:sectPr>
          <w:footerReference r:id="rId3" w:type="default"/>
          <w:footerReference r:id="rId4" w:type="even"/>
          <w:pgSz w:w="11906" w:h="16838"/>
          <w:pgMar w:top="1701" w:right="1531" w:bottom="1701" w:left="1531" w:header="851" w:footer="1077" w:gutter="0"/>
          <w:pgNumType w:start="21"/>
          <w:cols w:space="720" w:num="1"/>
          <w:docGrid w:linePitch="312" w:charSpace="0"/>
        </w:sectPr>
      </w:pPr>
    </w:p>
    <w:p>
      <w:pPr>
        <w:pStyle w:val="15"/>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sz w:val="30"/>
          <w:szCs w:val="30"/>
        </w:rPr>
        <w:t>一、建设项目基本情况</w:t>
      </w:r>
    </w:p>
    <w:tbl>
      <w:tblPr>
        <w:tblStyle w:val="18"/>
        <w:tblW w:w="9039" w:type="dxa"/>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717"/>
        <w:gridCol w:w="2552"/>
        <w:gridCol w:w="2218"/>
        <w:gridCol w:w="10"/>
        <w:gridCol w:w="254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62"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建设项目名称</w:t>
            </w:r>
          </w:p>
        </w:tc>
        <w:tc>
          <w:tcPr>
            <w:tcW w:w="7322" w:type="dxa"/>
            <w:gridSpan w:val="4"/>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同心县河西镇上河湾移民村防洪排涝</w:t>
            </w:r>
            <w:r>
              <w:rPr>
                <w:rStyle w:val="21"/>
                <w:rFonts w:hint="default" w:ascii="Times New Roman" w:hAnsi="Times New Roman" w:cs="Times New Roman"/>
                <w:sz w:val="24"/>
              </w:rPr>
              <w:t>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项目代码</w:t>
            </w:r>
          </w:p>
        </w:tc>
        <w:tc>
          <w:tcPr>
            <w:tcW w:w="7322" w:type="dxa"/>
            <w:gridSpan w:val="4"/>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2202-640324-19-01-181468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建设单位联系人</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cs="Times New Roman"/>
                <w:sz w:val="24"/>
              </w:rPr>
              <w:t>苏天胜</w:t>
            </w:r>
          </w:p>
        </w:tc>
        <w:tc>
          <w:tcPr>
            <w:tcW w:w="2228" w:type="dxa"/>
            <w:gridSpan w:val="2"/>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cs="Times New Roman"/>
                <w:b/>
                <w:bCs/>
                <w:sz w:val="24"/>
              </w:rPr>
              <w:t>联系方式</w:t>
            </w:r>
          </w:p>
        </w:tc>
        <w:tc>
          <w:tcPr>
            <w:tcW w:w="254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cs="Times New Roman"/>
                <w:sz w:val="24"/>
              </w:rPr>
              <w:t>13895555151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建设地点</w:t>
            </w:r>
          </w:p>
        </w:tc>
        <w:tc>
          <w:tcPr>
            <w:tcW w:w="7322" w:type="dxa"/>
            <w:gridSpan w:val="4"/>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u w:val="single"/>
              </w:rPr>
              <w:t>宁夏回族自治区</w:t>
            </w:r>
            <w:r>
              <w:rPr>
                <w:rFonts w:hint="default" w:ascii="Times New Roman" w:hAnsi="Times New Roman" w:cs="Times New Roman"/>
                <w:sz w:val="24"/>
              </w:rPr>
              <w:t>省（自治区）</w:t>
            </w:r>
            <w:r>
              <w:rPr>
                <w:rFonts w:hint="default" w:ascii="Times New Roman" w:hAnsi="Times New Roman" w:cs="Times New Roman"/>
                <w:sz w:val="24"/>
                <w:u w:val="single"/>
              </w:rPr>
              <w:t>吴忠</w:t>
            </w:r>
            <w:r>
              <w:rPr>
                <w:rFonts w:hint="default" w:ascii="Times New Roman" w:hAnsi="Times New Roman" w:cs="Times New Roman"/>
                <w:sz w:val="24"/>
              </w:rPr>
              <w:t>市</w:t>
            </w:r>
            <w:r>
              <w:rPr>
                <w:rFonts w:hint="default" w:ascii="Times New Roman" w:hAnsi="Times New Roman" w:cs="Times New Roman"/>
                <w:sz w:val="24"/>
                <w:u w:val="single"/>
              </w:rPr>
              <w:t>同心</w:t>
            </w:r>
            <w:r>
              <w:rPr>
                <w:rFonts w:hint="default" w:ascii="Times New Roman" w:hAnsi="Times New Roman" w:cs="Times New Roman"/>
                <w:sz w:val="24"/>
              </w:rPr>
              <w:t>县（区）</w:t>
            </w:r>
            <w:r>
              <w:rPr>
                <w:rFonts w:hint="default" w:ascii="Times New Roman" w:hAnsi="Times New Roman" w:cs="Times New Roman"/>
                <w:sz w:val="24"/>
                <w:u w:val="single"/>
              </w:rPr>
              <w:t>河西镇</w:t>
            </w:r>
            <w:r>
              <w:rPr>
                <w:rFonts w:hint="default" w:ascii="Times New Roman" w:hAnsi="Times New Roman" w:cs="Times New Roman"/>
                <w:sz w:val="24"/>
              </w:rPr>
              <w:t>乡（街道）</w:t>
            </w:r>
            <w:r>
              <w:rPr>
                <w:rFonts w:hint="default" w:ascii="Times New Roman" w:hAnsi="Times New Roman" w:cs="Times New Roman"/>
                <w:sz w:val="24"/>
                <w:u w:val="single"/>
              </w:rPr>
              <w:t>上河湾村六社、七社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地理</w:t>
            </w:r>
            <w:bookmarkStart w:id="4" w:name="_GoBack"/>
            <w:bookmarkEnd w:id="4"/>
            <w:r>
              <w:rPr>
                <w:rFonts w:hint="default" w:ascii="Times New Roman" w:hAnsi="Times New Roman" w:cs="Times New Roman"/>
                <w:b/>
                <w:bCs/>
                <w:sz w:val="24"/>
              </w:rPr>
              <w:t>坐标</w:t>
            </w:r>
          </w:p>
        </w:tc>
        <w:tc>
          <w:tcPr>
            <w:tcW w:w="7322" w:type="dxa"/>
            <w:gridSpan w:val="4"/>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建设项目</w:t>
            </w:r>
          </w:p>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行业类别</w:t>
            </w:r>
          </w:p>
        </w:tc>
        <w:tc>
          <w:tcPr>
            <w:tcW w:w="2552"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lang w:val="en-US" w:eastAsia="zh-CN"/>
              </w:rPr>
              <w:t xml:space="preserve">五十一、水利 127 </w:t>
            </w:r>
            <w:r>
              <w:rPr>
                <w:rFonts w:hint="default" w:ascii="Times New Roman" w:hAnsi="Times New Roman" w:cs="Times New Roman"/>
                <w:sz w:val="24"/>
              </w:rPr>
              <w:t>防洪除涝工程 其他（小型沟渠的护坡外；城镇排涝河流水闸、排涝泵站除外）</w:t>
            </w:r>
          </w:p>
        </w:tc>
        <w:tc>
          <w:tcPr>
            <w:tcW w:w="221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b/>
                <w:bCs/>
                <w:sz w:val="24"/>
              </w:rPr>
              <w:t>用地（用海）面积（m</w:t>
            </w:r>
            <w:r>
              <w:rPr>
                <w:rFonts w:hint="default" w:ascii="Times New Roman" w:hAnsi="Times New Roman" w:cs="Times New Roman"/>
                <w:b/>
                <w:bCs/>
                <w:sz w:val="24"/>
                <w:vertAlign w:val="superscript"/>
              </w:rPr>
              <w:t>2</w:t>
            </w:r>
            <w:r>
              <w:rPr>
                <w:rFonts w:hint="default" w:ascii="Times New Roman" w:hAnsi="Times New Roman" w:cs="Times New Roman"/>
                <w:b/>
                <w:bCs/>
                <w:sz w:val="24"/>
              </w:rPr>
              <w:t>）/长度（km）</w:t>
            </w:r>
          </w:p>
        </w:tc>
        <w:tc>
          <w:tcPr>
            <w:tcW w:w="2552" w:type="dxa"/>
            <w:gridSpan w:val="2"/>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宋体" w:cs="Times New Roman"/>
                <w:sz w:val="24"/>
                <w:lang w:val="en-US" w:eastAsia="zh-CN"/>
              </w:rPr>
            </w:pPr>
            <w:r>
              <w:rPr>
                <w:rFonts w:hint="default" w:ascii="Times New Roman" w:hAnsi="Times New Roman" w:cs="Times New Roman"/>
                <w:sz w:val="24"/>
              </w:rPr>
              <w:t>用地面积85.2m</w:t>
            </w:r>
            <w:r>
              <w:rPr>
                <w:rFonts w:hint="default" w:ascii="Times New Roman" w:hAnsi="Times New Roman" w:cs="Times New Roman"/>
                <w:sz w:val="24"/>
                <w:vertAlign w:val="superscript"/>
              </w:rPr>
              <w:t>2</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线性工程1.710km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建设性质</w:t>
            </w:r>
          </w:p>
        </w:tc>
        <w:tc>
          <w:tcPr>
            <w:tcW w:w="2552" w:type="dxa"/>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52"/>
            </w:r>
            <w:r>
              <w:rPr>
                <w:rFonts w:hint="default" w:ascii="Times New Roman" w:hAnsi="Times New Roman" w:cs="Times New Roman"/>
                <w:sz w:val="24"/>
              </w:rPr>
              <w:t>新建（迁建）</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改建</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扩建</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技术改造</w:t>
            </w:r>
          </w:p>
        </w:tc>
        <w:tc>
          <w:tcPr>
            <w:tcW w:w="2218" w:type="dxa"/>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建设项目</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b/>
                <w:bCs/>
                <w:sz w:val="24"/>
              </w:rPr>
              <w:t>申报情形</w:t>
            </w:r>
          </w:p>
        </w:tc>
        <w:tc>
          <w:tcPr>
            <w:tcW w:w="2552" w:type="dxa"/>
            <w:gridSpan w:val="2"/>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52"/>
            </w:r>
            <w:r>
              <w:rPr>
                <w:rFonts w:hint="default" w:ascii="Times New Roman" w:hAnsi="Times New Roman" w:cs="Times New Roman"/>
                <w:sz w:val="24"/>
              </w:rPr>
              <w:t>首次申报项目</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不予批准后再次申报项目</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超五年重新审核项目</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项目审批（核准/</w:t>
            </w:r>
          </w:p>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备案）部门（选填）</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同心县发展和改革局</w:t>
            </w:r>
          </w:p>
        </w:tc>
        <w:tc>
          <w:tcPr>
            <w:tcW w:w="2218" w:type="dxa"/>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项目审批（核准/</w:t>
            </w:r>
          </w:p>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备案）文号（选填）</w:t>
            </w:r>
          </w:p>
        </w:tc>
        <w:tc>
          <w:tcPr>
            <w:tcW w:w="2552" w:type="dxa"/>
            <w:gridSpan w:val="2"/>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同发改审发〔2022〕51号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总投资（万元）</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sz w:val="24"/>
                <w:highlight w:val="none"/>
                <w:lang w:val="en-US" w:eastAsia="zh-CN"/>
              </w:rPr>
            </w:pPr>
            <w:r>
              <w:rPr>
                <w:rFonts w:hint="default" w:ascii="Times New Roman" w:hAnsi="Times New Roman" w:cs="Times New Roman"/>
                <w:sz w:val="24"/>
                <w:highlight w:val="none"/>
              </w:rPr>
              <w:t>1</w:t>
            </w:r>
            <w:r>
              <w:rPr>
                <w:rFonts w:hint="eastAsia" w:cs="Times New Roman"/>
                <w:sz w:val="24"/>
                <w:highlight w:val="none"/>
                <w:lang w:val="en-US" w:eastAsia="zh-CN"/>
              </w:rPr>
              <w:t>77.96</w:t>
            </w:r>
          </w:p>
        </w:tc>
        <w:tc>
          <w:tcPr>
            <w:tcW w:w="2218"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环保投资（万元）</w:t>
            </w:r>
          </w:p>
        </w:tc>
        <w:tc>
          <w:tcPr>
            <w:tcW w:w="2552" w:type="dxa"/>
            <w:gridSpan w:val="2"/>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sz w:val="24"/>
                <w:lang w:val="en-US" w:eastAsia="zh-CN"/>
              </w:rPr>
            </w:pPr>
            <w:r>
              <w:rPr>
                <w:rFonts w:hint="eastAsia" w:cs="Times New Roman"/>
                <w:sz w:val="24"/>
                <w:lang w:val="en-US" w:eastAsia="zh-CN"/>
              </w:rPr>
              <w:t>2.44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环保投资占比（%）</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highlight w:val="none"/>
              </w:rPr>
            </w:pPr>
            <w:r>
              <w:rPr>
                <w:rFonts w:hint="eastAsia" w:cs="Times New Roman"/>
                <w:sz w:val="24"/>
                <w:highlight w:val="none"/>
                <w:lang w:val="en-US" w:eastAsia="zh-CN"/>
              </w:rPr>
              <w:t>1.37</w:t>
            </w:r>
            <w:r>
              <w:rPr>
                <w:rFonts w:hint="default" w:ascii="Times New Roman" w:hAnsi="Times New Roman" w:cs="Times New Roman"/>
                <w:sz w:val="24"/>
                <w:highlight w:val="none"/>
              </w:rPr>
              <w:t>%</w:t>
            </w:r>
          </w:p>
        </w:tc>
        <w:tc>
          <w:tcPr>
            <w:tcW w:w="2218"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施工工期</w:t>
            </w:r>
          </w:p>
        </w:tc>
        <w:tc>
          <w:tcPr>
            <w:tcW w:w="2552" w:type="dxa"/>
            <w:gridSpan w:val="2"/>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2个月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12" w:hRule="atLeast"/>
        </w:trPr>
        <w:tc>
          <w:tcPr>
            <w:tcW w:w="1717"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是否开工建设</w:t>
            </w:r>
          </w:p>
        </w:tc>
        <w:tc>
          <w:tcPr>
            <w:tcW w:w="7322" w:type="dxa"/>
            <w:gridSpan w:val="4"/>
            <w:vAlign w:val="center"/>
          </w:tcPr>
          <w:p>
            <w:pPr>
              <w:keepNext w:val="0"/>
              <w:keepLines w:val="0"/>
              <w:suppressLineNumbers w:val="0"/>
              <w:adjustRightInd w:val="0"/>
              <w:snapToGrid w:val="0"/>
              <w:spacing w:before="0" w:beforeAutospacing="0" w:after="0" w:afterAutospacing="0"/>
              <w:ind w:left="0" w:right="0" w:firstLine="105"/>
              <w:jc w:val="left"/>
              <w:rPr>
                <w:rFonts w:hint="default" w:ascii="Times New Roman" w:hAnsi="Times New Roman" w:cs="Times New Roman"/>
                <w:sz w:val="24"/>
              </w:rPr>
            </w:pPr>
            <w:r>
              <w:rPr>
                <w:rFonts w:hint="default" w:ascii="Times New Roman" w:hAnsi="Times New Roman" w:cs="Times New Roman"/>
                <w:sz w:val="24"/>
              </w:rPr>
              <w:sym w:font="Wingdings 2" w:char="0052"/>
            </w:r>
            <w:r>
              <w:rPr>
                <w:rFonts w:hint="default" w:ascii="Times New Roman" w:hAnsi="Times New Roman" w:cs="Times New Roman"/>
                <w:sz w:val="24"/>
              </w:rPr>
              <w:t>否</w:t>
            </w:r>
          </w:p>
          <w:p>
            <w:pPr>
              <w:keepNext w:val="0"/>
              <w:keepLines w:val="0"/>
              <w:suppressLineNumbers w:val="0"/>
              <w:adjustRightInd w:val="0"/>
              <w:snapToGrid w:val="0"/>
              <w:spacing w:before="0" w:beforeAutospacing="0" w:after="0" w:afterAutospacing="0"/>
              <w:ind w:left="0" w:right="0" w:firstLine="92"/>
              <w:jc w:val="left"/>
              <w:rPr>
                <w:rFonts w:hint="default" w:ascii="Times New Roman" w:hAnsi="Times New Roman" w:cs="Times New Roman"/>
                <w:sz w:val="24"/>
              </w:rPr>
            </w:pPr>
            <w:r>
              <w:rPr>
                <w:rFonts w:hint="default" w:ascii="Times New Roman" w:hAnsi="Times New Roman" w:cs="Times New Roman"/>
                <w:sz w:val="24"/>
              </w:rPr>
              <w:sym w:font="Wingdings 2" w:char="00A3"/>
            </w:r>
            <w:r>
              <w:rPr>
                <w:rFonts w:hint="default" w:ascii="Times New Roman" w:hAnsi="Times New Roman" w:cs="Times New Roman"/>
                <w:sz w:val="24"/>
              </w:rPr>
              <w:t>是：</w:t>
            </w:r>
            <w:r>
              <w:rPr>
                <w:rFonts w:hint="default" w:ascii="Times New Roman" w:hAnsi="Times New Roman" w:cs="Times New Roman"/>
                <w:sz w:val="24"/>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67" w:hRule="atLeast"/>
        </w:trPr>
        <w:tc>
          <w:tcPr>
            <w:tcW w:w="1717"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b/>
                <w:bCs/>
                <w:kern w:val="0"/>
                <w:sz w:val="24"/>
              </w:rPr>
            </w:pPr>
            <w:r>
              <w:rPr>
                <w:rFonts w:hint="default" w:ascii="Times New Roman" w:hAnsi="Times New Roman" w:cs="Times New Roman"/>
                <w:b/>
                <w:bCs/>
                <w:kern w:val="0"/>
                <w:sz w:val="24"/>
              </w:rPr>
              <w:t>专项评价设置情况</w:t>
            </w:r>
          </w:p>
        </w:tc>
        <w:tc>
          <w:tcPr>
            <w:tcW w:w="7322" w:type="dxa"/>
            <w:gridSpan w:val="4"/>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kern w:val="0"/>
                <w:sz w:val="24"/>
                <w:lang w:eastAsia="zh-CN"/>
              </w:rPr>
            </w:pPr>
            <w:r>
              <w:rPr>
                <w:rFonts w:hint="default" w:ascii="Times New Roman" w:hAnsi="Times New Roman" w:cs="Times New Roman"/>
                <w:kern w:val="0"/>
                <w:sz w:val="24"/>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67" w:hRule="atLeast"/>
        </w:trPr>
        <w:tc>
          <w:tcPr>
            <w:tcW w:w="1717"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b/>
                <w:bCs/>
                <w:kern w:val="0"/>
                <w:sz w:val="24"/>
              </w:rPr>
            </w:pPr>
            <w:r>
              <w:rPr>
                <w:rFonts w:hint="default" w:ascii="Times New Roman" w:hAnsi="Times New Roman" w:cs="Times New Roman"/>
                <w:b/>
                <w:bCs/>
                <w:sz w:val="24"/>
              </w:rPr>
              <w:t>规划情况</w:t>
            </w:r>
          </w:p>
        </w:tc>
        <w:tc>
          <w:tcPr>
            <w:tcW w:w="7322" w:type="dxa"/>
            <w:gridSpan w:val="4"/>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kern w:val="0"/>
                <w:sz w:val="24"/>
                <w:lang w:eastAsia="zh-CN"/>
              </w:rPr>
            </w:pPr>
            <w:r>
              <w:rPr>
                <w:rFonts w:hint="default" w:ascii="Times New Roman" w:hAnsi="Times New Roman" w:cs="Times New Roman"/>
                <w:kern w:val="0"/>
                <w:sz w:val="24"/>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1717"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b/>
                <w:bCs/>
                <w:sz w:val="24"/>
              </w:rPr>
            </w:pPr>
            <w:r>
              <w:rPr>
                <w:rFonts w:hint="default" w:ascii="Times New Roman" w:hAnsi="Times New Roman" w:cs="Times New Roman"/>
                <w:b/>
                <w:bCs/>
                <w:sz w:val="24"/>
              </w:rPr>
              <w:t>规划环境影响</w:t>
            </w:r>
          </w:p>
          <w:p>
            <w:pPr>
              <w:keepNext w:val="0"/>
              <w:keepLines w:val="0"/>
              <w:suppressLineNumbers w:val="0"/>
              <w:autoSpaceDE w:val="0"/>
              <w:autoSpaceDN w:val="0"/>
              <w:adjustRightInd w:val="0"/>
              <w:snapToGrid w:val="0"/>
              <w:spacing w:before="0" w:beforeAutospacing="0" w:after="0" w:afterAutospacing="0"/>
              <w:ind w:left="0" w:right="0"/>
              <w:jc w:val="center"/>
              <w:rPr>
                <w:rFonts w:hint="eastAsia" w:ascii="Times New Roman" w:hAnsi="Times New Roman" w:cs="Times New Roman"/>
                <w:b/>
                <w:bCs/>
                <w:kern w:val="0"/>
                <w:sz w:val="24"/>
              </w:rPr>
            </w:pPr>
            <w:r>
              <w:rPr>
                <w:rFonts w:hint="default" w:ascii="Times New Roman" w:hAnsi="Times New Roman" w:cs="Times New Roman"/>
                <w:b/>
                <w:bCs/>
                <w:sz w:val="24"/>
              </w:rPr>
              <w:t>评价情况</w:t>
            </w:r>
          </w:p>
        </w:tc>
        <w:tc>
          <w:tcPr>
            <w:tcW w:w="7322" w:type="dxa"/>
            <w:gridSpan w:val="4"/>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557" w:hRule="atLeast"/>
        </w:trPr>
        <w:tc>
          <w:tcPr>
            <w:tcW w:w="1717"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b/>
                <w:bCs/>
                <w:kern w:val="0"/>
                <w:sz w:val="24"/>
              </w:rPr>
              <w:t>规划及</w:t>
            </w:r>
            <w:r>
              <w:rPr>
                <w:rFonts w:hint="default" w:ascii="Times New Roman" w:hAnsi="Times New Roman" w:cs="Times New Roman"/>
                <w:b/>
                <w:bCs/>
                <w:sz w:val="24"/>
              </w:rPr>
              <w:t>规划环境影响评价</w:t>
            </w:r>
            <w:r>
              <w:rPr>
                <w:rFonts w:hint="default" w:ascii="Times New Roman" w:hAnsi="Times New Roman" w:cs="Times New Roman"/>
                <w:b/>
                <w:bCs/>
                <w:kern w:val="0"/>
                <w:sz w:val="24"/>
              </w:rPr>
              <w:t>符合性分析</w:t>
            </w:r>
          </w:p>
        </w:tc>
        <w:tc>
          <w:tcPr>
            <w:tcW w:w="7322" w:type="dxa"/>
            <w:gridSpan w:val="4"/>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default" w:ascii="Times New Roman" w:hAnsi="Times New Roman" w:eastAsia="宋体" w:cs="Times New Roman"/>
                <w:kern w:val="0"/>
                <w:sz w:val="24"/>
                <w:lang w:val="en-US" w:eastAsia="zh-CN"/>
              </w:rPr>
            </w:pPr>
            <w:r>
              <w:rPr>
                <w:rFonts w:hint="default" w:ascii="Times New Roman" w:hAnsi="Times New Roman" w:cs="Times New Roman"/>
                <w:kern w:val="0"/>
                <w:sz w:val="24"/>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342" w:hRule="atLeast"/>
        </w:trPr>
        <w:tc>
          <w:tcPr>
            <w:tcW w:w="1717"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kern w:val="0"/>
                <w:sz w:val="24"/>
              </w:rPr>
            </w:pPr>
            <w:bookmarkStart w:id="2" w:name="_Hlk56690880"/>
            <w:r>
              <w:rPr>
                <w:rFonts w:hint="default" w:ascii="Times New Roman" w:hAnsi="Times New Roman" w:cs="Times New Roman"/>
                <w:b/>
                <w:bCs/>
                <w:kern w:val="0"/>
                <w:sz w:val="24"/>
              </w:rPr>
              <w:t>其他符合性分析</w:t>
            </w:r>
            <w:bookmarkEnd w:id="2"/>
          </w:p>
        </w:tc>
        <w:tc>
          <w:tcPr>
            <w:tcW w:w="7322" w:type="dxa"/>
            <w:gridSpan w:val="4"/>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firstLine="482" w:firstLineChars="200"/>
              <w:rPr>
                <w:rFonts w:hint="default" w:ascii="Times New Roman" w:hAnsi="Times New Roman" w:cs="Times New Roman"/>
                <w:sz w:val="24"/>
              </w:rPr>
            </w:pPr>
            <w:r>
              <w:rPr>
                <w:rFonts w:hint="default" w:ascii="Times New Roman" w:hAnsi="Times New Roman" w:cs="Times New Roman"/>
                <w:b/>
                <w:bCs/>
                <w:sz w:val="24"/>
              </w:rPr>
              <w:t>1、产业政策符合性</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根据《产业结构调整指导目录（2019年本）》，本项目属于第一类鼓励类中</w:t>
            </w:r>
            <w:r>
              <w:rPr>
                <w:rFonts w:hint="eastAsia" w:cs="Times New Roman"/>
                <w:sz w:val="24"/>
                <w:lang w:eastAsia="zh-CN"/>
              </w:rPr>
              <w:t>“</w:t>
            </w:r>
            <w:r>
              <w:rPr>
                <w:rFonts w:hint="default" w:ascii="Times New Roman" w:hAnsi="Times New Roman" w:cs="Times New Roman"/>
                <w:sz w:val="24"/>
              </w:rPr>
              <w:t>二、水利 1、江河湖海堤防建设及河道治理工程</w:t>
            </w:r>
            <w:r>
              <w:rPr>
                <w:rFonts w:hint="eastAsia" w:cs="Times New Roman"/>
                <w:sz w:val="24"/>
                <w:lang w:eastAsia="zh-CN"/>
              </w:rPr>
              <w:t>”</w:t>
            </w:r>
            <w:r>
              <w:rPr>
                <w:rFonts w:hint="default" w:ascii="Times New Roman" w:hAnsi="Times New Roman" w:cs="Times New Roman"/>
                <w:sz w:val="24"/>
              </w:rPr>
              <w:t>。因此，本项目的建设符合国家发展改革委政策要求。</w:t>
            </w:r>
          </w:p>
          <w:p>
            <w:pPr>
              <w:keepNext w:val="0"/>
              <w:keepLines w:val="0"/>
              <w:pageBreakBefore w:val="0"/>
              <w:widowControl w:val="0"/>
              <w:suppressLineNumbers w:val="0"/>
              <w:shd w:val="clear" w:color="auto" w:fill="auto"/>
              <w:kinsoku/>
              <w:wordWrap/>
              <w:overflowPunct/>
              <w:topLinePunct w:val="0"/>
              <w:bidi w:val="0"/>
              <w:adjustRightInd w:val="0"/>
              <w:snapToGrid w:val="0"/>
              <w:spacing w:before="0" w:beforeAutospacing="0" w:after="0" w:afterAutospacing="0" w:line="360" w:lineRule="auto"/>
              <w:ind w:left="0" w:right="0" w:firstLine="482" w:firstLineChars="200"/>
              <w:jc w:val="both"/>
              <w:textAlignment w:val="auto"/>
              <w:rPr>
                <w:rFonts w:hint="default" w:ascii="Times New Roman" w:hAnsi="Times New Roman" w:cs="Times New Roman"/>
                <w:b/>
                <w:bCs/>
                <w:sz w:val="24"/>
                <w:szCs w:val="24"/>
              </w:rPr>
            </w:pPr>
            <w:r>
              <w:rPr>
                <w:rFonts w:hint="default" w:ascii="Times New Roman" w:hAnsi="Times New Roman" w:cs="Times New Roman"/>
                <w:b/>
                <w:bCs/>
                <w:sz w:val="24"/>
                <w:szCs w:val="24"/>
              </w:rPr>
              <w:t>2、与《水利建设项目（河湖整治与防洪除涝工程）环境影响评价文件审批原则（试行）》的相符性分析</w:t>
            </w:r>
          </w:p>
          <w:p>
            <w:pPr>
              <w:keepNext w:val="0"/>
              <w:keepLines w:val="0"/>
              <w:pageBreakBefore w:val="0"/>
              <w:widowControl w:val="0"/>
              <w:suppressLineNumbers w:val="0"/>
              <w:shd w:val="clear" w:color="auto" w:fill="auto"/>
              <w:kinsoku/>
              <w:wordWrap/>
              <w:overflowPunct/>
              <w:topLinePunct w:val="0"/>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b/>
                <w:bCs/>
                <w:sz w:val="24"/>
                <w:szCs w:val="24"/>
              </w:rPr>
            </w:pPr>
            <w:r>
              <w:rPr>
                <w:rFonts w:hint="default" w:ascii="Times New Roman" w:hAnsi="Times New Roman" w:eastAsia="宋体" w:cs="Times New Roman"/>
                <w:color w:val="auto"/>
                <w:sz w:val="24"/>
                <w:highlight w:val="none"/>
                <w:lang w:val="en-US" w:eastAsia="zh-CN"/>
              </w:rPr>
              <w:t>本项目与《水利建设项目（河湖整治与防洪除涝工程）环境影响评价文件审批原则（试行）》</w:t>
            </w:r>
            <w:r>
              <w:rPr>
                <w:rFonts w:hint="default" w:ascii="Times New Roman" w:hAnsi="Times New Roman" w:cs="Times New Roman"/>
                <w:bCs/>
                <w:sz w:val="24"/>
                <w:szCs w:val="24"/>
                <w:lang w:val="en-US" w:eastAsia="zh-CN"/>
              </w:rPr>
              <w:t>相符性分析见表1。</w:t>
            </w:r>
          </w:p>
          <w:p>
            <w:pPr>
              <w:pStyle w:val="24"/>
              <w:keepNext w:val="0"/>
              <w:keepLines w:val="0"/>
              <w:suppressLineNumbers w:val="0"/>
              <w:spacing w:before="0" w:beforeAutospacing="0" w:after="0" w:afterAutospacing="0" w:line="360" w:lineRule="auto"/>
              <w:ind w:left="0" w:right="0"/>
              <w:jc w:val="center"/>
              <w:rPr>
                <w:rFonts w:hint="default" w:ascii="Times New Roman" w:hAnsi="Times New Roman" w:eastAsia="黑体" w:cs="Times New Roman"/>
              </w:rPr>
            </w:pPr>
            <w:r>
              <w:rPr>
                <w:rFonts w:hint="default" w:ascii="Times New Roman" w:hAnsi="Times New Roman" w:eastAsia="黑体" w:cs="Times New Roman"/>
                <w:lang w:val="en-US" w:eastAsia="zh-CN"/>
              </w:rPr>
              <w:t xml:space="preserve">表1  </w:t>
            </w:r>
            <w:r>
              <w:rPr>
                <w:rFonts w:hint="default" w:ascii="Times New Roman" w:hAnsi="Times New Roman" w:eastAsia="黑体" w:cs="Times New Roman"/>
              </w:rPr>
              <w:t>与《水利建设项目（河湖整治与防洪除涝工程）环境影响评价文件审批原则（试行）》相符性分析一览表</w:t>
            </w:r>
          </w:p>
          <w:tbl>
            <w:tblPr>
              <w:tblStyle w:val="19"/>
              <w:tblW w:w="7187" w:type="dxa"/>
              <w:jc w:val="center"/>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3295"/>
              <w:gridCol w:w="2079"/>
              <w:gridCol w:w="1104"/>
            </w:tblGrid>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trHeight w:val="123" w:hRule="atLeast"/>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3295"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b/>
                      <w:bCs/>
                      <w:szCs w:val="21"/>
                    </w:rPr>
                  </w:pPr>
                  <w:r>
                    <w:rPr>
                      <w:rFonts w:hint="default" w:ascii="Times New Roman" w:hAnsi="Times New Roman" w:cs="Times New Roman"/>
                      <w:b/>
                      <w:bCs/>
                      <w:szCs w:val="21"/>
                    </w:rPr>
                    <w:t>规范要求</w:t>
                  </w:r>
                </w:p>
              </w:tc>
              <w:tc>
                <w:tcPr>
                  <w:tcW w:w="207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b/>
                      <w:bCs/>
                      <w:szCs w:val="21"/>
                    </w:rPr>
                  </w:pPr>
                  <w:r>
                    <w:rPr>
                      <w:rFonts w:hint="default" w:ascii="Times New Roman" w:hAnsi="Times New Roman" w:cs="Times New Roman"/>
                      <w:b/>
                      <w:bCs/>
                      <w:szCs w:val="21"/>
                    </w:rPr>
                    <w:t>本项目情况</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b/>
                      <w:bCs/>
                      <w:szCs w:val="21"/>
                    </w:rPr>
                  </w:pPr>
                  <w:r>
                    <w:rPr>
                      <w:rFonts w:hint="default" w:ascii="Times New Roman" w:hAnsi="Times New Roman" w:cs="Times New Roman"/>
                      <w:b/>
                      <w:bCs/>
                      <w:szCs w:val="21"/>
                    </w:rPr>
                    <w:t>是否符合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1</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符合环境保护相关法律法规和政策要求，与主体功能区规划、生态功能区划、水环境功能区划、水功能区划、生态环境保护规划、流域综合规划、防洪规划等相协调，满足相关规划环评要求。工程涉及岸线调整（治导线变化）、裁弯取直、围垦水面和占用河湖滩地等建设内容的，充分论证了方案环境可行性，最大程度保持了河湖自然形态，最大限度维护了河湖健康、生态系统功能和生物多样性</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本项工程为</w:t>
                  </w:r>
                  <w:r>
                    <w:rPr>
                      <w:rFonts w:hint="eastAsia" w:cs="Times New Roman"/>
                      <w:szCs w:val="21"/>
                      <w:lang w:eastAsia="zh-CN"/>
                    </w:rPr>
                    <w:t>防洪除涝工程</w:t>
                  </w:r>
                  <w:r>
                    <w:rPr>
                      <w:rFonts w:hint="default" w:ascii="Times New Roman" w:hAnsi="Times New Roman" w:cs="Times New Roman"/>
                      <w:szCs w:val="21"/>
                    </w:rPr>
                    <w:t>，符合宁夏回族自治区主体功能区规划和生态功能区划等。项目治理段不改变现有河道走向</w:t>
                  </w:r>
                </w:p>
              </w:tc>
              <w:tc>
                <w:tcPr>
                  <w:tcW w:w="1104" w:type="dxa"/>
                  <w:vAlign w:val="center"/>
                </w:tcPr>
                <w:p>
                  <w:pPr>
                    <w:keepNext w:val="0"/>
                    <w:keepLines w:val="0"/>
                    <w:suppressLineNumbers w:val="0"/>
                    <w:spacing w:before="0" w:beforeAutospacing="0" w:after="0" w:afterAutospacing="0"/>
                    <w:ind w:left="0" w:right="0" w:firstLine="0"/>
                    <w:jc w:val="center"/>
                    <w:rPr>
                      <w:rFonts w:hint="eastAsia" w:ascii="Times New Roman" w:hAnsi="Times New Roman" w:eastAsia="宋体" w:cs="Times New Roman"/>
                      <w:szCs w:val="21"/>
                      <w:lang w:val="en-US" w:eastAsia="zh-CN"/>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trHeight w:val="82" w:hRule="atLeast"/>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2</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工程选址选线、施工布置原则上不占用自然保护区、风景名胜区、世界文化和自然遗产地以及其他生态保护红线等环境敏感区中法律法规禁止占用的区域，并与饮用水水源保护区的保护要求相协调。法律法规、政策另有规定的从其规定</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本项工程选址、施工布置不占用自然保护区、风景名胜区、世界文化和自然遗产地以及其他生态保护红线等环境敏感区中法律法规禁止占用的区域，并与饮用水水源保护区的保护要求相协调。</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trHeight w:val="82" w:hRule="atLeast"/>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3</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实施改变水动力条件或水文过程且对水质产生不利影响的，提出了工程优化调整、科学调度、实施区域流域水污染防治等措施。对地下水环境产生不利影响或次生环境影响的，提出了优化工程设计、导排、防护等针对性的防治措施</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项目工程实施不改变水动力条件或水文过程</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4</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项目对鱼类等水生生物的洄游通道及“三场”等重要生境、物种多样性及资源量等产生不利影响的，提出了下泄生态流量、恢复鱼类洄游通道、采用生态友好型护岸（坡、底）、生态修复、增殖放流等措施</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项目施工不涉及鱼类三场等，不会对鱼类等水生生物的泪游通道及“三场”等重要生境、物种多样性及资源量等产生不利影响</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5</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对湿地生态系统结构和功能、河湖生态缓冲带造成不利影响的，提出了优化工程设计及调度运行方案、生态修复等措施。对珍稀濒危保护植物造成不利影响的，提出了避让、原位防护、移栽等措施。对陆生珍稀濒危保护动物及其生境造成不利影响的，提出了避让、救护、迁徙廊道构建、生境再造等措施。对景观产生不利影响的，提出了避让、优化设计、景观塑造等措施</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lang w:val="en-US" w:eastAsia="zh-CN"/>
                    </w:rPr>
                    <w:t>项目施工对</w:t>
                  </w:r>
                  <w:r>
                    <w:rPr>
                      <w:rFonts w:hint="default" w:ascii="Times New Roman" w:hAnsi="Times New Roman" w:cs="Times New Roman"/>
                      <w:szCs w:val="21"/>
                    </w:rPr>
                    <w:t>湿地生态系统结构和功能、河湖生态缓冲带</w:t>
                  </w:r>
                  <w:r>
                    <w:rPr>
                      <w:rFonts w:hint="default" w:ascii="Times New Roman" w:hAnsi="Times New Roman" w:cs="Times New Roman"/>
                      <w:szCs w:val="21"/>
                      <w:lang w:val="en-US" w:eastAsia="zh-CN"/>
                    </w:rPr>
                    <w:t>不造成影响，项目建设区域不涉及珍稀濒危保护植物及动物</w:t>
                  </w:r>
                  <w:r>
                    <w:rPr>
                      <w:rFonts w:hint="default" w:ascii="Times New Roman" w:hAnsi="Times New Roman" w:cs="Times New Roman"/>
                      <w:szCs w:val="21"/>
                      <w:lang w:eastAsia="zh-CN"/>
                    </w:rPr>
                    <w:t>，</w:t>
                  </w:r>
                  <w:r>
                    <w:rPr>
                      <w:rFonts w:hint="default" w:ascii="Times New Roman" w:hAnsi="Times New Roman" w:cs="Times New Roman"/>
                      <w:szCs w:val="21"/>
                    </w:rPr>
                    <w:t>针对景观的不利影响，采取：①施工工地必须封闭，进行文明施工，施工围墙可以加以景观修饰；②施工现场做好临时排水沟渠；③施工完成后及时进行生态修复</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6</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施工组织方案具有环境合理性，对料场、弃土（渣）场等施工场地提出了水土流失防治和生态修复等措施。根据环境保护相关标准和要求，对施工期各类废（污）水、扬尘、废气、噪声、固体废物等提出了防治或处置措施。其中，涉水施工涉及饮用水水源保护区或取水口并可能对水质造成不利影响的，提出了避让、施工方案优化、污染物控制等措施；涉水施工对鱼类等水生生物及其重要生境造成不利影响的，提出了避让、施工方案优化、控制施工噪声等措施；针对清淤、疏浚等产生的淤泥，提出了符合相关规定的处置或综合利用方案</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eastAsia" w:ascii="Times New Roman" w:hAnsi="Times New Roman" w:eastAsia="宋体" w:cs="Times New Roman"/>
                      <w:color w:val="auto"/>
                      <w:sz w:val="21"/>
                      <w:szCs w:val="21"/>
                      <w:highlight w:val="none"/>
                      <w:vertAlign w:val="baseline"/>
                      <w:lang w:val="en-US" w:eastAsia="zh-CN"/>
                    </w:rPr>
                    <w:t>本项目</w:t>
                  </w:r>
                  <w:r>
                    <w:rPr>
                      <w:rFonts w:hint="eastAsia" w:cs="Times New Roman"/>
                      <w:color w:val="auto"/>
                      <w:sz w:val="21"/>
                      <w:szCs w:val="21"/>
                      <w:highlight w:val="none"/>
                      <w:vertAlign w:val="baseline"/>
                      <w:lang w:val="en-US" w:eastAsia="zh-CN"/>
                    </w:rPr>
                    <w:t>临时占地</w:t>
                  </w:r>
                  <w:r>
                    <w:rPr>
                      <w:rFonts w:hint="eastAsia" w:ascii="Times New Roman" w:hAnsi="Times New Roman" w:eastAsia="宋体" w:cs="Times New Roman"/>
                      <w:color w:val="auto"/>
                      <w:sz w:val="21"/>
                      <w:szCs w:val="21"/>
                      <w:highlight w:val="none"/>
                      <w:vertAlign w:val="baseline"/>
                      <w:lang w:val="en-US" w:eastAsia="zh-CN"/>
                    </w:rPr>
                    <w:t>主要为施工临时道路和施工场地，占地</w:t>
                  </w:r>
                  <w:r>
                    <w:rPr>
                      <w:rFonts w:hint="eastAsia" w:ascii="Times New Roman" w:hAnsi="Times New Roman" w:cs="Times New Roman"/>
                      <w:b w:val="0"/>
                      <w:bCs w:val="0"/>
                      <w:kern w:val="0"/>
                      <w:sz w:val="21"/>
                      <w:szCs w:val="21"/>
                      <w:highlight w:val="none"/>
                      <w:vertAlign w:val="baseline"/>
                      <w:lang w:val="en-US" w:eastAsia="zh-CN"/>
                    </w:rPr>
                    <w:t>6</w:t>
                  </w:r>
                  <w:r>
                    <w:rPr>
                      <w:rFonts w:hint="eastAsia" w:ascii="Times New Roman" w:hAnsi="Times New Roman" w:eastAsia="宋体" w:cs="Times New Roman"/>
                      <w:color w:val="auto"/>
                      <w:sz w:val="21"/>
                      <w:szCs w:val="21"/>
                      <w:highlight w:val="none"/>
                      <w:vertAlign w:val="baseline"/>
                      <w:lang w:val="en-US" w:eastAsia="zh-CN"/>
                    </w:rPr>
                    <w:t>亩。本项目施工结束时，及时恢复临时占地范围的土地使用功能，同时在施工期间采取施工扬尘、施工废水、噪声及固体废物的污染防治措施，可降低对区域环境的污染影响以及对陆生生态环境和水生生态环境的影响</w:t>
                  </w:r>
                  <w:r>
                    <w:rPr>
                      <w:rFonts w:hint="default" w:ascii="Times New Roman" w:hAnsi="Times New Roman" w:cs="Times New Roman"/>
                      <w:szCs w:val="21"/>
                    </w:rPr>
                    <w:t>。</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7</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项目移民安置的选址和建设方式具有环境合理性，提出了生态保护、污水处理、固体废物处置等措施。针对蓄滞洪区的环境污染、新增占地涉及污染场地等，提出了环境管理对策建议</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本项目不涉及移民安置</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8</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项目存在河湖水质污染、富营养化或外来物种入侵等环境风险的，提出了针对性的风险防范措施以及环境应急预案编制、建立必要的应急联动机制等要求</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项目不存在河湖水质污染、富营养化或外来物种入侵等环境风险</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9</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按相关导则及规定要求，制定了水环境、生态等环境监测计划，明确了监测网点、因子、频次等有关要求，提出了开展环境影响后评价及根据监测评估结果优化环境保护措施的要求。根据需要和相关规定，提出了环境保护设计、开展相关科学研究、环境管理等要求</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本次评价提出施工期和运营期水环境、大气环境、声环境、生态环境及水土保持的监测计划</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PrEx>
              <w:trPr>
                <w:jc w:val="center"/>
              </w:trPr>
              <w:tc>
                <w:tcPr>
                  <w:tcW w:w="709"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default" w:ascii="Times New Roman" w:hAnsi="Times New Roman" w:cs="Times New Roman"/>
                      <w:szCs w:val="21"/>
                    </w:rPr>
                    <w:t>10</w:t>
                  </w:r>
                </w:p>
              </w:tc>
              <w:tc>
                <w:tcPr>
                  <w:tcW w:w="3295"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对环境保护措施进行了深入论证，建设单位主体责任、投资估算、时间节点、预期效果明确，确保科学有效、安全可行、绿色协调</w:t>
                  </w:r>
                </w:p>
              </w:tc>
              <w:tc>
                <w:tcPr>
                  <w:tcW w:w="2079" w:type="dxa"/>
                  <w:vAlign w:val="center"/>
                </w:tcPr>
                <w:p>
                  <w:pPr>
                    <w:keepNext w:val="0"/>
                    <w:keepLines w:val="0"/>
                    <w:suppressLineNumbers w:val="0"/>
                    <w:spacing w:before="0" w:beforeAutospacing="0" w:after="0" w:afterAutospacing="0"/>
                    <w:ind w:left="0" w:right="0" w:firstLine="0"/>
                    <w:rPr>
                      <w:rFonts w:hint="default" w:ascii="Times New Roman" w:hAnsi="Times New Roman" w:cs="Times New Roman"/>
                      <w:szCs w:val="21"/>
                    </w:rPr>
                  </w:pPr>
                  <w:r>
                    <w:rPr>
                      <w:rFonts w:hint="default" w:ascii="Times New Roman" w:hAnsi="Times New Roman" w:cs="Times New Roman"/>
                      <w:szCs w:val="21"/>
                    </w:rPr>
                    <w:t>本次评价已分别提出污染防治措施和生态保护措施，均为经济、可行的环保防治方案</w:t>
                  </w:r>
                </w:p>
              </w:tc>
              <w:tc>
                <w:tcPr>
                  <w:tcW w:w="1104" w:type="dxa"/>
                  <w:vAlign w:val="center"/>
                </w:tcPr>
                <w:p>
                  <w:pPr>
                    <w:keepNext w:val="0"/>
                    <w:keepLines w:val="0"/>
                    <w:suppressLineNumbers w:val="0"/>
                    <w:spacing w:before="0" w:beforeAutospacing="0" w:after="0" w:afterAutospacing="0"/>
                    <w:ind w:left="0" w:right="0" w:firstLine="0"/>
                    <w:jc w:val="center"/>
                    <w:rPr>
                      <w:rFonts w:hint="default" w:ascii="Times New Roman" w:hAnsi="Times New Roman" w:cs="Times New Roman"/>
                      <w:szCs w:val="21"/>
                    </w:rPr>
                  </w:pPr>
                  <w:r>
                    <w:rPr>
                      <w:rFonts w:hint="eastAsia" w:cs="Times New Roman"/>
                      <w:szCs w:val="21"/>
                      <w:lang w:val="en-US" w:eastAsia="zh-CN"/>
                    </w:rPr>
                    <w:t>符合</w:t>
                  </w:r>
                </w:p>
              </w:tc>
            </w:tr>
          </w:tbl>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由上表可知，本项目与《水利建设项目（河湖整治与防洪除涝工程）环境影响评价文件审批原则（试行）》文件要求相符。</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rPr>
            </w:pPr>
            <w:r>
              <w:rPr>
                <w:rFonts w:hint="default" w:ascii="Times New Roman" w:hAnsi="Times New Roman" w:cs="Times New Roman"/>
                <w:b/>
                <w:bCs/>
                <w:sz w:val="24"/>
              </w:rPr>
              <w:t>3、</w:t>
            </w:r>
            <w:r>
              <w:rPr>
                <w:rFonts w:hint="eastAsia" w:cs="Times New Roman"/>
                <w:b/>
                <w:bCs/>
                <w:sz w:val="24"/>
                <w:lang w:eastAsia="zh-CN"/>
              </w:rPr>
              <w:t>“</w:t>
            </w:r>
            <w:r>
              <w:rPr>
                <w:rFonts w:hint="default" w:ascii="Times New Roman" w:hAnsi="Times New Roman" w:cs="Times New Roman"/>
                <w:b/>
                <w:bCs/>
                <w:sz w:val="24"/>
              </w:rPr>
              <w:t>三线一单</w:t>
            </w:r>
            <w:r>
              <w:rPr>
                <w:rFonts w:hint="eastAsia" w:cs="Times New Roman"/>
                <w:b/>
                <w:bCs/>
                <w:sz w:val="24"/>
                <w:lang w:eastAsia="zh-CN"/>
              </w:rPr>
              <w:t>”</w:t>
            </w:r>
            <w:r>
              <w:rPr>
                <w:rFonts w:hint="default" w:ascii="Times New Roman" w:hAnsi="Times New Roman" w:cs="Times New Roman"/>
                <w:b/>
                <w:bCs/>
                <w:sz w:val="24"/>
              </w:rPr>
              <w:t>的符合性分析</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rPr>
            </w:pPr>
            <w:r>
              <w:rPr>
                <w:rFonts w:hint="default" w:ascii="Times New Roman" w:hAnsi="Times New Roman" w:cs="Times New Roman"/>
                <w:b/>
                <w:bCs/>
                <w:sz w:val="24"/>
              </w:rPr>
              <w:t>（1）与生态保护红线的符合性分析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本项工程为</w:t>
            </w:r>
            <w:r>
              <w:rPr>
                <w:rFonts w:hint="eastAsia" w:cs="Times New Roman"/>
                <w:sz w:val="24"/>
                <w:lang w:eastAsia="zh-CN"/>
              </w:rPr>
              <w:t>防洪除涝工程</w:t>
            </w:r>
            <w:r>
              <w:rPr>
                <w:rFonts w:hint="default" w:ascii="Times New Roman" w:hAnsi="Times New Roman" w:cs="Times New Roman"/>
                <w:sz w:val="24"/>
              </w:rPr>
              <w:t>，工程区不涉及自然保护区、风景名胜区、世界文化和自然遗产地以及其他生态保护红线等环境敏感区中法律法规禁止占用的区域，并与饮用水水源保护区的保护要求相协调，也无野生植物集中分布地等保护区域。项目所在地不在宁夏生态红线内，项目的建设是对生态环境的有效治理与改善，与生态保护红线相关内容相符。</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sz w:val="24"/>
                <w:lang w:eastAsia="zh-CN"/>
              </w:rPr>
            </w:pPr>
            <w:r>
              <w:rPr>
                <w:rFonts w:hint="default" w:ascii="Times New Roman" w:hAnsi="Times New Roman" w:cs="Times New Roman"/>
                <w:sz w:val="24"/>
                <w:lang w:val="en-US" w:eastAsia="zh-CN"/>
              </w:rPr>
              <w:t>本</w:t>
            </w:r>
            <w:r>
              <w:rPr>
                <w:rFonts w:hint="default" w:ascii="Times New Roman" w:hAnsi="Times New Roman" w:cs="Times New Roman"/>
                <w:sz w:val="24"/>
              </w:rPr>
              <w:t>项目与宁夏</w:t>
            </w:r>
            <w:r>
              <w:rPr>
                <w:rFonts w:hint="default" w:ascii="Times New Roman" w:hAnsi="Times New Roman" w:cs="Times New Roman"/>
                <w:sz w:val="24"/>
                <w:lang w:val="en-US" w:eastAsia="zh-CN"/>
              </w:rPr>
              <w:t>回族自治区</w:t>
            </w:r>
            <w:r>
              <w:rPr>
                <w:rFonts w:hint="default" w:ascii="Times New Roman" w:hAnsi="Times New Roman" w:cs="Times New Roman"/>
                <w:sz w:val="24"/>
              </w:rPr>
              <w:t>生态保护红线位置关系</w:t>
            </w:r>
            <w:r>
              <w:rPr>
                <w:rFonts w:hint="default" w:ascii="Times New Roman" w:hAnsi="Times New Roman" w:cs="Times New Roman"/>
                <w:sz w:val="24"/>
                <w:lang w:val="en-US" w:eastAsia="zh-CN"/>
              </w:rPr>
              <w:t>具体见</w:t>
            </w:r>
            <w:r>
              <w:rPr>
                <w:rFonts w:hint="default" w:ascii="Times New Roman" w:hAnsi="Times New Roman" w:cs="Times New Roman"/>
                <w:b/>
                <w:bCs/>
                <w:sz w:val="24"/>
              </w:rPr>
              <w:t>图1</w:t>
            </w:r>
            <w:r>
              <w:rPr>
                <w:rFonts w:hint="default" w:ascii="Times New Roman" w:hAnsi="Times New Roman" w:cs="Times New Roman"/>
                <w:b/>
                <w:bCs/>
                <w:sz w:val="24"/>
                <w:lang w:eastAsia="zh-CN"/>
              </w:rPr>
              <w:t>，</w:t>
            </w:r>
            <w:r>
              <w:rPr>
                <w:rFonts w:hint="default" w:ascii="Times New Roman" w:hAnsi="Times New Roman" w:cs="Times New Roman"/>
                <w:sz w:val="24"/>
              </w:rPr>
              <w:t>与</w:t>
            </w:r>
            <w:r>
              <w:rPr>
                <w:rFonts w:hint="default" w:ascii="Times New Roman" w:hAnsi="Times New Roman" w:cs="Times New Roman"/>
                <w:sz w:val="24"/>
                <w:lang w:val="en-US" w:eastAsia="zh-CN"/>
              </w:rPr>
              <w:t>吴忠市</w:t>
            </w:r>
            <w:r>
              <w:rPr>
                <w:rFonts w:hint="default" w:ascii="Times New Roman" w:hAnsi="Times New Roman" w:cs="Times New Roman"/>
                <w:sz w:val="24"/>
              </w:rPr>
              <w:t>生态保护红线位置关系</w:t>
            </w:r>
            <w:r>
              <w:rPr>
                <w:rFonts w:hint="default" w:ascii="Times New Roman" w:hAnsi="Times New Roman" w:cs="Times New Roman"/>
                <w:sz w:val="24"/>
                <w:lang w:val="en-US" w:eastAsia="zh-CN"/>
              </w:rPr>
              <w:t>具体见</w:t>
            </w:r>
            <w:r>
              <w:rPr>
                <w:rFonts w:hint="default" w:ascii="Times New Roman" w:hAnsi="Times New Roman" w:cs="Times New Roman"/>
                <w:b/>
                <w:bCs/>
                <w:sz w:val="24"/>
              </w:rPr>
              <w:t>图</w:t>
            </w:r>
            <w:r>
              <w:rPr>
                <w:rFonts w:hint="default" w:ascii="Times New Roman" w:hAnsi="Times New Roman" w:cs="Times New Roman"/>
                <w:b/>
                <w:bCs/>
                <w:sz w:val="24"/>
                <w:lang w:val="en-US" w:eastAsia="zh-CN"/>
              </w:rPr>
              <w:t>2</w:t>
            </w:r>
            <w:r>
              <w:rPr>
                <w:rFonts w:hint="default" w:ascii="Times New Roman" w:hAnsi="Times New Roman" w:cs="Times New Roman"/>
                <w:sz w:val="24"/>
                <w:lang w:eastAsia="zh-CN"/>
              </w:rPr>
              <w:t>。</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rPr>
            </w:pPr>
            <w:r>
              <w:rPr>
                <w:rFonts w:hint="default" w:ascii="Times New Roman" w:hAnsi="Times New Roman" w:cs="Times New Roman"/>
                <w:b/>
                <w:bCs/>
                <w:sz w:val="24"/>
              </w:rPr>
              <w:t>（2）与环境质量底线的符合性分析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①水环境质量底线</w:t>
            </w:r>
            <w:r>
              <w:rPr>
                <w:rFonts w:hint="eastAsia" w:cs="Times New Roman"/>
                <w:sz w:val="24"/>
                <w:lang w:val="en-US" w:eastAsia="zh-CN"/>
              </w:rPr>
              <w:t>及</w:t>
            </w:r>
            <w:r>
              <w:rPr>
                <w:rFonts w:hint="default" w:ascii="Times New Roman" w:hAnsi="Times New Roman" w:cs="Times New Roman"/>
                <w:sz w:val="24"/>
              </w:rPr>
              <w:t>分区管控要求分析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根据</w:t>
            </w:r>
            <w:r>
              <w:rPr>
                <w:rFonts w:hint="eastAsia" w:cs="Times New Roman"/>
                <w:sz w:val="24"/>
                <w:lang w:val="en-US" w:eastAsia="zh-CN"/>
              </w:rPr>
              <w:t>吴忠</w:t>
            </w:r>
            <w:r>
              <w:rPr>
                <w:rFonts w:hint="default" w:ascii="Times New Roman" w:hAnsi="Times New Roman" w:cs="Times New Roman"/>
                <w:sz w:val="24"/>
              </w:rPr>
              <w:t>市水环境分区管控区划分，本项目位于一般管控区。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水环境一般管控区管控要求：对水环境问题相对较少，对区域影响程度较轻的一般控制单元，落实普适性治理要求，加强污染预防。</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本项工程为</w:t>
            </w:r>
            <w:r>
              <w:rPr>
                <w:rFonts w:hint="eastAsia" w:cs="Times New Roman"/>
                <w:sz w:val="24"/>
                <w:lang w:eastAsia="zh-CN"/>
              </w:rPr>
              <w:t>防洪除涝工程</w:t>
            </w:r>
            <w:r>
              <w:rPr>
                <w:rFonts w:hint="default" w:ascii="Times New Roman" w:hAnsi="Times New Roman" w:cs="Times New Roman"/>
                <w:sz w:val="24"/>
              </w:rPr>
              <w:t>，工程项目完工运营后，可以使洪水有序、顺畅的导入附近农田及主要泄洪沟道，主要为水资源的转移，对水环境质量没有影响，符合吴忠市水环境质量底线一般管控区要求。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sz w:val="24"/>
                <w:lang w:val="en-US" w:eastAsia="zh-CN"/>
              </w:rPr>
            </w:pPr>
            <w:r>
              <w:rPr>
                <w:rFonts w:hint="default" w:ascii="Times New Roman" w:hAnsi="Times New Roman" w:cs="Times New Roman"/>
                <w:sz w:val="24"/>
                <w:lang w:val="en-US" w:eastAsia="zh-CN"/>
              </w:rPr>
              <w:t>本</w:t>
            </w:r>
            <w:r>
              <w:rPr>
                <w:rFonts w:hint="default" w:ascii="Times New Roman" w:hAnsi="Times New Roman" w:cs="Times New Roman"/>
                <w:sz w:val="24"/>
              </w:rPr>
              <w:t>项目与</w:t>
            </w:r>
            <w:r>
              <w:rPr>
                <w:rFonts w:hint="default" w:ascii="Times New Roman" w:hAnsi="Times New Roman" w:cs="Times New Roman"/>
                <w:sz w:val="24"/>
                <w:lang w:val="en-US" w:eastAsia="zh-CN"/>
              </w:rPr>
              <w:t>吴忠市</w:t>
            </w:r>
            <w:r>
              <w:rPr>
                <w:rFonts w:hint="default" w:ascii="Times New Roman" w:hAnsi="Times New Roman" w:cs="Times New Roman"/>
                <w:sz w:val="24"/>
              </w:rPr>
              <w:t>水环境分区管控的位置关系</w:t>
            </w:r>
            <w:r>
              <w:rPr>
                <w:rFonts w:hint="default" w:ascii="Times New Roman" w:hAnsi="Times New Roman" w:cs="Times New Roman"/>
                <w:sz w:val="24"/>
                <w:lang w:val="en-US" w:eastAsia="zh-CN"/>
              </w:rPr>
              <w:t>见</w:t>
            </w:r>
            <w:r>
              <w:rPr>
                <w:rFonts w:hint="default" w:ascii="Times New Roman" w:hAnsi="Times New Roman" w:cs="Times New Roman"/>
                <w:b/>
                <w:bCs/>
                <w:sz w:val="24"/>
                <w:lang w:val="en-US" w:eastAsia="zh-CN"/>
              </w:rPr>
              <w:t>图3</w:t>
            </w:r>
            <w:r>
              <w:rPr>
                <w:rFonts w:hint="default" w:ascii="Times New Roman" w:hAnsi="Times New Roman" w:cs="Times New Roman"/>
                <w:sz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②大气环境质量底线</w:t>
            </w:r>
            <w:r>
              <w:rPr>
                <w:rFonts w:hint="eastAsia" w:cs="Times New Roman"/>
                <w:sz w:val="24"/>
                <w:lang w:val="en-US" w:eastAsia="zh-CN"/>
              </w:rPr>
              <w:t>及</w:t>
            </w:r>
            <w:r>
              <w:rPr>
                <w:rFonts w:hint="default" w:ascii="Times New Roman" w:hAnsi="Times New Roman" w:cs="Times New Roman"/>
                <w:sz w:val="24"/>
              </w:rPr>
              <w:t>分区管控要求分析</w:t>
            </w:r>
          </w:p>
          <w:p>
            <w:pPr>
              <w:keepNext w:val="0"/>
              <w:keepLines w:val="0"/>
              <w:suppressLineNumbers w:val="0"/>
              <w:spacing w:before="0" w:beforeAutospacing="0" w:after="0" w:afterAutospacing="0" w:line="360" w:lineRule="auto"/>
              <w:ind w:left="0" w:right="0" w:firstLine="480" w:firstLineChars="200"/>
              <w:rPr>
                <w:rFonts w:hint="eastAsia" w:eastAsia="宋体" w:cs="Times New Roman"/>
                <w:sz w:val="24"/>
                <w:lang w:val="en-US" w:eastAsia="zh-CN"/>
              </w:rPr>
            </w:pPr>
            <w:r>
              <w:rPr>
                <w:rFonts w:hint="default" w:ascii="Times New Roman" w:hAnsi="Times New Roman" w:cs="Times New Roman"/>
                <w:sz w:val="24"/>
              </w:rPr>
              <w:t>根据</w:t>
            </w:r>
            <w:r>
              <w:rPr>
                <w:rFonts w:hint="eastAsia" w:cs="Times New Roman"/>
                <w:sz w:val="24"/>
                <w:lang w:val="en-US" w:eastAsia="zh-CN"/>
              </w:rPr>
              <w:t>吴忠</w:t>
            </w:r>
            <w:r>
              <w:rPr>
                <w:rFonts w:hint="default" w:ascii="Times New Roman" w:hAnsi="Times New Roman" w:cs="Times New Roman"/>
                <w:sz w:val="24"/>
              </w:rPr>
              <w:t>市</w:t>
            </w:r>
            <w:r>
              <w:rPr>
                <w:rFonts w:hint="eastAsia" w:ascii="Times New Roman" w:hAnsi="Times New Roman" w:cs="Times New Roman"/>
                <w:color w:val="auto"/>
                <w:sz w:val="24"/>
                <w:shd w:val="clear" w:color="auto" w:fill="auto"/>
                <w:lang w:val="en-US" w:eastAsia="zh-CN"/>
              </w:rPr>
              <w:t>大气环境分区管控区划分</w:t>
            </w:r>
            <w:r>
              <w:rPr>
                <w:rFonts w:hint="default" w:ascii="Times New Roman" w:hAnsi="Times New Roman" w:cs="Times New Roman"/>
                <w:sz w:val="24"/>
              </w:rPr>
              <w:t>，本项目位于一般管控区</w:t>
            </w:r>
            <w:r>
              <w:rPr>
                <w:rFonts w:hint="eastAsia" w:cs="Times New Roman"/>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大气环境一般管控区管控要求：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本项工程涉及土石方开挖、汽车运输等施工活动，增加了周围空气的含尘浓度</w:t>
            </w:r>
            <w:r>
              <w:rPr>
                <w:rFonts w:hint="eastAsia" w:cs="Times New Roman"/>
                <w:sz w:val="24"/>
                <w:lang w:val="en-US" w:eastAsia="zh-CN"/>
              </w:rPr>
              <w:t>以及汽车排气的污染程度</w:t>
            </w:r>
            <w:r>
              <w:rPr>
                <w:rFonts w:hint="default" w:ascii="Times New Roman" w:hAnsi="Times New Roman" w:cs="Times New Roman"/>
                <w:sz w:val="24"/>
              </w:rPr>
              <w:t>，但由于施工作业分段进行，其影响很小，符合吴忠市大气环境质量底线一般管控区要求。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sz w:val="24"/>
                <w:lang w:val="en-US" w:eastAsia="zh-CN"/>
              </w:rPr>
            </w:pPr>
            <w:r>
              <w:rPr>
                <w:rFonts w:hint="default" w:ascii="Times New Roman" w:hAnsi="Times New Roman" w:cs="Times New Roman"/>
                <w:sz w:val="24"/>
                <w:lang w:val="en-US" w:eastAsia="zh-CN"/>
              </w:rPr>
              <w:t>本</w:t>
            </w:r>
            <w:r>
              <w:rPr>
                <w:rFonts w:hint="default" w:ascii="Times New Roman" w:hAnsi="Times New Roman" w:cs="Times New Roman"/>
                <w:sz w:val="24"/>
              </w:rPr>
              <w:t>项目与</w:t>
            </w:r>
            <w:r>
              <w:rPr>
                <w:rFonts w:hint="default" w:ascii="Times New Roman" w:hAnsi="Times New Roman" w:cs="Times New Roman"/>
                <w:sz w:val="24"/>
                <w:lang w:val="en-US" w:eastAsia="zh-CN"/>
              </w:rPr>
              <w:t>吴忠市</w:t>
            </w:r>
            <w:r>
              <w:rPr>
                <w:rFonts w:hint="default" w:ascii="Times New Roman" w:hAnsi="Times New Roman" w:cs="Times New Roman"/>
                <w:sz w:val="24"/>
              </w:rPr>
              <w:t>大气环境分区管控的位置关系</w:t>
            </w:r>
            <w:r>
              <w:rPr>
                <w:rFonts w:hint="default" w:ascii="Times New Roman" w:hAnsi="Times New Roman" w:cs="Times New Roman"/>
                <w:sz w:val="24"/>
                <w:lang w:val="en-US" w:eastAsia="zh-CN"/>
              </w:rPr>
              <w:t>见</w:t>
            </w:r>
            <w:r>
              <w:rPr>
                <w:rFonts w:hint="default" w:ascii="Times New Roman" w:hAnsi="Times New Roman" w:cs="Times New Roman"/>
                <w:b/>
                <w:bCs/>
                <w:sz w:val="24"/>
              </w:rPr>
              <w:t>图</w:t>
            </w:r>
            <w:r>
              <w:rPr>
                <w:rFonts w:hint="default" w:ascii="Times New Roman" w:hAnsi="Times New Roman" w:cs="Times New Roman"/>
                <w:b/>
                <w:bCs/>
                <w:sz w:val="24"/>
                <w:lang w:val="en-US" w:eastAsia="zh-CN"/>
              </w:rPr>
              <w:t>4</w:t>
            </w:r>
            <w:r>
              <w:rPr>
                <w:rFonts w:hint="default" w:ascii="Times New Roman" w:hAnsi="Times New Roman" w:cs="Times New Roman"/>
                <w:sz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sz w:val="24"/>
                <w:lang w:val="en-US" w:eastAsia="zh-CN"/>
              </w:rPr>
            </w:pPr>
            <w:r>
              <w:rPr>
                <w:rFonts w:hint="default" w:ascii="Times New Roman" w:hAnsi="Times New Roman" w:cs="Times New Roman"/>
                <w:sz w:val="24"/>
              </w:rPr>
              <w:t>③土壤污染风险防控底线及分区管控</w:t>
            </w:r>
            <w:r>
              <w:rPr>
                <w:rFonts w:hint="eastAsia" w:cs="Times New Roman"/>
                <w:sz w:val="24"/>
                <w:lang w:val="en-US" w:eastAsia="zh-CN"/>
              </w:rPr>
              <w:t>要求分析</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cs="Times New Roman"/>
                <w:color w:val="auto"/>
                <w:sz w:val="24"/>
                <w:shd w:val="clear" w:color="auto" w:fill="auto"/>
                <w:lang w:val="en-US" w:eastAsia="zh-CN"/>
              </w:rPr>
            </w:pPr>
            <w:r>
              <w:rPr>
                <w:rFonts w:hint="eastAsia" w:ascii="Times New Roman" w:hAnsi="Times New Roman" w:cs="Times New Roman"/>
                <w:color w:val="auto"/>
                <w:sz w:val="24"/>
                <w:shd w:val="clear" w:color="auto" w:fill="auto"/>
                <w:lang w:val="en-US" w:eastAsia="zh-CN"/>
              </w:rPr>
              <w:t>根据</w:t>
            </w:r>
            <w:r>
              <w:rPr>
                <w:rFonts w:hint="eastAsia" w:cs="Times New Roman"/>
                <w:color w:val="auto"/>
                <w:sz w:val="24"/>
                <w:shd w:val="clear" w:color="auto" w:fill="auto"/>
                <w:lang w:val="en-US" w:eastAsia="zh-CN"/>
              </w:rPr>
              <w:t>吴忠</w:t>
            </w:r>
            <w:r>
              <w:rPr>
                <w:rFonts w:hint="eastAsia" w:ascii="Times New Roman" w:hAnsi="Times New Roman" w:cs="Times New Roman"/>
                <w:color w:val="auto"/>
                <w:sz w:val="24"/>
                <w:shd w:val="clear" w:color="auto" w:fill="auto"/>
                <w:lang w:val="en-US" w:eastAsia="zh-CN"/>
              </w:rPr>
              <w:t>市土壤污染风险分区管控区划分，本项目位于一般管控区。</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cs="Times New Roman"/>
                <w:color w:val="auto"/>
                <w:sz w:val="24"/>
                <w:shd w:val="clear" w:color="auto" w:fill="auto"/>
                <w:lang w:val="en-US" w:eastAsia="zh-CN"/>
              </w:rPr>
            </w:pPr>
            <w:r>
              <w:rPr>
                <w:rFonts w:hint="eastAsia" w:ascii="Times New Roman" w:hAnsi="Times New Roman" w:cs="Times New Roman"/>
                <w:color w:val="auto"/>
                <w:sz w:val="24"/>
                <w:shd w:val="clear" w:color="auto" w:fill="auto"/>
                <w:lang w:val="en-US" w:eastAsia="zh-CN"/>
              </w:rPr>
              <w:t>土壤污染一般管控区防控要求：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r>
              <w:rPr>
                <w:rFonts w:hint="eastAsia" w:cs="Times New Roman"/>
                <w:color w:val="auto"/>
                <w:sz w:val="24"/>
                <w:shd w:val="clear" w:color="auto" w:fill="auto"/>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本项工程为</w:t>
            </w:r>
            <w:r>
              <w:rPr>
                <w:rFonts w:hint="eastAsia" w:cs="Times New Roman"/>
                <w:sz w:val="24"/>
                <w:lang w:eastAsia="zh-CN"/>
              </w:rPr>
              <w:t>防洪除涝工程</w:t>
            </w:r>
            <w:r>
              <w:rPr>
                <w:rFonts w:hint="default" w:ascii="Times New Roman" w:hAnsi="Times New Roman" w:cs="Times New Roman"/>
                <w:sz w:val="24"/>
              </w:rPr>
              <w:t>，无重点污染物排放，工程占地面积较小，对吴忠市同心县的土地资源影响较小，符合吴忠市土壤污染风险防控底线一般管控区要求。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sz w:val="24"/>
                <w:lang w:eastAsia="zh-CN"/>
              </w:rPr>
            </w:pPr>
            <w:r>
              <w:rPr>
                <w:rFonts w:hint="default" w:ascii="Times New Roman" w:hAnsi="Times New Roman" w:cs="Times New Roman"/>
                <w:sz w:val="24"/>
                <w:lang w:val="en-US" w:eastAsia="zh-CN"/>
              </w:rPr>
              <w:t>本</w:t>
            </w:r>
            <w:r>
              <w:rPr>
                <w:rFonts w:hint="default" w:ascii="Times New Roman" w:hAnsi="Times New Roman" w:cs="Times New Roman"/>
                <w:sz w:val="24"/>
              </w:rPr>
              <w:t>项目与</w:t>
            </w:r>
            <w:r>
              <w:rPr>
                <w:rFonts w:hint="default" w:ascii="Times New Roman" w:hAnsi="Times New Roman" w:cs="Times New Roman"/>
                <w:sz w:val="24"/>
                <w:lang w:val="en-US" w:eastAsia="zh-CN"/>
              </w:rPr>
              <w:t>吴忠市</w:t>
            </w:r>
            <w:r>
              <w:rPr>
                <w:rFonts w:hint="default" w:ascii="Times New Roman" w:hAnsi="Times New Roman" w:cs="Times New Roman"/>
                <w:sz w:val="24"/>
              </w:rPr>
              <w:t>土壤环境分区管控的位置关系</w:t>
            </w:r>
            <w:r>
              <w:rPr>
                <w:rFonts w:hint="default" w:ascii="Times New Roman" w:hAnsi="Times New Roman" w:cs="Times New Roman"/>
                <w:sz w:val="24"/>
                <w:lang w:val="en-US" w:eastAsia="zh-CN"/>
              </w:rPr>
              <w:t>见</w:t>
            </w:r>
            <w:r>
              <w:rPr>
                <w:rFonts w:hint="default" w:ascii="Times New Roman" w:hAnsi="Times New Roman" w:cs="Times New Roman"/>
                <w:b/>
                <w:bCs/>
                <w:sz w:val="24"/>
              </w:rPr>
              <w:t>图</w:t>
            </w:r>
            <w:r>
              <w:rPr>
                <w:rFonts w:hint="default" w:ascii="Times New Roman" w:hAnsi="Times New Roman" w:cs="Times New Roman"/>
                <w:b/>
                <w:bCs/>
                <w:sz w:val="24"/>
                <w:lang w:val="en-US" w:eastAsia="zh-CN"/>
              </w:rPr>
              <w:t>5</w:t>
            </w:r>
            <w:r>
              <w:rPr>
                <w:rFonts w:hint="default" w:ascii="Times New Roman" w:hAnsi="Times New Roman" w:cs="Times New Roman"/>
                <w:sz w:val="24"/>
                <w:lang w:eastAsia="zh-CN"/>
              </w:rPr>
              <w:t>。</w:t>
            </w:r>
          </w:p>
          <w:p>
            <w:pPr>
              <w:keepNext w:val="0"/>
              <w:keepLines w:val="0"/>
              <w:suppressLineNumbers w:val="0"/>
              <w:spacing w:before="0" w:beforeAutospacing="0" w:after="0" w:afterAutospacing="0" w:line="360" w:lineRule="auto"/>
              <w:ind w:left="210" w:leftChars="100" w:right="0"/>
              <w:rPr>
                <w:rFonts w:hint="default" w:ascii="Times New Roman" w:hAnsi="Times New Roman" w:cs="Times New Roman"/>
                <w:b/>
                <w:bCs/>
                <w:sz w:val="24"/>
              </w:rPr>
            </w:pPr>
            <w:r>
              <w:rPr>
                <w:rFonts w:hint="default" w:ascii="Times New Roman" w:hAnsi="Times New Roman" w:cs="Times New Roman"/>
                <w:b/>
                <w:bCs/>
                <w:sz w:val="24"/>
              </w:rPr>
              <w:t>（3）与资源利用上线的符合性分析</w:t>
            </w:r>
          </w:p>
          <w:p>
            <w:pPr>
              <w:keepNext w:val="0"/>
              <w:keepLines w:val="0"/>
              <w:suppressLineNumbers w:val="0"/>
              <w:spacing w:before="0" w:beforeAutospacing="0" w:after="0" w:afterAutospacing="0" w:line="360" w:lineRule="auto"/>
              <w:ind w:left="210" w:leftChars="100" w:right="0" w:firstLine="240" w:firstLineChars="100"/>
              <w:rPr>
                <w:rFonts w:hint="default" w:ascii="Times New Roman" w:hAnsi="Times New Roman" w:cs="Times New Roman"/>
                <w:sz w:val="24"/>
              </w:rPr>
            </w:pPr>
            <w:r>
              <w:rPr>
                <w:rFonts w:hint="default" w:ascii="Times New Roman" w:hAnsi="Times New Roman" w:cs="Times New Roman"/>
                <w:sz w:val="24"/>
              </w:rPr>
              <w:t>①能源（煤炭）资源利用上线及分区管控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为有效改善区域大气环境质量，提出吴忠市能源利用上线管控指标共三项：能源利用总量、燃煤消费总量、单位地区生产总值能耗。本工程属于防洪除涝工程，仅涉及少量电的使用，不会触及吴忠市能源（煤炭）资源利用上线。</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②水资源利用上线及分区管控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本工程用水主要为施工期用水，水资源消耗量相对区域资源利用总量较小，符合水资源利用上线要求。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③土地资源利用上线及分区管控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工程进行白石头沟护岸工程建设，新增永久占地面积较小，项目合理控制土地开发强度，优化土地利用结构和布局，清理低效用地，集约化、规模化开发土地资源，提高土地集约化利用程度和开发利用效益要求。符合土地资源利用上线要求。</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rPr>
            </w:pPr>
            <w:r>
              <w:rPr>
                <w:rFonts w:hint="default" w:ascii="Times New Roman" w:hAnsi="Times New Roman" w:cs="Times New Roman"/>
                <w:b/>
                <w:bCs/>
                <w:sz w:val="24"/>
              </w:rPr>
              <w:t>（4）环境管控单元与准入清单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经对比分析，本项目与《吴忠市人民政府关于实施“三线一单”生态环境分区管控的意见》（吴政规发〔2021〕2号）中吴忠市生态环境总体准入要求相符合。</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项目所在管控单元分类为一般管控区，本项目与宁夏回族自治区环境管控单元位置关系见</w:t>
            </w:r>
            <w:r>
              <w:rPr>
                <w:rFonts w:hint="default" w:ascii="Times New Roman" w:hAnsi="Times New Roman" w:cs="Times New Roman"/>
                <w:b/>
                <w:bCs/>
                <w:sz w:val="24"/>
                <w:lang w:val="en-US" w:eastAsia="zh-CN"/>
              </w:rPr>
              <w:t>图6</w:t>
            </w:r>
            <w:r>
              <w:rPr>
                <w:rFonts w:hint="default" w:ascii="Times New Roman" w:hAnsi="Times New Roman" w:cs="Times New Roman"/>
                <w:sz w:val="24"/>
                <w:lang w:val="en-US" w:eastAsia="zh-CN"/>
              </w:rPr>
              <w:t>，本项目与吴忠市生态环境分区管控的位置关系见</w:t>
            </w:r>
            <w:r>
              <w:rPr>
                <w:rFonts w:hint="default" w:ascii="Times New Roman" w:hAnsi="Times New Roman" w:cs="Times New Roman"/>
                <w:b/>
                <w:bCs/>
                <w:sz w:val="24"/>
                <w:lang w:val="en-US" w:eastAsia="zh-CN"/>
              </w:rPr>
              <w:t>图7</w:t>
            </w:r>
            <w:r>
              <w:rPr>
                <w:rFonts w:hint="default" w:ascii="Times New Roman" w:hAnsi="Times New Roman" w:cs="Times New Roman"/>
                <w:sz w:val="24"/>
                <w:lang w:val="en-US" w:eastAsia="zh-CN"/>
              </w:rPr>
              <w:t>，管控要求（空间布局约束）</w:t>
            </w:r>
            <w:r>
              <w:rPr>
                <w:rFonts w:hint="eastAsia" w:cs="Times New Roman"/>
                <w:sz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①禁止新建项目乱征滥占草地、破坏沙生植被，严格限制在区域内采砂取土。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②限制无序发展光伏产业。严格限制在农用地优先保护区集中区域新建医药、垃圾焚烧、铅酸蓄电池制造回收、电子废弃物拆解、危险废物处置和危险化学品生产、储存、使用等行业项目。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③在满足产业准入、总量控制、排放标准等国家和地方相关管理制度要求的前提下，集约发展。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④深入推进“散乱污”工业企业整治工作，对不符合国家或自治区产业政策、依法应办理而未办理相关审批或登记手续、违法排污严重的工业企业，限期关停拆除。</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lang w:val="en-US" w:eastAsia="zh-CN"/>
              </w:rPr>
            </w:pPr>
            <w:r>
              <w:rPr>
                <w:rFonts w:hint="default" w:ascii="Times New Roman" w:hAnsi="Times New Roman" w:cs="Times New Roman"/>
                <w:sz w:val="24"/>
                <w:lang w:val="en-US" w:eastAsia="zh-CN"/>
              </w:rPr>
              <w:t>项目已取得《关于同心县河西镇上河湾移民村防洪排涝工程初步设计的批复》（同发改审发〔2022〕51号），建设过程中不会乱征滥占草地、破坏沙生植被，本环评要求项目在取得合法的取土手续后方可采砂取土。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kern w:val="0"/>
                <w:sz w:val="24"/>
                <w:szCs w:val="24"/>
                <w:lang w:val="en-US" w:eastAsia="zh-CN"/>
              </w:rPr>
            </w:pPr>
            <w:r>
              <w:rPr>
                <w:rFonts w:hint="default" w:ascii="Times New Roman" w:hAnsi="Times New Roman" w:eastAsia="宋体" w:cs="Times New Roman"/>
                <w:kern w:val="0"/>
                <w:sz w:val="24"/>
                <w:szCs w:val="24"/>
                <w:lang w:val="en-US" w:eastAsia="zh-CN"/>
              </w:rPr>
              <w:t>项目属于吴忠市环境管控单元生态环境准入清单内允许建设的项目</w:t>
            </w:r>
            <w:r>
              <w:rPr>
                <w:rFonts w:hint="default" w:ascii="Times New Roman" w:hAnsi="Times New Roman" w:cs="Times New Roman"/>
                <w:kern w:val="0"/>
                <w:sz w:val="24"/>
                <w:szCs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综上所述，该工程符合“三线一单”的要求。</w:t>
            </w:r>
          </w:p>
          <w:p>
            <w:pPr>
              <w:keepNext w:val="0"/>
              <w:keepLines w:val="0"/>
              <w:suppressLineNumbers w:val="0"/>
              <w:autoSpaceDE w:val="0"/>
              <w:autoSpaceDN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kern w:val="0"/>
                <w:sz w:val="24"/>
              </w:rPr>
            </w:pPr>
            <w:r>
              <w:rPr>
                <w:rFonts w:hint="default" w:ascii="Times New Roman" w:hAnsi="Times New Roman" w:cs="Times New Roman"/>
                <w:b/>
                <w:bCs/>
                <w:kern w:val="0"/>
                <w:sz w:val="24"/>
                <w:lang w:val="en-US" w:eastAsia="zh-CN"/>
              </w:rPr>
              <w:t>4</w:t>
            </w:r>
            <w:r>
              <w:rPr>
                <w:rFonts w:hint="default" w:ascii="Times New Roman" w:hAnsi="Times New Roman" w:cs="Times New Roman"/>
                <w:b/>
                <w:bCs/>
                <w:kern w:val="0"/>
                <w:sz w:val="24"/>
              </w:rPr>
              <w:t>、与《关于加快推进2022年巩固拓展脱贫攻坚成果同乡村振兴有效衔接项目工作的通知》符合性分析</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kern w:val="0"/>
                <w:sz w:val="24"/>
              </w:rPr>
            </w:pPr>
            <w:r>
              <w:rPr>
                <w:rFonts w:hint="default" w:ascii="Times New Roman" w:hAnsi="Times New Roman" w:cs="Times New Roman"/>
                <w:kern w:val="0"/>
                <w:sz w:val="24"/>
              </w:rPr>
              <w:t>根据《关于加快推进2022年巩固拓展脱贫攻坚成果同乡村振兴有效衔接项目工作的通知》：同心县为贯彻落实习近平总书记关于“三农”工作重要论述和视察宁夏重要讲话精神，全面落实党中央及区市党委和政府关于农业农村工作的决策部署，把巩固拓展脱贫攻坚成果、全面推进乡村振兴作为重大政治任务、压倒一切的头等大事和首要民生工程，抢抓国家乡村振兴重点帮扶县机遇，进一步巩固拓展脱贫攻坚成果、全面推进乡村振兴。</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kern w:val="0"/>
                <w:sz w:val="24"/>
              </w:rPr>
            </w:pPr>
            <w:r>
              <w:rPr>
                <w:rFonts w:hint="default" w:ascii="Times New Roman" w:hAnsi="Times New Roman" w:cs="Times New Roman"/>
                <w:kern w:val="0"/>
                <w:sz w:val="24"/>
              </w:rPr>
              <w:t>本项工程为庄点排水工程，可以使降雨径流有序、顺畅的导入附近农田及主要泄洪沟道，有效地抑制项目区洪水泛滥，解决项目区安全保障问题，促进地方经济的发展。各项治理措施不仅有益于环境保护，而且会促进环境的建设和改善。该项目是一项有利于环境保护和建设的系统工程，具有良好的生态效益、广泛的社会效益和较高的经济效益。</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kern w:val="0"/>
                <w:sz w:val="24"/>
              </w:rPr>
              <w:t>综上所述，本项目符合《关于加快推进2022年巩固拓展脱贫攻坚成果同乡村振兴有效衔接项目工作的通知》相关要求。</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sz w:val="24"/>
                <w:lang w:val="en-US" w:eastAsia="zh-CN"/>
              </w:rPr>
            </w:pPr>
            <w:r>
              <w:rPr>
                <w:rFonts w:hint="default" w:ascii="Times New Roman" w:hAnsi="Times New Roman" w:cs="Times New Roman"/>
                <w:b/>
                <w:bCs/>
                <w:sz w:val="24"/>
                <w:lang w:val="en-US" w:eastAsia="zh-CN"/>
              </w:rPr>
              <w:t>5、与《黄河流域生态保护和高质量发展规划纲要》的相符性分析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b w:val="0"/>
                <w:bCs w:val="0"/>
                <w:sz w:val="24"/>
                <w:lang w:val="en-US" w:eastAsia="zh-CN"/>
              </w:rPr>
            </w:pPr>
            <w:r>
              <w:rPr>
                <w:rFonts w:hint="default" w:ascii="Times New Roman" w:hAnsi="Times New Roman" w:eastAsia="宋体" w:cs="Times New Roman"/>
                <w:b w:val="0"/>
                <w:bCs w:val="0"/>
                <w:sz w:val="24"/>
                <w:lang w:val="en-US" w:eastAsia="zh-CN"/>
              </w:rPr>
              <w:t>《黄河流域生态保护和高质量发展规划纲要》中提出：</w:t>
            </w:r>
            <w:r>
              <w:rPr>
                <w:rFonts w:hint="default" w:ascii="Times New Roman" w:hAnsi="Times New Roman" w:cs="Times New Roman"/>
                <w:b w:val="0"/>
                <w:bCs w:val="0"/>
                <w:sz w:val="24"/>
                <w:lang w:val="en-US" w:eastAsia="zh-CN"/>
              </w:rPr>
              <w:t>“强化灾害应对体系和能力建设....</w:t>
            </w:r>
            <w:r>
              <w:rPr>
                <w:rFonts w:hint="default" w:ascii="Times New Roman" w:hAnsi="Times New Roman" w:cs="Times New Roman"/>
                <w:b w:val="0"/>
                <w:bCs w:val="0"/>
                <w:color w:val="000000" w:themeColor="text1"/>
                <w:sz w:val="24"/>
                <w:lang w:val="en-US" w:eastAsia="zh-CN"/>
                <w14:textFill>
                  <w14:solidFill>
                    <w14:schemeClr w14:val="tx1"/>
                  </w14:solidFill>
                </w14:textFill>
              </w:rPr>
              <w:t>..完善防灾减灾体系，除水害、兴水利，提高沿黄地区应对各类灾害能力......增强流域性特大洪水、重特大险情灾情、极端干旱等突发事件应急处置能力......加强防洪减灾、排水防涝等公共设施建设......强化基层防灾减灾体系和能力建设......</w:t>
            </w:r>
            <w:r>
              <w:rPr>
                <w:rFonts w:hint="default" w:ascii="Times New Roman" w:hAnsi="Times New Roman" w:cs="Times New Roman"/>
                <w:b w:val="0"/>
                <w:bCs w:val="0"/>
                <w:sz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本项目为同心县河西镇上河湾移民村防洪排涝</w:t>
            </w:r>
            <w:r>
              <w:rPr>
                <w:rStyle w:val="21"/>
                <w:rFonts w:hint="default" w:ascii="Times New Roman" w:hAnsi="Times New Roman" w:cs="Times New Roman"/>
                <w:sz w:val="24"/>
              </w:rPr>
              <w:t>工程</w:t>
            </w:r>
            <w:r>
              <w:rPr>
                <w:rFonts w:hint="default" w:ascii="Times New Roman" w:hAnsi="Times New Roman" w:cs="Times New Roman"/>
                <w:sz w:val="24"/>
              </w:rPr>
              <w:t>，地处</w:t>
            </w:r>
            <w:r>
              <w:rPr>
                <w:rFonts w:hint="default" w:ascii="Times New Roman" w:hAnsi="Times New Roman" w:cs="Times New Roman"/>
                <w:kern w:val="0"/>
                <w:sz w:val="24"/>
              </w:rPr>
              <w:t>清水河中下游右岸一级支流</w:t>
            </w:r>
            <w:r>
              <w:rPr>
                <w:rFonts w:hint="default" w:ascii="Times New Roman" w:hAnsi="Times New Roman" w:cs="Times New Roman"/>
                <w:sz w:val="24"/>
                <w:lang w:val="en-US" w:eastAsia="zh-CN"/>
              </w:rPr>
              <w:t>白石头沟流域</w:t>
            </w:r>
            <w:r>
              <w:rPr>
                <w:rFonts w:hint="default" w:ascii="Times New Roman" w:hAnsi="Times New Roman" w:cs="Times New Roman"/>
                <w:sz w:val="24"/>
              </w:rPr>
              <w:t>。通过</w:t>
            </w:r>
            <w:r>
              <w:rPr>
                <w:rFonts w:hint="default" w:ascii="Times New Roman" w:hAnsi="Times New Roman" w:cs="Times New Roman"/>
                <w:sz w:val="24"/>
                <w:lang w:val="en-US" w:eastAsia="zh-CN"/>
              </w:rPr>
              <w:t>建设排水边沟、新建雨水井、铺设排水管、翻建及新建护岸、砼路面加高的工程布置对上河湾村洪水内涝进行治理，</w:t>
            </w:r>
            <w:r>
              <w:rPr>
                <w:rFonts w:hint="default" w:ascii="Times New Roman" w:hAnsi="Times New Roman" w:cs="Times New Roman"/>
                <w:color w:val="auto"/>
                <w:sz w:val="24"/>
                <w:shd w:val="clear" w:color="auto" w:fill="auto"/>
                <w:lang w:val="en-US" w:eastAsia="zh-CN"/>
              </w:rPr>
              <w:t>项目实施后</w:t>
            </w:r>
            <w:r>
              <w:rPr>
                <w:rFonts w:hint="default" w:ascii="Times New Roman" w:hAnsi="Times New Roman" w:cs="Times New Roman"/>
                <w:sz w:val="24"/>
                <w:lang w:val="en-US" w:eastAsia="zh-CN"/>
              </w:rPr>
              <w:t>能够有效地解决项目区庄内涝水的排水问题以及村庄防洪问题，保障农户房屋和人身的安全，使村民的生活避免再受到暴雨的侵扰。</w:t>
            </w:r>
            <w:r>
              <w:rPr>
                <w:rFonts w:hint="default" w:ascii="Times New Roman" w:hAnsi="Times New Roman" w:cs="Times New Roman"/>
                <w:sz w:val="24"/>
              </w:rPr>
              <w:t>因此，项目与《黄河流域生态保护和高质量发展规划纲要》文件要求相符。</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default" w:ascii="Times New Roman" w:hAnsi="Times New Roman" w:eastAsia="宋体" w:cs="Times New Roman"/>
                <w:b/>
                <w:bCs/>
                <w:color w:val="0000FF"/>
                <w:sz w:val="24"/>
                <w:lang w:val="en-US" w:eastAsia="zh-CN"/>
              </w:rPr>
            </w:pPr>
            <w:r>
              <w:rPr>
                <w:rFonts w:hint="eastAsia" w:cs="Times New Roman"/>
                <w:b/>
                <w:bCs/>
                <w:color w:val="0000FF"/>
                <w:sz w:val="24"/>
                <w:lang w:val="en-US" w:eastAsia="zh-CN"/>
              </w:rPr>
              <w:t>6</w:t>
            </w:r>
            <w:r>
              <w:rPr>
                <w:rFonts w:hint="eastAsia" w:ascii="Times New Roman" w:hAnsi="Times New Roman" w:eastAsia="宋体" w:cs="Times New Roman"/>
                <w:b/>
                <w:bCs/>
                <w:color w:val="0000FF"/>
                <w:sz w:val="24"/>
                <w:lang w:val="en-US" w:eastAsia="zh-CN"/>
              </w:rPr>
              <w:t>、与《宁夏回族自治区水安全保障“十四五”规划》（宁政办发【2021】82号）</w:t>
            </w:r>
            <w:r>
              <w:rPr>
                <w:rFonts w:hint="default" w:ascii="Times New Roman" w:hAnsi="Times New Roman" w:eastAsia="宋体" w:cs="Times New Roman"/>
                <w:b/>
                <w:bCs/>
                <w:color w:val="0000FF"/>
                <w:sz w:val="24"/>
                <w:lang w:val="en-US" w:eastAsia="zh-CN"/>
              </w:rPr>
              <w:t>符合性分析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Times New Roman" w:hAnsi="Times New Roman" w:eastAsia="宋体" w:cs="Times New Roman"/>
                <w:b w:val="0"/>
                <w:bCs w:val="0"/>
                <w:color w:val="0000FF"/>
                <w:sz w:val="24"/>
                <w:lang w:val="en-US" w:eastAsia="zh-CN"/>
              </w:rPr>
            </w:pPr>
            <w:r>
              <w:rPr>
                <w:rFonts w:hint="default" w:ascii="Times New Roman" w:hAnsi="Times New Roman" w:eastAsia="宋体" w:cs="Times New Roman"/>
                <w:b w:val="0"/>
                <w:bCs w:val="0"/>
                <w:color w:val="0000FF"/>
                <w:sz w:val="24"/>
                <w:lang w:val="en-US" w:eastAsia="zh-CN"/>
              </w:rPr>
              <w:t>《宁夏回族自治区水安全保障“十四五”规划》（宁政办发【2021】82号）第四章</w:t>
            </w:r>
            <w:r>
              <w:rPr>
                <w:rFonts w:hint="eastAsia" w:ascii="Times New Roman" w:hAnsi="Times New Roman" w:eastAsia="宋体" w:cs="Times New Roman"/>
                <w:b w:val="0"/>
                <w:bCs w:val="0"/>
                <w:color w:val="0000FF"/>
                <w:sz w:val="24"/>
                <w:lang w:val="en-US" w:eastAsia="zh-CN"/>
              </w:rPr>
              <w:t xml:space="preserve"> </w:t>
            </w:r>
            <w:r>
              <w:rPr>
                <w:rFonts w:hint="default" w:ascii="Times New Roman" w:hAnsi="Times New Roman" w:eastAsia="宋体" w:cs="Times New Roman"/>
                <w:b w:val="0"/>
                <w:bCs w:val="0"/>
                <w:color w:val="0000FF"/>
                <w:sz w:val="24"/>
                <w:lang w:val="en-US" w:eastAsia="zh-CN"/>
              </w:rPr>
              <w:t>构建兴利除害现代水网体系</w:t>
            </w:r>
            <w:r>
              <w:rPr>
                <w:rFonts w:hint="eastAsia" w:ascii="Times New Roman" w:hAnsi="Times New Roman" w:eastAsia="宋体" w:cs="Times New Roman"/>
                <w:b w:val="0"/>
                <w:bCs w:val="0"/>
                <w:color w:val="0000FF"/>
                <w:sz w:val="24"/>
                <w:lang w:val="en-US" w:eastAsia="zh-CN"/>
              </w:rPr>
              <w:t xml:space="preserve"> “按照水利基础设施高质量发展的要求，以国家水网建设为契机，以黄河大保护大治理为核心，以城乡供水网、农田灌排网为重点，以市场化、社会化、智慧化为手段，以黄河黑山峡水利枢纽等控制性工程为关键节点融入国家水网体系，统筹治水、兴水、用水、节水，织密自治区、市、县三级水网，加快构建河湖库坝连通、沟渠管网贯通、城乡山川覆盖、旱引汛蓄涝排、灌排通畅可控的现代水网体系，进一步提升水资源调控保障能力，提高水资源供给质量、效率和水平。”</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eastAsia="宋体" w:cs="Times New Roman"/>
                <w:b w:val="0"/>
                <w:bCs w:val="0"/>
                <w:color w:val="0000FF"/>
                <w:sz w:val="24"/>
                <w:lang w:val="en-US" w:eastAsia="zh-CN"/>
              </w:rPr>
              <w:t>本项目为</w:t>
            </w:r>
            <w:r>
              <w:rPr>
                <w:rFonts w:hint="default" w:ascii="Times New Roman" w:hAnsi="Times New Roman" w:cs="Times New Roman"/>
                <w:color w:val="0000FF"/>
                <w:sz w:val="24"/>
              </w:rPr>
              <w:t>同心县河西镇上河湾移民村防洪排涝</w:t>
            </w:r>
            <w:r>
              <w:rPr>
                <w:rStyle w:val="21"/>
                <w:rFonts w:hint="default" w:ascii="Times New Roman" w:hAnsi="Times New Roman" w:cs="Times New Roman"/>
                <w:color w:val="0000FF"/>
                <w:sz w:val="24"/>
              </w:rPr>
              <w:t>工程</w:t>
            </w:r>
            <w:r>
              <w:rPr>
                <w:rFonts w:hint="eastAsia" w:ascii="Times New Roman" w:hAnsi="Times New Roman" w:eastAsia="宋体" w:cs="Times New Roman"/>
                <w:b w:val="0"/>
                <w:bCs w:val="0"/>
                <w:color w:val="0000FF"/>
                <w:sz w:val="24"/>
                <w:lang w:val="en-US" w:eastAsia="zh-CN"/>
              </w:rPr>
              <w:t>，</w:t>
            </w:r>
            <w:r>
              <w:rPr>
                <w:rFonts w:hint="default" w:ascii="Times New Roman" w:hAnsi="Times New Roman" w:eastAsia="宋体" w:cs="Times New Roman"/>
                <w:b w:val="0"/>
                <w:bCs w:val="0"/>
                <w:color w:val="0000FF"/>
                <w:sz w:val="24"/>
                <w:lang w:val="en-US" w:eastAsia="zh-CN"/>
              </w:rPr>
              <w:t>项目实施后可确保沿线村庄、农田、水利、交通设施等免受洪水侵害，减少水土流失，减少洪涝灾害损失</w:t>
            </w:r>
            <w:r>
              <w:rPr>
                <w:rFonts w:hint="eastAsia" w:ascii="Times New Roman" w:hAnsi="Times New Roman" w:eastAsia="宋体" w:cs="Times New Roman"/>
                <w:b w:val="0"/>
                <w:bCs w:val="0"/>
                <w:color w:val="0000FF"/>
                <w:sz w:val="24"/>
                <w:lang w:val="en-US" w:eastAsia="zh-CN"/>
              </w:rPr>
              <w:t>。因此，</w:t>
            </w:r>
            <w:r>
              <w:rPr>
                <w:rFonts w:hint="default" w:ascii="Times New Roman" w:hAnsi="Times New Roman" w:eastAsia="宋体" w:cs="Times New Roman"/>
                <w:b w:val="0"/>
                <w:bCs w:val="0"/>
                <w:color w:val="0000FF"/>
                <w:sz w:val="24"/>
                <w:lang w:val="en-US" w:eastAsia="zh-CN"/>
              </w:rPr>
              <w:t>符合《宁夏回族自治区水安全保障“十四五”规划》（宁政办发【2021】82号）的要求。</w:t>
            </w:r>
          </w:p>
          <w:p>
            <w:pPr>
              <w:pStyle w:val="2"/>
              <w:keepNext w:val="0"/>
              <w:keepLines w:val="0"/>
              <w:suppressLineNumbers w:val="0"/>
              <w:spacing w:before="0" w:beforeAutospacing="0" w:after="0" w:afterAutospacing="0"/>
              <w:ind w:left="0" w:right="0"/>
              <w:rPr>
                <w:rFonts w:hint="default"/>
              </w:rPr>
            </w:pPr>
          </w:p>
        </w:tc>
      </w:tr>
    </w:tbl>
    <w:p>
      <w:pPr>
        <w:spacing w:line="360" w:lineRule="auto"/>
        <w:outlineLvl w:val="0"/>
        <w:rPr>
          <w:rFonts w:hint="default" w:ascii="Times New Roman" w:hAnsi="Times New Roman" w:eastAsia="黑体" w:cs="Times New Roman"/>
          <w:sz w:val="24"/>
        </w:rPr>
        <w:sectPr>
          <w:footerReference r:id="rId5" w:type="default"/>
          <w:pgSz w:w="11906" w:h="16838"/>
          <w:pgMar w:top="1701" w:right="1531" w:bottom="1701" w:left="1531" w:header="851" w:footer="1077" w:gutter="0"/>
          <w:pgNumType w:start="1"/>
          <w:cols w:space="720" w:num="1"/>
          <w:docGrid w:linePitch="312" w:charSpace="0"/>
        </w:sectPr>
      </w:pPr>
    </w:p>
    <w:p>
      <w:pPr>
        <w:pStyle w:val="15"/>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sz w:val="30"/>
          <w:szCs w:val="30"/>
        </w:rPr>
        <w:t>二、建设内容</w:t>
      </w:r>
    </w:p>
    <w:tbl>
      <w:tblPr>
        <w:tblStyle w:val="18"/>
        <w:tblW w:w="909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0"/>
        <w:gridCol w:w="838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5" w:hRule="atLeast"/>
          <w:jc w:val="center"/>
        </w:trPr>
        <w:tc>
          <w:tcPr>
            <w:tcW w:w="71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 w:val="24"/>
              </w:rPr>
              <w:t>地理位置</w:t>
            </w:r>
          </w:p>
        </w:tc>
        <w:tc>
          <w:tcPr>
            <w:tcW w:w="8380" w:type="dxa"/>
            <w:vAlign w:val="center"/>
          </w:tcPr>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eastAsia="宋体" w:cs="Times New Roman"/>
                <w:kern w:val="0"/>
                <w:sz w:val="24"/>
                <w:lang w:val="en-US" w:eastAsia="zh-CN"/>
              </w:rPr>
            </w:pPr>
            <w:r>
              <w:rPr>
                <w:rFonts w:hint="default" w:ascii="Times New Roman" w:hAnsi="Times New Roman" w:cs="Times New Roman"/>
                <w:kern w:val="0"/>
                <w:sz w:val="24"/>
              </w:rPr>
              <w:t>本工程位于宁夏回族自治区吴忠市同心县河西镇上河湾村六社、七社。工程属于白石头沟流域，为清水河中下游右岸一级支流，属季节性河流，发源于同心县张家山西麓，入河口位于同心县河西镇陈家湾，距同心县约16km。线性工程包括上河湾村修建排水边沟，均位于上（河湾）菊（花台）路东侧，以及上河湾沟养殖场排水边沟和同土线西侧护岸。</w:t>
            </w:r>
            <w:r>
              <w:rPr>
                <w:rFonts w:hint="default" w:ascii="Times New Roman" w:hAnsi="Times New Roman" w:cs="Times New Roman"/>
                <w:kern w:val="0"/>
                <w:sz w:val="24"/>
                <w:lang w:val="en-US" w:eastAsia="zh-CN"/>
              </w:rPr>
              <w:t>本</w:t>
            </w:r>
            <w:r>
              <w:rPr>
                <w:rFonts w:hint="default" w:ascii="Times New Roman" w:hAnsi="Times New Roman" w:cs="Times New Roman"/>
                <w:kern w:val="0"/>
                <w:sz w:val="24"/>
              </w:rPr>
              <w:t>项目地理位置</w:t>
            </w:r>
            <w:r>
              <w:rPr>
                <w:rFonts w:hint="default" w:ascii="Times New Roman" w:hAnsi="Times New Roman" w:cs="Times New Roman"/>
                <w:kern w:val="0"/>
                <w:sz w:val="24"/>
                <w:lang w:val="en-US" w:eastAsia="zh-CN"/>
              </w:rPr>
              <w:t>见</w:t>
            </w:r>
            <w:r>
              <w:rPr>
                <w:rFonts w:hint="default" w:ascii="Times New Roman" w:hAnsi="Times New Roman" w:cs="Times New Roman"/>
                <w:b/>
                <w:bCs/>
                <w:kern w:val="0"/>
                <w:sz w:val="24"/>
              </w:rPr>
              <w:t>图</w:t>
            </w:r>
            <w:r>
              <w:rPr>
                <w:rFonts w:hint="default" w:ascii="Times New Roman" w:hAnsi="Times New Roman" w:cs="Times New Roman"/>
                <w:b/>
                <w:bCs/>
                <w:kern w:val="0"/>
                <w:sz w:val="24"/>
                <w:lang w:val="en-US" w:eastAsia="zh-CN"/>
              </w:rPr>
              <w:t>8</w:t>
            </w:r>
            <w:r>
              <w:rPr>
                <w:rFonts w:hint="default" w:ascii="Times New Roman" w:hAnsi="Times New Roman" w:cs="Times New Roman"/>
                <w:b w:val="0"/>
                <w:bCs w:val="0"/>
                <w:kern w:val="0"/>
                <w:sz w:val="24"/>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 w:val="24"/>
              </w:rPr>
              <w:t>项目组成及规模</w:t>
            </w:r>
          </w:p>
        </w:tc>
        <w:tc>
          <w:tcPr>
            <w:tcW w:w="8380" w:type="dxa"/>
            <w:vAlign w:val="center"/>
          </w:tcPr>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sz w:val="24"/>
              </w:rPr>
            </w:pPr>
            <w:r>
              <w:rPr>
                <w:rFonts w:hint="default" w:ascii="Times New Roman" w:hAnsi="Times New Roman" w:cs="Times New Roman"/>
                <w:b/>
                <w:bCs/>
                <w:sz w:val="24"/>
              </w:rPr>
              <w:t>1、工程建设任务及规模</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sz w:val="24"/>
              </w:rPr>
            </w:pPr>
            <w:r>
              <w:rPr>
                <w:rFonts w:hint="default" w:ascii="Times New Roman" w:hAnsi="Times New Roman" w:cs="Times New Roman"/>
                <w:b/>
                <w:bCs/>
                <w:sz w:val="24"/>
              </w:rPr>
              <w:t>（1）工程建设总目标</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rPr>
            </w:pPr>
            <w:r>
              <w:rPr>
                <w:rFonts w:hint="default" w:ascii="Times New Roman" w:hAnsi="Times New Roman" w:cs="Times New Roman"/>
                <w:sz w:val="24"/>
              </w:rPr>
              <w:t>总体目标：上河湾移民村六社、七社原庄点院落建设布局不够合理，居民院落多处于山梁、低洼处，每逢暴雨造成村庄内涝灾害，导致村内多处院落沉陷、坍塌，严重影响了村民正常的生产生活；另外，上河湾移民村养殖场受白石头沟道暴雨洪水侵害，对养殖场运行安全造成极大威胁。本项目的建设将有效解决上河湾移民村庄内涝和养殖场运行安全问题，切实保障当地群众农户生命财产安全，促进地方经济健康发展及社会安定团结。本项目以建设排水边沟与护岸工程为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具体目标：同心县河西镇上河湾移民村防洪排涝工程的目标是，在上河湾村六社、七社内涝点修建排水边沟，对白石头沟护岸进行治理，达到：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①让雨水排入雨水井或通过路面直接或间接排入农田，避免村社内涝</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②通过对护岸的治理，将雨水向过水路面疏导，使养殖场得以安全运行</w:t>
            </w:r>
          </w:p>
          <w:p>
            <w:pPr>
              <w:keepNext w:val="0"/>
              <w:keepLines w:val="0"/>
              <w:suppressLineNumbers w:val="0"/>
              <w:adjustRightInd w:val="0"/>
              <w:snapToGrid w:val="0"/>
              <w:spacing w:before="0" w:beforeAutospacing="0" w:after="0" w:afterAutospacing="0" w:line="360" w:lineRule="auto"/>
              <w:ind w:left="210" w:leftChars="100" w:right="0"/>
              <w:jc w:val="left"/>
              <w:rPr>
                <w:rFonts w:hint="default" w:ascii="Times New Roman" w:hAnsi="Times New Roman" w:cs="Times New Roman"/>
                <w:b/>
                <w:bCs/>
                <w:sz w:val="24"/>
              </w:rPr>
            </w:pPr>
            <w:r>
              <w:rPr>
                <w:rFonts w:hint="default" w:ascii="Times New Roman" w:hAnsi="Times New Roman" w:cs="Times New Roman"/>
                <w:b/>
                <w:bCs/>
                <w:sz w:val="24"/>
              </w:rPr>
              <w:t>（2）工程建设内容</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sz w:val="24"/>
                <w:szCs w:val="24"/>
              </w:rPr>
            </w:pPr>
            <w:r>
              <w:rPr>
                <w:rFonts w:hint="default" w:ascii="Times New Roman" w:hAnsi="Times New Roman" w:cs="Times New Roman"/>
                <w:kern w:val="0"/>
                <w:sz w:val="24"/>
                <w:szCs w:val="24"/>
                <w:lang w:val="en-US" w:eastAsia="zh-CN"/>
              </w:rPr>
              <w:t>本项目建设内容主要包括主体工程、辅助工程和环保工程，工程组成内容见</w:t>
            </w:r>
            <w:r>
              <w:rPr>
                <w:rFonts w:hint="default" w:ascii="Times New Roman" w:hAnsi="Times New Roman" w:cs="Times New Roman"/>
                <w:b/>
                <w:bCs/>
                <w:kern w:val="0"/>
                <w:sz w:val="24"/>
                <w:szCs w:val="24"/>
                <w:lang w:val="en-US" w:eastAsia="zh-CN"/>
              </w:rPr>
              <w:t>表</w:t>
            </w:r>
            <w:r>
              <w:rPr>
                <w:rFonts w:hint="eastAsia" w:cs="Times New Roman"/>
                <w:b/>
                <w:bCs/>
                <w:kern w:val="0"/>
                <w:sz w:val="24"/>
                <w:szCs w:val="24"/>
                <w:lang w:val="en-US" w:eastAsia="zh-CN"/>
              </w:rPr>
              <w:t>2</w:t>
            </w:r>
            <w:r>
              <w:rPr>
                <w:rFonts w:hint="default" w:ascii="Times New Roman" w:hAnsi="Times New Roman" w:cs="Times New Roman"/>
                <w:kern w:val="0"/>
                <w:sz w:val="24"/>
                <w:szCs w:val="24"/>
                <w:lang w:val="en-US"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Times New Roman" w:hAnsi="Times New Roman" w:eastAsia="黑体" w:cs="Times New Roman"/>
                <w:b w:val="0"/>
                <w:bCs w:val="0"/>
                <w:kern w:val="0"/>
                <w:sz w:val="24"/>
                <w:szCs w:val="24"/>
                <w:lang w:val="en-US" w:eastAsia="zh-CN"/>
              </w:rPr>
            </w:pPr>
            <w:r>
              <w:rPr>
                <w:rFonts w:hint="eastAsia" w:eastAsia="黑体" w:cs="Times New Roman"/>
                <w:b w:val="0"/>
                <w:bCs w:val="0"/>
                <w:kern w:val="0"/>
                <w:sz w:val="24"/>
                <w:szCs w:val="24"/>
                <w:lang w:val="en-US" w:eastAsia="zh-CN"/>
              </w:rPr>
              <w:t xml:space="preserve">表2  </w:t>
            </w:r>
            <w:r>
              <w:rPr>
                <w:rFonts w:hint="default" w:ascii="Times New Roman" w:hAnsi="Times New Roman" w:eastAsia="黑体" w:cs="Times New Roman"/>
                <w:b w:val="0"/>
                <w:bCs w:val="0"/>
                <w:kern w:val="0"/>
                <w:sz w:val="24"/>
                <w:szCs w:val="24"/>
                <w:lang w:val="en-US" w:eastAsia="zh-CN"/>
              </w:rPr>
              <w:t>项目组成情况表</w:t>
            </w:r>
          </w:p>
          <w:tbl>
            <w:tblPr>
              <w:tblStyle w:val="19"/>
              <w:tblW w:w="4995" w:type="pct"/>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49"/>
              <w:gridCol w:w="484"/>
              <w:gridCol w:w="96"/>
              <w:gridCol w:w="1119"/>
              <w:gridCol w:w="57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77" w:hRule="atLeast"/>
              </w:trPr>
              <w:tc>
                <w:tcPr>
                  <w:tcW w:w="399"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bCs/>
                      <w:color w:val="auto"/>
                      <w:sz w:val="21"/>
                      <w:szCs w:val="21"/>
                      <w:vertAlign w:val="baseline"/>
                      <w:lang w:val="en-US" w:eastAsia="zh-CN"/>
                    </w:rPr>
                  </w:pPr>
                  <w:r>
                    <w:rPr>
                      <w:rFonts w:hint="default" w:ascii="Times New Roman" w:hAnsi="Times New Roman" w:cs="Times New Roman"/>
                      <w:b/>
                      <w:bCs/>
                      <w:color w:val="auto"/>
                      <w:sz w:val="21"/>
                      <w:szCs w:val="21"/>
                      <w:vertAlign w:val="baseline"/>
                      <w:lang w:val="en-US" w:eastAsia="zh-CN"/>
                    </w:rPr>
                    <w:t>类别</w:t>
                  </w: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bCs/>
                      <w:color w:val="auto"/>
                      <w:sz w:val="21"/>
                      <w:szCs w:val="21"/>
                      <w:vertAlign w:val="baseline"/>
                      <w:lang w:val="en-US" w:eastAsia="zh-CN"/>
                    </w:rPr>
                  </w:pPr>
                  <w:r>
                    <w:rPr>
                      <w:rFonts w:hint="default" w:ascii="Times New Roman" w:hAnsi="Times New Roman" w:cs="Times New Roman"/>
                      <w:b/>
                      <w:bCs/>
                      <w:color w:val="auto"/>
                      <w:sz w:val="21"/>
                      <w:szCs w:val="21"/>
                      <w:vertAlign w:val="baseline"/>
                      <w:lang w:val="en-US" w:eastAsia="zh-CN"/>
                    </w:rPr>
                    <w:t>项目名称</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bCs/>
                      <w:color w:val="auto"/>
                      <w:sz w:val="21"/>
                      <w:szCs w:val="21"/>
                      <w:vertAlign w:val="baseline"/>
                      <w:lang w:val="en-US" w:eastAsia="zh-CN"/>
                    </w:rPr>
                  </w:pPr>
                  <w:r>
                    <w:rPr>
                      <w:rFonts w:hint="default" w:ascii="Times New Roman" w:hAnsi="Times New Roman" w:cs="Times New Roman"/>
                      <w:b/>
                      <w:bCs/>
                      <w:color w:val="auto"/>
                      <w:sz w:val="21"/>
                      <w:szCs w:val="21"/>
                      <w:vertAlign w:val="baseline"/>
                      <w:lang w:val="en-US" w:eastAsia="zh-CN"/>
                    </w:rPr>
                    <w:t>建设内容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9" w:type="pct"/>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sz w:val="21"/>
                      <w:szCs w:val="21"/>
                      <w:highlight w:val="none"/>
                      <w:vertAlign w:val="baseline"/>
                      <w:lang w:val="en-US" w:eastAsia="zh-CN"/>
                    </w:rPr>
                    <w:t>主体工程</w:t>
                  </w:r>
                </w:p>
              </w:tc>
              <w:tc>
                <w:tcPr>
                  <w:tcW w:w="1045" w:type="pct"/>
                  <w:gridSpan w:val="3"/>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ascii="Times New Roman" w:hAnsi="Times New Roman" w:cs="Times New Roman"/>
                      <w:b w:val="0"/>
                      <w:bCs w:val="0"/>
                      <w:color w:val="auto"/>
                      <w:kern w:val="2"/>
                      <w:sz w:val="21"/>
                      <w:szCs w:val="21"/>
                      <w:highlight w:val="none"/>
                      <w:vertAlign w:val="baseline"/>
                      <w:lang w:val="en-US" w:eastAsia="zh-CN" w:bidi="ar-SA"/>
                    </w:rPr>
                    <w:t>排水边沟及</w:t>
                  </w:r>
                  <w:r>
                    <w:rPr>
                      <w:rFonts w:hint="default" w:ascii="Times New Roman" w:hAnsi="Times New Roman" w:cs="Times New Roman"/>
                      <w:b w:val="0"/>
                      <w:bCs w:val="0"/>
                      <w:color w:val="auto"/>
                      <w:kern w:val="2"/>
                      <w:sz w:val="21"/>
                      <w:szCs w:val="21"/>
                      <w:highlight w:val="none"/>
                      <w:vertAlign w:val="baseline"/>
                      <w:lang w:val="en-US" w:eastAsia="zh-CN" w:bidi="ar-SA"/>
                    </w:rPr>
                    <w:t>护岸工程</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kern w:val="2"/>
                      <w:sz w:val="21"/>
                      <w:szCs w:val="21"/>
                      <w:highlight w:val="none"/>
                      <w:vertAlign w:val="baseline"/>
                      <w:lang w:val="en-US" w:eastAsia="zh-CN" w:bidi="ar-SA"/>
                    </w:rPr>
                    <w:t>本工程共计建设排水边沟1.294km，新建雨水井2座，铺设φ200mmPVC排水管长55m；翻建李石线西侧白石头沟护岸1座，新建同土线西侧白石头沟沟护岸301m；砼路面加高85.2m</w:t>
                  </w:r>
                  <w:r>
                    <w:rPr>
                      <w:rFonts w:hint="default" w:ascii="Times New Roman" w:hAnsi="Times New Roman" w:cs="Times New Roman"/>
                      <w:b w:val="0"/>
                      <w:bCs w:val="0"/>
                      <w:color w:val="auto"/>
                      <w:kern w:val="2"/>
                      <w:sz w:val="21"/>
                      <w:szCs w:val="21"/>
                      <w:highlight w:val="none"/>
                      <w:vertAlign w:val="superscript"/>
                      <w:lang w:val="en-US" w:eastAsia="zh-CN" w:bidi="ar-SA"/>
                    </w:rPr>
                    <w:t>2</w:t>
                  </w:r>
                  <w:r>
                    <w:rPr>
                      <w:rFonts w:hint="default" w:ascii="Times New Roman" w:hAnsi="Times New Roman" w:cs="Times New Roman"/>
                      <w:b w:val="0"/>
                      <w:bCs w:val="0"/>
                      <w:color w:val="auto"/>
                      <w:kern w:val="2"/>
                      <w:sz w:val="21"/>
                      <w:szCs w:val="21"/>
                      <w:highlight w:val="none"/>
                      <w:vertAlign w:val="baseline"/>
                      <w:lang w:val="en-US" w:eastAsia="zh-CN" w:bidi="ar-SA"/>
                    </w:rPr>
                    <w:t>。主要分布如下：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kern w:val="2"/>
                      <w:sz w:val="21"/>
                      <w:szCs w:val="21"/>
                      <w:highlight w:val="none"/>
                      <w:vertAlign w:val="baseline"/>
                      <w:lang w:val="en-US" w:eastAsia="zh-CN" w:bidi="ar-SA"/>
                    </w:rPr>
                    <w:t>①上河湾村六社内涝点</w:t>
                  </w:r>
                  <w:r>
                    <w:rPr>
                      <w:rFonts w:hint="eastAsia" w:ascii="Times New Roman" w:hAnsi="Times New Roman" w:cs="Times New Roman"/>
                      <w:b w:val="0"/>
                      <w:bCs w:val="0"/>
                      <w:color w:val="auto"/>
                      <w:kern w:val="2"/>
                      <w:sz w:val="21"/>
                      <w:szCs w:val="21"/>
                      <w:highlight w:val="none"/>
                      <w:vertAlign w:val="baseline"/>
                      <w:lang w:val="en-US" w:eastAsia="zh-CN" w:bidi="ar-SA"/>
                    </w:rPr>
                    <w:t>治理工程，排水边沟工程总长度1294m。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cs="Times New Roman"/>
                      <w:b w:val="0"/>
                      <w:bCs w:val="0"/>
                      <w:color w:val="auto"/>
                      <w:kern w:val="2"/>
                      <w:sz w:val="21"/>
                      <w:szCs w:val="21"/>
                      <w:highlight w:val="none"/>
                      <w:vertAlign w:val="baseline"/>
                      <w:lang w:val="en-US" w:eastAsia="zh-CN" w:bidi="ar-SA"/>
                    </w:rPr>
                    <w:t>②上河湾村六社内涝点治理工程，雨水井工程，共修建0.7m×0.4m矩形雨水井两座。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4"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eastAsia"/>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eastAsia"/>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cs="Times New Roman"/>
                      <w:b w:val="0"/>
                      <w:bCs w:val="0"/>
                      <w:color w:val="auto"/>
                      <w:kern w:val="2"/>
                      <w:sz w:val="21"/>
                      <w:szCs w:val="21"/>
                      <w:highlight w:val="none"/>
                      <w:vertAlign w:val="baseline"/>
                      <w:lang w:val="en-US" w:eastAsia="zh-CN" w:bidi="ar-SA"/>
                    </w:rPr>
                    <w:t>③上河湾村六社内涝点治理工程，排水管工程长度30m。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4"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cs="Times New Roman"/>
                      <w:b w:val="0"/>
                      <w:bCs w:val="0"/>
                      <w:color w:val="auto"/>
                      <w:kern w:val="2"/>
                      <w:sz w:val="21"/>
                      <w:szCs w:val="21"/>
                      <w:highlight w:val="none"/>
                      <w:vertAlign w:val="baseline"/>
                      <w:lang w:val="en-US" w:eastAsia="zh-CN" w:bidi="ar-SA"/>
                    </w:rPr>
                    <w:t>④</w:t>
                  </w:r>
                  <w:r>
                    <w:rPr>
                      <w:rFonts w:hint="default" w:ascii="Times New Roman" w:hAnsi="Times New Roman" w:cs="Times New Roman"/>
                      <w:b w:val="0"/>
                      <w:bCs w:val="0"/>
                      <w:color w:val="auto"/>
                      <w:kern w:val="2"/>
                      <w:sz w:val="21"/>
                      <w:szCs w:val="21"/>
                      <w:highlight w:val="none"/>
                      <w:vertAlign w:val="baseline"/>
                      <w:lang w:val="en-US" w:eastAsia="zh-CN" w:bidi="ar-SA"/>
                    </w:rPr>
                    <w:t>七社内涝点</w:t>
                  </w:r>
                  <w:r>
                    <w:rPr>
                      <w:rFonts w:hint="eastAsia" w:ascii="Times New Roman" w:hAnsi="Times New Roman" w:cs="Times New Roman"/>
                      <w:b w:val="0"/>
                      <w:bCs w:val="0"/>
                      <w:color w:val="auto"/>
                      <w:kern w:val="2"/>
                      <w:sz w:val="21"/>
                      <w:szCs w:val="21"/>
                      <w:highlight w:val="none"/>
                      <w:vertAlign w:val="baseline"/>
                      <w:lang w:val="en-US" w:eastAsia="zh-CN" w:bidi="ar-SA"/>
                    </w:rPr>
                    <w:t>治理工程，加高砼路面面积85.2m</w:t>
                  </w:r>
                  <w:r>
                    <w:rPr>
                      <w:rFonts w:hint="eastAsia" w:ascii="Times New Roman" w:hAnsi="Times New Roman" w:cs="Times New Roman"/>
                      <w:b w:val="0"/>
                      <w:bCs w:val="0"/>
                      <w:color w:val="auto"/>
                      <w:kern w:val="2"/>
                      <w:sz w:val="21"/>
                      <w:szCs w:val="21"/>
                      <w:highlight w:val="none"/>
                      <w:vertAlign w:val="superscript"/>
                      <w:lang w:val="en-US" w:eastAsia="zh-CN" w:bidi="ar-SA"/>
                    </w:rPr>
                    <w:t>2</w:t>
                  </w:r>
                  <w:r>
                    <w:rPr>
                      <w:rFonts w:hint="eastAsia" w:ascii="Times New Roman" w:hAnsi="Times New Roman" w:cs="Times New Roman"/>
                      <w:b w:val="0"/>
                      <w:bCs w:val="0"/>
                      <w:color w:val="auto"/>
                      <w:kern w:val="2"/>
                      <w:sz w:val="21"/>
                      <w:szCs w:val="21"/>
                      <w:highlight w:val="none"/>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64"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cs="Times New Roman"/>
                      <w:b w:val="0"/>
                      <w:bCs w:val="0"/>
                      <w:color w:val="auto"/>
                      <w:kern w:val="2"/>
                      <w:sz w:val="21"/>
                      <w:szCs w:val="21"/>
                      <w:highlight w:val="none"/>
                      <w:vertAlign w:val="baseline"/>
                      <w:lang w:val="en-US" w:eastAsia="zh-CN" w:bidi="ar-SA"/>
                    </w:rPr>
                    <w:t>⑤</w:t>
                  </w:r>
                  <w:r>
                    <w:rPr>
                      <w:rFonts w:hint="default" w:ascii="Times New Roman" w:hAnsi="Times New Roman" w:cs="Times New Roman"/>
                      <w:b w:val="0"/>
                      <w:bCs w:val="0"/>
                      <w:color w:val="auto"/>
                      <w:kern w:val="2"/>
                      <w:sz w:val="21"/>
                      <w:szCs w:val="21"/>
                      <w:highlight w:val="none"/>
                      <w:vertAlign w:val="baseline"/>
                      <w:lang w:val="en-US" w:eastAsia="zh-CN" w:bidi="ar-SA"/>
                    </w:rPr>
                    <w:t>上河湾村七社白石头沟（李石线）</w:t>
                  </w:r>
                  <w:r>
                    <w:rPr>
                      <w:rFonts w:hint="eastAsia" w:ascii="Times New Roman" w:hAnsi="Times New Roman" w:cs="Times New Roman"/>
                      <w:b w:val="0"/>
                      <w:bCs w:val="0"/>
                      <w:color w:val="auto"/>
                      <w:kern w:val="2"/>
                      <w:sz w:val="21"/>
                      <w:szCs w:val="21"/>
                      <w:highlight w:val="none"/>
                      <w:vertAlign w:val="baseline"/>
                      <w:lang w:val="en-US" w:eastAsia="zh-CN" w:bidi="ar-SA"/>
                    </w:rPr>
                    <w:t>治理工程，</w:t>
                  </w:r>
                  <w:r>
                    <w:rPr>
                      <w:rFonts w:hint="default" w:ascii="Times New Roman" w:hAnsi="Times New Roman" w:cs="Times New Roman"/>
                      <w:b w:val="0"/>
                      <w:bCs w:val="0"/>
                      <w:color w:val="auto"/>
                      <w:kern w:val="2"/>
                      <w:sz w:val="21"/>
                      <w:szCs w:val="21"/>
                      <w:highlight w:val="none"/>
                      <w:vertAlign w:val="baseline"/>
                      <w:lang w:val="en-US" w:eastAsia="zh-CN" w:bidi="ar-SA"/>
                    </w:rPr>
                    <w:t>护岸</w:t>
                  </w:r>
                  <w:r>
                    <w:rPr>
                      <w:rFonts w:hint="eastAsia" w:ascii="Times New Roman" w:hAnsi="Times New Roman" w:cs="Times New Roman"/>
                      <w:b w:val="0"/>
                      <w:bCs w:val="0"/>
                      <w:color w:val="auto"/>
                      <w:kern w:val="2"/>
                      <w:sz w:val="21"/>
                      <w:szCs w:val="21"/>
                      <w:highlight w:val="none"/>
                      <w:vertAlign w:val="baseline"/>
                      <w:lang w:val="en-US" w:eastAsia="zh-CN" w:bidi="ar-SA"/>
                    </w:rPr>
                    <w:t>工程长度35m。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cs="Times New Roman"/>
                      <w:b w:val="0"/>
                      <w:bCs w:val="0"/>
                      <w:color w:val="auto"/>
                      <w:kern w:val="2"/>
                      <w:sz w:val="21"/>
                      <w:szCs w:val="21"/>
                      <w:highlight w:val="none"/>
                      <w:vertAlign w:val="baseline"/>
                      <w:lang w:val="en-US" w:eastAsia="zh-CN" w:bidi="ar-SA"/>
                    </w:rPr>
                    <w:t>⑥</w:t>
                  </w:r>
                  <w:r>
                    <w:rPr>
                      <w:rFonts w:hint="default" w:ascii="Times New Roman" w:hAnsi="Times New Roman" w:cs="Times New Roman"/>
                      <w:b w:val="0"/>
                      <w:bCs w:val="0"/>
                      <w:color w:val="auto"/>
                      <w:kern w:val="2"/>
                      <w:sz w:val="21"/>
                      <w:szCs w:val="21"/>
                      <w:highlight w:val="none"/>
                      <w:vertAlign w:val="baseline"/>
                      <w:lang w:val="en-US" w:eastAsia="zh-CN" w:bidi="ar-SA"/>
                    </w:rPr>
                    <w:t>七社（上河湾村养殖场）内涝点治理工程，</w:t>
                  </w:r>
                  <w:r>
                    <w:rPr>
                      <w:rFonts w:hint="eastAsia" w:ascii="Times New Roman" w:hAnsi="Times New Roman" w:cs="Times New Roman"/>
                      <w:b w:val="0"/>
                      <w:bCs w:val="0"/>
                      <w:color w:val="auto"/>
                      <w:kern w:val="2"/>
                      <w:sz w:val="21"/>
                      <w:szCs w:val="21"/>
                      <w:highlight w:val="none"/>
                      <w:vertAlign w:val="baseline"/>
                      <w:lang w:val="en-US" w:eastAsia="zh-CN" w:bidi="ar-SA"/>
                    </w:rPr>
                    <w:t>排水边沟工程长度60m。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3"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1045" w:type="pct"/>
                  <w:gridSpan w:val="3"/>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eastAsia" w:cs="Times New Roman"/>
                      <w:b w:val="0"/>
                      <w:bCs w:val="0"/>
                      <w:color w:val="auto"/>
                      <w:kern w:val="2"/>
                      <w:sz w:val="21"/>
                      <w:szCs w:val="21"/>
                      <w:highlight w:val="none"/>
                      <w:vertAlign w:val="baseline"/>
                      <w:lang w:val="en-US" w:eastAsia="zh-CN" w:bidi="ar-SA"/>
                    </w:rPr>
                    <w:t>⑦</w:t>
                  </w:r>
                  <w:r>
                    <w:rPr>
                      <w:rFonts w:hint="default" w:ascii="Times New Roman" w:hAnsi="Times New Roman" w:cs="Times New Roman"/>
                      <w:b w:val="0"/>
                      <w:bCs w:val="0"/>
                      <w:color w:val="auto"/>
                      <w:kern w:val="2"/>
                      <w:sz w:val="21"/>
                      <w:szCs w:val="21"/>
                      <w:highlight w:val="none"/>
                      <w:vertAlign w:val="baseline"/>
                      <w:lang w:val="en-US" w:eastAsia="zh-CN" w:bidi="ar-SA"/>
                    </w:rPr>
                    <w:t>上河湾村养殖场白石头沟（同土线）</w:t>
                  </w:r>
                  <w:r>
                    <w:rPr>
                      <w:rFonts w:hint="eastAsia" w:ascii="Times New Roman" w:hAnsi="Times New Roman" w:cs="Times New Roman"/>
                      <w:b w:val="0"/>
                      <w:bCs w:val="0"/>
                      <w:color w:val="auto"/>
                      <w:kern w:val="2"/>
                      <w:sz w:val="21"/>
                      <w:szCs w:val="21"/>
                      <w:highlight w:val="none"/>
                      <w:vertAlign w:val="baseline"/>
                      <w:lang w:val="en-US" w:eastAsia="zh-CN" w:bidi="ar-SA"/>
                    </w:rPr>
                    <w:t>治理工程，</w:t>
                  </w:r>
                  <w:r>
                    <w:rPr>
                      <w:rFonts w:hint="default" w:ascii="Times New Roman" w:hAnsi="Times New Roman" w:cs="Times New Roman"/>
                      <w:b w:val="0"/>
                      <w:bCs w:val="0"/>
                      <w:color w:val="auto"/>
                      <w:kern w:val="2"/>
                      <w:sz w:val="21"/>
                      <w:szCs w:val="21"/>
                      <w:highlight w:val="none"/>
                      <w:vertAlign w:val="baseline"/>
                      <w:lang w:val="en-US" w:eastAsia="zh-CN" w:bidi="ar-SA"/>
                    </w:rPr>
                    <w:t>护岸</w:t>
                  </w:r>
                  <w:r>
                    <w:rPr>
                      <w:rFonts w:hint="eastAsia" w:ascii="Times New Roman" w:hAnsi="Times New Roman" w:cs="Times New Roman"/>
                      <w:b w:val="0"/>
                      <w:bCs w:val="0"/>
                      <w:color w:val="auto"/>
                      <w:kern w:val="2"/>
                      <w:sz w:val="21"/>
                      <w:szCs w:val="21"/>
                      <w:highlight w:val="none"/>
                      <w:vertAlign w:val="baseline"/>
                      <w:lang w:val="en-US" w:eastAsia="zh-CN" w:bidi="ar-SA"/>
                    </w:rPr>
                    <w:t>工程长度301m。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trPr>
              <w:tc>
                <w:tcPr>
                  <w:tcW w:w="399" w:type="pct"/>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临时工程</w:t>
                  </w: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sz w:val="21"/>
                      <w:szCs w:val="21"/>
                      <w:vertAlign w:val="baseline"/>
                      <w:lang w:val="en-US" w:eastAsia="zh-CN"/>
                    </w:rPr>
                    <w:t>建筑材料运输</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本项目所需的各建筑材料均外购于当地生产厂家，汽车运输</w:t>
                  </w:r>
                  <w:r>
                    <w:rPr>
                      <w:rFonts w:hint="eastAsia" w:cs="Times New Roman"/>
                      <w:b w:val="0"/>
                      <w:bCs w:val="0"/>
                      <w:color w:val="auto"/>
                      <w:kern w:val="2"/>
                      <w:sz w:val="21"/>
                      <w:szCs w:val="21"/>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356" w:type="pct"/>
                  <w:gridSpan w:val="2"/>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cs="Times New Roman"/>
                      <w:b w:val="0"/>
                      <w:bCs w:val="0"/>
                      <w:color w:val="auto"/>
                      <w:kern w:val="2"/>
                      <w:sz w:val="21"/>
                      <w:szCs w:val="21"/>
                      <w:vertAlign w:val="baseline"/>
                      <w:lang w:val="en-US" w:eastAsia="zh-CN" w:bidi="ar-SA"/>
                    </w:rPr>
                    <w:t>临时占地</w:t>
                  </w:r>
                </w:p>
              </w:tc>
              <w:tc>
                <w:tcPr>
                  <w:tcW w:w="688"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施工场地</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项目采用商品混凝土，不在现场设置拌合站；根据工程布置并结合工程长度，工程共规划</w:t>
                  </w:r>
                  <w:r>
                    <w:rPr>
                      <w:rFonts w:hint="eastAsia" w:cs="Times New Roman"/>
                      <w:b w:val="0"/>
                      <w:bCs w:val="0"/>
                      <w:color w:val="auto"/>
                      <w:kern w:val="2"/>
                      <w:sz w:val="21"/>
                      <w:szCs w:val="21"/>
                      <w:highlight w:val="none"/>
                      <w:vertAlign w:val="baseline"/>
                      <w:lang w:val="en-US" w:eastAsia="zh-CN" w:bidi="ar-SA"/>
                    </w:rPr>
                    <w:t>5</w:t>
                  </w:r>
                  <w:r>
                    <w:rPr>
                      <w:rFonts w:hint="default" w:ascii="Times New Roman" w:hAnsi="Times New Roman" w:eastAsia="宋体" w:cs="Times New Roman"/>
                      <w:b w:val="0"/>
                      <w:bCs w:val="0"/>
                      <w:color w:val="auto"/>
                      <w:kern w:val="2"/>
                      <w:sz w:val="21"/>
                      <w:szCs w:val="21"/>
                      <w:highlight w:val="none"/>
                      <w:vertAlign w:val="baseline"/>
                      <w:lang w:val="en-US" w:eastAsia="zh-CN" w:bidi="ar-SA"/>
                    </w:rPr>
                    <w:t>个施工区，共计用地</w:t>
                  </w:r>
                  <w:r>
                    <w:rPr>
                      <w:rFonts w:hint="eastAsia" w:cs="Times New Roman"/>
                      <w:b w:val="0"/>
                      <w:bCs w:val="0"/>
                      <w:color w:val="auto"/>
                      <w:kern w:val="2"/>
                      <w:sz w:val="21"/>
                      <w:szCs w:val="21"/>
                      <w:highlight w:val="none"/>
                      <w:vertAlign w:val="baseline"/>
                      <w:lang w:val="en-US" w:eastAsia="zh-CN" w:bidi="ar-SA"/>
                    </w:rPr>
                    <w:t>9.46</w:t>
                  </w:r>
                  <w:r>
                    <w:rPr>
                      <w:rFonts w:hint="default" w:ascii="Times New Roman" w:hAnsi="Times New Roman" w:eastAsia="宋体" w:cs="Times New Roman"/>
                      <w:b w:val="0"/>
                      <w:bCs w:val="0"/>
                      <w:color w:val="auto"/>
                      <w:kern w:val="2"/>
                      <w:sz w:val="21"/>
                      <w:szCs w:val="21"/>
                      <w:highlight w:val="none"/>
                      <w:vertAlign w:val="baseline"/>
                      <w:lang w:val="en-US" w:eastAsia="zh-CN" w:bidi="ar-SA"/>
                    </w:rPr>
                    <w:t>亩。用于原辅材料堆放及施工机械停放。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356"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p>
              </w:tc>
              <w:tc>
                <w:tcPr>
                  <w:tcW w:w="688"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土方转运区</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eastAsia" w:cs="Times New Roman"/>
                      <w:b w:val="0"/>
                      <w:bCs w:val="0"/>
                      <w:color w:val="auto"/>
                      <w:kern w:val="2"/>
                      <w:sz w:val="21"/>
                      <w:szCs w:val="21"/>
                      <w:vertAlign w:val="baseline"/>
                      <w:lang w:val="en-US" w:eastAsia="zh-CN" w:bidi="ar-SA"/>
                    </w:rPr>
                    <w:t>本项目开挖土石方直接用于护岸堆砌，不设置土方转运区。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356"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p>
              </w:tc>
              <w:tc>
                <w:tcPr>
                  <w:tcW w:w="688"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施工临时道路</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项目区周边主要交通道路109国道、京藏高速、同土线及李石线，项目区现状道路框架基本形成，可作为对外主要交通道路，</w:t>
                  </w:r>
                  <w:r>
                    <w:rPr>
                      <w:rFonts w:hint="eastAsia" w:cs="Times New Roman"/>
                      <w:b w:val="0"/>
                      <w:bCs w:val="0"/>
                      <w:color w:val="auto"/>
                      <w:kern w:val="2"/>
                      <w:sz w:val="21"/>
                      <w:szCs w:val="21"/>
                      <w:vertAlign w:val="baseline"/>
                      <w:lang w:val="en-US" w:eastAsia="zh-CN" w:bidi="ar-SA"/>
                    </w:rPr>
                    <w:t>因此不设置施工临时道路。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356"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p>
              </w:tc>
              <w:tc>
                <w:tcPr>
                  <w:tcW w:w="688"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施工营地</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项目不设置施工营地，施工人员租用当地民房作为施工办公及生活区。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highlight w:val="yellow"/>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弃土场</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本项目</w:t>
                  </w:r>
                  <w:r>
                    <w:rPr>
                      <w:rFonts w:hint="eastAsia" w:cs="Times New Roman"/>
                      <w:b w:val="0"/>
                      <w:bCs w:val="0"/>
                      <w:color w:val="auto"/>
                      <w:kern w:val="2"/>
                      <w:sz w:val="21"/>
                      <w:szCs w:val="21"/>
                      <w:vertAlign w:val="baseline"/>
                      <w:lang w:val="en-US" w:eastAsia="zh-CN" w:bidi="ar-SA"/>
                    </w:rPr>
                    <w:t>无废弃土方</w:t>
                  </w:r>
                  <w:r>
                    <w:rPr>
                      <w:rFonts w:hint="default" w:ascii="Times New Roman" w:hAnsi="Times New Roman" w:eastAsia="宋体" w:cs="Times New Roman"/>
                      <w:b w:val="0"/>
                      <w:bCs w:val="0"/>
                      <w:color w:val="auto"/>
                      <w:kern w:val="2"/>
                      <w:sz w:val="21"/>
                      <w:szCs w:val="21"/>
                      <w:vertAlign w:val="baseline"/>
                      <w:lang w:val="en-US" w:eastAsia="zh-CN" w:bidi="ar-SA"/>
                    </w:rPr>
                    <w:t>，不设弃土场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eastAsia" w:cs="Times New Roman"/>
                      <w:b w:val="0"/>
                      <w:bCs w:val="0"/>
                      <w:color w:val="auto"/>
                      <w:kern w:val="2"/>
                      <w:sz w:val="21"/>
                      <w:szCs w:val="21"/>
                      <w:vertAlign w:val="baseline"/>
                      <w:lang w:val="en-US" w:eastAsia="zh-CN" w:bidi="ar-SA"/>
                    </w:rPr>
                    <w:t>表土堆</w:t>
                  </w:r>
                  <w:r>
                    <w:rPr>
                      <w:rFonts w:hint="default" w:ascii="Times New Roman" w:hAnsi="Times New Roman" w:eastAsia="宋体" w:cs="Times New Roman"/>
                      <w:b w:val="0"/>
                      <w:bCs w:val="0"/>
                      <w:color w:val="auto"/>
                      <w:kern w:val="2"/>
                      <w:sz w:val="21"/>
                      <w:szCs w:val="21"/>
                      <w:vertAlign w:val="baseline"/>
                      <w:lang w:val="en-US" w:eastAsia="zh-CN" w:bidi="ar-SA"/>
                    </w:rPr>
                    <w:t>场</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vertAlign w:val="baseline"/>
                      <w:lang w:val="en-US" w:eastAsia="zh-CN" w:bidi="ar-SA"/>
                    </w:rPr>
                  </w:pPr>
                  <w:r>
                    <w:rPr>
                      <w:rFonts w:hint="default" w:ascii="Times New Roman" w:hAnsi="Times New Roman" w:eastAsia="宋体" w:cs="Times New Roman"/>
                      <w:b w:val="0"/>
                      <w:bCs w:val="0"/>
                      <w:color w:val="auto"/>
                      <w:kern w:val="2"/>
                      <w:sz w:val="21"/>
                      <w:szCs w:val="21"/>
                      <w:vertAlign w:val="baseline"/>
                      <w:lang w:val="en-US" w:eastAsia="zh-CN" w:bidi="ar-SA"/>
                    </w:rPr>
                    <w:t>本项目</w:t>
                  </w:r>
                  <w:r>
                    <w:rPr>
                      <w:rFonts w:hint="eastAsia" w:cs="Times New Roman"/>
                      <w:b w:val="0"/>
                      <w:bCs w:val="0"/>
                      <w:color w:val="auto"/>
                      <w:kern w:val="2"/>
                      <w:sz w:val="21"/>
                      <w:szCs w:val="21"/>
                      <w:vertAlign w:val="baseline"/>
                      <w:lang w:val="en-US" w:eastAsia="zh-CN" w:bidi="ar-SA"/>
                    </w:rPr>
                    <w:t>未开挖表土，不设置表土堆场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r>
                    <w:rPr>
                      <w:rFonts w:hint="default" w:ascii="Times New Roman" w:hAnsi="Times New Roman" w:cs="Times New Roman"/>
                      <w:b w:val="0"/>
                      <w:bCs w:val="0"/>
                      <w:color w:val="auto"/>
                      <w:sz w:val="21"/>
                      <w:szCs w:val="21"/>
                      <w:vertAlign w:val="baseline"/>
                      <w:lang w:val="en-US" w:eastAsia="zh-CN"/>
                    </w:rPr>
                    <w:t>辅助工程</w:t>
                  </w: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施工给水</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项目施工期用水主要为施工用水和施工人员生活用水，施工</w:t>
                  </w:r>
                  <w:r>
                    <w:rPr>
                      <w:rFonts w:hint="default" w:ascii="Times New Roman" w:hAnsi="Times New Roman" w:cs="Times New Roman"/>
                      <w:color w:val="000000"/>
                      <w:highlight w:val="none"/>
                    </w:rPr>
                    <w:t>用水采用就近拉运</w:t>
                  </w:r>
                  <w:r>
                    <w:rPr>
                      <w:rFonts w:hint="default" w:ascii="Times New Roman" w:hAnsi="Times New Roman" w:cs="Times New Roman"/>
                      <w:color w:val="000000"/>
                      <w:highlight w:val="none"/>
                      <w:lang w:eastAsia="zh-CN"/>
                    </w:rPr>
                    <w:t>；施工人员生活用水依托租用民房供水设施</w:t>
                  </w:r>
                  <w:r>
                    <w:rPr>
                      <w:rFonts w:hint="default" w:ascii="Times New Roman" w:hAnsi="Times New Roman" w:cs="Times New Roman"/>
                      <w:color w:val="000000"/>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highlight w:val="none"/>
                      <w:vertAlign w:val="baseline"/>
                      <w:lang w:val="en-US" w:eastAsia="zh-CN"/>
                    </w:rPr>
                    <w:t>施工排水</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施工废水经临时沉淀池沉淀后洒水降尘；生活污水依托租用民房生活污水处理设施。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施工供电</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eastAsia" w:cs="Times New Roman"/>
                      <w:b w:val="0"/>
                      <w:bCs w:val="0"/>
                      <w:color w:val="auto"/>
                      <w:sz w:val="21"/>
                      <w:szCs w:val="21"/>
                      <w:vertAlign w:val="baseline"/>
                      <w:lang w:val="en-US" w:eastAsia="zh-CN"/>
                    </w:rPr>
                    <w:t>上河湾村六社、七社及上河湾村养殖场</w:t>
                  </w:r>
                  <w:r>
                    <w:rPr>
                      <w:rFonts w:hint="default" w:ascii="Times New Roman" w:hAnsi="Times New Roman" w:eastAsia="宋体" w:cs="Times New Roman"/>
                      <w:b w:val="0"/>
                      <w:bCs w:val="0"/>
                      <w:color w:val="auto"/>
                      <w:sz w:val="21"/>
                      <w:szCs w:val="21"/>
                      <w:vertAlign w:val="baseline"/>
                      <w:lang w:val="en-US" w:eastAsia="zh-CN"/>
                    </w:rPr>
                    <w:t>有电源，利用沿线村镇输电线网。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施工供热</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cs="Times New Roman"/>
                      <w:color w:val="auto"/>
                      <w:spacing w:val="0"/>
                      <w:sz w:val="21"/>
                      <w:szCs w:val="21"/>
                    </w:rPr>
                    <w:t>本项目</w:t>
                  </w:r>
                  <w:r>
                    <w:rPr>
                      <w:rFonts w:hint="default" w:ascii="Times New Roman" w:hAnsi="Times New Roman" w:cs="Times New Roman"/>
                      <w:color w:val="auto"/>
                      <w:spacing w:val="0"/>
                      <w:sz w:val="21"/>
                      <w:szCs w:val="21"/>
                      <w:lang w:eastAsia="zh-CN"/>
                    </w:rPr>
                    <w:t>无</w:t>
                  </w:r>
                  <w:r>
                    <w:rPr>
                      <w:rFonts w:hint="default" w:ascii="Times New Roman" w:hAnsi="Times New Roman" w:cs="Times New Roman"/>
                      <w:color w:val="auto"/>
                      <w:spacing w:val="0"/>
                      <w:sz w:val="21"/>
                      <w:szCs w:val="21"/>
                    </w:rPr>
                    <w:t>需供暖</w:t>
                  </w:r>
                  <w:r>
                    <w:rPr>
                      <w:rFonts w:hint="default" w:ascii="Times New Roman" w:hAnsi="Times New Roman" w:cs="Times New Roman"/>
                      <w:color w:val="auto"/>
                      <w:spacing w:val="0"/>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vertAlign w:val="baseline"/>
                      <w:lang w:val="en-US" w:eastAsia="zh-CN"/>
                    </w:rPr>
                  </w:pPr>
                </w:p>
              </w:tc>
              <w:tc>
                <w:tcPr>
                  <w:tcW w:w="1045" w:type="pct"/>
                  <w:gridSpan w:val="3"/>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cs="Times New Roman"/>
                      <w:b w:val="0"/>
                      <w:bCs w:val="0"/>
                      <w:color w:val="auto"/>
                      <w:sz w:val="21"/>
                      <w:szCs w:val="21"/>
                      <w:vertAlign w:val="baseline"/>
                      <w:lang w:val="en-US" w:eastAsia="zh-CN"/>
                    </w:rPr>
                    <w:t>永久占地</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新增</w:t>
                  </w:r>
                  <w:r>
                    <w:rPr>
                      <w:rFonts w:hint="default" w:ascii="Times New Roman" w:hAnsi="Times New Roman" w:cs="Times New Roman"/>
                      <w:b w:val="0"/>
                      <w:bCs w:val="0"/>
                      <w:color w:val="auto"/>
                      <w:sz w:val="21"/>
                      <w:szCs w:val="21"/>
                      <w:vertAlign w:val="baseline"/>
                      <w:lang w:val="en-US" w:eastAsia="zh-CN"/>
                    </w:rPr>
                    <w:t>永久占地</w:t>
                  </w:r>
                  <w:r>
                    <w:rPr>
                      <w:rFonts w:hint="eastAsia" w:cs="Times New Roman"/>
                      <w:b w:val="0"/>
                      <w:bCs w:val="0"/>
                      <w:color w:val="auto"/>
                      <w:sz w:val="21"/>
                      <w:szCs w:val="21"/>
                      <w:vertAlign w:val="baseline"/>
                      <w:lang w:val="en-US" w:eastAsia="zh-CN"/>
                    </w:rPr>
                    <w:t>5.04</w:t>
                  </w:r>
                  <w:r>
                    <w:rPr>
                      <w:rFonts w:hint="default" w:ascii="Times New Roman" w:hAnsi="Times New Roman" w:eastAsia="宋体" w:cs="Times New Roman"/>
                      <w:b w:val="0"/>
                      <w:bCs w:val="0"/>
                      <w:color w:val="auto"/>
                      <w:sz w:val="21"/>
                      <w:szCs w:val="21"/>
                      <w:vertAlign w:val="baseline"/>
                      <w:lang w:val="en-US" w:eastAsia="zh-CN"/>
                    </w:rPr>
                    <w:t>亩，</w:t>
                  </w:r>
                  <w:r>
                    <w:rPr>
                      <w:rFonts w:hint="default" w:ascii="Times New Roman" w:hAnsi="Times New Roman" w:cs="Times New Roman"/>
                      <w:b w:val="0"/>
                      <w:bCs w:val="0"/>
                      <w:color w:val="auto"/>
                      <w:sz w:val="21"/>
                      <w:szCs w:val="21"/>
                      <w:highlight w:val="none"/>
                      <w:vertAlign w:val="baseline"/>
                      <w:lang w:val="en-US" w:eastAsia="zh-CN"/>
                    </w:rPr>
                    <w:t>均为工程占地</w:t>
                  </w:r>
                  <w:r>
                    <w:rPr>
                      <w:rFonts w:hint="default" w:ascii="Times New Roman" w:hAnsi="Times New Roman" w:cs="Times New Roman"/>
                      <w:b w:val="0"/>
                      <w:bCs w:val="0"/>
                      <w:color w:val="auto"/>
                      <w:sz w:val="21"/>
                      <w:szCs w:val="21"/>
                      <w:vertAlign w:val="baseline"/>
                      <w:lang w:val="en-US" w:eastAsia="zh-CN"/>
                    </w:rPr>
                    <w:t>，</w:t>
                  </w:r>
                  <w:r>
                    <w:rPr>
                      <w:rFonts w:hint="default" w:ascii="Times New Roman" w:hAnsi="Times New Roman" w:eastAsia="宋体" w:cs="Times New Roman"/>
                      <w:b w:val="0"/>
                      <w:bCs w:val="0"/>
                      <w:color w:val="auto"/>
                      <w:sz w:val="21"/>
                      <w:szCs w:val="21"/>
                      <w:vertAlign w:val="baseline"/>
                      <w:lang w:val="en-US" w:eastAsia="zh-CN"/>
                    </w:rPr>
                    <w:t>占用土地类型</w:t>
                  </w:r>
                  <w:r>
                    <w:rPr>
                      <w:rFonts w:hint="eastAsia" w:cs="Times New Roman"/>
                      <w:b w:val="0"/>
                      <w:bCs w:val="0"/>
                      <w:color w:val="auto"/>
                      <w:sz w:val="21"/>
                      <w:szCs w:val="21"/>
                      <w:vertAlign w:val="baseline"/>
                      <w:lang w:val="en-US" w:eastAsia="zh-CN"/>
                    </w:rPr>
                    <w:t>为</w:t>
                  </w:r>
                  <w:r>
                    <w:rPr>
                      <w:rFonts w:hint="default" w:ascii="Times New Roman" w:hAnsi="Times New Roman" w:eastAsia="宋体" w:cs="Times New Roman"/>
                      <w:b w:val="0"/>
                      <w:bCs w:val="0"/>
                      <w:color w:val="auto"/>
                      <w:sz w:val="21"/>
                      <w:szCs w:val="21"/>
                      <w:vertAlign w:val="baseline"/>
                      <w:lang w:val="en-US" w:eastAsia="zh-CN"/>
                    </w:rPr>
                    <w:t>荒地</w:t>
                  </w:r>
                  <w:r>
                    <w:rPr>
                      <w:rFonts w:hint="eastAsia" w:cs="Times New Roman"/>
                      <w:b w:val="0"/>
                      <w:bCs w:val="0"/>
                      <w:color w:val="auto"/>
                      <w:sz w:val="21"/>
                      <w:szCs w:val="21"/>
                      <w:vertAlign w:val="baseli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1" w:hRule="atLeast"/>
              </w:trPr>
              <w:tc>
                <w:tcPr>
                  <w:tcW w:w="399" w:type="pct"/>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环保工程</w:t>
                  </w:r>
                </w:p>
              </w:tc>
              <w:tc>
                <w:tcPr>
                  <w:tcW w:w="297" w:type="pct"/>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施工期</w:t>
                  </w:r>
                </w:p>
              </w:tc>
              <w:tc>
                <w:tcPr>
                  <w:tcW w:w="747" w:type="pct"/>
                  <w:gridSpan w:val="2"/>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sz w:val="21"/>
                      <w:szCs w:val="21"/>
                      <w:highlight w:val="none"/>
                      <w:vertAlign w:val="baseline"/>
                      <w:lang w:val="en-US" w:eastAsia="zh-CN"/>
                    </w:rPr>
                    <w:t>废气治理</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sz w:val="21"/>
                      <w:szCs w:val="21"/>
                      <w:highlight w:val="none"/>
                      <w:vertAlign w:val="baseline"/>
                      <w:lang w:val="en-US" w:eastAsia="zh-CN"/>
                    </w:rPr>
                    <w:t>本项目施工扬尘、车辆运输起尘及建筑材料的堆放、装卸过程产生的扬尘采用遮挡、苫盖、洒水等降尘措施；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1" w:hRule="atLeast"/>
              </w:trPr>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rPr>
                  </w:pPr>
                </w:p>
              </w:tc>
              <w:tc>
                <w:tcPr>
                  <w:tcW w:w="747"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施工期施工机械、车辆尾气通过加强施工设备维护、人员管理、合理布设施工环节等措施减少废气排放。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sz w:val="21"/>
                      <w:szCs w:val="21"/>
                      <w:highlight w:val="none"/>
                      <w:vertAlign w:val="baseline"/>
                      <w:lang w:val="en-US" w:eastAsia="zh-CN"/>
                    </w:rPr>
                    <w:t>废水治理</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施工废水经临时沉淀池沉淀后洒水降尘；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生活污水依托租用民房生活污水处理设施。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sz w:val="21"/>
                      <w:szCs w:val="21"/>
                      <w:highlight w:val="none"/>
                      <w:vertAlign w:val="baseline"/>
                      <w:lang w:val="en-US" w:eastAsia="zh-CN"/>
                    </w:rPr>
                    <w:t>噪声治理</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eastAsia="宋体" w:cs="Times New Roman"/>
                      <w:b w:val="0"/>
                      <w:bCs w:val="0"/>
                      <w:color w:val="auto"/>
                      <w:sz w:val="21"/>
                      <w:szCs w:val="21"/>
                      <w:highlight w:val="none"/>
                      <w:vertAlign w:val="baseline"/>
                      <w:lang w:val="en-US" w:eastAsia="zh-CN"/>
                    </w:rPr>
                  </w:pPr>
                  <w:r>
                    <w:rPr>
                      <w:rFonts w:hint="default" w:ascii="Times New Roman" w:hAnsi="Times New Roman" w:cs="Times New Roman"/>
                      <w:bCs/>
                      <w:color w:val="auto"/>
                      <w:sz w:val="21"/>
                      <w:szCs w:val="21"/>
                    </w:rPr>
                    <w:t>选用低噪声设备、控制施工时间等</w:t>
                  </w:r>
                  <w:r>
                    <w:rPr>
                      <w:rFonts w:hint="default" w:ascii="Times New Roman" w:hAnsi="Times New Roman" w:cs="Times New Roman"/>
                      <w:bCs/>
                      <w:color w:val="auto"/>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vMerge w:val="restar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kern w:val="2"/>
                      <w:sz w:val="21"/>
                      <w:szCs w:val="21"/>
                      <w:highlight w:val="none"/>
                      <w:vertAlign w:val="baseline"/>
                      <w:lang w:val="en-US" w:eastAsia="zh-CN" w:bidi="ar-SA"/>
                    </w:rPr>
                  </w:pPr>
                  <w:r>
                    <w:rPr>
                      <w:rFonts w:hint="default" w:ascii="Times New Roman" w:hAnsi="Times New Roman" w:cs="Times New Roman"/>
                      <w:b w:val="0"/>
                      <w:bCs w:val="0"/>
                      <w:color w:val="auto"/>
                      <w:sz w:val="21"/>
                      <w:szCs w:val="21"/>
                      <w:highlight w:val="none"/>
                      <w:vertAlign w:val="baseline"/>
                      <w:lang w:val="en-US" w:eastAsia="zh-CN"/>
                    </w:rPr>
                    <w:t>固废处理</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土方工程产生的废方全部用于工程土地平整；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建筑垃圾中可回收利用的回收利用，不能回收利用的运送至政府指定地点进行处置；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生活垃圾按处理方式进行分类收集，定期送至垃圾收集站统一处理；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施工人员剩余食物残渣进行集中收集，并由当地群众用于家禽家畜饲养。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747" w:type="pct"/>
                  <w:gridSpan w:val="2"/>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生态环境</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yellow"/>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水土保持措施（工程措施、植物措施、临时措施等）。加强施工人员教育工作；合理规划项目占地，施工完成后对护坡破坏的植被进行生态修复；栽种的植物应是当地宜土宜种植物等。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399" w:type="pct"/>
                  <w:vMerge w:val="continue"/>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center"/>
                    <w:textAlignment w:val="auto"/>
                    <w:rPr>
                      <w:rFonts w:hint="default" w:ascii="Times New Roman" w:hAnsi="Times New Roman" w:cs="Times New Roman"/>
                      <w:b w:val="0"/>
                      <w:bCs w:val="0"/>
                      <w:color w:val="auto"/>
                      <w:sz w:val="21"/>
                      <w:szCs w:val="21"/>
                      <w:highlight w:val="none"/>
                      <w:vertAlign w:val="baseline"/>
                      <w:lang w:val="en-US" w:eastAsia="zh-CN"/>
                    </w:rPr>
                  </w:pPr>
                </w:p>
              </w:tc>
              <w:tc>
                <w:tcPr>
                  <w:tcW w:w="297"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运营期</w:t>
                  </w:r>
                </w:p>
              </w:tc>
              <w:tc>
                <w:tcPr>
                  <w:tcW w:w="747" w:type="pct"/>
                  <w:gridSpan w:val="2"/>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 w:val="0"/>
                      <w:bCs w:val="0"/>
                      <w:color w:val="auto"/>
                      <w:sz w:val="21"/>
                      <w:szCs w:val="21"/>
                      <w:highlight w:val="none"/>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生态环境</w:t>
                  </w:r>
                </w:p>
              </w:tc>
              <w:tc>
                <w:tcPr>
                  <w:tcW w:w="3555" w:type="pct"/>
                  <w:tcBorders>
                    <w:tl2br w:val="nil"/>
                    <w:tr2bl w:val="nil"/>
                  </w:tcBorders>
                  <w:noWrap w:val="0"/>
                  <w:vAlign w:val="center"/>
                </w:tcPr>
                <w:p>
                  <w:pPr>
                    <w:keepNext w:val="0"/>
                    <w:keepLines w:val="0"/>
                    <w:pageBreakBefore w:val="0"/>
                    <w:widowControl w:val="0"/>
                    <w:suppressLineNumbers w:val="0"/>
                    <w:shd w:val="clear" w:color="auto" w:fill="auto"/>
                    <w:kinsoku/>
                    <w:wordWrap/>
                    <w:overflowPunct/>
                    <w:topLinePunct w:val="0"/>
                    <w:autoSpaceDE/>
                    <w:autoSpaceDN/>
                    <w:bidi w:val="0"/>
                    <w:adjustRightInd w:val="0"/>
                    <w:snapToGrid/>
                    <w:spacing w:before="0" w:beforeAutospacing="0" w:after="0" w:afterAutospacing="0" w:line="240" w:lineRule="auto"/>
                    <w:ind w:left="0" w:right="0" w:firstLine="0"/>
                    <w:jc w:val="both"/>
                    <w:textAlignment w:val="auto"/>
                    <w:rPr>
                      <w:rFonts w:hint="default" w:ascii="Times New Roman" w:hAnsi="Times New Roman" w:cs="Times New Roman"/>
                      <w:b w:val="0"/>
                      <w:bCs w:val="0"/>
                      <w:color w:val="auto"/>
                      <w:sz w:val="21"/>
                      <w:szCs w:val="21"/>
                      <w:highlight w:val="yellow"/>
                      <w:vertAlign w:val="baseline"/>
                      <w:lang w:val="en-US" w:eastAsia="zh-CN"/>
                    </w:rPr>
                  </w:pPr>
                  <w:r>
                    <w:rPr>
                      <w:rFonts w:hint="default" w:ascii="Times New Roman" w:hAnsi="Times New Roman" w:cs="Times New Roman"/>
                      <w:b w:val="0"/>
                      <w:bCs w:val="0"/>
                      <w:color w:val="auto"/>
                      <w:sz w:val="21"/>
                      <w:szCs w:val="21"/>
                      <w:highlight w:val="none"/>
                      <w:vertAlign w:val="baseline"/>
                      <w:lang w:val="en-US" w:eastAsia="zh-CN"/>
                    </w:rPr>
                    <w:t>生态调查及跟踪监测。施工结束后临时用地按照《生产建设项目水土保持技术标准》（GB50433-2018）进行表土回填、绿化复垦，恢复原有用地性质。</w:t>
                  </w:r>
                </w:p>
              </w:tc>
            </w:tr>
          </w:tbl>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sz w:val="24"/>
              </w:rPr>
            </w:pPr>
            <w:r>
              <w:rPr>
                <w:rFonts w:hint="default" w:ascii="Times New Roman" w:hAnsi="Times New Roman" w:cs="Times New Roman"/>
                <w:b/>
                <w:bCs/>
                <w:sz w:val="24"/>
              </w:rPr>
              <w:t>（3）工程规模</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kern w:val="0"/>
                <w:sz w:val="24"/>
                <w:szCs w:val="24"/>
                <w:lang w:val="en-US" w:eastAsia="zh-CN"/>
              </w:rPr>
            </w:pPr>
            <w:r>
              <w:rPr>
                <w:rFonts w:hint="default" w:ascii="Times New Roman" w:hAnsi="Times New Roman" w:cs="Times New Roman"/>
                <w:b w:val="0"/>
                <w:bCs w:val="0"/>
                <w:sz w:val="24"/>
              </w:rPr>
              <w:t>工程主要分三部分，第一部分为上河湾移民村六社、七社村庄内涝点排水治理；第二部分为上河湾移民村七社内涝点排水、白石头沟（李石线）险段治理；第三部分为上湾移民村养殖场内涝点排水、白石头沟（同土线）险段治理。</w:t>
            </w:r>
            <w:r>
              <w:rPr>
                <w:rFonts w:hint="default" w:ascii="Times New Roman" w:hAnsi="Times New Roman" w:cs="Times New Roman"/>
                <w:kern w:val="0"/>
                <w:sz w:val="24"/>
                <w:szCs w:val="24"/>
                <w:lang w:val="en-US" w:eastAsia="zh-CN"/>
              </w:rPr>
              <w:t>主要建设内容见</w:t>
            </w:r>
            <w:r>
              <w:rPr>
                <w:rFonts w:hint="default" w:ascii="Times New Roman" w:hAnsi="Times New Roman" w:cs="Times New Roman"/>
                <w:b/>
                <w:bCs/>
                <w:kern w:val="0"/>
                <w:sz w:val="24"/>
                <w:szCs w:val="24"/>
                <w:lang w:val="en-US" w:eastAsia="zh-CN"/>
              </w:rPr>
              <w:t>表</w:t>
            </w:r>
            <w:r>
              <w:rPr>
                <w:rFonts w:hint="eastAsia" w:cs="Times New Roman"/>
                <w:b/>
                <w:bCs/>
                <w:kern w:val="0"/>
                <w:sz w:val="24"/>
                <w:szCs w:val="24"/>
                <w:lang w:val="en-US" w:eastAsia="zh-CN"/>
              </w:rPr>
              <w:t>3</w:t>
            </w:r>
            <w:r>
              <w:rPr>
                <w:rFonts w:hint="default" w:ascii="Times New Roman" w:hAnsi="Times New Roman" w:cs="Times New Roman"/>
                <w:kern w:val="0"/>
                <w:sz w:val="24"/>
                <w:szCs w:val="24"/>
                <w:lang w:val="en-US" w:eastAsia="zh-CN"/>
              </w:rPr>
              <w:t>。</w:t>
            </w:r>
          </w:p>
          <w:p>
            <w:pPr>
              <w:keepNext w:val="0"/>
              <w:keepLines w:val="0"/>
              <w:suppressLineNumbers w:val="0"/>
              <w:spacing w:before="0" w:beforeAutospacing="0" w:after="0" w:afterAutospacing="0" w:line="240" w:lineRule="auto"/>
              <w:ind w:left="0" w:right="0" w:firstLine="0"/>
              <w:jc w:val="center"/>
              <w:rPr>
                <w:rFonts w:hint="default" w:ascii="Times New Roman" w:hAnsi="Times New Roman" w:cs="Times New Roman"/>
                <w:sz w:val="24"/>
                <w:szCs w:val="24"/>
              </w:rPr>
            </w:pPr>
            <w:r>
              <w:rPr>
                <w:rFonts w:hint="default" w:ascii="Times New Roman" w:hAnsi="Times New Roman" w:eastAsia="黑体" w:cs="Times New Roman"/>
                <w:sz w:val="24"/>
                <w:szCs w:val="24"/>
                <w:lang w:val="en-US" w:eastAsia="zh-CN"/>
              </w:rPr>
              <w:t>表</w:t>
            </w:r>
            <w:r>
              <w:rPr>
                <w:rFonts w:hint="eastAsia" w:ascii="Times New Roman" w:hAnsi="Times New Roman" w:eastAsia="黑体" w:cs="Times New Roman"/>
                <w:sz w:val="24"/>
                <w:szCs w:val="24"/>
                <w:lang w:val="en-US" w:eastAsia="zh-CN"/>
              </w:rPr>
              <w:t>3</w:t>
            </w:r>
            <w:r>
              <w:rPr>
                <w:rFonts w:hint="default" w:ascii="Times New Roman" w:hAnsi="Times New Roman" w:eastAsia="黑体" w:cs="Times New Roman"/>
                <w:sz w:val="24"/>
                <w:szCs w:val="24"/>
                <w:lang w:val="en-US" w:eastAsia="zh-CN"/>
              </w:rPr>
              <w:t xml:space="preserve">  </w:t>
            </w:r>
            <w:r>
              <w:rPr>
                <w:rFonts w:hint="default" w:ascii="Times New Roman" w:hAnsi="Times New Roman" w:eastAsia="黑体" w:cs="Times New Roman"/>
                <w:sz w:val="24"/>
                <w:szCs w:val="24"/>
              </w:rPr>
              <w:t>建设内容统计表</w:t>
            </w:r>
          </w:p>
          <w:tbl>
            <w:tblPr>
              <w:tblStyle w:val="19"/>
              <w:tblW w:w="8236" w:type="dxa"/>
              <w:tblInd w:w="-9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1220"/>
              <w:gridCol w:w="654"/>
              <w:gridCol w:w="716"/>
              <w:gridCol w:w="816"/>
              <w:gridCol w:w="1521"/>
              <w:gridCol w:w="21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166" w:type="dxa"/>
                  <w:vMerge w:val="restart"/>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庄点名称</w:t>
                  </w:r>
                </w:p>
              </w:tc>
              <w:tc>
                <w:tcPr>
                  <w:tcW w:w="1220" w:type="dxa"/>
                  <w:vMerge w:val="restart"/>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项目名称</w:t>
                  </w:r>
                </w:p>
              </w:tc>
              <w:tc>
                <w:tcPr>
                  <w:tcW w:w="654" w:type="dxa"/>
                  <w:vMerge w:val="restart"/>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序号</w:t>
                  </w:r>
                </w:p>
              </w:tc>
              <w:tc>
                <w:tcPr>
                  <w:tcW w:w="3053" w:type="dxa"/>
                  <w:gridSpan w:val="3"/>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数量</w:t>
                  </w:r>
                </w:p>
              </w:tc>
              <w:tc>
                <w:tcPr>
                  <w:tcW w:w="2143" w:type="dxa"/>
                  <w:vMerge w:val="restart"/>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b/>
                      <w:bCs/>
                      <w:sz w:val="21"/>
                      <w:szCs w:val="21"/>
                    </w:rPr>
                    <w:t>形式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p>
              </w:tc>
              <w:tc>
                <w:tcPr>
                  <w:tcW w:w="1220" w:type="dxa"/>
                  <w:vMerge w:val="continue"/>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p>
              </w:tc>
              <w:tc>
                <w:tcPr>
                  <w:tcW w:w="654" w:type="dxa"/>
                  <w:vMerge w:val="continue"/>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p>
              </w:tc>
              <w:tc>
                <w:tcPr>
                  <w:tcW w:w="7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长度</w:t>
                  </w:r>
                </w:p>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（m）</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座数</w:t>
                  </w:r>
                </w:p>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（座）</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面积</w:t>
                  </w:r>
                </w:p>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（m</w:t>
                  </w:r>
                  <w:r>
                    <w:rPr>
                      <w:rFonts w:hint="default" w:ascii="Times New Roman" w:hAnsi="Times New Roman" w:cs="Times New Roman"/>
                      <w:b/>
                      <w:bCs/>
                      <w:sz w:val="21"/>
                      <w:szCs w:val="21"/>
                      <w:vertAlign w:val="superscript"/>
                    </w:rPr>
                    <w:t>2</w:t>
                  </w:r>
                  <w:r>
                    <w:rPr>
                      <w:rFonts w:hint="default" w:ascii="Times New Roman" w:hAnsi="Times New Roman" w:cs="Times New Roman"/>
                      <w:b/>
                      <w:bCs/>
                      <w:sz w:val="21"/>
                      <w:szCs w:val="21"/>
                    </w:rPr>
                    <w:t>）</w:t>
                  </w:r>
                </w:p>
              </w:tc>
              <w:tc>
                <w:tcPr>
                  <w:tcW w:w="2143"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restart"/>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上河湾村六社</w:t>
                  </w:r>
                </w:p>
              </w:tc>
              <w:tc>
                <w:tcPr>
                  <w:tcW w:w="1220" w:type="dxa"/>
                  <w:vMerge w:val="restart"/>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排水边沟</w:t>
                  </w:r>
                </w:p>
              </w:tc>
              <w:tc>
                <w:tcPr>
                  <w:tcW w:w="654"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172</w:t>
                  </w:r>
                </w:p>
              </w:tc>
              <w:tc>
                <w:tcPr>
                  <w:tcW w:w="8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lang w:val="en-US" w:eastAsia="zh-CN"/>
                    </w:rPr>
                    <w:t>/</w:t>
                  </w:r>
                </w:p>
              </w:tc>
              <w:tc>
                <w:tcPr>
                  <w:tcW w:w="2143" w:type="dxa"/>
                  <w:vMerge w:val="restart"/>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0.5m×0.5m 矩形</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现浇砼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654"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172</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654"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310</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654"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4#</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170</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654"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5#</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240</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654"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6#</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230</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874" w:type="dxa"/>
                  <w:gridSpan w:val="2"/>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小计</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1294</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雨水井</w:t>
                  </w:r>
                </w:p>
              </w:tc>
              <w:tc>
                <w:tcPr>
                  <w:tcW w:w="654"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7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8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0.7m×0.4m 矩形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排水管</w:t>
                  </w:r>
                </w:p>
              </w:tc>
              <w:tc>
                <w:tcPr>
                  <w:tcW w:w="654"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55</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φ200PVC 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66" w:type="dxa"/>
                  <w:vMerge w:val="restart"/>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上河湾村七社</w:t>
                  </w:r>
                </w:p>
              </w:tc>
              <w:tc>
                <w:tcPr>
                  <w:tcW w:w="1220"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路面加高</w:t>
                  </w:r>
                </w:p>
              </w:tc>
              <w:tc>
                <w:tcPr>
                  <w:tcW w:w="654"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7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85.2</w:t>
                  </w:r>
                </w:p>
              </w:tc>
              <w:tc>
                <w:tcPr>
                  <w:tcW w:w="2143"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李石线西侧护岸</w:t>
                  </w:r>
                </w:p>
              </w:tc>
              <w:tc>
                <w:tcPr>
                  <w:tcW w:w="654"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7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8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格宾护坡高</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2.5m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66" w:type="dxa"/>
                  <w:vMerge w:val="restart"/>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上河湾村养殖场</w:t>
                  </w:r>
                </w:p>
              </w:tc>
              <w:tc>
                <w:tcPr>
                  <w:tcW w:w="1220"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排水边沟</w:t>
                  </w:r>
                </w:p>
              </w:tc>
              <w:tc>
                <w:tcPr>
                  <w:tcW w:w="654"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60</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0.5m×0.5m 矩形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66" w:type="dxa"/>
                  <w:vMerge w:val="continue"/>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p>
              </w:tc>
              <w:tc>
                <w:tcPr>
                  <w:tcW w:w="1220"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同土线西侧护岸</w:t>
                  </w:r>
                </w:p>
              </w:tc>
              <w:tc>
                <w:tcPr>
                  <w:tcW w:w="654"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71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301</w:t>
                  </w:r>
                </w:p>
              </w:tc>
              <w:tc>
                <w:tcPr>
                  <w:tcW w:w="816"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1521"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c>
                <w:tcPr>
                  <w:tcW w:w="2143"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格宾护坡高</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2.5m</w:t>
                  </w:r>
                </w:p>
              </w:tc>
            </w:tr>
          </w:tbl>
          <w:p>
            <w:pPr>
              <w:pStyle w:val="24"/>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rPr>
            </w:pPr>
            <w:r>
              <w:rPr>
                <w:rFonts w:hint="default" w:ascii="Times New Roman" w:hAnsi="Times New Roman" w:cs="Times New Roman"/>
                <w:b/>
                <w:bCs/>
              </w:rPr>
              <w:t>（4）主要工程量</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工程需完成土方开挖0.45万m</w:t>
            </w:r>
            <w:r>
              <w:rPr>
                <w:rFonts w:hint="default" w:ascii="Times New Roman" w:hAnsi="Times New Roman" w:cs="Times New Roman"/>
                <w:vertAlign w:val="superscript"/>
              </w:rPr>
              <w:t>3</w:t>
            </w:r>
            <w:r>
              <w:rPr>
                <w:rFonts w:hint="default" w:ascii="Times New Roman" w:hAnsi="Times New Roman" w:cs="Times New Roman"/>
              </w:rPr>
              <w:t>，土方回填0.68万m</w:t>
            </w:r>
            <w:r>
              <w:rPr>
                <w:rFonts w:hint="default" w:ascii="Times New Roman" w:hAnsi="Times New Roman" w:cs="Times New Roman"/>
                <w:vertAlign w:val="superscript"/>
              </w:rPr>
              <w:t>3</w:t>
            </w:r>
            <w:r>
              <w:rPr>
                <w:rFonts w:hint="default" w:ascii="Times New Roman" w:hAnsi="Times New Roman" w:cs="Times New Roman"/>
              </w:rPr>
              <w:t>，格宾护垫493.56m</w:t>
            </w:r>
            <w:r>
              <w:rPr>
                <w:rFonts w:hint="default" w:ascii="Times New Roman" w:hAnsi="Times New Roman" w:cs="Times New Roman"/>
                <w:vertAlign w:val="superscript"/>
              </w:rPr>
              <w:t>3</w:t>
            </w:r>
            <w:r>
              <w:rPr>
                <w:rFonts w:hint="default" w:ascii="Times New Roman" w:hAnsi="Times New Roman" w:cs="Times New Roman"/>
              </w:rPr>
              <w:t>，格宾石笼556.50m</w:t>
            </w:r>
            <w:r>
              <w:rPr>
                <w:rFonts w:hint="default" w:ascii="Times New Roman" w:hAnsi="Times New Roman" w:cs="Times New Roman"/>
                <w:vertAlign w:val="superscript"/>
              </w:rPr>
              <w:t>3</w:t>
            </w:r>
            <w:r>
              <w:rPr>
                <w:rFonts w:hint="default" w:ascii="Times New Roman" w:hAnsi="Times New Roman" w:cs="Times New Roman"/>
              </w:rPr>
              <w:t>，C25砼995.86m</w:t>
            </w:r>
            <w:r>
              <w:rPr>
                <w:rFonts w:hint="default" w:ascii="Times New Roman" w:hAnsi="Times New Roman" w:cs="Times New Roman"/>
                <w:vertAlign w:val="superscript"/>
              </w:rPr>
              <w:t>3</w:t>
            </w:r>
            <w:r>
              <w:rPr>
                <w:rFonts w:hint="default" w:ascii="Times New Roman" w:hAnsi="Times New Roman" w:cs="Times New Roman"/>
              </w:rPr>
              <w:t>。具体工程量见</w:t>
            </w:r>
            <w:r>
              <w:rPr>
                <w:rFonts w:hint="default" w:ascii="Times New Roman" w:hAnsi="Times New Roman" w:cs="Times New Roman"/>
                <w:b/>
                <w:bCs/>
                <w:lang w:val="en-US" w:eastAsia="zh-CN"/>
              </w:rPr>
              <w:t>表</w:t>
            </w:r>
            <w:r>
              <w:rPr>
                <w:rFonts w:hint="eastAsia" w:ascii="Times New Roman" w:hAnsi="Times New Roman" w:cs="Times New Roman"/>
                <w:b/>
                <w:bCs/>
                <w:lang w:val="en-US" w:eastAsia="zh-CN"/>
              </w:rPr>
              <w:t>4</w:t>
            </w:r>
            <w:r>
              <w:rPr>
                <w:rFonts w:hint="default" w:ascii="Times New Roman" w:hAnsi="Times New Roman" w:cs="Times New Roman"/>
              </w:rPr>
              <w:t>。</w:t>
            </w:r>
          </w:p>
          <w:p>
            <w:pPr>
              <w:keepNext w:val="0"/>
              <w:keepLines w:val="0"/>
              <w:suppressLineNumbers w:val="0"/>
              <w:spacing w:before="0" w:beforeAutospacing="0" w:after="0" w:afterAutospacing="0"/>
              <w:ind w:left="0" w:right="0"/>
              <w:jc w:val="center"/>
              <w:rPr>
                <w:rFonts w:hint="default" w:ascii="Times New Roman" w:hAnsi="Times New Roman" w:eastAsia="黑体" w:cs="Times New Roman"/>
                <w:sz w:val="24"/>
              </w:rPr>
            </w:pPr>
            <w:r>
              <w:rPr>
                <w:rFonts w:hint="default" w:ascii="Times New Roman" w:hAnsi="Times New Roman" w:eastAsia="黑体" w:cs="Times New Roman"/>
                <w:sz w:val="24"/>
                <w:lang w:val="en-US" w:eastAsia="zh-CN"/>
              </w:rPr>
              <w:t>表</w:t>
            </w:r>
            <w:r>
              <w:rPr>
                <w:rFonts w:hint="eastAsia" w:eastAsia="黑体" w:cs="Times New Roman"/>
                <w:sz w:val="24"/>
                <w:lang w:val="en-US" w:eastAsia="zh-CN"/>
              </w:rPr>
              <w:t>4</w:t>
            </w:r>
            <w:r>
              <w:rPr>
                <w:rFonts w:hint="default" w:ascii="Times New Roman" w:hAnsi="Times New Roman" w:eastAsia="黑体" w:cs="Times New Roman"/>
                <w:sz w:val="24"/>
                <w:lang w:val="en-US" w:eastAsia="zh-CN"/>
              </w:rPr>
              <w:t xml:space="preserve">  </w:t>
            </w:r>
            <w:r>
              <w:rPr>
                <w:rFonts w:hint="default" w:ascii="Times New Roman" w:hAnsi="Times New Roman" w:eastAsia="黑体" w:cs="Times New Roman"/>
                <w:sz w:val="24"/>
              </w:rPr>
              <w:t>主要工程量统计表</w:t>
            </w:r>
          </w:p>
          <w:tbl>
            <w:tblPr>
              <w:tblStyle w:val="19"/>
              <w:tblW w:w="8164"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721"/>
              <w:gridCol w:w="2721"/>
              <w:gridCol w:w="272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721" w:type="dxa"/>
                  <w:vAlign w:val="center"/>
                </w:tcPr>
                <w:p>
                  <w:pPr>
                    <w:keepNext w:val="0"/>
                    <w:keepLines w:val="0"/>
                    <w:suppressLineNumbers w:val="0"/>
                    <w:spacing w:before="0" w:beforeAutospacing="0" w:after="0" w:afterAutospacing="0"/>
                    <w:ind w:left="0" w:right="0"/>
                    <w:jc w:val="center"/>
                    <w:rPr>
                      <w:rFonts w:hint="eastAsia" w:ascii="Times New Roman" w:hAnsi="Times New Roman" w:cs="Times New Roman"/>
                      <w:b/>
                      <w:bCs/>
                      <w:szCs w:val="21"/>
                    </w:rPr>
                  </w:pPr>
                  <w:r>
                    <w:rPr>
                      <w:rFonts w:hint="default" w:ascii="Times New Roman" w:hAnsi="Times New Roman" w:cs="Times New Roman"/>
                      <w:b/>
                      <w:bCs/>
                      <w:szCs w:val="21"/>
                    </w:rPr>
                    <w:t>项目</w:t>
                  </w:r>
                </w:p>
              </w:tc>
              <w:tc>
                <w:tcPr>
                  <w:tcW w:w="2721" w:type="dxa"/>
                  <w:vAlign w:val="center"/>
                </w:tcPr>
                <w:p>
                  <w:pPr>
                    <w:keepNext w:val="0"/>
                    <w:keepLines w:val="0"/>
                    <w:suppressLineNumbers w:val="0"/>
                    <w:spacing w:before="0" w:beforeAutospacing="0" w:after="0" w:afterAutospacing="0"/>
                    <w:ind w:left="0" w:right="0"/>
                    <w:jc w:val="center"/>
                    <w:rPr>
                      <w:rFonts w:hint="eastAsia" w:ascii="Times New Roman" w:hAnsi="Times New Roman" w:cs="Times New Roman"/>
                      <w:b/>
                      <w:bCs/>
                      <w:szCs w:val="21"/>
                    </w:rPr>
                  </w:pPr>
                  <w:r>
                    <w:rPr>
                      <w:rFonts w:hint="default" w:ascii="Times New Roman" w:hAnsi="Times New Roman" w:cs="Times New Roman"/>
                      <w:b/>
                      <w:bCs/>
                      <w:szCs w:val="21"/>
                    </w:rPr>
                    <w:t>单位</w:t>
                  </w:r>
                </w:p>
              </w:tc>
              <w:tc>
                <w:tcPr>
                  <w:tcW w:w="2722" w:type="dxa"/>
                  <w:vAlign w:val="center"/>
                </w:tcPr>
                <w:p>
                  <w:pPr>
                    <w:keepNext w:val="0"/>
                    <w:keepLines w:val="0"/>
                    <w:suppressLineNumbers w:val="0"/>
                    <w:spacing w:before="0" w:beforeAutospacing="0" w:after="0" w:afterAutospacing="0"/>
                    <w:ind w:left="0" w:right="0"/>
                    <w:jc w:val="center"/>
                    <w:rPr>
                      <w:rFonts w:hint="eastAsia" w:ascii="Times New Roman" w:hAnsi="Times New Roman" w:cs="Times New Roman"/>
                      <w:b/>
                      <w:bCs/>
                      <w:szCs w:val="21"/>
                    </w:rPr>
                  </w:pPr>
                  <w:r>
                    <w:rPr>
                      <w:rFonts w:hint="default" w:ascii="Times New Roman" w:hAnsi="Times New Roman" w:cs="Times New Roman"/>
                      <w:b/>
                      <w:bCs/>
                      <w:szCs w:val="21"/>
                    </w:rPr>
                    <w:t>工程量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土方开挖</w:t>
                  </w:r>
                </w:p>
              </w:tc>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3</w:t>
                  </w:r>
                </w:p>
              </w:tc>
              <w:tc>
                <w:tcPr>
                  <w:tcW w:w="272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4547.83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土方回填</w:t>
                  </w:r>
                </w:p>
              </w:tc>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3</w:t>
                  </w:r>
                </w:p>
              </w:tc>
              <w:tc>
                <w:tcPr>
                  <w:tcW w:w="272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6846.86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格宾护垫</w:t>
                  </w:r>
                </w:p>
              </w:tc>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3</w:t>
                  </w:r>
                </w:p>
              </w:tc>
              <w:tc>
                <w:tcPr>
                  <w:tcW w:w="272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493.56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格宾石笼</w:t>
                  </w:r>
                </w:p>
              </w:tc>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3</w:t>
                  </w:r>
                </w:p>
              </w:tc>
              <w:tc>
                <w:tcPr>
                  <w:tcW w:w="272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556.5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C25 砼</w:t>
                  </w:r>
                </w:p>
              </w:tc>
              <w:tc>
                <w:tcPr>
                  <w:tcW w:w="272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3</w:t>
                  </w:r>
                </w:p>
              </w:tc>
              <w:tc>
                <w:tcPr>
                  <w:tcW w:w="272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995.864</w:t>
                  </w:r>
                </w:p>
              </w:tc>
            </w:tr>
          </w:tbl>
          <w:p>
            <w:pPr>
              <w:keepNext w:val="0"/>
              <w:keepLines w:val="0"/>
              <w:suppressLineNumbers w:val="0"/>
              <w:adjustRightInd w:val="0"/>
              <w:snapToGrid w:val="0"/>
              <w:spacing w:before="0" w:beforeAutospacing="0" w:after="0" w:afterAutospacing="0" w:line="360" w:lineRule="auto"/>
              <w:ind w:left="0" w:right="0" w:firstLine="482" w:firstLineChars="200"/>
              <w:jc w:val="left"/>
              <w:rPr>
                <w:rFonts w:hint="default" w:ascii="Times New Roman" w:hAnsi="Times New Roman" w:cs="Times New Roman"/>
                <w:b/>
                <w:bCs/>
                <w:sz w:val="24"/>
              </w:rPr>
            </w:pPr>
            <w:r>
              <w:rPr>
                <w:rFonts w:hint="default" w:ascii="Times New Roman" w:hAnsi="Times New Roman" w:cs="Times New Roman"/>
                <w:b/>
                <w:bCs/>
                <w:sz w:val="24"/>
              </w:rPr>
              <w:t>2、工程设计</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sz w:val="24"/>
              </w:rPr>
            </w:pPr>
            <w:r>
              <w:rPr>
                <w:rFonts w:hint="default" w:ascii="Times New Roman" w:hAnsi="Times New Roman" w:cs="Times New Roman"/>
                <w:b/>
                <w:bCs/>
                <w:sz w:val="24"/>
              </w:rPr>
              <w:t>（1）建设原则</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rPr>
            </w:pPr>
            <w:r>
              <w:rPr>
                <w:rFonts w:hint="default" w:ascii="Times New Roman" w:hAnsi="Times New Roman" w:cs="Times New Roman"/>
                <w:sz w:val="24"/>
              </w:rPr>
              <w:t>①工程布置方案及建筑物结构形式与周围的环境气氛相协调，不改变周边原始地貌的原则；</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rPr>
            </w:pPr>
            <w:r>
              <w:rPr>
                <w:rFonts w:hint="default" w:ascii="Times New Roman" w:hAnsi="Times New Roman" w:cs="Times New Roman"/>
                <w:sz w:val="24"/>
              </w:rPr>
              <w:t>②科学防控洪水，体现尊重自然规律、人与自然和谐相处的新时期治水理念，根据洪水的特点，采用“疏导为主”的工程措施。</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rPr>
            </w:pPr>
            <w:r>
              <w:rPr>
                <w:rFonts w:hint="default" w:ascii="Times New Roman" w:hAnsi="Times New Roman" w:cs="Times New Roman"/>
                <w:sz w:val="24"/>
              </w:rPr>
              <w:t>③排水工程在布局时应首先考虑有没有条件设置排水边沟，边沟排水效果好，直观而且工程造价低廉，但是对地形条件的要求较高；而后考虑使用暗管排水，暗管排水对地形条件要求较低，但是检修不易，易堵塞，维护费用较高。</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sz w:val="24"/>
              </w:rPr>
            </w:pPr>
            <w:r>
              <w:rPr>
                <w:rFonts w:hint="default" w:ascii="Times New Roman" w:hAnsi="Times New Roman" w:cs="Times New Roman"/>
                <w:b/>
                <w:bCs/>
                <w:sz w:val="24"/>
              </w:rPr>
              <w:t>（2）排水边沟设计</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rPr>
            </w:pPr>
            <w:r>
              <w:rPr>
                <w:rFonts w:hint="default" w:ascii="Times New Roman" w:hAnsi="Times New Roman" w:cs="Times New Roman"/>
                <w:sz w:val="24"/>
              </w:rPr>
              <w:t>①设计暴雨强度</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szCs w:val="24"/>
              </w:rPr>
            </w:pPr>
            <w:r>
              <w:rPr>
                <w:rFonts w:hint="default" w:ascii="Times New Roman" w:hAnsi="Times New Roman" w:cs="Times New Roman"/>
                <w:sz w:val="24"/>
              </w:rPr>
              <w:t>根据《室外排水设计规范》（GB50014-2021）</w:t>
            </w:r>
            <w:r>
              <w:rPr>
                <w:rFonts w:hint="eastAsia" w:cs="Times New Roman"/>
                <w:sz w:val="24"/>
                <w:lang w:val="en-US" w:eastAsia="zh-CN"/>
              </w:rPr>
              <w:t>计算</w:t>
            </w:r>
            <w:r>
              <w:rPr>
                <w:rFonts w:hint="default" w:ascii="Times New Roman" w:hAnsi="Times New Roman" w:cs="Times New Roman"/>
                <w:sz w:val="24"/>
                <w:szCs w:val="24"/>
              </w:rPr>
              <w:t>项目区设计暴雨强度</w:t>
            </w:r>
            <w:r>
              <w:rPr>
                <w:rFonts w:hint="eastAsia" w:cs="Times New Roman"/>
                <w:sz w:val="24"/>
                <w:szCs w:val="24"/>
                <w:lang w:val="en-US" w:eastAsia="zh-CN"/>
              </w:rPr>
              <w:t>为</w:t>
            </w:r>
            <w:r>
              <w:rPr>
                <w:rFonts w:hint="default" w:ascii="Times New Roman" w:hAnsi="Times New Roman" w:cs="Times New Roman"/>
                <w:sz w:val="24"/>
                <w:szCs w:val="24"/>
              </w:rPr>
              <w:t>30.373[L/(s·hm</w:t>
            </w:r>
            <w:r>
              <w:rPr>
                <w:rFonts w:hint="default" w:ascii="Times New Roman" w:hAnsi="Times New Roman" w:cs="Times New Roman"/>
                <w:sz w:val="24"/>
                <w:szCs w:val="24"/>
                <w:vertAlign w:val="superscript"/>
              </w:rPr>
              <w:t>2</w:t>
            </w:r>
            <w:r>
              <w:rPr>
                <w:rFonts w:hint="default" w:ascii="Times New Roman" w:hAnsi="Times New Roman" w:cs="Times New Roman"/>
                <w:sz w:val="24"/>
                <w:szCs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②排水边沟雨水量</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sz w:val="24"/>
                <w:szCs w:val="24"/>
                <w:lang w:eastAsia="zh-CN"/>
              </w:rPr>
            </w:pPr>
            <w:r>
              <w:rPr>
                <w:rFonts w:hint="default" w:ascii="Times New Roman" w:hAnsi="Times New Roman" w:cs="Times New Roman"/>
                <w:sz w:val="24"/>
                <w:szCs w:val="24"/>
              </w:rPr>
              <w:t>项目区排水边沟雨水量</w:t>
            </w:r>
            <w:r>
              <w:rPr>
                <w:rFonts w:hint="eastAsia" w:ascii="Times New Roman" w:hAnsi="Times New Roman" w:cs="Times New Roman"/>
                <w:sz w:val="24"/>
                <w:szCs w:val="24"/>
                <w:lang w:val="en-US" w:eastAsia="zh-CN"/>
              </w:rPr>
              <w:t>为</w:t>
            </w:r>
            <w:r>
              <w:rPr>
                <w:rFonts w:hint="eastAsia" w:ascii="Times New Roman" w:hAnsi="Times New Roman" w:cs="Times New Roman"/>
                <w:sz w:val="24"/>
                <w:szCs w:val="24"/>
                <w:lang w:eastAsia="zh-CN"/>
              </w:rPr>
              <w:t>91.12L/s</w:t>
            </w:r>
          </w:p>
          <w:p>
            <w:pPr>
              <w:keepNext w:val="0"/>
              <w:keepLines w:val="0"/>
              <w:suppressLineNumbers w:val="0"/>
              <w:spacing w:before="0" w:beforeAutospacing="0" w:after="0" w:afterAutospacing="0" w:line="360" w:lineRule="auto"/>
              <w:ind w:left="0" w:leftChars="0" w:right="0" w:firstLine="480" w:firstLineChars="200"/>
              <w:jc w:val="left"/>
              <w:rPr>
                <w:rFonts w:hint="default" w:ascii="Times New Roman" w:hAnsi="Times New Roman" w:eastAsia="黑体" w:cs="Times New Roman"/>
                <w:sz w:val="24"/>
                <w:szCs w:val="24"/>
                <w:lang w:val="en-US" w:eastAsia="zh-CN"/>
              </w:rPr>
            </w:pPr>
            <w:r>
              <w:rPr>
                <w:rFonts w:hint="default" w:ascii="Times New Roman" w:hAnsi="Times New Roman" w:cs="Times New Roman"/>
                <w:sz w:val="24"/>
                <w:szCs w:val="24"/>
              </w:rPr>
              <w:t>③排水边沟</w:t>
            </w:r>
            <w:r>
              <w:rPr>
                <w:rFonts w:hint="default" w:ascii="Times New Roman" w:hAnsi="Times New Roman" w:cs="Times New Roman"/>
                <w:sz w:val="24"/>
                <w:szCs w:val="24"/>
                <w:lang w:val="en-US" w:eastAsia="zh-CN"/>
              </w:rPr>
              <w:t>设计图见</w:t>
            </w:r>
            <w:r>
              <w:rPr>
                <w:rFonts w:hint="default" w:ascii="Times New Roman" w:hAnsi="Times New Roman" w:cs="Times New Roman"/>
                <w:b/>
                <w:bCs/>
                <w:sz w:val="24"/>
                <w:szCs w:val="24"/>
                <w:lang w:val="en-US" w:eastAsia="zh-CN"/>
              </w:rPr>
              <w:t>图9</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szCs w:val="24"/>
              </w:rPr>
              <w:t>排水边沟采用矩形断面，断面尺寸0.5m×0.5m，采用C25砼现浇，盖板厚度0.2m，为钢筋砼盖板，下部采用10cm厚砂砾石垫层基础。</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④雨水井设计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lang w:val="en-US" w:eastAsia="zh-CN"/>
              </w:rPr>
            </w:pPr>
            <w:r>
              <w:rPr>
                <w:rFonts w:hint="default" w:ascii="Times New Roman" w:hAnsi="Times New Roman" w:cs="Times New Roman"/>
                <w:sz w:val="24"/>
                <w:szCs w:val="24"/>
              </w:rPr>
              <w:t>雨水井主要设置在路面上，用于收集路面雨水，考虑到路面车辆荷载较大，采用C20钢筋砼现浇小方形结构，内室净尺寸长×宽×高=0.4×0.7×0.7m，底板采用C20混凝土现浇，垫层采用C10混凝土，配设支座及井盖，配设连接管道为Φ200mmU-PVC 管，单井配管道长度为27.5m。</w:t>
            </w:r>
            <w:r>
              <w:rPr>
                <w:rFonts w:hint="default" w:ascii="Times New Roman" w:hAnsi="Times New Roman" w:cs="Times New Roman"/>
                <w:sz w:val="24"/>
                <w:szCs w:val="24"/>
                <w:lang w:val="en-US" w:eastAsia="zh-CN"/>
              </w:rPr>
              <w:t>结构图见</w:t>
            </w:r>
            <w:r>
              <w:rPr>
                <w:rFonts w:hint="default" w:ascii="Times New Roman" w:hAnsi="Times New Roman" w:cs="Times New Roman"/>
                <w:b/>
                <w:bCs/>
                <w:sz w:val="24"/>
                <w:szCs w:val="24"/>
                <w:lang w:val="en-US" w:eastAsia="zh-CN"/>
              </w:rPr>
              <w:t>图1</w:t>
            </w:r>
            <w:r>
              <w:rPr>
                <w:rFonts w:hint="eastAsia" w:ascii="Times New Roman" w:hAnsi="Times New Roman" w:cs="Times New Roman"/>
                <w:b/>
                <w:bCs/>
                <w:sz w:val="24"/>
                <w:szCs w:val="24"/>
                <w:lang w:val="en-US" w:eastAsia="zh-CN"/>
              </w:rPr>
              <w:t>0</w:t>
            </w:r>
            <w:r>
              <w:rPr>
                <w:rFonts w:hint="default" w:ascii="Times New Roman" w:hAnsi="Times New Roman" w:cs="Times New Roman"/>
                <w:sz w:val="24"/>
                <w:szCs w:val="24"/>
                <w:lang w:val="en-US" w:eastAsia="zh-CN"/>
              </w:rPr>
              <w:t>。</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4"/>
              </w:rPr>
            </w:pPr>
            <w:r>
              <w:rPr>
                <w:rFonts w:hint="default" w:ascii="Times New Roman" w:hAnsi="Times New Roman" w:cs="Times New Roman"/>
                <w:b/>
                <w:bCs/>
                <w:sz w:val="24"/>
                <w:szCs w:val="24"/>
              </w:rPr>
              <w:t>（3）护岸设计</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①护岸结构设计</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本工程采用格宾护垫砌护形式，格宾护垫厚度为0.3m，根据地勘资料，白石头沟沟道水对钢结构有弱腐蚀性，折算后CL-离子含量为533.62mg/L，格宾丝采用低碳钢丝+（锌-10%-稀土合金镀层），护岸高度按2.5m计算，砌护岸比为1:2.0。</w:t>
            </w:r>
          </w:p>
          <w:p>
            <w:pPr>
              <w:pStyle w:val="24"/>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eastAsia="黑体" w:cs="Times New Roman"/>
                <w:lang w:val="en-US" w:eastAsia="zh-CN"/>
              </w:rPr>
            </w:pPr>
            <w:r>
              <w:rPr>
                <w:rFonts w:hint="default" w:ascii="Times New Roman" w:hAnsi="Times New Roman" w:cs="Times New Roman"/>
              </w:rPr>
              <w:t>格宾护垫的规格和强度要求：格宾的规格为2.0×1.0×0.3m（长×宽×高），每隔1m采用单隔板隔成独立的单元，网格尺寸为100×100mm。沟道水对钢结构有弱腐蚀性，折算后CL-离子含量为533.62mg/L，格宾采用Ⅴ类格宾—低碳钢丝+（锌-10%-稀土合金镀层）。格宾护垫网面边丝的直径为3.4mm，网丝直径为2.7mm，绑扎丝直径为2.2mm。钢丝网片具有无断丝、破损、锈蚀，色泽均匀，镀层无裂痕等良好外观。格宾网</w:t>
            </w:r>
            <w:r>
              <w:rPr>
                <w:rFonts w:hint="default" w:ascii="Times New Roman" w:hAnsi="Times New Roman" w:cs="Times New Roman"/>
                <w:lang w:val="en-US" w:eastAsia="zh-CN"/>
              </w:rPr>
              <w:t>大样图见</w:t>
            </w:r>
            <w:r>
              <w:rPr>
                <w:rFonts w:hint="default" w:ascii="Times New Roman" w:hAnsi="Times New Roman" w:cs="Times New Roman"/>
                <w:b/>
                <w:bCs/>
                <w:lang w:val="en-US" w:eastAsia="zh-CN"/>
              </w:rPr>
              <w:t>图1</w:t>
            </w:r>
            <w:r>
              <w:rPr>
                <w:rFonts w:hint="eastAsia" w:ascii="Times New Roman" w:hAnsi="Times New Roman" w:cs="Times New Roman"/>
                <w:b/>
                <w:bCs/>
                <w:lang w:val="en-US" w:eastAsia="zh-CN"/>
              </w:rPr>
              <w:t>1</w:t>
            </w:r>
            <w:r>
              <w:rPr>
                <w:rFonts w:hint="default" w:ascii="Times New Roman" w:hAnsi="Times New Roman" w:cs="Times New Roman"/>
                <w:b w:val="0"/>
                <w:bCs w:val="0"/>
                <w:lang w:val="en-US" w:eastAsia="zh-CN"/>
              </w:rPr>
              <w:t>。</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格宾护垫填充料要符合相应的采石规范，采用块石填充，填充块石应质地坚硬、软化系数大于0.75、比重大于2.0t/m</w:t>
            </w:r>
            <w:r>
              <w:rPr>
                <w:rFonts w:hint="default" w:ascii="Times New Roman" w:hAnsi="Times New Roman" w:cs="Times New Roman"/>
                <w:vertAlign w:val="superscript"/>
              </w:rPr>
              <w:t>3</w:t>
            </w:r>
            <w:r>
              <w:rPr>
                <w:rFonts w:hint="default" w:ascii="Times New Roman" w:hAnsi="Times New Roman" w:cs="Times New Roman"/>
              </w:rPr>
              <w:t>，填充材料粒径应满足有90%以上的粒径不小于12cm，填充料空隙率小于0.3。</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②护岸护角与基础形式</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根据《宁夏水利工程塑料土工格栅应用技术导则》（试行）“土工格栅结构体主要用于宁夏黄河治理工程的坝、垛基础；河道、沟道护岸基础；高边坡挡墙水平拉筋；改善软基承载力等方面”及“土工格栅结构体应用部位主要在水面以下或地面以下等不外露部位”的原则，为了节省工程投资，本工程护岸基础采用格栅网箱与格宾石笼相结合的结构形式。</w:t>
            </w:r>
          </w:p>
          <w:p>
            <w:pPr>
              <w:pStyle w:val="24"/>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eastAsia="黑体" w:cs="Times New Roman"/>
                <w:lang w:val="en-US" w:eastAsia="zh-CN"/>
              </w:rPr>
            </w:pPr>
            <w:r>
              <w:rPr>
                <w:rFonts w:hint="default" w:ascii="Times New Roman" w:hAnsi="Times New Roman" w:cs="Times New Roman"/>
              </w:rPr>
              <w:t>依据已建《同心县河西镇菊花台村山洪沟治理工程》最大流量为白石头沟10年一遇洪峰流量107m</w:t>
            </w:r>
            <w:r>
              <w:rPr>
                <w:rFonts w:hint="default" w:ascii="Times New Roman" w:hAnsi="Times New Roman" w:cs="Times New Roman"/>
                <w:vertAlign w:val="superscript"/>
              </w:rPr>
              <w:t>3</w:t>
            </w:r>
            <w:r>
              <w:rPr>
                <w:rFonts w:hint="default" w:ascii="Times New Roman" w:hAnsi="Times New Roman" w:cs="Times New Roman"/>
              </w:rPr>
              <w:t>/s，大于100m</w:t>
            </w:r>
            <w:r>
              <w:rPr>
                <w:rFonts w:hint="default" w:ascii="Times New Roman" w:hAnsi="Times New Roman" w:cs="Times New Roman"/>
                <w:vertAlign w:val="superscript"/>
              </w:rPr>
              <w:t>3</w:t>
            </w:r>
            <w:r>
              <w:rPr>
                <w:rFonts w:hint="default" w:ascii="Times New Roman" w:hAnsi="Times New Roman" w:cs="Times New Roman"/>
              </w:rPr>
              <w:t>/s，且计算流速均在3m/s左右，根据《导则》（试行），河道、沟道护岸基础土工格栅结构体最小尺寸表，河道的岸坡应做护基。河道护岸基础土工格栅结构最小尺寸表</w:t>
            </w:r>
            <w:r>
              <w:rPr>
                <w:rFonts w:hint="default" w:ascii="Times New Roman" w:hAnsi="Times New Roman" w:cs="Times New Roman"/>
                <w:lang w:val="en-US" w:eastAsia="zh-CN"/>
              </w:rPr>
              <w:t>见</w:t>
            </w:r>
            <w:r>
              <w:rPr>
                <w:rFonts w:hint="default" w:ascii="Times New Roman" w:hAnsi="Times New Roman" w:cs="Times New Roman"/>
                <w:b/>
                <w:bCs/>
                <w:lang w:val="en-US" w:eastAsia="zh-CN"/>
              </w:rPr>
              <w:t>表</w:t>
            </w:r>
            <w:r>
              <w:rPr>
                <w:rFonts w:hint="eastAsia" w:ascii="Times New Roman" w:hAnsi="Times New Roman" w:cs="Times New Roman"/>
                <w:b/>
                <w:bCs/>
                <w:lang w:val="en-US" w:eastAsia="zh-CN"/>
              </w:rPr>
              <w:t>5</w:t>
            </w:r>
            <w:r>
              <w:rPr>
                <w:rFonts w:hint="default" w:ascii="Times New Roman" w:hAnsi="Times New Roman" w:cs="Times New Roman"/>
                <w:lang w:val="en-US" w:eastAsia="zh-CN"/>
              </w:rPr>
              <w:t>。</w:t>
            </w:r>
          </w:p>
          <w:p>
            <w:pPr>
              <w:pStyle w:val="24"/>
              <w:keepNext w:val="0"/>
              <w:keepLines w:val="0"/>
              <w:suppressLineNumbers w:val="0"/>
              <w:spacing w:before="0" w:beforeAutospacing="0" w:after="0" w:afterAutospacing="0"/>
              <w:ind w:left="0" w:right="0"/>
              <w:jc w:val="center"/>
              <w:rPr>
                <w:rFonts w:hint="default" w:ascii="Times New Roman" w:hAnsi="Times New Roman" w:eastAsia="黑体" w:cs="Times New Roman"/>
              </w:rPr>
            </w:pPr>
            <w:r>
              <w:rPr>
                <w:rFonts w:hint="default" w:ascii="Times New Roman" w:hAnsi="Times New Roman" w:eastAsia="黑体" w:cs="Times New Roman"/>
                <w:lang w:val="en-US" w:eastAsia="zh-CN"/>
              </w:rPr>
              <w:t>表</w:t>
            </w:r>
            <w:r>
              <w:rPr>
                <w:rFonts w:hint="eastAsia" w:ascii="Times New Roman" w:hAnsi="Times New Roman" w:eastAsia="黑体" w:cs="Times New Roman"/>
                <w:lang w:val="en-US" w:eastAsia="zh-CN"/>
              </w:rPr>
              <w:t>5</w:t>
            </w:r>
            <w:r>
              <w:rPr>
                <w:rFonts w:hint="default" w:ascii="Times New Roman" w:hAnsi="Times New Roman" w:eastAsia="黑体" w:cs="Times New Roman"/>
                <w:lang w:val="en-US" w:eastAsia="zh-CN"/>
              </w:rPr>
              <w:t xml:space="preserve">  </w:t>
            </w:r>
            <w:r>
              <w:rPr>
                <w:rFonts w:hint="default" w:ascii="Times New Roman" w:hAnsi="Times New Roman" w:eastAsia="黑体" w:cs="Times New Roman"/>
              </w:rPr>
              <w:t>河道护岸基础土工格栅结构最小尺寸表</w:t>
            </w:r>
          </w:p>
          <w:tbl>
            <w:tblPr>
              <w:tblStyle w:val="19"/>
              <w:tblW w:w="81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2068"/>
              <w:gridCol w:w="1119"/>
              <w:gridCol w:w="1177"/>
              <w:gridCol w:w="1212"/>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1360" w:type="dxa"/>
                  <w:vMerge w:val="restart"/>
                  <w:tcBorders>
                    <w:top w:val="single" w:color="auto" w:sz="12" w:space="0"/>
                    <w:left w:val="single" w:color="auto" w:sz="12" w:space="0"/>
                  </w:tcBorders>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序号</w:t>
                  </w:r>
                </w:p>
              </w:tc>
              <w:tc>
                <w:tcPr>
                  <w:tcW w:w="2068" w:type="dxa"/>
                  <w:vMerge w:val="restart"/>
                  <w:tcBorders>
                    <w:top w:val="single" w:color="auto" w:sz="12" w:space="0"/>
                  </w:tcBorders>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流量或流速（m</w:t>
                  </w:r>
                  <w:r>
                    <w:rPr>
                      <w:rFonts w:hint="default" w:ascii="Times New Roman" w:hAnsi="Times New Roman" w:cs="Times New Roman"/>
                      <w:b/>
                      <w:bCs/>
                      <w:sz w:val="21"/>
                      <w:szCs w:val="21"/>
                      <w:vertAlign w:val="superscript"/>
                    </w:rPr>
                    <w:t>3</w:t>
                  </w:r>
                  <w:r>
                    <w:rPr>
                      <w:rFonts w:hint="default" w:ascii="Times New Roman" w:hAnsi="Times New Roman" w:cs="Times New Roman"/>
                      <w:b/>
                      <w:bCs/>
                      <w:sz w:val="21"/>
                      <w:szCs w:val="21"/>
                    </w:rPr>
                    <w:t>/s，m/s）</w:t>
                  </w:r>
                </w:p>
              </w:tc>
              <w:tc>
                <w:tcPr>
                  <w:tcW w:w="2296" w:type="dxa"/>
                  <w:gridSpan w:val="2"/>
                  <w:tcBorders>
                    <w:top w:val="single" w:color="auto" w:sz="12" w:space="0"/>
                  </w:tcBorders>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基础（cm）</w:t>
                  </w:r>
                </w:p>
              </w:tc>
              <w:tc>
                <w:tcPr>
                  <w:tcW w:w="2440" w:type="dxa"/>
                  <w:gridSpan w:val="2"/>
                  <w:tcBorders>
                    <w:top w:val="single" w:color="auto" w:sz="12" w:space="0"/>
                    <w:right w:val="single" w:color="auto" w:sz="12" w:space="0"/>
                  </w:tcBorders>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护基（cm）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1360" w:type="dxa"/>
                  <w:vMerge w:val="continue"/>
                  <w:tcBorders>
                    <w:left w:val="single" w:color="auto" w:sz="12" w:space="0"/>
                  </w:tcBorders>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p>
              </w:tc>
              <w:tc>
                <w:tcPr>
                  <w:tcW w:w="2068" w:type="dxa"/>
                  <w:vMerge w:val="continue"/>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p>
              </w:tc>
              <w:tc>
                <w:tcPr>
                  <w:tcW w:w="1119"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宽</w:t>
                  </w:r>
                </w:p>
              </w:tc>
              <w:tc>
                <w:tcPr>
                  <w:tcW w:w="1177"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深</w:t>
                  </w:r>
                </w:p>
              </w:tc>
              <w:tc>
                <w:tcPr>
                  <w:tcW w:w="1212" w:type="dxa"/>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宽</w:t>
                  </w:r>
                </w:p>
              </w:tc>
              <w:tc>
                <w:tcPr>
                  <w:tcW w:w="1228" w:type="dxa"/>
                  <w:tcBorders>
                    <w:right w:val="single" w:color="auto" w:sz="12" w:space="0"/>
                  </w:tcBorders>
                  <w:vAlign w:val="center"/>
                </w:tcPr>
                <w:p>
                  <w:pPr>
                    <w:pStyle w:val="24"/>
                    <w:keepNext w:val="0"/>
                    <w:keepLines w:val="0"/>
                    <w:suppressLineNumbers w:val="0"/>
                    <w:spacing w:before="0" w:beforeAutospacing="0" w:after="0" w:afterAutospacing="0"/>
                    <w:ind w:left="0" w:right="0"/>
                    <w:jc w:val="center"/>
                    <w:rPr>
                      <w:rFonts w:hint="eastAsia" w:ascii="Times New Roman" w:hAnsi="Times New Roman" w:cs="Times New Roman"/>
                      <w:b/>
                      <w:bCs/>
                      <w:sz w:val="21"/>
                      <w:szCs w:val="21"/>
                    </w:rPr>
                  </w:pPr>
                  <w:r>
                    <w:rPr>
                      <w:rFonts w:hint="default" w:ascii="Times New Roman" w:hAnsi="Times New Roman" w:cs="Times New Roman"/>
                      <w:b/>
                      <w:bCs/>
                      <w:sz w:val="21"/>
                      <w:szCs w:val="21"/>
                    </w:rPr>
                    <w:t>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60" w:type="dxa"/>
                  <w:tcBorders>
                    <w:lef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w:t>
                  </w:r>
                </w:p>
              </w:tc>
              <w:tc>
                <w:tcPr>
                  <w:tcW w:w="2068"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Q≥600，V≤3</w:t>
                  </w:r>
                </w:p>
              </w:tc>
              <w:tc>
                <w:tcPr>
                  <w:tcW w:w="1119"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80～120</w:t>
                  </w:r>
                </w:p>
              </w:tc>
              <w:tc>
                <w:tcPr>
                  <w:tcW w:w="117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100～150</w:t>
                  </w:r>
                </w:p>
              </w:tc>
              <w:tc>
                <w:tcPr>
                  <w:tcW w:w="1212"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≤250</w:t>
                  </w:r>
                </w:p>
              </w:tc>
              <w:tc>
                <w:tcPr>
                  <w:tcW w:w="1228" w:type="dxa"/>
                  <w:tcBorders>
                    <w:righ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60" w:type="dxa"/>
                  <w:tcBorders>
                    <w:lef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w:t>
                  </w:r>
                </w:p>
              </w:tc>
              <w:tc>
                <w:tcPr>
                  <w:tcW w:w="2068"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300≤Q＜600，2≤V＜3</w:t>
                  </w:r>
                </w:p>
              </w:tc>
              <w:tc>
                <w:tcPr>
                  <w:tcW w:w="1119"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80～120</w:t>
                  </w:r>
                </w:p>
              </w:tc>
              <w:tc>
                <w:tcPr>
                  <w:tcW w:w="117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100～120</w:t>
                  </w:r>
                </w:p>
              </w:tc>
              <w:tc>
                <w:tcPr>
                  <w:tcW w:w="1212"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≤200</w:t>
                  </w:r>
                </w:p>
              </w:tc>
              <w:tc>
                <w:tcPr>
                  <w:tcW w:w="1228" w:type="dxa"/>
                  <w:tcBorders>
                    <w:righ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60" w:type="dxa"/>
                  <w:tcBorders>
                    <w:lef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w:t>
                  </w:r>
                </w:p>
              </w:tc>
              <w:tc>
                <w:tcPr>
                  <w:tcW w:w="2068"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100≤Q＜300，V＜3</w:t>
                  </w:r>
                </w:p>
              </w:tc>
              <w:tc>
                <w:tcPr>
                  <w:tcW w:w="1119"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80～120</w:t>
                  </w:r>
                </w:p>
              </w:tc>
              <w:tc>
                <w:tcPr>
                  <w:tcW w:w="117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100～120</w:t>
                  </w:r>
                </w:p>
              </w:tc>
              <w:tc>
                <w:tcPr>
                  <w:tcW w:w="1212"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150～200</w:t>
                  </w:r>
                </w:p>
              </w:tc>
              <w:tc>
                <w:tcPr>
                  <w:tcW w:w="1228" w:type="dxa"/>
                  <w:tcBorders>
                    <w:righ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60" w:type="dxa"/>
                  <w:tcBorders>
                    <w:left w:val="single" w:color="auto" w:sz="12" w:space="0"/>
                    <w:bottom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4</w:t>
                  </w:r>
                </w:p>
              </w:tc>
              <w:tc>
                <w:tcPr>
                  <w:tcW w:w="2068" w:type="dxa"/>
                  <w:tcBorders>
                    <w:bottom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Q＜100，V＜3</w:t>
                  </w:r>
                </w:p>
              </w:tc>
              <w:tc>
                <w:tcPr>
                  <w:tcW w:w="1119" w:type="dxa"/>
                  <w:tcBorders>
                    <w:bottom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≤100</w:t>
                  </w:r>
                </w:p>
              </w:tc>
              <w:tc>
                <w:tcPr>
                  <w:tcW w:w="1177" w:type="dxa"/>
                  <w:tcBorders>
                    <w:bottom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≤160</w:t>
                  </w:r>
                </w:p>
              </w:tc>
              <w:tc>
                <w:tcPr>
                  <w:tcW w:w="2440" w:type="dxa"/>
                  <w:gridSpan w:val="2"/>
                  <w:tcBorders>
                    <w:bottom w:val="single" w:color="auto" w:sz="12" w:space="0"/>
                    <w:right w:val="single" w:color="auto" w:sz="12" w:space="0"/>
                  </w:tcBorders>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一般不做护基</w:t>
                  </w:r>
                </w:p>
              </w:tc>
            </w:tr>
          </w:tbl>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土工格栅网箱基础，采用双向格栅，拉伸强采用30KN/m；单个网目尺寸为：40×40mm，网目尺寸纵向、横向偏差要求≤±5%，颜色为黑色、色泽均匀，无损伤、无破裂，网孔尺寸大小均匀、厚薄一致；填充料采用合理级配的块石，其最小粒径应≥12cm、最大粒径不宜超过50cm；应质地坚硬，软化系数≥0.75，比重应满足块石≥2.2t/m</w:t>
            </w:r>
            <w:r>
              <w:rPr>
                <w:rFonts w:hint="default" w:ascii="Times New Roman" w:hAnsi="Times New Roman" w:cs="Times New Roman"/>
                <w:vertAlign w:val="superscript"/>
              </w:rPr>
              <w:t>3</w:t>
            </w:r>
            <w:r>
              <w:rPr>
                <w:rFonts w:hint="default" w:ascii="Times New Roman" w:hAnsi="Times New Roman" w:cs="Times New Roman"/>
              </w:rPr>
              <w:t>。填充料级配应结合料源、造价、施工等条件制定相应方案，以满足土工格栅石笼填充率≥0.70的要求。土工格栅的炭黑含量应≥2.0％，且要求分布均匀。由于宁夏水利工程处于寒冷地区，土工格栅应具备在-37℃能够正常使用的性能。</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格宾网箱石笼基础的规格和强度要求：格宾网箱网格尺寸为100×120mm。白石头沟格宾采用Ⅴ类格宾—低碳钢丝+（锌-10%-稀土合金镀层）。网面边丝的直径为3.4mm，网丝直径为2.7mm，绑扎丝直径为2.2mm。钢丝网片具有无断丝、破损、锈蚀，色泽均匀，镀层无裂痕等良好外观。</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③护岸断面设计</w:t>
            </w:r>
          </w:p>
          <w:p>
            <w:pPr>
              <w:pStyle w:val="24"/>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eastAsia="黑体" w:cs="Times New Roman"/>
                <w:lang w:val="en-US" w:eastAsia="zh-CN"/>
              </w:rPr>
            </w:pPr>
            <w:r>
              <w:rPr>
                <w:rFonts w:hint="default" w:ascii="Times New Roman" w:hAnsi="Times New Roman" w:cs="Times New Roman"/>
              </w:rPr>
              <w:t>格宾护岸采用0.3m厚的格宾护垫砌筑，边坡为1:2，岸坡基础采用格宾石笼基础，基础设计深度为1.5m，宽1.0m。养殖场白石头沟护岸纵断面图见</w:t>
            </w:r>
            <w:r>
              <w:rPr>
                <w:rFonts w:hint="default" w:ascii="Times New Roman" w:hAnsi="Times New Roman" w:cs="Times New Roman"/>
                <w:b/>
                <w:bCs/>
              </w:rPr>
              <w:t>图</w:t>
            </w:r>
            <w:r>
              <w:rPr>
                <w:rFonts w:hint="default" w:ascii="Times New Roman" w:hAnsi="Times New Roman" w:cs="Times New Roman"/>
                <w:b/>
                <w:bCs/>
                <w:lang w:val="en-US" w:eastAsia="zh-CN"/>
              </w:rPr>
              <w:t>1</w:t>
            </w:r>
            <w:r>
              <w:rPr>
                <w:rFonts w:hint="eastAsia" w:ascii="Times New Roman" w:hAnsi="Times New Roman" w:cs="Times New Roman"/>
                <w:b/>
                <w:bCs/>
                <w:lang w:val="en-US" w:eastAsia="zh-CN"/>
              </w:rPr>
              <w:t>2</w:t>
            </w:r>
            <w:r>
              <w:rPr>
                <w:rFonts w:hint="default" w:ascii="Times New Roman" w:hAnsi="Times New Roman" w:cs="Times New Roman"/>
              </w:rPr>
              <w:t>。</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④护岸砌护高度</w:t>
            </w:r>
          </w:p>
          <w:p>
            <w:pPr>
              <w:pStyle w:val="24"/>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eastAsia="黑体" w:cs="Times New Roman"/>
                <w:lang w:val="en-US" w:eastAsia="zh-CN"/>
              </w:rPr>
            </w:pPr>
            <w:r>
              <w:rPr>
                <w:rFonts w:hint="default" w:ascii="Times New Roman" w:hAnsi="Times New Roman" w:cs="Times New Roman"/>
              </w:rPr>
              <w:t>河道护岸砌护高度计算表</w:t>
            </w:r>
            <w:r>
              <w:rPr>
                <w:rFonts w:hint="default" w:ascii="Times New Roman" w:hAnsi="Times New Roman" w:cs="Times New Roman"/>
                <w:lang w:val="en-US" w:eastAsia="zh-CN"/>
              </w:rPr>
              <w:t>见</w:t>
            </w:r>
            <w:r>
              <w:rPr>
                <w:rFonts w:hint="default" w:ascii="Times New Roman" w:hAnsi="Times New Roman" w:cs="Times New Roman"/>
                <w:b/>
                <w:bCs/>
                <w:lang w:val="en-US" w:eastAsia="zh-CN"/>
              </w:rPr>
              <w:t>表</w:t>
            </w:r>
            <w:r>
              <w:rPr>
                <w:rFonts w:hint="eastAsia" w:ascii="Times New Roman" w:hAnsi="Times New Roman" w:cs="Times New Roman"/>
                <w:b/>
                <w:bCs/>
                <w:lang w:val="en-US" w:eastAsia="zh-CN"/>
              </w:rPr>
              <w:t>6</w:t>
            </w:r>
            <w:r>
              <w:rPr>
                <w:rFonts w:hint="default" w:ascii="Times New Roman" w:hAnsi="Times New Roman" w:cs="Times New Roman"/>
                <w:lang w:val="en-US" w:eastAsia="zh-CN"/>
              </w:rPr>
              <w:t>。</w:t>
            </w:r>
          </w:p>
          <w:p>
            <w:pPr>
              <w:pStyle w:val="24"/>
              <w:keepNext w:val="0"/>
              <w:keepLines w:val="0"/>
              <w:suppressLineNumbers w:val="0"/>
              <w:spacing w:before="0" w:beforeAutospacing="0" w:after="0" w:afterAutospacing="0"/>
              <w:ind w:left="0" w:right="0"/>
              <w:jc w:val="center"/>
              <w:rPr>
                <w:rFonts w:hint="default" w:ascii="Times New Roman" w:hAnsi="Times New Roman" w:eastAsia="黑体" w:cs="Times New Roman"/>
              </w:rPr>
            </w:pPr>
            <w:r>
              <w:rPr>
                <w:rFonts w:hint="default" w:ascii="Times New Roman" w:hAnsi="Times New Roman" w:eastAsia="黑体" w:cs="Times New Roman"/>
                <w:lang w:val="en-US" w:eastAsia="zh-CN"/>
              </w:rPr>
              <w:t>表</w:t>
            </w:r>
            <w:r>
              <w:rPr>
                <w:rFonts w:hint="eastAsia" w:ascii="Times New Roman" w:hAnsi="Times New Roman" w:eastAsia="黑体" w:cs="Times New Roman"/>
                <w:lang w:val="en-US" w:eastAsia="zh-CN"/>
              </w:rPr>
              <w:t>6</w:t>
            </w:r>
            <w:r>
              <w:rPr>
                <w:rFonts w:hint="default" w:ascii="Times New Roman" w:hAnsi="Times New Roman" w:eastAsia="黑体" w:cs="Times New Roman"/>
                <w:lang w:val="en-US" w:eastAsia="zh-CN"/>
              </w:rPr>
              <w:t xml:space="preserve">  </w:t>
            </w:r>
            <w:r>
              <w:rPr>
                <w:rFonts w:hint="default" w:ascii="Times New Roman" w:hAnsi="Times New Roman" w:eastAsia="黑体" w:cs="Times New Roman"/>
              </w:rPr>
              <w:t>河道护岸砌护高度计算表</w:t>
            </w:r>
          </w:p>
          <w:tbl>
            <w:tblPr>
              <w:tblStyle w:val="19"/>
              <w:tblW w:w="8164"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86"/>
              <w:gridCol w:w="1326"/>
              <w:gridCol w:w="1027"/>
              <w:gridCol w:w="785"/>
              <w:gridCol w:w="1085"/>
              <w:gridCol w:w="957"/>
              <w:gridCol w:w="946"/>
              <w:gridCol w:w="95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8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护砌名称</w:t>
                  </w:r>
                </w:p>
              </w:tc>
              <w:tc>
                <w:tcPr>
                  <w:tcW w:w="132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工程位置桩</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号（km+m）</w:t>
                  </w:r>
                </w:p>
              </w:tc>
              <w:tc>
                <w:tcPr>
                  <w:tcW w:w="102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水位（m）</w:t>
                  </w:r>
                </w:p>
              </w:tc>
              <w:tc>
                <w:tcPr>
                  <w:tcW w:w="78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水深</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（m）</w:t>
                  </w:r>
                </w:p>
              </w:tc>
              <w:tc>
                <w:tcPr>
                  <w:tcW w:w="1085"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岸顶超高</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△H（m）</w:t>
                  </w:r>
                </w:p>
              </w:tc>
              <w:tc>
                <w:tcPr>
                  <w:tcW w:w="95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计算护</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岸高度</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H（m）</w:t>
                  </w:r>
                </w:p>
              </w:tc>
              <w:tc>
                <w:tcPr>
                  <w:tcW w:w="94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确定护</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岸高度</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（m）</w:t>
                  </w:r>
                </w:p>
              </w:tc>
              <w:tc>
                <w:tcPr>
                  <w:tcW w:w="952"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护岸顶</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高程</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8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同土线白</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石头沟护</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岸</w:t>
                  </w:r>
                </w:p>
              </w:tc>
              <w:tc>
                <w:tcPr>
                  <w:tcW w:w="132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白石头沟</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3+315～</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3+585</w:t>
                  </w:r>
                </w:p>
              </w:tc>
              <w:tc>
                <w:tcPr>
                  <w:tcW w:w="102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1349.46 ～</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1348.58</w:t>
                  </w:r>
                </w:p>
              </w:tc>
              <w:tc>
                <w:tcPr>
                  <w:tcW w:w="785"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1.45</w:t>
                  </w:r>
                </w:p>
              </w:tc>
              <w:tc>
                <w:tcPr>
                  <w:tcW w:w="1085"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0.5</w:t>
                  </w:r>
                </w:p>
              </w:tc>
              <w:tc>
                <w:tcPr>
                  <w:tcW w:w="95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1.95</w:t>
                  </w:r>
                </w:p>
              </w:tc>
              <w:tc>
                <w:tcPr>
                  <w:tcW w:w="94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2.5</w:t>
                  </w:r>
                </w:p>
              </w:tc>
              <w:tc>
                <w:tcPr>
                  <w:tcW w:w="952"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1350.51 ～</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1349.63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8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李石线白</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石头沟护</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岸</w:t>
                  </w:r>
                </w:p>
              </w:tc>
              <w:tc>
                <w:tcPr>
                  <w:tcW w:w="132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白石头沟</w:t>
                  </w:r>
                </w:p>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6+800</w:t>
                  </w:r>
                </w:p>
              </w:tc>
              <w:tc>
                <w:tcPr>
                  <w:tcW w:w="102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1308.37</w:t>
                  </w:r>
                </w:p>
              </w:tc>
              <w:tc>
                <w:tcPr>
                  <w:tcW w:w="785"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1.7</w:t>
                  </w:r>
                </w:p>
              </w:tc>
              <w:tc>
                <w:tcPr>
                  <w:tcW w:w="1085"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0.5</w:t>
                  </w:r>
                </w:p>
              </w:tc>
              <w:tc>
                <w:tcPr>
                  <w:tcW w:w="957"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2.2</w:t>
                  </w:r>
                </w:p>
              </w:tc>
              <w:tc>
                <w:tcPr>
                  <w:tcW w:w="946"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2.5</w:t>
                  </w:r>
                </w:p>
              </w:tc>
              <w:tc>
                <w:tcPr>
                  <w:tcW w:w="952" w:type="dxa"/>
                  <w:vAlign w:val="center"/>
                </w:tcPr>
                <w:p>
                  <w:pPr>
                    <w:pStyle w:val="24"/>
                    <w:keepNext w:val="0"/>
                    <w:keepLines w:val="0"/>
                    <w:suppressLineNumbers w:val="0"/>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1309.17</w:t>
                  </w:r>
                </w:p>
              </w:tc>
            </w:tr>
          </w:tbl>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⑤岸坡基础冲刷深度</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经计算护岸冲刷深度0.68-0.92m，确定护岸基础深度1.5m。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94" w:hRule="atLeast"/>
          <w:jc w:val="center"/>
        </w:trPr>
        <w:tc>
          <w:tcPr>
            <w:tcW w:w="71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总平面及现场布置</w:t>
            </w:r>
          </w:p>
        </w:tc>
        <w:tc>
          <w:tcPr>
            <w:tcW w:w="8380" w:type="dxa"/>
            <w:vAlign w:val="center"/>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sz w:val="24"/>
              </w:rPr>
            </w:pPr>
            <w:r>
              <w:rPr>
                <w:rFonts w:hint="default" w:ascii="Times New Roman" w:hAnsi="Times New Roman" w:cs="Times New Roman"/>
                <w:b/>
                <w:bCs/>
                <w:sz w:val="24"/>
              </w:rPr>
              <w:t>1、工程总体布局</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4"/>
              </w:rPr>
            </w:pPr>
            <w:r>
              <w:rPr>
                <w:rFonts w:hint="default" w:ascii="Times New Roman" w:hAnsi="Times New Roman" w:cs="Times New Roman"/>
                <w:b/>
                <w:bCs/>
                <w:sz w:val="24"/>
                <w:szCs w:val="24"/>
              </w:rPr>
              <w:t>（1）工程总体布局</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防洪工程的总体布局是：建立标准适度、功能合理的防涝排水工程，解决河西镇上河湾村六社、七社、养殖场现状存在的庄点内涝问题。力求达到：标准内暴雨产生的内涝能够及时排出，消除危害，将危害程度尽量降低。</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bCs/>
                <w:sz w:val="24"/>
              </w:rPr>
            </w:pPr>
            <w:r>
              <w:rPr>
                <w:rFonts w:hint="default" w:ascii="Times New Roman" w:hAnsi="Times New Roman" w:cs="Times New Roman"/>
                <w:b/>
                <w:bCs/>
                <w:sz w:val="24"/>
              </w:rPr>
              <w:t>（2）工程等别和标准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①工程等别及建筑物级别</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工程主要是解决暴雨洪水产生的庄点内涝问题，属于防洪工程的范畴，保护对象为移民村庄点，保护对象重要性为“一般”，依据《水利水电工程等级划分及洪水标准》（SL252-2017），本工程的规模为小（2）型，工程等别为Ⅴ等。据此确定排水边沟及护坡工程主要建筑物级别为5级，次要建筑物级别为5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②洪水标准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本工程设计洪水标准统一取10年一遇，不再考虑校核。</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③抗震设防标准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根据1：400万《中国地震烈度区划图》（GB18306-2015）该地区地震动反应谱特征周期为0.45s，地震动峰值加速度为0.20g，地震基本烈度为Ⅷ度。</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sz w:val="24"/>
                <w:szCs w:val="24"/>
              </w:rPr>
            </w:pPr>
            <w:r>
              <w:rPr>
                <w:rFonts w:hint="default" w:ascii="Times New Roman" w:hAnsi="Times New Roman" w:cs="Times New Roman"/>
                <w:b/>
                <w:bCs/>
                <w:sz w:val="24"/>
                <w:szCs w:val="24"/>
              </w:rPr>
              <w:t>2、施工布置情况</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sz w:val="24"/>
                <w:lang w:val="en-US" w:eastAsia="zh-CN"/>
              </w:rPr>
            </w:pPr>
            <w:r>
              <w:rPr>
                <w:rFonts w:hint="default" w:ascii="Times New Roman" w:hAnsi="Times New Roman" w:cs="Times New Roman"/>
                <w:sz w:val="24"/>
              </w:rPr>
              <w:t>本工程共计建设排水边沟1.294km，新建雨水井2座，铺设φ200mmPVC排水管长55m；翻建李石线西侧白石头沟护岸1座，新建同土线西侧白石头沟沟护岸301m；砼路面加高85.2m</w:t>
            </w:r>
            <w:r>
              <w:rPr>
                <w:rFonts w:hint="default" w:ascii="Times New Roman" w:hAnsi="Times New Roman" w:cs="Times New Roman"/>
                <w:sz w:val="24"/>
                <w:vertAlign w:val="superscript"/>
              </w:rPr>
              <w:t>2</w:t>
            </w:r>
            <w:r>
              <w:rPr>
                <w:rFonts w:hint="default" w:ascii="Times New Roman" w:hAnsi="Times New Roman" w:cs="Times New Roman"/>
                <w:sz w:val="24"/>
                <w:vertAlign w:val="baseline"/>
                <w:lang w:eastAsia="zh-CN"/>
              </w:rPr>
              <w:t>，</w:t>
            </w:r>
            <w:r>
              <w:rPr>
                <w:rFonts w:hint="default" w:ascii="Times New Roman" w:hAnsi="Times New Roman" w:cs="Times New Roman"/>
                <w:sz w:val="24"/>
                <w:lang w:val="en-US" w:eastAsia="zh-CN"/>
              </w:rPr>
              <w:t>总布置图见</w:t>
            </w:r>
            <w:r>
              <w:rPr>
                <w:rFonts w:hint="default" w:ascii="Times New Roman" w:hAnsi="Times New Roman" w:cs="Times New Roman"/>
                <w:b/>
                <w:bCs/>
                <w:sz w:val="24"/>
                <w:lang w:val="en-US" w:eastAsia="zh-CN"/>
              </w:rPr>
              <w:t>图1</w:t>
            </w:r>
            <w:r>
              <w:rPr>
                <w:rFonts w:hint="eastAsia" w:cs="Times New Roman"/>
                <w:b/>
                <w:bCs/>
                <w:sz w:val="24"/>
                <w:lang w:val="en-US" w:eastAsia="zh-CN"/>
              </w:rPr>
              <w:t>3</w:t>
            </w:r>
            <w:r>
              <w:rPr>
                <w:rFonts w:hint="default" w:ascii="Times New Roman" w:hAnsi="Times New Roman" w:cs="Times New Roman"/>
                <w:sz w:val="24"/>
                <w:lang w:val="en-US" w:eastAsia="zh-CN"/>
              </w:rPr>
              <w:t>。</w:t>
            </w:r>
          </w:p>
          <w:p>
            <w:pPr>
              <w:keepNext w:val="0"/>
              <w:keepLines w:val="0"/>
              <w:suppressLineNumbers w:val="0"/>
              <w:adjustRightInd w:val="0"/>
              <w:snapToGrid w:val="0"/>
              <w:spacing w:before="0" w:beforeAutospacing="0" w:after="0" w:afterAutospacing="0" w:line="240" w:lineRule="auto"/>
              <w:ind w:left="0" w:right="0"/>
              <w:jc w:val="both"/>
              <w:rPr>
                <w:rFonts w:hint="default" w:ascii="Times New Roman" w:hAnsi="Times New Roman" w:eastAsia="宋体" w:cs="Times New Roman"/>
                <w:sz w:val="24"/>
                <w:szCs w:val="24"/>
                <w:lang w:val="en-US" w:eastAsia="zh-CN"/>
              </w:rPr>
            </w:pPr>
            <w:r>
              <w:rPr>
                <w:rFonts w:hint="default" w:ascii="Times New Roman" w:hAnsi="Times New Roman" w:cs="Times New Roman"/>
                <w:sz w:val="24"/>
                <w:lang w:val="en-US" w:eastAsia="zh-CN"/>
              </w:rPr>
              <w:t>其中：</w:t>
            </w:r>
          </w:p>
          <w:p>
            <w:pPr>
              <w:keepNext w:val="0"/>
              <w:keepLines w:val="0"/>
              <w:suppressLineNumbers w:val="0"/>
              <w:adjustRightInd w:val="0"/>
              <w:snapToGrid w:val="0"/>
              <w:spacing w:before="0" w:beforeAutospacing="0" w:after="0" w:afterAutospacing="0" w:line="360" w:lineRule="auto"/>
              <w:ind w:left="0" w:right="0" w:firstLine="240" w:firstLineChars="100"/>
              <w:jc w:val="left"/>
              <w:rPr>
                <w:rFonts w:hint="default" w:ascii="Times New Roman" w:hAnsi="Times New Roman" w:eastAsia="宋体" w:cs="Times New Roman"/>
                <w:lang w:eastAsia="zh-CN"/>
              </w:rPr>
            </w:pPr>
            <w:r>
              <w:rPr>
                <w:rFonts w:hint="default" w:ascii="Times New Roman" w:hAnsi="Times New Roman" w:cs="Times New Roman"/>
                <w:sz w:val="24"/>
                <w:szCs w:val="24"/>
              </w:rPr>
              <w:t>（1）上河湾村六社内涝点：</w:t>
            </w:r>
            <w:r>
              <w:rPr>
                <w:rFonts w:hint="default" w:ascii="Times New Roman" w:hAnsi="Times New Roman" w:cs="Times New Roman"/>
                <w:sz w:val="24"/>
              </w:rPr>
              <w:t>上河湾村六社现有内涝点8处，均位于上（河湾）菊（花台）路东侧，沿内涝点巷道新建路边沟，3#排水边沟布置长度172m、2#排水边沟布置长度172m，1#排水边沟长310m向东布设至庄点道路向南连接 2#、3#排水边沟。4#排水边沟布置长度170m，由北向南布置；5#排水边沟布置长度240m，6#排水边沟布置长度230m，连接4#排水边沟。排水边沟末端修建两座雨水井并连接55m长PVC排水管。</w:t>
            </w:r>
            <w:r>
              <w:rPr>
                <w:rFonts w:hint="default" w:ascii="Times New Roman" w:hAnsi="Times New Roman" w:cs="Times New Roman"/>
                <w:sz w:val="24"/>
                <w:szCs w:val="24"/>
              </w:rPr>
              <w:t>工程布置采用沿内涝点巷道新建路边沟疏导降雨径流至东侧农田，1#排水边沟向东布设至庄点道路向南连接2#、3#排水边沟将雨水排入雨水井后通过PVC排水管排入农田</w:t>
            </w:r>
            <w:r>
              <w:rPr>
                <w:rFonts w:hint="eastAsia" w:cs="Times New Roman"/>
                <w:sz w:val="24"/>
                <w:szCs w:val="24"/>
                <w:lang w:eastAsia="zh-CN"/>
              </w:rPr>
              <w:t>。</w:t>
            </w:r>
            <w:r>
              <w:rPr>
                <w:rFonts w:hint="default" w:ascii="Times New Roman" w:hAnsi="Times New Roman" w:cs="Times New Roman"/>
                <w:sz w:val="24"/>
                <w:szCs w:val="24"/>
              </w:rPr>
              <w:t>4#排水边沟由北向南布置；5#排水边沟、6#排水边沟连接4#排水边沟将雨水排入雨水井后通过PVC排水管排入农田。</w:t>
            </w:r>
            <w:r>
              <w:rPr>
                <w:rFonts w:hint="default" w:ascii="Times New Roman" w:hAnsi="Times New Roman" w:cs="Times New Roman"/>
                <w:sz w:val="24"/>
              </w:rPr>
              <w:t>上河湾</w:t>
            </w:r>
            <w:r>
              <w:rPr>
                <w:rFonts w:hint="eastAsia" w:cs="Times New Roman"/>
                <w:sz w:val="24"/>
                <w:lang w:val="en-US" w:eastAsia="zh-CN"/>
              </w:rPr>
              <w:t>村</w:t>
            </w:r>
            <w:r>
              <w:rPr>
                <w:rFonts w:hint="default" w:ascii="Times New Roman" w:hAnsi="Times New Roman" w:cs="Times New Roman"/>
                <w:sz w:val="24"/>
              </w:rPr>
              <w:t>六社1</w:t>
            </w:r>
            <w:r>
              <w:rPr>
                <w:rFonts w:hint="default" w:ascii="Times New Roman" w:hAnsi="Times New Roman" w:cs="Times New Roman"/>
                <w:sz w:val="24"/>
                <w:lang w:val="en-US" w:eastAsia="zh-CN"/>
              </w:rPr>
              <w:t>#</w:t>
            </w:r>
            <w:r>
              <w:rPr>
                <w:rFonts w:hint="default" w:ascii="Times New Roman" w:hAnsi="Times New Roman" w:eastAsia="宋体" w:cs="Times New Roman"/>
                <w:sz w:val="24"/>
                <w:lang w:val="en-US" w:eastAsia="zh-CN"/>
              </w:rPr>
              <w:t>-</w:t>
            </w:r>
            <w:r>
              <w:rPr>
                <w:rFonts w:hint="default" w:ascii="Times New Roman" w:hAnsi="Times New Roman" w:cs="Times New Roman"/>
                <w:sz w:val="24"/>
              </w:rPr>
              <w:t>3#</w:t>
            </w:r>
            <w:r>
              <w:rPr>
                <w:rFonts w:hint="default" w:ascii="Times New Roman" w:hAnsi="Times New Roman" w:cs="Times New Roman"/>
                <w:sz w:val="24"/>
                <w:lang w:val="en-US" w:eastAsia="zh-CN"/>
              </w:rPr>
              <w:t>内涝点排水规划</w:t>
            </w:r>
            <w:r>
              <w:rPr>
                <w:rFonts w:hint="default" w:ascii="Times New Roman" w:hAnsi="Times New Roman" w:cs="Times New Roman"/>
                <w:sz w:val="24"/>
              </w:rPr>
              <w:t>图</w:t>
            </w:r>
            <w:r>
              <w:rPr>
                <w:rFonts w:hint="default" w:ascii="Times New Roman" w:hAnsi="Times New Roman" w:cs="Times New Roman"/>
                <w:sz w:val="24"/>
                <w:lang w:eastAsia="zh-CN"/>
              </w:rPr>
              <w:t>、上河湾</w:t>
            </w:r>
            <w:r>
              <w:rPr>
                <w:rFonts w:hint="eastAsia" w:cs="Times New Roman"/>
                <w:sz w:val="24"/>
                <w:lang w:val="en-US" w:eastAsia="zh-CN"/>
              </w:rPr>
              <w:t>村</w:t>
            </w:r>
            <w:r>
              <w:rPr>
                <w:rFonts w:hint="default" w:ascii="Times New Roman" w:hAnsi="Times New Roman" w:cs="Times New Roman"/>
                <w:sz w:val="24"/>
                <w:lang w:eastAsia="zh-CN"/>
              </w:rPr>
              <w:t>六社4</w:t>
            </w:r>
            <w:r>
              <w:rPr>
                <w:rFonts w:hint="default" w:ascii="Times New Roman" w:hAnsi="Times New Roman" w:cs="Times New Roman"/>
                <w:sz w:val="24"/>
                <w:lang w:val="en-US" w:eastAsia="zh-CN"/>
              </w:rPr>
              <w:t>#</w:t>
            </w:r>
            <w:r>
              <w:rPr>
                <w:rFonts w:hint="default" w:ascii="Times New Roman" w:hAnsi="Times New Roman" w:eastAsia="宋体" w:cs="Times New Roman"/>
                <w:sz w:val="24"/>
                <w:lang w:eastAsia="zh-CN"/>
              </w:rPr>
              <w:t>-</w:t>
            </w:r>
            <w:r>
              <w:rPr>
                <w:rFonts w:hint="default" w:ascii="Times New Roman" w:hAnsi="Times New Roman" w:cs="Times New Roman"/>
                <w:sz w:val="24"/>
                <w:lang w:eastAsia="zh-CN"/>
              </w:rPr>
              <w:t>6#</w:t>
            </w:r>
            <w:r>
              <w:rPr>
                <w:rFonts w:hint="default" w:ascii="Times New Roman" w:hAnsi="Times New Roman" w:cs="Times New Roman"/>
                <w:sz w:val="24"/>
                <w:lang w:val="en-US" w:eastAsia="zh-CN"/>
              </w:rPr>
              <w:t>内涝点排水规划</w:t>
            </w:r>
            <w:r>
              <w:rPr>
                <w:rFonts w:hint="default" w:ascii="Times New Roman" w:hAnsi="Times New Roman" w:cs="Times New Roman"/>
                <w:sz w:val="24"/>
              </w:rPr>
              <w:t>图</w:t>
            </w:r>
            <w:r>
              <w:rPr>
                <w:rFonts w:hint="default" w:ascii="Times New Roman" w:hAnsi="Times New Roman" w:cs="Times New Roman"/>
                <w:sz w:val="24"/>
                <w:lang w:val="en-US" w:eastAsia="zh-CN"/>
              </w:rPr>
              <w:t>见</w:t>
            </w:r>
            <w:r>
              <w:rPr>
                <w:rFonts w:hint="default" w:ascii="Times New Roman" w:hAnsi="Times New Roman" w:cs="Times New Roman"/>
                <w:b/>
                <w:bCs/>
                <w:sz w:val="24"/>
                <w:lang w:val="en-US" w:eastAsia="zh-CN"/>
              </w:rPr>
              <w:t>图1</w:t>
            </w:r>
            <w:r>
              <w:rPr>
                <w:rFonts w:hint="eastAsia" w:cs="Times New Roman"/>
                <w:b/>
                <w:bCs/>
                <w:sz w:val="24"/>
                <w:lang w:val="en-US" w:eastAsia="zh-CN"/>
              </w:rPr>
              <w:t>4</w:t>
            </w:r>
            <w:r>
              <w:rPr>
                <w:rFonts w:hint="default" w:ascii="Times New Roman" w:hAnsi="Times New Roman" w:cs="Times New Roman"/>
                <w:b/>
                <w:bCs/>
                <w:sz w:val="24"/>
                <w:lang w:val="en-US" w:eastAsia="zh-CN"/>
              </w:rPr>
              <w:t>、图1</w:t>
            </w:r>
            <w:r>
              <w:rPr>
                <w:rFonts w:hint="eastAsia" w:cs="Times New Roman"/>
                <w:b/>
                <w:bCs/>
                <w:sz w:val="24"/>
                <w:lang w:val="en-US" w:eastAsia="zh-CN"/>
              </w:rPr>
              <w:t>5</w:t>
            </w:r>
            <w:r>
              <w:rPr>
                <w:rFonts w:hint="default" w:ascii="Times New Roman" w:hAnsi="Times New Roman" w:cs="Times New Roman"/>
                <w:sz w:val="24"/>
                <w:lang w:val="en-US" w:eastAsia="zh-CN"/>
              </w:rPr>
              <w:t>。</w:t>
            </w:r>
          </w:p>
          <w:p>
            <w:pPr>
              <w:keepNext w:val="0"/>
              <w:keepLines w:val="0"/>
              <w:suppressLineNumbers w:val="0"/>
              <w:adjustRightInd w:val="0"/>
              <w:snapToGrid w:val="0"/>
              <w:spacing w:before="0" w:beforeAutospacing="0" w:after="0" w:afterAutospacing="0" w:line="360" w:lineRule="auto"/>
              <w:ind w:left="0" w:right="0" w:firstLine="240" w:firstLineChars="100"/>
              <w:jc w:val="left"/>
              <w:rPr>
                <w:rFonts w:hint="default" w:ascii="Times New Roman" w:hAnsi="Times New Roman" w:cs="Times New Roman"/>
                <w:sz w:val="24"/>
                <w:lang w:val="en-US" w:eastAsia="zh-CN"/>
              </w:rPr>
            </w:pPr>
            <w:r>
              <w:rPr>
                <w:rFonts w:hint="default" w:ascii="Times New Roman" w:hAnsi="Times New Roman" w:cs="Times New Roman"/>
                <w:sz w:val="24"/>
                <w:szCs w:val="24"/>
              </w:rPr>
              <w:t>（2）上河湾村七社现有内涝点：</w:t>
            </w:r>
            <w:r>
              <w:rPr>
                <w:rFonts w:hint="default" w:ascii="Times New Roman" w:hAnsi="Times New Roman" w:cs="Times New Roman"/>
                <w:sz w:val="24"/>
              </w:rPr>
              <w:t>上河湾村七社现有内涝点1处，位于七社庄点最南侧，巷道内道路凹陷长度为30m</w:t>
            </w:r>
            <w:r>
              <w:rPr>
                <w:rFonts w:hint="default" w:ascii="Times New Roman" w:hAnsi="Times New Roman" w:cs="Times New Roman"/>
                <w:sz w:val="24"/>
                <w:lang w:eastAsia="zh-CN"/>
              </w:rPr>
              <w:t>。</w:t>
            </w:r>
            <w:r>
              <w:rPr>
                <w:rFonts w:hint="default" w:ascii="Times New Roman" w:hAnsi="Times New Roman" w:cs="Times New Roman"/>
                <w:sz w:val="24"/>
                <w:szCs w:val="24"/>
              </w:rPr>
              <w:t>工程布置采用再原道路基础上重新加高砼路面</w:t>
            </w:r>
            <w:r>
              <w:rPr>
                <w:rFonts w:hint="default" w:ascii="Times New Roman" w:hAnsi="Times New Roman" w:cs="Times New Roman"/>
                <w:sz w:val="24"/>
                <w:szCs w:val="24"/>
                <w:lang w:eastAsia="zh-CN"/>
              </w:rPr>
              <w:t>，</w:t>
            </w:r>
            <w:r>
              <w:rPr>
                <w:rFonts w:hint="default" w:ascii="Times New Roman" w:hAnsi="Times New Roman" w:cs="Times New Roman"/>
                <w:sz w:val="24"/>
              </w:rPr>
              <w:t>面积为85.2m</w:t>
            </w:r>
            <w:r>
              <w:rPr>
                <w:rFonts w:hint="default" w:ascii="Times New Roman" w:hAnsi="Times New Roman" w:cs="Times New Roman"/>
                <w:sz w:val="24"/>
                <w:vertAlign w:val="superscript"/>
              </w:rPr>
              <w:t>2</w:t>
            </w:r>
            <w:r>
              <w:rPr>
                <w:rFonts w:hint="default" w:ascii="Times New Roman" w:hAnsi="Times New Roman" w:cs="Times New Roman"/>
                <w:sz w:val="24"/>
                <w:vertAlign w:val="superscript"/>
                <w:lang w:eastAsia="zh-CN"/>
              </w:rPr>
              <w:t>，</w:t>
            </w:r>
            <w:r>
              <w:rPr>
                <w:rFonts w:hint="default" w:ascii="Times New Roman" w:hAnsi="Times New Roman" w:cs="Times New Roman"/>
                <w:sz w:val="24"/>
                <w:szCs w:val="24"/>
              </w:rPr>
              <w:t>让雨水延路面直接排入农田。</w:t>
            </w:r>
            <w:r>
              <w:rPr>
                <w:rFonts w:hint="default" w:ascii="Times New Roman" w:hAnsi="Times New Roman" w:cs="Times New Roman"/>
                <w:sz w:val="24"/>
              </w:rPr>
              <w:t>上河湾</w:t>
            </w:r>
            <w:r>
              <w:rPr>
                <w:rFonts w:hint="eastAsia" w:cs="Times New Roman"/>
                <w:sz w:val="24"/>
                <w:lang w:val="en-US" w:eastAsia="zh-CN"/>
              </w:rPr>
              <w:t>村</w:t>
            </w:r>
            <w:r>
              <w:rPr>
                <w:rFonts w:hint="default" w:ascii="Times New Roman" w:hAnsi="Times New Roman" w:cs="Times New Roman"/>
                <w:sz w:val="24"/>
              </w:rPr>
              <w:t>七社</w:t>
            </w:r>
            <w:r>
              <w:rPr>
                <w:rFonts w:hint="default" w:ascii="Times New Roman" w:hAnsi="Times New Roman" w:cs="Times New Roman"/>
                <w:sz w:val="24"/>
                <w:lang w:val="en-US" w:eastAsia="zh-CN"/>
              </w:rPr>
              <w:t>内涝点排水规划图见</w:t>
            </w:r>
            <w:r>
              <w:rPr>
                <w:rFonts w:hint="default" w:ascii="Times New Roman" w:hAnsi="Times New Roman" w:cs="Times New Roman"/>
                <w:b/>
                <w:bCs/>
                <w:sz w:val="24"/>
                <w:lang w:val="en-US" w:eastAsia="zh-CN"/>
              </w:rPr>
              <w:t>图1</w:t>
            </w:r>
            <w:r>
              <w:rPr>
                <w:rFonts w:hint="eastAsia" w:cs="Times New Roman"/>
                <w:b/>
                <w:bCs/>
                <w:sz w:val="24"/>
                <w:lang w:val="en-US" w:eastAsia="zh-CN"/>
              </w:rPr>
              <w:t>6</w:t>
            </w:r>
            <w:r>
              <w:rPr>
                <w:rFonts w:hint="default" w:ascii="Times New Roman" w:hAnsi="Times New Roman" w:cs="Times New Roman"/>
                <w:sz w:val="24"/>
                <w:lang w:val="en-US" w:eastAsia="zh-CN"/>
              </w:rPr>
              <w:t>。</w:t>
            </w:r>
          </w:p>
          <w:p>
            <w:pPr>
              <w:keepNext w:val="0"/>
              <w:keepLines w:val="0"/>
              <w:suppressLineNumbers w:val="0"/>
              <w:adjustRightInd w:val="0"/>
              <w:snapToGrid w:val="0"/>
              <w:spacing w:before="0" w:beforeAutospacing="0" w:after="0" w:afterAutospacing="0" w:line="360" w:lineRule="auto"/>
              <w:ind w:left="0" w:leftChars="0" w:right="0" w:firstLine="240" w:firstLineChars="100"/>
              <w:jc w:val="left"/>
              <w:rPr>
                <w:rFonts w:hint="default" w:ascii="Times New Roman" w:hAnsi="Times New Roman" w:eastAsia="宋体" w:cs="Times New Roman"/>
                <w:lang w:eastAsia="zh-CN"/>
              </w:rPr>
            </w:pPr>
            <w:r>
              <w:rPr>
                <w:rFonts w:hint="default" w:ascii="Times New Roman" w:hAnsi="Times New Roman" w:cs="Times New Roman"/>
                <w:sz w:val="24"/>
                <w:szCs w:val="24"/>
              </w:rPr>
              <w:t>（3）上河湾村七社白石头沟（李石线）护岸：</w:t>
            </w:r>
            <w:r>
              <w:rPr>
                <w:rFonts w:hint="default" w:ascii="Times New Roman" w:hAnsi="Times New Roman" w:cs="Times New Roman"/>
                <w:sz w:val="24"/>
              </w:rPr>
              <w:t>上河湾沟养殖场东侧紧靠李石线，李石线过水路面上游白石头沟道左、右岸已格宾护坡，</w:t>
            </w:r>
            <w:r>
              <w:rPr>
                <w:rFonts w:hint="default" w:ascii="Times New Roman" w:hAnsi="Times New Roman" w:cs="Times New Roman"/>
                <w:sz w:val="24"/>
                <w:szCs w:val="24"/>
              </w:rPr>
              <w:t>工程规划翻建现有李石线与白石头沟交汇处左岸护坡，将护坡向北侧延伸</w:t>
            </w:r>
            <w:r>
              <w:rPr>
                <w:rFonts w:hint="default" w:ascii="Times New Roman" w:hAnsi="Times New Roman" w:cs="Times New Roman"/>
                <w:sz w:val="24"/>
                <w:szCs w:val="24"/>
                <w:lang w:val="en-US" w:eastAsia="zh-CN"/>
              </w:rPr>
              <w:t>35m，</w:t>
            </w:r>
            <w:r>
              <w:rPr>
                <w:rFonts w:hint="default" w:ascii="Times New Roman" w:hAnsi="Times New Roman" w:cs="Times New Roman"/>
                <w:sz w:val="24"/>
                <w:szCs w:val="24"/>
              </w:rPr>
              <w:t>将洪水向过水路面疏导。</w:t>
            </w:r>
            <w:r>
              <w:rPr>
                <w:rFonts w:hint="default" w:ascii="Times New Roman" w:hAnsi="Times New Roman" w:cs="Times New Roman"/>
                <w:sz w:val="24"/>
              </w:rPr>
              <w:t xml:space="preserve"> </w:t>
            </w:r>
            <w:r>
              <w:rPr>
                <w:rFonts w:hint="default" w:ascii="Times New Roman" w:hAnsi="Times New Roman" w:cs="Times New Roman"/>
                <w:sz w:val="24"/>
                <w:lang w:val="en-US" w:eastAsia="zh-CN"/>
              </w:rPr>
              <w:t>白石头沟李石线上游沟道护岸规划图见</w:t>
            </w:r>
            <w:r>
              <w:rPr>
                <w:rFonts w:hint="default" w:ascii="Times New Roman" w:hAnsi="Times New Roman" w:cs="Times New Roman"/>
                <w:b/>
                <w:bCs/>
                <w:sz w:val="24"/>
              </w:rPr>
              <w:t>图</w:t>
            </w:r>
            <w:r>
              <w:rPr>
                <w:rFonts w:hint="default" w:ascii="Times New Roman" w:hAnsi="Times New Roman" w:cs="Times New Roman"/>
                <w:b/>
                <w:bCs/>
                <w:sz w:val="24"/>
                <w:lang w:val="en-US" w:eastAsia="zh-CN"/>
              </w:rPr>
              <w:t>1</w:t>
            </w:r>
            <w:r>
              <w:rPr>
                <w:rFonts w:hint="eastAsia" w:cs="Times New Roman"/>
                <w:b/>
                <w:bCs/>
                <w:sz w:val="24"/>
                <w:lang w:val="en-US" w:eastAsia="zh-CN"/>
              </w:rPr>
              <w:t>7</w:t>
            </w:r>
            <w:r>
              <w:rPr>
                <w:rFonts w:hint="default" w:ascii="Times New Roman" w:hAnsi="Times New Roman" w:cs="Times New Roman"/>
                <w:sz w:val="24"/>
                <w:lang w:val="en-US" w:eastAsia="zh-CN"/>
              </w:rPr>
              <w:t>。</w:t>
            </w:r>
          </w:p>
          <w:p>
            <w:pPr>
              <w:keepNext w:val="0"/>
              <w:keepLines w:val="0"/>
              <w:suppressLineNumbers w:val="0"/>
              <w:adjustRightInd w:val="0"/>
              <w:snapToGrid w:val="0"/>
              <w:spacing w:before="0" w:beforeAutospacing="0" w:after="0" w:afterAutospacing="0" w:line="360" w:lineRule="auto"/>
              <w:ind w:left="0" w:leftChars="0" w:right="0" w:firstLine="240" w:firstLineChars="100"/>
              <w:jc w:val="left"/>
              <w:rPr>
                <w:rFonts w:hint="default" w:ascii="Times New Roman" w:hAnsi="Times New Roman" w:eastAsia="宋体" w:cs="Times New Roman"/>
                <w:lang w:eastAsia="zh-CN"/>
              </w:rPr>
            </w:pPr>
            <w:r>
              <w:rPr>
                <w:rFonts w:hint="default" w:ascii="Times New Roman" w:hAnsi="Times New Roman" w:cs="Times New Roman"/>
                <w:sz w:val="24"/>
                <w:szCs w:val="24"/>
              </w:rPr>
              <w:t>（4）七社（上河湾村养殖场）内涝点：</w:t>
            </w:r>
            <w:r>
              <w:rPr>
                <w:rFonts w:hint="default" w:ascii="Times New Roman" w:hAnsi="Times New Roman" w:cs="Times New Roman"/>
                <w:sz w:val="24"/>
              </w:rPr>
              <w:t>上河湾村养殖场位于同土路穿白石头沟过水路面西侧，养殖场占地面积126亩，内涝点位于养殖场中部，</w:t>
            </w:r>
            <w:r>
              <w:rPr>
                <w:rFonts w:hint="default" w:ascii="Times New Roman" w:hAnsi="Times New Roman" w:cs="Times New Roman"/>
                <w:sz w:val="24"/>
                <w:szCs w:val="24"/>
              </w:rPr>
              <w:t>工程布置采用沿内涝点南北向硬化路东侧新建排水边沟</w:t>
            </w:r>
            <w:r>
              <w:rPr>
                <w:rFonts w:hint="default" w:ascii="Times New Roman" w:hAnsi="Times New Roman" w:cs="Times New Roman"/>
                <w:sz w:val="24"/>
                <w:szCs w:val="24"/>
                <w:lang w:eastAsia="zh-CN"/>
              </w:rPr>
              <w:t>，</w:t>
            </w:r>
            <w:r>
              <w:rPr>
                <w:rFonts w:hint="default" w:ascii="Times New Roman" w:hAnsi="Times New Roman" w:cs="Times New Roman"/>
                <w:sz w:val="24"/>
              </w:rPr>
              <w:t>长度为60m</w:t>
            </w:r>
            <w:r>
              <w:rPr>
                <w:rFonts w:hint="default" w:ascii="Times New Roman" w:hAnsi="Times New Roman" w:cs="Times New Roman"/>
                <w:sz w:val="24"/>
                <w:lang w:eastAsia="zh-CN"/>
              </w:rPr>
              <w:t>，</w:t>
            </w:r>
            <w:r>
              <w:rPr>
                <w:rFonts w:hint="default" w:ascii="Times New Roman" w:hAnsi="Times New Roman" w:cs="Times New Roman"/>
                <w:sz w:val="24"/>
                <w:szCs w:val="24"/>
              </w:rPr>
              <w:t>疏导降雨径流至东侧白石头沟。</w:t>
            </w:r>
            <w:r>
              <w:rPr>
                <w:rFonts w:hint="default" w:ascii="Times New Roman" w:hAnsi="Times New Roman" w:cs="Times New Roman"/>
                <w:sz w:val="24"/>
                <w:lang w:eastAsia="zh-CN"/>
              </w:rPr>
              <w:t>上河湾村养殖场内涝点排水规划图</w:t>
            </w:r>
            <w:r>
              <w:rPr>
                <w:rFonts w:hint="default" w:ascii="Times New Roman" w:hAnsi="Times New Roman" w:cs="Times New Roman"/>
                <w:sz w:val="24"/>
                <w:lang w:val="en-US" w:eastAsia="zh-CN"/>
              </w:rPr>
              <w:t>见</w:t>
            </w:r>
            <w:r>
              <w:rPr>
                <w:rFonts w:hint="default" w:ascii="Times New Roman" w:hAnsi="Times New Roman" w:cs="Times New Roman"/>
                <w:b/>
                <w:bCs/>
                <w:sz w:val="24"/>
                <w:lang w:val="en-US" w:eastAsia="zh-CN"/>
              </w:rPr>
              <w:t>图1</w:t>
            </w:r>
            <w:r>
              <w:rPr>
                <w:rFonts w:hint="eastAsia" w:cs="Times New Roman"/>
                <w:b/>
                <w:bCs/>
                <w:sz w:val="24"/>
                <w:lang w:val="en-US" w:eastAsia="zh-CN"/>
              </w:rPr>
              <w:t>8</w:t>
            </w:r>
            <w:r>
              <w:rPr>
                <w:rFonts w:hint="default" w:ascii="Times New Roman" w:hAnsi="Times New Roman" w:cs="Times New Roman"/>
                <w:sz w:val="24"/>
                <w:lang w:val="en-US" w:eastAsia="zh-CN"/>
              </w:rPr>
              <w:t>。</w:t>
            </w:r>
          </w:p>
          <w:p>
            <w:pPr>
              <w:keepNext w:val="0"/>
              <w:keepLines w:val="0"/>
              <w:suppressLineNumbers w:val="0"/>
              <w:adjustRightInd w:val="0"/>
              <w:snapToGrid w:val="0"/>
              <w:spacing w:before="0" w:beforeAutospacing="0" w:after="0" w:afterAutospacing="0" w:line="360" w:lineRule="auto"/>
              <w:ind w:left="0" w:leftChars="0" w:right="0" w:firstLine="240" w:firstLineChars="100"/>
              <w:jc w:val="left"/>
              <w:rPr>
                <w:rFonts w:hint="default" w:ascii="Times New Roman" w:hAnsi="Times New Roman" w:eastAsia="宋体" w:cs="Times New Roman"/>
                <w:lang w:eastAsia="zh-CN"/>
              </w:rPr>
            </w:pPr>
            <w:r>
              <w:rPr>
                <w:rFonts w:hint="default" w:ascii="Times New Roman" w:hAnsi="Times New Roman" w:cs="Times New Roman"/>
                <w:sz w:val="24"/>
                <w:szCs w:val="24"/>
              </w:rPr>
              <w:t>（5）上河湾村养殖场白石头沟（同土线）护岸：</w:t>
            </w:r>
            <w:r>
              <w:rPr>
                <w:rFonts w:hint="default" w:ascii="Times New Roman" w:hAnsi="Times New Roman" w:cs="Times New Roman"/>
                <w:sz w:val="24"/>
              </w:rPr>
              <w:t>上河湾沟养殖场东侧紧靠同土线，同土线过水路面上游白石头沟道右岸已格宾护坡，左岸未砌护，</w:t>
            </w:r>
            <w:r>
              <w:rPr>
                <w:rFonts w:hint="default" w:ascii="Times New Roman" w:hAnsi="Times New Roman" w:cs="Times New Roman"/>
                <w:sz w:val="24"/>
                <w:szCs w:val="24"/>
              </w:rPr>
              <w:t>工程规划自三道井沟与白石头沟交汇处左岸布置护坡，</w:t>
            </w:r>
            <w:r>
              <w:rPr>
                <w:rFonts w:hint="default" w:ascii="Times New Roman" w:hAnsi="Times New Roman" w:cs="Times New Roman"/>
                <w:sz w:val="24"/>
              </w:rPr>
              <w:t>长度301m，护坡采用格宾砌护</w:t>
            </w:r>
            <w:r>
              <w:rPr>
                <w:rFonts w:hint="default" w:ascii="Times New Roman" w:hAnsi="Times New Roman" w:cs="Times New Roman"/>
                <w:sz w:val="24"/>
                <w:lang w:eastAsia="zh-CN"/>
              </w:rPr>
              <w:t>，</w:t>
            </w:r>
            <w:r>
              <w:rPr>
                <w:rFonts w:hint="default" w:ascii="Times New Roman" w:hAnsi="Times New Roman" w:cs="Times New Roman"/>
                <w:sz w:val="24"/>
                <w:szCs w:val="24"/>
              </w:rPr>
              <w:t>将洪水流向过水路面疏导，与现状同土路过水路面有效衔接。</w:t>
            </w:r>
            <w:r>
              <w:rPr>
                <w:rFonts w:hint="default" w:ascii="Times New Roman" w:hAnsi="Times New Roman" w:cs="Times New Roman"/>
                <w:sz w:val="24"/>
                <w:szCs w:val="24"/>
                <w:lang w:val="en-US" w:eastAsia="zh-CN"/>
              </w:rPr>
              <w:t>上河湾村</w:t>
            </w:r>
            <w:r>
              <w:rPr>
                <w:rFonts w:hint="default" w:ascii="Times New Roman" w:hAnsi="Times New Roman" w:cs="Times New Roman"/>
                <w:sz w:val="24"/>
                <w:lang w:val="en-US" w:eastAsia="zh-CN"/>
              </w:rPr>
              <w:t>养殖场白石头沟同土线上游沟护岸规划图见</w:t>
            </w:r>
            <w:r>
              <w:rPr>
                <w:rFonts w:hint="default" w:ascii="Times New Roman" w:hAnsi="Times New Roman" w:cs="Times New Roman"/>
                <w:b/>
                <w:bCs/>
                <w:sz w:val="24"/>
                <w:lang w:val="en-US" w:eastAsia="zh-CN"/>
              </w:rPr>
              <w:t>图</w:t>
            </w:r>
            <w:r>
              <w:rPr>
                <w:rFonts w:hint="eastAsia" w:cs="Times New Roman"/>
                <w:b/>
                <w:bCs/>
                <w:sz w:val="24"/>
                <w:lang w:val="en-US" w:eastAsia="zh-CN"/>
              </w:rPr>
              <w:t>19</w:t>
            </w:r>
            <w:r>
              <w:rPr>
                <w:rFonts w:hint="default" w:ascii="Times New Roman" w:hAnsi="Times New Roman" w:cs="Times New Roman"/>
                <w:sz w:val="24"/>
                <w:lang w:val="en-US" w:eastAsia="zh-CN"/>
              </w:rPr>
              <w:t>。</w:t>
            </w:r>
          </w:p>
          <w:p>
            <w:pPr>
              <w:pStyle w:val="24"/>
              <w:keepNext w:val="0"/>
              <w:keepLines w:val="0"/>
              <w:suppressLineNumbers w:val="0"/>
              <w:spacing w:before="0" w:beforeAutospacing="0" w:after="0" w:afterAutospacing="0" w:line="360" w:lineRule="auto"/>
              <w:ind w:left="0" w:right="0" w:firstLine="482" w:firstLineChars="200"/>
              <w:jc w:val="left"/>
              <w:rPr>
                <w:rFonts w:hint="default" w:ascii="Times New Roman" w:hAnsi="Times New Roman" w:cs="Times New Roman"/>
                <w:b/>
                <w:bCs/>
              </w:rPr>
            </w:pPr>
            <w:r>
              <w:rPr>
                <w:rFonts w:hint="default" w:ascii="Times New Roman" w:hAnsi="Times New Roman" w:cs="Times New Roman"/>
                <w:b/>
                <w:bCs/>
                <w:sz w:val="24"/>
                <w:szCs w:val="24"/>
                <w:lang w:val="en-US" w:eastAsia="zh-CN"/>
              </w:rPr>
              <w:t>3、施工占地情况</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rPr>
            </w:pPr>
            <w:r>
              <w:rPr>
                <w:rFonts w:hint="default" w:ascii="Times New Roman" w:hAnsi="Times New Roman" w:cs="Times New Roman"/>
                <w:b/>
                <w:bCs/>
                <w:sz w:val="24"/>
              </w:rPr>
              <w:t>（1）工程永久占地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本工程新增永久占地</w:t>
            </w:r>
            <w:r>
              <w:rPr>
                <w:rFonts w:hint="eastAsia" w:cs="Times New Roman"/>
                <w:sz w:val="24"/>
                <w:lang w:val="en-US" w:eastAsia="zh-CN"/>
              </w:rPr>
              <w:t>5.04</w:t>
            </w:r>
            <w:r>
              <w:rPr>
                <w:rFonts w:hint="default" w:ascii="Times New Roman" w:hAnsi="Times New Roman" w:cs="Times New Roman"/>
                <w:sz w:val="24"/>
              </w:rPr>
              <w:t>亩，</w:t>
            </w:r>
            <w:r>
              <w:rPr>
                <w:rFonts w:hint="eastAsia" w:cs="Times New Roman"/>
                <w:sz w:val="24"/>
                <w:lang w:val="en-US" w:eastAsia="zh-CN"/>
              </w:rPr>
              <w:t>其中</w:t>
            </w:r>
            <w:r>
              <w:rPr>
                <w:rFonts w:hint="default" w:ascii="Times New Roman" w:hAnsi="Times New Roman" w:cs="Times New Roman"/>
                <w:sz w:val="24"/>
              </w:rPr>
              <w:t>上河湾村七社白石头沟（李石线）护岸</w:t>
            </w:r>
            <w:r>
              <w:rPr>
                <w:rFonts w:hint="eastAsia" w:cs="Times New Roman"/>
                <w:sz w:val="24"/>
                <w:lang w:val="en-US" w:eastAsia="zh-CN"/>
              </w:rPr>
              <w:t>工程占地0.53亩</w:t>
            </w:r>
            <w:r>
              <w:rPr>
                <w:rFonts w:hint="default" w:ascii="Times New Roman" w:hAnsi="Times New Roman" w:cs="Times New Roman"/>
                <w:sz w:val="24"/>
              </w:rPr>
              <w:t>，上河湾村养殖场白石头沟（同土线）护岸</w:t>
            </w:r>
            <w:r>
              <w:rPr>
                <w:rFonts w:hint="eastAsia" w:cs="Times New Roman"/>
                <w:sz w:val="24"/>
                <w:lang w:val="en-US" w:eastAsia="zh-CN"/>
              </w:rPr>
              <w:t>工程占地4.51亩</w:t>
            </w:r>
            <w:r>
              <w:rPr>
                <w:rFonts w:hint="eastAsia" w:cs="Times New Roman"/>
                <w:sz w:val="24"/>
                <w:lang w:eastAsia="zh-CN"/>
              </w:rPr>
              <w:t>，</w:t>
            </w:r>
            <w:r>
              <w:rPr>
                <w:rFonts w:hint="eastAsia" w:cs="Times New Roman"/>
                <w:sz w:val="24"/>
                <w:lang w:val="en-US" w:eastAsia="zh-CN"/>
              </w:rPr>
              <w:t>占地类型为荒地</w:t>
            </w:r>
            <w:r>
              <w:rPr>
                <w:rFonts w:hint="default" w:ascii="Times New Roman" w:hAnsi="Times New Roman" w:cs="Times New Roman"/>
                <w:sz w:val="24"/>
              </w:rPr>
              <w:t>。</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4"/>
              </w:rPr>
            </w:pPr>
            <w:r>
              <w:rPr>
                <w:rFonts w:hint="default" w:ascii="Times New Roman" w:hAnsi="Times New Roman" w:cs="Times New Roman"/>
                <w:b/>
                <w:bCs/>
                <w:sz w:val="24"/>
                <w:szCs w:val="24"/>
              </w:rPr>
              <w:t>（2）工程临时占地</w:t>
            </w:r>
          </w:p>
          <w:p>
            <w:pPr>
              <w:pStyle w:val="24"/>
              <w:keepNext w:val="0"/>
              <w:keepLines w:val="0"/>
              <w:suppressLineNumbers w:val="0"/>
              <w:spacing w:before="0" w:beforeAutospacing="0" w:after="0" w:afterAutospacing="0" w:line="360" w:lineRule="auto"/>
              <w:ind w:left="0" w:right="0"/>
              <w:rPr>
                <w:rFonts w:hint="default" w:ascii="Times New Roman" w:hAnsi="Times New Roman" w:eastAsia="宋体" w:cs="Times New Roman"/>
                <w:sz w:val="24"/>
                <w:szCs w:val="24"/>
                <w:lang w:val="en-US" w:eastAsia="zh-CN"/>
              </w:rPr>
            </w:pPr>
            <w:r>
              <w:rPr>
                <w:rFonts w:hint="default" w:ascii="Times New Roman" w:hAnsi="Times New Roman" w:cs="Times New Roman"/>
                <w:b/>
                <w:bCs/>
              </w:rPr>
              <w:t xml:space="preserve">    </w:t>
            </w:r>
            <w:r>
              <w:rPr>
                <w:rFonts w:hint="default" w:ascii="Times New Roman" w:hAnsi="Times New Roman" w:cs="Times New Roman"/>
              </w:rPr>
              <w:t>本工程临时用地</w:t>
            </w:r>
            <w:r>
              <w:rPr>
                <w:rFonts w:hint="eastAsia" w:ascii="Times New Roman" w:hAnsi="Times New Roman" w:cs="Times New Roman"/>
                <w:lang w:val="en-US" w:eastAsia="zh-CN"/>
              </w:rPr>
              <w:t>共9.46亩，其中，上河湾村六社排水边沟工程占地4.05亩，上河湾村七社路面加高及</w:t>
            </w:r>
            <w:r>
              <w:rPr>
                <w:rFonts w:hint="default" w:ascii="Times New Roman" w:hAnsi="Times New Roman" w:cs="Times New Roman"/>
                <w:sz w:val="24"/>
              </w:rPr>
              <w:t>白石头沟（李石线）</w:t>
            </w:r>
            <w:r>
              <w:rPr>
                <w:rFonts w:hint="eastAsia" w:ascii="Times New Roman" w:hAnsi="Times New Roman" w:cs="Times New Roman"/>
                <w:lang w:val="en-US" w:eastAsia="zh-CN"/>
              </w:rPr>
              <w:t>护岸工程占地0.72亩，</w:t>
            </w:r>
            <w:r>
              <w:rPr>
                <w:rFonts w:hint="default" w:ascii="Times New Roman" w:hAnsi="Times New Roman" w:cs="Times New Roman"/>
                <w:sz w:val="24"/>
              </w:rPr>
              <w:t>上河湾村养殖场</w:t>
            </w:r>
            <w:r>
              <w:rPr>
                <w:rFonts w:hint="eastAsia" w:ascii="Times New Roman" w:hAnsi="Times New Roman" w:cs="Times New Roman"/>
                <w:sz w:val="24"/>
                <w:lang w:val="en-US" w:eastAsia="zh-CN"/>
              </w:rPr>
              <w:t>排水边沟及</w:t>
            </w:r>
            <w:r>
              <w:rPr>
                <w:rFonts w:hint="default" w:ascii="Times New Roman" w:hAnsi="Times New Roman" w:cs="Times New Roman"/>
                <w:sz w:val="24"/>
              </w:rPr>
              <w:t>白石头沟（同土线）护岸</w:t>
            </w:r>
            <w:r>
              <w:rPr>
                <w:rFonts w:hint="eastAsia" w:cs="Times New Roman"/>
                <w:sz w:val="24"/>
                <w:lang w:val="en-US" w:eastAsia="zh-CN"/>
              </w:rPr>
              <w:t>工程占地4.69亩。</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92" w:hRule="atLeast"/>
          <w:jc w:val="center"/>
        </w:trPr>
        <w:tc>
          <w:tcPr>
            <w:tcW w:w="71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施工方案</w:t>
            </w:r>
          </w:p>
        </w:tc>
        <w:tc>
          <w:tcPr>
            <w:tcW w:w="8380" w:type="dxa"/>
            <w:vAlign w:val="center"/>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sz w:val="24"/>
                <w:szCs w:val="32"/>
              </w:rPr>
            </w:pPr>
            <w:r>
              <w:rPr>
                <w:rFonts w:hint="default" w:ascii="Times New Roman" w:hAnsi="Times New Roman" w:cs="Times New Roman"/>
                <w:b/>
                <w:bCs/>
                <w:sz w:val="24"/>
                <w:szCs w:val="32"/>
              </w:rPr>
              <w:t>1、主体工程施工</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2"/>
              </w:rPr>
            </w:pPr>
            <w:r>
              <w:rPr>
                <w:rFonts w:hint="default" w:ascii="Times New Roman" w:hAnsi="Times New Roman" w:cs="Times New Roman"/>
                <w:b/>
                <w:bCs/>
                <w:sz w:val="24"/>
                <w:szCs w:val="22"/>
              </w:rPr>
              <w:t>（1）建筑物工程施工</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本工程主要建设内容为砼排水边沟、护岸等。</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①基础开挖</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建筑物基础土方开挖以机械开挖为主，人工开挖为辅，在不具备机械开挖条件的情况下，采用人工开挖；开挖以建筑物基础底面周边向外扩大50cm作为基底开挖面，开挖边坡为1：1。严禁超挖；人工开挖临近设计高程时，应留出0.2-0.3m的保护层暂不开挖，待上部结构施工时，再挖除；开挖施工时，应先作好排水工作，然后再分层下挖；开挖机械根据施工条件、工程进度和工作面的参数等实际情况选择主要机械，然后根据主要机械的生产能力和性能选用配套机械。</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②土方回填</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rPr>
              <w:t>沟堤及建筑物基础周围和涵洞顶部等回填土均要求分层填筑并碾压或夯实，填土碾压时，要注意建筑物周围或两侧均衡填料压实，以免对其产生过大的侧向压力，影响安全；含砾和不含砾的黏性土的填筑标准应以压实度和最优含水率±3%作为控制指标，每层铺土厚度不超过0.25m，其压实度要求≥0.90。</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32"/>
              </w:rPr>
            </w:pPr>
            <w:r>
              <w:rPr>
                <w:rFonts w:hint="default" w:ascii="Times New Roman" w:hAnsi="Times New Roman" w:cs="Times New Roman"/>
                <w:b/>
                <w:bCs/>
                <w:sz w:val="24"/>
                <w:szCs w:val="32"/>
              </w:rPr>
              <w:t>（2）砼工程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混凝土浇筑前应详细检查有关准备工作：地基处理情况，模板、钢筋、预埋件等是否符合设计要求，混凝土原材料，如水泥、粗细骨料、水等是否符合国家的现行标准规定及设计要求，并应做好记录。混凝土的拌和时间应根据塌落度确定，一般不宜少于1.5min，从拌成到开始浇筑，根据经验，以不超过45min 为宜。混凝土温度一般控制范围在15℃左右，夏季施工时，当外界气温高于30℃时，要求砼出仓温度低于15℃。砼浇筑期间，如表面泌水较多，应及时采取减少泌水的措施，仓内的泌水必须及时排除。严禁在模板上开孔赶水，带走灰浆。施工时应严格按操作规程，以防出现麻面、蜂窝、露筋、空洞、裂缝等。混凝土浇筑时，如遇降雨但又无防雨措施，则应停止浇筑。混凝土的养护及拆模期限都要严格按照有关规范规程执行。</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水泥标号应与砼设计强度相适应，不应低于425号。</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砼浇筑均要求采用机械振捣。对于钢筋砼结构，砼保护层厚度应严格按设计要求控制，不得随意加大或减小。井柱采用泥浆护壁钻孔灌注桩的施工方法。施工和技术要求应严格按《建筑基础技术规范》（JGJ94-94）中的有关规定执行。桩基浇注时，要注意钢筋位置的准确，防止发生位移和倾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钢筋砼结构用的钢筋均为热轧钢筋，其性能必须符合国家标准GB1499-79 的要求。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建筑物基础及井柱等开挖至设计高程后，应由甲方代表、设计代表和工程监理人员共同检查，核实地质状况与图纸是否相符，由设计代表提出补充整改意见。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需低温季节施工时，应根据气候条件，进行施工组织设计，确定低温季节施工时段，编制施工措施，以保证砼满足设计要求。保温措施须注意防火措施。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施工完毕应恢复原地貌，清除杂物及临时建筑。</w:t>
            </w:r>
          </w:p>
          <w:p>
            <w:pPr>
              <w:pStyle w:val="24"/>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rPr>
            </w:pPr>
            <w:r>
              <w:rPr>
                <w:rFonts w:hint="default" w:ascii="Times New Roman" w:hAnsi="Times New Roman" w:cs="Times New Roman"/>
                <w:b/>
                <w:bCs/>
              </w:rPr>
              <w:t>（3）格宾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sz w:val="24"/>
              </w:rPr>
              <w:t>①施工工序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格宾网垫、网箱应在坡面整修和基槽开挖验收合格后进行铺设安装，其工序流程详见</w:t>
            </w:r>
            <w:r>
              <w:rPr>
                <w:rFonts w:hint="default" w:ascii="Times New Roman" w:hAnsi="Times New Roman" w:cs="Times New Roman"/>
                <w:b/>
                <w:bCs/>
                <w:sz w:val="24"/>
                <w:szCs w:val="24"/>
                <w:lang w:val="en-US" w:eastAsia="zh-CN"/>
              </w:rPr>
              <w:t>图2</w:t>
            </w:r>
            <w:r>
              <w:rPr>
                <w:rFonts w:hint="eastAsia" w:ascii="Times New Roman" w:hAnsi="Times New Roman" w:cs="Times New Roman"/>
                <w:b/>
                <w:bCs/>
                <w:sz w:val="24"/>
                <w:szCs w:val="24"/>
                <w:lang w:val="en-US" w:eastAsia="zh-CN"/>
              </w:rPr>
              <w:t>0</w:t>
            </w:r>
            <w:r>
              <w:rPr>
                <w:rFonts w:hint="default" w:ascii="Times New Roman" w:hAnsi="Times New Roman" w:cs="Times New Roman"/>
                <w:sz w:val="24"/>
                <w:szCs w:val="24"/>
              </w:rPr>
              <w:t>。</w:t>
            </w:r>
          </w:p>
          <w:p>
            <w:pPr>
              <w:pStyle w:val="24"/>
              <w:keepNext w:val="0"/>
              <w:keepLines w:val="0"/>
              <w:suppressLineNumbers w:val="0"/>
              <w:spacing w:before="0" w:beforeAutospacing="0" w:after="0" w:afterAutospacing="0" w:line="240" w:lineRule="auto"/>
              <w:ind w:left="0" w:right="0"/>
              <w:rPr>
                <w:rFonts w:hint="default" w:ascii="Times New Roman" w:hAnsi="Times New Roman" w:cs="Times New Roman"/>
              </w:rPr>
            </w:pPr>
            <w:r>
              <w:rPr>
                <w:rFonts w:hint="default" w:ascii="Times New Roman" w:hAnsi="Times New Roman" w:cs="Times New Roman"/>
              </w:rPr>
              <mc:AlternateContent>
                <mc:Choice Requires="wps">
                  <w:drawing>
                    <wp:anchor distT="0" distB="0" distL="114300" distR="114300" simplePos="0" relativeHeight="251661312" behindDoc="0" locked="0" layoutInCell="1" allowOverlap="1">
                      <wp:simplePos x="0" y="0"/>
                      <wp:positionH relativeFrom="column">
                        <wp:posOffset>2158365</wp:posOffset>
                      </wp:positionH>
                      <wp:positionV relativeFrom="paragraph">
                        <wp:posOffset>232410</wp:posOffset>
                      </wp:positionV>
                      <wp:extent cx="500380" cy="635"/>
                      <wp:effectExtent l="0" t="48895" r="13970" b="64770"/>
                      <wp:wrapNone/>
                      <wp:docPr id="8" name="直接箭头连接符 8"/>
                      <wp:cNvGraphicFramePr/>
                      <a:graphic xmlns:a="http://schemas.openxmlformats.org/drawingml/2006/main">
                        <a:graphicData uri="http://schemas.microsoft.com/office/word/2010/wordprocessingShape">
                          <wps:wsp>
                            <wps:cNvCnPr/>
                            <wps:spPr>
                              <a:xfrm>
                                <a:off x="3571875" y="3709670"/>
                                <a:ext cx="500380" cy="63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69.95pt;margin-top:18.3pt;height:0.05pt;width:39.4pt;z-index:251661312;mso-width-relative:page;mso-height-relative:page;" filled="f" stroked="t" coordsize="21600,21600" o:gfxdata="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O/2fq9gAAAAJAQAADwAAAAAAAAABACAAAAAiAAAA&#10;ZHJzL2Rvd25yZXYueG1sUEsBAhQAFAAAAAgAh07iQIMR8JEHAgAA1AMAAA4AAAAAAAAAAQAgAAAA&#10;JwEAAGRycy9lMm9Eb2MueG1sUEsFBgAAAAAGAAYAWQEAAKAFAAAAAA==&#10;">
                      <v:fill on="f" focussize="0,0"/>
                      <v:stroke color="#000000 [3213]" joinstyle="round" endarrow="open"/>
                      <v:imagedata o:title=""/>
                      <o:lock v:ext="edit" aspectratio="f"/>
                    </v:shape>
                  </w:pict>
                </mc:Fallback>
              </mc:AlternateContent>
            </w:r>
            <w:r>
              <w:rPr>
                <w:rFonts w:hint="default" w:ascii="Times New Roman" w:hAnsi="Times New Roman" w:cs="Times New Roman"/>
              </w:rPr>
              <mc:AlternateContent>
                <mc:Choice Requires="wps">
                  <w:drawing>
                    <wp:anchor distT="0" distB="0" distL="114300" distR="114300" simplePos="0" relativeHeight="251660288" behindDoc="0" locked="0" layoutInCell="1" allowOverlap="1">
                      <wp:simplePos x="0" y="0"/>
                      <wp:positionH relativeFrom="column">
                        <wp:posOffset>2658745</wp:posOffset>
                      </wp:positionH>
                      <wp:positionV relativeFrom="paragraph">
                        <wp:posOffset>58420</wp:posOffset>
                      </wp:positionV>
                      <wp:extent cx="1392555" cy="292735"/>
                      <wp:effectExtent l="4445" t="4445" r="12700" b="7620"/>
                      <wp:wrapNone/>
                      <wp:docPr id="7" name="文本框 7"/>
                      <wp:cNvGraphicFramePr/>
                      <a:graphic xmlns:a="http://schemas.openxmlformats.org/drawingml/2006/main">
                        <a:graphicData uri="http://schemas.microsoft.com/office/word/2010/wordprocessingShape">
                          <wps:wsp>
                            <wps:cNvSpPr txBox="1"/>
                            <wps:spPr>
                              <a:xfrm>
                                <a:off x="3691255" y="3531235"/>
                                <a:ext cx="1392555" cy="29273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sz w:val="24"/>
                                      <w:szCs w:val="32"/>
                                    </w:rPr>
                                  </w:pPr>
                                  <w:r>
                                    <w:rPr>
                                      <w:rFonts w:hint="eastAsia"/>
                                      <w:sz w:val="24"/>
                                      <w:szCs w:val="32"/>
                                    </w:rPr>
                                    <w:t>网垫（网箱）摆放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9.35pt;margin-top:4.6pt;height:23.05pt;width:109.65pt;z-index:251660288;mso-width-relative:page;mso-height-relative:page;" fillcolor="#FFFFFF [3201]" filled="t" stroked="t" coordsize="21600,21600" o:gfxdata="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AfWUH3WAAAACAEAAA8AAAAAAAAAAQAgAAAAIgAAAGRycy9kb3ducmV2LnhtbFBLAQIUABQA&#10;AAAIAIdO4kDj+0UHZAIAAMMEAAAOAAAAAAAAAAEAIAAAACUBAABkcnMvZTJvRG9jLnhtbFBLBQYA&#10;AAAABgAGAFkBAAD7BQAAAAA=&#10;">
                      <v:fill on="t" focussize="0,0"/>
                      <v:stroke weight="0.5pt" color="#000000 [3204]" joinstyle="round"/>
                      <v:imagedata o:title=""/>
                      <o:lock v:ext="edit" aspectratio="f"/>
                      <v:textbox>
                        <w:txbxContent>
                          <w:p>
                            <w:pPr>
                              <w:jc w:val="center"/>
                              <w:rPr>
                                <w:sz w:val="24"/>
                                <w:szCs w:val="32"/>
                              </w:rPr>
                            </w:pPr>
                            <w:r>
                              <w:rPr>
                                <w:rFonts w:hint="eastAsia"/>
                                <w:sz w:val="24"/>
                                <w:szCs w:val="32"/>
                              </w:rPr>
                              <w:t>网垫（网箱）摆放</w:t>
                            </w:r>
                          </w:p>
                        </w:txbxContent>
                      </v:textbox>
                    </v:shape>
                  </w:pict>
                </mc:Fallback>
              </mc:AlternateContent>
            </w:r>
            <w:r>
              <w:rPr>
                <w:rFonts w:hint="default" w:ascii="Times New Roman" w:hAnsi="Times New Roman" w:cs="Times New Roman"/>
              </w:rPr>
              <mc:AlternateContent>
                <mc:Choice Requires="wps">
                  <w:drawing>
                    <wp:anchor distT="0" distB="0" distL="114300" distR="114300" simplePos="0" relativeHeight="251659264" behindDoc="0" locked="0" layoutInCell="1" allowOverlap="1">
                      <wp:simplePos x="0" y="0"/>
                      <wp:positionH relativeFrom="column">
                        <wp:posOffset>800735</wp:posOffset>
                      </wp:positionH>
                      <wp:positionV relativeFrom="paragraph">
                        <wp:posOffset>88265</wp:posOffset>
                      </wp:positionV>
                      <wp:extent cx="1357630" cy="283210"/>
                      <wp:effectExtent l="4445" t="4445" r="9525" b="17145"/>
                      <wp:wrapNone/>
                      <wp:docPr id="6" name="文本框 6"/>
                      <wp:cNvGraphicFramePr/>
                      <a:graphic xmlns:a="http://schemas.openxmlformats.org/drawingml/2006/main">
                        <a:graphicData uri="http://schemas.microsoft.com/office/word/2010/wordprocessingShape">
                          <wps:wsp>
                            <wps:cNvSpPr txBox="1"/>
                            <wps:spPr>
                              <a:xfrm>
                                <a:off x="2000250" y="3542665"/>
                                <a:ext cx="1357630" cy="283210"/>
                              </a:xfrm>
                              <a:prstGeom prst="rect">
                                <a:avLst/>
                              </a:prstGeom>
                              <a:solidFill>
                                <a:schemeClr val="lt1"/>
                              </a:solid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pPr>
                                    <w:jc w:val="center"/>
                                    <w:rPr>
                                      <w:sz w:val="24"/>
                                      <w:szCs w:val="32"/>
                                    </w:rPr>
                                  </w:pPr>
                                  <w:r>
                                    <w:rPr>
                                      <w:rFonts w:hint="eastAsia"/>
                                      <w:sz w:val="24"/>
                                      <w:szCs w:val="32"/>
                                    </w:rPr>
                                    <w:t>网垫（网箱）绑扎</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3.05pt;margin-top:6.95pt;height:22.3pt;width:106.9pt;z-index:251659264;mso-width-relative:page;mso-height-relative:page;" fillcolor="#FFFFFF [3201]" filled="t" stroked="t" coordsize="21600,21600" o:gfxdata="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A4&#10;jKNH1QAAAAkBAAAPAAAAAAAAAAEAIAAAACIAAABkcnMvZG93bnJldi54bWxQSwECFAAUAAAACACH&#10;TuJAt9GIzGACAADEBAAADgAAAAAAAAABACAAAAAkAQAAZHJzL2Uyb0RvYy54bWxQSwUGAAAAAAYA&#10;BgBZAQAA9gUAAAAA&#10;">
                      <v:fill on="t" focussize="0,0"/>
                      <v:stroke weight="0.5pt" color="#000000 [3213]" joinstyle="round"/>
                      <v:imagedata o:title=""/>
                      <o:lock v:ext="edit" aspectratio="f"/>
                      <v:textbox>
                        <w:txbxContent>
                          <w:p>
                            <w:pPr>
                              <w:jc w:val="center"/>
                              <w:rPr>
                                <w:sz w:val="24"/>
                                <w:szCs w:val="32"/>
                              </w:rPr>
                            </w:pPr>
                            <w:r>
                              <w:rPr>
                                <w:rFonts w:hint="eastAsia"/>
                                <w:sz w:val="24"/>
                                <w:szCs w:val="32"/>
                              </w:rPr>
                              <w:t>网垫（网箱）绑扎</w:t>
                            </w:r>
                          </w:p>
                        </w:txbxContent>
                      </v:textbox>
                    </v:shape>
                  </w:pict>
                </mc:Fallback>
              </mc:AlternateContent>
            </w:r>
          </w:p>
          <w:p>
            <w:pPr>
              <w:pStyle w:val="24"/>
              <w:keepNext w:val="0"/>
              <w:keepLines w:val="0"/>
              <w:suppressLineNumbers w:val="0"/>
              <w:tabs>
                <w:tab w:val="left" w:pos="3305"/>
              </w:tabs>
              <w:spacing w:before="0" w:beforeAutospacing="0" w:after="0" w:afterAutospacing="0" w:line="240" w:lineRule="auto"/>
              <w:ind w:left="0" w:right="0"/>
              <w:rPr>
                <w:rFonts w:hint="default" w:ascii="Times New Roman" w:hAnsi="Times New Roman" w:cs="Times New Roman"/>
              </w:rPr>
            </w:pPr>
            <w:r>
              <w:rPr>
                <w:rFonts w:hint="default" w:ascii="Times New Roman" w:hAnsi="Times New Roman" w:cs="Times New Roman"/>
              </w:rPr>
              <mc:AlternateContent>
                <mc:Choice Requires="wps">
                  <w:drawing>
                    <wp:anchor distT="0" distB="0" distL="114300" distR="114300" simplePos="0" relativeHeight="251664384" behindDoc="0" locked="0" layoutInCell="1" allowOverlap="1">
                      <wp:simplePos x="0" y="0"/>
                      <wp:positionH relativeFrom="column">
                        <wp:posOffset>3346450</wp:posOffset>
                      </wp:positionH>
                      <wp:positionV relativeFrom="paragraph">
                        <wp:posOffset>175895</wp:posOffset>
                      </wp:positionV>
                      <wp:extent cx="8890" cy="240665"/>
                      <wp:effectExtent l="45720" t="0" r="59690" b="6985"/>
                      <wp:wrapNone/>
                      <wp:docPr id="11" name="直接箭头连接符 11"/>
                      <wp:cNvGraphicFramePr/>
                      <a:graphic xmlns:a="http://schemas.openxmlformats.org/drawingml/2006/main">
                        <a:graphicData uri="http://schemas.microsoft.com/office/word/2010/wordprocessingShape">
                          <wps:wsp>
                            <wps:cNvCnPr>
                              <a:stCxn id="7" idx="2"/>
                              <a:endCxn id="10" idx="0"/>
                            </wps:cNvCnPr>
                            <wps:spPr>
                              <a:xfrm flipH="1">
                                <a:off x="4768850" y="3841115"/>
                                <a:ext cx="8890" cy="24066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263.5pt;margin-top:13.85pt;height:18.95pt;width:0.7pt;z-index:251664384;mso-width-relative:page;mso-height-relative:page;" filled="f" stroked="t" coordsize="21600,21600" o:gfxdata="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kXP1w9gAAAAJAQAADwAAAAAAAAABACAAAAAiAAAAZHJzL2Rvd25yZXYueG1sUEsBAhQA&#10;FAAAAAgAh07iQIAVkSQrAgAAIgQAAA4AAAAAAAAAAQAgAAAAJwEAAGRycy9lMm9Eb2MueG1sUEsF&#10;BgAAAAAGAAYAWQEAAMQFAAAAAA==&#10;">
                      <v:fill on="f" focussize="0,0"/>
                      <v:stroke color="#000000 [3213]" joinstyle="round" endarrow="open"/>
                      <v:imagedata o:title=""/>
                      <o:lock v:ext="edit" aspectratio="f"/>
                    </v:shape>
                  </w:pict>
                </mc:Fallback>
              </mc:AlternateContent>
            </w:r>
            <w:r>
              <w:rPr>
                <w:rFonts w:hint="default" w:ascii="Times New Roman" w:hAnsi="Times New Roman" w:cs="Times New Roman"/>
              </w:rPr>
              <w:tab/>
            </w:r>
          </w:p>
          <w:p>
            <w:pPr>
              <w:keepNext w:val="0"/>
              <w:keepLines w:val="0"/>
              <w:suppressLineNumbers w:val="0"/>
              <w:spacing w:before="0" w:beforeAutospacing="0" w:after="0" w:afterAutospacing="0" w:line="240" w:lineRule="auto"/>
              <w:ind w:left="0" w:right="0"/>
              <w:rPr>
                <w:rFonts w:hint="default" w:ascii="Times New Roman" w:hAnsi="Times New Roman" w:cs="Times New Roman"/>
                <w:sz w:val="24"/>
              </w:rPr>
            </w:pPr>
            <w:r>
              <w:rPr>
                <w:rFonts w:hint="default" w:ascii="Times New Roman" w:hAnsi="Times New Roman" w:cs="Times New Roman"/>
                <w:sz w:val="24"/>
              </w:rPr>
              <mc:AlternateContent>
                <mc:Choice Requires="wps">
                  <w:drawing>
                    <wp:anchor distT="0" distB="0" distL="114300" distR="114300" simplePos="0" relativeHeight="251662336" behindDoc="0" locked="0" layoutInCell="1" allowOverlap="1">
                      <wp:simplePos x="0" y="0"/>
                      <wp:positionH relativeFrom="column">
                        <wp:posOffset>810260</wp:posOffset>
                      </wp:positionH>
                      <wp:positionV relativeFrom="paragraph">
                        <wp:posOffset>240030</wp:posOffset>
                      </wp:positionV>
                      <wp:extent cx="1356995" cy="268605"/>
                      <wp:effectExtent l="5080" t="4445" r="9525" b="12700"/>
                      <wp:wrapNone/>
                      <wp:docPr id="9" name="文本框 9"/>
                      <wp:cNvGraphicFramePr/>
                      <a:graphic xmlns:a="http://schemas.openxmlformats.org/drawingml/2006/main">
                        <a:graphicData uri="http://schemas.microsoft.com/office/word/2010/wordprocessingShape">
                          <wps:wsp>
                            <wps:cNvSpPr txBox="1"/>
                            <wps:spPr>
                              <a:xfrm>
                                <a:off x="2214880" y="3864610"/>
                                <a:ext cx="1356995" cy="26860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pPr>
                                  <w:r>
                                    <w:rPr>
                                      <w:rFonts w:hint="eastAsia"/>
                                      <w:sz w:val="24"/>
                                      <w:szCs w:val="32"/>
                                    </w:rPr>
                                    <w:t>网垫（网箱）封盖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3.8pt;margin-top:18.9pt;height:21.15pt;width:106.85pt;z-index:251662336;mso-width-relative:page;mso-height-relative:page;" fillcolor="#FFFFFF [3201]" filled="t" stroked="t" coordsize="21600,21600" o:gfxdata="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KsmnzXWAAAACQEAAA8AAAAAAAAAAQAgAAAAIgAAAGRycy9kb3ducmV2LnhtbFBLAQIUABQA&#10;AAAIAIdO4kCX4nhXZAIAAMMEAAAOAAAAAAAAAAEAIAAAACUBAABkcnMvZTJvRG9jLnhtbFBLBQYA&#10;AAAABgAGAFkBAAD7BQAAAAA=&#10;">
                      <v:fill on="t" focussize="0,0"/>
                      <v:stroke weight="0.5pt" color="#000000 [3204]" joinstyle="round"/>
                      <v:imagedata o:title=""/>
                      <o:lock v:ext="edit" aspectratio="f"/>
                      <v:textbox>
                        <w:txbxContent>
                          <w:p>
                            <w:pPr>
                              <w:jc w:val="center"/>
                            </w:pPr>
                            <w:r>
                              <w:rPr>
                                <w:rFonts w:hint="eastAsia"/>
                                <w:sz w:val="24"/>
                                <w:szCs w:val="32"/>
                              </w:rPr>
                              <w:t>网垫（网箱）封盖</w:t>
                            </w:r>
                          </w:p>
                        </w:txbxContent>
                      </v:textbox>
                    </v:shape>
                  </w:pict>
                </mc:Fallback>
              </mc:AlternateContent>
            </w:r>
            <w:r>
              <w:rPr>
                <w:rFonts w:hint="default" w:ascii="Times New Roman" w:hAnsi="Times New Roman" w:cs="Times New Roman"/>
                <w:sz w:val="24"/>
              </w:rPr>
              <mc:AlternateContent>
                <mc:Choice Requires="wps">
                  <w:drawing>
                    <wp:anchor distT="0" distB="0" distL="114300" distR="114300" simplePos="0" relativeHeight="251663360" behindDoc="0" locked="0" layoutInCell="1" allowOverlap="1">
                      <wp:simplePos x="0" y="0"/>
                      <wp:positionH relativeFrom="column">
                        <wp:posOffset>2649855</wp:posOffset>
                      </wp:positionH>
                      <wp:positionV relativeFrom="paragraph">
                        <wp:posOffset>241300</wp:posOffset>
                      </wp:positionV>
                      <wp:extent cx="1392555" cy="280670"/>
                      <wp:effectExtent l="4445" t="4445" r="12700" b="19685"/>
                      <wp:wrapNone/>
                      <wp:docPr id="10" name="文本框 10"/>
                      <wp:cNvGraphicFramePr/>
                      <a:graphic xmlns:a="http://schemas.openxmlformats.org/drawingml/2006/main">
                        <a:graphicData uri="http://schemas.microsoft.com/office/word/2010/wordprocessingShape">
                          <wps:wsp>
                            <wps:cNvSpPr txBox="1"/>
                            <wps:spPr>
                              <a:xfrm>
                                <a:off x="4072255" y="3912235"/>
                                <a:ext cx="1392555" cy="2806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jc w:val="center"/>
                                    <w:rPr>
                                      <w:sz w:val="24"/>
                                      <w:szCs w:val="32"/>
                                    </w:rPr>
                                  </w:pPr>
                                  <w:r>
                                    <w:rPr>
                                      <w:rFonts w:hint="eastAsia"/>
                                      <w:sz w:val="24"/>
                                      <w:szCs w:val="32"/>
                                    </w:rPr>
                                    <w:t>箱体填充石料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8.65pt;margin-top:19pt;height:22.1pt;width:109.65pt;z-index:251663360;mso-width-relative:page;mso-height-relative:page;" fillcolor="#FFFFFF [3201]" filled="t" stroked="t" coordsize="21600,21600" o:gfxdata="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LBNM5dYAAAAJAQAADwAAAAAAAAABACAAAAAiAAAAZHJzL2Rvd25yZXYueG1sUEsBAhQA&#10;FAAAAAgAh07iQFJ7mpBmAgAAxQQAAA4AAAAAAAAAAQAgAAAAJQEAAGRycy9lMm9Eb2MueG1sUEsF&#10;BgAAAAAGAAYAWQEAAP0FAAAAAA==&#10;">
                      <v:fill on="t" focussize="0,0"/>
                      <v:stroke weight="0.5pt" color="#000000 [3204]" joinstyle="round"/>
                      <v:imagedata o:title=""/>
                      <o:lock v:ext="edit" aspectratio="f"/>
                      <v:textbox>
                        <w:txbxContent>
                          <w:p>
                            <w:pPr>
                              <w:jc w:val="center"/>
                              <w:rPr>
                                <w:sz w:val="24"/>
                                <w:szCs w:val="32"/>
                              </w:rPr>
                            </w:pPr>
                            <w:r>
                              <w:rPr>
                                <w:rFonts w:hint="eastAsia"/>
                                <w:sz w:val="24"/>
                                <w:szCs w:val="32"/>
                              </w:rPr>
                              <w:t>箱体填充石料</w:t>
                            </w:r>
                          </w:p>
                        </w:txbxContent>
                      </v:textbox>
                    </v:shape>
                  </w:pict>
                </mc:Fallback>
              </mc:AlternateContent>
            </w:r>
          </w:p>
          <w:p>
            <w:pPr>
              <w:keepNext w:val="0"/>
              <w:keepLines w:val="0"/>
              <w:suppressLineNumbers w:val="0"/>
              <w:spacing w:before="0" w:beforeAutospacing="0" w:after="0" w:afterAutospacing="0" w:line="240" w:lineRule="auto"/>
              <w:ind w:left="0" w:right="0"/>
              <w:rPr>
                <w:rFonts w:hint="default" w:ascii="Times New Roman" w:hAnsi="Times New Roman" w:cs="Times New Roman"/>
                <w:sz w:val="24"/>
                <w:szCs w:val="24"/>
              </w:rPr>
            </w:pPr>
          </w:p>
          <w:p>
            <w:pPr>
              <w:pStyle w:val="24"/>
              <w:keepNext w:val="0"/>
              <w:keepLines w:val="0"/>
              <w:suppressLineNumbers w:val="0"/>
              <w:spacing w:before="0" w:beforeAutospacing="0" w:after="0" w:afterAutospacing="0" w:line="240" w:lineRule="auto"/>
              <w:ind w:left="0" w:right="0"/>
              <w:rPr>
                <w:rFonts w:hint="default" w:ascii="Times New Roman" w:hAnsi="Times New Roman" w:cs="Times New Roman"/>
              </w:rPr>
            </w:pPr>
            <w:r>
              <w:rPr>
                <w:rFonts w:hint="default" w:ascii="Times New Roman" w:hAnsi="Times New Roman" w:cs="Times New Roman"/>
                <w:sz w:val="24"/>
              </w:rPr>
              <mc:AlternateContent>
                <mc:Choice Requires="wps">
                  <w:drawing>
                    <wp:anchor distT="0" distB="0" distL="114300" distR="114300" simplePos="0" relativeHeight="251665408" behindDoc="0" locked="0" layoutInCell="1" allowOverlap="1">
                      <wp:simplePos x="0" y="0"/>
                      <wp:positionH relativeFrom="column">
                        <wp:posOffset>2159635</wp:posOffset>
                      </wp:positionH>
                      <wp:positionV relativeFrom="paragraph">
                        <wp:posOffset>39370</wp:posOffset>
                      </wp:positionV>
                      <wp:extent cx="482600" cy="6985"/>
                      <wp:effectExtent l="0" t="47625" r="12700" b="59690"/>
                      <wp:wrapNone/>
                      <wp:docPr id="12" name="直接箭头连接符 12"/>
                      <wp:cNvGraphicFramePr/>
                      <a:graphic xmlns:a="http://schemas.openxmlformats.org/drawingml/2006/main">
                        <a:graphicData uri="http://schemas.microsoft.com/office/word/2010/wordprocessingShape">
                          <wps:wsp>
                            <wps:cNvCnPr/>
                            <wps:spPr>
                              <a:xfrm flipH="1" flipV="1">
                                <a:off x="3571875" y="4260850"/>
                                <a:ext cx="482600" cy="698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170.05pt;margin-top:3.1pt;height:0.55pt;width:38pt;z-index:251665408;mso-width-relative:page;mso-height-relative:page;" filled="f" stroked="t" coordsize="21600,21600" o:gfxdata="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r9q1/0wAAAAcBAAAPAAAAAAAAAAEA&#10;IAAAACIAAABkcnMvZG93bnJldi54bWxQSwECFAAUAAAACACHTuJAAd327BQCAADrAwAADgAAAAAA&#10;AAABACAAAAAiAQAAZHJzL2Uyb0RvYy54bWxQSwUGAAAAAAYABgBZAQAAqAUAAAAA&#10;">
                      <v:fill on="f" focussize="0,0"/>
                      <v:stroke color="#000000 [3213]" joinstyle="round" endarrow="open"/>
                      <v:imagedata o:title=""/>
                      <o:lock v:ext="edit" aspectratio="f"/>
                    </v:shape>
                  </w:pict>
                </mc:Fallback>
              </mc:AlternateContent>
            </w:r>
          </w:p>
          <w:p>
            <w:pPr>
              <w:keepNext w:val="0"/>
              <w:keepLines w:val="0"/>
              <w:suppressLineNumbers w:val="0"/>
              <w:spacing w:before="0" w:beforeAutospacing="0" w:after="0" w:afterAutospacing="0" w:line="240" w:lineRule="auto"/>
              <w:ind w:left="0" w:right="0"/>
              <w:jc w:val="center"/>
              <w:rPr>
                <w:rFonts w:hint="default" w:ascii="Times New Roman" w:hAnsi="Times New Roman" w:eastAsia="黑体" w:cs="Times New Roman"/>
                <w:sz w:val="24"/>
              </w:rPr>
            </w:pPr>
            <w:r>
              <w:rPr>
                <w:rFonts w:hint="default" w:ascii="Times New Roman" w:hAnsi="Times New Roman" w:eastAsia="黑体" w:cs="Times New Roman"/>
                <w:sz w:val="24"/>
                <w:lang w:val="en-US" w:eastAsia="zh-CN"/>
              </w:rPr>
              <w:t>图2</w:t>
            </w:r>
            <w:r>
              <w:rPr>
                <w:rFonts w:hint="eastAsia" w:eastAsia="黑体" w:cs="Times New Roman"/>
                <w:sz w:val="24"/>
                <w:lang w:val="en-US" w:eastAsia="zh-CN"/>
              </w:rPr>
              <w:t>0</w:t>
            </w:r>
            <w:r>
              <w:rPr>
                <w:rFonts w:hint="default" w:ascii="Times New Roman" w:hAnsi="Times New Roman" w:eastAsia="黑体" w:cs="Times New Roman"/>
                <w:sz w:val="24"/>
                <w:lang w:val="en-US" w:eastAsia="zh-CN"/>
              </w:rPr>
              <w:t xml:space="preserve"> </w:t>
            </w:r>
            <w:r>
              <w:rPr>
                <w:rFonts w:hint="default" w:ascii="Times New Roman" w:hAnsi="Times New Roman" w:eastAsia="黑体" w:cs="Times New Roman"/>
                <w:sz w:val="24"/>
              </w:rPr>
              <w:t>格宾网垫、网箱安装流程图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网垫填料：由于网垫厚度为30cm，为了保证施工质量，坡面网垫宜采用人工方式摆放填料。若格宾网垫质量能够达到设计要求，在周密的施工质量有效控制下，可以采用人工与机械相结合的方式摆放填料。网垫封盖：单个网垫填料完成后，要将网盖与网垫边丝、相邻（左、右）网垫之间的边丝按要求相互绑扎在一起，绑扎间距15～20cm。</w:t>
            </w:r>
          </w:p>
          <w:p>
            <w:pPr>
              <w:pStyle w:val="24"/>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rPr>
            </w:pPr>
            <w:r>
              <w:rPr>
                <w:rFonts w:hint="default" w:ascii="Times New Roman" w:hAnsi="Times New Roman" w:cs="Times New Roman"/>
                <w:b/>
                <w:bCs/>
              </w:rPr>
              <w:t>（4）网箱施工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①基槽开挖</w:t>
            </w:r>
          </w:p>
          <w:p>
            <w:pPr>
              <w:keepNext w:val="0"/>
              <w:keepLines w:val="0"/>
              <w:suppressLineNumbers w:val="0"/>
              <w:spacing w:before="0" w:beforeAutospacing="0" w:after="0" w:afterAutospacing="0" w:line="360" w:lineRule="auto"/>
              <w:ind w:left="0" w:right="0" w:firstLine="240" w:firstLineChars="100"/>
              <w:rPr>
                <w:rFonts w:hint="default" w:ascii="Times New Roman" w:hAnsi="Times New Roman" w:cs="Times New Roman"/>
                <w:sz w:val="24"/>
              </w:rPr>
            </w:pPr>
            <w:r>
              <w:rPr>
                <w:rFonts w:hint="default" w:ascii="Times New Roman" w:hAnsi="Times New Roman" w:cs="Times New Roman"/>
                <w:sz w:val="24"/>
              </w:rPr>
              <w:t xml:space="preserve">  若施工期基础开挖槽内积水深度小于30cm时，宜用挖掘机进行“长槽”预挖20～50m，即开挖基槽→安装网箱→填装块石或卵石。</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若施工期场地排水困难，基础开挖槽内积水深度较深时，宜用挖掘机进行“短槽”预挖2m，即快速开挖基槽→吊车下一层或两层制作好的格宾石笼。</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②网箱组装</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sz w:val="24"/>
                <w:lang w:eastAsia="zh-CN"/>
              </w:rPr>
            </w:pPr>
            <w:r>
              <w:rPr>
                <w:rFonts w:hint="default" w:ascii="Times New Roman" w:hAnsi="Times New Roman" w:cs="Times New Roman"/>
                <w:sz w:val="24"/>
              </w:rPr>
              <w:t>单个网箱</w:t>
            </w:r>
            <w:r>
              <w:rPr>
                <w:rFonts w:hint="eastAsia" w:cs="Times New Roman"/>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在前述网垫施工前，先要完成网垫基础网箱的施工。在河道网垫的基础槽内，或附近的场地上，将网箱半成品的隔片与网身调整成90°，之后按规定的绑扎间距用绑扎丝绑扎，组装成网箱。隔网与网身的四处交角各绑扎一道；隔网与网身交接处，每间隔15cm绑扎一道。</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sz w:val="24"/>
                <w:lang w:eastAsia="zh-CN"/>
              </w:rPr>
            </w:pPr>
            <w:r>
              <w:rPr>
                <w:rFonts w:hint="default" w:ascii="Times New Roman" w:hAnsi="Times New Roman" w:cs="Times New Roman"/>
                <w:sz w:val="24"/>
              </w:rPr>
              <w:t>网箱集成</w:t>
            </w:r>
            <w:r>
              <w:rPr>
                <w:rFonts w:hint="eastAsia" w:cs="Times New Roman"/>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格宾在其按设计要求摆放到位后，要将相邻（上、下，左、右）网箱的边丝按规定的间距用绑扎丝绑扎，拼装成基础的连续网箱。</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③网箱填料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应依次、均匀、分批向各网箱内填料，严禁将单个网箱一次性填满。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对于高度≥100cm 的网箱，要结合设置的水平拉丝，采用分层填料的方式填筑，避免网箱产生超规定的变形。</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④网箱封盖</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当单个网箱按照要求完成填料后，要即可将网盖与网箱边丝、相邻（上、下，左、右）网箱之间的边丝按要求相互绑扎在一起，绑扎间距15~20cm。</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sz w:val="24"/>
                <w:szCs w:val="24"/>
              </w:rPr>
            </w:pPr>
            <w:r>
              <w:rPr>
                <w:rFonts w:hint="default" w:ascii="Times New Roman" w:hAnsi="Times New Roman" w:cs="Times New Roman"/>
                <w:b/>
                <w:bCs/>
                <w:sz w:val="24"/>
                <w:szCs w:val="24"/>
              </w:rPr>
              <w:t>2、建设工期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根据工程建设内容和工程量，将本工程施工总工期分为工程准备期、主体工程施工期和完建期</w:t>
            </w:r>
            <w:r>
              <w:rPr>
                <w:rFonts w:hint="eastAsia" w:cs="Times New Roman"/>
                <w:sz w:val="24"/>
                <w:szCs w:val="24"/>
                <w:lang w:val="en-US" w:eastAsia="zh-CN"/>
              </w:rPr>
              <w:t>三</w:t>
            </w:r>
            <w:r>
              <w:rPr>
                <w:rFonts w:hint="default" w:ascii="Times New Roman" w:hAnsi="Times New Roman" w:cs="Times New Roman"/>
                <w:sz w:val="24"/>
                <w:szCs w:val="24"/>
              </w:rPr>
              <w:t>个阶段，总工期2个月。</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4"/>
              </w:rPr>
            </w:pPr>
            <w:r>
              <w:rPr>
                <w:rFonts w:hint="default" w:ascii="Times New Roman" w:hAnsi="Times New Roman" w:cs="Times New Roman"/>
                <w:b/>
                <w:bCs/>
                <w:sz w:val="24"/>
                <w:szCs w:val="24"/>
              </w:rPr>
              <w:t>（1）工程准备期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准备期安排半个月，主要完成场内施工输电线路架设、主要场内施工道路修建、施工临时生活区房建、管理用房、主要施工辅助企业等项目。需要指出的是，施工准备工作应分轻重缓急来建设，应该与主体工程各单项工程的施工进度相适应。工程准备期安排在2022年4月初至4月中旬。</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4"/>
              </w:rPr>
            </w:pPr>
            <w:r>
              <w:rPr>
                <w:rFonts w:hint="default" w:ascii="Times New Roman" w:hAnsi="Times New Roman" w:cs="Times New Roman"/>
                <w:b/>
                <w:bCs/>
                <w:sz w:val="24"/>
                <w:szCs w:val="24"/>
              </w:rPr>
              <w:t>（2）主体工程施工期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本项目的主体工程包括沟道砌护及防冲截墙的建设。以土方开挖、填筑及浆砌石砌筑为主，施工区域集中，主体工程施工避开汛期施工。主体工程施工期为1个月，即从2022年4月中旬至2022年5月中旬。</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4"/>
              </w:rPr>
            </w:pPr>
            <w:r>
              <w:rPr>
                <w:rFonts w:hint="default" w:ascii="Times New Roman" w:hAnsi="Times New Roman" w:cs="Times New Roman"/>
                <w:b/>
                <w:bCs/>
                <w:sz w:val="24"/>
                <w:szCs w:val="24"/>
              </w:rPr>
              <w:t>（3）工程完建期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从全线完成至工程竣工为本工程的完建期，完建期半个月，安排在2022年5月中旬至5月底，主要进行后续工程收尾，逐步拆除施工临时设施、清理施工场地、整理资料等。</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sz w:val="24"/>
                <w:szCs w:val="24"/>
              </w:rPr>
            </w:pPr>
            <w:r>
              <w:rPr>
                <w:rFonts w:hint="default" w:ascii="Times New Roman" w:hAnsi="Times New Roman" w:cs="Times New Roman"/>
                <w:b/>
                <w:bCs/>
                <w:sz w:val="24"/>
                <w:szCs w:val="24"/>
              </w:rPr>
              <w:t>3、施工总体布置</w:t>
            </w:r>
          </w:p>
          <w:p>
            <w:pPr>
              <w:pStyle w:val="24"/>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rPr>
            </w:pPr>
            <w:r>
              <w:rPr>
                <w:rFonts w:hint="default" w:ascii="Times New Roman" w:hAnsi="Times New Roman" w:cs="Times New Roman"/>
                <w:b/>
                <w:bCs/>
              </w:rPr>
              <w:t>（1）对外交通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项目区周边主要交通道路109国道、京藏高速、同土线及李石线，项目区现状道路框架基本形成，可作为对外主要交通道路，工程布置区地势开阔，交通便利，便于施工场地布置。</w:t>
            </w:r>
          </w:p>
          <w:p>
            <w:pPr>
              <w:pStyle w:val="24"/>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rPr>
            </w:pPr>
            <w:r>
              <w:rPr>
                <w:rFonts w:hint="default" w:ascii="Times New Roman" w:hAnsi="Times New Roman" w:cs="Times New Roman"/>
                <w:b/>
                <w:bCs/>
              </w:rPr>
              <w:t>（2）供水供电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工程建设地点临近上河湾村六社、七社，施工生活用水在就近庄点内购买使用。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施工用电可以就近利用村镇供电设施加以解决，工程区附近有供电线路通过，可就近拉线。</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对于工程量较小的工程，施工用电由施工单位自备发电机解决。</w:t>
            </w:r>
          </w:p>
          <w:p>
            <w:pPr>
              <w:keepNext w:val="0"/>
              <w:keepLines w:val="0"/>
              <w:suppressLineNumbers w:val="0"/>
              <w:spacing w:before="0" w:beforeAutospacing="0" w:after="0" w:afterAutospacing="0" w:line="360" w:lineRule="auto"/>
              <w:ind w:left="0" w:right="0" w:firstLine="241" w:firstLineChars="100"/>
              <w:rPr>
                <w:rFonts w:hint="default" w:ascii="Times New Roman" w:hAnsi="Times New Roman" w:cs="Times New Roman"/>
                <w:b/>
                <w:bCs/>
                <w:sz w:val="24"/>
                <w:szCs w:val="22"/>
              </w:rPr>
            </w:pPr>
            <w:r>
              <w:rPr>
                <w:rFonts w:hint="default" w:ascii="Times New Roman" w:hAnsi="Times New Roman" w:cs="Times New Roman"/>
                <w:b/>
                <w:bCs/>
                <w:sz w:val="24"/>
                <w:szCs w:val="22"/>
              </w:rPr>
              <w:t>（3）天然建筑材料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32"/>
              </w:rPr>
            </w:pPr>
            <w:r>
              <w:rPr>
                <w:rFonts w:hint="default" w:ascii="Times New Roman" w:hAnsi="Times New Roman" w:cs="Times New Roman"/>
                <w:sz w:val="24"/>
                <w:szCs w:val="32"/>
              </w:rPr>
              <w:t>块石材料：位于太阳山，距项目区约50km，储量大于50万m³。根该石料基本满足水利水电工程对天然建筑材料的要求。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szCs w:val="32"/>
              </w:rPr>
            </w:pPr>
            <w:r>
              <w:rPr>
                <w:rFonts w:hint="default" w:ascii="Times New Roman" w:hAnsi="Times New Roman" w:cs="Times New Roman"/>
                <w:sz w:val="24"/>
                <w:szCs w:val="32"/>
              </w:rPr>
              <w:t>细骨料：位于韦州镇韦二村，岩性为奥陶系灰岩，厚状，致密坚硬，结构较完整，表层风化厚度1.5m，主要物理力学指标：容重2.75 g/cm</w:t>
            </w:r>
            <w:r>
              <w:rPr>
                <w:rFonts w:hint="default" w:ascii="Times New Roman" w:hAnsi="Times New Roman" w:cs="Times New Roman"/>
                <w:sz w:val="24"/>
                <w:szCs w:val="32"/>
                <w:vertAlign w:val="superscript"/>
              </w:rPr>
              <w:t>3</w:t>
            </w:r>
            <w:r>
              <w:rPr>
                <w:rFonts w:hint="default" w:ascii="Times New Roman" w:hAnsi="Times New Roman" w:cs="Times New Roman"/>
                <w:sz w:val="24"/>
                <w:szCs w:val="32"/>
              </w:rPr>
              <w:t>，饱和抗压强度75MPa，软化系数0.85，估算可开采储量20万m</w:t>
            </w:r>
            <w:r>
              <w:rPr>
                <w:rFonts w:hint="default" w:ascii="Times New Roman" w:hAnsi="Times New Roman" w:cs="Times New Roman"/>
                <w:sz w:val="24"/>
                <w:szCs w:val="32"/>
                <w:vertAlign w:val="superscript"/>
              </w:rPr>
              <w:t>3</w:t>
            </w:r>
            <w:r>
              <w:rPr>
                <w:rFonts w:hint="default" w:ascii="Times New Roman" w:hAnsi="Times New Roman" w:cs="Times New Roman"/>
                <w:sz w:val="24"/>
                <w:szCs w:val="32"/>
              </w:rPr>
              <w:t>。料场距工程所在地平均距离约70km，有公路可直接到达料场。</w:t>
            </w:r>
          </w:p>
          <w:p>
            <w:pPr>
              <w:pStyle w:val="24"/>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szCs w:val="32"/>
              </w:rPr>
              <w:t>粗骨料：吴家河湾料场：矿物成份以石英、长石为主，符合质量技术要求，但含泥量偏高，使用时须淘洗、筛选，储量约30万m</w:t>
            </w:r>
            <w:r>
              <w:rPr>
                <w:rFonts w:hint="default" w:ascii="Times New Roman" w:hAnsi="Times New Roman" w:cs="Times New Roman"/>
                <w:szCs w:val="32"/>
                <w:vertAlign w:val="superscript"/>
              </w:rPr>
              <w:t>3</w:t>
            </w:r>
            <w:r>
              <w:rPr>
                <w:rFonts w:hint="default" w:ascii="Times New Roman" w:hAnsi="Times New Roman" w:cs="Times New Roman"/>
                <w:szCs w:val="32"/>
              </w:rPr>
              <w:t>。料场距工程所在地约15km，有公路可直达。</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sz w:val="24"/>
              </w:rPr>
            </w:pPr>
            <w:r>
              <w:rPr>
                <w:rFonts w:hint="default" w:ascii="Times New Roman" w:hAnsi="Times New Roman" w:cs="Times New Roman"/>
                <w:b/>
                <w:bCs/>
                <w:sz w:val="24"/>
                <w:lang w:val="en-US" w:eastAsia="zh-CN"/>
              </w:rPr>
              <w:t>4</w:t>
            </w:r>
            <w:r>
              <w:rPr>
                <w:rFonts w:hint="default" w:ascii="Times New Roman" w:hAnsi="Times New Roman" w:cs="Times New Roman"/>
                <w:b/>
                <w:bCs/>
                <w:sz w:val="24"/>
              </w:rPr>
              <w:t>、移民安置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sz w:val="24"/>
              </w:rPr>
            </w:pPr>
            <w:r>
              <w:rPr>
                <w:rFonts w:hint="default" w:ascii="Times New Roman" w:hAnsi="Times New Roman" w:cs="Times New Roman"/>
                <w:sz w:val="24"/>
              </w:rPr>
              <w:t>本工程不涉及移民安置问题。</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sz w:val="24"/>
              </w:rPr>
            </w:pPr>
            <w:r>
              <w:rPr>
                <w:rFonts w:hint="default" w:ascii="Times New Roman" w:hAnsi="Times New Roman" w:cs="Times New Roman"/>
                <w:b/>
                <w:bCs/>
                <w:sz w:val="24"/>
                <w:lang w:val="en-US" w:eastAsia="zh-CN"/>
              </w:rPr>
              <w:t>5</w:t>
            </w:r>
            <w:r>
              <w:rPr>
                <w:rFonts w:hint="default" w:ascii="Times New Roman" w:hAnsi="Times New Roman" w:cs="Times New Roman"/>
                <w:b/>
                <w:bCs/>
                <w:sz w:val="24"/>
              </w:rPr>
              <w:t>、土石方平衡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rPr>
            </w:pPr>
            <w:r>
              <w:rPr>
                <w:rFonts w:hint="default" w:ascii="Times New Roman" w:hAnsi="Times New Roman" w:cs="Times New Roman"/>
                <w:sz w:val="24"/>
              </w:rPr>
              <w:t>本项目挖方量0.45万m</w:t>
            </w:r>
            <w:r>
              <w:rPr>
                <w:rFonts w:hint="default" w:ascii="Times New Roman" w:hAnsi="Times New Roman" w:cs="Times New Roman"/>
                <w:sz w:val="24"/>
                <w:vertAlign w:val="superscript"/>
              </w:rPr>
              <w:t>3</w:t>
            </w:r>
            <w:r>
              <w:rPr>
                <w:rFonts w:hint="default" w:ascii="Times New Roman" w:hAnsi="Times New Roman" w:cs="Times New Roman"/>
                <w:sz w:val="24"/>
              </w:rPr>
              <w:t>，填方量0.68万m</w:t>
            </w:r>
            <w:r>
              <w:rPr>
                <w:rFonts w:hint="default" w:ascii="Times New Roman" w:hAnsi="Times New Roman" w:cs="Times New Roman"/>
                <w:sz w:val="24"/>
                <w:vertAlign w:val="superscript"/>
              </w:rPr>
              <w:t>3</w:t>
            </w:r>
            <w:r>
              <w:rPr>
                <w:rFonts w:hint="default" w:ascii="Times New Roman" w:hAnsi="Times New Roman" w:cs="Times New Roman"/>
                <w:sz w:val="24"/>
              </w:rPr>
              <w:t>，借方量0.23万m</w:t>
            </w:r>
            <w:r>
              <w:rPr>
                <w:rFonts w:hint="default" w:ascii="Times New Roman" w:hAnsi="Times New Roman" w:cs="Times New Roman"/>
                <w:sz w:val="24"/>
                <w:vertAlign w:val="superscript"/>
              </w:rPr>
              <w:t>3</w:t>
            </w:r>
            <w:r>
              <w:rPr>
                <w:rFonts w:hint="default" w:ascii="Times New Roman" w:hAnsi="Times New Roman" w:cs="Times New Roman"/>
                <w:sz w:val="24"/>
              </w:rPr>
              <w:t>，弃方量0m</w:t>
            </w:r>
            <w:r>
              <w:rPr>
                <w:rFonts w:hint="default" w:ascii="Times New Roman" w:hAnsi="Times New Roman" w:cs="Times New Roman"/>
                <w:sz w:val="24"/>
                <w:vertAlign w:val="superscript"/>
              </w:rPr>
              <w:t>3</w:t>
            </w:r>
            <w:r>
              <w:rPr>
                <w:rFonts w:hint="default" w:ascii="Times New Roman" w:hAnsi="Times New Roman" w:cs="Times New Roman"/>
                <w:sz w:val="24"/>
              </w:rPr>
              <w:t>。所需土方由石料厂采挖运输到达，</w:t>
            </w:r>
            <w:r>
              <w:rPr>
                <w:rFonts w:hint="eastAsia" w:cs="Times New Roman"/>
                <w:sz w:val="24"/>
                <w:lang w:val="en-US" w:eastAsia="zh-CN"/>
              </w:rPr>
              <w:t>挖取土方</w:t>
            </w:r>
            <w:r>
              <w:rPr>
                <w:rFonts w:hint="default" w:ascii="Times New Roman" w:hAnsi="Times New Roman" w:cs="Times New Roman"/>
                <w:sz w:val="24"/>
              </w:rPr>
              <w:t>全部用</w:t>
            </w:r>
            <w:r>
              <w:rPr>
                <w:rFonts w:hint="eastAsia" w:cs="Times New Roman"/>
                <w:sz w:val="24"/>
                <w:lang w:val="en-US" w:eastAsia="zh-CN"/>
              </w:rPr>
              <w:t>于护岸堆砌</w:t>
            </w:r>
            <w:r>
              <w:rPr>
                <w:rFonts w:hint="default" w:ascii="Times New Roman" w:hAnsi="Times New Roman" w:cs="Times New Roman"/>
                <w:sz w:val="24"/>
              </w:rPr>
              <w:t>，不设弃土场。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17" w:hRule="atLeast"/>
          <w:jc w:val="center"/>
        </w:trPr>
        <w:tc>
          <w:tcPr>
            <w:tcW w:w="71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其他</w:t>
            </w:r>
          </w:p>
        </w:tc>
        <w:tc>
          <w:tcPr>
            <w:tcW w:w="838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无</w:t>
            </w:r>
          </w:p>
        </w:tc>
      </w:tr>
    </w:tbl>
    <w:p>
      <w:pPr>
        <w:pStyle w:val="15"/>
        <w:jc w:val="center"/>
        <w:outlineLvl w:val="0"/>
        <w:rPr>
          <w:rFonts w:hint="default" w:ascii="Times New Roman" w:hAnsi="Times New Roman" w:eastAsia="黑体" w:cs="Times New Roman"/>
          <w:snapToGrid w:val="0"/>
          <w:sz w:val="30"/>
          <w:szCs w:val="30"/>
        </w:rPr>
      </w:pPr>
      <w:r>
        <w:rPr>
          <w:rFonts w:hint="default" w:ascii="Times New Roman" w:hAnsi="Times New Roman" w:eastAsia="仿宋_GB2312" w:cs="Times New Roman"/>
          <w:b/>
          <w:bCs/>
        </w:rPr>
        <w:br w:type="page"/>
      </w:r>
      <w:r>
        <w:rPr>
          <w:rFonts w:hint="default" w:ascii="Times New Roman" w:hAnsi="Times New Roman" w:eastAsia="黑体" w:cs="Times New Roman"/>
          <w:snapToGrid w:val="0"/>
          <w:sz w:val="30"/>
          <w:szCs w:val="30"/>
        </w:rPr>
        <w:t>三、生态环境现状、保护目标及评价标准</w:t>
      </w:r>
    </w:p>
    <w:tbl>
      <w:tblPr>
        <w:tblStyle w:val="18"/>
        <w:tblW w:w="91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45"/>
        <w:gridCol w:w="871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32" w:hRule="atLeast"/>
          <w:jc w:val="center"/>
        </w:trPr>
        <w:tc>
          <w:tcPr>
            <w:tcW w:w="44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生态环境现状</w:t>
            </w:r>
          </w:p>
        </w:tc>
        <w:tc>
          <w:tcPr>
            <w:tcW w:w="8712" w:type="dxa"/>
            <w:vAlign w:val="center"/>
          </w:tcPr>
          <w:p>
            <w:pPr>
              <w:keepNext w:val="0"/>
              <w:keepLines w:val="0"/>
              <w:suppressLineNumbers w:val="0"/>
              <w:adjustRightInd w:val="0"/>
              <w:snapToGrid w:val="0"/>
              <w:spacing w:before="0" w:beforeAutospacing="0" w:after="0" w:afterAutospacing="0" w:line="360" w:lineRule="auto"/>
              <w:ind w:left="0" w:right="0" w:firstLine="482" w:firstLineChars="200"/>
              <w:jc w:val="left"/>
              <w:rPr>
                <w:rFonts w:hint="default" w:ascii="Times New Roman" w:hAnsi="Times New Roman" w:cs="Times New Roman"/>
                <w:b/>
                <w:bCs/>
                <w:kern w:val="0"/>
                <w:sz w:val="24"/>
              </w:rPr>
            </w:pPr>
            <w:r>
              <w:rPr>
                <w:rFonts w:hint="default" w:ascii="Times New Roman" w:hAnsi="Times New Roman" w:cs="Times New Roman"/>
                <w:b/>
                <w:bCs/>
                <w:kern w:val="0"/>
                <w:sz w:val="24"/>
              </w:rPr>
              <w:t>1、主体功能区规划</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eastAsia="宋体" w:cs="Times New Roman"/>
                <w:color w:val="000000" w:themeColor="text1"/>
                <w:kern w:val="0"/>
                <w:sz w:val="24"/>
                <w:lang w:val="en-US" w:eastAsia="zh-CN"/>
                <w14:textFill>
                  <w14:solidFill>
                    <w14:schemeClr w14:val="tx1"/>
                  </w14:solidFill>
                </w14:textFill>
              </w:rPr>
            </w:pPr>
            <w:r>
              <w:rPr>
                <w:rFonts w:hint="default" w:ascii="Times New Roman" w:hAnsi="Times New Roman" w:cs="Times New Roman"/>
                <w:kern w:val="0"/>
                <w:sz w:val="24"/>
              </w:rPr>
              <w:t>本项目位于吴忠市同心县河西镇，根据《宁夏回族自治区主体功能区规划》（宁政发[2014]53号），属于</w:t>
            </w:r>
            <w:r>
              <w:rPr>
                <w:rFonts w:hint="default" w:ascii="Times New Roman" w:hAnsi="Times New Roman" w:cs="Times New Roman"/>
                <w:b/>
                <w:bCs/>
                <w:kern w:val="0"/>
                <w:sz w:val="24"/>
              </w:rPr>
              <w:t>限制开发区域</w:t>
            </w:r>
            <w:r>
              <w:rPr>
                <w:rFonts w:hint="default" w:ascii="Times New Roman" w:hAnsi="Times New Roman" w:cs="Times New Roman"/>
                <w:kern w:val="0"/>
                <w:sz w:val="24"/>
              </w:rPr>
              <w:t>（重点生态功能区）。</w:t>
            </w:r>
            <w:r>
              <w:rPr>
                <w:rFonts w:hint="default" w:ascii="Times New Roman" w:hAnsi="Times New Roman" w:cs="Times New Roman"/>
                <w:color w:val="000000" w:themeColor="text1"/>
                <w:kern w:val="0"/>
                <w:sz w:val="24"/>
                <w14:textFill>
                  <w14:solidFill>
                    <w14:schemeClr w14:val="tx1"/>
                  </w14:solidFill>
                </w14:textFill>
              </w:rPr>
              <w:t>项目与宁夏回族自治区主体功能区规划的相对位置关系图</w:t>
            </w:r>
            <w:r>
              <w:rPr>
                <w:rFonts w:hint="default" w:ascii="Times New Roman" w:hAnsi="Times New Roman" w:cs="Times New Roman"/>
                <w:color w:val="000000" w:themeColor="text1"/>
                <w:kern w:val="0"/>
                <w:sz w:val="24"/>
                <w:lang w:val="en-US" w:eastAsia="zh-CN"/>
                <w14:textFill>
                  <w14:solidFill>
                    <w14:schemeClr w14:val="tx1"/>
                  </w14:solidFill>
                </w14:textFill>
              </w:rPr>
              <w:t>见</w:t>
            </w:r>
            <w:r>
              <w:rPr>
                <w:rFonts w:hint="default" w:ascii="Times New Roman" w:hAnsi="Times New Roman" w:cs="Times New Roman"/>
                <w:b/>
                <w:bCs/>
                <w:color w:val="000000" w:themeColor="text1"/>
                <w:kern w:val="0"/>
                <w:sz w:val="24"/>
                <w:lang w:val="en-US" w:eastAsia="zh-CN"/>
                <w14:textFill>
                  <w14:solidFill>
                    <w14:schemeClr w14:val="tx1"/>
                  </w14:solidFill>
                </w14:textFill>
              </w:rPr>
              <w:t>图2</w:t>
            </w:r>
            <w:r>
              <w:rPr>
                <w:rFonts w:hint="eastAsia" w:cs="Times New Roman"/>
                <w:b/>
                <w:bCs/>
                <w:color w:val="000000" w:themeColor="text1"/>
                <w:kern w:val="0"/>
                <w:sz w:val="24"/>
                <w:lang w:val="en-US" w:eastAsia="zh-CN"/>
                <w14:textFill>
                  <w14:solidFill>
                    <w14:schemeClr w14:val="tx1"/>
                  </w14:solidFill>
                </w14:textFill>
              </w:rPr>
              <w:t>1</w:t>
            </w:r>
            <w:r>
              <w:rPr>
                <w:rFonts w:hint="default" w:ascii="Times New Roman" w:hAnsi="Times New Roman" w:cs="Times New Roman"/>
                <w:color w:val="000000" w:themeColor="text1"/>
                <w:kern w:val="0"/>
                <w:sz w:val="24"/>
                <w:lang w:val="en-US" w:eastAsia="zh-CN"/>
                <w14:textFill>
                  <w14:solidFill>
                    <w14:schemeClr w14:val="tx1"/>
                  </w14:solidFill>
                </w14:textFill>
              </w:rPr>
              <w:t>。</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功能定位：保障国家生态安全的重要区域，西北重要的生态功能区，人与自然和谐相处的示范区。开发管制原则</w:t>
            </w:r>
            <w:r>
              <w:rPr>
                <w:rFonts w:hint="default" w:ascii="Times New Roman" w:hAnsi="Times New Roman" w:cs="Times New Roman"/>
                <w:kern w:val="0"/>
                <w:sz w:val="24"/>
                <w:lang w:val="en-US" w:eastAsia="zh-CN"/>
              </w:rPr>
              <w:t>中</w:t>
            </w:r>
            <w:r>
              <w:rPr>
                <w:rFonts w:hint="eastAsia" w:cs="Times New Roman"/>
                <w:kern w:val="0"/>
                <w:sz w:val="24"/>
                <w:lang w:val="en-US" w:eastAsia="zh-CN"/>
              </w:rPr>
              <w:t>，</w:t>
            </w:r>
            <w:r>
              <w:rPr>
                <w:rFonts w:hint="default" w:ascii="Times New Roman" w:hAnsi="Times New Roman" w:cs="Times New Roman"/>
                <w:kern w:val="0"/>
                <w:sz w:val="24"/>
              </w:rPr>
              <w:t>加强县城、中心镇、中心村的道路、供排水、垃圾污水处理等基础设施建设和农村饮水安全工程建设。积极推广沼气、风能、太阳能等清洁能源，努力解决山区农村的能源需求。健全公共服务体系，改善教育、医疗、文化等设施条件，提高公共服务供给能力和水平。</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本项目为上河湾村防洪排涝工程，项目实施后能够有效地解决项目区庄内涝水的排水问题以及村庄防洪问题，保障农户房屋和人身的安全，使村民的生活避免再受到暴雨的侵扰。因此，项目的建设符合重点生态功能区的开发管制原则。</w:t>
            </w:r>
          </w:p>
          <w:p>
            <w:pPr>
              <w:keepNext w:val="0"/>
              <w:keepLines w:val="0"/>
              <w:suppressLineNumbers w:val="0"/>
              <w:adjustRightInd w:val="0"/>
              <w:snapToGrid w:val="0"/>
              <w:spacing w:before="0" w:beforeAutospacing="0" w:after="0" w:afterAutospacing="0" w:line="360" w:lineRule="auto"/>
              <w:ind w:left="0" w:right="0" w:firstLine="482" w:firstLineChars="200"/>
              <w:jc w:val="left"/>
              <w:rPr>
                <w:rFonts w:hint="default" w:ascii="Times New Roman" w:hAnsi="Times New Roman" w:cs="Times New Roman"/>
                <w:b/>
                <w:bCs/>
                <w:kern w:val="0"/>
                <w:sz w:val="24"/>
              </w:rPr>
            </w:pPr>
            <w:r>
              <w:rPr>
                <w:rFonts w:hint="default" w:ascii="Times New Roman" w:hAnsi="Times New Roman" w:cs="Times New Roman"/>
                <w:b/>
                <w:bCs/>
                <w:kern w:val="0"/>
                <w:sz w:val="24"/>
              </w:rPr>
              <w:t>2、生态功能区划</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kern w:val="0"/>
                <w:sz w:val="24"/>
              </w:rPr>
            </w:pPr>
            <w:r>
              <w:rPr>
                <w:rFonts w:hint="default" w:ascii="Times New Roman" w:hAnsi="Times New Roman" w:cs="Times New Roman"/>
                <w:kern w:val="0"/>
                <w:sz w:val="24"/>
              </w:rPr>
              <w:t>根据《宁夏生态功能区划》（2003.12），宁夏生态功能区划共划分3个一级区，10个二级区，37个三级区。本项目属于</w:t>
            </w:r>
            <w:r>
              <w:rPr>
                <w:rFonts w:hint="default" w:ascii="Times New Roman" w:hAnsi="Times New Roman" w:cs="Times New Roman"/>
                <w:b/>
                <w:bCs/>
                <w:kern w:val="0"/>
                <w:sz w:val="24"/>
              </w:rPr>
              <w:t>清水河下游平原、南山台子台地扬黄节灌农田生态功能区</w:t>
            </w:r>
            <w:r>
              <w:rPr>
                <w:rFonts w:hint="default" w:ascii="Times New Roman" w:hAnsi="Times New Roman" w:cs="Times New Roman"/>
                <w:kern w:val="0"/>
                <w:sz w:val="24"/>
              </w:rPr>
              <w:t>，该区的主要生态环境问题是：渠道年久未修，渗漏严重，导致水资源浪费严重；土地沙化，水土流失和草场退化。</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eastAsia="宋体" w:cs="Times New Roman"/>
                <w:color w:val="000000" w:themeColor="text1"/>
                <w:kern w:val="0"/>
                <w:sz w:val="24"/>
                <w:lang w:val="en-US" w:eastAsia="zh-CN"/>
                <w14:textFill>
                  <w14:solidFill>
                    <w14:schemeClr w14:val="tx1"/>
                  </w14:solidFill>
                </w14:textFill>
              </w:rPr>
            </w:pPr>
            <w:r>
              <w:rPr>
                <w:rFonts w:hint="default" w:ascii="Times New Roman" w:hAnsi="Times New Roman" w:cs="Times New Roman"/>
                <w:kern w:val="0"/>
                <w:sz w:val="24"/>
              </w:rPr>
              <w:t>本项目为上河湾村防洪排涝工程，可以使降雨径流有序、顺畅的导入附近农田及主要泄洪沟道，有效地抑制项目区洪水泛滥，解决项目区安全保障问题，促进地方经济的发展。项目建设区水土保持主要目标是控制和减少工程建设过程中的人为新增水土流失，产生水土流失较少；项目区地面坡度较小，基本不会造成水土流失；项目建设区水土流失主要发生在施工期，工程建成投入运行后产生的水土流失不是很大。因此满足宁夏生态功能区划的保护要求。</w:t>
            </w:r>
            <w:r>
              <w:rPr>
                <w:rFonts w:hint="default" w:ascii="Times New Roman" w:hAnsi="Times New Roman" w:cs="Times New Roman"/>
                <w:color w:val="000000" w:themeColor="text1"/>
                <w:kern w:val="0"/>
                <w:sz w:val="24"/>
                <w14:textFill>
                  <w14:solidFill>
                    <w14:schemeClr w14:val="tx1"/>
                  </w14:solidFill>
                </w14:textFill>
              </w:rPr>
              <w:t>项目与宁夏回族自治区</w:t>
            </w:r>
            <w:r>
              <w:rPr>
                <w:rFonts w:hint="default" w:ascii="Times New Roman" w:hAnsi="Times New Roman" w:cs="Times New Roman"/>
                <w:color w:val="000000" w:themeColor="text1"/>
                <w:kern w:val="0"/>
                <w:sz w:val="24"/>
                <w:lang w:val="en-US" w:eastAsia="zh-CN"/>
                <w14:textFill>
                  <w14:solidFill>
                    <w14:schemeClr w14:val="tx1"/>
                  </w14:solidFill>
                </w14:textFill>
              </w:rPr>
              <w:t>生态</w:t>
            </w:r>
            <w:r>
              <w:rPr>
                <w:rFonts w:hint="default" w:ascii="Times New Roman" w:hAnsi="Times New Roman" w:cs="Times New Roman"/>
                <w:color w:val="000000" w:themeColor="text1"/>
                <w:kern w:val="0"/>
                <w:sz w:val="24"/>
                <w14:textFill>
                  <w14:solidFill>
                    <w14:schemeClr w14:val="tx1"/>
                  </w14:solidFill>
                </w14:textFill>
              </w:rPr>
              <w:t>功能区规划的相对位置关系图</w:t>
            </w:r>
            <w:r>
              <w:rPr>
                <w:rFonts w:hint="default" w:ascii="Times New Roman" w:hAnsi="Times New Roman" w:cs="Times New Roman"/>
                <w:color w:val="000000" w:themeColor="text1"/>
                <w:kern w:val="0"/>
                <w:sz w:val="24"/>
                <w:lang w:val="en-US" w:eastAsia="zh-CN"/>
                <w14:textFill>
                  <w14:solidFill>
                    <w14:schemeClr w14:val="tx1"/>
                  </w14:solidFill>
                </w14:textFill>
              </w:rPr>
              <w:t>见</w:t>
            </w:r>
            <w:r>
              <w:rPr>
                <w:rFonts w:hint="default" w:ascii="Times New Roman" w:hAnsi="Times New Roman" w:cs="Times New Roman"/>
                <w:b/>
                <w:bCs/>
                <w:color w:val="000000" w:themeColor="text1"/>
                <w:kern w:val="0"/>
                <w:sz w:val="24"/>
                <w:lang w:val="en-US" w:eastAsia="zh-CN"/>
                <w14:textFill>
                  <w14:solidFill>
                    <w14:schemeClr w14:val="tx1"/>
                  </w14:solidFill>
                </w14:textFill>
              </w:rPr>
              <w:t>图2</w:t>
            </w:r>
            <w:r>
              <w:rPr>
                <w:rFonts w:hint="eastAsia" w:cs="Times New Roman"/>
                <w:b/>
                <w:bCs/>
                <w:color w:val="000000" w:themeColor="text1"/>
                <w:kern w:val="0"/>
                <w:sz w:val="24"/>
                <w:lang w:val="en-US" w:eastAsia="zh-CN"/>
                <w14:textFill>
                  <w14:solidFill>
                    <w14:schemeClr w14:val="tx1"/>
                  </w14:solidFill>
                </w14:textFill>
              </w:rPr>
              <w:t>2</w:t>
            </w:r>
            <w:r>
              <w:rPr>
                <w:rFonts w:hint="default" w:ascii="Times New Roman" w:hAnsi="Times New Roman" w:cs="Times New Roman"/>
                <w:color w:val="000000" w:themeColor="text1"/>
                <w:kern w:val="0"/>
                <w:sz w:val="24"/>
                <w:lang w:val="en-US" w:eastAsia="zh-CN"/>
                <w14:textFill>
                  <w14:solidFill>
                    <w14:schemeClr w14:val="tx1"/>
                  </w14:solidFill>
                </w14:textFill>
              </w:rPr>
              <w:t>。</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b/>
                <w:bCs/>
                <w:kern w:val="0"/>
                <w:sz w:val="24"/>
              </w:rPr>
            </w:pPr>
            <w:r>
              <w:rPr>
                <w:rFonts w:hint="default" w:ascii="Times New Roman" w:hAnsi="Times New Roman" w:cs="Times New Roman"/>
                <w:b/>
                <w:bCs/>
                <w:kern w:val="0"/>
                <w:sz w:val="24"/>
              </w:rPr>
              <w:t>3、生态环境现状</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eastAsia="宋体" w:cs="Times New Roman"/>
                <w:b/>
                <w:bCs/>
                <w:kern w:val="0"/>
                <w:sz w:val="24"/>
                <w:lang w:val="en-US" w:eastAsia="zh-CN"/>
              </w:rPr>
            </w:pPr>
            <w:r>
              <w:rPr>
                <w:rFonts w:hint="default" w:ascii="Times New Roman" w:hAnsi="Times New Roman" w:cs="Times New Roman"/>
                <w:b/>
                <w:bCs/>
                <w:kern w:val="0"/>
                <w:sz w:val="24"/>
              </w:rPr>
              <w:t>（1）土地利用类型</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kern w:val="0"/>
                <w:sz w:val="24"/>
              </w:rPr>
            </w:pPr>
            <w:r>
              <w:rPr>
                <w:rFonts w:hint="default" w:ascii="Times New Roman" w:hAnsi="Times New Roman" w:cs="Times New Roman"/>
                <w:kern w:val="0"/>
                <w:sz w:val="24"/>
              </w:rPr>
              <w:t>本项目位于吴忠市同心县，所在区域土地利用类型主要为</w:t>
            </w:r>
            <w:r>
              <w:rPr>
                <w:rFonts w:hint="eastAsia" w:cs="Times New Roman"/>
                <w:kern w:val="0"/>
                <w:sz w:val="24"/>
                <w:lang w:eastAsia="zh-CN"/>
              </w:rPr>
              <w:t>低覆盖草及旱田，详见</w:t>
            </w:r>
            <w:r>
              <w:rPr>
                <w:rFonts w:hint="eastAsia" w:cs="Times New Roman"/>
                <w:b/>
                <w:bCs/>
                <w:kern w:val="0"/>
                <w:sz w:val="24"/>
                <w:lang w:eastAsia="zh-CN"/>
              </w:rPr>
              <w:t>图</w:t>
            </w:r>
            <w:r>
              <w:rPr>
                <w:rFonts w:hint="eastAsia" w:cs="Times New Roman"/>
                <w:b/>
                <w:bCs/>
                <w:kern w:val="0"/>
                <w:sz w:val="24"/>
                <w:lang w:val="en-US" w:eastAsia="zh-CN"/>
              </w:rPr>
              <w:t>23</w:t>
            </w:r>
            <w:r>
              <w:rPr>
                <w:rFonts w:hint="default" w:ascii="Times New Roman" w:hAnsi="Times New Roman" w:cs="Times New Roman"/>
                <w:kern w:val="0"/>
                <w:sz w:val="24"/>
              </w:rPr>
              <w:t>。</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kern w:val="0"/>
                <w:sz w:val="24"/>
              </w:rPr>
            </w:pPr>
            <w:r>
              <w:rPr>
                <w:rFonts w:hint="default" w:ascii="Times New Roman" w:hAnsi="Times New Roman" w:cs="Times New Roman"/>
                <w:kern w:val="0"/>
                <w:sz w:val="24"/>
              </w:rPr>
              <w:t>根据现场实地调查，项目区域占地范围内，土地利用类型主要为建筑用地，荒地。</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eastAsia="宋体" w:cs="Times New Roman"/>
                <w:b/>
                <w:bCs/>
                <w:kern w:val="0"/>
                <w:sz w:val="24"/>
                <w:lang w:val="en-US" w:eastAsia="zh-CN"/>
              </w:rPr>
            </w:pPr>
            <w:r>
              <w:rPr>
                <w:rFonts w:hint="default" w:ascii="Times New Roman" w:hAnsi="Times New Roman" w:cs="Times New Roman"/>
                <w:b/>
                <w:bCs/>
                <w:kern w:val="0"/>
                <w:sz w:val="24"/>
              </w:rPr>
              <w:t>（2）土壤类型</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kern w:val="0"/>
                <w:sz w:val="24"/>
              </w:rPr>
            </w:pPr>
            <w:r>
              <w:rPr>
                <w:rFonts w:hint="default" w:ascii="Times New Roman" w:hAnsi="Times New Roman" w:cs="Times New Roman"/>
                <w:kern w:val="0"/>
                <w:sz w:val="24"/>
              </w:rPr>
              <w:t>根据与《宁夏回族自治区土壤图》对照，本项目区域主要为</w:t>
            </w:r>
            <w:r>
              <w:rPr>
                <w:rFonts w:hint="eastAsia" w:cs="Times New Roman"/>
                <w:kern w:val="0"/>
                <w:sz w:val="24"/>
                <w:lang w:eastAsia="zh-CN"/>
              </w:rPr>
              <w:t>新积土和半铺半固定风沙土</w:t>
            </w:r>
            <w:r>
              <w:rPr>
                <w:rFonts w:hint="default" w:ascii="Times New Roman" w:hAnsi="Times New Roman" w:cs="Times New Roman"/>
                <w:kern w:val="0"/>
                <w:sz w:val="24"/>
              </w:rPr>
              <w:t>（见</w:t>
            </w:r>
            <w:r>
              <w:rPr>
                <w:rFonts w:hint="default" w:ascii="Times New Roman" w:hAnsi="Times New Roman" w:cs="Times New Roman"/>
                <w:b/>
                <w:bCs/>
                <w:kern w:val="0"/>
                <w:sz w:val="24"/>
              </w:rPr>
              <w:t>图</w:t>
            </w:r>
            <w:r>
              <w:rPr>
                <w:rFonts w:hint="eastAsia" w:cs="Times New Roman"/>
                <w:b/>
                <w:bCs/>
                <w:kern w:val="0"/>
                <w:sz w:val="24"/>
                <w:lang w:val="en-US" w:eastAsia="zh-CN"/>
              </w:rPr>
              <w:t>2</w:t>
            </w:r>
            <w:r>
              <w:rPr>
                <w:rFonts w:hint="default" w:ascii="Times New Roman" w:hAnsi="Times New Roman" w:cs="Times New Roman"/>
                <w:b/>
                <w:bCs/>
                <w:kern w:val="0"/>
                <w:sz w:val="24"/>
              </w:rPr>
              <w:t>4</w:t>
            </w:r>
            <w:r>
              <w:rPr>
                <w:rFonts w:hint="default" w:ascii="Times New Roman" w:hAnsi="Times New Roman" w:cs="Times New Roman"/>
                <w:kern w:val="0"/>
                <w:sz w:val="24"/>
              </w:rPr>
              <w:t>）。</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eastAsia="宋体" w:cs="Times New Roman"/>
                <w:b/>
                <w:bCs/>
                <w:kern w:val="0"/>
                <w:sz w:val="24"/>
                <w:lang w:val="en-US" w:eastAsia="zh-CN"/>
              </w:rPr>
            </w:pPr>
            <w:r>
              <w:rPr>
                <w:rFonts w:hint="default" w:ascii="Times New Roman" w:hAnsi="Times New Roman" w:cs="Times New Roman"/>
                <w:b/>
                <w:bCs/>
                <w:kern w:val="0"/>
                <w:sz w:val="24"/>
              </w:rPr>
              <w:t>（3）土壤侵蚀现状</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kern w:val="0"/>
                <w:sz w:val="24"/>
              </w:rPr>
            </w:pPr>
            <w:r>
              <w:rPr>
                <w:rFonts w:hint="default" w:ascii="Times New Roman" w:hAnsi="Times New Roman" w:cs="Times New Roman"/>
                <w:kern w:val="0"/>
                <w:sz w:val="24"/>
              </w:rPr>
              <w:t>根据宁夏回族自治区土壤侵蚀图可知，项目区以</w:t>
            </w:r>
            <w:r>
              <w:rPr>
                <w:rFonts w:hint="eastAsia" w:cs="Times New Roman"/>
                <w:kern w:val="0"/>
                <w:sz w:val="24"/>
                <w:lang w:eastAsia="zh-CN"/>
              </w:rPr>
              <w:t>微</w:t>
            </w:r>
            <w:r>
              <w:rPr>
                <w:rFonts w:hint="default" w:ascii="Times New Roman" w:hAnsi="Times New Roman" w:cs="Times New Roman"/>
                <w:kern w:val="0"/>
                <w:sz w:val="24"/>
              </w:rPr>
              <w:t>度和中度水蚀侵蚀为主。项目沿线所经区域土壤侵蚀现状见</w:t>
            </w:r>
            <w:r>
              <w:rPr>
                <w:rFonts w:hint="default" w:ascii="Times New Roman" w:hAnsi="Times New Roman" w:cs="Times New Roman"/>
                <w:b/>
                <w:bCs/>
                <w:kern w:val="0"/>
                <w:sz w:val="24"/>
              </w:rPr>
              <w:t>图</w:t>
            </w:r>
            <w:r>
              <w:rPr>
                <w:rFonts w:hint="eastAsia" w:cs="Times New Roman"/>
                <w:b/>
                <w:bCs/>
                <w:kern w:val="0"/>
                <w:sz w:val="24"/>
                <w:lang w:val="en-US" w:eastAsia="zh-CN"/>
              </w:rPr>
              <w:t>2</w:t>
            </w:r>
            <w:r>
              <w:rPr>
                <w:rFonts w:hint="default" w:ascii="Times New Roman" w:hAnsi="Times New Roman" w:cs="Times New Roman"/>
                <w:b/>
                <w:bCs/>
                <w:kern w:val="0"/>
                <w:sz w:val="24"/>
              </w:rPr>
              <w:t>5</w:t>
            </w:r>
            <w:r>
              <w:rPr>
                <w:rFonts w:hint="default" w:ascii="Times New Roman" w:hAnsi="Times New Roman" w:cs="Times New Roman"/>
                <w:kern w:val="0"/>
                <w:sz w:val="24"/>
              </w:rPr>
              <w:t>。</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kern w:val="0"/>
                <w:sz w:val="24"/>
              </w:rPr>
            </w:pPr>
            <w:r>
              <w:rPr>
                <w:rFonts w:hint="default" w:ascii="Times New Roman" w:hAnsi="Times New Roman" w:cs="Times New Roman"/>
                <w:b/>
                <w:bCs/>
                <w:kern w:val="0"/>
                <w:sz w:val="24"/>
              </w:rPr>
              <w:t>（4）植被类型</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kern w:val="0"/>
                <w:sz w:val="24"/>
              </w:rPr>
            </w:pPr>
            <w:r>
              <w:rPr>
                <w:rFonts w:hint="default" w:ascii="Times New Roman" w:hAnsi="Times New Roman" w:cs="Times New Roman"/>
                <w:kern w:val="0"/>
                <w:sz w:val="24"/>
              </w:rPr>
              <w:t>根据《宁夏植被区划图》，本项目所在区域植被区划为徐套、罗山、王乐井荒漠和干草原</w:t>
            </w:r>
            <w:r>
              <w:rPr>
                <w:rFonts w:hint="eastAsia" w:cs="Times New Roman"/>
                <w:kern w:val="0"/>
                <w:sz w:val="24"/>
                <w:lang w:eastAsia="zh-CN"/>
              </w:rPr>
              <w:t>过渡</w:t>
            </w:r>
            <w:r>
              <w:rPr>
                <w:rFonts w:hint="default" w:ascii="Times New Roman" w:hAnsi="Times New Roman" w:cs="Times New Roman"/>
                <w:kern w:val="0"/>
                <w:sz w:val="24"/>
              </w:rPr>
              <w:t>小区，主要分布的植被类型有</w:t>
            </w:r>
            <w:r>
              <w:rPr>
                <w:rFonts w:hint="eastAsia" w:cs="Times New Roman"/>
                <w:kern w:val="0"/>
                <w:sz w:val="24"/>
                <w:lang w:eastAsia="zh-CN"/>
              </w:rPr>
              <w:t>猫头刺、杂草类草原</w:t>
            </w:r>
            <w:r>
              <w:rPr>
                <w:rFonts w:hint="default" w:ascii="Times New Roman" w:hAnsi="Times New Roman" w:cs="Times New Roman"/>
                <w:kern w:val="0"/>
                <w:sz w:val="24"/>
              </w:rPr>
              <w:t>、红沙荒漠为主。经过多年的人工改造，区域分布有少量的防风固沙林，如沙枣、沙拐枣等，区域植被类型见</w:t>
            </w:r>
            <w:r>
              <w:rPr>
                <w:rFonts w:hint="default" w:ascii="Times New Roman" w:hAnsi="Times New Roman" w:cs="Times New Roman"/>
                <w:b/>
                <w:bCs/>
                <w:kern w:val="0"/>
                <w:sz w:val="24"/>
              </w:rPr>
              <w:t>图</w:t>
            </w:r>
            <w:r>
              <w:rPr>
                <w:rFonts w:hint="eastAsia" w:cs="Times New Roman"/>
                <w:b/>
                <w:bCs/>
                <w:kern w:val="0"/>
                <w:sz w:val="24"/>
                <w:lang w:val="en-US" w:eastAsia="zh-CN"/>
              </w:rPr>
              <w:t>2</w:t>
            </w:r>
            <w:r>
              <w:rPr>
                <w:rFonts w:hint="default" w:ascii="Times New Roman" w:hAnsi="Times New Roman" w:cs="Times New Roman"/>
                <w:b/>
                <w:bCs/>
                <w:kern w:val="0"/>
                <w:sz w:val="24"/>
              </w:rPr>
              <w:t>6</w:t>
            </w:r>
            <w:r>
              <w:rPr>
                <w:rFonts w:hint="default" w:ascii="Times New Roman" w:hAnsi="Times New Roman" w:cs="Times New Roman"/>
                <w:kern w:val="0"/>
                <w:sz w:val="24"/>
              </w:rPr>
              <w:t>。</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kern w:val="0"/>
                <w:sz w:val="24"/>
              </w:rPr>
            </w:pPr>
            <w:r>
              <w:rPr>
                <w:rFonts w:hint="default" w:ascii="Times New Roman" w:hAnsi="Times New Roman" w:cs="Times New Roman"/>
                <w:b/>
                <w:bCs/>
                <w:kern w:val="0"/>
                <w:sz w:val="24"/>
              </w:rPr>
              <w:t>（5）动物分布情况</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sz w:val="24"/>
              </w:rPr>
              <w:t>本项目区域均为当地常见种，主要为兽类、爬行类和鸟类，兽类主要有啮齿类中的野兔、小毛足鼠、三趾跳鼠、黑线鼠、子午沙鼠等及食肉类中鼬、沙狐等；鸟类主要有云雀、戴胜、石鸡、野鸡、雀鹰、凤头百灵、伯劳、喜鹊等；爬行类主要有沙蜥和麻蜥；以及还有种类和数量众多的昆虫。现场踏勘及走访过程中，未见保护动物，无珍稀、濒危及国家级和自治区级野生保护动物栖息地和繁殖地。</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b/>
                <w:bCs/>
                <w:kern w:val="0"/>
                <w:sz w:val="24"/>
              </w:rPr>
            </w:pPr>
            <w:r>
              <w:rPr>
                <w:rFonts w:hint="default" w:ascii="Times New Roman" w:hAnsi="Times New Roman" w:cs="Times New Roman"/>
                <w:b/>
                <w:bCs/>
                <w:kern w:val="0"/>
                <w:sz w:val="24"/>
              </w:rPr>
              <w:t>4、环境质量现状</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kern w:val="0"/>
                <w:sz w:val="24"/>
              </w:rPr>
            </w:pPr>
            <w:r>
              <w:rPr>
                <w:rFonts w:hint="default" w:ascii="Times New Roman" w:hAnsi="Times New Roman" w:cs="Times New Roman"/>
                <w:b/>
                <w:bCs/>
                <w:kern w:val="0"/>
                <w:sz w:val="24"/>
              </w:rPr>
              <w:t>（1）常规污染物环境质量现状评价</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eastAsia="宋体" w:cs="Times New Roman"/>
                <w:b/>
                <w:bCs/>
                <w:sz w:val="24"/>
                <w:lang w:val="en-US" w:eastAsia="zh-CN"/>
              </w:rPr>
            </w:pPr>
            <w:r>
              <w:rPr>
                <w:rFonts w:hint="default" w:ascii="Times New Roman" w:hAnsi="Times New Roman" w:cs="Times New Roman"/>
                <w:kern w:val="0"/>
                <w:sz w:val="24"/>
              </w:rPr>
              <w:t>本项目主要位于吴忠市同心县河西镇上河湾村，根据《环境影响评价技术导则大气环境》（HJ2.2-2018）》中6.2.1.1规定“项目所在区域达标判定，优先采用国家或地方生态环境主管部门公开发布的评价基准年环境质量公告或环境质量报告中的数据或结论”，区域环境空气质量现状评价引用《2021年宁夏回族自治区吴忠市环境质量公报》的监测数据（剔除沙尘天气后）；可吸入颗粒物（PM</w:t>
            </w:r>
            <w:r>
              <w:rPr>
                <w:rFonts w:hint="default" w:ascii="Times New Roman" w:hAnsi="Times New Roman" w:cs="Times New Roman"/>
                <w:kern w:val="0"/>
                <w:sz w:val="24"/>
                <w:vertAlign w:val="subscript"/>
              </w:rPr>
              <w:t>10</w:t>
            </w:r>
            <w:r>
              <w:rPr>
                <w:rFonts w:hint="default" w:ascii="Times New Roman" w:hAnsi="Times New Roman" w:cs="Times New Roman"/>
                <w:kern w:val="0"/>
                <w:sz w:val="24"/>
              </w:rPr>
              <w:t>）、二氧化硫（SO</w:t>
            </w:r>
            <w:r>
              <w:rPr>
                <w:rFonts w:hint="default" w:ascii="Times New Roman" w:hAnsi="Times New Roman" w:cs="Times New Roman"/>
                <w:kern w:val="0"/>
                <w:sz w:val="24"/>
                <w:vertAlign w:val="subscript"/>
              </w:rPr>
              <w:t>2</w:t>
            </w:r>
            <w:r>
              <w:rPr>
                <w:rFonts w:hint="default" w:ascii="Times New Roman" w:hAnsi="Times New Roman" w:cs="Times New Roman"/>
                <w:kern w:val="0"/>
                <w:sz w:val="24"/>
              </w:rPr>
              <w:t>）、二氧化氮（NO</w:t>
            </w:r>
            <w:r>
              <w:rPr>
                <w:rFonts w:hint="default" w:ascii="Times New Roman" w:hAnsi="Times New Roman" w:cs="Times New Roman"/>
                <w:kern w:val="0"/>
                <w:sz w:val="24"/>
                <w:vertAlign w:val="subscript"/>
              </w:rPr>
              <w:t>2</w:t>
            </w:r>
            <w:r>
              <w:rPr>
                <w:rFonts w:hint="default" w:ascii="Times New Roman" w:hAnsi="Times New Roman" w:cs="Times New Roman"/>
                <w:kern w:val="0"/>
                <w:sz w:val="24"/>
              </w:rPr>
              <w:t>）、细颗粒物（PM</w:t>
            </w:r>
            <w:r>
              <w:rPr>
                <w:rFonts w:hint="default" w:ascii="Times New Roman" w:hAnsi="Times New Roman" w:cs="Times New Roman"/>
                <w:kern w:val="0"/>
                <w:sz w:val="24"/>
                <w:vertAlign w:val="subscript"/>
              </w:rPr>
              <w:t>2.5</w:t>
            </w:r>
            <w:r>
              <w:rPr>
                <w:rFonts w:hint="default" w:ascii="Times New Roman" w:hAnsi="Times New Roman" w:cs="Times New Roman"/>
                <w:kern w:val="0"/>
                <w:sz w:val="24"/>
              </w:rPr>
              <w:t>）年均浓度，一氧化碳（CO）日均值第95百分位数和臭氧（O</w:t>
            </w:r>
            <w:r>
              <w:rPr>
                <w:rFonts w:hint="default" w:ascii="Times New Roman" w:hAnsi="Times New Roman" w:cs="Times New Roman"/>
                <w:kern w:val="0"/>
                <w:sz w:val="24"/>
                <w:vertAlign w:val="subscript"/>
              </w:rPr>
              <w:t>3</w:t>
            </w:r>
            <w:r>
              <w:rPr>
                <w:rFonts w:hint="default" w:ascii="Times New Roman" w:hAnsi="Times New Roman" w:cs="Times New Roman"/>
                <w:kern w:val="0"/>
                <w:sz w:val="24"/>
              </w:rPr>
              <w:t>）日最大8h滑动平均值第90百分位数评价均达标，吴忠市环境空气污染物监测结果详见</w:t>
            </w:r>
            <w:r>
              <w:rPr>
                <w:rFonts w:hint="default" w:ascii="Times New Roman" w:hAnsi="Times New Roman" w:cs="Times New Roman"/>
                <w:b/>
                <w:bCs/>
                <w:kern w:val="0"/>
                <w:sz w:val="24"/>
              </w:rPr>
              <w:t>表</w:t>
            </w:r>
            <w:r>
              <w:rPr>
                <w:rFonts w:hint="eastAsia" w:cs="Times New Roman"/>
                <w:b/>
                <w:bCs/>
                <w:kern w:val="0"/>
                <w:sz w:val="24"/>
                <w:lang w:val="en-US" w:eastAsia="zh-CN"/>
              </w:rPr>
              <w:t>7</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sz w:val="24"/>
                <w:lang w:val="en-US" w:eastAsia="zh-CN"/>
              </w:rPr>
              <w:t>表</w:t>
            </w:r>
            <w:r>
              <w:rPr>
                <w:rFonts w:hint="eastAsia" w:eastAsia="黑体" w:cs="Times New Roman"/>
                <w:sz w:val="24"/>
                <w:lang w:val="en-US" w:eastAsia="zh-CN"/>
              </w:rPr>
              <w:t>7</w:t>
            </w:r>
            <w:r>
              <w:rPr>
                <w:rFonts w:hint="default" w:ascii="Times New Roman" w:hAnsi="Times New Roman" w:eastAsia="黑体" w:cs="Times New Roman"/>
                <w:sz w:val="24"/>
                <w:lang w:val="en-US" w:eastAsia="zh-CN"/>
              </w:rPr>
              <w:t xml:space="preserve">  </w:t>
            </w:r>
            <w:r>
              <w:rPr>
                <w:rFonts w:hint="default" w:ascii="Times New Roman" w:hAnsi="Times New Roman" w:eastAsia="黑体" w:cs="Times New Roman"/>
                <w:sz w:val="24"/>
              </w:rPr>
              <w:t>项目所在区域空气质量评价表</w:t>
            </w:r>
          </w:p>
          <w:tbl>
            <w:tblPr>
              <w:tblStyle w:val="19"/>
              <w:tblW w:w="8456"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09"/>
              <w:gridCol w:w="2465"/>
              <w:gridCol w:w="1500"/>
              <w:gridCol w:w="1463"/>
              <w:gridCol w:w="1012"/>
              <w:gridCol w:w="110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污染物</w:t>
                  </w:r>
                </w:p>
              </w:tc>
              <w:tc>
                <w:tcPr>
                  <w:tcW w:w="24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年评价指标</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现状浓度/(ug/m</w:t>
                  </w:r>
                  <w:r>
                    <w:rPr>
                      <w:rFonts w:hint="default" w:ascii="Times New Roman" w:hAnsi="Times New Roman" w:cs="Times New Roman"/>
                      <w:b/>
                      <w:bCs/>
                      <w:kern w:val="0"/>
                      <w:szCs w:val="21"/>
                      <w:vertAlign w:val="superscript"/>
                    </w:rPr>
                    <w:t>3</w:t>
                  </w:r>
                  <w:r>
                    <w:rPr>
                      <w:rFonts w:hint="default" w:ascii="Times New Roman" w:hAnsi="Times New Roman" w:cs="Times New Roman"/>
                      <w:b/>
                      <w:bCs/>
                      <w:kern w:val="0"/>
                      <w:szCs w:val="21"/>
                    </w:rPr>
                    <w:t>)</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标准值/(ug/m</w:t>
                  </w:r>
                  <w:r>
                    <w:rPr>
                      <w:rFonts w:hint="default" w:ascii="Times New Roman" w:hAnsi="Times New Roman" w:cs="Times New Roman"/>
                      <w:b/>
                      <w:bCs/>
                      <w:kern w:val="0"/>
                      <w:szCs w:val="21"/>
                      <w:vertAlign w:val="superscript"/>
                    </w:rPr>
                    <w:t>3</w:t>
                  </w:r>
                  <w:r>
                    <w:rPr>
                      <w:rFonts w:hint="default" w:ascii="Times New Roman" w:hAnsi="Times New Roman" w:cs="Times New Roman"/>
                      <w:b/>
                      <w:bCs/>
                      <w:kern w:val="0"/>
                      <w:szCs w:val="21"/>
                    </w:rPr>
                    <w:t>)</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占标率%</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kern w:val="0"/>
                      <w:szCs w:val="21"/>
                    </w:rPr>
                  </w:pPr>
                  <w:r>
                    <w:rPr>
                      <w:rFonts w:hint="default" w:ascii="Times New Roman" w:hAnsi="Times New Roman" w:cs="Times New Roman"/>
                      <w:b/>
                      <w:bCs/>
                      <w:kern w:val="0"/>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PM</w:t>
                  </w:r>
                  <w:r>
                    <w:rPr>
                      <w:rFonts w:hint="default" w:ascii="Times New Roman" w:hAnsi="Times New Roman" w:cs="Times New Roman"/>
                      <w:kern w:val="0"/>
                      <w:szCs w:val="21"/>
                      <w:vertAlign w:val="subscript"/>
                    </w:rPr>
                    <w:t>10</w:t>
                  </w:r>
                </w:p>
              </w:tc>
              <w:tc>
                <w:tcPr>
                  <w:tcW w:w="24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年平均质量浓度</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62</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70</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88.6</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PM</w:t>
                  </w:r>
                  <w:r>
                    <w:rPr>
                      <w:rFonts w:hint="default" w:ascii="Times New Roman" w:hAnsi="Times New Roman" w:cs="Times New Roman"/>
                      <w:kern w:val="0"/>
                      <w:szCs w:val="21"/>
                      <w:vertAlign w:val="subscript"/>
                    </w:rPr>
                    <w:t>2.5</w:t>
                  </w:r>
                </w:p>
              </w:tc>
              <w:tc>
                <w:tcPr>
                  <w:tcW w:w="24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年平均质量浓度</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27</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35</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77.1</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SO</w:t>
                  </w:r>
                  <w:r>
                    <w:rPr>
                      <w:rFonts w:hint="default" w:ascii="Times New Roman" w:hAnsi="Times New Roman" w:cs="Times New Roman"/>
                      <w:kern w:val="0"/>
                      <w:szCs w:val="21"/>
                      <w:vertAlign w:val="subscript"/>
                    </w:rPr>
                    <w:t>2</w:t>
                  </w:r>
                </w:p>
              </w:tc>
              <w:tc>
                <w:tcPr>
                  <w:tcW w:w="24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年平均质量浓度</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12</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60</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20.0</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NO</w:t>
                  </w:r>
                  <w:r>
                    <w:rPr>
                      <w:rFonts w:hint="default" w:ascii="Times New Roman" w:hAnsi="Times New Roman" w:cs="Times New Roman"/>
                      <w:kern w:val="0"/>
                      <w:szCs w:val="21"/>
                      <w:vertAlign w:val="subscript"/>
                    </w:rPr>
                    <w:t>2</w:t>
                  </w:r>
                </w:p>
              </w:tc>
              <w:tc>
                <w:tcPr>
                  <w:tcW w:w="24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年平均质量浓度</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21</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40</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52.5</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CO</w:t>
                  </w:r>
                </w:p>
              </w:tc>
              <w:tc>
                <w:tcPr>
                  <w:tcW w:w="24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24小时平均第95百分位数(mg/m</w:t>
                  </w:r>
                  <w:r>
                    <w:rPr>
                      <w:rFonts w:hint="default" w:ascii="Times New Roman" w:hAnsi="Times New Roman" w:cs="Times New Roman"/>
                      <w:kern w:val="0"/>
                      <w:szCs w:val="21"/>
                      <w:vertAlign w:val="superscript"/>
                    </w:rPr>
                    <w:t>3</w:t>
                  </w:r>
                  <w:r>
                    <w:rPr>
                      <w:rFonts w:hint="default" w:ascii="Times New Roman" w:hAnsi="Times New Roman" w:cs="Times New Roman"/>
                      <w:kern w:val="0"/>
                      <w:szCs w:val="21"/>
                    </w:rPr>
                    <w:t>)</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1.0(mg/m</w:t>
                  </w:r>
                  <w:r>
                    <w:rPr>
                      <w:rFonts w:hint="default" w:ascii="Times New Roman" w:hAnsi="Times New Roman" w:cs="Times New Roman"/>
                      <w:kern w:val="0"/>
                      <w:szCs w:val="21"/>
                      <w:vertAlign w:val="superscript"/>
                    </w:rPr>
                    <w:t>3</w:t>
                  </w:r>
                  <w:r>
                    <w:rPr>
                      <w:rFonts w:hint="default" w:ascii="Times New Roman" w:hAnsi="Times New Roman" w:cs="Times New Roman"/>
                      <w:kern w:val="0"/>
                      <w:szCs w:val="21"/>
                    </w:rPr>
                    <w:t>)</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4(mg/m</w:t>
                  </w:r>
                  <w:r>
                    <w:rPr>
                      <w:rFonts w:hint="default" w:ascii="Times New Roman" w:hAnsi="Times New Roman" w:cs="Times New Roman"/>
                      <w:kern w:val="0"/>
                      <w:szCs w:val="21"/>
                      <w:vertAlign w:val="superscript"/>
                    </w:rPr>
                    <w:t>3</w:t>
                  </w:r>
                  <w:r>
                    <w:rPr>
                      <w:rFonts w:hint="default" w:ascii="Times New Roman" w:hAnsi="Times New Roman" w:cs="Times New Roman"/>
                      <w:kern w:val="0"/>
                      <w:szCs w:val="21"/>
                    </w:rPr>
                    <w:t>)</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25.0</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 w:hRule="atLeast"/>
              </w:trPr>
              <w:tc>
                <w:tcPr>
                  <w:tcW w:w="909"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O</w:t>
                  </w:r>
                  <w:r>
                    <w:rPr>
                      <w:rFonts w:hint="default" w:ascii="Times New Roman" w:hAnsi="Times New Roman" w:cs="Times New Roman"/>
                      <w:kern w:val="0"/>
                      <w:szCs w:val="21"/>
                      <w:vertAlign w:val="subscript"/>
                    </w:rPr>
                    <w:t>3</w:t>
                  </w:r>
                </w:p>
              </w:tc>
              <w:tc>
                <w:tcPr>
                  <w:tcW w:w="2465" w:type="dxa"/>
                  <w:vAlign w:val="center"/>
                </w:tcPr>
                <w:p>
                  <w:pPr>
                    <w:pStyle w:val="15"/>
                    <w:keepNext w:val="0"/>
                    <w:keepLines w:val="0"/>
                    <w:suppressLineNumbers w:val="0"/>
                    <w:spacing w:before="0" w:after="0" w:line="18" w:lineRule="atLeast"/>
                    <w:ind w:left="0" w:right="0"/>
                    <w:jc w:val="center"/>
                    <w:rPr>
                      <w:rFonts w:hint="default" w:ascii="Times New Roman" w:hAnsi="Times New Roman" w:cs="Times New Roman"/>
                      <w:sz w:val="21"/>
                      <w:szCs w:val="21"/>
                    </w:rPr>
                  </w:pPr>
                  <w:r>
                    <w:rPr>
                      <w:rFonts w:hint="default" w:ascii="Times New Roman" w:hAnsi="Times New Roman" w:cs="Times New Roman"/>
                      <w:color w:val="000000"/>
                      <w:sz w:val="21"/>
                      <w:szCs w:val="21"/>
                    </w:rPr>
                    <w:t>日最大8小时滑动平均值的第90百分位数</w:t>
                  </w:r>
                </w:p>
              </w:tc>
              <w:tc>
                <w:tcPr>
                  <w:tcW w:w="1500"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149</w:t>
                  </w:r>
                </w:p>
              </w:tc>
              <w:tc>
                <w:tcPr>
                  <w:tcW w:w="146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160</w:t>
                  </w:r>
                </w:p>
              </w:tc>
              <w:tc>
                <w:tcPr>
                  <w:tcW w:w="10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93.1</w:t>
                  </w:r>
                </w:p>
              </w:tc>
              <w:tc>
                <w:tcPr>
                  <w:tcW w:w="110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Cs w:val="21"/>
                    </w:rPr>
                  </w:pPr>
                  <w:r>
                    <w:rPr>
                      <w:rFonts w:hint="default" w:ascii="Times New Roman" w:hAnsi="Times New Roman" w:cs="Times New Roman"/>
                      <w:kern w:val="0"/>
                      <w:szCs w:val="21"/>
                    </w:rPr>
                    <w:t>达标</w:t>
                  </w:r>
                </w:p>
              </w:tc>
            </w:tr>
          </w:tbl>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根据《2021年宁夏回族自治区吴忠市环境质量公报》中的监测数据（剔除沙尘天气后）可知，项目所在区域2021年SO</w:t>
            </w:r>
            <w:r>
              <w:rPr>
                <w:rFonts w:hint="default" w:ascii="Times New Roman" w:hAnsi="Times New Roman" w:cs="Times New Roman"/>
                <w:kern w:val="0"/>
                <w:sz w:val="24"/>
                <w:vertAlign w:val="subscript"/>
              </w:rPr>
              <w:t>2</w:t>
            </w:r>
            <w:r>
              <w:rPr>
                <w:rFonts w:hint="default" w:ascii="Times New Roman" w:hAnsi="Times New Roman" w:cs="Times New Roman"/>
                <w:kern w:val="0"/>
                <w:sz w:val="24"/>
              </w:rPr>
              <w:t>、NO</w:t>
            </w:r>
            <w:r>
              <w:rPr>
                <w:rFonts w:hint="default" w:ascii="Times New Roman" w:hAnsi="Times New Roman" w:cs="Times New Roman"/>
                <w:kern w:val="0"/>
                <w:sz w:val="24"/>
                <w:vertAlign w:val="subscript"/>
              </w:rPr>
              <w:t>2</w:t>
            </w:r>
            <w:r>
              <w:rPr>
                <w:rFonts w:hint="default" w:ascii="Times New Roman" w:hAnsi="Times New Roman" w:cs="Times New Roman"/>
                <w:kern w:val="0"/>
                <w:sz w:val="24"/>
              </w:rPr>
              <w:t>、PM</w:t>
            </w:r>
            <w:r>
              <w:rPr>
                <w:rFonts w:hint="default" w:ascii="Times New Roman" w:hAnsi="Times New Roman" w:cs="Times New Roman"/>
                <w:kern w:val="0"/>
                <w:sz w:val="24"/>
                <w:vertAlign w:val="subscript"/>
              </w:rPr>
              <w:t>10</w:t>
            </w:r>
            <w:r>
              <w:rPr>
                <w:rFonts w:hint="default" w:ascii="Times New Roman" w:hAnsi="Times New Roman" w:cs="Times New Roman"/>
                <w:kern w:val="0"/>
                <w:sz w:val="24"/>
              </w:rPr>
              <w:t>、PM</w:t>
            </w:r>
            <w:r>
              <w:rPr>
                <w:rFonts w:hint="default" w:ascii="Times New Roman" w:hAnsi="Times New Roman" w:cs="Times New Roman"/>
                <w:kern w:val="0"/>
                <w:sz w:val="24"/>
                <w:vertAlign w:val="subscript"/>
              </w:rPr>
              <w:t>2.5</w:t>
            </w:r>
            <w:r>
              <w:rPr>
                <w:rFonts w:hint="default" w:ascii="Times New Roman" w:hAnsi="Times New Roman" w:cs="Times New Roman"/>
                <w:kern w:val="0"/>
                <w:sz w:val="24"/>
              </w:rPr>
              <w:t>年均浓度分别为12ug/m</w:t>
            </w:r>
            <w:r>
              <w:rPr>
                <w:rFonts w:hint="default" w:ascii="Times New Roman" w:hAnsi="Times New Roman" w:cs="Times New Roman"/>
                <w:kern w:val="0"/>
                <w:sz w:val="24"/>
                <w:vertAlign w:val="superscript"/>
              </w:rPr>
              <w:t>3</w:t>
            </w:r>
            <w:r>
              <w:rPr>
                <w:rFonts w:hint="default" w:ascii="Times New Roman" w:hAnsi="Times New Roman" w:cs="Times New Roman"/>
                <w:kern w:val="0"/>
                <w:sz w:val="24"/>
              </w:rPr>
              <w:t>、21ug/m</w:t>
            </w:r>
            <w:r>
              <w:rPr>
                <w:rFonts w:hint="default" w:ascii="Times New Roman" w:hAnsi="Times New Roman" w:cs="Times New Roman"/>
                <w:kern w:val="0"/>
                <w:sz w:val="24"/>
                <w:vertAlign w:val="superscript"/>
              </w:rPr>
              <w:t>3</w:t>
            </w:r>
            <w:r>
              <w:rPr>
                <w:rFonts w:hint="default" w:ascii="Times New Roman" w:hAnsi="Times New Roman" w:cs="Times New Roman"/>
                <w:kern w:val="0"/>
                <w:sz w:val="24"/>
              </w:rPr>
              <w:t>、62ug/m</w:t>
            </w:r>
            <w:r>
              <w:rPr>
                <w:rFonts w:hint="default" w:ascii="Times New Roman" w:hAnsi="Times New Roman" w:cs="Times New Roman"/>
                <w:kern w:val="0"/>
                <w:sz w:val="24"/>
                <w:vertAlign w:val="superscript"/>
              </w:rPr>
              <w:t>3</w:t>
            </w:r>
            <w:r>
              <w:rPr>
                <w:rFonts w:hint="default" w:ascii="Times New Roman" w:hAnsi="Times New Roman" w:cs="Times New Roman"/>
                <w:kern w:val="0"/>
                <w:sz w:val="24"/>
              </w:rPr>
              <w:t>、27ug/m</w:t>
            </w:r>
            <w:r>
              <w:rPr>
                <w:rFonts w:hint="default" w:ascii="Times New Roman" w:hAnsi="Times New Roman" w:cs="Times New Roman"/>
                <w:kern w:val="0"/>
                <w:sz w:val="24"/>
                <w:vertAlign w:val="superscript"/>
              </w:rPr>
              <w:t>3</w:t>
            </w:r>
            <w:r>
              <w:rPr>
                <w:rFonts w:hint="default" w:ascii="Times New Roman" w:hAnsi="Times New Roman" w:cs="Times New Roman"/>
                <w:kern w:val="0"/>
                <w:sz w:val="24"/>
              </w:rPr>
              <w:t>；CO24小时平均第95百分位数为1.0mg/m</w:t>
            </w:r>
            <w:r>
              <w:rPr>
                <w:rFonts w:hint="default" w:ascii="Times New Roman" w:hAnsi="Times New Roman" w:cs="Times New Roman"/>
                <w:kern w:val="0"/>
                <w:sz w:val="24"/>
                <w:vertAlign w:val="superscript"/>
              </w:rPr>
              <w:t>3</w:t>
            </w:r>
            <w:r>
              <w:rPr>
                <w:rFonts w:hint="default" w:ascii="Times New Roman" w:hAnsi="Times New Roman" w:cs="Times New Roman"/>
                <w:kern w:val="0"/>
                <w:sz w:val="24"/>
              </w:rPr>
              <w:t>，O</w:t>
            </w:r>
            <w:r>
              <w:rPr>
                <w:rFonts w:hint="default" w:ascii="Times New Roman" w:hAnsi="Times New Roman" w:cs="Times New Roman"/>
                <w:kern w:val="0"/>
                <w:sz w:val="24"/>
                <w:vertAlign w:val="subscript"/>
              </w:rPr>
              <w:t>3</w:t>
            </w:r>
            <w:r>
              <w:rPr>
                <w:rFonts w:hint="default" w:ascii="Times New Roman" w:hAnsi="Times New Roman" w:cs="Times New Roman"/>
                <w:kern w:val="0"/>
                <w:sz w:val="24"/>
              </w:rPr>
              <w:t>日最大8小时平均第90百分位数为149ug/m</w:t>
            </w:r>
            <w:r>
              <w:rPr>
                <w:rFonts w:hint="default" w:ascii="Times New Roman" w:hAnsi="Times New Roman" w:cs="Times New Roman"/>
                <w:kern w:val="0"/>
                <w:sz w:val="24"/>
                <w:vertAlign w:val="superscript"/>
              </w:rPr>
              <w:t>3</w:t>
            </w:r>
            <w:r>
              <w:rPr>
                <w:rFonts w:hint="default" w:ascii="Times New Roman" w:hAnsi="Times New Roman" w:cs="Times New Roman"/>
                <w:kern w:val="0"/>
                <w:sz w:val="24"/>
              </w:rPr>
              <w:t>，从占标率来看，均未超过《环境空气质量标准》（GB3095-2012）及2018年修改单二级标准要求，因此判定本项目所在区域为达标区域。</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kern w:val="0"/>
                <w:sz w:val="24"/>
              </w:rPr>
            </w:pPr>
            <w:r>
              <w:rPr>
                <w:rFonts w:hint="default" w:ascii="Times New Roman" w:hAnsi="Times New Roman" w:cs="Times New Roman"/>
                <w:b/>
                <w:bCs/>
                <w:kern w:val="0"/>
                <w:sz w:val="24"/>
              </w:rPr>
              <w:t>（2）地表水环境质量状况</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eastAsia" w:cs="Times New Roman"/>
                <w:kern w:val="0"/>
                <w:sz w:val="24"/>
                <w:lang w:eastAsia="zh-CN"/>
              </w:rPr>
            </w:pPr>
            <w:r>
              <w:rPr>
                <w:rFonts w:hint="default" w:ascii="Times New Roman" w:hAnsi="Times New Roman" w:cs="Times New Roman"/>
                <w:kern w:val="0"/>
                <w:sz w:val="24"/>
              </w:rPr>
              <w:t>本项目为上河湾村防洪排涝工程，</w:t>
            </w:r>
            <w:r>
              <w:rPr>
                <w:rFonts w:hint="default" w:ascii="Times New Roman" w:hAnsi="Times New Roman" w:cs="Times New Roman"/>
                <w:kern w:val="0"/>
                <w:sz w:val="24"/>
                <w:lang w:val="en-US" w:eastAsia="zh-CN"/>
              </w:rPr>
              <w:t>位于</w:t>
            </w:r>
            <w:r>
              <w:rPr>
                <w:rFonts w:hint="default" w:ascii="Times New Roman" w:hAnsi="Times New Roman" w:cs="Times New Roman"/>
                <w:kern w:val="0"/>
                <w:sz w:val="24"/>
              </w:rPr>
              <w:t>清水河中下游右岸一级支流白石头沟流域</w:t>
            </w:r>
            <w:r>
              <w:rPr>
                <w:rFonts w:hint="default" w:ascii="Times New Roman" w:hAnsi="Times New Roman" w:cs="Times New Roman"/>
                <w:kern w:val="0"/>
                <w:sz w:val="24"/>
                <w:lang w:eastAsia="zh-CN"/>
              </w:rPr>
              <w:t>，</w:t>
            </w:r>
            <w:r>
              <w:rPr>
                <w:rFonts w:hint="default" w:ascii="Times New Roman" w:hAnsi="Times New Roman" w:cs="Times New Roman"/>
                <w:kern w:val="0"/>
                <w:sz w:val="24"/>
              </w:rPr>
              <w:t>清水河发源于六盘山东北麓的固原市原州区的黑刺沟，由南向北纵贯宁夏南部山区和中部干旱带的大部分地区，流经固原市原州区、中卫市海原县、沙坡头区、中宁县及吴忠市同心县、红寺堡区3市6县（区）</w:t>
            </w:r>
            <w:r>
              <w:rPr>
                <w:rFonts w:hint="eastAsia" w:cs="Times New Roman"/>
                <w:kern w:val="0"/>
                <w:sz w:val="24"/>
                <w:lang w:eastAsia="zh-CN"/>
              </w:rPr>
              <w:t>。</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cs="Times New Roman"/>
                <w:kern w:val="0"/>
                <w:sz w:val="24"/>
                <w:lang w:val="en-US" w:eastAsia="zh-CN"/>
              </w:rPr>
            </w:pPr>
            <w:r>
              <w:rPr>
                <w:rFonts w:hint="eastAsia" w:cs="Times New Roman"/>
                <w:kern w:val="0"/>
                <w:sz w:val="24"/>
                <w:lang w:val="en-US" w:eastAsia="zh-CN"/>
              </w:rPr>
              <w:t>根据《2021年宁夏生态环境质量状况》（宁夏生态环境厅2022年5月），清水河为Ⅳ类水质（氟化物超标）。</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清水河（</w:t>
            </w:r>
            <w:r>
              <w:rPr>
                <w:rFonts w:hint="default" w:ascii="Times New Roman" w:hAnsi="Times New Roman" w:cs="Times New Roman"/>
                <w:kern w:val="0"/>
                <w:sz w:val="24"/>
                <w:lang w:val="en-US" w:eastAsia="zh-CN"/>
              </w:rPr>
              <w:t>入黄口</w:t>
            </w:r>
            <w:r>
              <w:rPr>
                <w:rFonts w:hint="default" w:ascii="Times New Roman" w:hAnsi="Times New Roman" w:cs="Times New Roman"/>
                <w:kern w:val="0"/>
                <w:sz w:val="24"/>
              </w:rPr>
              <w:t>）断面主要污染为氟化物，主要是受地质原因本底影响，因流经宁夏中南部高氟地区，且水量小、矿化度高，超标次数最多，多发生在枯水期，其他时段监测浓度相对稳定，主要污染指标均保持平稳的变化趋势，清水河（</w:t>
            </w:r>
            <w:r>
              <w:rPr>
                <w:rFonts w:hint="default" w:ascii="Times New Roman" w:hAnsi="Times New Roman" w:cs="Times New Roman"/>
                <w:kern w:val="0"/>
                <w:sz w:val="24"/>
                <w:lang w:val="en-US" w:eastAsia="zh-CN"/>
              </w:rPr>
              <w:t>入黄口</w:t>
            </w:r>
            <w:r>
              <w:rPr>
                <w:rFonts w:hint="default" w:ascii="Times New Roman" w:hAnsi="Times New Roman" w:cs="Times New Roman"/>
                <w:kern w:val="0"/>
                <w:sz w:val="24"/>
              </w:rPr>
              <w:t>）断面水质相对较好。</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kern w:val="0"/>
                <w:sz w:val="24"/>
              </w:rPr>
            </w:pPr>
            <w:r>
              <w:rPr>
                <w:rFonts w:hint="default" w:ascii="Times New Roman" w:hAnsi="Times New Roman" w:cs="Times New Roman"/>
                <w:b/>
                <w:bCs/>
                <w:kern w:val="0"/>
                <w:sz w:val="24"/>
              </w:rPr>
              <w:t>（3）声环境质量状况</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根据实地调查，项目建设地点位于吴忠市同心县，本项目线路两侧周边50米范围内无声环境保护目标，故本项目无需调查声环境质量现状。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81" w:hRule="atLeast"/>
          <w:jc w:val="center"/>
        </w:trPr>
        <w:tc>
          <w:tcPr>
            <w:tcW w:w="44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bCs/>
                <w:sz w:val="24"/>
              </w:rPr>
              <w:t>与项目有关的原有环境污染和生态破坏问题</w:t>
            </w:r>
          </w:p>
        </w:tc>
        <w:tc>
          <w:tcPr>
            <w:tcW w:w="8712" w:type="dxa"/>
          </w:tcPr>
          <w:p>
            <w:pPr>
              <w:keepNext w:val="0"/>
              <w:keepLines w:val="0"/>
              <w:widowControl/>
              <w:suppressLineNumbers w:val="0"/>
              <w:spacing w:before="0" w:beforeAutospacing="0" w:after="0" w:afterAutospacing="0" w:line="360" w:lineRule="auto"/>
              <w:ind w:left="0" w:right="0" w:firstLine="480" w:firstLineChars="200"/>
              <w:jc w:val="left"/>
              <w:rPr>
                <w:rFonts w:hint="eastAsia"/>
                <w:sz w:val="24"/>
              </w:rPr>
            </w:pPr>
            <w:r>
              <w:rPr>
                <w:rFonts w:hint="default"/>
                <w:sz w:val="24"/>
              </w:rPr>
              <w:t>本项目属于技术改造项目，本项目为上河湾村防洪排涝工程，主要建设目的为有效地解决项目区庄内涝水的排水问题以及村庄防洪问题，保障农户房屋和人身的安全，使村民的生活避免再受到暴雨的侵扰，项目建设有利于社会主义新农村建设，有利于小康社会的更进一步实现，有利于全面推进乡村振兴，是巩固脱贫攻坚成果的重要举措，是一件功在当代利在千秋的惠民工程。上河湾村六社、七社村庄在建设过程中，庄户院落规划布局不尽完善，居民院落多处于山梁、低地处，地势高低不平，“低洼坑”普遍存在，庄点排水问题未能得到很好的解决，每逢暴雨，积水没有出路，没有分散收集设施，汇集后的雨水，涌入庄内低地，造成村庄内涝严重，大水漫流进入院落而不能及时排出，多处院内已出现严重的沉陷、坍塌；农户围墙长期处于雨水的浸泡中，塌陷破损严重；随着雨水的冲刷，庄点内水土流失严重，深坑随处可见，内涝问题引发了各方面的矛盾纠纷，影响居民的生产生活。</w:t>
            </w:r>
          </w:p>
          <w:p>
            <w:pPr>
              <w:keepNext w:val="0"/>
              <w:keepLines w:val="0"/>
              <w:widowControl/>
              <w:suppressLineNumbers w:val="0"/>
              <w:spacing w:before="0" w:beforeAutospacing="0" w:after="0" w:afterAutospacing="0" w:line="360" w:lineRule="auto"/>
              <w:ind w:left="0" w:right="0" w:firstLine="480" w:firstLineChars="200"/>
              <w:jc w:val="left"/>
              <w:rPr>
                <w:rFonts w:hint="eastAsia"/>
                <w:sz w:val="24"/>
                <w:lang w:val="en-US" w:eastAsia="zh-CN"/>
              </w:rPr>
            </w:pPr>
            <w:r>
              <w:rPr>
                <w:rFonts w:hint="default"/>
                <w:sz w:val="24"/>
              </w:rPr>
              <w:t>工程</w:t>
            </w:r>
            <w:r>
              <w:rPr>
                <w:rFonts w:hint="default"/>
                <w:sz w:val="24"/>
                <w:lang w:val="en-US" w:eastAsia="zh-CN"/>
              </w:rPr>
              <w:t>进行前</w:t>
            </w:r>
            <w:r>
              <w:rPr>
                <w:rFonts w:hint="default"/>
                <w:sz w:val="24"/>
              </w:rPr>
              <w:t>内涝受灾水位</w:t>
            </w:r>
            <w:r>
              <w:rPr>
                <w:rFonts w:hint="default"/>
                <w:sz w:val="24"/>
                <w:lang w:val="en-US" w:eastAsia="zh-CN"/>
              </w:rPr>
              <w:t>见</w:t>
            </w:r>
            <w:r>
              <w:rPr>
                <w:rFonts w:hint="default"/>
                <w:b/>
                <w:bCs/>
                <w:sz w:val="24"/>
                <w:lang w:val="en-US" w:eastAsia="zh-CN"/>
              </w:rPr>
              <w:t>图2</w:t>
            </w:r>
            <w:r>
              <w:rPr>
                <w:rFonts w:hint="eastAsia"/>
                <w:b/>
                <w:bCs/>
                <w:sz w:val="24"/>
                <w:lang w:val="en-US" w:eastAsia="zh-CN"/>
              </w:rPr>
              <w:t>3</w:t>
            </w:r>
            <w:r>
              <w:rPr>
                <w:rFonts w:hint="default"/>
                <w:sz w:val="24"/>
                <w:lang w:val="en-US" w:eastAsia="zh-CN"/>
              </w:rPr>
              <w:t>，房屋裂缝、临时排水见</w:t>
            </w:r>
            <w:r>
              <w:rPr>
                <w:rFonts w:hint="default"/>
                <w:b/>
                <w:bCs/>
                <w:sz w:val="24"/>
                <w:lang w:val="en-US" w:eastAsia="zh-CN"/>
              </w:rPr>
              <w:t>图2</w:t>
            </w:r>
            <w:r>
              <w:rPr>
                <w:rFonts w:hint="eastAsia"/>
                <w:b/>
                <w:bCs/>
                <w:sz w:val="24"/>
                <w:lang w:val="en-US" w:eastAsia="zh-CN"/>
              </w:rPr>
              <w:t>4</w:t>
            </w:r>
            <w:r>
              <w:rPr>
                <w:rFonts w:hint="default"/>
                <w:sz w:val="24"/>
                <w:lang w:val="en-US" w:eastAsia="zh-CN"/>
              </w:rPr>
              <w:t>。</w:t>
            </w:r>
          </w:p>
          <w:p>
            <w:pPr>
              <w:keepNext w:val="0"/>
              <w:keepLines w:val="0"/>
              <w:widowControl/>
              <w:suppressLineNumbers w:val="0"/>
              <w:spacing w:before="0" w:beforeAutospacing="0" w:after="0" w:afterAutospacing="0"/>
              <w:ind w:left="0" w:right="0"/>
              <w:jc w:val="center"/>
              <w:rPr>
                <w:rFonts w:hint="default"/>
              </w:rPr>
            </w:pPr>
            <w:r>
              <w:rPr>
                <w:rFonts w:hint="default"/>
              </w:rPr>
              <w:t xml:space="preserve"> </w:t>
            </w:r>
            <w:r>
              <w:rPr>
                <w:rFonts w:hint="default"/>
              </w:rPr>
              <w:drawing>
                <wp:inline distT="0" distB="0" distL="114300" distR="114300">
                  <wp:extent cx="5389880" cy="4138930"/>
                  <wp:effectExtent l="0" t="0" r="1270" b="13970"/>
                  <wp:docPr id="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pic:cNvPicPr>
                            <a:picLocks noChangeAspect="1"/>
                          </pic:cNvPicPr>
                        </pic:nvPicPr>
                        <pic:blipFill>
                          <a:blip r:embed="rId7"/>
                          <a:stretch>
                            <a:fillRect/>
                          </a:stretch>
                        </pic:blipFill>
                        <pic:spPr>
                          <a:xfrm>
                            <a:off x="0" y="0"/>
                            <a:ext cx="5389880" cy="4138930"/>
                          </a:xfrm>
                          <a:prstGeom prst="rect">
                            <a:avLst/>
                          </a:prstGeom>
                          <a:noFill/>
                          <a:ln>
                            <a:noFill/>
                          </a:ln>
                        </pic:spPr>
                      </pic:pic>
                    </a:graphicData>
                  </a:graphic>
                </wp:inline>
              </w:drawing>
            </w:r>
            <w:r>
              <w:rPr>
                <w:rFonts w:hint="default"/>
              </w:rPr>
              <w:t xml:space="preserve">     </w:t>
            </w:r>
          </w:p>
          <w:p>
            <w:pPr>
              <w:keepNext w:val="0"/>
              <w:keepLines w:val="0"/>
              <w:widowControl/>
              <w:suppressLineNumbers w:val="0"/>
              <w:spacing w:before="0" w:beforeAutospacing="0" w:after="0" w:afterAutospacing="0"/>
              <w:ind w:left="0" w:right="0"/>
              <w:jc w:val="center"/>
              <w:rPr>
                <w:rFonts w:hint="eastAsia" w:ascii="黑体" w:hAnsi="黑体" w:eastAsia="黑体" w:cs="黑体"/>
              </w:rPr>
            </w:pPr>
            <w:r>
              <w:rPr>
                <w:rFonts w:hint="eastAsia" w:ascii="黑体" w:hAnsi="黑体" w:eastAsia="黑体" w:cs="黑体"/>
                <w:lang w:val="en-US" w:eastAsia="zh-CN"/>
              </w:rPr>
              <w:t xml:space="preserve">图23 </w:t>
            </w:r>
            <w:r>
              <w:rPr>
                <w:rFonts w:hint="eastAsia" w:ascii="黑体" w:hAnsi="黑体" w:eastAsia="黑体" w:cs="黑体"/>
              </w:rPr>
              <w:t>内涝受灾水位</w:t>
            </w:r>
          </w:p>
          <w:p>
            <w:pPr>
              <w:keepNext w:val="0"/>
              <w:keepLines w:val="0"/>
              <w:widowControl/>
              <w:suppressLineNumbers w:val="0"/>
              <w:spacing w:before="0" w:beforeAutospacing="0" w:after="0" w:afterAutospacing="0"/>
              <w:ind w:left="0" w:right="0"/>
              <w:jc w:val="center"/>
              <w:rPr>
                <w:rFonts w:hint="default"/>
              </w:rPr>
            </w:pPr>
            <w:r>
              <w:rPr>
                <w:rFonts w:hint="default"/>
              </w:rPr>
              <w:drawing>
                <wp:inline distT="0" distB="0" distL="114300" distR="114300">
                  <wp:extent cx="5394960" cy="3522345"/>
                  <wp:effectExtent l="0" t="0" r="15240" b="1905"/>
                  <wp:docPr id="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pic:cNvPicPr>
                            <a:picLocks noChangeAspect="1"/>
                          </pic:cNvPicPr>
                        </pic:nvPicPr>
                        <pic:blipFill>
                          <a:blip r:embed="rId8"/>
                          <a:stretch>
                            <a:fillRect/>
                          </a:stretch>
                        </pic:blipFill>
                        <pic:spPr>
                          <a:xfrm>
                            <a:off x="0" y="0"/>
                            <a:ext cx="5394960" cy="3522345"/>
                          </a:xfrm>
                          <a:prstGeom prst="rect">
                            <a:avLst/>
                          </a:prstGeom>
                          <a:noFill/>
                          <a:ln>
                            <a:noFill/>
                          </a:ln>
                        </pic:spPr>
                      </pic:pic>
                    </a:graphicData>
                  </a:graphic>
                </wp:inline>
              </w:drawing>
            </w:r>
          </w:p>
          <w:p>
            <w:pPr>
              <w:keepNext w:val="0"/>
              <w:keepLines w:val="0"/>
              <w:widowControl/>
              <w:suppressLineNumbers w:val="0"/>
              <w:spacing w:before="0" w:beforeAutospacing="0" w:after="0" w:afterAutospacing="0"/>
              <w:ind w:left="0" w:right="0"/>
              <w:jc w:val="center"/>
              <w:rPr>
                <w:rFonts w:hint="eastAsia" w:ascii="黑体" w:hAnsi="黑体" w:eastAsia="黑体" w:cs="黑体"/>
              </w:rPr>
            </w:pPr>
            <w:r>
              <w:rPr>
                <w:rFonts w:hint="eastAsia" w:ascii="黑体" w:hAnsi="黑体" w:eastAsia="黑体" w:cs="黑体"/>
                <w:lang w:val="en-US" w:eastAsia="zh-CN"/>
              </w:rPr>
              <w:t xml:space="preserve">图24 </w:t>
            </w:r>
            <w:r>
              <w:rPr>
                <w:rFonts w:hint="eastAsia" w:ascii="黑体" w:hAnsi="黑体" w:eastAsia="黑体" w:cs="黑体"/>
              </w:rPr>
              <w:t>房屋裂缝、临时排水</w:t>
            </w:r>
          </w:p>
          <w:p>
            <w:pPr>
              <w:keepNext w:val="0"/>
              <w:keepLines w:val="0"/>
              <w:suppressLineNumbers w:val="0"/>
              <w:spacing w:before="0" w:beforeAutospacing="0" w:after="0" w:afterAutospacing="0"/>
              <w:ind w:left="0" w:right="0"/>
              <w:rPr>
                <w:rFonts w:hint="default"/>
              </w:rPr>
            </w:pPr>
          </w:p>
          <w:p>
            <w:pPr>
              <w:keepNext w:val="0"/>
              <w:keepLines w:val="0"/>
              <w:suppressLineNumbers w:val="0"/>
              <w:spacing w:before="0" w:beforeAutospacing="0" w:after="0" w:afterAutospacing="0"/>
              <w:ind w:left="0" w:right="0"/>
              <w:rPr>
                <w:rFonts w:hint="default"/>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15" w:hRule="atLeast"/>
          <w:jc w:val="center"/>
        </w:trPr>
        <w:tc>
          <w:tcPr>
            <w:tcW w:w="44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生态环境保护目标</w:t>
            </w:r>
          </w:p>
        </w:tc>
        <w:tc>
          <w:tcPr>
            <w:tcW w:w="8712" w:type="dxa"/>
            <w:vAlign w:val="center"/>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eastAsia="黑体" w:cs="Times New Roman"/>
                <w:kern w:val="0"/>
                <w:sz w:val="24"/>
              </w:rPr>
            </w:pPr>
            <w:r>
              <w:rPr>
                <w:rFonts w:hint="default" w:ascii="Times New Roman" w:hAnsi="Times New Roman" w:cs="Times New Roman"/>
                <w:kern w:val="0"/>
                <w:sz w:val="24"/>
              </w:rPr>
              <w:t>本项目位于吴忠市同心县河西镇，项目为上河湾村防洪排涝工程，各工程构筑物及实施位于上河湾村六社、七社村社道路及上河湾村养殖场。根据现场勘查，本项目周边生态环境保护目标分布及位置关系见</w:t>
            </w:r>
            <w:r>
              <w:rPr>
                <w:rFonts w:hint="default" w:ascii="Times New Roman" w:hAnsi="Times New Roman" w:cs="Times New Roman"/>
                <w:b/>
                <w:bCs/>
                <w:kern w:val="0"/>
                <w:sz w:val="24"/>
              </w:rPr>
              <w:t>表</w:t>
            </w:r>
            <w:r>
              <w:rPr>
                <w:rFonts w:hint="eastAsia" w:cs="Times New Roman"/>
                <w:b/>
                <w:bCs/>
                <w:kern w:val="0"/>
                <w:sz w:val="24"/>
                <w:lang w:val="en-US" w:eastAsia="zh-CN"/>
              </w:rPr>
              <w:t>8</w:t>
            </w:r>
            <w:r>
              <w:rPr>
                <w:rFonts w:hint="default" w:ascii="Times New Roman" w:hAnsi="Times New Roman" w:cs="Times New Roman"/>
                <w:kern w:val="0"/>
                <w:sz w:val="24"/>
              </w:rPr>
              <w:t>。</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w:t>
            </w:r>
            <w:r>
              <w:rPr>
                <w:rFonts w:hint="eastAsia" w:eastAsia="黑体" w:cs="Times New Roman"/>
                <w:kern w:val="0"/>
                <w:sz w:val="24"/>
                <w:lang w:val="en-US" w:eastAsia="zh-CN"/>
              </w:rPr>
              <w:t>8</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生态环境保护目标表</w:t>
            </w:r>
          </w:p>
          <w:tbl>
            <w:tblPr>
              <w:tblStyle w:val="19"/>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071"/>
              <w:gridCol w:w="1212"/>
              <w:gridCol w:w="1150"/>
              <w:gridCol w:w="1325"/>
              <w:gridCol w:w="663"/>
              <w:gridCol w:w="912"/>
              <w:gridCol w:w="147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388" w:type="pct"/>
                  <w:vMerge w:val="restar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分类</w:t>
                  </w:r>
                </w:p>
              </w:tc>
              <w:tc>
                <w:tcPr>
                  <w:tcW w:w="632" w:type="pct"/>
                  <w:vMerge w:val="restar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名称</w:t>
                  </w:r>
                </w:p>
              </w:tc>
              <w:tc>
                <w:tcPr>
                  <w:tcW w:w="1395" w:type="pct"/>
                  <w:gridSpan w:val="2"/>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坐标（经纬度）</w:t>
                  </w:r>
                </w:p>
              </w:tc>
              <w:tc>
                <w:tcPr>
                  <w:tcW w:w="782" w:type="pct"/>
                  <w:vMerge w:val="restar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与建设项目的位置关系</w:t>
                  </w:r>
                </w:p>
              </w:tc>
              <w:tc>
                <w:tcPr>
                  <w:tcW w:w="391" w:type="pct"/>
                  <w:vMerge w:val="restar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功能</w:t>
                  </w:r>
                </w:p>
              </w:tc>
              <w:tc>
                <w:tcPr>
                  <w:tcW w:w="538" w:type="pct"/>
                  <w:vMerge w:val="restar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规 模</w:t>
                  </w:r>
                </w:p>
              </w:tc>
              <w:tc>
                <w:tcPr>
                  <w:tcW w:w="869" w:type="pct"/>
                  <w:vMerge w:val="restar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r>
                    <w:rPr>
                      <w:rFonts w:hint="default" w:ascii="Times New Roman" w:hAnsi="Times New Roman" w:cs="Times New Roman"/>
                      <w:b/>
                      <w:sz w:val="21"/>
                      <w:szCs w:val="21"/>
                    </w:rPr>
                    <w:t>保护要求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88" w:type="pct"/>
                  <w:vMerge w:val="continue"/>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p>
              </w:tc>
              <w:tc>
                <w:tcPr>
                  <w:tcW w:w="632" w:type="pct"/>
                  <w:vMerge w:val="continue"/>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p>
              </w:tc>
              <w:tc>
                <w:tcPr>
                  <w:tcW w:w="716"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E</w:t>
                  </w:r>
                </w:p>
              </w:tc>
              <w:tc>
                <w:tcPr>
                  <w:tcW w:w="67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b/>
                      <w:bCs/>
                      <w:szCs w:val="21"/>
                    </w:rPr>
                    <w:t>N</w:t>
                  </w:r>
                </w:p>
              </w:tc>
              <w:tc>
                <w:tcPr>
                  <w:tcW w:w="782" w:type="pct"/>
                  <w:vMerge w:val="continue"/>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p>
              </w:tc>
              <w:tc>
                <w:tcPr>
                  <w:tcW w:w="391" w:type="pct"/>
                  <w:vMerge w:val="continue"/>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p>
              </w:tc>
              <w:tc>
                <w:tcPr>
                  <w:tcW w:w="538" w:type="pct"/>
                  <w:vMerge w:val="continue"/>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p>
              </w:tc>
              <w:tc>
                <w:tcPr>
                  <w:tcW w:w="869" w:type="pct"/>
                  <w:vMerge w:val="continue"/>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388" w:type="pc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大气环境</w:t>
                  </w:r>
                </w:p>
              </w:tc>
              <w:tc>
                <w:tcPr>
                  <w:tcW w:w="632"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上河湾村</w:t>
                  </w:r>
                </w:p>
              </w:tc>
              <w:tc>
                <w:tcPr>
                  <w:tcW w:w="716"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p>
              </w:tc>
              <w:tc>
                <w:tcPr>
                  <w:tcW w:w="67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p>
              </w:tc>
              <w:tc>
                <w:tcPr>
                  <w:tcW w:w="782" w:type="pc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建设项目在上河湾村内</w:t>
                  </w:r>
                </w:p>
              </w:tc>
              <w:tc>
                <w:tcPr>
                  <w:tcW w:w="391" w:type="pc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村庄</w:t>
                  </w:r>
                </w:p>
              </w:tc>
              <w:tc>
                <w:tcPr>
                  <w:tcW w:w="538" w:type="pct"/>
                  <w:tcBorders>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1792人</w:t>
                  </w:r>
                </w:p>
              </w:tc>
              <w:tc>
                <w:tcPr>
                  <w:tcW w:w="869" w:type="pct"/>
                  <w:tcBorders>
                    <w:tl2br w:val="nil"/>
                    <w:tr2bl w:val="nil"/>
                  </w:tcBorders>
                  <w:vAlign w:val="center"/>
                </w:tcPr>
                <w:p>
                  <w:pPr>
                    <w:pStyle w:val="5"/>
                    <w:keepNext w:val="0"/>
                    <w:keepLines w:val="0"/>
                    <w:suppressLineNumbers w:val="0"/>
                    <w:spacing w:before="0" w:beforeAutospacing="0" w:after="0" w:afterAutospacing="0" w:line="240" w:lineRule="auto"/>
                    <w:ind w:left="0" w:right="0"/>
                    <w:rPr>
                      <w:rFonts w:hint="default" w:ascii="Times New Roman" w:hAnsi="Times New Roman" w:cs="Times New Roman"/>
                      <w:bCs/>
                      <w:sz w:val="21"/>
                      <w:szCs w:val="21"/>
                    </w:rPr>
                  </w:pPr>
                  <w:r>
                    <w:rPr>
                      <w:rFonts w:hint="default" w:ascii="Times New Roman" w:hAnsi="Times New Roman" w:cs="Times New Roman"/>
                      <w:bCs/>
                      <w:sz w:val="21"/>
                      <w:szCs w:val="21"/>
                    </w:rPr>
                    <w:t>《环境空气质量标准》（GB3095-2012）及修改单二级标准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388" w:type="pct"/>
                  <w:tcBorders>
                    <w:bottom w:val="single" w:color="auto" w:sz="12" w:space="0"/>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生态环境</w:t>
                  </w:r>
                </w:p>
              </w:tc>
              <w:tc>
                <w:tcPr>
                  <w:tcW w:w="632" w:type="pct"/>
                  <w:tcBorders>
                    <w:bottom w:val="single" w:color="auto" w:sz="12" w:space="0"/>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bCs/>
                      <w:szCs w:val="21"/>
                    </w:rPr>
                    <w:t>周边1km范围内农田</w:t>
                  </w:r>
                </w:p>
              </w:tc>
              <w:tc>
                <w:tcPr>
                  <w:tcW w:w="716" w:type="pct"/>
                  <w:tcBorders>
                    <w:bottom w:val="single" w:color="auto" w:sz="12" w:space="0"/>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w:t>
                  </w:r>
                </w:p>
              </w:tc>
              <w:tc>
                <w:tcPr>
                  <w:tcW w:w="679" w:type="pct"/>
                  <w:tcBorders>
                    <w:bottom w:val="single" w:color="auto" w:sz="12" w:space="0"/>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w:t>
                  </w:r>
                </w:p>
              </w:tc>
              <w:tc>
                <w:tcPr>
                  <w:tcW w:w="782" w:type="pct"/>
                  <w:tcBorders>
                    <w:bottom w:val="single" w:color="auto" w:sz="12" w:space="0"/>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w:t>
                  </w:r>
                </w:p>
              </w:tc>
              <w:tc>
                <w:tcPr>
                  <w:tcW w:w="391" w:type="pct"/>
                  <w:tcBorders>
                    <w:bottom w:val="single" w:color="auto" w:sz="12" w:space="0"/>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lang w:val="en-US" w:eastAsia="zh-CN"/>
                    </w:rPr>
                    <w:t>农田</w:t>
                  </w:r>
                </w:p>
              </w:tc>
              <w:tc>
                <w:tcPr>
                  <w:tcW w:w="538" w:type="pct"/>
                  <w:tcBorders>
                    <w:bottom w:val="single" w:color="auto" w:sz="12" w:space="0"/>
                    <w:tl2br w:val="nil"/>
                    <w:tr2bl w:val="nil"/>
                  </w:tcBorders>
                  <w:vAlign w:val="center"/>
                </w:tcPr>
                <w:p>
                  <w:pPr>
                    <w:pStyle w:val="5"/>
                    <w:keepNext w:val="0"/>
                    <w:keepLines w:val="0"/>
                    <w:suppressLineNumbers w:val="0"/>
                    <w:spacing w:before="0" w:beforeAutospacing="0" w:after="0" w:afterAutospacing="0" w:line="240" w:lineRule="auto"/>
                    <w:ind w:left="0" w:right="0"/>
                    <w:jc w:val="center"/>
                    <w:rPr>
                      <w:rFonts w:hint="default" w:ascii="Times New Roman" w:hAnsi="Times New Roman" w:cs="Times New Roman"/>
                      <w:bCs/>
                      <w:sz w:val="21"/>
                      <w:szCs w:val="21"/>
                    </w:rPr>
                  </w:pPr>
                  <w:r>
                    <w:rPr>
                      <w:rFonts w:hint="default" w:ascii="Times New Roman" w:hAnsi="Times New Roman" w:cs="Times New Roman"/>
                      <w:bCs/>
                      <w:sz w:val="21"/>
                      <w:szCs w:val="21"/>
                    </w:rPr>
                    <w:t>-</w:t>
                  </w:r>
                </w:p>
              </w:tc>
              <w:tc>
                <w:tcPr>
                  <w:tcW w:w="869" w:type="pct"/>
                  <w:tcBorders>
                    <w:bottom w:val="single" w:color="auto" w:sz="12" w:space="0"/>
                    <w:tl2br w:val="nil"/>
                    <w:tr2bl w:val="nil"/>
                  </w:tcBorders>
                  <w:vAlign w:val="center"/>
                </w:tcPr>
                <w:p>
                  <w:pPr>
                    <w:pStyle w:val="5"/>
                    <w:keepNext w:val="0"/>
                    <w:keepLines w:val="0"/>
                    <w:suppressLineNumbers w:val="0"/>
                    <w:spacing w:before="0" w:beforeAutospacing="0" w:after="0" w:afterAutospacing="0" w:line="240" w:lineRule="auto"/>
                    <w:ind w:left="0" w:right="0"/>
                    <w:rPr>
                      <w:rFonts w:hint="default" w:ascii="Times New Roman" w:hAnsi="Times New Roman" w:cs="Times New Roman"/>
                      <w:bCs/>
                      <w:sz w:val="21"/>
                      <w:szCs w:val="21"/>
                    </w:rPr>
                  </w:pPr>
                  <w:r>
                    <w:rPr>
                      <w:rFonts w:hint="default" w:ascii="Times New Roman" w:hAnsi="Times New Roman" w:cs="Times New Roman"/>
                      <w:bCs/>
                      <w:sz w:val="21"/>
                      <w:szCs w:val="21"/>
                    </w:rPr>
                    <w:t>评价区内动植物、土壤</w:t>
                  </w:r>
                </w:p>
              </w:tc>
            </w:tr>
          </w:tbl>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kern w:val="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11" w:hRule="atLeast"/>
          <w:jc w:val="center"/>
        </w:trPr>
        <w:tc>
          <w:tcPr>
            <w:tcW w:w="44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评价</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标准</w:t>
            </w:r>
          </w:p>
        </w:tc>
        <w:tc>
          <w:tcPr>
            <w:tcW w:w="8712" w:type="dxa"/>
            <w:vAlign w:val="center"/>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kern w:val="0"/>
                <w:sz w:val="24"/>
              </w:rPr>
            </w:pPr>
            <w:r>
              <w:rPr>
                <w:rFonts w:hint="default" w:ascii="Times New Roman" w:hAnsi="Times New Roman" w:cs="Times New Roman"/>
                <w:b/>
                <w:bCs/>
                <w:kern w:val="0"/>
                <w:sz w:val="24"/>
              </w:rPr>
              <w:t>1、环境质量标准</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kern w:val="0"/>
                <w:sz w:val="24"/>
              </w:rPr>
            </w:pPr>
            <w:r>
              <w:rPr>
                <w:rFonts w:hint="default" w:ascii="Times New Roman" w:hAnsi="Times New Roman" w:cs="Times New Roman"/>
                <w:kern w:val="0"/>
                <w:sz w:val="24"/>
              </w:rPr>
              <w:t>（1）环境空气</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kern w:val="0"/>
                <w:sz w:val="24"/>
              </w:rPr>
            </w:pPr>
            <w:r>
              <w:rPr>
                <w:rFonts w:hint="default" w:ascii="Times New Roman" w:hAnsi="Times New Roman" w:cs="Times New Roman"/>
                <w:kern w:val="0"/>
                <w:sz w:val="24"/>
              </w:rPr>
              <w:t>本项目所在区域环境空气质量执行《环境空气质量标准》（GB 3095-2012）及修改单中二级标准。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w:t>
            </w:r>
            <w:r>
              <w:rPr>
                <w:rFonts w:hint="eastAsia" w:eastAsia="黑体" w:cs="Times New Roman"/>
                <w:kern w:val="0"/>
                <w:sz w:val="24"/>
                <w:lang w:val="en-US" w:eastAsia="zh-CN"/>
              </w:rPr>
              <w:t>9</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环境空气质量标准表</w:t>
            </w:r>
          </w:p>
          <w:tbl>
            <w:tblPr>
              <w:tblStyle w:val="18"/>
              <w:tblW w:w="8390"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359"/>
              <w:gridCol w:w="1470"/>
              <w:gridCol w:w="2249"/>
              <w:gridCol w:w="1515"/>
              <w:gridCol w:w="1797"/>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szCs w:val="21"/>
                    </w:rPr>
                  </w:pPr>
                  <w:r>
                    <w:rPr>
                      <w:rFonts w:hint="default" w:ascii="Times New Roman" w:hAnsi="Times New Roman" w:cs="Times New Roman"/>
                      <w:b/>
                      <w:bCs/>
                      <w:kern w:val="0"/>
                      <w:szCs w:val="21"/>
                      <w:lang w:bidi="ar"/>
                    </w:rPr>
                    <w:t>污染因子</w:t>
                  </w:r>
                </w:p>
              </w:tc>
              <w:tc>
                <w:tcPr>
                  <w:tcW w:w="3119" w:type="pct"/>
                  <w:gridSpan w:val="3"/>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szCs w:val="21"/>
                    </w:rPr>
                  </w:pPr>
                  <w:r>
                    <w:rPr>
                      <w:rFonts w:hint="default" w:ascii="Times New Roman" w:hAnsi="Times New Roman" w:cs="Times New Roman"/>
                      <w:b/>
                      <w:bCs/>
                      <w:kern w:val="0"/>
                      <w:szCs w:val="21"/>
                      <w:lang w:bidi="ar"/>
                    </w:rPr>
                    <w:t>标准值(µg/m</w:t>
                  </w:r>
                  <w:r>
                    <w:rPr>
                      <w:rFonts w:hint="default" w:ascii="Times New Roman" w:hAnsi="Times New Roman" w:cs="Times New Roman"/>
                      <w:b/>
                      <w:bCs/>
                      <w:kern w:val="0"/>
                      <w:szCs w:val="21"/>
                      <w:vertAlign w:val="superscript"/>
                      <w:lang w:bidi="ar"/>
                    </w:rPr>
                    <w:t>3</w:t>
                  </w:r>
                  <w:r>
                    <w:rPr>
                      <w:rFonts w:hint="default" w:ascii="Times New Roman" w:hAnsi="Times New Roman" w:cs="Times New Roman"/>
                      <w:b/>
                      <w:bCs/>
                      <w:kern w:val="0"/>
                      <w:szCs w:val="21"/>
                      <w:lang w:bidi="ar"/>
                    </w:rPr>
                    <w:t>)</w:t>
                  </w:r>
                </w:p>
              </w:tc>
              <w:tc>
                <w:tcPr>
                  <w:tcW w:w="1071" w:type="pct"/>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kern w:val="0"/>
                      <w:szCs w:val="21"/>
                      <w:lang w:bidi="ar"/>
                    </w:rPr>
                  </w:pPr>
                  <w:r>
                    <w:rPr>
                      <w:rFonts w:hint="default" w:ascii="Times New Roman" w:hAnsi="Times New Roman" w:cs="Times New Roman"/>
                      <w:b/>
                      <w:bCs/>
                      <w:kern w:val="0"/>
                      <w:szCs w:val="21"/>
                      <w:lang w:bidi="ar"/>
                    </w:rPr>
                    <w:t>标准来源</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szCs w:val="21"/>
                    </w:rPr>
                  </w:pPr>
                  <w:r>
                    <w:rPr>
                      <w:rFonts w:hint="default" w:ascii="Times New Roman" w:hAnsi="Times New Roman" w:cs="Times New Roman"/>
                      <w:b/>
                      <w:bCs/>
                      <w:kern w:val="0"/>
                      <w:szCs w:val="21"/>
                      <w:lang w:bidi="ar"/>
                    </w:rPr>
                    <w:t>小时平均</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szCs w:val="21"/>
                    </w:rPr>
                  </w:pPr>
                  <w:r>
                    <w:rPr>
                      <w:rFonts w:hint="default" w:ascii="Times New Roman" w:hAnsi="Times New Roman" w:cs="Times New Roman"/>
                      <w:b/>
                      <w:bCs/>
                      <w:kern w:val="0"/>
                      <w:szCs w:val="21"/>
                      <w:lang w:bidi="ar"/>
                    </w:rPr>
                    <w:t>日平均</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szCs w:val="21"/>
                    </w:rPr>
                  </w:pPr>
                  <w:r>
                    <w:rPr>
                      <w:rFonts w:hint="default" w:ascii="Times New Roman" w:hAnsi="Times New Roman" w:cs="Times New Roman"/>
                      <w:b/>
                      <w:bCs/>
                      <w:kern w:val="0"/>
                      <w:szCs w:val="21"/>
                      <w:lang w:bidi="ar"/>
                    </w:rPr>
                    <w:t>年平均</w:t>
                  </w:r>
                </w:p>
              </w:tc>
              <w:tc>
                <w:tcPr>
                  <w:tcW w:w="107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
                      <w:bCs/>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PM</w:t>
                  </w:r>
                  <w:r>
                    <w:rPr>
                      <w:rFonts w:hint="default" w:ascii="Times New Roman" w:hAnsi="Times New Roman" w:cs="Times New Roman"/>
                      <w:kern w:val="0"/>
                      <w:szCs w:val="21"/>
                      <w:vertAlign w:val="subscript"/>
                      <w:lang w:bidi="ar"/>
                    </w:rPr>
                    <w:t>10</w:t>
                  </w: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150</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70</w:t>
                  </w:r>
                </w:p>
              </w:tc>
              <w:tc>
                <w:tcPr>
                  <w:tcW w:w="1071" w:type="pct"/>
                  <w:vMerge w:val="restart"/>
                  <w:tcBorders>
                    <w:tl2br w:val="nil"/>
                    <w:tr2bl w:val="nil"/>
                  </w:tcBorders>
                  <w:vAlign w:val="center"/>
                </w:tcPr>
                <w:p>
                  <w:pPr>
                    <w:keepNext w:val="0"/>
                    <w:keepLines w:val="0"/>
                    <w:widowControl/>
                    <w:suppressLineNumbers w:val="0"/>
                    <w:spacing w:before="0" w:beforeAutospacing="0" w:after="0" w:afterAutospacing="0"/>
                    <w:ind w:left="0" w:right="0"/>
                    <w:textAlignment w:val="center"/>
                    <w:rPr>
                      <w:rFonts w:hint="default" w:ascii="Times New Roman" w:hAnsi="Times New Roman" w:cs="Times New Roman"/>
                      <w:szCs w:val="21"/>
                    </w:rPr>
                  </w:pPr>
                  <w:r>
                    <w:rPr>
                      <w:rFonts w:hint="default" w:ascii="Times New Roman" w:hAnsi="Times New Roman" w:cs="Times New Roman"/>
                      <w:szCs w:val="21"/>
                    </w:rPr>
                    <w:t>《环境空气质量标准》（GB3095-2012）及修改单中二级标准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PM</w:t>
                  </w:r>
                  <w:r>
                    <w:rPr>
                      <w:rFonts w:hint="default" w:ascii="Times New Roman" w:hAnsi="Times New Roman" w:cs="Times New Roman"/>
                      <w:kern w:val="0"/>
                      <w:szCs w:val="21"/>
                      <w:vertAlign w:val="subscript"/>
                      <w:lang w:bidi="ar"/>
                    </w:rPr>
                    <w:t>2.5</w:t>
                  </w: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75</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35</w:t>
                  </w:r>
                </w:p>
              </w:tc>
              <w:tc>
                <w:tcPr>
                  <w:tcW w:w="107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SO</w:t>
                  </w:r>
                  <w:r>
                    <w:rPr>
                      <w:rFonts w:hint="default" w:ascii="Times New Roman" w:hAnsi="Times New Roman" w:cs="Times New Roman"/>
                      <w:kern w:val="0"/>
                      <w:szCs w:val="21"/>
                      <w:vertAlign w:val="subscript"/>
                      <w:lang w:bidi="ar"/>
                    </w:rPr>
                    <w:t>2</w:t>
                  </w: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500</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150</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60</w:t>
                  </w:r>
                </w:p>
              </w:tc>
              <w:tc>
                <w:tcPr>
                  <w:tcW w:w="107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NO</w:t>
                  </w:r>
                  <w:r>
                    <w:rPr>
                      <w:rFonts w:hint="default" w:ascii="Times New Roman" w:hAnsi="Times New Roman" w:cs="Times New Roman"/>
                      <w:kern w:val="0"/>
                      <w:szCs w:val="21"/>
                      <w:vertAlign w:val="subscript"/>
                      <w:lang w:bidi="ar"/>
                    </w:rPr>
                    <w:t>2</w:t>
                  </w: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200</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80</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40</w:t>
                  </w:r>
                </w:p>
              </w:tc>
              <w:tc>
                <w:tcPr>
                  <w:tcW w:w="107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CO(mg/m</w:t>
                  </w:r>
                  <w:r>
                    <w:rPr>
                      <w:rFonts w:hint="default" w:ascii="Times New Roman" w:hAnsi="Times New Roman" w:cs="Times New Roman"/>
                      <w:kern w:val="0"/>
                      <w:szCs w:val="21"/>
                      <w:vertAlign w:val="superscript"/>
                      <w:lang w:bidi="ar"/>
                    </w:rPr>
                    <w:t>3</w:t>
                  </w:r>
                  <w:r>
                    <w:rPr>
                      <w:rFonts w:hint="default" w:ascii="Times New Roman" w:hAnsi="Times New Roman" w:cs="Times New Roman"/>
                      <w:kern w:val="0"/>
                      <w:szCs w:val="21"/>
                      <w:lang w:bidi="ar"/>
                    </w:rPr>
                    <w:t>)</w:t>
                  </w: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10</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4</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w:t>
                  </w:r>
                </w:p>
              </w:tc>
              <w:tc>
                <w:tcPr>
                  <w:tcW w:w="107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09"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O</w:t>
                  </w:r>
                  <w:r>
                    <w:rPr>
                      <w:rFonts w:hint="default" w:ascii="Times New Roman" w:hAnsi="Times New Roman" w:cs="Times New Roman"/>
                      <w:kern w:val="0"/>
                      <w:szCs w:val="21"/>
                      <w:vertAlign w:val="subscript"/>
                      <w:lang w:bidi="ar"/>
                    </w:rPr>
                    <w:t>3</w:t>
                  </w:r>
                </w:p>
              </w:tc>
              <w:tc>
                <w:tcPr>
                  <w:tcW w:w="876"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200</w:t>
                  </w:r>
                </w:p>
              </w:tc>
              <w:tc>
                <w:tcPr>
                  <w:tcW w:w="1340"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160(日最大8h均值)</w:t>
                  </w:r>
                </w:p>
              </w:tc>
              <w:tc>
                <w:tcPr>
                  <w:tcW w:w="90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kern w:val="0"/>
                      <w:szCs w:val="21"/>
                      <w:lang w:bidi="ar"/>
                    </w:rPr>
                    <w:t>-</w:t>
                  </w:r>
                </w:p>
              </w:tc>
              <w:tc>
                <w:tcPr>
                  <w:tcW w:w="107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bl>
          <w:p>
            <w:pPr>
              <w:keepNext w:val="0"/>
              <w:keepLines w:val="0"/>
              <w:suppressLineNumbers w:val="0"/>
              <w:adjustRightInd w:val="0"/>
              <w:snapToGrid w:val="0"/>
              <w:spacing w:before="0" w:beforeAutospacing="0" w:after="0" w:afterAutospacing="0" w:line="360" w:lineRule="auto"/>
              <w:ind w:left="0" w:right="0" w:firstLine="240" w:firstLineChars="100"/>
              <w:jc w:val="left"/>
              <w:rPr>
                <w:rFonts w:hint="default" w:ascii="Times New Roman" w:hAnsi="Times New Roman" w:cs="Times New Roman"/>
                <w:kern w:val="0"/>
                <w:sz w:val="24"/>
              </w:rPr>
            </w:pPr>
            <w:r>
              <w:rPr>
                <w:rFonts w:hint="default" w:ascii="Times New Roman" w:hAnsi="Times New Roman" w:cs="Times New Roman"/>
                <w:kern w:val="0"/>
                <w:sz w:val="24"/>
              </w:rPr>
              <w:t>（2）地表水</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项目所在地表水体为清水河与清水河中下游右岸一级支流白石头沟流域，执行《地表水环境质量标准》（GB 3838-2002）表1中Ⅲ类标准。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w:t>
            </w:r>
            <w:r>
              <w:rPr>
                <w:rFonts w:hint="eastAsia" w:eastAsia="黑体" w:cs="Times New Roman"/>
                <w:kern w:val="0"/>
                <w:sz w:val="24"/>
                <w:lang w:val="en-US" w:eastAsia="zh-CN"/>
              </w:rPr>
              <w:t>10</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地表水环境质量标准表</w:t>
            </w:r>
          </w:p>
          <w:tbl>
            <w:tblPr>
              <w:tblStyle w:val="18"/>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721"/>
              <w:gridCol w:w="1506"/>
              <w:gridCol w:w="847"/>
              <w:gridCol w:w="2076"/>
              <w:gridCol w:w="160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污染物名称</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标准值(mg/L)</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污染物名称</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标准值(mg/L)</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pH（无量纲）</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6~9</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12</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硒</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溶解氧</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13</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砷</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高锰酸盐指数</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14</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汞</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≤0.0001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化学需氧量</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≤20.0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15</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镉</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五日生化需氧量</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16</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六价铬</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氨氮</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17</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铅</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7</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总磷</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≤0.05</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18</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氰化物</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8</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总氮</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19</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挥发酚</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9</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铜</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20</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石油类</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≤0.050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锌</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21</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阴离子表面活性剂</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418"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11</w:t>
                  </w:r>
                </w:p>
              </w:tc>
              <w:tc>
                <w:tcPr>
                  <w:tcW w:w="1016"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氟化物</w:t>
                  </w:r>
                </w:p>
              </w:tc>
              <w:tc>
                <w:tcPr>
                  <w:tcW w:w="88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500"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22</w:t>
                  </w:r>
                </w:p>
              </w:tc>
              <w:tc>
                <w:tcPr>
                  <w:tcW w:w="1225"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硫化物</w:t>
                  </w:r>
                </w:p>
              </w:tc>
              <w:tc>
                <w:tcPr>
                  <w:tcW w:w="949" w:type="pct"/>
                  <w:tcBorders>
                    <w:tl2br w:val="nil"/>
                    <w:tr2bl w:val="nil"/>
                  </w:tcBorders>
                  <w:vAlign w:val="center"/>
                </w:tcPr>
                <w:p>
                  <w:pPr>
                    <w:keepNext w:val="0"/>
                    <w:keepLines w:val="0"/>
                    <w:suppressLineNumbers w:val="0"/>
                    <w:adjustRightIn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≤0.2</w:t>
                  </w:r>
                </w:p>
              </w:tc>
            </w:tr>
          </w:tbl>
          <w:p>
            <w:pPr>
              <w:keepNext w:val="0"/>
              <w:keepLines w:val="0"/>
              <w:suppressLineNumbers w:val="0"/>
              <w:adjustRightInd w:val="0"/>
              <w:snapToGrid w:val="0"/>
              <w:spacing w:before="0" w:beforeAutospacing="0" w:after="0" w:afterAutospacing="0" w:line="360" w:lineRule="auto"/>
              <w:ind w:left="0" w:right="0" w:firstLine="240" w:firstLineChars="100"/>
              <w:jc w:val="left"/>
              <w:rPr>
                <w:rFonts w:hint="default" w:ascii="Times New Roman" w:hAnsi="Times New Roman" w:cs="Times New Roman"/>
                <w:kern w:val="0"/>
                <w:sz w:val="24"/>
              </w:rPr>
            </w:pPr>
            <w:r>
              <w:rPr>
                <w:rFonts w:hint="default" w:ascii="Times New Roman" w:hAnsi="Times New Roman" w:cs="Times New Roman"/>
                <w:kern w:val="0"/>
                <w:sz w:val="24"/>
              </w:rPr>
              <w:t>（3）声环境</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本项目所在位置尚未划定声环境功能区划，乡村区域一般不划分声环境功能区，村庄原则上执行1类声环境功能区要求。因此依据《声环境功能区划分技术规范》(GB/T15190-2014)分析并结合实际情况，执行《声环境质量标准》（GB3096-2008）中1类标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表1</w:t>
            </w:r>
            <w:r>
              <w:rPr>
                <w:rFonts w:hint="eastAsia" w:eastAsia="黑体" w:cs="Times New Roman"/>
                <w:kern w:val="0"/>
                <w:sz w:val="24"/>
                <w:lang w:val="en-US" w:eastAsia="zh-CN"/>
              </w:rPr>
              <w:t>1</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声环境质量标准表</w:t>
            </w:r>
          </w:p>
          <w:tbl>
            <w:tblPr>
              <w:tblStyle w:val="18"/>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23"/>
              <w:gridCol w:w="3352"/>
              <w:gridCol w:w="28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50" w:hRule="atLeast"/>
              </w:trPr>
              <w:tc>
                <w:tcPr>
                  <w:tcW w:w="131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napToGrid w:val="0"/>
                      <w:kern w:val="0"/>
                      <w:szCs w:val="21"/>
                    </w:rPr>
                  </w:pPr>
                  <w:r>
                    <w:rPr>
                      <w:rFonts w:hint="default" w:ascii="Times New Roman" w:hAnsi="Times New Roman" w:cs="Times New Roman"/>
                      <w:b/>
                      <w:snapToGrid w:val="0"/>
                      <w:kern w:val="0"/>
                      <w:szCs w:val="21"/>
                    </w:rPr>
                    <w:t>类别</w:t>
                  </w:r>
                </w:p>
              </w:tc>
              <w:tc>
                <w:tcPr>
                  <w:tcW w:w="198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napToGrid w:val="0"/>
                      <w:kern w:val="0"/>
                      <w:szCs w:val="21"/>
                    </w:rPr>
                  </w:pPr>
                  <w:r>
                    <w:rPr>
                      <w:rFonts w:hint="default" w:ascii="Times New Roman" w:hAnsi="Times New Roman" w:cs="Times New Roman"/>
                      <w:b/>
                      <w:snapToGrid w:val="0"/>
                      <w:kern w:val="0"/>
                      <w:szCs w:val="21"/>
                    </w:rPr>
                    <w:t>昼间</w:t>
                  </w:r>
                </w:p>
              </w:tc>
              <w:tc>
                <w:tcPr>
                  <w:tcW w:w="170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napToGrid w:val="0"/>
                      <w:kern w:val="0"/>
                      <w:szCs w:val="21"/>
                    </w:rPr>
                  </w:pPr>
                  <w:r>
                    <w:rPr>
                      <w:rFonts w:hint="default" w:ascii="Times New Roman" w:hAnsi="Times New Roman" w:cs="Times New Roman"/>
                      <w:b/>
                      <w:snapToGrid w:val="0"/>
                      <w:kern w:val="0"/>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 w:hRule="atLeast"/>
              </w:trPr>
              <w:tc>
                <w:tcPr>
                  <w:tcW w:w="131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napToGrid w:val="0"/>
                      <w:kern w:val="0"/>
                      <w:szCs w:val="21"/>
                    </w:rPr>
                  </w:pPr>
                  <w:r>
                    <w:rPr>
                      <w:rFonts w:hint="default" w:ascii="Times New Roman" w:hAnsi="Times New Roman" w:cs="Times New Roman"/>
                      <w:snapToGrid w:val="0"/>
                      <w:kern w:val="0"/>
                      <w:szCs w:val="21"/>
                    </w:rPr>
                    <w:t>1类</w:t>
                  </w:r>
                </w:p>
              </w:tc>
              <w:tc>
                <w:tcPr>
                  <w:tcW w:w="198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napToGrid w:val="0"/>
                      <w:kern w:val="0"/>
                      <w:szCs w:val="21"/>
                    </w:rPr>
                  </w:pPr>
                  <w:r>
                    <w:rPr>
                      <w:rFonts w:hint="default" w:ascii="Times New Roman" w:hAnsi="Times New Roman" w:cs="Times New Roman"/>
                      <w:snapToGrid w:val="0"/>
                      <w:kern w:val="0"/>
                      <w:szCs w:val="21"/>
                    </w:rPr>
                    <w:t>55</w:t>
                  </w:r>
                </w:p>
              </w:tc>
              <w:tc>
                <w:tcPr>
                  <w:tcW w:w="170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napToGrid w:val="0"/>
                      <w:kern w:val="0"/>
                      <w:szCs w:val="21"/>
                    </w:rPr>
                  </w:pPr>
                  <w:r>
                    <w:rPr>
                      <w:rFonts w:hint="default" w:ascii="Times New Roman" w:hAnsi="Times New Roman" w:cs="Times New Roman"/>
                      <w:snapToGrid w:val="0"/>
                      <w:kern w:val="0"/>
                      <w:szCs w:val="21"/>
                    </w:rPr>
                    <w:t>45</w:t>
                  </w:r>
                </w:p>
              </w:tc>
            </w:tr>
          </w:tbl>
          <w:p>
            <w:pPr>
              <w:keepNext w:val="0"/>
              <w:keepLines w:val="0"/>
              <w:suppressLineNumbers w:val="0"/>
              <w:adjustRightInd w:val="0"/>
              <w:snapToGrid w:val="0"/>
              <w:spacing w:before="0" w:beforeAutospacing="0" w:after="0" w:afterAutospacing="0" w:line="360" w:lineRule="auto"/>
              <w:ind w:left="0" w:right="0" w:firstLine="482" w:firstLineChars="200"/>
              <w:jc w:val="left"/>
              <w:rPr>
                <w:rFonts w:hint="default" w:ascii="Times New Roman" w:hAnsi="Times New Roman" w:cs="Times New Roman"/>
                <w:b/>
                <w:bCs/>
                <w:kern w:val="0"/>
                <w:sz w:val="24"/>
              </w:rPr>
            </w:pPr>
            <w:r>
              <w:rPr>
                <w:rFonts w:hint="default" w:ascii="Times New Roman" w:hAnsi="Times New Roman" w:cs="Times New Roman"/>
                <w:b/>
                <w:bCs/>
                <w:kern w:val="0"/>
                <w:sz w:val="24"/>
              </w:rPr>
              <w:t>2、污染物排放标准</w:t>
            </w:r>
          </w:p>
          <w:p>
            <w:pPr>
              <w:keepNext w:val="0"/>
              <w:keepLines w:val="0"/>
              <w:suppressLineNumbers w:val="0"/>
              <w:adjustRightInd w:val="0"/>
              <w:snapToGrid w:val="0"/>
              <w:spacing w:before="0" w:beforeAutospacing="0" w:after="0" w:afterAutospacing="0" w:line="360" w:lineRule="auto"/>
              <w:ind w:left="0" w:right="0" w:firstLine="240" w:firstLineChars="100"/>
              <w:jc w:val="left"/>
              <w:rPr>
                <w:rFonts w:hint="default" w:ascii="Times New Roman" w:hAnsi="Times New Roman" w:cs="Times New Roman"/>
                <w:kern w:val="0"/>
                <w:sz w:val="24"/>
              </w:rPr>
            </w:pPr>
            <w:r>
              <w:rPr>
                <w:rFonts w:hint="default" w:ascii="Times New Roman" w:hAnsi="Times New Roman" w:cs="Times New Roman"/>
                <w:kern w:val="0"/>
                <w:sz w:val="24"/>
              </w:rPr>
              <w:t>（1）废气</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本项目施工期产生的废气执行《大气污染物综合排放标准》（GB16297-1996）中无组织排放监控浓度限值。</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表1</w:t>
            </w:r>
            <w:r>
              <w:rPr>
                <w:rFonts w:hint="eastAsia" w:eastAsia="黑体" w:cs="Times New Roman"/>
                <w:kern w:val="0"/>
                <w:sz w:val="24"/>
                <w:lang w:val="en-US" w:eastAsia="zh-CN"/>
              </w:rPr>
              <w:t>2</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废气污染物排放限值  单位：mg/m</w:t>
            </w:r>
            <w:r>
              <w:rPr>
                <w:rFonts w:hint="default" w:ascii="Times New Roman" w:hAnsi="Times New Roman" w:eastAsia="黑体" w:cs="Times New Roman"/>
                <w:kern w:val="0"/>
                <w:sz w:val="24"/>
                <w:vertAlign w:val="superscript"/>
              </w:rPr>
              <w:t>3</w:t>
            </w:r>
          </w:p>
          <w:tbl>
            <w:tblPr>
              <w:tblStyle w:val="19"/>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278"/>
              <w:gridCol w:w="2897"/>
              <w:gridCol w:w="22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57" w:hRule="atLeast"/>
              </w:trPr>
              <w:tc>
                <w:tcPr>
                  <w:tcW w:w="1936" w:type="pct"/>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污染物</w:t>
                  </w:r>
                </w:p>
              </w:tc>
              <w:tc>
                <w:tcPr>
                  <w:tcW w:w="3063"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无组织排放监控浓度限值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936" w:type="pct"/>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p>
              </w:tc>
              <w:tc>
                <w:tcPr>
                  <w:tcW w:w="171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监控点</w:t>
                  </w:r>
                </w:p>
              </w:tc>
              <w:tc>
                <w:tcPr>
                  <w:tcW w:w="135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936"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颗粒物</w:t>
                  </w:r>
                </w:p>
              </w:tc>
              <w:tc>
                <w:tcPr>
                  <w:tcW w:w="171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周界外浓度最高点</w:t>
                  </w:r>
                </w:p>
              </w:tc>
              <w:tc>
                <w:tcPr>
                  <w:tcW w:w="135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r>
          </w:tbl>
          <w:p>
            <w:pPr>
              <w:keepNext w:val="0"/>
              <w:keepLines w:val="0"/>
              <w:suppressLineNumbers w:val="0"/>
              <w:adjustRightInd w:val="0"/>
              <w:snapToGrid w:val="0"/>
              <w:spacing w:before="0" w:beforeAutospacing="0" w:after="0" w:afterAutospacing="0" w:line="360" w:lineRule="auto"/>
              <w:ind w:left="0" w:right="0" w:firstLine="240" w:firstLineChars="100"/>
              <w:jc w:val="left"/>
              <w:rPr>
                <w:rFonts w:hint="default" w:ascii="Times New Roman" w:hAnsi="Times New Roman" w:cs="Times New Roman"/>
                <w:kern w:val="0"/>
                <w:sz w:val="24"/>
              </w:rPr>
            </w:pPr>
            <w:r>
              <w:rPr>
                <w:rFonts w:hint="default" w:ascii="Times New Roman" w:hAnsi="Times New Roman" w:cs="Times New Roman"/>
                <w:kern w:val="0"/>
                <w:sz w:val="24"/>
              </w:rPr>
              <w:t>（2）噪声</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本项目施工期噪声排放执行《建筑施工场界环境噪声排放标</w:t>
            </w:r>
            <w:r>
              <w:rPr>
                <w:rFonts w:hint="default" w:ascii="Times New Roman" w:hAnsi="Times New Roman" w:cs="Times New Roman"/>
                <w:kern w:val="0"/>
                <w:sz w:val="24"/>
                <w:lang w:eastAsia="zh-CN"/>
              </w:rPr>
              <w:t>》</w:t>
            </w:r>
            <w:r>
              <w:rPr>
                <w:rFonts w:hint="default" w:ascii="Times New Roman" w:hAnsi="Times New Roman" w:cs="Times New Roman"/>
                <w:kern w:val="0"/>
                <w:sz w:val="24"/>
              </w:rPr>
              <w:t>（GB12523-2011）表1限值。</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表1</w:t>
            </w:r>
            <w:r>
              <w:rPr>
                <w:rFonts w:hint="eastAsia" w:eastAsia="黑体" w:cs="Times New Roman"/>
                <w:kern w:val="0"/>
                <w:sz w:val="24"/>
                <w:lang w:val="en-US" w:eastAsia="zh-CN"/>
              </w:rPr>
              <w:t>3</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噪声排放限值  单位：dB(A)</w:t>
            </w:r>
          </w:p>
          <w:tbl>
            <w:tblPr>
              <w:tblStyle w:val="18"/>
              <w:tblW w:w="499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0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16"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昼间</w:t>
                  </w:r>
                </w:p>
              </w:tc>
              <w:tc>
                <w:tcPr>
                  <w:tcW w:w="248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16"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70</w:t>
                  </w:r>
                </w:p>
              </w:tc>
              <w:tc>
                <w:tcPr>
                  <w:tcW w:w="248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55</w:t>
                  </w:r>
                </w:p>
              </w:tc>
            </w:tr>
          </w:tbl>
          <w:p>
            <w:pPr>
              <w:keepNext w:val="0"/>
              <w:keepLines w:val="0"/>
              <w:suppressLineNumbers w:val="0"/>
              <w:adjustRightInd w:val="0"/>
              <w:snapToGrid w:val="0"/>
              <w:spacing w:before="0" w:beforeAutospacing="0" w:after="0" w:afterAutospacing="0" w:line="360" w:lineRule="auto"/>
              <w:ind w:left="0" w:right="0" w:firstLine="482" w:firstLineChars="200"/>
              <w:jc w:val="left"/>
              <w:rPr>
                <w:rFonts w:hint="default" w:ascii="Times New Roman" w:hAnsi="Times New Roman" w:cs="Times New Roman"/>
                <w:b/>
                <w:bCs/>
                <w:kern w:val="0"/>
                <w:sz w:val="24"/>
              </w:rPr>
            </w:pPr>
            <w:r>
              <w:rPr>
                <w:rFonts w:hint="default" w:ascii="Times New Roman" w:hAnsi="Times New Roman" w:cs="Times New Roman"/>
                <w:b/>
                <w:bCs/>
                <w:kern w:val="0"/>
                <w:sz w:val="24"/>
              </w:rPr>
              <w:t>3、其他标准</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《一般工业固体废物贮存和填埋污染控制标准》（GB18599-2020）；</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《生产建设项目水土流失防治标准》（GB50434-2018）。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4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其他</w:t>
            </w:r>
          </w:p>
        </w:tc>
        <w:tc>
          <w:tcPr>
            <w:tcW w:w="871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kern w:val="0"/>
                <w:sz w:val="24"/>
              </w:rPr>
            </w:pPr>
            <w:r>
              <w:rPr>
                <w:rFonts w:hint="default" w:ascii="Times New Roman" w:hAnsi="Times New Roman" w:cs="Times New Roman"/>
                <w:kern w:val="0"/>
                <w:sz w:val="24"/>
              </w:rPr>
              <w:t>无</w:t>
            </w:r>
          </w:p>
        </w:tc>
      </w:tr>
    </w:tbl>
    <w:p>
      <w:pPr>
        <w:pStyle w:val="15"/>
        <w:adjustRightInd w:val="0"/>
        <w:snapToGrid w:val="0"/>
        <w:spacing w:before="0" w:beforeAutospacing="0" w:after="0" w:afterAutospacing="0" w:line="14" w:lineRule="auto"/>
        <w:jc w:val="center"/>
        <w:outlineLvl w:val="0"/>
        <w:rPr>
          <w:rFonts w:hint="default" w:ascii="Times New Roman" w:hAnsi="Times New Roman" w:eastAsia="黑体" w:cs="Times New Roman"/>
          <w:snapToGrid w:val="0"/>
          <w:kern w:val="2"/>
          <w:sz w:val="36"/>
          <w:szCs w:val="36"/>
        </w:rPr>
      </w:pPr>
    </w:p>
    <w:p>
      <w:pPr>
        <w:pStyle w:val="15"/>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kern w:val="2"/>
          <w:sz w:val="36"/>
          <w:szCs w:val="36"/>
        </w:rPr>
        <w:br w:type="page"/>
      </w:r>
      <w:r>
        <w:rPr>
          <w:rFonts w:hint="default" w:ascii="Times New Roman" w:hAnsi="Times New Roman" w:eastAsia="黑体" w:cs="Times New Roman"/>
          <w:snapToGrid w:val="0"/>
          <w:sz w:val="30"/>
          <w:szCs w:val="30"/>
        </w:rPr>
        <w:t>四、生态环境影响分析</w:t>
      </w:r>
    </w:p>
    <w:tbl>
      <w:tblPr>
        <w:tblStyle w:val="18"/>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9"/>
        <w:gridCol w:w="83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879" w:type="dxa"/>
            <w:tcMar>
              <w:left w:w="28" w:type="dxa"/>
              <w:right w:w="28" w:type="dxa"/>
            </w:tcMar>
            <w:vAlign w:val="center"/>
          </w:tcPr>
          <w:p>
            <w:pPr>
              <w:pStyle w:val="15"/>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kern w:val="2"/>
              </w:rPr>
            </w:pPr>
            <w:bookmarkStart w:id="3" w:name="_Hlk49796138"/>
            <w:r>
              <w:rPr>
                <w:rFonts w:hint="default" w:ascii="Times New Roman" w:hAnsi="Times New Roman" w:cs="Times New Roman"/>
                <w:bCs/>
                <w:spacing w:val="10"/>
                <w:kern w:val="2"/>
              </w:rPr>
              <w:t>施工期生态环境影响分析</w:t>
            </w:r>
            <w:bookmarkEnd w:id="3"/>
          </w:p>
        </w:tc>
        <w:tc>
          <w:tcPr>
            <w:tcW w:w="8363" w:type="dxa"/>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sz w:val="24"/>
              </w:rPr>
            </w:pPr>
            <w:r>
              <w:rPr>
                <w:rFonts w:hint="default" w:ascii="Times New Roman" w:hAnsi="Times New Roman" w:cs="Times New Roman"/>
                <w:b/>
                <w:sz w:val="24"/>
              </w:rPr>
              <w:t>1、生态环境影响分析</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（1）对土地利用的影响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根据现场实地调查，本项目占地主要为荒地。新增永久占地有护岸延长部分和排水边沟占用部分，临时用地有开挖土方堆放部分。施工期土地占用对生态环境的影响主要有：</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①工程施工期间，施工人员，机械、设备、建材等进入施工现场，将产生扬尘，对周围环境有一定的影响。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②土石方开挖、汽车运输等施工活动，增加了周围空气的含尘浓度，但由于施工作业分段进行，其影响很小。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③施工期间加强对施工机械的管理及保养，提高机械使用效率，减轻对环境的影响。建设期破坏的植被，工程完工后要尽快恢复。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④施工便道的修建，将破坏河堤或堤外灌草植被。由于这部分土质较差，植被破坏后在短期内难以恢复，施工结束后应对河堤等重要地段实施必要的人工植被恢复抚育措施；</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⑤永久占地，将压占原有的植被类型，使压占区域植被类型改变，将由原来的草地、灌丛转变为无植被的建设用地和水面，从而对植被生物量造成损失。</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总之，临时性工程占地短期内将影响沿线土地的利用状况，施工结束后，随着土地平整、水土保持等措施恢复实施，这一影响将逐渐减小或消失；由于工程永久占地范围内植物资源均为常见种，尽管会降低区域植被生物量，但相对整个区域来说，该影响值非常小，生态体系可以通过其自身进行调节。随着工程的投运，沿线生态系统的长期稳定运行，工程压占损失植被的生产力和生物量相应地将得到一定程度的恢复。</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（2）对植被影响分析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工程永久占地和临时占地不可避免的对地表产生扰动，进而对地表植物资源产生影响。本次工程占地主要涉及到荒地类型。</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工程占压范围内植物资源均为常见种，没有珍稀保护植物，物种多样性指数不高，植被覆盖率相对较低，因此工程施工对区域生物多样性的影响相对较小。但会导致区域植被覆盖率、生物量少量的减少。</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按照生态学理论，河岸沿线的植被破坏具有暂时性，一般施工结束后而终止。根据项目河段所经地区的土壤、气候等自然条件分析，施工结束后，周围植物渐次侵入，开始进入恢复演替过程。</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如果采用人工植树种草的措施恢复植被的覆盖度，与自然恢复相比可以加快恢复进程，一般区域2-3年可恢复草本植被，3-5年恢复灌木植被，10-15年恢复乔木植被。</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（3）对土壤的影响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项目施工对土壤进行开挖和回填，其对土壤环境的影响主要表现在：</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①破坏土壤结构</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土壤中的分层特征和团粒结构是在当地自然条件下经过较长期的发育过程形成的，施工过程中对土地的开挖和填埋会破坏原有土壤结构，恢复需要较长的时间；同时施工过程中的机械碾压、人员践踏等活动均会对土壤结构产生不良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②改变土壤质地</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土壤在形成过程中层次分明，表层为耕作层，中层为淋溶淀积层，底层是母质层。土壤表层与底层的质地有明显差异，施工开挖和回填混合了原有较为稳定的土层，不同土层混合在一起，影响土壤发育和植物生长。</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③影响土壤密实度</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回填后短时间内难以恢复其原有的密实度。表层疏松，灌溉和降水易造成水分下渗，使土层明显下陷形成凹沟。施工期间的车辆和重型机械会造成管道两侧土壤表层过于密实，影响地表水的入渗，不利于农作物生长。</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④土壤养分流失</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在土壤剖面中各个土层中，就养分状况而言，表土层（腐殖质层、耕作层）远比心土层养分好，其有机质、全氮、全磷均较其他层次高。施工的开挖和填埋活动对原有土壤的土体构型产生扰动，使土壤性质发生变化，土壤养分状况受到影响，从而影响植物的生长。</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⑤施工临时占地的影响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中由于临时堆放设备材料，施工作业带需临时占地，占地类型主要为荒草地，占用地主要用于挖掘土的堆积、建材堆放、临时施工用地等。由于施工中的施工人员，机械、设备、建材等进入施工现场、土地被扰动等因素，对地表植被破坏，土壤的理化性质、肥力水平都会产生影响，项目结束后将对临时占地予以恢复，种植人工草本植物，以当地种为主可以使地面植被很快得以恢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本项目</w:t>
            </w:r>
            <w:r>
              <w:rPr>
                <w:rFonts w:hint="eastAsia" w:cs="Times New Roman"/>
                <w:bCs/>
                <w:sz w:val="24"/>
                <w:lang w:val="en-US" w:eastAsia="zh-CN"/>
              </w:rPr>
              <w:t>挖取土方</w:t>
            </w:r>
            <w:r>
              <w:rPr>
                <w:rFonts w:hint="default" w:ascii="Times New Roman" w:hAnsi="Times New Roman" w:cs="Times New Roman"/>
                <w:bCs/>
                <w:sz w:val="24"/>
              </w:rPr>
              <w:t>全部用于工程土地平整，不设弃土场。在施工结束后，安排土地平整、土地恢复措施。施工结束后应及时采取土地平整+表层土填埋+植被恢复。工程占用土地，会造成水土流失，除了表层土保留，工程施工结束后土地平整、表层土覆盖以外，也应该采取积极的植被恢复改善措施，可借鉴已建工程植被恢复经验，采用灌木+草本的模式改善植被情况，物种采用冰草、紫穗槐等当地物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⑥对土壤生物的影响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由于上述土壤理化性质和土体构型的改变，使土壤中的微生物、原生动物及其他节肢动物、环节动物、软休动物的栖息环境改变。由于本工程施工范围内无珍稀土壤生物，施工带影响宽度较小，因此施工期对土壤生物的生态平衡破坏很快会恢复。</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（4）对野生动物的影响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机械噪声和人员活动噪声是对野生动物影响的主要影响因素。各种施工机械，如运输车辆、推土机、挖掘机、打桩机、混凝土搅拌机、振捣棒等均可产生较强烈的噪声，虽然这些施工噪声属非连续排放，但由于噪声源相对集中，多为裸露声源，故其噪声幅射范围及影响相对较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项目区域无大型或珍稀保护动物，主要为鸟类，多为常见种，且由于施工场地相对于该区域建设基地面积较小，项目的建设只是在小范围内暂时改变了动物的栖息环境，不会引起物种消失和生物多样性的减少，施工期对野生动物的影响很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综上所述，由于工程施工周期短，施工作业面较小，对生态环境影响是有限的，随着工程的施工期结束，影响也随之结束。因此，项目建设不会对保护区重点保护野生动物及其栖息地产生较大影响。</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（5）水土流失的影响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项目区地处西北内陆，属干旱与半干旱气候过渡带，具有典型的大陆性气候，春暖快、夏热短、秋凉早、冬寒长，干旱少雨、风大沙多、日照充足、蒸发强烈。主要自然灾害有干旱、霜冻、冰雹、大风、风沙等。项目区土壤利用类型以荒地为主，且土壤植被覆盖率相对较低，土壤受扰动后侵蚀模数增值相对较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由于工程建设中占用土地和大量开挖移动土方，不可避免损坏原有地貌植被，造成新的水土流失，对项目区的生态环境带来不利影响。</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sz w:val="24"/>
              </w:rPr>
            </w:pPr>
            <w:r>
              <w:rPr>
                <w:rFonts w:hint="default" w:ascii="Times New Roman" w:hAnsi="Times New Roman" w:cs="Times New Roman"/>
                <w:b/>
                <w:sz w:val="24"/>
              </w:rPr>
              <w:t>2、污染影响分析</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（1）大气环境影响分析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本项目施工期产生的大气污染主要来自施工作业产生的扬尘，车辆运输带起的扬尘，建筑材料的堆放、装卸过程产生的扬尘和施工机械、车辆尾气。</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①施工扬尘</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施工扬尘污染主要造成大气中TSP值增高，根据类比资料，施工扬尘的起尘量与许多因素有关。包括：基础开挖起尘量、施工渣土堆场起尘量、进出车辆带泥砂量、起尘高度、采取的防护措施、空气湿度、风速等。</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扬尘的浓度与施工现场条件、施工管理水平、施工机械化程度及施工季节、建设地区土质及天气等诸多因素有关。本次评价采用类比法对施工过程产生的扬尘情况进行分析。距施工场地不同距离处的大气环境中TSP浓度值见</w:t>
            </w:r>
            <w:r>
              <w:rPr>
                <w:rFonts w:hint="default" w:ascii="Times New Roman" w:hAnsi="Times New Roman" w:cs="Times New Roman"/>
                <w:b/>
                <w:bCs w:val="0"/>
                <w:sz w:val="24"/>
              </w:rPr>
              <w:t>表</w:t>
            </w:r>
            <w:r>
              <w:rPr>
                <w:rFonts w:hint="default" w:ascii="Times New Roman" w:hAnsi="Times New Roman" w:cs="Times New Roman"/>
                <w:b/>
                <w:bCs w:val="0"/>
                <w:sz w:val="24"/>
                <w:lang w:val="en-US" w:eastAsia="zh-CN"/>
              </w:rPr>
              <w:t>1</w:t>
            </w:r>
            <w:r>
              <w:rPr>
                <w:rFonts w:hint="eastAsia" w:cs="Times New Roman"/>
                <w:b/>
                <w:bCs w:val="0"/>
                <w:sz w:val="24"/>
                <w:lang w:val="en-US" w:eastAsia="zh-CN"/>
              </w:rPr>
              <w:t>4</w:t>
            </w:r>
            <w:r>
              <w:rPr>
                <w:rFonts w:hint="default" w:ascii="Times New Roman" w:hAnsi="Times New Roman" w:cs="Times New Roman"/>
                <w:bCs/>
                <w:sz w:val="24"/>
              </w:rPr>
              <w:t>。</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表1</w:t>
            </w:r>
            <w:r>
              <w:rPr>
                <w:rFonts w:hint="eastAsia" w:eastAsia="黑体" w:cs="Times New Roman"/>
                <w:kern w:val="0"/>
                <w:sz w:val="24"/>
                <w:lang w:val="en-US" w:eastAsia="zh-CN"/>
              </w:rPr>
              <w:t>4</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距施工场地不同距离处的大气环境中TSP浓度变化表（风速2.8m/s）</w:t>
            </w:r>
          </w:p>
          <w:tbl>
            <w:tblPr>
              <w:tblStyle w:val="19"/>
              <w:tblW w:w="4996"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24"/>
              <w:gridCol w:w="997"/>
              <w:gridCol w:w="997"/>
              <w:gridCol w:w="999"/>
              <w:gridCol w:w="999"/>
              <w:gridCol w:w="999"/>
              <w:gridCol w:w="1048"/>
              <w:gridCol w:w="10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631"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距离(m)</w:t>
                  </w:r>
                </w:p>
              </w:tc>
              <w:tc>
                <w:tcPr>
                  <w:tcW w:w="61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10</w:t>
                  </w:r>
                </w:p>
              </w:tc>
              <w:tc>
                <w:tcPr>
                  <w:tcW w:w="61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20</w:t>
                  </w:r>
                </w:p>
              </w:tc>
              <w:tc>
                <w:tcPr>
                  <w:tcW w:w="61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30</w:t>
                  </w:r>
                </w:p>
              </w:tc>
              <w:tc>
                <w:tcPr>
                  <w:tcW w:w="61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40</w:t>
                  </w:r>
                </w:p>
              </w:tc>
              <w:tc>
                <w:tcPr>
                  <w:tcW w:w="61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50</w:t>
                  </w:r>
                </w:p>
              </w:tc>
              <w:tc>
                <w:tcPr>
                  <w:tcW w:w="64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100</w:t>
                  </w:r>
                </w:p>
              </w:tc>
              <w:tc>
                <w:tcPr>
                  <w:tcW w:w="64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631"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浓度(mg/m</w:t>
                  </w:r>
                  <w:r>
                    <w:rPr>
                      <w:rFonts w:hint="default" w:ascii="Times New Roman" w:hAnsi="Times New Roman" w:cs="Times New Roman"/>
                      <w:b/>
                      <w:szCs w:val="21"/>
                      <w:vertAlign w:val="superscript"/>
                    </w:rPr>
                    <w:t>3</w:t>
                  </w:r>
                  <w:r>
                    <w:rPr>
                      <w:rFonts w:hint="default" w:ascii="Times New Roman" w:hAnsi="Times New Roman" w:cs="Times New Roman"/>
                      <w:b/>
                      <w:szCs w:val="21"/>
                    </w:rPr>
                    <w:t>)</w:t>
                  </w:r>
                </w:p>
              </w:tc>
              <w:tc>
                <w:tcPr>
                  <w:tcW w:w="61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1.75</w:t>
                  </w:r>
                </w:p>
              </w:tc>
              <w:tc>
                <w:tcPr>
                  <w:tcW w:w="61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1.30</w:t>
                  </w:r>
                </w:p>
              </w:tc>
              <w:tc>
                <w:tcPr>
                  <w:tcW w:w="61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0.78</w:t>
                  </w:r>
                </w:p>
              </w:tc>
              <w:tc>
                <w:tcPr>
                  <w:tcW w:w="61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0.365</w:t>
                  </w:r>
                </w:p>
              </w:tc>
              <w:tc>
                <w:tcPr>
                  <w:tcW w:w="61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0.345</w:t>
                  </w:r>
                </w:p>
              </w:tc>
              <w:tc>
                <w:tcPr>
                  <w:tcW w:w="64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0.33</w:t>
                  </w:r>
                </w:p>
              </w:tc>
              <w:tc>
                <w:tcPr>
                  <w:tcW w:w="64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0.29</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由上表可知，本项目施工期产生的施工扬尘的影响范围主要为工地下风向200m范围内，受影响区域的TSP浓度平均值为0.29~1.75mg/m</w:t>
            </w:r>
            <w:r>
              <w:rPr>
                <w:rFonts w:hint="default" w:ascii="Times New Roman" w:hAnsi="Times New Roman" w:cs="Times New Roman"/>
                <w:bCs/>
                <w:sz w:val="24"/>
                <w:vertAlign w:val="superscript"/>
              </w:rPr>
              <w:t>3</w:t>
            </w:r>
            <w:r>
              <w:rPr>
                <w:rFonts w:hint="default" w:ascii="Times New Roman" w:hAnsi="Times New Roman" w:cs="Times New Roman"/>
                <w:bCs/>
                <w:sz w:val="24"/>
              </w:rPr>
              <w:t>。项目周边200m范围内存在环境敏感目标（</w:t>
            </w:r>
            <w:r>
              <w:rPr>
                <w:rFonts w:hint="eastAsia" w:cs="Times New Roman"/>
                <w:bCs/>
                <w:sz w:val="24"/>
                <w:lang w:eastAsia="zh-CN"/>
              </w:rPr>
              <w:t>上河湾</w:t>
            </w:r>
            <w:r>
              <w:rPr>
                <w:rFonts w:hint="default" w:ascii="Times New Roman" w:hAnsi="Times New Roman" w:cs="Times New Roman"/>
                <w:bCs/>
                <w:sz w:val="24"/>
              </w:rPr>
              <w:t>村），因此施工扬尘如不采取防治措施，将对临近村民造成影响。</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②运输扬尘</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根据有关文献资料表明，车辆运输产生的扬尘占总扬尘的60%以上。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下表</w:t>
            </w:r>
            <w:r>
              <w:rPr>
                <w:rFonts w:hint="default" w:ascii="Times New Roman" w:hAnsi="Times New Roman" w:cs="Times New Roman"/>
                <w:bCs/>
                <w:sz w:val="24"/>
                <w:lang w:eastAsia="zh-CN"/>
              </w:rPr>
              <w:t>（</w:t>
            </w:r>
            <w:r>
              <w:rPr>
                <w:rFonts w:hint="default" w:ascii="Times New Roman" w:hAnsi="Times New Roman" w:cs="Times New Roman"/>
                <w:b/>
                <w:bCs w:val="0"/>
                <w:sz w:val="24"/>
                <w:lang w:val="en-US" w:eastAsia="zh-CN"/>
              </w:rPr>
              <w:t>表</w:t>
            </w:r>
            <w:r>
              <w:rPr>
                <w:rFonts w:hint="eastAsia" w:cs="Times New Roman"/>
                <w:b/>
                <w:bCs/>
                <w:color w:val="000000" w:themeColor="text1"/>
                <w:sz w:val="24"/>
                <w:u w:val="none"/>
                <w:lang w:val="en-US" w:eastAsia="zh-CN"/>
                <w14:textFill>
                  <w14:solidFill>
                    <w14:schemeClr w14:val="tx1"/>
                  </w14:solidFill>
                </w14:textFill>
              </w:rPr>
              <w:t>15</w:t>
            </w:r>
            <w:r>
              <w:rPr>
                <w:rFonts w:hint="default" w:ascii="Times New Roman" w:hAnsi="Times New Roman" w:cs="Times New Roman"/>
                <w:bCs/>
                <w:sz w:val="24"/>
                <w:lang w:eastAsia="zh-CN"/>
              </w:rPr>
              <w:t>）</w:t>
            </w:r>
            <w:r>
              <w:rPr>
                <w:rFonts w:hint="default" w:ascii="Times New Roman" w:hAnsi="Times New Roman" w:cs="Times New Roman"/>
                <w:bCs/>
                <w:sz w:val="24"/>
              </w:rPr>
              <w:t>为一辆载重10t的卡车，通过一段长度为1km的路面时，不同路面清洁程度，不同行驶速度情况下产生的扬尘量。由此可见，在同样路面清洁情况下，车速越快，扬尘量越大；而在同样车速情况下，路面清洁度越差，则扬尘量越大。</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表1</w:t>
            </w:r>
            <w:r>
              <w:rPr>
                <w:rFonts w:hint="eastAsia" w:eastAsia="黑体" w:cs="Times New Roman"/>
                <w:kern w:val="0"/>
                <w:sz w:val="24"/>
                <w:lang w:val="en-US" w:eastAsia="zh-CN"/>
              </w:rPr>
              <w:t>5</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不同车速和地面清洁程度时的汽车扬尘  单位：kg/辆·km</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60"/>
              <w:gridCol w:w="1163"/>
              <w:gridCol w:w="1163"/>
              <w:gridCol w:w="1164"/>
              <w:gridCol w:w="1164"/>
              <w:gridCol w:w="1164"/>
              <w:gridCol w:w="116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车速/清洁度</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0.1(kg/m</w:t>
                  </w:r>
                  <w:r>
                    <w:rPr>
                      <w:rFonts w:hint="default" w:ascii="Times New Roman" w:hAnsi="Times New Roman" w:cs="Times New Roman"/>
                      <w:b/>
                      <w:szCs w:val="21"/>
                      <w:vertAlign w:val="superscript"/>
                    </w:rPr>
                    <w:t>2</w:t>
                  </w:r>
                  <w:r>
                    <w:rPr>
                      <w:rFonts w:hint="default" w:ascii="Times New Roman" w:hAnsi="Times New Roman" w:cs="Times New Roman"/>
                      <w:b/>
                      <w:szCs w:val="21"/>
                    </w:rPr>
                    <w:t>)</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0.2(kg/m</w:t>
                  </w:r>
                  <w:r>
                    <w:rPr>
                      <w:rFonts w:hint="default" w:ascii="Times New Roman" w:hAnsi="Times New Roman" w:cs="Times New Roman"/>
                      <w:b/>
                      <w:szCs w:val="21"/>
                      <w:vertAlign w:val="superscript"/>
                    </w:rPr>
                    <w:t>2</w:t>
                  </w:r>
                  <w:r>
                    <w:rPr>
                      <w:rFonts w:hint="default" w:ascii="Times New Roman" w:hAnsi="Times New Roman" w:cs="Times New Roman"/>
                      <w:b/>
                      <w:szCs w:val="21"/>
                    </w:rPr>
                    <w:t>)</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0.3(kg/m</w:t>
                  </w:r>
                  <w:r>
                    <w:rPr>
                      <w:rFonts w:hint="default" w:ascii="Times New Roman" w:hAnsi="Times New Roman" w:cs="Times New Roman"/>
                      <w:b/>
                      <w:szCs w:val="21"/>
                      <w:vertAlign w:val="superscript"/>
                    </w:rPr>
                    <w:t>2</w:t>
                  </w:r>
                  <w:r>
                    <w:rPr>
                      <w:rFonts w:hint="default" w:ascii="Times New Roman" w:hAnsi="Times New Roman" w:cs="Times New Roman"/>
                      <w:b/>
                      <w:szCs w:val="21"/>
                    </w:rPr>
                    <w:t>)</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0.4(kg/m</w:t>
                  </w:r>
                  <w:r>
                    <w:rPr>
                      <w:rFonts w:hint="default" w:ascii="Times New Roman" w:hAnsi="Times New Roman" w:cs="Times New Roman"/>
                      <w:b/>
                      <w:szCs w:val="21"/>
                      <w:vertAlign w:val="superscript"/>
                    </w:rPr>
                    <w:t>2</w:t>
                  </w:r>
                  <w:r>
                    <w:rPr>
                      <w:rFonts w:hint="default" w:ascii="Times New Roman" w:hAnsi="Times New Roman" w:cs="Times New Roman"/>
                      <w:b/>
                      <w:szCs w:val="21"/>
                    </w:rPr>
                    <w:t>)</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0.5(kg/m</w:t>
                  </w:r>
                  <w:r>
                    <w:rPr>
                      <w:rFonts w:hint="default" w:ascii="Times New Roman" w:hAnsi="Times New Roman" w:cs="Times New Roman"/>
                      <w:b/>
                      <w:szCs w:val="21"/>
                      <w:vertAlign w:val="superscript"/>
                    </w:rPr>
                    <w:t>2</w:t>
                  </w:r>
                  <w:r>
                    <w:rPr>
                      <w:rFonts w:hint="default" w:ascii="Times New Roman" w:hAnsi="Times New Roman" w:cs="Times New Roman"/>
                      <w:b/>
                      <w:szCs w:val="21"/>
                    </w:rPr>
                    <w:t>)</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1.0(kg/m</w:t>
                  </w:r>
                  <w:r>
                    <w:rPr>
                      <w:rFonts w:hint="default" w:ascii="Times New Roman" w:hAnsi="Times New Roman" w:cs="Times New Roman"/>
                      <w:b/>
                      <w:szCs w:val="21"/>
                      <w:vertAlign w:val="superscript"/>
                    </w:rPr>
                    <w:t>2</w:t>
                  </w:r>
                  <w:r>
                    <w:rPr>
                      <w:rFonts w:hint="default" w:ascii="Times New Roman" w:hAnsi="Times New Roman" w:cs="Times New Roman"/>
                      <w:b/>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5(kg/h)</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0.0511</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0.0856</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0.1164</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0.1444</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0.1707</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0.2871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10(kg/h)</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0.1021</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0.1717</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0.2328</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0.2888</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0.3414</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0.5742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15(kg/h)</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0.1532</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0.2576</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0.3491</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0.4332</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0.5121</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0.8613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25(kg/h)</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0.2553</w:t>
                  </w:r>
                </w:p>
              </w:tc>
              <w:tc>
                <w:tcPr>
                  <w:tcW w:w="116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0.4293</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0.5819</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0.7220</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0.8536</w:t>
                  </w:r>
                </w:p>
              </w:tc>
              <w:tc>
                <w:tcPr>
                  <w:tcW w:w="1164"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Cs w:val="21"/>
                    </w:rPr>
                  </w:pPr>
                  <w:r>
                    <w:rPr>
                      <w:rFonts w:hint="default" w:ascii="Times New Roman" w:hAnsi="Times New Roman" w:cs="Times New Roman"/>
                      <w:bCs/>
                      <w:szCs w:val="21"/>
                    </w:rPr>
                    <w:t>1.4255</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由上表可知，在路面同样清洁程度下，车速越快，扬尘量越大，而在同样车速情况下，路面越脏，扬尘量越大。故限速和保持路面的清洁是减少车辆行驶扬尘源强的有效措施。</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③堆场扬尘</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期扬尘的另一个主要原因是露天堆场和裸露场地的风力扬尘。由于施工的需要，一些建材需露天堆放；一些施工点表层土壤需人工开挖、堆放，在气候干燥又有风的情况下，会产生扬尘，其扬尘量与粒径和含水率有关，因此，减少露天堆放和保证一定的含水率及减少裸露地面是减少风力起尘的有效手段。建设单位在施工期间应采取遮挡、苫盖、洒水的措施进行防尘处理，以减少施工期间的扬尘污染。</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④施工机械及车辆尾气</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期机械尾气主要来源于施工机械和运输车辆排放的废气，各种施工机械设备和运输车辆燃油排放的废气中含有CO、NOx、碳氢化合物等污染物，由于施工机械和选型以及施工阶段的不同，这些污染物具有间歇性、流动性及排放量小的特点；本项目施工期使用的施工机械主要以柴油为燃料，会产生少量的机械尾气，但本项目属于农村区域，周边扩散条件较好，故该废气经大气的扩散作用后，对周边环境影响较小，其对环境的影响也会随着施工期的完成而消失。</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（2）水环境影响分析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本项目不设施工营地，施工期废水主要为生活污水、生产废水，生活污水依托</w:t>
            </w:r>
            <w:r>
              <w:rPr>
                <w:rFonts w:hint="default" w:ascii="Times New Roman" w:hAnsi="Times New Roman" w:cs="Times New Roman"/>
                <w:bCs/>
                <w:sz w:val="24"/>
                <w:lang w:val="en-US" w:eastAsia="zh-CN"/>
              </w:rPr>
              <w:t>上河湾村现有</w:t>
            </w:r>
            <w:r>
              <w:rPr>
                <w:rFonts w:hint="default" w:ascii="Times New Roman" w:hAnsi="Times New Roman" w:cs="Times New Roman"/>
                <w:bCs/>
                <w:sz w:val="24"/>
              </w:rPr>
              <w:t>生活污水处理设施</w:t>
            </w:r>
            <w:r>
              <w:rPr>
                <w:rFonts w:hint="default" w:ascii="Times New Roman" w:hAnsi="Times New Roman" w:cs="Times New Roman"/>
                <w:bCs/>
                <w:sz w:val="24"/>
                <w:lang w:eastAsia="zh-CN"/>
              </w:rPr>
              <w:t>，</w:t>
            </w:r>
            <w:r>
              <w:rPr>
                <w:rFonts w:hint="default" w:ascii="Times New Roman" w:hAnsi="Times New Roman" w:cs="Times New Roman"/>
                <w:bCs/>
                <w:sz w:val="24"/>
                <w:lang w:val="en-US" w:eastAsia="zh-CN"/>
              </w:rPr>
              <w:t>生产废水</w:t>
            </w:r>
            <w:r>
              <w:rPr>
                <w:rFonts w:hint="default" w:ascii="Times New Roman" w:hAnsi="Times New Roman" w:cs="Times New Roman"/>
                <w:bCs/>
                <w:sz w:val="24"/>
                <w:szCs w:val="24"/>
                <w:lang w:val="en-US" w:eastAsia="zh-CN"/>
              </w:rPr>
              <w:t>经临时沉淀池沉淀后用于洒水抑尘，</w:t>
            </w:r>
            <w:r>
              <w:rPr>
                <w:rFonts w:hint="default" w:ascii="Times New Roman" w:hAnsi="Times New Roman" w:cs="Times New Roman"/>
                <w:bCs/>
                <w:sz w:val="24"/>
              </w:rPr>
              <w:t>对水环境影响较小。</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（3）噪声环境影响分析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①预测模式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本项目施工期机械设备噪声源可视为点源，根据点源衰减模式计算施工期间离声源不同距离处的噪声值。预测模式如下：</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Cs/>
                <w:sz w:val="24"/>
              </w:rPr>
            </w:pPr>
            <w:r>
              <w:rPr>
                <w:rFonts w:hint="default" w:ascii="Times New Roman" w:hAnsi="Times New Roman" w:cs="Times New Roman"/>
                <w:bCs/>
                <w:position w:val="-30"/>
                <w:sz w:val="24"/>
              </w:rPr>
              <w:object>
                <v:shape id="_x0000_i1025" o:spt="75" type="#_x0000_t75" style="height:36.3pt;width:125pt;" o:ole="t" filled="f" o:preferrelative="t" stroked="f" coordsize="21600,21600">
                  <v:path/>
                  <v:fill on="f" focussize="0,0"/>
                  <v:stroke on="f" joinstyle="miter"/>
                  <v:imagedata r:id="rId10" o:title=""/>
                  <o:lock v:ext="edit" aspectratio="t"/>
                  <w10:wrap type="none"/>
                  <w10:anchorlock/>
                </v:shape>
                <o:OLEObject Type="Embed" ProgID="Equation.KSEE3" ShapeID="_x0000_i1025" DrawAspect="Content" ObjectID="_1468075725" r:id="rId9">
                  <o:LockedField>false</o:LockedField>
                </o:OLEObject>
              </w:objec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式中：L</w:t>
            </w:r>
            <w:r>
              <w:rPr>
                <w:rFonts w:hint="default" w:ascii="Times New Roman" w:hAnsi="Times New Roman" w:cs="Times New Roman"/>
                <w:bCs/>
                <w:sz w:val="24"/>
                <w:vertAlign w:val="subscript"/>
              </w:rPr>
              <w:t>P</w:t>
            </w:r>
            <w:r>
              <w:rPr>
                <w:rFonts w:hint="default" w:ascii="Times New Roman" w:hAnsi="Times New Roman" w:cs="Times New Roman"/>
                <w:bCs/>
                <w:sz w:val="24"/>
              </w:rPr>
              <w:t>——距声源r米处的施工噪声预测值[dB(A)]；</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L</w:t>
            </w:r>
            <w:r>
              <w:rPr>
                <w:rFonts w:hint="default" w:ascii="Times New Roman" w:hAnsi="Times New Roman" w:cs="Times New Roman"/>
                <w:bCs/>
                <w:sz w:val="24"/>
                <w:vertAlign w:val="subscript"/>
              </w:rPr>
              <w:t>P0</w:t>
            </w:r>
            <w:r>
              <w:rPr>
                <w:rFonts w:hint="default" w:ascii="Times New Roman" w:hAnsi="Times New Roman" w:cs="Times New Roman"/>
                <w:bCs/>
                <w:sz w:val="24"/>
              </w:rPr>
              <w:t>——距声源r</w:t>
            </w:r>
            <w:r>
              <w:rPr>
                <w:rFonts w:hint="default" w:ascii="Times New Roman" w:hAnsi="Times New Roman" w:cs="Times New Roman"/>
                <w:bCs/>
                <w:sz w:val="24"/>
                <w:vertAlign w:val="subscript"/>
              </w:rPr>
              <w:t>0</w:t>
            </w:r>
            <w:r>
              <w:rPr>
                <w:rFonts w:hint="default" w:ascii="Times New Roman" w:hAnsi="Times New Roman" w:cs="Times New Roman"/>
                <w:bCs/>
                <w:sz w:val="24"/>
              </w:rPr>
              <w:t>米处的参考声级[dB(A)]；</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r</w:t>
            </w:r>
            <w:r>
              <w:rPr>
                <w:rFonts w:hint="default" w:ascii="Times New Roman" w:hAnsi="Times New Roman" w:cs="Times New Roman"/>
                <w:bCs/>
                <w:sz w:val="24"/>
                <w:vertAlign w:val="subscript"/>
              </w:rPr>
              <w:t>0</w:t>
            </w:r>
            <w:r>
              <w:rPr>
                <w:rFonts w:hint="default" w:ascii="Times New Roman" w:hAnsi="Times New Roman" w:cs="Times New Roman"/>
                <w:bCs/>
                <w:sz w:val="24"/>
              </w:rPr>
              <w:t>——L</w:t>
            </w:r>
            <w:r>
              <w:rPr>
                <w:rFonts w:hint="default" w:ascii="Times New Roman" w:hAnsi="Times New Roman" w:cs="Times New Roman"/>
                <w:bCs/>
                <w:sz w:val="24"/>
                <w:vertAlign w:val="subscript"/>
              </w:rPr>
              <w:t>P0</w:t>
            </w:r>
            <w:r>
              <w:rPr>
                <w:rFonts w:hint="default" w:ascii="Times New Roman" w:hAnsi="Times New Roman" w:cs="Times New Roman"/>
                <w:bCs/>
                <w:sz w:val="24"/>
              </w:rPr>
              <w:t>噪声测点距离（5m或1m），m。</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②预测结果</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在未采取任何防治措施的情况下，运用上式对施工中施工机械噪声影响进行预测计算，其结果见</w:t>
            </w:r>
            <w:r>
              <w:rPr>
                <w:rFonts w:hint="default" w:ascii="Times New Roman" w:hAnsi="Times New Roman" w:cs="Times New Roman"/>
                <w:b/>
                <w:bCs w:val="0"/>
                <w:sz w:val="24"/>
                <w:lang w:val="en-US" w:eastAsia="zh-CN"/>
              </w:rPr>
              <w:t>表</w:t>
            </w:r>
            <w:r>
              <w:rPr>
                <w:rFonts w:hint="eastAsia" w:cs="Times New Roman"/>
                <w:b/>
                <w:bCs w:val="0"/>
                <w:sz w:val="24"/>
                <w:lang w:val="en-US" w:eastAsia="zh-CN"/>
              </w:rPr>
              <w:t>16</w:t>
            </w:r>
            <w:r>
              <w:rPr>
                <w:rFonts w:hint="default" w:ascii="Times New Roman" w:hAnsi="Times New Roman" w:cs="Times New Roman"/>
                <w:bCs/>
                <w:sz w:val="24"/>
              </w:rPr>
              <w:t>。</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kern w:val="0"/>
                <w:sz w:val="24"/>
              </w:rPr>
            </w:pPr>
            <w:r>
              <w:rPr>
                <w:rFonts w:hint="default" w:ascii="Times New Roman" w:hAnsi="Times New Roman" w:eastAsia="黑体" w:cs="Times New Roman"/>
                <w:kern w:val="0"/>
                <w:sz w:val="24"/>
                <w:lang w:val="en-US" w:eastAsia="zh-CN"/>
              </w:rPr>
              <w:t>表</w:t>
            </w:r>
            <w:r>
              <w:rPr>
                <w:rFonts w:hint="eastAsia" w:eastAsia="黑体" w:cs="Times New Roman"/>
                <w:kern w:val="0"/>
                <w:sz w:val="24"/>
                <w:lang w:val="en-US" w:eastAsia="zh-CN"/>
              </w:rPr>
              <w:t>16</w:t>
            </w:r>
            <w:r>
              <w:rPr>
                <w:rFonts w:hint="default" w:ascii="Times New Roman" w:hAnsi="Times New Roman" w:eastAsia="黑体" w:cs="Times New Roman"/>
                <w:kern w:val="0"/>
                <w:sz w:val="24"/>
                <w:lang w:val="en-US" w:eastAsia="zh-CN"/>
              </w:rPr>
              <w:t xml:space="preserve">  </w:t>
            </w:r>
            <w:r>
              <w:rPr>
                <w:rFonts w:hint="default" w:ascii="Times New Roman" w:hAnsi="Times New Roman" w:eastAsia="黑体" w:cs="Times New Roman"/>
                <w:kern w:val="0"/>
                <w:sz w:val="24"/>
              </w:rPr>
              <w:t>施工机械设备在不同距离处的噪声值</w:t>
            </w:r>
          </w:p>
          <w:tbl>
            <w:tblPr>
              <w:tblStyle w:val="18"/>
              <w:tblW w:w="4998" w:type="pct"/>
              <w:jc w:val="center"/>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331"/>
              <w:gridCol w:w="860"/>
              <w:gridCol w:w="860"/>
              <w:gridCol w:w="860"/>
              <w:gridCol w:w="860"/>
              <w:gridCol w:w="860"/>
              <w:gridCol w:w="860"/>
              <w:gridCol w:w="867"/>
            </w:tblGrid>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5" w:type="pct"/>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820" w:type="pct"/>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b/>
                      <w:szCs w:val="21"/>
                    </w:rPr>
                  </w:pPr>
                  <w:r>
                    <w:rPr>
                      <w:rFonts w:hint="default" w:ascii="Times New Roman" w:hAnsi="Times New Roman" w:cs="Times New Roman"/>
                      <w:b/>
                      <w:szCs w:val="21"/>
                    </w:rPr>
                    <w:t>机械类型</w:t>
                  </w:r>
                </w:p>
              </w:tc>
              <w:tc>
                <w:tcPr>
                  <w:tcW w:w="3714" w:type="pct"/>
                  <w:gridSpan w:val="7"/>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b/>
                      <w:szCs w:val="21"/>
                    </w:rPr>
                  </w:pPr>
                  <w:r>
                    <w:rPr>
                      <w:rFonts w:hint="default" w:ascii="Times New Roman" w:hAnsi="Times New Roman" w:cs="Times New Roman"/>
                      <w:b/>
                      <w:szCs w:val="21"/>
                    </w:rPr>
                    <w:t>距声源不同距离的噪声预测值dB(A)</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465" w:type="pct"/>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szCs w:val="21"/>
                    </w:rPr>
                  </w:pPr>
                </w:p>
              </w:tc>
              <w:tc>
                <w:tcPr>
                  <w:tcW w:w="820" w:type="pct"/>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szCs w:val="21"/>
                    </w:rPr>
                  </w:pPr>
                </w:p>
              </w:tc>
              <w:tc>
                <w:tcPr>
                  <w:tcW w:w="530"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5m</w:t>
                  </w:r>
                </w:p>
              </w:tc>
              <w:tc>
                <w:tcPr>
                  <w:tcW w:w="530"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10m</w:t>
                  </w:r>
                </w:p>
              </w:tc>
              <w:tc>
                <w:tcPr>
                  <w:tcW w:w="530"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40m</w:t>
                  </w:r>
                </w:p>
              </w:tc>
              <w:tc>
                <w:tcPr>
                  <w:tcW w:w="530"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80m</w:t>
                  </w:r>
                </w:p>
              </w:tc>
              <w:tc>
                <w:tcPr>
                  <w:tcW w:w="530"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150m</w:t>
                  </w:r>
                </w:p>
              </w:tc>
              <w:tc>
                <w:tcPr>
                  <w:tcW w:w="530"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200m</w:t>
                  </w:r>
                </w:p>
              </w:tc>
              <w:tc>
                <w:tcPr>
                  <w:tcW w:w="531" w:type="pct"/>
                  <w:tcBorders>
                    <w:tl2br w:val="nil"/>
                    <w:tr2bl w:val="nil"/>
                  </w:tcBorders>
                  <w:vAlign w:val="center"/>
                </w:tcPr>
                <w:p>
                  <w:pPr>
                    <w:pStyle w:val="38"/>
                    <w:keepNext w:val="0"/>
                    <w:keepLines w:val="0"/>
                    <w:suppressLineNumbers w:val="0"/>
                    <w:spacing w:before="0" w:beforeLines="0" w:beforeAutospacing="0" w:after="0" w:afterLines="0" w:afterAutospacing="0" w:line="240" w:lineRule="auto"/>
                    <w:ind w:left="0" w:right="0"/>
                    <w:rPr>
                      <w:rFonts w:hint="default" w:ascii="Times New Roman" w:hAnsi="Times New Roman" w:cs="Times New Roman"/>
                      <w:b/>
                      <w:bCs/>
                      <w:sz w:val="21"/>
                    </w:rPr>
                  </w:pPr>
                  <w:r>
                    <w:rPr>
                      <w:rFonts w:hint="default" w:ascii="Times New Roman" w:hAnsi="Times New Roman" w:cs="Times New Roman"/>
                      <w:b/>
                      <w:bCs/>
                      <w:sz w:val="21"/>
                    </w:rPr>
                    <w:t>300m</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5"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1</w:t>
                  </w:r>
                </w:p>
              </w:tc>
              <w:tc>
                <w:tcPr>
                  <w:tcW w:w="82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装载机</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90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84</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72</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58</w:t>
                  </w:r>
                </w:p>
              </w:tc>
              <w:tc>
                <w:tcPr>
                  <w:tcW w:w="531"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54</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5"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2</w:t>
                  </w:r>
                </w:p>
              </w:tc>
              <w:tc>
                <w:tcPr>
                  <w:tcW w:w="82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推土机</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86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80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68</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62</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54</w:t>
                  </w:r>
                </w:p>
              </w:tc>
              <w:tc>
                <w:tcPr>
                  <w:tcW w:w="531"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50</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5"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3</w:t>
                  </w:r>
                </w:p>
              </w:tc>
              <w:tc>
                <w:tcPr>
                  <w:tcW w:w="82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平地机</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90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84</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72</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58</w:t>
                  </w:r>
                </w:p>
              </w:tc>
              <w:tc>
                <w:tcPr>
                  <w:tcW w:w="531"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54</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5"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4</w:t>
                  </w:r>
                </w:p>
              </w:tc>
              <w:tc>
                <w:tcPr>
                  <w:tcW w:w="82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挖掘机</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84</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78</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54</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52</w:t>
                  </w:r>
                </w:p>
              </w:tc>
              <w:tc>
                <w:tcPr>
                  <w:tcW w:w="531"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48</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5"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5</w:t>
                  </w:r>
                </w:p>
              </w:tc>
              <w:tc>
                <w:tcPr>
                  <w:tcW w:w="82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载重汽车</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lang w:val="zh-CN"/>
                    </w:rPr>
                  </w:pPr>
                  <w:r>
                    <w:rPr>
                      <w:rFonts w:hint="default" w:ascii="Times New Roman" w:hAnsi="Times New Roman" w:cs="Times New Roman"/>
                      <w:kern w:val="24"/>
                      <w:szCs w:val="21"/>
                    </w:rPr>
                    <w:t>86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lang w:val="zh-CN"/>
                    </w:rPr>
                  </w:pPr>
                  <w:r>
                    <w:rPr>
                      <w:rFonts w:hint="default" w:ascii="Times New Roman" w:hAnsi="Times New Roman" w:cs="Times New Roman"/>
                      <w:kern w:val="24"/>
                      <w:szCs w:val="21"/>
                    </w:rPr>
                    <w:t>80</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lang w:val="zh-CN"/>
                    </w:rPr>
                  </w:pPr>
                  <w:r>
                    <w:rPr>
                      <w:rFonts w:hint="default" w:ascii="Times New Roman" w:hAnsi="Times New Roman" w:cs="Times New Roman"/>
                      <w:kern w:val="24"/>
                      <w:szCs w:val="21"/>
                    </w:rPr>
                    <w:t>68</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rPr>
                  </w:pPr>
                  <w:r>
                    <w:rPr>
                      <w:rFonts w:hint="default" w:ascii="Times New Roman" w:hAnsi="Times New Roman" w:cs="Times New Roman"/>
                      <w:kern w:val="24"/>
                      <w:szCs w:val="21"/>
                    </w:rPr>
                    <w:t>62</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lang w:val="zh-CN"/>
                    </w:rPr>
                  </w:pPr>
                  <w:r>
                    <w:rPr>
                      <w:rFonts w:hint="default" w:ascii="Times New Roman" w:hAnsi="Times New Roman" w:cs="Times New Roman"/>
                      <w:kern w:val="24"/>
                      <w:szCs w:val="21"/>
                    </w:rPr>
                    <w:t>56</w:t>
                  </w:r>
                </w:p>
              </w:tc>
              <w:tc>
                <w:tcPr>
                  <w:tcW w:w="530"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lang w:val="zh-CN"/>
                    </w:rPr>
                  </w:pPr>
                  <w:r>
                    <w:rPr>
                      <w:rFonts w:hint="default" w:ascii="Times New Roman" w:hAnsi="Times New Roman" w:cs="Times New Roman"/>
                      <w:kern w:val="24"/>
                      <w:szCs w:val="21"/>
                    </w:rPr>
                    <w:t>54</w:t>
                  </w:r>
                </w:p>
              </w:tc>
              <w:tc>
                <w:tcPr>
                  <w:tcW w:w="531" w:type="pct"/>
                  <w:tcBorders>
                    <w:tl2br w:val="nil"/>
                    <w:tr2bl w:val="nil"/>
                  </w:tcBorders>
                  <w:vAlign w:val="center"/>
                </w:tcPr>
                <w:p>
                  <w:pPr>
                    <w:keepNext w:val="0"/>
                    <w:keepLines w:val="0"/>
                    <w:suppressLineNumbers w:val="0"/>
                    <w:overflowPunct w:val="0"/>
                    <w:autoSpaceDE w:val="0"/>
                    <w:autoSpaceDN w:val="0"/>
                    <w:adjustRightInd w:val="0"/>
                    <w:snapToGrid w:val="0"/>
                    <w:spacing w:before="0" w:beforeAutospacing="0" w:after="0" w:afterAutospacing="0"/>
                    <w:ind w:left="0" w:right="0"/>
                    <w:jc w:val="center"/>
                    <w:textAlignment w:val="baseline"/>
                    <w:rPr>
                      <w:rFonts w:hint="default" w:ascii="Times New Roman" w:hAnsi="Times New Roman" w:cs="Times New Roman"/>
                      <w:kern w:val="24"/>
                      <w:szCs w:val="21"/>
                      <w:lang w:val="zh-CN"/>
                    </w:rPr>
                  </w:pPr>
                  <w:r>
                    <w:rPr>
                      <w:rFonts w:hint="default" w:ascii="Times New Roman" w:hAnsi="Times New Roman" w:cs="Times New Roman"/>
                      <w:kern w:val="24"/>
                      <w:szCs w:val="21"/>
                    </w:rPr>
                    <w:t>50</w:t>
                  </w:r>
                </w:p>
              </w:tc>
            </w:tr>
          </w:tbl>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bCs/>
                <w:sz w:val="24"/>
              </w:rPr>
            </w:pPr>
            <w:r>
              <w:rPr>
                <w:rFonts w:hint="default" w:ascii="Times New Roman" w:hAnsi="Times New Roman" w:cs="Times New Roman"/>
                <w:bCs/>
                <w:sz w:val="24"/>
              </w:rPr>
              <w:t>由上表可知，在不采取噪声防护措施的情况下，昼间施工机械噪声在距施工场地300m符合《声环境质量标准》（GB 3096-2008）中1类标准限值，项目夜间不施工。根据现场调查，项目施工区域50m范围内无声环境敏感目标，距本项目治理段最近敏感点为上河湾村六社、七社，经采取选用低噪声设备、控制施工时间等后，施工期噪声对周围环境影响较小。</w:t>
            </w:r>
          </w:p>
          <w:p>
            <w:pPr>
              <w:keepNext w:val="0"/>
              <w:keepLines w:val="0"/>
              <w:suppressLineNumbers w:val="0"/>
              <w:adjustRightInd w:val="0"/>
              <w:snapToGrid w:val="0"/>
              <w:spacing w:before="0" w:beforeAutospacing="0" w:after="0" w:afterAutospacing="0" w:line="360" w:lineRule="auto"/>
              <w:ind w:left="0" w:right="0" w:firstLine="241" w:firstLineChars="100"/>
              <w:rPr>
                <w:rFonts w:hint="default" w:ascii="Times New Roman" w:hAnsi="Times New Roman" w:cs="Times New Roman"/>
                <w:b/>
                <w:sz w:val="24"/>
              </w:rPr>
            </w:pPr>
            <w:r>
              <w:rPr>
                <w:rFonts w:hint="default" w:ascii="Times New Roman" w:hAnsi="Times New Roman" w:cs="Times New Roman"/>
                <w:b/>
                <w:sz w:val="24"/>
              </w:rPr>
              <w:t>（4）固体废物</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施工期固体废物主要为挖掘土方、废建筑材料及生活垃圾。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土方工程产生的废方全部用于工程土地平整；建筑垃圾中可回收利用的回收利用，不能回收利用的运送至政府指定地点进行处置；施工人员生活垃圾施工人员垃圾经分类收集后由当地环卫部门统一清运处置；施工人员剩余食物残渣进行集中收集，并定期由当地群众运走用于家禽家畜饲养。</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eastAsiaTheme="minorEastAsia"/>
                <w:b/>
                <w:bCs/>
                <w:sz w:val="24"/>
                <w:szCs w:val="22"/>
              </w:rPr>
            </w:pPr>
            <w:r>
              <w:rPr>
                <w:rFonts w:hint="default" w:ascii="Times New Roman" w:hAnsi="Times New Roman" w:cs="Times New Roman" w:eastAsiaTheme="minorEastAsia"/>
                <w:b/>
                <w:bCs/>
                <w:sz w:val="24"/>
                <w:szCs w:val="22"/>
              </w:rPr>
              <w:t>3、小结</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szCs w:val="21"/>
              </w:rPr>
            </w:pPr>
            <w:r>
              <w:rPr>
                <w:rFonts w:hint="default" w:ascii="Times New Roman" w:hAnsi="Times New Roman" w:cs="Times New Roman"/>
                <w:sz w:val="24"/>
                <w:szCs w:val="22"/>
              </w:rPr>
              <w:t>本项目施工期对该区域的大气环境、水环境、声环境及生态环境都将产生一定的影响，但这些影响是临时性的，随着施工期的结束将逐渐消失。不会对项目所在区域生态功能造成不良影响。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98" w:hRule="atLeast"/>
          <w:jc w:val="center"/>
        </w:trPr>
        <w:tc>
          <w:tcPr>
            <w:tcW w:w="879" w:type="dxa"/>
            <w:tcMar>
              <w:left w:w="28" w:type="dxa"/>
              <w:right w:w="28" w:type="dxa"/>
            </w:tcMar>
            <w:vAlign w:val="center"/>
          </w:tcPr>
          <w:p>
            <w:pPr>
              <w:pStyle w:val="15"/>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kern w:val="2"/>
              </w:rPr>
            </w:pPr>
            <w:r>
              <w:rPr>
                <w:rFonts w:hint="default" w:ascii="Times New Roman" w:hAnsi="Times New Roman" w:cs="Times New Roman"/>
                <w:bCs/>
                <w:spacing w:val="10"/>
                <w:kern w:val="2"/>
              </w:rPr>
              <w:t>运营期生态环境影响分析</w:t>
            </w:r>
          </w:p>
        </w:tc>
        <w:tc>
          <w:tcPr>
            <w:tcW w:w="8363"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项目为上河湾村防洪排涝工程，项目建成后对环境的影响主要体现在有利的一面。但由于投入运营后，临时占地会减少地表植被数量。护坡工程等临时占地不可避免地减少了当地植被、生物量。本项目设计施工过程中，在保证生产要求的前提下，最大限度地采取避让的措施以减少占地对地表植被的破坏。通过采取有效的措施，项目区域植被将得到一定的恢复。</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sz w:val="24"/>
              </w:rPr>
            </w:pPr>
            <w:r>
              <w:rPr>
                <w:rFonts w:hint="default" w:ascii="Times New Roman" w:hAnsi="Times New Roman" w:cs="Times New Roman"/>
                <w:b/>
                <w:sz w:val="24"/>
              </w:rPr>
              <w:t>1、生态环境效益</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sz w:val="24"/>
              </w:rPr>
            </w:pPr>
            <w:r>
              <w:rPr>
                <w:rFonts w:hint="default" w:ascii="Times New Roman" w:hAnsi="Times New Roman" w:cs="Times New Roman"/>
                <w:bCs/>
                <w:sz w:val="24"/>
              </w:rPr>
              <w:t>（1）增强生态系统功能，创造生态美好环境</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项目实施后，区域小气候将得到有效调节，清水河</w:t>
            </w:r>
            <w:r>
              <w:rPr>
                <w:rFonts w:hint="default" w:ascii="Times New Roman" w:hAnsi="Times New Roman" w:cs="Times New Roman"/>
                <w:kern w:val="0"/>
                <w:sz w:val="24"/>
              </w:rPr>
              <w:t>中下游右岸一级支流白石头沟</w:t>
            </w:r>
            <w:r>
              <w:rPr>
                <w:rFonts w:hint="default" w:ascii="Times New Roman" w:hAnsi="Times New Roman" w:cs="Times New Roman"/>
                <w:bCs/>
                <w:sz w:val="24"/>
              </w:rPr>
              <w:t>流域及其周边地区水分状况和热量状况将明显改观，生态系统功能增强，区域抗御自然灾害的能力提高，单位面积生物产量也将会大幅度提高，生态环境将明显改善。通过项目建设，清水河</w:t>
            </w:r>
            <w:r>
              <w:rPr>
                <w:rFonts w:hint="default" w:ascii="Times New Roman" w:hAnsi="Times New Roman" w:cs="Times New Roman"/>
                <w:kern w:val="0"/>
                <w:sz w:val="24"/>
              </w:rPr>
              <w:t>中下游右岸一级支流白石头沟</w:t>
            </w:r>
            <w:r>
              <w:rPr>
                <w:rFonts w:hint="default" w:ascii="Times New Roman" w:hAnsi="Times New Roman" w:cs="Times New Roman"/>
                <w:bCs/>
                <w:sz w:val="24"/>
              </w:rPr>
              <w:t>流域林草覆盖度将大大提高，当地野生动物将得以繁衍和发展，有利形成人、动植物与自然协调发展并和谐相处的美好环境。</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sz w:val="24"/>
              </w:rPr>
            </w:pPr>
            <w:r>
              <w:rPr>
                <w:rFonts w:hint="default" w:ascii="Times New Roman" w:hAnsi="Times New Roman" w:cs="Times New Roman"/>
                <w:bCs/>
                <w:sz w:val="24"/>
              </w:rPr>
              <w:t>（2）创新水安全理念，提高防御自然灾害的能力</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通过河道整治工程，创新了水安全理念，受到了显著的固土、保安效果，改善了生态环境。堤岸、排水边沟等设施，可以提高防御自然灾害的能力，灾害损失明显降低。</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（3）水土保持效益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000000" w:themeColor="text1"/>
                <w:sz w:val="24"/>
                <w14:textFill>
                  <w14:solidFill>
                    <w14:schemeClr w14:val="tx1"/>
                  </w14:solidFill>
                </w14:textFill>
              </w:rPr>
            </w:pPr>
            <w:r>
              <w:rPr>
                <w:rFonts w:hint="default" w:ascii="Times New Roman" w:hAnsi="Times New Roman" w:cs="Times New Roman"/>
                <w:bCs/>
                <w:color w:val="000000" w:themeColor="text1"/>
                <w:sz w:val="24"/>
                <w14:textFill>
                  <w14:solidFill>
                    <w14:schemeClr w14:val="tx1"/>
                  </w14:solidFill>
                </w14:textFill>
              </w:rPr>
              <w:t>流域生态治理水土保持措施实施后，大大减少入沟泥沙，延缓下游河道淤积，林草郁闭度将大幅度提高，生态环境将明显改善，区域抗御自然灾害的能力提高。</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sz w:val="24"/>
              </w:rPr>
            </w:pPr>
            <w:r>
              <w:rPr>
                <w:rFonts w:hint="default" w:ascii="Times New Roman" w:hAnsi="Times New Roman" w:cs="Times New Roman"/>
                <w:b/>
                <w:sz w:val="24"/>
              </w:rPr>
              <w:t>2、社会效益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工程建设为流域农民增收、农村经济发展创造条件。具体表现在以下方面。</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sz w:val="24"/>
              </w:rPr>
            </w:pPr>
            <w:r>
              <w:rPr>
                <w:rFonts w:hint="default" w:ascii="Times New Roman" w:hAnsi="Times New Roman" w:cs="Times New Roman"/>
                <w:bCs/>
                <w:sz w:val="24"/>
              </w:rPr>
              <w:t>（1）增强排水能力，保障人民生命财产安全</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工程建设保证了国家财产免受损失、保证了灌区人民安居乐业，有效保护生态环境，实现人与自然的和谐相处和促进经济社会的可持续发展，使抗御降雨的能力大大提高，为防洪安全和土地资源开发提供有利保障。</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sz w:val="24"/>
              </w:rPr>
            </w:pPr>
            <w:r>
              <w:rPr>
                <w:rFonts w:hint="default" w:ascii="Times New Roman" w:hAnsi="Times New Roman" w:cs="Times New Roman"/>
                <w:bCs/>
                <w:sz w:val="24"/>
              </w:rPr>
              <w:t>（2）提高了环境质量，缓解了人地矛盾，促进了生态环境良性循环。</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工程的实施，不仅为当地群众提供大量的生活物质资料，而且使区域人口承载量提高，人口密度和人口环境容量将达到相对稳定，这将会极大地提高本地区生产力水平，人口、资源、环境、经济得到协调发展，从而促进生态环境系统结构、功能转向良性循环。</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sz w:val="24"/>
              </w:rPr>
            </w:pPr>
            <w:r>
              <w:rPr>
                <w:rFonts w:hint="default" w:ascii="Times New Roman" w:hAnsi="Times New Roman" w:cs="Times New Roman"/>
                <w:bCs/>
                <w:sz w:val="24"/>
              </w:rPr>
              <w:t>（3）维护了民族地区的社会稳定，树立了党和政府在人民群众中的良好形象</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Cs w:val="21"/>
              </w:rPr>
            </w:pPr>
            <w:r>
              <w:rPr>
                <w:rFonts w:hint="default" w:ascii="Times New Roman" w:hAnsi="Times New Roman" w:cs="Times New Roman"/>
                <w:bCs/>
                <w:sz w:val="24"/>
              </w:rPr>
              <w:t>排水工程的实施，将有效地改善项目区群众生产生活条件，提高农民生活水平，减轻农民负担，促进农村经济发展持续发展，且密切党群、干群关系，维护民族地区的社会稳定，进一步树立党和政府在人民群众中的良好形象等具有十分重要的作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32" w:hRule="atLeast"/>
          <w:jc w:val="center"/>
        </w:trPr>
        <w:tc>
          <w:tcPr>
            <w:tcW w:w="879" w:type="dxa"/>
            <w:vAlign w:val="center"/>
          </w:tcPr>
          <w:p>
            <w:pPr>
              <w:pStyle w:val="15"/>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kern w:val="2"/>
              </w:rPr>
            </w:pPr>
            <w:r>
              <w:rPr>
                <w:rFonts w:hint="default" w:ascii="Times New Roman" w:hAnsi="Times New Roman" w:cs="Times New Roman"/>
                <w:bCs/>
                <w:kern w:val="2"/>
              </w:rPr>
              <w:t>选址选线环境合理性分析</w:t>
            </w:r>
          </w:p>
        </w:tc>
        <w:tc>
          <w:tcPr>
            <w:tcW w:w="8363"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本次上河湾村防洪排涝工程位于清水河</w:t>
            </w:r>
            <w:r>
              <w:rPr>
                <w:rFonts w:hint="default" w:ascii="Times New Roman" w:hAnsi="Times New Roman" w:cs="Times New Roman"/>
                <w:kern w:val="0"/>
                <w:sz w:val="24"/>
              </w:rPr>
              <w:t>中下游右岸一级支流白石头沟</w:t>
            </w:r>
            <w:r>
              <w:rPr>
                <w:rFonts w:hint="default" w:ascii="Times New Roman" w:hAnsi="Times New Roman" w:cs="Times New Roman"/>
                <w:bCs/>
                <w:sz w:val="24"/>
              </w:rPr>
              <w:t>流域，工程位于上河湾村六社内道路，上河湾村七社内道路，上河湾沟养殖场东侧李石线过水路面以及上河湾沟养殖场东侧同土线过水路面。</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本项目不改变现有河道的走向，只需沿着过水路面进行护岸工程建设以及在村社内进行排水边沟建设，</w:t>
            </w:r>
            <w:r>
              <w:rPr>
                <w:rFonts w:hint="default" w:ascii="Times New Roman" w:hAnsi="Times New Roman" w:cs="Times New Roman"/>
                <w:sz w:val="24"/>
              </w:rPr>
              <w:t>本项工程为</w:t>
            </w:r>
            <w:r>
              <w:rPr>
                <w:rFonts w:hint="eastAsia" w:cs="Times New Roman"/>
                <w:sz w:val="24"/>
                <w:lang w:eastAsia="zh-CN"/>
              </w:rPr>
              <w:t>防洪除涝工程</w:t>
            </w:r>
            <w:r>
              <w:rPr>
                <w:rFonts w:hint="default" w:ascii="Times New Roman" w:hAnsi="Times New Roman" w:cs="Times New Roman"/>
                <w:sz w:val="24"/>
              </w:rPr>
              <w:t>，工程区不涉及自然保护区、风景名胜区、世界文化和自然遗产地以及其他生态保护红线等环境敏感区中法律法规禁止占用的区域，并与饮用水水源保护区的保护要求相协调，也无野生植物集中分布地等保护区域。项目所在地不在宁夏生态红线内，项目的建设是对生态环境的有效治理与改善</w:t>
            </w:r>
            <w:r>
              <w:rPr>
                <w:rFonts w:hint="default" w:ascii="Times New Roman" w:hAnsi="Times New Roman" w:cs="Times New Roman"/>
                <w:bCs/>
                <w:sz w:val="24"/>
              </w:rPr>
              <w:t>。同时，项目主要污染集中在施工期的扬尘、施工废水、噪声及生态影响。根据现场勘查，项目周边范围内距本项目治理段最近敏感点为上河湾村六社、七社，在采取施工扬尘、施工废水和噪声防治措施后，可满足施工期污染物排放标准，对敏感点的影响在可接受范围内，环境制约因素较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建设单位对于临时施工区及土石方转运区的选取靠近和利用现有公路，方便施工和运输，远离居民区及湿地范围；选择有利地形，减少不良工程地质地段。在采取本次评价提出的污染防治措施后，对区域环境质量和生态环境负面影响较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sz w:val="24"/>
              </w:rPr>
            </w:pPr>
            <w:r>
              <w:rPr>
                <w:rFonts w:hint="default" w:ascii="Times New Roman" w:hAnsi="Times New Roman" w:cs="Times New Roman"/>
                <w:bCs/>
                <w:sz w:val="24"/>
              </w:rPr>
              <w:t>因此，项目选线从环保角度合理可行。</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z w:val="24"/>
              </w:rPr>
            </w:pP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z w:val="24"/>
              </w:rPr>
            </w:pPr>
          </w:p>
        </w:tc>
      </w:tr>
    </w:tbl>
    <w:p>
      <w:pPr>
        <w:pStyle w:val="15"/>
        <w:jc w:val="center"/>
        <w:rPr>
          <w:rFonts w:hint="default" w:ascii="Times New Roman" w:hAnsi="Times New Roman" w:eastAsia="黑体" w:cs="Times New Roman"/>
          <w:snapToGrid w:val="0"/>
          <w:sz w:val="36"/>
          <w:szCs w:val="36"/>
        </w:rPr>
        <w:sectPr>
          <w:pgSz w:w="11906" w:h="16838"/>
          <w:pgMar w:top="1440" w:right="1800" w:bottom="1440" w:left="1800" w:header="851" w:footer="1077" w:gutter="0"/>
          <w:cols w:space="720" w:num="1"/>
          <w:docGrid w:linePitch="312" w:charSpace="0"/>
        </w:sectPr>
      </w:pPr>
    </w:p>
    <w:p>
      <w:pPr>
        <w:pStyle w:val="15"/>
        <w:adjustRightInd w:val="0"/>
        <w:snapToGrid w:val="0"/>
        <w:spacing w:before="0" w:beforeAutospacing="0" w:after="0" w:afterAutospacing="0" w:line="14" w:lineRule="auto"/>
        <w:jc w:val="center"/>
        <w:outlineLvl w:val="0"/>
        <w:rPr>
          <w:rFonts w:hint="default" w:ascii="Times New Roman" w:hAnsi="Times New Roman" w:eastAsia="黑体" w:cs="Times New Roman"/>
          <w:snapToGrid w:val="0"/>
          <w:sz w:val="30"/>
          <w:szCs w:val="30"/>
        </w:rPr>
      </w:pPr>
    </w:p>
    <w:p>
      <w:pPr>
        <w:pStyle w:val="15"/>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sz w:val="30"/>
          <w:szCs w:val="30"/>
        </w:rPr>
        <w:t>五、主要生态环境保护措施</w:t>
      </w:r>
    </w:p>
    <w:tbl>
      <w:tblPr>
        <w:tblStyle w:val="18"/>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3"/>
        <w:gridCol w:w="84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17" w:hRule="atLeast"/>
          <w:jc w:val="center"/>
        </w:trPr>
        <w:tc>
          <w:tcPr>
            <w:tcW w:w="753" w:type="dxa"/>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z w:val="24"/>
              </w:rPr>
            </w:pPr>
            <w:r>
              <w:rPr>
                <w:rFonts w:hint="default" w:ascii="Times New Roman" w:hAnsi="Times New Roman" w:cs="Times New Roman"/>
                <w:bCs/>
                <w:spacing w:val="10"/>
                <w:sz w:val="24"/>
              </w:rPr>
              <w:t>施工期生态环境保护措施</w:t>
            </w:r>
          </w:p>
        </w:tc>
        <w:tc>
          <w:tcPr>
            <w:tcW w:w="8457" w:type="dxa"/>
          </w:tcPr>
          <w:p>
            <w:pPr>
              <w:keepNext w:val="0"/>
              <w:keepLines w:val="0"/>
              <w:suppressLineNumbers w:val="0"/>
              <w:adjustRightInd w:val="0"/>
              <w:snapToGrid w:val="0"/>
              <w:spacing w:before="0" w:beforeAutospacing="0" w:after="0" w:afterAutospacing="0" w:line="360" w:lineRule="auto"/>
              <w:ind w:left="0" w:right="0" w:firstLine="522" w:firstLineChars="200"/>
              <w:rPr>
                <w:rFonts w:hint="default" w:ascii="Times New Roman" w:hAnsi="Times New Roman" w:cs="Times New Roman"/>
                <w:bCs/>
                <w:spacing w:val="10"/>
                <w:sz w:val="24"/>
              </w:rPr>
            </w:pPr>
            <w:r>
              <w:rPr>
                <w:rFonts w:hint="default" w:ascii="Times New Roman" w:hAnsi="Times New Roman" w:cs="Times New Roman"/>
                <w:b/>
                <w:spacing w:val="10"/>
                <w:sz w:val="24"/>
              </w:rPr>
              <w:t>1、生态保护措施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项目施工过程中有土方开挖、机械碾压等作业，这样势必会造成占地范围植被的破坏，部分施工活动会影响区域周边的鸟类等动物的栖息和觅食等。同时会带来扬尘、水土流失等环境问题。为了有效保护工程所在区域的动植物资源，建设单位采取的生态破坏防治措施如下：</w:t>
            </w:r>
          </w:p>
          <w:p>
            <w:pPr>
              <w:keepNext w:val="0"/>
              <w:keepLines w:val="0"/>
              <w:suppressLineNumbers w:val="0"/>
              <w:adjustRightInd w:val="0"/>
              <w:snapToGrid w:val="0"/>
              <w:spacing w:before="0" w:beforeAutospacing="0" w:after="0" w:afterAutospacing="0" w:line="360" w:lineRule="auto"/>
              <w:ind w:left="0" w:right="0" w:firstLine="261" w:firstLineChars="100"/>
              <w:rPr>
                <w:rFonts w:hint="default" w:ascii="Times New Roman" w:hAnsi="Times New Roman" w:cs="Times New Roman"/>
                <w:b/>
                <w:spacing w:val="10"/>
                <w:sz w:val="24"/>
              </w:rPr>
            </w:pPr>
            <w:r>
              <w:rPr>
                <w:rFonts w:hint="default" w:ascii="Times New Roman" w:hAnsi="Times New Roman" w:cs="Times New Roman"/>
                <w:b/>
                <w:spacing w:val="10"/>
                <w:sz w:val="24"/>
              </w:rPr>
              <w:t>（1）工程占地范围生态环境保护措施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施工场区布设应结合当地条件，因地制宜，合理规划堆料场，尽量少占耕地，施工场区选择在植被少、距离区域道路较近的场地。对于植被生长较好的地段。对临时占地范围的树苗采取移栽措施，禁止砍伐。施工结束时，及时恢复临时占地范围的土地使用功能。从严控制管理用地，在施工结束后对临时设施进行恢复，是道路的恢复道路，并在道路两侧加固，是草地的恢复草地，是耕地的恢复耕种。具体如下：</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①针对施工队伍对植被和土壤的影响，施工期间应划定施工范围，在保证施工顺利进行的前提下，严格限制施工人员及工机械的活动范围，尽可能缩小施工作业带的宽度；</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②加强教育，规范施工人员的行为，爱护花草树木，严紧砍伐、破坏工区以外的作物和植被，不准随便破坏动物巢穴，严禁捕杀野生动物，禁止施工人员捕食鸟类、兽类等野生动物，以减轻施工对当地陆生动植物的影响，并采取有效措施抑制鼠类的危害。一旦在施工中遇到需要保护的动植物，应当立即向当地林业部门汇报，协商采取妥善的保护措施后才能进行下一步施工；</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③为减少施工造成的水土流失，将采取截、排水沟等有效的工程防护措施进行保护；</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④在选择临时占用地时，应注意根据实际需要控制临时占地的面积，尽量选择植被稀少的荒地；</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⑤土方开挖前，应执行分层开挖的操作制度，即表层土与底层土分开堆放；土方填埋时，也应分层回填，即底土回填在下，表土回填在上。尽可能保持植物原有的生活环境。回填时，还应留足适宜的堆积层，防止因降水、径流造成地表下陷和水土流失；</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⑥施工结束后，施工单位应负责及时清理现场，使之尽快恢复原状，将施工期对生态环境影响降到最低程度。</w:t>
            </w:r>
          </w:p>
          <w:p>
            <w:pPr>
              <w:keepNext w:val="0"/>
              <w:keepLines w:val="0"/>
              <w:suppressLineNumbers w:val="0"/>
              <w:adjustRightInd w:val="0"/>
              <w:snapToGrid w:val="0"/>
              <w:spacing w:before="0" w:beforeAutospacing="0" w:after="0" w:afterAutospacing="0" w:line="360" w:lineRule="auto"/>
              <w:ind w:left="0" w:right="0" w:firstLine="261" w:firstLineChars="100"/>
              <w:rPr>
                <w:rFonts w:hint="default" w:ascii="Times New Roman" w:hAnsi="Times New Roman" w:cs="Times New Roman"/>
                <w:b/>
                <w:spacing w:val="10"/>
                <w:sz w:val="24"/>
              </w:rPr>
            </w:pPr>
            <w:r>
              <w:rPr>
                <w:rFonts w:hint="default" w:ascii="Times New Roman" w:hAnsi="Times New Roman" w:cs="Times New Roman"/>
                <w:b/>
                <w:spacing w:val="10"/>
                <w:sz w:val="24"/>
              </w:rPr>
              <w:t>（2）水土流失防治措施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根据《同心县河西镇上河湾移民村防洪排涝工程初步设计报告》，本项目水土流失防治措施及布局内容如下：</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①该建设项目对水土流失的影响有几个特点：</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一是建设区水土保持主要目标是控制和减少工程建设过程中的人为新增水土流失，产生水土流失较少；</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二是项目区地面坡度较小，基本不会造成水土流失；</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三是水土流失主要发生在施工期，工程建成投入运行后产生的水土流失不是很大。</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②采取措施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在项目建设过程中，应对工程建设可能造成的水土流失问题，采取切实可行的水土保持措施，防止新增水土流失，使项目区步入生态环境良性循环，经济可持续发展的道路。水土保持以“谁开发、谁保护，谁造成水土流失谁负责”为原则，采取的主要措施是生物措施与工程整治措施相结合，预防与治理相结合。</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开挖后的土方堆放、运输极易造成扬尘，应注意保持土方和交通道路路面的湿度。</w:t>
            </w:r>
          </w:p>
          <w:p>
            <w:pPr>
              <w:keepNext w:val="0"/>
              <w:keepLines w:val="0"/>
              <w:suppressLineNumbers w:val="0"/>
              <w:adjustRightInd w:val="0"/>
              <w:snapToGrid w:val="0"/>
              <w:spacing w:before="0" w:beforeAutospacing="0" w:after="0" w:afterAutospacing="0" w:line="360" w:lineRule="auto"/>
              <w:ind w:left="0" w:right="0" w:firstLine="522" w:firstLineChars="200"/>
              <w:rPr>
                <w:rFonts w:hint="default" w:ascii="Times New Roman" w:hAnsi="Times New Roman" w:cs="Times New Roman"/>
                <w:b/>
                <w:spacing w:val="10"/>
                <w:sz w:val="24"/>
              </w:rPr>
            </w:pPr>
            <w:r>
              <w:rPr>
                <w:rFonts w:hint="default" w:ascii="Times New Roman" w:hAnsi="Times New Roman" w:cs="Times New Roman"/>
                <w:b/>
                <w:spacing w:val="10"/>
                <w:sz w:val="24"/>
              </w:rPr>
              <w:t>2、污染防治措施</w:t>
            </w:r>
          </w:p>
          <w:p>
            <w:pPr>
              <w:keepNext w:val="0"/>
              <w:keepLines w:val="0"/>
              <w:suppressLineNumbers w:val="0"/>
              <w:adjustRightInd w:val="0"/>
              <w:snapToGrid w:val="0"/>
              <w:spacing w:before="0" w:beforeAutospacing="0" w:after="0" w:afterAutospacing="0" w:line="360" w:lineRule="auto"/>
              <w:ind w:left="0" w:right="0" w:firstLine="261" w:firstLineChars="100"/>
              <w:rPr>
                <w:rFonts w:hint="default" w:ascii="Times New Roman" w:hAnsi="Times New Roman" w:cs="Times New Roman"/>
                <w:b/>
                <w:spacing w:val="10"/>
                <w:sz w:val="24"/>
              </w:rPr>
            </w:pPr>
            <w:r>
              <w:rPr>
                <w:rFonts w:hint="default" w:ascii="Times New Roman" w:hAnsi="Times New Roman" w:cs="Times New Roman"/>
                <w:b/>
                <w:spacing w:val="10"/>
                <w:sz w:val="24"/>
              </w:rPr>
              <w:t>（1）废气</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①扬尘防治措施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本项目施工期大气污染防治需落实工地周边围挡、物料堆放覆盖、土方开挖湿法作业、路面硬化、出入车辆清洗、渣土车辆密闭运输“六个百分之百”的措施，建设单位拟采取以下措施：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A、施工时，根据《建设工程施工现场管理规定》的规定设置施工标志牌，并标明扬尘防治措施责任人及环保监督电话；</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B、施工作业带两侧设置围挡。围挡高度不低于2.5m。围挡由金属、混凝土、塑料等硬质材料制作，并不得有明显破损的漏洞。此措施贯穿于整个施工过程，保证施工围挡100%；</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C、工程开挖时采取湿法作业，开挖土方集中堆放，并加盖苫布，缩小粉尘影响范围；施工结束后及时回填、压实，减少粉尘影响时间；</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D、施工过程中产生的弃料及建筑垃圾要集中堆放、及时清运。临时堆存点应覆盖防尘布，并定期喷水抑尘；</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E、施工作业带每天定时洒水抑尘，施工洒水遵循少量多次的原则，施工现场每天洒水2~4次，每次洒水时控制洒水水量，以每次施工场地表面不起尘为准，派专人负责；</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F、物料运输利用周边已有道路，施工道路的清扫、运输过程产生的撒漏，拟委托环卫部门进行清理；对运输整个线路分段派专人负责，保证撒漏得到及时有效的清理；</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G、运输易产尘的车辆加盖苫布，运输车辆应按照交通部门核准的运输路线运行，不得超载；合理控制车速，并尽可能避免交通高峰期运输；</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H、施工工地出口处要设置清洗车轮的设备，确保车辆不带泥土驶出工地；装卸渣土严禁凌空抛散；</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通过采取上述措施后，施工期间产生的施工扬尘对周围环境的影响较小。</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②施工机械废气</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施工期通过增加施工设备的维护，禁止不符合国家废气排放标准的机械进入场区，禁止以柴油为燃料的施工机械超负荷工作，减少烟尘和颗粒物排放；同时配合有关部门搞好施工期间周围道路的交通组织，减少滞留时间，避免因施工而造成交通堵塞，减少因此而产生的怠速废气排放。</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综上所述，项目施工期间对大气环境质量的影响较小。</w:t>
            </w:r>
          </w:p>
          <w:p>
            <w:pPr>
              <w:keepNext w:val="0"/>
              <w:keepLines w:val="0"/>
              <w:suppressLineNumbers w:val="0"/>
              <w:adjustRightInd w:val="0"/>
              <w:snapToGrid w:val="0"/>
              <w:spacing w:before="0" w:beforeAutospacing="0" w:after="0" w:afterAutospacing="0" w:line="360" w:lineRule="auto"/>
              <w:ind w:left="0" w:right="0" w:firstLine="261" w:firstLineChars="100"/>
              <w:rPr>
                <w:rFonts w:hint="default" w:ascii="Times New Roman" w:hAnsi="Times New Roman" w:cs="Times New Roman"/>
                <w:b/>
                <w:spacing w:val="10"/>
                <w:sz w:val="24"/>
              </w:rPr>
            </w:pPr>
            <w:r>
              <w:rPr>
                <w:rFonts w:hint="default" w:ascii="Times New Roman" w:hAnsi="Times New Roman" w:cs="Times New Roman"/>
                <w:b/>
                <w:spacing w:val="10"/>
                <w:sz w:val="24"/>
              </w:rPr>
              <w:t>（2）废水</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本项目不设施工营地，施工期废水主要为施工废水和施工人员生活污水。</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生活污水依托租用民房生活污水处理设施。施工废水主要为施工机械和车辆冲洗废水，经临时沉淀池沉淀后回用于洒水抑尘。</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综上所述，项目施工期间对水环境质量的影响较小。</w:t>
            </w:r>
          </w:p>
          <w:p>
            <w:pPr>
              <w:keepNext w:val="0"/>
              <w:keepLines w:val="0"/>
              <w:suppressLineNumbers w:val="0"/>
              <w:adjustRightInd w:val="0"/>
              <w:snapToGrid w:val="0"/>
              <w:spacing w:before="0" w:beforeAutospacing="0" w:after="0" w:afterAutospacing="0" w:line="360" w:lineRule="auto"/>
              <w:ind w:left="0" w:right="0" w:firstLine="261" w:firstLineChars="100"/>
              <w:rPr>
                <w:rFonts w:hint="default" w:ascii="Times New Roman" w:hAnsi="Times New Roman" w:cs="Times New Roman"/>
                <w:b/>
                <w:spacing w:val="10"/>
                <w:sz w:val="24"/>
              </w:rPr>
            </w:pPr>
            <w:r>
              <w:rPr>
                <w:rFonts w:hint="default" w:ascii="Times New Roman" w:hAnsi="Times New Roman" w:cs="Times New Roman"/>
                <w:b/>
                <w:spacing w:val="10"/>
                <w:sz w:val="24"/>
              </w:rPr>
              <w:t>（3）噪声</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由于本项目治理段沿线无声环境敏感点，本次评价建议采取以下措施对施工噪声进行防治：</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①因施工期噪声不可避免，而对局部施工单位采取隔声降噪措施又不现实，建设单位必须对施工时段作统筹安排，尽量控制多高噪源同时进行，同时在距离居民点较近段进行施工时，应设置移动声屏障；</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②施工期间必须按《建筑施工场界环境噪声排放标准》（GB 12523-2011）进行施工时间、施工噪声的控制，夜间禁止施工。如根据工况要求必须连续作业，必须得到当地环保部门的许可方可施工；</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③本项目建设应从规范施工秩序着手，高噪声设备应安排在白天（除中午12:00~14:00）使用，夜间禁止使用高噪声设备（22:00~6:00）；</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④引进施工设备时将设备噪声作为一项重要的选取指标，尽量引进低噪声设备，并对产生噪声的施工设备加强维护和维修工作，以减少机械故障噪声的产生；</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⑤结合本项目周边道路现状和周边环境的分布情况，汽车运输材料进入施工场地，途径沿线居民区和村庄时应减速慢行，晚间运输用灯光示警，禁鸣喇叭；</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⑥与施工单位签订控噪协议，督促和监督其施工控噪工作的有效实施；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⑦建设单位应要求施工单位在现场张贴通告和投诉电话，建设单位在接到投诉电话后及时与当地环保部门联系，以便及时处理各种环境纠纷。</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在落实以上防治措施后，可使噪声对周边环境保护目标的影响降至最小，施工结束，影响即消失，不会对周边环境造成大的影响。</w:t>
            </w:r>
          </w:p>
          <w:p>
            <w:pPr>
              <w:keepNext w:val="0"/>
              <w:keepLines w:val="0"/>
              <w:suppressLineNumbers w:val="0"/>
              <w:adjustRightInd w:val="0"/>
              <w:snapToGrid w:val="0"/>
              <w:spacing w:before="0" w:beforeAutospacing="0" w:after="0" w:afterAutospacing="0" w:line="360" w:lineRule="auto"/>
              <w:ind w:left="0" w:right="0" w:firstLine="261" w:firstLineChars="100"/>
              <w:rPr>
                <w:rFonts w:hint="default" w:ascii="Times New Roman" w:hAnsi="Times New Roman" w:cs="Times New Roman"/>
                <w:b/>
                <w:spacing w:val="10"/>
                <w:sz w:val="24"/>
              </w:rPr>
            </w:pPr>
            <w:r>
              <w:rPr>
                <w:rFonts w:hint="default" w:ascii="Times New Roman" w:hAnsi="Times New Roman" w:cs="Times New Roman"/>
                <w:b/>
                <w:spacing w:val="10"/>
                <w:sz w:val="24"/>
              </w:rPr>
              <w:t>（4）固体废物</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施工期固体废物主要为挖掘土方、废建筑材料及生活垃圾。</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土方工程产生的废方全部用于</w:t>
            </w:r>
            <w:r>
              <w:rPr>
                <w:rFonts w:hint="eastAsia" w:cs="Times New Roman"/>
                <w:bCs/>
                <w:spacing w:val="10"/>
                <w:sz w:val="24"/>
                <w:lang w:val="en-US" w:eastAsia="zh-CN"/>
              </w:rPr>
              <w:t>护岸堆砌</w:t>
            </w:r>
            <w:r>
              <w:rPr>
                <w:rFonts w:hint="default" w:ascii="Times New Roman" w:hAnsi="Times New Roman" w:cs="Times New Roman"/>
                <w:bCs/>
                <w:spacing w:val="10"/>
                <w:sz w:val="24"/>
              </w:rPr>
              <w:t>；建筑垃圾中可回收利用的回收利用，不能回收利用的运送至政府指定地点进行处置，不得随意倾倒，运送建筑垃圾的车辆应加盖篷布；施工人员生活垃圾按处理方式进行分类收集，定期送至城市垃圾收集站统一处理；施工人员剩余食物残渣进行集中收集，并定期由当地群众运走用于家禽家畜饲养。</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综上分析，项目施工期间固废均得到有效处置，不外排。</w:t>
            </w:r>
          </w:p>
          <w:p>
            <w:pPr>
              <w:keepNext w:val="0"/>
              <w:keepLines w:val="0"/>
              <w:suppressLineNumbers w:val="0"/>
              <w:adjustRightInd w:val="0"/>
              <w:snapToGrid w:val="0"/>
              <w:spacing w:before="0" w:beforeAutospacing="0" w:after="0" w:afterAutospacing="0" w:line="360" w:lineRule="auto"/>
              <w:ind w:left="0" w:right="0" w:firstLine="522" w:firstLineChars="200"/>
              <w:rPr>
                <w:rFonts w:hint="default" w:ascii="Times New Roman" w:hAnsi="Times New Roman" w:cs="Times New Roman"/>
                <w:b/>
                <w:spacing w:val="10"/>
                <w:sz w:val="24"/>
              </w:rPr>
            </w:pPr>
            <w:r>
              <w:rPr>
                <w:rFonts w:hint="default" w:ascii="Times New Roman" w:hAnsi="Times New Roman" w:cs="Times New Roman"/>
                <w:b/>
                <w:spacing w:val="10"/>
                <w:sz w:val="24"/>
              </w:rPr>
              <w:t>3、施工期环境监测计划</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本项目施工期环境监测计划见</w:t>
            </w:r>
            <w:r>
              <w:rPr>
                <w:rFonts w:hint="default" w:ascii="Times New Roman" w:hAnsi="Times New Roman" w:cs="Times New Roman"/>
                <w:b/>
                <w:bCs w:val="0"/>
                <w:spacing w:val="10"/>
                <w:sz w:val="24"/>
              </w:rPr>
              <w:t>表</w:t>
            </w:r>
            <w:r>
              <w:rPr>
                <w:rFonts w:hint="eastAsia" w:cs="Times New Roman"/>
                <w:b/>
                <w:bCs w:val="0"/>
                <w:spacing w:val="10"/>
                <w:sz w:val="24"/>
                <w:lang w:val="en-US" w:eastAsia="zh-CN"/>
              </w:rPr>
              <w:t>17</w:t>
            </w:r>
            <w:r>
              <w:rPr>
                <w:rFonts w:hint="default" w:ascii="Times New Roman" w:hAnsi="Times New Roman" w:cs="Times New Roman"/>
                <w:bCs/>
                <w:spacing w:val="10"/>
                <w:sz w:val="24"/>
              </w:rPr>
              <w:t>。</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spacing w:val="11"/>
                <w:sz w:val="24"/>
              </w:rPr>
            </w:pPr>
            <w:r>
              <w:rPr>
                <w:rFonts w:hint="default" w:ascii="Times New Roman" w:hAnsi="Times New Roman" w:eastAsia="黑体" w:cs="Times New Roman"/>
                <w:spacing w:val="11"/>
                <w:sz w:val="24"/>
                <w:lang w:val="en-US" w:eastAsia="zh-CN"/>
              </w:rPr>
              <w:t>表</w:t>
            </w:r>
            <w:r>
              <w:rPr>
                <w:rFonts w:hint="eastAsia" w:eastAsia="黑体" w:cs="Times New Roman"/>
                <w:spacing w:val="11"/>
                <w:sz w:val="24"/>
                <w:lang w:val="en-US" w:eastAsia="zh-CN"/>
              </w:rPr>
              <w:t>17</w:t>
            </w:r>
            <w:r>
              <w:rPr>
                <w:rFonts w:hint="default" w:ascii="Times New Roman" w:hAnsi="Times New Roman" w:eastAsia="黑体" w:cs="Times New Roman"/>
                <w:spacing w:val="11"/>
                <w:sz w:val="24"/>
                <w:lang w:val="en-US" w:eastAsia="zh-CN"/>
              </w:rPr>
              <w:t xml:space="preserve">  </w:t>
            </w:r>
            <w:r>
              <w:rPr>
                <w:rFonts w:hint="default" w:ascii="Times New Roman" w:hAnsi="Times New Roman" w:eastAsia="黑体" w:cs="Times New Roman"/>
                <w:spacing w:val="11"/>
                <w:sz w:val="24"/>
              </w:rPr>
              <w:t>施工期环境监测计划</w:t>
            </w:r>
          </w:p>
          <w:tbl>
            <w:tblPr>
              <w:tblStyle w:val="19"/>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193"/>
              <w:gridCol w:w="2316"/>
              <w:gridCol w:w="293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监测要素</w:t>
                  </w:r>
                </w:p>
              </w:tc>
              <w:tc>
                <w:tcPr>
                  <w:tcW w:w="133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监测点位</w:t>
                  </w:r>
                </w:p>
              </w:tc>
              <w:tc>
                <w:tcPr>
                  <w:tcW w:w="141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监测时段</w:t>
                  </w:r>
                </w:p>
              </w:tc>
              <w:tc>
                <w:tcPr>
                  <w:tcW w:w="178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Cs w:val="21"/>
                    </w:rPr>
                  </w:pPr>
                  <w:r>
                    <w:rPr>
                      <w:rFonts w:hint="default" w:ascii="Times New Roman" w:hAnsi="Times New Roman" w:cs="Times New Roman"/>
                      <w:bCs/>
                      <w:spacing w:val="10"/>
                      <w:szCs w:val="21"/>
                    </w:rPr>
                    <w:t>生态环境</w:t>
                  </w:r>
                </w:p>
              </w:tc>
              <w:tc>
                <w:tcPr>
                  <w:tcW w:w="133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在各个工程点设置1个地面监控点</w:t>
                  </w:r>
                </w:p>
              </w:tc>
              <w:tc>
                <w:tcPr>
                  <w:tcW w:w="141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施工前、施工中期和施工后各监测一次</w:t>
                  </w:r>
                </w:p>
              </w:tc>
              <w:tc>
                <w:tcPr>
                  <w:tcW w:w="178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以调查方式为主，监测地表植被破坏面积、地表植物种类和生产力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Cs w:val="21"/>
                    </w:rPr>
                  </w:pPr>
                  <w:r>
                    <w:rPr>
                      <w:rFonts w:hint="default" w:ascii="Times New Roman" w:hAnsi="Times New Roman" w:cs="Times New Roman"/>
                      <w:bCs/>
                      <w:spacing w:val="10"/>
                      <w:szCs w:val="21"/>
                    </w:rPr>
                    <w:t>水土保持</w:t>
                  </w:r>
                </w:p>
              </w:tc>
              <w:tc>
                <w:tcPr>
                  <w:tcW w:w="133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护岸工程、排水边沟工程、施工临时道路和施工生产区及原地貌对照点</w:t>
                  </w:r>
                </w:p>
              </w:tc>
              <w:tc>
                <w:tcPr>
                  <w:tcW w:w="141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施工前监测1次，施工期间春、秋季大风期（风速大于5级）各1次，工程结束后监测1次</w:t>
                  </w:r>
                </w:p>
              </w:tc>
              <w:tc>
                <w:tcPr>
                  <w:tcW w:w="178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水土流失影响因子；项目区生态环境变化；水土流失背景值；水土流失动态；水土流失防治效果动态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Cs w:val="21"/>
                    </w:rPr>
                  </w:pPr>
                  <w:r>
                    <w:rPr>
                      <w:rFonts w:hint="default" w:ascii="Times New Roman" w:hAnsi="Times New Roman" w:cs="Times New Roman"/>
                      <w:bCs/>
                      <w:spacing w:val="10"/>
                      <w:szCs w:val="21"/>
                    </w:rPr>
                    <w:t>环境空气</w:t>
                  </w:r>
                </w:p>
              </w:tc>
              <w:tc>
                <w:tcPr>
                  <w:tcW w:w="133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敏感点附近施工区、运输量大的路段</w:t>
                  </w:r>
                </w:p>
              </w:tc>
              <w:tc>
                <w:tcPr>
                  <w:tcW w:w="141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每个施工时段监测1次</w:t>
                  </w:r>
                </w:p>
              </w:tc>
              <w:tc>
                <w:tcPr>
                  <w:tcW w:w="178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TSP满足《环境空气质量标准》（GB3095-2012）及修改单中二级标准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0" w:hRule="atLeast"/>
                <w:jc w:val="center"/>
              </w:trPr>
              <w:tc>
                <w:tcPr>
                  <w:tcW w:w="463"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Cs w:val="21"/>
                    </w:rPr>
                  </w:pPr>
                  <w:r>
                    <w:rPr>
                      <w:rFonts w:hint="default" w:ascii="Times New Roman" w:hAnsi="Times New Roman" w:cs="Times New Roman"/>
                      <w:bCs/>
                      <w:spacing w:val="10"/>
                      <w:szCs w:val="21"/>
                    </w:rPr>
                    <w:t>声环境</w:t>
                  </w:r>
                </w:p>
              </w:tc>
              <w:tc>
                <w:tcPr>
                  <w:tcW w:w="1335"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敏感点附近施工区、运输量大的路段</w:t>
                  </w:r>
                </w:p>
              </w:tc>
              <w:tc>
                <w:tcPr>
                  <w:tcW w:w="141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每个施工时段监测1次</w:t>
                  </w:r>
                </w:p>
              </w:tc>
              <w:tc>
                <w:tcPr>
                  <w:tcW w:w="1789"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满足《声环境质量标准》（GB 3096-2008）中1类标准</w:t>
                  </w:r>
                </w:p>
              </w:tc>
            </w:tr>
          </w:tbl>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76" w:hRule="atLeast"/>
          <w:jc w:val="center"/>
        </w:trPr>
        <w:tc>
          <w:tcPr>
            <w:tcW w:w="753" w:type="dxa"/>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 w:val="24"/>
              </w:rPr>
            </w:pPr>
            <w:r>
              <w:rPr>
                <w:rFonts w:hint="default" w:ascii="Times New Roman" w:hAnsi="Times New Roman" w:cs="Times New Roman"/>
                <w:bCs/>
                <w:spacing w:val="10"/>
                <w:sz w:val="24"/>
              </w:rPr>
              <w:t>运营期生态环境保护措施</w:t>
            </w:r>
          </w:p>
        </w:tc>
        <w:tc>
          <w:tcPr>
            <w:tcW w:w="8457" w:type="dxa"/>
          </w:tcPr>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本项目为上河湾村防洪排涝工程，项目营运期无废水、废气、噪声及固体废弃物产生。项目建成后可以使洪水有序、顺畅的导入附近农田及主要泄洪沟道，有效地抑制项目区庄点内涝，解决项目区安全保障问题，促进地方经济的发展。</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spacing w:val="10"/>
                <w:sz w:val="24"/>
              </w:rPr>
            </w:pPr>
            <w:r>
              <w:rPr>
                <w:rFonts w:hint="default" w:ascii="Times New Roman" w:hAnsi="Times New Roman" w:cs="Times New Roman"/>
                <w:bCs/>
                <w:spacing w:val="10"/>
                <w:sz w:val="24"/>
              </w:rPr>
              <w:t>因此，无需针对营运期采取污染防治措施。</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eastAsia="黑体" w:cs="Times New Roman"/>
                <w:spacing w:val="11"/>
                <w:sz w:val="24"/>
                <w:lang w:val="en-US" w:eastAsia="zh-CN"/>
              </w:rPr>
            </w:pPr>
            <w:r>
              <w:rPr>
                <w:rFonts w:hint="default" w:ascii="Times New Roman" w:hAnsi="Times New Roman" w:cs="Times New Roman"/>
                <w:bCs/>
                <w:spacing w:val="10"/>
                <w:sz w:val="24"/>
              </w:rPr>
              <w:t>本项目运营期环境监测计划见</w:t>
            </w:r>
            <w:r>
              <w:rPr>
                <w:rFonts w:hint="default" w:ascii="Times New Roman" w:hAnsi="Times New Roman" w:cs="Times New Roman"/>
                <w:b/>
                <w:bCs w:val="0"/>
                <w:spacing w:val="10"/>
                <w:sz w:val="24"/>
              </w:rPr>
              <w:t>表</w:t>
            </w:r>
            <w:r>
              <w:rPr>
                <w:rFonts w:hint="eastAsia" w:cs="Times New Roman"/>
                <w:b/>
                <w:bCs w:val="0"/>
                <w:spacing w:val="10"/>
                <w:sz w:val="24"/>
                <w:lang w:val="en-US" w:eastAsia="zh-CN"/>
              </w:rPr>
              <w:t>18</w:t>
            </w:r>
            <w:r>
              <w:rPr>
                <w:rFonts w:hint="default" w:ascii="Times New Roman" w:hAnsi="Times New Roman" w:cs="Times New Roman"/>
                <w:bCs/>
                <w:spacing w:val="10"/>
                <w:sz w:val="24"/>
              </w:rPr>
              <w:t>。</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spacing w:val="11"/>
                <w:sz w:val="24"/>
              </w:rPr>
            </w:pPr>
            <w:r>
              <w:rPr>
                <w:rFonts w:hint="default" w:ascii="Times New Roman" w:hAnsi="Times New Roman" w:eastAsia="黑体" w:cs="Times New Roman"/>
                <w:spacing w:val="11"/>
                <w:sz w:val="24"/>
                <w:lang w:val="en-US" w:eastAsia="zh-CN"/>
              </w:rPr>
              <w:t>表</w:t>
            </w:r>
            <w:r>
              <w:rPr>
                <w:rFonts w:hint="eastAsia" w:eastAsia="黑体" w:cs="Times New Roman"/>
                <w:spacing w:val="11"/>
                <w:sz w:val="24"/>
                <w:lang w:val="en-US" w:eastAsia="zh-CN"/>
              </w:rPr>
              <w:t>18</w:t>
            </w:r>
            <w:r>
              <w:rPr>
                <w:rFonts w:hint="default" w:ascii="Times New Roman" w:hAnsi="Times New Roman" w:eastAsia="黑体" w:cs="Times New Roman"/>
                <w:spacing w:val="11"/>
                <w:sz w:val="24"/>
                <w:lang w:val="en-US" w:eastAsia="zh-CN"/>
              </w:rPr>
              <w:t xml:space="preserve">  </w:t>
            </w:r>
            <w:r>
              <w:rPr>
                <w:rFonts w:hint="default" w:ascii="Times New Roman" w:hAnsi="Times New Roman" w:eastAsia="黑体" w:cs="Times New Roman"/>
                <w:spacing w:val="11"/>
                <w:sz w:val="24"/>
              </w:rPr>
              <w:t>运营期环境监测计划</w:t>
            </w:r>
          </w:p>
          <w:tbl>
            <w:tblPr>
              <w:tblStyle w:val="19"/>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430"/>
              <w:gridCol w:w="2218"/>
              <w:gridCol w:w="279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46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监测要素</w:t>
                  </w:r>
                </w:p>
              </w:tc>
              <w:tc>
                <w:tcPr>
                  <w:tcW w:w="148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监测点位</w:t>
                  </w:r>
                </w:p>
              </w:tc>
              <w:tc>
                <w:tcPr>
                  <w:tcW w:w="135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监测时段</w:t>
                  </w:r>
                </w:p>
              </w:tc>
              <w:tc>
                <w:tcPr>
                  <w:tcW w:w="170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spacing w:val="10"/>
                      <w:szCs w:val="21"/>
                    </w:rPr>
                  </w:pPr>
                  <w:r>
                    <w:rPr>
                      <w:rFonts w:hint="default" w:ascii="Times New Roman" w:hAnsi="Times New Roman" w:cs="Times New Roman"/>
                      <w:b/>
                      <w:spacing w:val="10"/>
                      <w:szCs w:val="21"/>
                    </w:rPr>
                    <w:t>监测内容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46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Cs w:val="21"/>
                    </w:rPr>
                  </w:pPr>
                  <w:r>
                    <w:rPr>
                      <w:rFonts w:hint="default" w:ascii="Times New Roman" w:hAnsi="Times New Roman" w:cs="Times New Roman"/>
                      <w:bCs/>
                      <w:spacing w:val="10"/>
                      <w:szCs w:val="21"/>
                    </w:rPr>
                    <w:t>生态环境</w:t>
                  </w:r>
                </w:p>
              </w:tc>
              <w:tc>
                <w:tcPr>
                  <w:tcW w:w="148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在各个工程点设置1个地面监控点</w:t>
                  </w:r>
                </w:p>
              </w:tc>
              <w:tc>
                <w:tcPr>
                  <w:tcW w:w="135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项目完成后连续三年，一年一次</w:t>
                  </w:r>
                </w:p>
              </w:tc>
              <w:tc>
                <w:tcPr>
                  <w:tcW w:w="170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施工场地复耕监测；地表植物种类和生产力；鸟类及其它动物数量变化情况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46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Cs w:val="21"/>
                    </w:rPr>
                  </w:pPr>
                  <w:r>
                    <w:rPr>
                      <w:rFonts w:hint="default" w:ascii="Times New Roman" w:hAnsi="Times New Roman" w:cs="Times New Roman"/>
                      <w:bCs/>
                      <w:spacing w:val="10"/>
                      <w:szCs w:val="21"/>
                    </w:rPr>
                    <w:t>水土保持</w:t>
                  </w:r>
                </w:p>
              </w:tc>
              <w:tc>
                <w:tcPr>
                  <w:tcW w:w="148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护岸工程、排水边沟工程、施工临时道路和施工生产区及原地貌对照点</w:t>
                  </w:r>
                </w:p>
              </w:tc>
              <w:tc>
                <w:tcPr>
                  <w:tcW w:w="1350"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自然恢复期（主体工程运行后1年），10月下旬监测1次</w:t>
                  </w:r>
                </w:p>
              </w:tc>
              <w:tc>
                <w:tcPr>
                  <w:tcW w:w="1704" w:type="pct"/>
                  <w:tcBorders>
                    <w:tl2br w:val="nil"/>
                    <w:tr2bl w:val="nil"/>
                  </w:tcBorders>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Cs w:val="21"/>
                    </w:rPr>
                  </w:pPr>
                  <w:r>
                    <w:rPr>
                      <w:rFonts w:hint="default" w:ascii="Times New Roman" w:hAnsi="Times New Roman" w:cs="Times New Roman"/>
                      <w:bCs/>
                      <w:spacing w:val="10"/>
                      <w:szCs w:val="21"/>
                    </w:rPr>
                    <w:t>水土流失影响因子；项目区生态环境变化；水土流失背景值；水土流失动态；水土流失防治效果动态</w:t>
                  </w:r>
                </w:p>
              </w:tc>
            </w:tr>
          </w:tbl>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02" w:hRule="atLeast"/>
          <w:jc w:val="center"/>
        </w:trPr>
        <w:tc>
          <w:tcPr>
            <w:tcW w:w="75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 w:val="24"/>
              </w:rPr>
            </w:pPr>
            <w:r>
              <w:rPr>
                <w:rFonts w:hint="default" w:ascii="Times New Roman" w:hAnsi="Times New Roman" w:cs="Times New Roman"/>
                <w:bCs/>
                <w:sz w:val="24"/>
              </w:rPr>
              <w:t>其他</w:t>
            </w:r>
          </w:p>
        </w:tc>
        <w:tc>
          <w:tcPr>
            <w:tcW w:w="8457"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 w:val="24"/>
              </w:rPr>
            </w:pPr>
            <w:r>
              <w:rPr>
                <w:rFonts w:hint="default" w:ascii="Times New Roman" w:hAnsi="Times New Roman" w:cs="Times New Roman"/>
                <w:bCs/>
                <w:spacing w:val="10"/>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48" w:hRule="atLeast"/>
          <w:jc w:val="center"/>
        </w:trPr>
        <w:tc>
          <w:tcPr>
            <w:tcW w:w="75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spacing w:val="10"/>
                <w:sz w:val="24"/>
              </w:rPr>
            </w:pPr>
            <w:r>
              <w:rPr>
                <w:rFonts w:hint="default" w:ascii="Times New Roman" w:hAnsi="Times New Roman" w:cs="Times New Roman"/>
                <w:bCs/>
                <w:sz w:val="24"/>
              </w:rPr>
              <w:t>环保投资</w:t>
            </w:r>
          </w:p>
        </w:tc>
        <w:tc>
          <w:tcPr>
            <w:tcW w:w="8457" w:type="dxa"/>
          </w:tcPr>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eastAsia="宋体" w:cs="Times New Roman"/>
                <w:bCs/>
                <w:spacing w:val="10"/>
                <w:sz w:val="24"/>
                <w:lang w:val="en-US" w:eastAsia="zh-CN"/>
              </w:rPr>
            </w:pPr>
            <w:r>
              <w:rPr>
                <w:rFonts w:hint="default" w:ascii="Times New Roman" w:hAnsi="Times New Roman" w:cs="Times New Roman"/>
                <w:bCs/>
                <w:spacing w:val="10"/>
                <w:sz w:val="24"/>
              </w:rPr>
              <w:t>本项目总投资为</w:t>
            </w:r>
            <w:r>
              <w:rPr>
                <w:rFonts w:hint="default" w:ascii="Times New Roman" w:hAnsi="Times New Roman" w:cs="Times New Roman"/>
                <w:bCs/>
                <w:color w:val="auto"/>
                <w:spacing w:val="10"/>
                <w:sz w:val="24"/>
                <w:highlight w:val="none"/>
              </w:rPr>
              <w:t>1</w:t>
            </w:r>
            <w:r>
              <w:rPr>
                <w:rFonts w:hint="eastAsia" w:cs="Times New Roman"/>
                <w:bCs/>
                <w:color w:val="auto"/>
                <w:spacing w:val="10"/>
                <w:sz w:val="24"/>
                <w:highlight w:val="none"/>
                <w:lang w:val="en-US" w:eastAsia="zh-CN"/>
              </w:rPr>
              <w:t>77.96</w:t>
            </w:r>
            <w:r>
              <w:rPr>
                <w:rFonts w:hint="default" w:ascii="Times New Roman" w:hAnsi="Times New Roman" w:cs="Times New Roman"/>
                <w:bCs/>
                <w:spacing w:val="10"/>
                <w:sz w:val="24"/>
              </w:rPr>
              <w:t>万元，其中环保投资为</w:t>
            </w:r>
            <w:r>
              <w:rPr>
                <w:rFonts w:hint="eastAsia" w:cs="Times New Roman"/>
                <w:bCs/>
                <w:spacing w:val="10"/>
                <w:sz w:val="24"/>
                <w:lang w:val="en-US" w:eastAsia="zh-CN"/>
              </w:rPr>
              <w:t>2.44</w:t>
            </w:r>
            <w:r>
              <w:rPr>
                <w:rFonts w:hint="default" w:ascii="Times New Roman" w:hAnsi="Times New Roman" w:cs="Times New Roman"/>
                <w:bCs/>
                <w:spacing w:val="10"/>
                <w:sz w:val="24"/>
              </w:rPr>
              <w:t>万元，占总投资额的</w:t>
            </w:r>
            <w:r>
              <w:rPr>
                <w:rFonts w:hint="eastAsia" w:cs="Times New Roman"/>
                <w:bCs/>
                <w:spacing w:val="10"/>
                <w:sz w:val="24"/>
                <w:lang w:val="en-US" w:eastAsia="zh-CN"/>
              </w:rPr>
              <w:t>1.37</w:t>
            </w:r>
            <w:r>
              <w:rPr>
                <w:rFonts w:hint="default" w:ascii="Times New Roman" w:hAnsi="Times New Roman" w:cs="Times New Roman"/>
                <w:bCs/>
                <w:spacing w:val="10"/>
                <w:sz w:val="24"/>
              </w:rPr>
              <w:t>%</w:t>
            </w:r>
            <w:r>
              <w:rPr>
                <w:rFonts w:hint="default" w:ascii="Times New Roman" w:hAnsi="Times New Roman" w:cs="Times New Roman"/>
                <w:bCs/>
                <w:spacing w:val="10"/>
                <w:sz w:val="24"/>
                <w:lang w:eastAsia="zh-CN"/>
              </w:rPr>
              <w:t>。</w:t>
            </w:r>
            <w:r>
              <w:rPr>
                <w:rFonts w:hint="default" w:ascii="Times New Roman" w:hAnsi="Times New Roman" w:cs="Times New Roman"/>
                <w:bCs/>
                <w:spacing w:val="10"/>
                <w:sz w:val="24"/>
                <w:lang w:val="en-US" w:eastAsia="zh-CN"/>
              </w:rPr>
              <w:t>项目环保投资清单见</w:t>
            </w:r>
            <w:r>
              <w:rPr>
                <w:rFonts w:hint="default" w:ascii="Times New Roman" w:hAnsi="Times New Roman" w:cs="Times New Roman"/>
                <w:b/>
                <w:bCs w:val="0"/>
                <w:spacing w:val="10"/>
                <w:sz w:val="24"/>
                <w:lang w:val="en-US" w:eastAsia="zh-CN"/>
              </w:rPr>
              <w:t>表</w:t>
            </w:r>
            <w:r>
              <w:rPr>
                <w:rFonts w:hint="eastAsia" w:cs="Times New Roman"/>
                <w:b/>
                <w:bCs w:val="0"/>
                <w:spacing w:val="10"/>
                <w:sz w:val="24"/>
                <w:lang w:val="en-US" w:eastAsia="zh-CN"/>
              </w:rPr>
              <w:t>19</w:t>
            </w:r>
            <w:r>
              <w:rPr>
                <w:rFonts w:hint="default" w:ascii="Times New Roman" w:hAnsi="Times New Roman" w:cs="Times New Roman"/>
                <w:bCs/>
                <w:spacing w:val="10"/>
                <w:sz w:val="24"/>
                <w:lang w:val="en-US"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Times New Roman" w:hAnsi="Times New Roman" w:eastAsia="黑体" w:cs="Times New Roman"/>
                <w:b w:val="0"/>
                <w:bCs/>
                <w:color w:val="000000" w:themeColor="text1"/>
                <w:sz w:val="24"/>
                <w:szCs w:val="24"/>
                <w14:textFill>
                  <w14:solidFill>
                    <w14:schemeClr w14:val="tx1"/>
                  </w14:solidFill>
                </w14:textFill>
              </w:rPr>
            </w:pPr>
            <w:r>
              <w:rPr>
                <w:rFonts w:hint="default" w:ascii="Times New Roman" w:hAnsi="Times New Roman" w:eastAsia="黑体" w:cs="Times New Roman"/>
                <w:b w:val="0"/>
                <w:bCs/>
                <w:color w:val="000000" w:themeColor="text1"/>
                <w:sz w:val="24"/>
                <w:szCs w:val="24"/>
                <w:lang w:val="en-US" w:eastAsia="zh-CN"/>
                <w14:textFill>
                  <w14:solidFill>
                    <w14:schemeClr w14:val="tx1"/>
                  </w14:solidFill>
                </w14:textFill>
              </w:rPr>
              <w:t>表</w:t>
            </w:r>
            <w:r>
              <w:rPr>
                <w:rFonts w:hint="eastAsia" w:eastAsia="黑体" w:cs="Times New Roman"/>
                <w:b w:val="0"/>
                <w:bCs/>
                <w:color w:val="000000" w:themeColor="text1"/>
                <w:sz w:val="24"/>
                <w:szCs w:val="24"/>
                <w:lang w:val="en-US" w:eastAsia="zh-CN"/>
                <w14:textFill>
                  <w14:solidFill>
                    <w14:schemeClr w14:val="tx1"/>
                  </w14:solidFill>
                </w14:textFill>
              </w:rPr>
              <w:t>19</w:t>
            </w:r>
            <w:r>
              <w:rPr>
                <w:rFonts w:hint="default" w:ascii="Times New Roman" w:hAnsi="Times New Roman" w:eastAsia="黑体" w:cs="Times New Roman"/>
                <w:b w:val="0"/>
                <w:bCs/>
                <w:color w:val="000000" w:themeColor="text1"/>
                <w:sz w:val="24"/>
                <w:szCs w:val="24"/>
                <w:lang w:val="en-US" w:eastAsia="zh-CN"/>
                <w14:textFill>
                  <w14:solidFill>
                    <w14:schemeClr w14:val="tx1"/>
                  </w14:solidFill>
                </w14:textFill>
              </w:rPr>
              <w:t xml:space="preserve">  项目环保投资清单</w:t>
            </w:r>
          </w:p>
          <w:tbl>
            <w:tblPr>
              <w:tblStyle w:val="18"/>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06"/>
              <w:gridCol w:w="2013"/>
              <w:gridCol w:w="1562"/>
              <w:gridCol w:w="251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340" w:hRule="atLeast"/>
                <w:jc w:val="center"/>
              </w:trPr>
              <w:tc>
                <w:tcPr>
                  <w:tcW w:w="2106" w:type="dxa"/>
                  <w:tcBorders>
                    <w:top w:val="single" w:color="auto" w:sz="12" w:space="0"/>
                    <w:left w:val="single" w:color="auto" w:sz="12"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类别</w:t>
                  </w:r>
                </w:p>
              </w:tc>
              <w:tc>
                <w:tcPr>
                  <w:tcW w:w="2013" w:type="dxa"/>
                  <w:tcBorders>
                    <w:top w:val="single" w:color="auto" w:sz="12"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措施内容</w:t>
                  </w:r>
                </w:p>
              </w:tc>
              <w:tc>
                <w:tcPr>
                  <w:tcW w:w="1562" w:type="dxa"/>
                  <w:tcBorders>
                    <w:top w:val="single" w:color="auto" w:sz="12"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投资估算（元）</w:t>
                  </w:r>
                </w:p>
              </w:tc>
              <w:tc>
                <w:tcPr>
                  <w:tcW w:w="2519" w:type="dxa"/>
                  <w:tcBorders>
                    <w:top w:val="single" w:color="auto" w:sz="12" w:space="0"/>
                    <w:left w:val="single" w:color="auto" w:sz="6" w:space="0"/>
                    <w:bottom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b/>
                      <w:bCs/>
                      <w:color w:val="000000" w:themeColor="text1"/>
                      <w:sz w:val="21"/>
                      <w:szCs w:val="21"/>
                      <w14:textFill>
                        <w14:solidFill>
                          <w14:schemeClr w14:val="tx1"/>
                        </w14:solidFill>
                      </w14:textFill>
                    </w:rPr>
                  </w:pPr>
                  <w:r>
                    <w:rPr>
                      <w:rFonts w:hint="default" w:ascii="Times New Roman" w:hAnsi="Times New Roman" w:cs="Times New Roman"/>
                      <w:b/>
                      <w:bCs/>
                      <w:color w:val="000000" w:themeColor="text1"/>
                      <w:sz w:val="21"/>
                      <w:szCs w:val="21"/>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106" w:type="dxa"/>
                  <w:vMerge w:val="restart"/>
                  <w:tcBorders>
                    <w:top w:val="single" w:color="auto" w:sz="6" w:space="0"/>
                    <w:left w:val="single" w:color="auto" w:sz="12"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施工期大气防治措施</w:t>
                  </w:r>
                </w:p>
              </w:tc>
              <w:tc>
                <w:tcPr>
                  <w:tcW w:w="20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洒水降尘</w:t>
                  </w:r>
                </w:p>
              </w:tc>
              <w:tc>
                <w:tcPr>
                  <w:tcW w:w="15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5616</w:t>
                  </w:r>
                </w:p>
              </w:tc>
              <w:tc>
                <w:tcPr>
                  <w:tcW w:w="2519" w:type="dxa"/>
                  <w:vMerge w:val="restart"/>
                  <w:tcBorders>
                    <w:top w:val="single" w:color="auto" w:sz="6" w:space="0"/>
                    <w:left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场地、料场及运输路线</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340" w:hRule="atLeast"/>
                <w:jc w:val="center"/>
              </w:trPr>
              <w:tc>
                <w:tcPr>
                  <w:tcW w:w="2106" w:type="dxa"/>
                  <w:vMerge w:val="continue"/>
                  <w:tcBorders>
                    <w:left w:val="single" w:color="auto" w:sz="12"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c>
                <w:tcPr>
                  <w:tcW w:w="20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施工车辆篷布遮盖</w:t>
                  </w:r>
                </w:p>
              </w:tc>
              <w:tc>
                <w:tcPr>
                  <w:tcW w:w="15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4330</w:t>
                  </w:r>
                </w:p>
              </w:tc>
              <w:tc>
                <w:tcPr>
                  <w:tcW w:w="2519" w:type="dxa"/>
                  <w:vMerge w:val="continue"/>
                  <w:tcBorders>
                    <w:left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106" w:type="dxa"/>
                  <w:tcBorders>
                    <w:top w:val="single" w:color="auto" w:sz="6" w:space="0"/>
                    <w:left w:val="single" w:color="auto" w:sz="12"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施工期废水防治措施</w:t>
                  </w:r>
                </w:p>
              </w:tc>
              <w:tc>
                <w:tcPr>
                  <w:tcW w:w="20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临时沉淀池</w:t>
                  </w:r>
                </w:p>
              </w:tc>
              <w:tc>
                <w:tcPr>
                  <w:tcW w:w="15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2621</w:t>
                  </w:r>
                </w:p>
              </w:tc>
              <w:tc>
                <w:tcPr>
                  <w:tcW w:w="2519" w:type="dxa"/>
                  <w:tcBorders>
                    <w:top w:val="single" w:color="auto" w:sz="6" w:space="0"/>
                    <w:left w:val="single" w:color="auto" w:sz="6" w:space="0"/>
                    <w:bottom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用于建筑施工废水沉淀处理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340" w:hRule="atLeast"/>
                <w:jc w:val="center"/>
              </w:trPr>
              <w:tc>
                <w:tcPr>
                  <w:tcW w:w="2106" w:type="dxa"/>
                  <w:tcBorders>
                    <w:top w:val="single" w:color="auto" w:sz="6" w:space="0"/>
                    <w:left w:val="single" w:color="auto" w:sz="12"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施工期噪声防治措施</w:t>
                  </w:r>
                </w:p>
              </w:tc>
              <w:tc>
                <w:tcPr>
                  <w:tcW w:w="20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设备隔声、减震</w:t>
                  </w:r>
                </w:p>
              </w:tc>
              <w:tc>
                <w:tcPr>
                  <w:tcW w:w="15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3050</w:t>
                  </w:r>
                </w:p>
              </w:tc>
              <w:tc>
                <w:tcPr>
                  <w:tcW w:w="2519" w:type="dxa"/>
                  <w:tcBorders>
                    <w:top w:val="single" w:color="auto" w:sz="6" w:space="0"/>
                    <w:left w:val="single" w:color="auto" w:sz="6" w:space="0"/>
                    <w:bottom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施工机械设备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106" w:type="dxa"/>
                  <w:tcBorders>
                    <w:top w:val="single" w:color="auto" w:sz="6" w:space="0"/>
                    <w:left w:val="single" w:color="auto" w:sz="12"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施工期固废防治措施</w:t>
                  </w:r>
                </w:p>
              </w:tc>
              <w:tc>
                <w:tcPr>
                  <w:tcW w:w="2013"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生活垃圾、建筑垃圾</w:t>
                  </w:r>
                </w:p>
              </w:tc>
              <w:tc>
                <w:tcPr>
                  <w:tcW w:w="156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4762</w:t>
                  </w:r>
                </w:p>
              </w:tc>
              <w:tc>
                <w:tcPr>
                  <w:tcW w:w="2519" w:type="dxa"/>
                  <w:tcBorders>
                    <w:top w:val="single" w:color="auto" w:sz="6" w:space="0"/>
                    <w:left w:val="single" w:color="auto" w:sz="6" w:space="0"/>
                    <w:bottom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生活垃圾集中运往村镇垃圾转运站；建筑垃圾运往当地垃圾处理场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2106" w:type="dxa"/>
                  <w:tcBorders>
                    <w:top w:val="single" w:color="auto" w:sz="6" w:space="0"/>
                    <w:left w:val="single" w:color="auto" w:sz="12"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生态防治措施</w:t>
                  </w:r>
                </w:p>
              </w:tc>
              <w:tc>
                <w:tcPr>
                  <w:tcW w:w="2013" w:type="dxa"/>
                  <w:tcBorders>
                    <w:top w:val="single" w:color="auto" w:sz="6" w:space="0"/>
                    <w:left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临时占地恢复</w:t>
                  </w:r>
                </w:p>
              </w:tc>
              <w:tc>
                <w:tcPr>
                  <w:tcW w:w="1562" w:type="dxa"/>
                  <w:tcBorders>
                    <w:top w:val="single" w:color="auto" w:sz="6" w:space="0"/>
                    <w:left w:val="single" w:color="auto" w:sz="6"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4021</w:t>
                  </w:r>
                </w:p>
              </w:tc>
              <w:tc>
                <w:tcPr>
                  <w:tcW w:w="2519" w:type="dxa"/>
                  <w:tcBorders>
                    <w:top w:val="single" w:color="auto" w:sz="6" w:space="0"/>
                    <w:left w:val="single" w:color="auto" w:sz="6"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施工迹地平整、植被恢复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119" w:type="dxa"/>
                  <w:gridSpan w:val="2"/>
                  <w:tcBorders>
                    <w:top w:val="single" w:color="auto" w:sz="6" w:space="0"/>
                    <w:left w:val="single" w:color="auto" w:sz="12" w:space="0"/>
                    <w:bottom w:val="single" w:color="auto" w:sz="12"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r>
                    <w:rPr>
                      <w:rFonts w:hint="default" w:ascii="Times New Roman" w:hAnsi="Times New Roman" w:cs="Times New Roman"/>
                      <w:color w:val="000000" w:themeColor="text1"/>
                      <w:sz w:val="21"/>
                      <w:szCs w:val="21"/>
                      <w14:textFill>
                        <w14:solidFill>
                          <w14:schemeClr w14:val="tx1"/>
                        </w14:solidFill>
                      </w14:textFill>
                    </w:rPr>
                    <w:t>合计</w:t>
                  </w:r>
                </w:p>
              </w:tc>
              <w:tc>
                <w:tcPr>
                  <w:tcW w:w="1562" w:type="dxa"/>
                  <w:tcBorders>
                    <w:top w:val="single" w:color="auto" w:sz="6" w:space="0"/>
                    <w:left w:val="single" w:color="auto" w:sz="6" w:space="0"/>
                    <w:bottom w:val="single" w:color="auto" w:sz="12" w:space="0"/>
                    <w:right w:val="single" w:color="auto" w:sz="6"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000000" w:themeColor="text1"/>
                      <w:sz w:val="21"/>
                      <w:szCs w:val="21"/>
                      <w:lang w:val="en-US" w:eastAsia="zh-CN"/>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24400</w:t>
                  </w:r>
                </w:p>
              </w:tc>
              <w:tc>
                <w:tcPr>
                  <w:tcW w:w="2519" w:type="dxa"/>
                  <w:tcBorders>
                    <w:top w:val="single" w:color="auto" w:sz="6" w:space="0"/>
                    <w:left w:val="single" w:color="auto" w:sz="6" w:space="0"/>
                    <w:bottom w:val="single" w:color="auto" w:sz="12" w:space="0"/>
                    <w:right w:val="single" w:color="auto" w:sz="12"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000000" w:themeColor="text1"/>
                      <w:sz w:val="21"/>
                      <w:szCs w:val="21"/>
                      <w14:textFill>
                        <w14:solidFill>
                          <w14:schemeClr w14:val="tx1"/>
                        </w14:solidFill>
                      </w14:textFill>
                    </w:rPr>
                  </w:pPr>
                </w:p>
              </w:tc>
            </w:tr>
          </w:tbl>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spacing w:val="10"/>
                <w:sz w:val="24"/>
              </w:rPr>
            </w:pPr>
          </w:p>
        </w:tc>
      </w:tr>
    </w:tbl>
    <w:p>
      <w:pPr>
        <w:rPr>
          <w:rFonts w:hint="default" w:ascii="Times New Roman" w:hAnsi="Times New Roman" w:cs="Times New Roman"/>
        </w:rPr>
        <w:sectPr>
          <w:pgSz w:w="11907" w:h="16840"/>
          <w:pgMar w:top="1440" w:right="1797" w:bottom="1440" w:left="1797" w:header="851" w:footer="1077" w:gutter="0"/>
          <w:cols w:space="720" w:num="1"/>
          <w:docGrid w:linePitch="312" w:charSpace="0"/>
        </w:sectPr>
      </w:pPr>
    </w:p>
    <w:p>
      <w:pPr>
        <w:pStyle w:val="15"/>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sz w:val="30"/>
          <w:szCs w:val="30"/>
        </w:rPr>
        <w:t>六、生态环境保护措施监督检查清单</w:t>
      </w:r>
    </w:p>
    <w:tbl>
      <w:tblPr>
        <w:tblStyle w:val="18"/>
        <w:tblW w:w="500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97"/>
        <w:gridCol w:w="1842"/>
        <w:gridCol w:w="1801"/>
        <w:gridCol w:w="1867"/>
        <w:gridCol w:w="181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Merge w:val="restart"/>
            <w:tcBorders>
              <w:tl2br w:val="single" w:color="auto" w:sz="4" w:space="0"/>
            </w:tcBorders>
          </w:tcPr>
          <w:p>
            <w:pPr>
              <w:pStyle w:val="15"/>
              <w:keepNext w:val="0"/>
              <w:keepLines w:val="0"/>
              <w:suppressLineNumbers w:val="0"/>
              <w:adjustRightInd w:val="0"/>
              <w:snapToGrid w:val="0"/>
              <w:spacing w:before="72" w:beforeLines="3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 xml:space="preserve">       </w:t>
            </w:r>
          </w:p>
          <w:p>
            <w:pPr>
              <w:pStyle w:val="15"/>
              <w:keepNext w:val="0"/>
              <w:keepLines w:val="0"/>
              <w:suppressLineNumbers w:val="0"/>
              <w:adjustRightInd w:val="0"/>
              <w:snapToGrid w:val="0"/>
              <w:spacing w:before="72" w:beforeLines="3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 xml:space="preserve">    内容         </w:t>
            </w:r>
          </w:p>
          <w:p>
            <w:pPr>
              <w:pStyle w:val="15"/>
              <w:keepNext w:val="0"/>
              <w:keepLines w:val="0"/>
              <w:suppressLineNumbers w:val="0"/>
              <w:adjustRightInd w:val="0"/>
              <w:snapToGrid w:val="0"/>
              <w:spacing w:before="0" w:beforeAutospacing="0" w:after="0" w:afterAutospacing="0" w:line="14" w:lineRule="auto"/>
              <w:ind w:left="0" w:right="0"/>
              <w:outlineLvl w:val="0"/>
              <w:rPr>
                <w:rFonts w:hint="default" w:ascii="Times New Roman" w:hAnsi="Times New Roman" w:eastAsia="黑体" w:cs="Times New Roman"/>
                <w:kern w:val="2"/>
              </w:rPr>
            </w:pPr>
            <w:r>
              <w:rPr>
                <w:rFonts w:hint="default" w:ascii="Times New Roman" w:hAnsi="Times New Roman" w:eastAsia="黑体" w:cs="Times New Roman"/>
                <w:kern w:val="2"/>
              </w:rPr>
              <w:t xml:space="preserve">  </w:t>
            </w:r>
          </w:p>
          <w:p>
            <w:pPr>
              <w:pStyle w:val="15"/>
              <w:keepNext w:val="0"/>
              <w:keepLines w:val="0"/>
              <w:suppressLineNumbers w:val="0"/>
              <w:adjustRightInd w:val="0"/>
              <w:snapToGrid w:val="0"/>
              <w:spacing w:before="0" w:beforeAutospacing="0" w:after="0" w:afterAutospacing="0"/>
              <w:ind w:left="0" w:right="0"/>
              <w:outlineLvl w:val="0"/>
              <w:rPr>
                <w:rFonts w:hint="default" w:ascii="Times New Roman" w:hAnsi="Times New Roman" w:eastAsia="黑体" w:cs="Times New Roman"/>
                <w:kern w:val="2"/>
              </w:rPr>
            </w:pPr>
            <w:r>
              <w:rPr>
                <w:rFonts w:hint="default" w:ascii="Times New Roman" w:hAnsi="Times New Roman" w:eastAsia="黑体" w:cs="Times New Roman"/>
                <w:kern w:val="2"/>
              </w:rPr>
              <w:t>要素</w:t>
            </w:r>
          </w:p>
        </w:tc>
        <w:tc>
          <w:tcPr>
            <w:tcW w:w="2136" w:type="pct"/>
            <w:gridSpan w:val="2"/>
            <w:vAlign w:val="center"/>
          </w:tcPr>
          <w:p>
            <w:pPr>
              <w:pStyle w:val="15"/>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施工期</w:t>
            </w:r>
          </w:p>
        </w:tc>
        <w:tc>
          <w:tcPr>
            <w:tcW w:w="2160" w:type="pct"/>
            <w:gridSpan w:val="2"/>
            <w:vAlign w:val="center"/>
          </w:tcPr>
          <w:p>
            <w:pPr>
              <w:pStyle w:val="15"/>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运营期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Merge w:val="continue"/>
          </w:tcPr>
          <w:p>
            <w:pPr>
              <w:pStyle w:val="15"/>
              <w:keepNext w:val="0"/>
              <w:keepLines w:val="0"/>
              <w:suppressLineNumbers w:val="0"/>
              <w:adjustRightInd w:val="0"/>
              <w:snapToGrid w:val="0"/>
              <w:spacing w:before="0" w:beforeAutospacing="0" w:after="0" w:afterAutospacing="0"/>
              <w:ind w:left="0" w:right="0" w:firstLine="840"/>
              <w:jc w:val="center"/>
              <w:outlineLvl w:val="0"/>
              <w:rPr>
                <w:rFonts w:hint="default" w:ascii="Times New Roman" w:hAnsi="Times New Roman" w:eastAsia="黑体" w:cs="Times New Roman"/>
                <w:kern w:val="2"/>
              </w:rPr>
            </w:pPr>
          </w:p>
        </w:tc>
        <w:tc>
          <w:tcPr>
            <w:tcW w:w="1080" w:type="pct"/>
            <w:vAlign w:val="center"/>
          </w:tcPr>
          <w:p>
            <w:pPr>
              <w:pStyle w:val="15"/>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环境保护措施</w:t>
            </w:r>
          </w:p>
        </w:tc>
        <w:tc>
          <w:tcPr>
            <w:tcW w:w="1056" w:type="pct"/>
            <w:vAlign w:val="center"/>
          </w:tcPr>
          <w:p>
            <w:pPr>
              <w:pStyle w:val="15"/>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验收要求</w:t>
            </w:r>
          </w:p>
        </w:tc>
        <w:tc>
          <w:tcPr>
            <w:tcW w:w="1095" w:type="pct"/>
            <w:vAlign w:val="center"/>
          </w:tcPr>
          <w:p>
            <w:pPr>
              <w:pStyle w:val="15"/>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环境保护措施</w:t>
            </w:r>
          </w:p>
        </w:tc>
        <w:tc>
          <w:tcPr>
            <w:tcW w:w="1064" w:type="pct"/>
            <w:vAlign w:val="center"/>
          </w:tcPr>
          <w:p>
            <w:pPr>
              <w:pStyle w:val="15"/>
              <w:keepNext w:val="0"/>
              <w:keepLines w:val="0"/>
              <w:suppressLineNumbers w:val="0"/>
              <w:adjustRightInd w:val="0"/>
              <w:snapToGrid w:val="0"/>
              <w:spacing w:before="0" w:beforeAutospacing="0" w:after="0" w:afterAutospacing="0"/>
              <w:ind w:left="0" w:right="0"/>
              <w:jc w:val="center"/>
              <w:outlineLvl w:val="0"/>
              <w:rPr>
                <w:rFonts w:hint="default" w:ascii="Times New Roman" w:hAnsi="Times New Roman" w:eastAsia="黑体" w:cs="Times New Roman"/>
                <w:kern w:val="2"/>
              </w:rPr>
            </w:pPr>
            <w:r>
              <w:rPr>
                <w:rFonts w:hint="default" w:ascii="Times New Roman" w:hAnsi="Times New Roman" w:eastAsia="黑体" w:cs="Times New Roman"/>
                <w:kern w:val="2"/>
              </w:rPr>
              <w:t>验收要求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陆生生态</w:t>
            </w: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①合理规划施工临时占地，尽量少占耕地，施工场区选择在植被少、距离区域道路较近的场地；②施工结束时，及时恢复临时占地范围的土地使用功能；③栽种的植物应是国家与当地批准栽种的宜土宜种植物</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是否按水土保持措施采取了各项措施，土地进行了平整，植被进行了恢复；减轻对周边环境的影响</w:t>
            </w:r>
          </w:p>
        </w:tc>
        <w:tc>
          <w:tcPr>
            <w:tcW w:w="1095"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检查施工扰动区域的土地恢复情况</w:t>
            </w:r>
          </w:p>
        </w:tc>
        <w:tc>
          <w:tcPr>
            <w:tcW w:w="1064"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落实环评提出的生态保护措施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水生生态</w:t>
            </w: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地表水环境</w:t>
            </w: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①施工人员生活污水依托租用民房生活污水处理设施；②施工废水经沉淀处理后全部回用</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无废水外排</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地下水及土壤环境</w:t>
            </w: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①进行封闭性施工，严格控制施工范围；②场区预先修建导流围堰和排水沟，地表开挖尽量避开暴雨季节，做到分期分区开挖；③合理选择施工工序；④合理选择施工工期；⑤严格控制运输流失；⑥剥离的表层土采取临时覆盖等防护措施；⑦注重水土保持的综合性；⑧施工中加强施工管理，尽量缩小施工范围</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不对地下水及土壤造成污染</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声环境</w:t>
            </w: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选用低噪设备、合理施工等综合降噪措施</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有无投诉事件</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振动</w:t>
            </w: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大气环境</w:t>
            </w: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施工过程中推广湿式作业，冲洗出施工场地的车辆的轮胎泥土；及时回填挖方；易扬洒物料等采用密闭围栏覆盖；严禁高处抛洒物料；合理布置高扬尘施工环节等</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满足《大气污染物综合排放标准》（GB16297-1996）中无组织排放监控浓度限值</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固体废物</w:t>
            </w: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土方工程产生的</w:t>
            </w:r>
            <w:r>
              <w:rPr>
                <w:rFonts w:hint="eastAsia" w:cs="Times New Roman"/>
                <w:sz w:val="24"/>
                <w:lang w:val="en-US" w:eastAsia="zh-CN"/>
              </w:rPr>
              <w:t>土</w:t>
            </w:r>
            <w:r>
              <w:rPr>
                <w:rFonts w:hint="default" w:ascii="Times New Roman" w:hAnsi="Times New Roman" w:cs="Times New Roman"/>
                <w:sz w:val="24"/>
              </w:rPr>
              <w:t>方全部用于</w:t>
            </w:r>
            <w:r>
              <w:rPr>
                <w:rFonts w:hint="default" w:ascii="Times New Roman" w:hAnsi="Times New Roman" w:cs="Times New Roman"/>
                <w:bCs/>
                <w:spacing w:val="10"/>
                <w:sz w:val="24"/>
              </w:rPr>
              <w:t>工程土地平整</w:t>
            </w:r>
            <w:r>
              <w:rPr>
                <w:rFonts w:hint="default" w:ascii="Times New Roman" w:hAnsi="Times New Roman" w:cs="Times New Roman"/>
                <w:sz w:val="24"/>
              </w:rPr>
              <w:t>；建筑垃圾中可回收利用的回收利用，不能回收利用的运送至政府指定地点进行处置；施工人员生活垃圾经统一收集后由当地环卫部门统一清运处置</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无施工期遗留垃圾</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电磁环境</w:t>
            </w: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环境风险</w:t>
            </w: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702" w:type="pct"/>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环境监测</w:t>
            </w: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生态环境监测（监测地表植被破坏面积、地表植物种类和生产力）</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施工前、施工中期和施工后各监测一次</w:t>
            </w:r>
          </w:p>
        </w:tc>
        <w:tc>
          <w:tcPr>
            <w:tcW w:w="1095"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生态环境监测（监测地表植被破坏面积、地表植物种类和生产力）</w:t>
            </w:r>
          </w:p>
        </w:tc>
        <w:tc>
          <w:tcPr>
            <w:tcW w:w="1064"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项目完成后连续三年，一年一次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702" w:type="pct"/>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p>
        </w:tc>
        <w:tc>
          <w:tcPr>
            <w:tcW w:w="1080"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水土保持监测（土流失影响因子；项目区生态环境变化；水土流失背景值；水土流失动态；水土流失防治效果动态）</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施工前监测1次，施工期间春、秋季大风期（风速大于5级）各1次，工程结束后监测1次</w:t>
            </w:r>
          </w:p>
        </w:tc>
        <w:tc>
          <w:tcPr>
            <w:tcW w:w="1095"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水土保持监测（土流失影响因子；项目区生态环境变化；水土流失背景值；水土流失动态；水土流失防治效果动态）</w:t>
            </w:r>
          </w:p>
        </w:tc>
        <w:tc>
          <w:tcPr>
            <w:tcW w:w="1064"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自然恢复期（主体工程运行后1年），10月下旬监测1次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702" w:type="pct"/>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地表水监测</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满足《地表水环境质量标准》（GB3838-2002）Ⅲ类标准</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702" w:type="pct"/>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环境空气监测</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TSP满足《环境空气质量标准》（GB3095-2012）及修改单中二级标准</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702" w:type="pct"/>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声环境监测</w:t>
            </w:r>
          </w:p>
        </w:tc>
        <w:tc>
          <w:tcPr>
            <w:tcW w:w="1056" w:type="pc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sz w:val="24"/>
              </w:rPr>
            </w:pPr>
            <w:r>
              <w:rPr>
                <w:rFonts w:hint="default" w:ascii="Times New Roman" w:hAnsi="Times New Roman" w:cs="Times New Roman"/>
                <w:sz w:val="24"/>
              </w:rPr>
              <w:t>满足《声环境质量标准》（GB3096-2008）中1类标准</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2"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其他</w:t>
            </w:r>
          </w:p>
        </w:tc>
        <w:tc>
          <w:tcPr>
            <w:tcW w:w="1080"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56"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95"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c>
          <w:tcPr>
            <w:tcW w:w="1064" w:type="pc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sz w:val="24"/>
              </w:rPr>
            </w:pPr>
            <w:r>
              <w:rPr>
                <w:rFonts w:hint="default" w:ascii="Times New Roman" w:hAnsi="Times New Roman" w:cs="Times New Roman"/>
                <w:sz w:val="24"/>
              </w:rPr>
              <w:t>无</w:t>
            </w:r>
          </w:p>
        </w:tc>
      </w:tr>
    </w:tbl>
    <w:p>
      <w:pPr>
        <w:pStyle w:val="15"/>
        <w:jc w:val="center"/>
        <w:outlineLvl w:val="0"/>
        <w:rPr>
          <w:rFonts w:hint="default" w:ascii="Times New Roman" w:hAnsi="Times New Roman" w:eastAsia="黑体" w:cs="Times New Roman"/>
          <w:snapToGrid w:val="0"/>
          <w:sz w:val="30"/>
          <w:szCs w:val="30"/>
        </w:rPr>
      </w:pPr>
    </w:p>
    <w:p>
      <w:pPr>
        <w:pStyle w:val="15"/>
        <w:spacing w:before="0" w:beforeAutospacing="0" w:line="14" w:lineRule="auto"/>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sz w:val="30"/>
          <w:szCs w:val="30"/>
        </w:rPr>
        <w:br w:type="page"/>
      </w:r>
    </w:p>
    <w:p>
      <w:pPr>
        <w:pStyle w:val="15"/>
        <w:spacing w:before="192" w:beforeLines="80" w:beforeAutospacing="0"/>
        <w:jc w:val="center"/>
        <w:outlineLvl w:val="0"/>
        <w:rPr>
          <w:rFonts w:hint="default" w:ascii="Times New Roman" w:hAnsi="Times New Roman" w:eastAsia="黑体" w:cs="Times New Roman"/>
          <w:snapToGrid w:val="0"/>
          <w:sz w:val="30"/>
          <w:szCs w:val="30"/>
        </w:rPr>
      </w:pPr>
      <w:r>
        <w:rPr>
          <w:rFonts w:hint="default" w:ascii="Times New Roman" w:hAnsi="Times New Roman" w:eastAsia="黑体" w:cs="Times New Roman"/>
          <w:snapToGrid w:val="0"/>
          <w:sz w:val="30"/>
          <w:szCs w:val="30"/>
        </w:rPr>
        <w:t>七、结论</w:t>
      </w:r>
    </w:p>
    <w:tbl>
      <w:tblPr>
        <w:tblStyle w:val="18"/>
        <w:tblW w:w="92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12349" w:hRule="atLeast"/>
          <w:jc w:val="center"/>
        </w:trPr>
        <w:tc>
          <w:tcPr>
            <w:tcW w:w="9289"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szCs w:val="21"/>
              </w:rPr>
            </w:pPr>
            <w:r>
              <w:rPr>
                <w:rFonts w:hint="default" w:ascii="Times New Roman" w:hAnsi="Times New Roman" w:cs="Times New Roman"/>
                <w:sz w:val="24"/>
              </w:rPr>
              <w:t>建设项目符合相关规划要求，总体污染程度较低，环保投资合理，拟采用的各项生态防护及污染防治措施切实可行，能确保达标排放。项目符合</w:t>
            </w:r>
            <w:r>
              <w:rPr>
                <w:rFonts w:hint="eastAsia" w:cs="Times New Roman"/>
                <w:sz w:val="24"/>
                <w:lang w:eastAsia="zh-CN"/>
              </w:rPr>
              <w:t>“</w:t>
            </w:r>
            <w:r>
              <w:rPr>
                <w:rFonts w:hint="default" w:ascii="Times New Roman" w:hAnsi="Times New Roman" w:cs="Times New Roman"/>
                <w:sz w:val="24"/>
              </w:rPr>
              <w:t>三线一单</w:t>
            </w:r>
            <w:r>
              <w:rPr>
                <w:rFonts w:hint="eastAsia" w:cs="Times New Roman"/>
                <w:sz w:val="24"/>
                <w:lang w:eastAsia="zh-CN"/>
              </w:rPr>
              <w:t>”</w:t>
            </w:r>
            <w:r>
              <w:rPr>
                <w:rFonts w:hint="default" w:ascii="Times New Roman" w:hAnsi="Times New Roman" w:cs="Times New Roman"/>
                <w:sz w:val="24"/>
              </w:rPr>
              <w:t>要求，在落实本次评价提出的各项生态防护措施及污染防治措施后，项目对周围的环境影响较小。综上所述，从环境保护角度考虑，该项目是可行的。</w:t>
            </w:r>
          </w:p>
        </w:tc>
      </w:tr>
    </w:tbl>
    <w:p>
      <w:pPr>
        <w:rPr>
          <w:rFonts w:hint="default" w:ascii="Times New Roman" w:hAnsi="Times New Roman" w:cs="Times New Roman"/>
        </w:rPr>
      </w:pPr>
    </w:p>
    <w:p>
      <w:pPr>
        <w:pStyle w:val="15"/>
        <w:adjustRightInd w:val="0"/>
        <w:snapToGrid w:val="0"/>
        <w:spacing w:before="0" w:beforeAutospacing="0" w:after="0" w:afterAutospacing="0" w:line="648" w:lineRule="auto"/>
        <w:outlineLvl w:val="0"/>
        <w:rPr>
          <w:rFonts w:hint="default" w:ascii="Times New Roman" w:hAnsi="Times New Roman" w:eastAsia="黑体" w:cs="Times New Roman"/>
          <w:snapToGrid w:val="0"/>
          <w:sz w:val="32"/>
          <w:szCs w:val="32"/>
        </w:rPr>
      </w:pPr>
      <w:r>
        <w:rPr>
          <w:rFonts w:hint="default" w:ascii="Times New Roman" w:hAnsi="Times New Roman" w:eastAsia="黑体" w:cs="Times New Roman"/>
          <w:snapToGrid w:val="0"/>
          <w:sz w:val="32"/>
          <w:szCs w:val="32"/>
        </w:rPr>
        <w:br w:type="page"/>
      </w:r>
      <w:r>
        <w:rPr>
          <w:rFonts w:hint="default" w:ascii="Times New Roman" w:hAnsi="Times New Roman" w:eastAsia="黑体" w:cs="Times New Roman"/>
          <w:snapToGrid w:val="0"/>
          <w:sz w:val="32"/>
          <w:szCs w:val="32"/>
        </w:rPr>
        <w:t>附表</w:t>
      </w:r>
    </w:p>
    <w:p>
      <w:pPr>
        <w:pStyle w:val="15"/>
        <w:adjustRightInd w:val="0"/>
        <w:snapToGrid w:val="0"/>
        <w:spacing w:before="0" w:beforeAutospacing="0" w:after="0" w:afterAutospacing="0" w:line="552" w:lineRule="auto"/>
        <w:jc w:val="center"/>
        <w:rPr>
          <w:rFonts w:hint="default" w:ascii="Times New Roman" w:hAnsi="Times New Roman" w:eastAsia="方正小标宋_GBK" w:cs="Times New Roman"/>
          <w:snapToGrid w:val="0"/>
          <w:sz w:val="38"/>
          <w:szCs w:val="38"/>
        </w:rPr>
      </w:pPr>
      <w:r>
        <w:rPr>
          <w:rFonts w:hint="default" w:ascii="Times New Roman" w:hAnsi="Times New Roman" w:eastAsia="方正小标宋_GBK" w:cs="Times New Roman"/>
          <w:snapToGrid w:val="0"/>
          <w:sz w:val="38"/>
          <w:szCs w:val="38"/>
        </w:rPr>
        <w:t>编制单位和编制人员情况表</w:t>
      </w:r>
    </w:p>
    <w:tbl>
      <w:tblPr>
        <w:tblStyle w:val="18"/>
        <w:tblW w:w="883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01"/>
        <w:gridCol w:w="2268"/>
        <w:gridCol w:w="1814"/>
        <w:gridCol w:w="2126"/>
        <w:gridCol w:w="132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项目编号</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建设项目名称</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建设项目类别</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环境影响评价文件类型</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835" w:type="dxa"/>
            <w:gridSpan w:val="5"/>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eastAsia="黑体" w:cs="Times New Roman"/>
                <w:kern w:val="2"/>
              </w:rPr>
            </w:pPr>
            <w:r>
              <w:rPr>
                <w:rFonts w:hint="default" w:ascii="Times New Roman" w:hAnsi="Times New Roman" w:eastAsia="黑体" w:cs="Times New Roman"/>
                <w:kern w:val="2"/>
              </w:rPr>
              <w:t>一、建设单位情况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单位名称（盖章）</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统一社会信用代码</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法定代表人（签章）</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主要负责人（签字）</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直接负责的主管人员（签字）</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835" w:type="dxa"/>
            <w:gridSpan w:val="5"/>
            <w:vAlign w:val="center"/>
          </w:tcPr>
          <w:p>
            <w:pPr>
              <w:pStyle w:val="15"/>
              <w:keepNext w:val="0"/>
              <w:keepLines w:val="0"/>
              <w:widowControl w:val="0"/>
              <w:suppressLineNumbers w:val="0"/>
              <w:adjustRightInd w:val="0"/>
              <w:snapToGrid w:val="0"/>
              <w:spacing w:before="0" w:beforeAutospacing="0" w:after="0" w:afterAutospacing="0"/>
              <w:ind w:left="0" w:right="0"/>
              <w:jc w:val="both"/>
              <w:rPr>
                <w:rFonts w:hint="default" w:ascii="Times New Roman" w:hAnsi="Times New Roman" w:eastAsia="黑体" w:cs="Times New Roman"/>
                <w:b/>
                <w:kern w:val="2"/>
              </w:rPr>
            </w:pPr>
            <w:r>
              <w:rPr>
                <w:rFonts w:hint="default" w:ascii="Times New Roman" w:hAnsi="Times New Roman" w:eastAsia="黑体" w:cs="Times New Roman"/>
                <w:kern w:val="2"/>
              </w:rPr>
              <w:t>二、编制单位情况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单位名称（盖章）</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3569"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统一社会信用代码</w:t>
            </w:r>
          </w:p>
        </w:tc>
        <w:tc>
          <w:tcPr>
            <w:tcW w:w="5266" w:type="dxa"/>
            <w:gridSpan w:val="3"/>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835" w:type="dxa"/>
            <w:gridSpan w:val="5"/>
            <w:vAlign w:val="center"/>
          </w:tcPr>
          <w:p>
            <w:pPr>
              <w:pStyle w:val="15"/>
              <w:keepNext w:val="0"/>
              <w:keepLines w:val="0"/>
              <w:widowControl w:val="0"/>
              <w:suppressLineNumbers w:val="0"/>
              <w:adjustRightInd w:val="0"/>
              <w:snapToGrid w:val="0"/>
              <w:spacing w:before="0" w:beforeAutospacing="0" w:after="0" w:afterAutospacing="0"/>
              <w:ind w:left="0" w:right="0"/>
              <w:rPr>
                <w:rFonts w:hint="default" w:ascii="Times New Roman" w:hAnsi="Times New Roman" w:eastAsia="黑体" w:cs="Times New Roman"/>
                <w:kern w:val="2"/>
              </w:rPr>
            </w:pPr>
            <w:r>
              <w:rPr>
                <w:rFonts w:hint="default" w:ascii="Times New Roman" w:hAnsi="Times New Roman" w:eastAsia="黑体" w:cs="Times New Roman"/>
                <w:kern w:val="2"/>
              </w:rPr>
              <w:t>三、编制人员情况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835" w:type="dxa"/>
            <w:gridSpan w:val="5"/>
            <w:vAlign w:val="center"/>
          </w:tcPr>
          <w:p>
            <w:pPr>
              <w:pStyle w:val="15"/>
              <w:keepNext w:val="0"/>
              <w:keepLines w:val="0"/>
              <w:widowControl w:val="0"/>
              <w:suppressLineNumbers w:val="0"/>
              <w:adjustRightInd w:val="0"/>
              <w:snapToGrid w:val="0"/>
              <w:spacing w:before="0" w:beforeAutospacing="0" w:after="0" w:afterAutospacing="0"/>
              <w:ind w:left="0" w:right="0"/>
              <w:rPr>
                <w:rFonts w:hint="default" w:ascii="Times New Roman" w:hAnsi="Times New Roman" w:cs="Times New Roman"/>
                <w:kern w:val="2"/>
              </w:rPr>
            </w:pPr>
            <w:r>
              <w:rPr>
                <w:rFonts w:hint="default" w:ascii="Times New Roman" w:hAnsi="Times New Roman" w:cs="Times New Roman"/>
                <w:kern w:val="2"/>
              </w:rPr>
              <w:t>1.编制主持人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姓名</w:t>
            </w: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职业资格证书管理号</w:t>
            </w: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信用编号</w:t>
            </w: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签字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835" w:type="dxa"/>
            <w:gridSpan w:val="5"/>
            <w:vAlign w:val="center"/>
          </w:tcPr>
          <w:p>
            <w:pPr>
              <w:pStyle w:val="15"/>
              <w:keepNext w:val="0"/>
              <w:keepLines w:val="0"/>
              <w:widowControl w:val="0"/>
              <w:suppressLineNumbers w:val="0"/>
              <w:adjustRightInd w:val="0"/>
              <w:snapToGrid w:val="0"/>
              <w:spacing w:before="0" w:beforeAutospacing="0" w:after="0" w:afterAutospacing="0"/>
              <w:ind w:left="0" w:right="0"/>
              <w:rPr>
                <w:rFonts w:hint="default" w:ascii="Times New Roman" w:hAnsi="Times New Roman" w:cs="Times New Roman"/>
                <w:kern w:val="2"/>
              </w:rPr>
            </w:pPr>
            <w:r>
              <w:rPr>
                <w:rFonts w:hint="default" w:ascii="Times New Roman" w:hAnsi="Times New Roman" w:cs="Times New Roman"/>
                <w:kern w:val="2"/>
              </w:rPr>
              <w:t>2.主要编制人员</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姓名</w:t>
            </w: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主要编写内容</w:t>
            </w: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信用编号</w:t>
            </w: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r>
              <w:rPr>
                <w:rFonts w:hint="default" w:ascii="Times New Roman" w:hAnsi="Times New Roman" w:cs="Times New Roman"/>
                <w:kern w:val="2"/>
              </w:rPr>
              <w:t>签字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301"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4082" w:type="dxa"/>
            <w:gridSpan w:val="2"/>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21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c>
          <w:tcPr>
            <w:tcW w:w="1326" w:type="dxa"/>
            <w:vAlign w:val="center"/>
          </w:tcPr>
          <w:p>
            <w:pPr>
              <w:pStyle w:val="15"/>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kern w:val="2"/>
              </w:rPr>
            </w:pPr>
          </w:p>
        </w:tc>
      </w:tr>
    </w:tbl>
    <w:p>
      <w:pPr>
        <w:adjustRightInd w:val="0"/>
        <w:snapToGrid w:val="0"/>
        <w:spacing w:before="192" w:beforeLines="80"/>
        <w:rPr>
          <w:rFonts w:hint="default" w:ascii="Times New Roman" w:hAnsi="Times New Roman" w:cs="Times New Roman"/>
          <w:sz w:val="24"/>
        </w:rPr>
      </w:pPr>
      <w:r>
        <w:rPr>
          <w:rFonts w:hint="default" w:ascii="Times New Roman" w:hAnsi="Times New Roman" w:cs="Times New Roman"/>
          <w:sz w:val="24"/>
        </w:rPr>
        <w:t>注：该表由环境影响评价信用平台自动生成</w:t>
      </w:r>
    </w:p>
    <w:p>
      <w:pPr>
        <w:widowControl/>
        <w:adjustRightInd w:val="0"/>
        <w:snapToGrid w:val="0"/>
        <w:spacing w:before="192" w:beforeLines="80"/>
        <w:jc w:val="left"/>
        <w:rPr>
          <w:rFonts w:hint="default" w:ascii="Times New Roman" w:hAnsi="Times New Roman" w:cs="Times New Roman"/>
          <w:sz w:val="24"/>
        </w:rPr>
      </w:pPr>
    </w:p>
    <w:sectPr>
      <w:pgSz w:w="11906" w:h="16838"/>
      <w:pgMar w:top="1440" w:right="1800" w:bottom="1440" w:left="1800" w:header="851" w:footer="107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1"/>
      </w:rPr>
    </w:pPr>
    <w:r>
      <w:rPr>
        <w:rStyle w:val="21"/>
      </w:rPr>
      <w:fldChar w:fldCharType="begin"/>
    </w:r>
    <w:r>
      <w:rPr>
        <w:rStyle w:val="21"/>
      </w:rPr>
      <w:instrText xml:space="preserve">PAGE  </w:instrText>
    </w:r>
    <w:r>
      <w:rPr>
        <w:rStyle w:val="21"/>
      </w:rPr>
      <w:fldChar w:fldCharType="end"/>
    </w:r>
  </w:p>
  <w:p>
    <w:pPr>
      <w:pStyle w:val="1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21"/>
        <w:rFonts w:ascii="宋体" w:hAnsi="宋体"/>
        <w:sz w:val="28"/>
        <w:szCs w:val="28"/>
      </w:rPr>
    </w:pPr>
    <w:r>
      <w:rPr>
        <w:rStyle w:val="21"/>
        <w:rFonts w:hint="eastAsia" w:ascii="宋体" w:hAnsi="宋体"/>
        <w:sz w:val="28"/>
        <w:szCs w:val="28"/>
      </w:rPr>
      <w:t>—</w:t>
    </w:r>
    <w:r>
      <w:rPr>
        <w:rStyle w:val="21"/>
        <w:rFonts w:hint="eastAsia" w:ascii="宋体" w:hAnsi="宋体"/>
        <w:sz w:val="20"/>
        <w:szCs w:val="20"/>
      </w:rPr>
      <w:t xml:space="preserve">  </w:t>
    </w:r>
    <w:r>
      <w:rPr>
        <w:rStyle w:val="21"/>
        <w:rFonts w:ascii="宋体" w:hAnsi="宋体"/>
        <w:sz w:val="26"/>
        <w:szCs w:val="26"/>
      </w:rPr>
      <w:fldChar w:fldCharType="begin"/>
    </w:r>
    <w:r>
      <w:rPr>
        <w:rStyle w:val="21"/>
        <w:rFonts w:ascii="宋体" w:hAnsi="宋体"/>
        <w:sz w:val="26"/>
        <w:szCs w:val="26"/>
      </w:rPr>
      <w:instrText xml:space="preserve">PAGE  </w:instrText>
    </w:r>
    <w:r>
      <w:rPr>
        <w:rStyle w:val="21"/>
        <w:rFonts w:ascii="宋体" w:hAnsi="宋体"/>
        <w:sz w:val="26"/>
        <w:szCs w:val="26"/>
      </w:rPr>
      <w:fldChar w:fldCharType="separate"/>
    </w:r>
    <w:r>
      <w:rPr>
        <w:rStyle w:val="21"/>
        <w:rFonts w:ascii="宋体" w:hAnsi="宋体"/>
        <w:sz w:val="26"/>
        <w:szCs w:val="26"/>
      </w:rPr>
      <w:t>50</w:t>
    </w:r>
    <w:r>
      <w:rPr>
        <w:rStyle w:val="21"/>
        <w:rFonts w:ascii="宋体" w:hAnsi="宋体"/>
        <w:sz w:val="26"/>
        <w:szCs w:val="26"/>
      </w:rPr>
      <w:fldChar w:fldCharType="end"/>
    </w:r>
    <w:r>
      <w:rPr>
        <w:rStyle w:val="21"/>
        <w:rFonts w:hint="eastAsia" w:ascii="宋体" w:hAnsi="宋体"/>
        <w:sz w:val="20"/>
        <w:szCs w:val="20"/>
      </w:rPr>
      <w:t xml:space="preserve">  </w:t>
    </w:r>
    <w:r>
      <w:rPr>
        <w:rStyle w:val="21"/>
        <w:rFonts w:hint="eastAsia" w:ascii="宋体" w:hAnsi="宋体"/>
        <w:sz w:val="28"/>
        <w:szCs w:val="28"/>
      </w:rPr>
      <w:t>—</w:t>
    </w:r>
  </w:p>
  <w:p>
    <w:pPr>
      <w:pStyle w:val="14"/>
      <w:ind w:right="360" w:firstLine="360"/>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D524AB"/>
    <w:multiLevelType w:val="multilevel"/>
    <w:tmpl w:val="12D524AB"/>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737"/>
        </w:tabs>
        <w:ind w:left="737" w:hanging="737"/>
      </w:pPr>
      <w:rPr>
        <w:rFonts w:hint="eastAsia"/>
      </w:rPr>
    </w:lvl>
    <w:lvl w:ilvl="2" w:tentative="0">
      <w:start w:val="1"/>
      <w:numFmt w:val="decimal"/>
      <w:pStyle w:val="9"/>
      <w:lvlText w:val="%1.%2.%3"/>
      <w:lvlJc w:val="left"/>
      <w:pPr>
        <w:tabs>
          <w:tab w:val="left" w:pos="1021"/>
        </w:tabs>
        <w:ind w:left="1021" w:hanging="1021"/>
      </w:pPr>
      <w:rPr>
        <w:rFonts w:hint="default" w:ascii="Times New Roman" w:hAnsi="Times New Roman"/>
        <w:sz w:val="30"/>
      </w:rPr>
    </w:lvl>
    <w:lvl w:ilvl="3" w:tentative="0">
      <w:start w:val="1"/>
      <w:numFmt w:val="decimal"/>
      <w:lvlText w:val="%1.%2.%3.%4"/>
      <w:lvlJc w:val="left"/>
      <w:pPr>
        <w:tabs>
          <w:tab w:val="left" w:pos="1440"/>
        </w:tabs>
        <w:ind w:left="1021" w:hanging="1021"/>
      </w:pPr>
      <w:rPr>
        <w:rFonts w:hint="eastAsia"/>
      </w:rPr>
    </w:lvl>
    <w:lvl w:ilvl="4" w:tentative="0">
      <w:start w:val="1"/>
      <w:numFmt w:val="decimal"/>
      <w:pStyle w:val="8"/>
      <w:lvlText w:val="（%5）"/>
      <w:lvlJc w:val="left"/>
      <w:pPr>
        <w:tabs>
          <w:tab w:val="left" w:pos="1534"/>
        </w:tabs>
        <w:ind w:left="284" w:firstLine="170"/>
      </w:pPr>
      <w:rPr>
        <w:rFonts w:hint="eastAsia"/>
      </w:rPr>
    </w:lvl>
    <w:lvl w:ilvl="5" w:tentative="0">
      <w:start w:val="1"/>
      <w:numFmt w:val="decimal"/>
      <w:lvlText w:val="%6）"/>
      <w:lvlJc w:val="left"/>
      <w:pPr>
        <w:tabs>
          <w:tab w:val="left" w:pos="1400"/>
        </w:tabs>
        <w:ind w:left="851" w:hanging="171"/>
      </w:pPr>
      <w:rPr>
        <w:rFonts w:hint="eastAsia"/>
      </w:rPr>
    </w:lvl>
    <w:lvl w:ilvl="6" w:tentative="0">
      <w:start w:val="1"/>
      <w:numFmt w:val="bullet"/>
      <w:lvlText w:val=""/>
      <w:lvlJc w:val="left"/>
      <w:pPr>
        <w:tabs>
          <w:tab w:val="left" w:pos="1040"/>
        </w:tabs>
        <w:ind w:left="851" w:hanging="171"/>
      </w:pPr>
      <w:rPr>
        <w:rFonts w:hint="default" w:ascii="Symbol" w:hAnsi="Symbol"/>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oNotHyphenateCaps/>
  <w:drawingGridHorizontalSpacing w:val="105"/>
  <w:drawingGridVerticalSpacing w:val="157"/>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A1494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A29"/>
    <w:rsid w:val="0008331D"/>
    <w:rsid w:val="00083C18"/>
    <w:rsid w:val="00092899"/>
    <w:rsid w:val="000A178E"/>
    <w:rsid w:val="000A557E"/>
    <w:rsid w:val="000B058F"/>
    <w:rsid w:val="000B693F"/>
    <w:rsid w:val="000C09AC"/>
    <w:rsid w:val="000C0A63"/>
    <w:rsid w:val="000C437E"/>
    <w:rsid w:val="000C5215"/>
    <w:rsid w:val="000E146A"/>
    <w:rsid w:val="000E5F16"/>
    <w:rsid w:val="000F4452"/>
    <w:rsid w:val="000F6DA1"/>
    <w:rsid w:val="000F701B"/>
    <w:rsid w:val="001056A0"/>
    <w:rsid w:val="00115279"/>
    <w:rsid w:val="00117459"/>
    <w:rsid w:val="0011749A"/>
    <w:rsid w:val="00127A68"/>
    <w:rsid w:val="00140B13"/>
    <w:rsid w:val="00141B68"/>
    <w:rsid w:val="001466DA"/>
    <w:rsid w:val="00154DE1"/>
    <w:rsid w:val="00155B40"/>
    <w:rsid w:val="00157435"/>
    <w:rsid w:val="00163EEA"/>
    <w:rsid w:val="00167A07"/>
    <w:rsid w:val="0017046A"/>
    <w:rsid w:val="001704A3"/>
    <w:rsid w:val="0017504D"/>
    <w:rsid w:val="00177422"/>
    <w:rsid w:val="00184F10"/>
    <w:rsid w:val="00185546"/>
    <w:rsid w:val="0019146B"/>
    <w:rsid w:val="00194398"/>
    <w:rsid w:val="001A7D2A"/>
    <w:rsid w:val="001B574C"/>
    <w:rsid w:val="001C0AF9"/>
    <w:rsid w:val="001C155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5154"/>
    <w:rsid w:val="0034560E"/>
    <w:rsid w:val="00350523"/>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3916"/>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67CBC"/>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803D6"/>
    <w:rsid w:val="00A81282"/>
    <w:rsid w:val="00A8713F"/>
    <w:rsid w:val="00A91167"/>
    <w:rsid w:val="00A9171C"/>
    <w:rsid w:val="00A92FFD"/>
    <w:rsid w:val="00A95975"/>
    <w:rsid w:val="00A9708D"/>
    <w:rsid w:val="00AA1FE3"/>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358D"/>
    <w:rsid w:val="00E06327"/>
    <w:rsid w:val="00E20475"/>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6D1D"/>
    <w:rsid w:val="00E806F8"/>
    <w:rsid w:val="00E87752"/>
    <w:rsid w:val="00E8793B"/>
    <w:rsid w:val="00E90F81"/>
    <w:rsid w:val="00E91A6D"/>
    <w:rsid w:val="00E9242D"/>
    <w:rsid w:val="00EB041C"/>
    <w:rsid w:val="00EB0736"/>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11D281C"/>
    <w:rsid w:val="04B04A32"/>
    <w:rsid w:val="053A3D74"/>
    <w:rsid w:val="05742AC8"/>
    <w:rsid w:val="05DA4187"/>
    <w:rsid w:val="06352F05"/>
    <w:rsid w:val="063E7D85"/>
    <w:rsid w:val="070875E0"/>
    <w:rsid w:val="07293586"/>
    <w:rsid w:val="07295285"/>
    <w:rsid w:val="07770C56"/>
    <w:rsid w:val="08210706"/>
    <w:rsid w:val="092217DD"/>
    <w:rsid w:val="093A7294"/>
    <w:rsid w:val="0BB86C02"/>
    <w:rsid w:val="0BD27BF6"/>
    <w:rsid w:val="0E110D06"/>
    <w:rsid w:val="0EF97BEC"/>
    <w:rsid w:val="0F13775A"/>
    <w:rsid w:val="0F995096"/>
    <w:rsid w:val="0F9A112B"/>
    <w:rsid w:val="106D2F64"/>
    <w:rsid w:val="10B63710"/>
    <w:rsid w:val="111C2F7A"/>
    <w:rsid w:val="113013DE"/>
    <w:rsid w:val="122B06C2"/>
    <w:rsid w:val="13951726"/>
    <w:rsid w:val="14396509"/>
    <w:rsid w:val="1447165C"/>
    <w:rsid w:val="16041BDD"/>
    <w:rsid w:val="17735226"/>
    <w:rsid w:val="1A1C66C0"/>
    <w:rsid w:val="1A42393B"/>
    <w:rsid w:val="1B046F80"/>
    <w:rsid w:val="1B3267B5"/>
    <w:rsid w:val="1BC25DC8"/>
    <w:rsid w:val="1C5E7925"/>
    <w:rsid w:val="1C887FC8"/>
    <w:rsid w:val="1D5F6196"/>
    <w:rsid w:val="1D6132A5"/>
    <w:rsid w:val="1D8E56D5"/>
    <w:rsid w:val="1E7A43DA"/>
    <w:rsid w:val="1EB277FE"/>
    <w:rsid w:val="1ECE2E43"/>
    <w:rsid w:val="1EFD39FE"/>
    <w:rsid w:val="1F6A09BA"/>
    <w:rsid w:val="1FE7539E"/>
    <w:rsid w:val="20963CB8"/>
    <w:rsid w:val="20B07FB6"/>
    <w:rsid w:val="213B74B1"/>
    <w:rsid w:val="215A2310"/>
    <w:rsid w:val="2177452E"/>
    <w:rsid w:val="2185379F"/>
    <w:rsid w:val="21DE318A"/>
    <w:rsid w:val="21EF5B80"/>
    <w:rsid w:val="22576990"/>
    <w:rsid w:val="229722EC"/>
    <w:rsid w:val="229C4EAB"/>
    <w:rsid w:val="243F022E"/>
    <w:rsid w:val="252D53FE"/>
    <w:rsid w:val="25EC2D81"/>
    <w:rsid w:val="264528BD"/>
    <w:rsid w:val="26533876"/>
    <w:rsid w:val="266A12E7"/>
    <w:rsid w:val="27D15DD1"/>
    <w:rsid w:val="281C30C2"/>
    <w:rsid w:val="28A76295"/>
    <w:rsid w:val="28D42CBA"/>
    <w:rsid w:val="29206EB8"/>
    <w:rsid w:val="29E325E0"/>
    <w:rsid w:val="2A452503"/>
    <w:rsid w:val="2B8C5BEF"/>
    <w:rsid w:val="2BA936A8"/>
    <w:rsid w:val="2C315A5A"/>
    <w:rsid w:val="2C90140A"/>
    <w:rsid w:val="2CB86485"/>
    <w:rsid w:val="2CD5423B"/>
    <w:rsid w:val="2CFF3855"/>
    <w:rsid w:val="2D9E56F5"/>
    <w:rsid w:val="2E2765D9"/>
    <w:rsid w:val="2E667F96"/>
    <w:rsid w:val="2E8226AB"/>
    <w:rsid w:val="2EAE3B30"/>
    <w:rsid w:val="2F832C79"/>
    <w:rsid w:val="2FEF2D58"/>
    <w:rsid w:val="30580BC9"/>
    <w:rsid w:val="311E2ED7"/>
    <w:rsid w:val="315C449C"/>
    <w:rsid w:val="31B82709"/>
    <w:rsid w:val="32400B34"/>
    <w:rsid w:val="329E6876"/>
    <w:rsid w:val="33D934D4"/>
    <w:rsid w:val="33FE2F6A"/>
    <w:rsid w:val="35C63D9D"/>
    <w:rsid w:val="36074A7F"/>
    <w:rsid w:val="36923549"/>
    <w:rsid w:val="36B75FBF"/>
    <w:rsid w:val="36FB4891"/>
    <w:rsid w:val="38F12CD3"/>
    <w:rsid w:val="38F94775"/>
    <w:rsid w:val="390E630F"/>
    <w:rsid w:val="392971ED"/>
    <w:rsid w:val="3B3763D1"/>
    <w:rsid w:val="3BEB3128"/>
    <w:rsid w:val="3CDA245A"/>
    <w:rsid w:val="3CEE0A37"/>
    <w:rsid w:val="3F660E74"/>
    <w:rsid w:val="3FB70441"/>
    <w:rsid w:val="407A6407"/>
    <w:rsid w:val="423A3BCC"/>
    <w:rsid w:val="433A6FE6"/>
    <w:rsid w:val="4350713C"/>
    <w:rsid w:val="436653E0"/>
    <w:rsid w:val="440F38A0"/>
    <w:rsid w:val="44B77306"/>
    <w:rsid w:val="44CD14E0"/>
    <w:rsid w:val="458946E9"/>
    <w:rsid w:val="463A71C7"/>
    <w:rsid w:val="46D955A7"/>
    <w:rsid w:val="47133957"/>
    <w:rsid w:val="4744693B"/>
    <w:rsid w:val="4779329E"/>
    <w:rsid w:val="47A07E0C"/>
    <w:rsid w:val="4870272E"/>
    <w:rsid w:val="49DC7715"/>
    <w:rsid w:val="4A023139"/>
    <w:rsid w:val="4A7B576F"/>
    <w:rsid w:val="4C4A0649"/>
    <w:rsid w:val="4CE470D3"/>
    <w:rsid w:val="4DEC4FB0"/>
    <w:rsid w:val="4E075D8A"/>
    <w:rsid w:val="4FC62A8C"/>
    <w:rsid w:val="4FE20F0D"/>
    <w:rsid w:val="50504C4B"/>
    <w:rsid w:val="509C6E7C"/>
    <w:rsid w:val="51616C3F"/>
    <w:rsid w:val="5162104E"/>
    <w:rsid w:val="51B93018"/>
    <w:rsid w:val="53A039CC"/>
    <w:rsid w:val="53A1505A"/>
    <w:rsid w:val="54063E08"/>
    <w:rsid w:val="543437E8"/>
    <w:rsid w:val="559B174B"/>
    <w:rsid w:val="55CE0CF4"/>
    <w:rsid w:val="55D265AD"/>
    <w:rsid w:val="56B22A9C"/>
    <w:rsid w:val="57B72A76"/>
    <w:rsid w:val="58B85566"/>
    <w:rsid w:val="58D077CA"/>
    <w:rsid w:val="5A3C747D"/>
    <w:rsid w:val="5ABE2233"/>
    <w:rsid w:val="5B276D18"/>
    <w:rsid w:val="5BDF5D95"/>
    <w:rsid w:val="5D8B0E73"/>
    <w:rsid w:val="5DE621C4"/>
    <w:rsid w:val="5DF87A0F"/>
    <w:rsid w:val="5F1A2B43"/>
    <w:rsid w:val="5FB837BB"/>
    <w:rsid w:val="60B77FA4"/>
    <w:rsid w:val="60BE12C7"/>
    <w:rsid w:val="61037071"/>
    <w:rsid w:val="62364782"/>
    <w:rsid w:val="63286C33"/>
    <w:rsid w:val="63A64DC2"/>
    <w:rsid w:val="63D40BE9"/>
    <w:rsid w:val="63E0211F"/>
    <w:rsid w:val="65373578"/>
    <w:rsid w:val="658B0CE0"/>
    <w:rsid w:val="673F2C7A"/>
    <w:rsid w:val="681F6961"/>
    <w:rsid w:val="68610A2F"/>
    <w:rsid w:val="68641F40"/>
    <w:rsid w:val="68805514"/>
    <w:rsid w:val="694E2071"/>
    <w:rsid w:val="697A3B33"/>
    <w:rsid w:val="6992022E"/>
    <w:rsid w:val="699E2456"/>
    <w:rsid w:val="6B322639"/>
    <w:rsid w:val="6C636C38"/>
    <w:rsid w:val="6DB34098"/>
    <w:rsid w:val="6DB545B6"/>
    <w:rsid w:val="6E4375A0"/>
    <w:rsid w:val="6E514CED"/>
    <w:rsid w:val="6E79491A"/>
    <w:rsid w:val="6E8E0956"/>
    <w:rsid w:val="6EB563D5"/>
    <w:rsid w:val="6F225983"/>
    <w:rsid w:val="6FFC5590"/>
    <w:rsid w:val="70301DA3"/>
    <w:rsid w:val="706D1DD0"/>
    <w:rsid w:val="70856B87"/>
    <w:rsid w:val="70D527EE"/>
    <w:rsid w:val="715B5300"/>
    <w:rsid w:val="715F4BD7"/>
    <w:rsid w:val="71D27F8A"/>
    <w:rsid w:val="71F744C6"/>
    <w:rsid w:val="71F960CF"/>
    <w:rsid w:val="71FB02FE"/>
    <w:rsid w:val="72A10BDE"/>
    <w:rsid w:val="72C17D22"/>
    <w:rsid w:val="731F5D5E"/>
    <w:rsid w:val="741E793C"/>
    <w:rsid w:val="743021EA"/>
    <w:rsid w:val="758D75E2"/>
    <w:rsid w:val="77762421"/>
    <w:rsid w:val="780F09F4"/>
    <w:rsid w:val="789C4F47"/>
    <w:rsid w:val="78A90480"/>
    <w:rsid w:val="79811327"/>
    <w:rsid w:val="7A364017"/>
    <w:rsid w:val="7A8265E1"/>
    <w:rsid w:val="7B686D42"/>
    <w:rsid w:val="7B841746"/>
    <w:rsid w:val="7D0239FF"/>
    <w:rsid w:val="7D5E40CD"/>
    <w:rsid w:val="7D624B6E"/>
    <w:rsid w:val="7D693BED"/>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unhideWhenUsed="0" w:uiPriority="0" w:semiHidden="0" w:name="heading 2" w:locked="1"/>
    <w:lsdException w:unhideWhenUsed="0" w:uiPriority="0" w:semiHidden="0" w:name="heading 3" w:locked="1"/>
    <w:lsdException w:unhideWhenUsed="0" w:uiPriority="0"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ocked="1"/>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unhideWhenUsed="0" w:uiPriority="0" w:semiHidden="0" w:name="Strong" w:locked="1"/>
    <w:lsdException w:unhideWhenUsed="0" w:uiPriority="0" w:semiHidden="0" w:name="Emphasis" w:locked="1"/>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character" w:default="1" w:styleId="20">
    <w:name w:val="Default Paragraph Font"/>
    <w:semiHidden/>
    <w:unhideWhenUsed/>
    <w:qFormat/>
    <w:uiPriority w:val="1"/>
  </w:style>
  <w:style w:type="table" w:default="1" w:styleId="18">
    <w:name w:val="Normal Table"/>
    <w:semiHidden/>
    <w:unhideWhenUsed/>
    <w:qFormat/>
    <w:uiPriority w:val="99"/>
    <w:pPr>
      <w:keepNext w:val="0"/>
      <w:keepLines w:val="0"/>
      <w:widowControl/>
      <w:suppressLineNumbers w:val="0"/>
      <w:spacing w:before="0" w:beforeAutospacing="0" w:after="0" w:afterAutospacing="0"/>
      <w:ind w:left="0" w:right="0"/>
    </w:pPr>
    <w:rPr>
      <w:rFonts w:hint="eastAsia" w:ascii="等线" w:hAnsi="等线" w:eastAsia="等线" w:cs="等线"/>
      <w:kern w:val="2"/>
      <w:sz w:val="21"/>
      <w:szCs w:val="22"/>
    </w:rPr>
    <w:tblPr>
      <w:tblCellMar>
        <w:top w:w="0" w:type="dxa"/>
        <w:left w:w="108" w:type="dxa"/>
        <w:bottom w:w="0" w:type="dxa"/>
        <w:right w:w="108" w:type="dxa"/>
      </w:tblCellMar>
    </w:tblPr>
  </w:style>
  <w:style w:type="paragraph" w:customStyle="1" w:styleId="2">
    <w:name w:val="正文（首行缩进两字）"/>
    <w:basedOn w:val="1"/>
    <w:qFormat/>
    <w:uiPriority w:val="0"/>
    <w:pPr>
      <w:ind w:firstLine="420" w:firstLineChars="200"/>
    </w:pPr>
    <w:rPr>
      <w:szCs w:val="21"/>
    </w:rPr>
  </w:style>
  <w:style w:type="paragraph" w:styleId="4">
    <w:name w:val="annotation text"/>
    <w:basedOn w:val="1"/>
    <w:link w:val="25"/>
    <w:semiHidden/>
    <w:qFormat/>
    <w:uiPriority w:val="0"/>
    <w:pPr>
      <w:jc w:val="left"/>
    </w:pPr>
    <w:rPr>
      <w:kern w:val="0"/>
      <w:sz w:val="20"/>
    </w:rPr>
  </w:style>
  <w:style w:type="paragraph" w:styleId="5">
    <w:name w:val="Body Text"/>
    <w:basedOn w:val="1"/>
    <w:link w:val="26"/>
    <w:qFormat/>
    <w:uiPriority w:val="0"/>
    <w:pPr>
      <w:widowControl/>
      <w:snapToGrid w:val="0"/>
      <w:spacing w:before="60" w:after="160" w:line="259" w:lineRule="auto"/>
      <w:ind w:right="113"/>
    </w:pPr>
    <w:rPr>
      <w:kern w:val="0"/>
      <w:sz w:val="18"/>
      <w:szCs w:val="18"/>
    </w:rPr>
  </w:style>
  <w:style w:type="paragraph" w:styleId="6">
    <w:name w:val="Body Text Indent"/>
    <w:basedOn w:val="1"/>
    <w:next w:val="7"/>
    <w:link w:val="27"/>
    <w:semiHidden/>
    <w:qFormat/>
    <w:uiPriority w:val="0"/>
    <w:pPr>
      <w:spacing w:after="120"/>
      <w:ind w:left="420" w:leftChars="200"/>
    </w:pPr>
  </w:style>
  <w:style w:type="paragraph" w:styleId="7">
    <w:name w:val="header"/>
    <w:basedOn w:val="1"/>
    <w:next w:val="8"/>
    <w:link w:val="28"/>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样式5"/>
    <w:basedOn w:val="9"/>
    <w:qFormat/>
    <w:uiPriority w:val="0"/>
    <w:pPr>
      <w:numPr>
        <w:ilvl w:val="4"/>
      </w:numPr>
      <w:tabs>
        <w:tab w:val="left" w:pos="1021"/>
        <w:tab w:val="left" w:pos="1247"/>
      </w:tabs>
      <w:spacing w:before="0"/>
      <w:ind w:firstLine="0"/>
    </w:pPr>
  </w:style>
  <w:style w:type="paragraph" w:customStyle="1" w:styleId="9">
    <w:name w:val="样式3"/>
    <w:basedOn w:val="10"/>
    <w:qFormat/>
    <w:uiPriority w:val="0"/>
    <w:pPr>
      <w:numPr>
        <w:ilvl w:val="2"/>
        <w:numId w:val="1"/>
      </w:numPr>
      <w:spacing w:before="120" w:line="360" w:lineRule="auto"/>
      <w:ind w:firstLine="0"/>
    </w:pPr>
    <w:rPr>
      <w:rFonts w:ascii="宋体" w:hAnsi="Arial"/>
      <w:color w:val="000000"/>
      <w:sz w:val="30"/>
      <w:szCs w:val="20"/>
    </w:rPr>
  </w:style>
  <w:style w:type="paragraph" w:styleId="10">
    <w:name w:val="List"/>
    <w:basedOn w:val="1"/>
    <w:qFormat/>
    <w:uiPriority w:val="0"/>
    <w:pPr>
      <w:spacing w:line="320" w:lineRule="exact"/>
      <w:jc w:val="center"/>
    </w:pPr>
    <w:rPr>
      <w:sz w:val="22"/>
    </w:rPr>
  </w:style>
  <w:style w:type="paragraph" w:styleId="11">
    <w:name w:val="Plain Text"/>
    <w:basedOn w:val="1"/>
    <w:qFormat/>
    <w:uiPriority w:val="99"/>
    <w:rPr>
      <w:rFonts w:ascii="宋体" w:hAnsi="Courier New"/>
      <w:szCs w:val="20"/>
    </w:rPr>
  </w:style>
  <w:style w:type="paragraph" w:styleId="12">
    <w:name w:val="Date"/>
    <w:basedOn w:val="1"/>
    <w:next w:val="1"/>
    <w:link w:val="29"/>
    <w:qFormat/>
    <w:uiPriority w:val="0"/>
    <w:pPr>
      <w:ind w:left="100" w:leftChars="2500"/>
    </w:pPr>
    <w:rPr>
      <w:kern w:val="0"/>
      <w:sz w:val="20"/>
    </w:rPr>
  </w:style>
  <w:style w:type="paragraph" w:styleId="13">
    <w:name w:val="Balloon Text"/>
    <w:basedOn w:val="1"/>
    <w:link w:val="30"/>
    <w:semiHidden/>
    <w:qFormat/>
    <w:uiPriority w:val="0"/>
    <w:rPr>
      <w:sz w:val="18"/>
      <w:szCs w:val="18"/>
    </w:rPr>
  </w:style>
  <w:style w:type="paragraph" w:styleId="14">
    <w:name w:val="footer"/>
    <w:basedOn w:val="1"/>
    <w:link w:val="31"/>
    <w:qFormat/>
    <w:uiPriority w:val="0"/>
    <w:pPr>
      <w:tabs>
        <w:tab w:val="center" w:pos="4153"/>
        <w:tab w:val="right" w:pos="8306"/>
      </w:tabs>
      <w:snapToGrid w:val="0"/>
      <w:jc w:val="left"/>
    </w:pPr>
    <w:rPr>
      <w:sz w:val="18"/>
      <w:szCs w:val="18"/>
    </w:rPr>
  </w:style>
  <w:style w:type="paragraph" w:styleId="15">
    <w:name w:val="Normal (Web)"/>
    <w:basedOn w:val="1"/>
    <w:link w:val="32"/>
    <w:qFormat/>
    <w:uiPriority w:val="0"/>
    <w:pPr>
      <w:widowControl/>
      <w:spacing w:before="100" w:beforeAutospacing="1" w:after="100" w:afterAutospacing="1"/>
      <w:jc w:val="left"/>
    </w:pPr>
    <w:rPr>
      <w:rFonts w:ascii="宋体" w:hAnsi="宋体"/>
      <w:kern w:val="0"/>
      <w:sz w:val="24"/>
    </w:rPr>
  </w:style>
  <w:style w:type="paragraph" w:styleId="16">
    <w:name w:val="annotation subject"/>
    <w:basedOn w:val="4"/>
    <w:next w:val="4"/>
    <w:link w:val="33"/>
    <w:semiHidden/>
    <w:qFormat/>
    <w:uiPriority w:val="0"/>
    <w:rPr>
      <w:b/>
      <w:bCs/>
    </w:rPr>
  </w:style>
  <w:style w:type="paragraph" w:styleId="17">
    <w:name w:val="Body Text First Indent 2"/>
    <w:basedOn w:val="6"/>
    <w:next w:val="1"/>
    <w:qFormat/>
    <w:uiPriority w:val="0"/>
    <w:pPr>
      <w:ind w:firstLine="420"/>
    </w:pPr>
  </w:style>
  <w:style w:type="table" w:styleId="19">
    <w:name w:val="Table Grid"/>
    <w:basedOn w:val="1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qFormat/>
    <w:uiPriority w:val="0"/>
  </w:style>
  <w:style w:type="character" w:styleId="22">
    <w:name w:val="Hyperlink"/>
    <w:basedOn w:val="20"/>
    <w:qFormat/>
    <w:uiPriority w:val="0"/>
    <w:rPr>
      <w:color w:val="0000FF"/>
      <w:u w:val="single"/>
    </w:rPr>
  </w:style>
  <w:style w:type="character" w:styleId="23">
    <w:name w:val="annotation reference"/>
    <w:basedOn w:val="20"/>
    <w:semiHidden/>
    <w:qFormat/>
    <w:uiPriority w:val="0"/>
    <w:rPr>
      <w:sz w:val="21"/>
    </w:rPr>
  </w:style>
  <w:style w:type="paragraph" w:customStyle="1" w:styleId="24">
    <w:name w:val="UserStyle_0"/>
    <w:basedOn w:val="1"/>
    <w:next w:val="1"/>
    <w:qFormat/>
    <w:uiPriority w:val="0"/>
    <w:pPr>
      <w:textAlignment w:val="baseline"/>
    </w:pPr>
    <w:rPr>
      <w:rFonts w:ascii="Calibri" w:hAnsi="Calibri"/>
      <w:sz w:val="24"/>
    </w:rPr>
  </w:style>
  <w:style w:type="character" w:customStyle="1" w:styleId="25">
    <w:name w:val="批注文字 字符"/>
    <w:link w:val="4"/>
    <w:qFormat/>
    <w:locked/>
    <w:uiPriority w:val="0"/>
    <w:rPr>
      <w:rFonts w:ascii="Times New Roman" w:hAnsi="Times New Roman" w:eastAsia="宋体"/>
      <w:sz w:val="24"/>
    </w:rPr>
  </w:style>
  <w:style w:type="character" w:customStyle="1" w:styleId="26">
    <w:name w:val="正文文本 字符"/>
    <w:link w:val="5"/>
    <w:qFormat/>
    <w:locked/>
    <w:uiPriority w:val="0"/>
    <w:rPr>
      <w:sz w:val="18"/>
    </w:rPr>
  </w:style>
  <w:style w:type="character" w:customStyle="1" w:styleId="27">
    <w:name w:val="正文文本缩进 字符"/>
    <w:basedOn w:val="20"/>
    <w:link w:val="6"/>
    <w:semiHidden/>
    <w:qFormat/>
    <w:locked/>
    <w:uiPriority w:val="0"/>
    <w:rPr>
      <w:rFonts w:ascii="Times New Roman" w:hAnsi="Times New Roman" w:eastAsia="宋体" w:cs="Times New Roman"/>
      <w:sz w:val="24"/>
      <w:szCs w:val="24"/>
    </w:rPr>
  </w:style>
  <w:style w:type="character" w:customStyle="1" w:styleId="28">
    <w:name w:val="页眉 字符"/>
    <w:basedOn w:val="20"/>
    <w:link w:val="7"/>
    <w:qFormat/>
    <w:locked/>
    <w:uiPriority w:val="0"/>
    <w:rPr>
      <w:rFonts w:cs="Times New Roman"/>
      <w:sz w:val="18"/>
      <w:szCs w:val="18"/>
    </w:rPr>
  </w:style>
  <w:style w:type="character" w:customStyle="1" w:styleId="29">
    <w:name w:val="日期 字符1"/>
    <w:link w:val="12"/>
    <w:qFormat/>
    <w:locked/>
    <w:uiPriority w:val="0"/>
    <w:rPr>
      <w:rFonts w:ascii="Times New Roman" w:hAnsi="Times New Roman" w:eastAsia="宋体"/>
      <w:sz w:val="24"/>
    </w:rPr>
  </w:style>
  <w:style w:type="character" w:customStyle="1" w:styleId="30">
    <w:name w:val="批注框文本 字符"/>
    <w:basedOn w:val="20"/>
    <w:link w:val="13"/>
    <w:semiHidden/>
    <w:qFormat/>
    <w:locked/>
    <w:uiPriority w:val="0"/>
    <w:rPr>
      <w:rFonts w:ascii="Times New Roman" w:hAnsi="Times New Roman" w:eastAsia="宋体" w:cs="Times New Roman"/>
      <w:sz w:val="18"/>
      <w:szCs w:val="18"/>
    </w:rPr>
  </w:style>
  <w:style w:type="character" w:customStyle="1" w:styleId="31">
    <w:name w:val="页脚 字符"/>
    <w:basedOn w:val="20"/>
    <w:link w:val="14"/>
    <w:qFormat/>
    <w:locked/>
    <w:uiPriority w:val="0"/>
    <w:rPr>
      <w:rFonts w:cs="Times New Roman"/>
      <w:sz w:val="18"/>
      <w:szCs w:val="18"/>
    </w:rPr>
  </w:style>
  <w:style w:type="character" w:customStyle="1" w:styleId="32">
    <w:name w:val="普通(网站) 字符"/>
    <w:link w:val="15"/>
    <w:qFormat/>
    <w:locked/>
    <w:uiPriority w:val="0"/>
    <w:rPr>
      <w:rFonts w:ascii="宋体" w:hAnsi="宋体" w:eastAsia="宋体"/>
      <w:sz w:val="24"/>
    </w:rPr>
  </w:style>
  <w:style w:type="character" w:customStyle="1" w:styleId="33">
    <w:name w:val="批注主题 字符"/>
    <w:basedOn w:val="25"/>
    <w:link w:val="16"/>
    <w:semiHidden/>
    <w:qFormat/>
    <w:locked/>
    <w:uiPriority w:val="0"/>
    <w:rPr>
      <w:rFonts w:ascii="Times New Roman" w:hAnsi="Times New Roman" w:eastAsia="宋体" w:cs="Times New Roman"/>
      <w:b/>
      <w:bCs/>
      <w:kern w:val="2"/>
      <w:sz w:val="24"/>
      <w:szCs w:val="24"/>
    </w:rPr>
  </w:style>
  <w:style w:type="character" w:customStyle="1" w:styleId="34">
    <w:name w:val="日期 字符"/>
    <w:basedOn w:val="20"/>
    <w:semiHidden/>
    <w:qFormat/>
    <w:uiPriority w:val="0"/>
    <w:rPr>
      <w:rFonts w:ascii="Times New Roman" w:hAnsi="Times New Roman" w:eastAsia="宋体" w:cs="Times New Roman"/>
      <w:sz w:val="24"/>
      <w:szCs w:val="24"/>
    </w:rPr>
  </w:style>
  <w:style w:type="character" w:customStyle="1" w:styleId="35">
    <w:name w:val="正文文本 字符1"/>
    <w:basedOn w:val="20"/>
    <w:semiHidden/>
    <w:qFormat/>
    <w:uiPriority w:val="0"/>
    <w:rPr>
      <w:rFonts w:ascii="Times New Roman" w:hAnsi="Times New Roman" w:eastAsia="宋体" w:cs="Times New Roman"/>
      <w:sz w:val="24"/>
      <w:szCs w:val="24"/>
    </w:rPr>
  </w:style>
  <w:style w:type="paragraph" w:customStyle="1" w:styleId="36">
    <w:name w:val="普通(网站)2"/>
    <w:basedOn w:val="1"/>
    <w:qFormat/>
    <w:uiPriority w:val="0"/>
    <w:pPr>
      <w:widowControl/>
      <w:spacing w:before="100" w:beforeAutospacing="1" w:after="100" w:afterAutospacing="1"/>
      <w:jc w:val="left"/>
    </w:pPr>
    <w:rPr>
      <w:rFonts w:ascii="宋体" w:hAnsi="宋体"/>
      <w:sz w:val="24"/>
      <w:szCs w:val="20"/>
    </w:rPr>
  </w:style>
  <w:style w:type="character" w:customStyle="1" w:styleId="37">
    <w:name w:val="表格 Char"/>
    <w:link w:val="38"/>
    <w:qFormat/>
    <w:locked/>
    <w:uiPriority w:val="0"/>
    <w:rPr>
      <w:rFonts w:ascii="宋体"/>
      <w:sz w:val="21"/>
    </w:rPr>
  </w:style>
  <w:style w:type="paragraph" w:customStyle="1" w:styleId="38">
    <w:name w:val="表格"/>
    <w:basedOn w:val="1"/>
    <w:next w:val="1"/>
    <w:link w:val="37"/>
    <w:qFormat/>
    <w:uiPriority w:val="0"/>
    <w:pPr>
      <w:adjustRightInd w:val="0"/>
      <w:snapToGrid w:val="0"/>
      <w:spacing w:beforeLines="10" w:afterLines="10" w:line="259" w:lineRule="auto"/>
      <w:jc w:val="center"/>
    </w:pPr>
    <w:rPr>
      <w:rFonts w:ascii="宋体"/>
      <w:kern w:val="0"/>
      <w:sz w:val="20"/>
      <w:szCs w:val="21"/>
    </w:rPr>
  </w:style>
  <w:style w:type="character" w:customStyle="1" w:styleId="39">
    <w:name w:val="批注文字 字符1"/>
    <w:basedOn w:val="20"/>
    <w:semiHidden/>
    <w:qFormat/>
    <w:uiPriority w:val="0"/>
    <w:rPr>
      <w:rFonts w:ascii="Times New Roman" w:hAnsi="Times New Roman" w:eastAsia="宋体" w:cs="Times New Roman"/>
      <w:sz w:val="24"/>
      <w:szCs w:val="24"/>
    </w:rPr>
  </w:style>
  <w:style w:type="character" w:customStyle="1" w:styleId="40">
    <w:name w:val="普通(网站) Char"/>
    <w:qFormat/>
    <w:locked/>
    <w:uiPriority w:val="0"/>
    <w:rPr>
      <w:rFonts w:ascii="宋体" w:hAnsi="宋体" w:eastAsia="宋体"/>
      <w:sz w:val="24"/>
    </w:rPr>
  </w:style>
  <w:style w:type="paragraph" w:customStyle="1" w:styleId="41">
    <w:name w:val="表格内"/>
    <w:basedOn w:val="1"/>
    <w:qFormat/>
    <w:uiPriority w:val="0"/>
    <w:pPr>
      <w:autoSpaceDE w:val="0"/>
      <w:autoSpaceDN w:val="0"/>
      <w:adjustRightInd w:val="0"/>
      <w:jc w:val="center"/>
    </w:pPr>
    <w:rPr>
      <w:rFonts w:cs="宋体"/>
      <w:kern w:val="0"/>
    </w:rPr>
  </w:style>
  <w:style w:type="paragraph" w:customStyle="1" w:styleId="42">
    <w:name w:val="Date1"/>
    <w:basedOn w:val="1"/>
    <w:next w:val="1"/>
    <w:qFormat/>
    <w:uiPriority w:val="0"/>
    <w:pPr>
      <w:adjustRightInd w:val="0"/>
      <w:jc w:val="left"/>
      <w:textAlignment w:val="baseline"/>
    </w:pPr>
    <w:rPr>
      <w:rFonts w:ascii="宋体" w:hAnsi="宋体"/>
      <w:sz w:val="28"/>
      <w:szCs w:val="20"/>
    </w:rPr>
  </w:style>
  <w:style w:type="paragraph" w:customStyle="1" w:styleId="43">
    <w:name w:val="报告表正文"/>
    <w:basedOn w:val="1"/>
    <w:qFormat/>
    <w:uiPriority w:val="0"/>
    <w:pPr>
      <w:adjustRightInd w:val="0"/>
      <w:spacing w:line="312" w:lineRule="auto"/>
      <w:ind w:left="113" w:right="113" w:firstLine="482"/>
      <w:jc w:val="left"/>
      <w:textAlignment w:val="baseline"/>
    </w:pPr>
    <w:rPr>
      <w:kern w:val="0"/>
      <w:szCs w:val="20"/>
    </w:rPr>
  </w:style>
  <w:style w:type="paragraph" w:customStyle="1" w:styleId="44">
    <w:name w:val="1正文"/>
    <w:basedOn w:val="45"/>
    <w:qFormat/>
    <w:uiPriority w:val="0"/>
    <w:pPr>
      <w:ind w:firstLine="480"/>
    </w:pPr>
  </w:style>
  <w:style w:type="paragraph" w:customStyle="1" w:styleId="45">
    <w:name w:val="1-正文"/>
    <w:basedOn w:val="1"/>
    <w:qFormat/>
    <w:uiPriority w:val="0"/>
    <w:pPr>
      <w:adjustRightInd w:val="0"/>
      <w:snapToGrid w:val="0"/>
      <w:spacing w:line="360" w:lineRule="auto"/>
      <w:ind w:firstLine="453" w:firstLineChars="200"/>
    </w:pPr>
    <w:rPr>
      <w:sz w:val="24"/>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1.bin"/><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w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48</Pages>
  <Words>28445</Words>
  <Characters>30606</Characters>
  <Lines>236</Lines>
  <Paragraphs>66</Paragraphs>
  <TotalTime>1</TotalTime>
  <ScaleCrop>false</ScaleCrop>
  <LinksUpToDate>false</LinksUpToDate>
  <CharactersWithSpaces>30787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2020-12-24T01:42:00Z</dcterms:created>
  <dc:creator>lhj</dc:creator>
  <cp:lastModifiedBy>Administrator</cp:lastModifiedBy>
  <cp:lastPrinted>2020-12-24T01:50:00Z</cp:lastPrinted>
  <dcterms:modified xsi:type="dcterms:W3CDTF">2023-10-30T06:23:34Z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D555E79074134864A5DFC6687FBC8B2C</vt:lpwstr>
  </property>
</Properties>
</file>