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520" w:firstLine="420"/>
        <w:rPr>
          <w:rFonts w:eastAsia="仿宋_GB2312" w:cs="仿宋_GB2312"/>
          <w:color w:val="000000" w:themeColor="text1"/>
          <w:sz w:val="36"/>
          <w:szCs w:val="36"/>
          <w14:textFill>
            <w14:solidFill>
              <w14:schemeClr w14:val="tx1"/>
            </w14:solidFill>
          </w14:textFill>
        </w:rPr>
      </w:pPr>
      <w:bookmarkStart w:id="0" w:name="_Hlk57883707"/>
    </w:p>
    <w:p>
      <w:pPr>
        <w:rPr>
          <w:rFonts w:eastAsia="仿宋_GB2312" w:cs="仿宋_GB2312"/>
          <w:color w:val="000000" w:themeColor="text1"/>
          <w:sz w:val="36"/>
          <w:szCs w:val="36"/>
          <w14:textFill>
            <w14:solidFill>
              <w14:schemeClr w14:val="tx1"/>
            </w14:solidFill>
          </w14:textFill>
        </w:rPr>
      </w:pPr>
    </w:p>
    <w:p>
      <w:pPr>
        <w:rPr>
          <w:rFonts w:eastAsia="仿宋_GB2312" w:cs="仿宋_GB2312"/>
          <w:color w:val="000000" w:themeColor="text1"/>
          <w:sz w:val="36"/>
          <w:szCs w:val="36"/>
          <w14:textFill>
            <w14:solidFill>
              <w14:schemeClr w14:val="tx1"/>
            </w14:solidFill>
          </w14:textFill>
        </w:rPr>
      </w:pPr>
    </w:p>
    <w:p>
      <w:pPr>
        <w:rPr>
          <w:rFonts w:eastAsia="仿宋_GB2312" w:cs="仿宋_GB2312"/>
          <w:color w:val="000000" w:themeColor="text1"/>
          <w:sz w:val="36"/>
          <w:szCs w:val="36"/>
          <w14:textFill>
            <w14:solidFill>
              <w14:schemeClr w14:val="tx1"/>
            </w14:solidFill>
          </w14:textFill>
        </w:rPr>
      </w:pPr>
    </w:p>
    <w:bookmarkEnd w:id="0"/>
    <w:p>
      <w:pPr>
        <w:adjustRightInd w:val="0"/>
        <w:snapToGrid w:val="0"/>
        <w:jc w:val="center"/>
        <w:outlineLvl w:val="0"/>
        <w:rPr>
          <w:rFonts w:eastAsia="方正小标宋_GBK"/>
          <w:bCs/>
          <w:color w:val="000000" w:themeColor="text1"/>
          <w:sz w:val="72"/>
          <w:szCs w:val="72"/>
          <w14:textFill>
            <w14:solidFill>
              <w14:schemeClr w14:val="tx1"/>
            </w14:solidFill>
          </w14:textFill>
        </w:rPr>
      </w:pPr>
      <w:bookmarkStart w:id="1" w:name="_Toc15714"/>
      <w:r>
        <w:rPr>
          <w:rFonts w:hint="eastAsia" w:eastAsia="方正小标宋_GBK"/>
          <w:bCs/>
          <w:color w:val="000000" w:themeColor="text1"/>
          <w:sz w:val="72"/>
          <w:szCs w:val="72"/>
          <w14:textFill>
            <w14:solidFill>
              <w14:schemeClr w14:val="tx1"/>
            </w14:solidFill>
          </w14:textFill>
        </w:rPr>
        <w:t>建设项目环境影响报告表</w:t>
      </w:r>
      <w:bookmarkEnd w:id="1"/>
    </w:p>
    <w:p>
      <w:pPr>
        <w:adjustRightInd w:val="0"/>
        <w:snapToGrid w:val="0"/>
        <w:spacing w:before="192" w:beforeLines="80"/>
        <w:jc w:val="center"/>
        <w:rPr>
          <w:rFonts w:eastAsia="楷体_GB2312"/>
          <w:bCs/>
          <w:color w:val="000000" w:themeColor="text1"/>
          <w:sz w:val="48"/>
          <w:szCs w:val="48"/>
          <w14:textFill>
            <w14:solidFill>
              <w14:schemeClr w14:val="tx1"/>
            </w14:solidFill>
          </w14:textFill>
        </w:rPr>
      </w:pPr>
      <w:r>
        <w:rPr>
          <w:rFonts w:hint="eastAsia" w:eastAsia="楷体_GB2312"/>
          <w:bCs/>
          <w:color w:val="000000" w:themeColor="text1"/>
          <w:sz w:val="48"/>
          <w:szCs w:val="48"/>
          <w14:textFill>
            <w14:solidFill>
              <w14:schemeClr w14:val="tx1"/>
            </w14:solidFill>
          </w14:textFill>
        </w:rPr>
        <w:t>（生态影响类）</w:t>
      </w:r>
    </w:p>
    <w:p>
      <w:pPr>
        <w:adjustRightInd w:val="0"/>
        <w:snapToGrid w:val="0"/>
        <w:spacing w:line="288" w:lineRule="auto"/>
        <w:jc w:val="center"/>
        <w:rPr>
          <w:rFonts w:eastAsia="华文仿宋" w:cs="华文仿宋"/>
          <w:color w:val="000000" w:themeColor="text1"/>
          <w:kern w:val="44"/>
          <w:sz w:val="44"/>
          <w:szCs w:val="44"/>
          <w14:textFill>
            <w14:solidFill>
              <w14:schemeClr w14:val="tx1"/>
            </w14:solidFill>
          </w14:textFill>
        </w:rPr>
      </w:pPr>
      <w:bookmarkStart w:id="2" w:name="_Hlk57883728"/>
    </w:p>
    <w:p>
      <w:pPr>
        <w:jc w:val="center"/>
        <w:rPr>
          <w:rFonts w:eastAsia="仿宋"/>
          <w:color w:val="000000" w:themeColor="text1"/>
          <w:sz w:val="52"/>
          <w:szCs w:val="52"/>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bookmarkEnd w:id="2"/>
    <w:p>
      <w:pPr>
        <w:adjustRightInd w:val="0"/>
        <w:snapToGrid w:val="0"/>
        <w:spacing w:line="288" w:lineRule="auto"/>
        <w:ind w:firstLine="1080" w:firstLineChars="300"/>
        <w:rPr>
          <w:rFonts w:eastAsia="仿宋_GB2312"/>
          <w:color w:val="000000" w:themeColor="text1"/>
          <w:sz w:val="36"/>
          <w:szCs w:val="36"/>
          <w:u w:val="single"/>
          <w14:textFill>
            <w14:solidFill>
              <w14:schemeClr w14:val="tx1"/>
            </w14:solidFill>
          </w14:textFill>
        </w:rPr>
      </w:pPr>
      <w:r>
        <w:rPr>
          <w:rFonts w:hint="eastAsia" w:eastAsia="仿宋_GB2312"/>
          <w:color w:val="000000" w:themeColor="text1"/>
          <w:sz w:val="36"/>
          <w:szCs w:val="36"/>
          <w14:textFill>
            <w14:solidFill>
              <w14:schemeClr w14:val="tx1"/>
            </w14:solidFill>
          </w14:textFill>
        </w:rPr>
        <w:t>项目名称：</w:t>
      </w:r>
      <w:r>
        <w:rPr>
          <w:rFonts w:hint="eastAsia" w:eastAsia="仿宋_GB2312"/>
          <w:color w:val="000000" w:themeColor="text1"/>
          <w:spacing w:val="-34"/>
          <w:sz w:val="36"/>
          <w:szCs w:val="36"/>
          <w:u w:val="single"/>
          <w14:textFill>
            <w14:solidFill>
              <w14:schemeClr w14:val="tx1"/>
            </w14:solidFill>
          </w14:textFill>
        </w:rPr>
        <w:t>同心县兴隆乡王团村村庄排涝工程</w:t>
      </w:r>
    </w:p>
    <w:p>
      <w:pPr>
        <w:adjustRightInd w:val="0"/>
        <w:snapToGrid w:val="0"/>
        <w:spacing w:line="288" w:lineRule="auto"/>
        <w:ind w:firstLine="1040"/>
        <w:rPr>
          <w:rFonts w:eastAsia="仿宋_GB2312"/>
          <w:color w:val="000000" w:themeColor="text1"/>
          <w:sz w:val="36"/>
          <w:szCs w:val="36"/>
          <w:u w:val="single"/>
          <w14:textFill>
            <w14:solidFill>
              <w14:schemeClr w14:val="tx1"/>
            </w14:solidFill>
          </w14:textFill>
        </w:rPr>
      </w:pPr>
      <w:r>
        <w:rPr>
          <w:rFonts w:hint="eastAsia" w:eastAsia="仿宋_GB2312"/>
          <w:color w:val="000000" w:themeColor="text1"/>
          <w:sz w:val="36"/>
          <w:szCs w:val="36"/>
          <w14:textFill>
            <w14:solidFill>
              <w14:schemeClr w14:val="tx1"/>
            </w14:solidFill>
          </w14:textFill>
        </w:rPr>
        <w:t>建设单位（盖章）：</w:t>
      </w:r>
      <w:r>
        <w:rPr>
          <w:rFonts w:hint="eastAsia" w:eastAsia="仿宋_GB2312"/>
          <w:color w:val="000000" w:themeColor="text1"/>
          <w:sz w:val="36"/>
          <w:szCs w:val="36"/>
          <w:u w:val="single"/>
          <w14:textFill>
            <w14:solidFill>
              <w14:schemeClr w14:val="tx1"/>
            </w14:solidFill>
          </w14:textFill>
        </w:rPr>
        <w:t>同心县水务局</w:t>
      </w:r>
    </w:p>
    <w:p>
      <w:pPr>
        <w:adjustRightInd w:val="0"/>
        <w:snapToGrid w:val="0"/>
        <w:spacing w:line="288" w:lineRule="auto"/>
        <w:ind w:firstLine="1040"/>
        <w:rPr>
          <w:rFonts w:eastAsia="仿宋_GB2312"/>
          <w:color w:val="000000" w:themeColor="text1"/>
          <w:sz w:val="36"/>
          <w:szCs w:val="36"/>
          <w:u w:val="single"/>
          <w14:textFill>
            <w14:solidFill>
              <w14:schemeClr w14:val="tx1"/>
            </w14:solidFill>
          </w14:textFill>
        </w:rPr>
      </w:pPr>
      <w:r>
        <w:rPr>
          <w:rFonts w:hint="eastAsia" w:eastAsia="仿宋_GB2312"/>
          <w:color w:val="000000" w:themeColor="text1"/>
          <w:sz w:val="36"/>
          <w:szCs w:val="36"/>
          <w14:textFill>
            <w14:solidFill>
              <w14:schemeClr w14:val="tx1"/>
            </w14:solidFill>
          </w14:textFill>
        </w:rPr>
        <w:t>编制日期：</w:t>
      </w:r>
      <w:r>
        <w:rPr>
          <w:rFonts w:hint="eastAsia" w:eastAsia="仿宋_GB2312"/>
          <w:color w:val="000000" w:themeColor="text1"/>
          <w:sz w:val="36"/>
          <w:szCs w:val="36"/>
          <w:u w:val="single"/>
          <w14:textFill>
            <w14:solidFill>
              <w14:schemeClr w14:val="tx1"/>
            </w14:solidFill>
          </w14:textFill>
        </w:rPr>
        <w:t>2023年</w:t>
      </w:r>
      <w:r>
        <w:rPr>
          <w:rFonts w:hint="eastAsia" w:eastAsia="仿宋_GB2312"/>
          <w:color w:val="000000" w:themeColor="text1"/>
          <w:sz w:val="36"/>
          <w:szCs w:val="36"/>
          <w:u w:val="single"/>
          <w:lang w:val="en-US" w:eastAsia="zh-CN"/>
          <w14:textFill>
            <w14:solidFill>
              <w14:schemeClr w14:val="tx1"/>
            </w14:solidFill>
          </w14:textFill>
        </w:rPr>
        <w:t>5</w:t>
      </w:r>
      <w:r>
        <w:rPr>
          <w:rFonts w:hint="eastAsia" w:eastAsia="仿宋_GB2312"/>
          <w:color w:val="000000" w:themeColor="text1"/>
          <w:sz w:val="36"/>
          <w:szCs w:val="36"/>
          <w:u w:val="single"/>
          <w14:textFill>
            <w14:solidFill>
              <w14:schemeClr w14:val="tx1"/>
            </w14:solidFill>
          </w14:textFill>
        </w:rPr>
        <w:t>月</w:t>
      </w:r>
    </w:p>
    <w:p>
      <w:pPr>
        <w:adjustRightInd w:val="0"/>
        <w:snapToGrid w:val="0"/>
        <w:spacing w:line="288" w:lineRule="auto"/>
        <w:ind w:firstLine="1040"/>
        <w:rPr>
          <w:rFonts w:eastAsia="仿宋_GB2312"/>
          <w:color w:val="000000" w:themeColor="text1"/>
          <w:sz w:val="36"/>
          <w:szCs w:val="36"/>
          <w:u w:val="single"/>
          <w14:textFill>
            <w14:solidFill>
              <w14:schemeClr w14:val="tx1"/>
            </w14:solidFill>
          </w14:textFill>
        </w:rPr>
      </w:pPr>
    </w:p>
    <w:p>
      <w:pPr>
        <w:adjustRightInd w:val="0"/>
        <w:snapToGrid w:val="0"/>
        <w:spacing w:line="288" w:lineRule="auto"/>
        <w:ind w:firstLine="1040"/>
        <w:rPr>
          <w:rFonts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eastAsia="仿宋_GB2312"/>
          <w:color w:val="000000" w:themeColor="text1"/>
          <w:sz w:val="36"/>
          <w:szCs w:val="36"/>
          <w14:textFill>
            <w14:solidFill>
              <w14:schemeClr w14:val="tx1"/>
            </w14:solidFill>
          </w14:textFill>
        </w:rPr>
      </w:pPr>
    </w:p>
    <w:p>
      <w:pPr>
        <w:adjustRightInd w:val="0"/>
        <w:snapToGrid w:val="0"/>
        <w:spacing w:line="288" w:lineRule="auto"/>
        <w:jc w:val="center"/>
        <w:outlineLvl w:val="0"/>
        <w:rPr>
          <w:rFonts w:eastAsia="楷体_GB2312"/>
          <w:color w:val="000000" w:themeColor="text1"/>
          <w:sz w:val="36"/>
          <w:szCs w:val="36"/>
          <w14:textFill>
            <w14:solidFill>
              <w14:schemeClr w14:val="tx1"/>
            </w14:solidFill>
          </w14:textFill>
        </w:rPr>
      </w:pPr>
      <w:bookmarkStart w:id="3" w:name="_Toc23791"/>
      <w:r>
        <w:rPr>
          <w:rFonts w:hint="eastAsia" w:eastAsia="楷体_GB2312"/>
          <w:color w:val="000000" w:themeColor="text1"/>
          <w:sz w:val="36"/>
          <w:szCs w:val="36"/>
          <w14:textFill>
            <w14:solidFill>
              <w14:schemeClr w14:val="tx1"/>
            </w14:solidFill>
          </w14:textFill>
        </w:rPr>
        <w:t>中华人民共和国生态环境部制</w:t>
      </w:r>
      <w:bookmarkEnd w:id="3"/>
    </w:p>
    <w:p>
      <w:pPr>
        <w:adjustRightInd w:val="0"/>
        <w:snapToGrid w:val="0"/>
        <w:spacing w:line="288" w:lineRule="auto"/>
        <w:ind w:firstLine="1040"/>
        <w:rPr>
          <w:rFonts w:eastAsia="仿宋_GB2312"/>
          <w:color w:val="000000" w:themeColor="text1"/>
          <w:sz w:val="36"/>
          <w:szCs w:val="36"/>
          <w14:textFill>
            <w14:solidFill>
              <w14:schemeClr w14:val="tx1"/>
            </w14:solidFill>
          </w14:textFill>
        </w:rPr>
        <w:sectPr>
          <w:footerReference r:id="rId5" w:type="default"/>
          <w:footerReference r:id="rId6" w:type="even"/>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p>
    <w:sdt>
      <w:sdtPr>
        <w:rPr>
          <w:rFonts w:hint="eastAsia" w:ascii="宋体" w:hAnsi="宋体" w:cs="宋体"/>
          <w:color w:val="000000" w:themeColor="text1"/>
          <w14:textFill>
            <w14:solidFill>
              <w14:schemeClr w14:val="tx1"/>
            </w14:solidFill>
          </w14:textFill>
        </w:rPr>
        <w:id w:val="147475366"/>
        <w:docPartObj>
          <w:docPartGallery w:val="Table of Contents"/>
          <w:docPartUnique/>
        </w:docPartObj>
      </w:sdtPr>
      <w:sdtEndPr>
        <w:rPr>
          <w:rFonts w:hint="eastAsia" w:ascii="Times New Roman" w:hAnsi="Times New Roman" w:eastAsia="黑体" w:cs="Times New Roman"/>
          <w:snapToGrid w:val="0"/>
          <w:color w:val="000000" w:themeColor="text1"/>
          <w:kern w:val="0"/>
          <w:sz w:val="24"/>
          <w:szCs w:val="30"/>
          <w14:textFill>
            <w14:solidFill>
              <w14:schemeClr w14:val="tx1"/>
            </w14:solidFill>
          </w14:textFill>
        </w:rPr>
      </w:sdtEndPr>
      <w:sdtContent>
        <w:p>
          <w:pPr>
            <w:spacing w:line="360" w:lineRule="auto"/>
            <w:jc w:val="center"/>
            <w:rPr>
              <w:rFonts w:cs="宋体"/>
              <w:b/>
              <w:bCs/>
              <w:color w:val="000000" w:themeColor="text1"/>
              <w:sz w:val="52"/>
              <w:szCs w:val="52"/>
              <w14:textFill>
                <w14:solidFill>
                  <w14:schemeClr w14:val="tx1"/>
                </w14:solidFill>
              </w14:textFill>
            </w:rPr>
          </w:pPr>
          <w:r>
            <w:rPr>
              <w:rFonts w:hint="eastAsia" w:cs="宋体"/>
              <w:b/>
              <w:bCs/>
              <w:color w:val="000000" w:themeColor="text1"/>
              <w:sz w:val="52"/>
              <w:szCs w:val="52"/>
              <w14:textFill>
                <w14:solidFill>
                  <w14:schemeClr w14:val="tx1"/>
                </w14:solidFill>
              </w14:textFill>
            </w:rPr>
            <w:t>目录</w:t>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rPr>
              <w:rFonts w:hint="eastAsia"/>
              <w:snapToGrid w:val="0"/>
              <w:color w:val="000000" w:themeColor="text1"/>
              <w:sz w:val="32"/>
              <w:szCs w:val="32"/>
              <w14:textFill>
                <w14:solidFill>
                  <w14:schemeClr w14:val="tx1"/>
                </w14:solidFill>
              </w14:textFill>
            </w:rPr>
            <w:fldChar w:fldCharType="begin"/>
          </w:r>
          <w:r>
            <w:rPr>
              <w:rFonts w:hint="eastAsia"/>
              <w:snapToGrid w:val="0"/>
              <w:color w:val="000000" w:themeColor="text1"/>
              <w:sz w:val="32"/>
              <w:szCs w:val="32"/>
              <w14:textFill>
                <w14:solidFill>
                  <w14:schemeClr w14:val="tx1"/>
                </w14:solidFill>
              </w14:textFill>
            </w:rPr>
            <w:instrText xml:space="preserve">TOC \o "1-1" \h \u </w:instrText>
          </w:r>
          <w:r>
            <w:rPr>
              <w:rFonts w:hint="eastAsia"/>
              <w:snapToGrid w:val="0"/>
              <w:color w:val="000000" w:themeColor="text1"/>
              <w:sz w:val="32"/>
              <w:szCs w:val="32"/>
              <w14:textFill>
                <w14:solidFill>
                  <w14:schemeClr w14:val="tx1"/>
                </w14:solidFill>
              </w14:textFill>
            </w:rPr>
            <w:fldChar w:fldCharType="separate"/>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fldChar w:fldCharType="begin"/>
          </w:r>
          <w:r>
            <w:instrText xml:space="preserve"> HYPERLINK \l "_Toc9016" </w:instrText>
          </w:r>
          <w:r>
            <w:fldChar w:fldCharType="separate"/>
          </w:r>
          <w:r>
            <w:rPr>
              <w:rFonts w:hint="eastAsia" w:cs="宋体"/>
              <w:b/>
              <w:bCs/>
              <w:snapToGrid w:val="0"/>
              <w:color w:val="000000" w:themeColor="text1"/>
              <w:sz w:val="32"/>
              <w:szCs w:val="32"/>
              <w14:textFill>
                <w14:solidFill>
                  <w14:schemeClr w14:val="tx1"/>
                </w14:solidFill>
              </w14:textFill>
            </w:rPr>
            <w:t>一、建设项目基本情况</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_Toc9016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1</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fldChar w:fldCharType="begin"/>
          </w:r>
          <w:r>
            <w:instrText xml:space="preserve"> HYPERLINK \l "_Toc25281" </w:instrText>
          </w:r>
          <w:r>
            <w:fldChar w:fldCharType="separate"/>
          </w:r>
          <w:r>
            <w:rPr>
              <w:rFonts w:hint="eastAsia" w:cs="宋体"/>
              <w:b/>
              <w:bCs/>
              <w:snapToGrid w:val="0"/>
              <w:color w:val="000000" w:themeColor="text1"/>
              <w:sz w:val="32"/>
              <w:szCs w:val="32"/>
              <w14:textFill>
                <w14:solidFill>
                  <w14:schemeClr w14:val="tx1"/>
                </w14:solidFill>
              </w14:textFill>
            </w:rPr>
            <w:t>二、建设内容</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_Toc25281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15</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fldChar w:fldCharType="begin"/>
          </w:r>
          <w:r>
            <w:instrText xml:space="preserve"> HYPERLINK \l "_Toc10602" </w:instrText>
          </w:r>
          <w:r>
            <w:fldChar w:fldCharType="separate"/>
          </w:r>
          <w:r>
            <w:rPr>
              <w:rFonts w:hint="eastAsia" w:cs="宋体"/>
              <w:b/>
              <w:bCs/>
              <w:snapToGrid w:val="0"/>
              <w:color w:val="000000" w:themeColor="text1"/>
              <w:sz w:val="32"/>
              <w:szCs w:val="32"/>
              <w14:textFill>
                <w14:solidFill>
                  <w14:schemeClr w14:val="tx1"/>
                </w14:solidFill>
              </w14:textFill>
            </w:rPr>
            <w:t>三、生态环境现状、保护目标及评价标准</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_Toc10602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34</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fldChar w:fldCharType="begin"/>
          </w:r>
          <w:r>
            <w:instrText xml:space="preserve"> HYPERLINK \l "_Toc20567" </w:instrText>
          </w:r>
          <w:r>
            <w:fldChar w:fldCharType="separate"/>
          </w:r>
          <w:r>
            <w:rPr>
              <w:rFonts w:hint="eastAsia" w:cs="宋体"/>
              <w:b/>
              <w:bCs/>
              <w:snapToGrid w:val="0"/>
              <w:color w:val="000000" w:themeColor="text1"/>
              <w:sz w:val="32"/>
              <w:szCs w:val="32"/>
              <w14:textFill>
                <w14:solidFill>
                  <w14:schemeClr w14:val="tx1"/>
                </w14:solidFill>
              </w14:textFill>
            </w:rPr>
            <w:t>四、生态环境影响分析</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_Toc20567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42</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fldChar w:fldCharType="begin"/>
          </w:r>
          <w:r>
            <w:instrText xml:space="preserve"> HYPERLINK \l "_Toc11762" </w:instrText>
          </w:r>
          <w:r>
            <w:fldChar w:fldCharType="separate"/>
          </w:r>
          <w:r>
            <w:rPr>
              <w:rFonts w:hint="eastAsia" w:cs="宋体"/>
              <w:b/>
              <w:bCs/>
              <w:snapToGrid w:val="0"/>
              <w:color w:val="000000" w:themeColor="text1"/>
              <w:sz w:val="32"/>
              <w:szCs w:val="32"/>
              <w14:textFill>
                <w14:solidFill>
                  <w14:schemeClr w14:val="tx1"/>
                </w14:solidFill>
              </w14:textFill>
            </w:rPr>
            <w:t>五、主要生态环境保护措施</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_Toc11762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47</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68"/>
            <w:tabs>
              <w:tab w:val="right" w:leader="middleDot" w:pos="8844"/>
            </w:tabs>
            <w:spacing w:line="360" w:lineRule="auto"/>
            <w:rPr>
              <w:rFonts w:cs="宋体"/>
              <w:b/>
              <w:bCs/>
              <w:color w:val="000000" w:themeColor="text1"/>
              <w:sz w:val="32"/>
              <w:szCs w:val="32"/>
              <w14:textFill>
                <w14:solidFill>
                  <w14:schemeClr w14:val="tx1"/>
                </w14:solidFill>
              </w14:textFill>
            </w:rPr>
          </w:pPr>
          <w:r>
            <w:fldChar w:fldCharType="begin"/>
          </w:r>
          <w:r>
            <w:instrText xml:space="preserve"> HYPERLINK \l "_Toc27751" </w:instrText>
          </w:r>
          <w:r>
            <w:fldChar w:fldCharType="separate"/>
          </w:r>
          <w:r>
            <w:rPr>
              <w:rFonts w:hint="eastAsia" w:cs="宋体"/>
              <w:b/>
              <w:bCs/>
              <w:snapToGrid w:val="0"/>
              <w:color w:val="000000" w:themeColor="text1"/>
              <w:sz w:val="32"/>
              <w:szCs w:val="32"/>
              <w14:textFill>
                <w14:solidFill>
                  <w14:schemeClr w14:val="tx1"/>
                </w14:solidFill>
              </w14:textFill>
            </w:rPr>
            <w:t>六、生态环境保护措施监督检查清单</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_Toc27751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55</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68"/>
            <w:tabs>
              <w:tab w:val="right" w:leader="middleDot" w:pos="8844"/>
            </w:tabs>
            <w:spacing w:line="360" w:lineRule="auto"/>
            <w:rPr>
              <w:color w:val="000000" w:themeColor="text1"/>
              <w:sz w:val="32"/>
              <w:szCs w:val="32"/>
              <w14:textFill>
                <w14:solidFill>
                  <w14:schemeClr w14:val="tx1"/>
                </w14:solidFill>
              </w14:textFill>
            </w:rPr>
          </w:pPr>
          <w:r>
            <w:fldChar w:fldCharType="begin"/>
          </w:r>
          <w:r>
            <w:instrText xml:space="preserve"> HYPERLINK \l "_Toc22253" </w:instrText>
          </w:r>
          <w:r>
            <w:fldChar w:fldCharType="separate"/>
          </w:r>
          <w:r>
            <w:rPr>
              <w:rFonts w:hint="eastAsia" w:cs="宋体"/>
              <w:b/>
              <w:bCs/>
              <w:snapToGrid w:val="0"/>
              <w:color w:val="000000" w:themeColor="text1"/>
              <w:sz w:val="32"/>
              <w:szCs w:val="32"/>
              <w14:textFill>
                <w14:solidFill>
                  <w14:schemeClr w14:val="tx1"/>
                </w14:solidFill>
              </w14:textFill>
            </w:rPr>
            <w:t>七、结论</w:t>
          </w:r>
          <w:r>
            <w:rPr>
              <w:rFonts w:hint="eastAsia" w:cs="宋体"/>
              <w:b/>
              <w:bCs/>
              <w:color w:val="000000" w:themeColor="text1"/>
              <w:sz w:val="32"/>
              <w:szCs w:val="32"/>
              <w14:textFill>
                <w14:solidFill>
                  <w14:schemeClr w14:val="tx1"/>
                </w14:solidFill>
              </w14:textFill>
            </w:rPr>
            <w:tab/>
          </w:r>
          <w:r>
            <w:rPr>
              <w:rFonts w:hint="eastAsia" w:cs="宋体"/>
              <w:b/>
              <w:bCs/>
              <w:color w:val="000000" w:themeColor="text1"/>
              <w:sz w:val="32"/>
              <w:szCs w:val="32"/>
              <w14:textFill>
                <w14:solidFill>
                  <w14:schemeClr w14:val="tx1"/>
                </w14:solidFill>
              </w14:textFill>
            </w:rPr>
            <w:fldChar w:fldCharType="begin"/>
          </w:r>
          <w:r>
            <w:rPr>
              <w:rFonts w:hint="eastAsia" w:cs="宋体"/>
              <w:b/>
              <w:bCs/>
              <w:color w:val="000000" w:themeColor="text1"/>
              <w:sz w:val="32"/>
              <w:szCs w:val="32"/>
              <w14:textFill>
                <w14:solidFill>
                  <w14:schemeClr w14:val="tx1"/>
                </w14:solidFill>
              </w14:textFill>
            </w:rPr>
            <w:instrText xml:space="preserve"> PAGEREF _Toc22253 \h </w:instrText>
          </w:r>
          <w:r>
            <w:rPr>
              <w:rFonts w:hint="eastAsia" w:cs="宋体"/>
              <w:b/>
              <w:bCs/>
              <w:color w:val="000000" w:themeColor="text1"/>
              <w:sz w:val="32"/>
              <w:szCs w:val="32"/>
              <w14:textFill>
                <w14:solidFill>
                  <w14:schemeClr w14:val="tx1"/>
                </w14:solidFill>
              </w14:textFill>
            </w:rPr>
            <w:fldChar w:fldCharType="separate"/>
          </w:r>
          <w:r>
            <w:rPr>
              <w:rFonts w:hint="eastAsia" w:cs="宋体"/>
              <w:b/>
              <w:bCs/>
              <w:color w:val="000000" w:themeColor="text1"/>
              <w:sz w:val="32"/>
              <w:szCs w:val="32"/>
              <w14:textFill>
                <w14:solidFill>
                  <w14:schemeClr w14:val="tx1"/>
                </w14:solidFill>
              </w14:textFill>
            </w:rPr>
            <w:t>57</w:t>
          </w:r>
          <w:r>
            <w:rPr>
              <w:rFonts w:hint="eastAsia" w:cs="宋体"/>
              <w:b/>
              <w:bCs/>
              <w:color w:val="000000" w:themeColor="text1"/>
              <w:sz w:val="32"/>
              <w:szCs w:val="32"/>
              <w14:textFill>
                <w14:solidFill>
                  <w14:schemeClr w14:val="tx1"/>
                </w14:solidFill>
              </w14:textFill>
            </w:rPr>
            <w:fldChar w:fldCharType="end"/>
          </w:r>
          <w:r>
            <w:rPr>
              <w:rFonts w:hint="eastAsia" w:cs="宋体"/>
              <w:b/>
              <w:bCs/>
              <w:color w:val="000000" w:themeColor="text1"/>
              <w:sz w:val="32"/>
              <w:szCs w:val="32"/>
              <w14:textFill>
                <w14:solidFill>
                  <w14:schemeClr w14:val="tx1"/>
                </w14:solidFill>
              </w14:textFill>
            </w:rPr>
            <w:fldChar w:fldCharType="end"/>
          </w:r>
        </w:p>
        <w:p>
          <w:pPr>
            <w:pStyle w:val="19"/>
            <w:spacing w:before="0" w:beforeAutospacing="0" w:after="0" w:afterAutospacing="0" w:line="360" w:lineRule="auto"/>
            <w:jc w:val="center"/>
            <w:rPr>
              <w:rFonts w:ascii="Times New Roman" w:hAnsi="Times New Roman" w:eastAsia="黑体"/>
              <w:snapToGrid w:val="0"/>
              <w:color w:val="000000" w:themeColor="text1"/>
              <w:szCs w:val="30"/>
              <w14:textFill>
                <w14:solidFill>
                  <w14:schemeClr w14:val="tx1"/>
                </w14:solidFill>
              </w14:textFill>
            </w:rPr>
            <w:sectPr>
              <w:footerReference r:id="rId7"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r>
            <w:rPr>
              <w:rFonts w:hint="eastAsia" w:ascii="Times New Roman" w:hAnsi="Times New Roman"/>
              <w:snapToGrid w:val="0"/>
              <w:color w:val="000000" w:themeColor="text1"/>
              <w:sz w:val="32"/>
              <w:szCs w:val="32"/>
              <w14:textFill>
                <w14:solidFill>
                  <w14:schemeClr w14:val="tx1"/>
                </w14:solidFill>
              </w14:textFill>
            </w:rPr>
            <w:fldChar w:fldCharType="end"/>
          </w:r>
        </w:p>
      </w:sdtContent>
    </w:sdt>
    <w:p>
      <w:pPr>
        <w:pStyle w:val="19"/>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bookmarkStart w:id="4" w:name="_Toc9016"/>
      <w:r>
        <w:rPr>
          <w:rFonts w:hint="default" w:ascii="Times New Roman" w:hAnsi="Times New Roman" w:eastAsia="黑体" w:cs="Times New Roman"/>
          <w:snapToGrid w:val="0"/>
          <w:color w:val="000000" w:themeColor="text1"/>
          <w:sz w:val="30"/>
          <w:szCs w:val="30"/>
          <w14:textFill>
            <w14:solidFill>
              <w14:schemeClr w14:val="tx1"/>
            </w14:solidFill>
          </w14:textFill>
        </w:rPr>
        <w:t>一、建设项目基本情况</w:t>
      </w:r>
      <w:bookmarkEnd w:id="4"/>
    </w:p>
    <w:tbl>
      <w:tblPr>
        <w:tblStyle w:val="24"/>
        <w:tblW w:w="903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720"/>
        <w:gridCol w:w="2549"/>
        <w:gridCol w:w="2218"/>
        <w:gridCol w:w="10"/>
        <w:gridCol w:w="254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建设项目名称</w:t>
            </w:r>
          </w:p>
        </w:tc>
        <w:tc>
          <w:tcPr>
            <w:tcW w:w="7319" w:type="dxa"/>
            <w:gridSpan w:val="4"/>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同心县兴隆乡王团村村庄排涝工程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项目代码</w:t>
            </w:r>
          </w:p>
        </w:tc>
        <w:tc>
          <w:tcPr>
            <w:tcW w:w="7319" w:type="dxa"/>
            <w:gridSpan w:val="4"/>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2301-640324-19-01-860109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建设单位联系人</w:t>
            </w:r>
          </w:p>
        </w:tc>
        <w:tc>
          <w:tcPr>
            <w:tcW w:w="2549" w:type="dxa"/>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李翔</w:t>
            </w:r>
          </w:p>
        </w:tc>
        <w:tc>
          <w:tcPr>
            <w:tcW w:w="2228" w:type="dxa"/>
            <w:gridSpan w:val="2"/>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联系方式</w:t>
            </w:r>
          </w:p>
        </w:tc>
        <w:tc>
          <w:tcPr>
            <w:tcW w:w="2542" w:type="dxa"/>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13895207393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建设地点</w:t>
            </w:r>
          </w:p>
        </w:tc>
        <w:tc>
          <w:tcPr>
            <w:tcW w:w="7319" w:type="dxa"/>
            <w:gridSpan w:val="4"/>
            <w:vAlign w:val="center"/>
          </w:tcPr>
          <w:p>
            <w:pPr>
              <w:widowControl/>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u w:val="single"/>
                <w14:textFill>
                  <w14:solidFill>
                    <w14:schemeClr w14:val="tx1"/>
                  </w14:solidFill>
                </w14:textFill>
              </w:rPr>
              <w:t>宁夏</w:t>
            </w:r>
            <w:r>
              <w:rPr>
                <w:rFonts w:hint="eastAsia" w:cs="Times New Roman"/>
                <w:color w:val="000000" w:themeColor="text1"/>
                <w:sz w:val="24"/>
                <w:u w:val="single"/>
                <w:lang w:eastAsia="zh-CN"/>
                <w14:textFill>
                  <w14:solidFill>
                    <w14:schemeClr w14:val="tx1"/>
                  </w14:solidFill>
                </w14:textFill>
              </w:rPr>
              <w:t>回族自治区</w:t>
            </w:r>
            <w:r>
              <w:rPr>
                <w:rFonts w:hint="default" w:ascii="Times New Roman" w:hAnsi="Times New Roman" w:cs="Times New Roman"/>
                <w:color w:val="000000" w:themeColor="text1"/>
                <w:sz w:val="24"/>
                <w14:textFill>
                  <w14:solidFill>
                    <w14:schemeClr w14:val="tx1"/>
                  </w14:solidFill>
                </w14:textFill>
              </w:rPr>
              <w:t>省（自治区）</w:t>
            </w:r>
            <w:r>
              <w:rPr>
                <w:rFonts w:hint="default" w:ascii="Times New Roman" w:hAnsi="Times New Roman" w:cs="Times New Roman"/>
                <w:color w:val="000000" w:themeColor="text1"/>
                <w:sz w:val="24"/>
                <w:u w:val="single"/>
                <w14:textFill>
                  <w14:solidFill>
                    <w14:schemeClr w14:val="tx1"/>
                  </w14:solidFill>
                </w14:textFill>
              </w:rPr>
              <w:t>吴忠</w:t>
            </w:r>
            <w:r>
              <w:rPr>
                <w:rFonts w:hint="default" w:ascii="Times New Roman" w:hAnsi="Times New Roman" w:cs="Times New Roman"/>
                <w:color w:val="000000" w:themeColor="text1"/>
                <w:sz w:val="24"/>
                <w14:textFill>
                  <w14:solidFill>
                    <w14:schemeClr w14:val="tx1"/>
                  </w14:solidFill>
                </w14:textFill>
              </w:rPr>
              <w:t>市</w:t>
            </w:r>
            <w:r>
              <w:rPr>
                <w:rFonts w:hint="default" w:ascii="Times New Roman" w:hAnsi="Times New Roman" w:cs="Times New Roman"/>
                <w:color w:val="000000" w:themeColor="text1"/>
                <w:sz w:val="24"/>
                <w:u w:val="single"/>
                <w14:textFill>
                  <w14:solidFill>
                    <w14:schemeClr w14:val="tx1"/>
                  </w14:solidFill>
                </w14:textFill>
              </w:rPr>
              <w:t>同心</w:t>
            </w:r>
            <w:r>
              <w:rPr>
                <w:rFonts w:hint="default" w:ascii="Times New Roman" w:hAnsi="Times New Roman" w:cs="Times New Roman"/>
                <w:color w:val="000000" w:themeColor="text1"/>
                <w:sz w:val="24"/>
                <w14:textFill>
                  <w14:solidFill>
                    <w14:schemeClr w14:val="tx1"/>
                  </w14:solidFill>
                </w14:textFill>
              </w:rPr>
              <w:t>县</w:t>
            </w:r>
            <w:r>
              <w:rPr>
                <w:rFonts w:hint="default" w:ascii="Times New Roman" w:hAnsi="Times New Roman" w:cs="Times New Roman"/>
                <w:color w:val="000000" w:themeColor="text1"/>
                <w:sz w:val="24"/>
                <w:u w:val="single"/>
                <w14:textFill>
                  <w14:solidFill>
                    <w14:schemeClr w14:val="tx1"/>
                  </w14:solidFill>
                </w14:textFill>
              </w:rPr>
              <w:t>兴隆</w:t>
            </w:r>
            <w:r>
              <w:rPr>
                <w:rFonts w:hint="default" w:ascii="Times New Roman" w:hAnsi="Times New Roman" w:cs="Times New Roman"/>
                <w:color w:val="000000" w:themeColor="text1"/>
                <w:sz w:val="24"/>
                <w14:textFill>
                  <w14:solidFill>
                    <w14:schemeClr w14:val="tx1"/>
                  </w14:solidFill>
                </w14:textFill>
              </w:rPr>
              <w:t>乡</w:t>
            </w:r>
            <w:r>
              <w:rPr>
                <w:rFonts w:hint="default" w:ascii="Times New Roman" w:hAnsi="Times New Roman" w:cs="Times New Roman"/>
                <w:color w:val="000000" w:themeColor="text1"/>
                <w:sz w:val="24"/>
                <w:u w:val="single"/>
                <w14:textFill>
                  <w14:solidFill>
                    <w14:schemeClr w14:val="tx1"/>
                  </w14:solidFill>
                </w14:textFill>
              </w:rPr>
              <w:t>王团</w:t>
            </w:r>
            <w:r>
              <w:rPr>
                <w:rFonts w:hint="default" w:ascii="Times New Roman" w:hAnsi="Times New Roman" w:cs="Times New Roman"/>
                <w:color w:val="000000" w:themeColor="text1"/>
                <w:sz w:val="24"/>
                <w14:textFill>
                  <w14:solidFill>
                    <w14:schemeClr w14:val="tx1"/>
                  </w14:solidFill>
                </w14:textFill>
              </w:rPr>
              <w:t>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地理坐标</w:t>
            </w:r>
          </w:p>
        </w:tc>
        <w:tc>
          <w:tcPr>
            <w:tcW w:w="7319" w:type="dxa"/>
            <w:gridSpan w:val="4"/>
            <w:vAlign w:val="center"/>
          </w:tcPr>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建设项目</w:t>
            </w:r>
          </w:p>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行业类别</w:t>
            </w:r>
          </w:p>
        </w:tc>
        <w:tc>
          <w:tcPr>
            <w:tcW w:w="2549" w:type="dxa"/>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五十一、水利；127.防洪除涝工程中其他（小型沟渠的护坡除外；城镇排涝河流水闸、排涝泵站除外）</w:t>
            </w:r>
          </w:p>
        </w:tc>
        <w:tc>
          <w:tcPr>
            <w:tcW w:w="2218"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用地（用海）面积（m</w:t>
            </w:r>
            <w:r>
              <w:rPr>
                <w:rFonts w:hint="default" w:ascii="Times New Roman" w:hAnsi="Times New Roman" w:cs="Times New Roman"/>
                <w:color w:val="000000" w:themeColor="text1"/>
                <w:szCs w:val="21"/>
                <w:vertAlign w:val="superscript"/>
                <w14:textFill>
                  <w14:solidFill>
                    <w14:schemeClr w14:val="tx1"/>
                  </w14:solidFill>
                </w14:textFill>
              </w:rPr>
              <w:t>2</w:t>
            </w:r>
            <w:r>
              <w:rPr>
                <w:rFonts w:hint="default" w:ascii="Times New Roman" w:hAnsi="Times New Roman" w:cs="Times New Roman"/>
                <w:color w:val="000000" w:themeColor="text1"/>
                <w:szCs w:val="21"/>
                <w14:textFill>
                  <w14:solidFill>
                    <w14:schemeClr w14:val="tx1"/>
                  </w14:solidFill>
                </w14:textFill>
              </w:rPr>
              <w:t>）/长度（km）</w:t>
            </w:r>
          </w:p>
        </w:tc>
        <w:tc>
          <w:tcPr>
            <w:tcW w:w="2552" w:type="dxa"/>
            <w:gridSpan w:val="2"/>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633.33m</w:t>
            </w:r>
            <w:r>
              <w:rPr>
                <w:rFonts w:hint="default" w:ascii="Times New Roman" w:hAnsi="Times New Roman" w:cs="Times New Roman"/>
                <w:color w:val="000000" w:themeColor="text1"/>
                <w:sz w:val="24"/>
                <w:vertAlign w:val="superscript"/>
                <w14:textFill>
                  <w14:solidFill>
                    <w14:schemeClr w14:val="tx1"/>
                  </w14:solidFill>
                </w14:textFill>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建设性质</w:t>
            </w:r>
          </w:p>
        </w:tc>
        <w:tc>
          <w:tcPr>
            <w:tcW w:w="2549" w:type="dxa"/>
            <w:vAlign w:val="center"/>
          </w:tcPr>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☑新建（迁建）</w:t>
            </w:r>
          </w:p>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□改建</w:t>
            </w:r>
          </w:p>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□扩建</w:t>
            </w:r>
          </w:p>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□技术改造</w:t>
            </w:r>
          </w:p>
        </w:tc>
        <w:tc>
          <w:tcPr>
            <w:tcW w:w="2218"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建设项目</w:t>
            </w:r>
          </w:p>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申报情形</w:t>
            </w:r>
          </w:p>
        </w:tc>
        <w:tc>
          <w:tcPr>
            <w:tcW w:w="2552" w:type="dxa"/>
            <w:gridSpan w:val="2"/>
            <w:vAlign w:val="center"/>
          </w:tcPr>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☑首次申报项目</w:t>
            </w:r>
          </w:p>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□不予批准后再次申报项目</w:t>
            </w:r>
          </w:p>
          <w:p>
            <w:pPr>
              <w:adjustRightInd w:val="0"/>
              <w:snapToGrid w:val="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□超五年重新审核项目</w:t>
            </w:r>
          </w:p>
          <w:p>
            <w:pPr>
              <w:adjustRightInd w:val="0"/>
              <w:snapToGrid w:val="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项目审批（核准/</w:t>
            </w:r>
          </w:p>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备案）部门（选填）</w:t>
            </w:r>
          </w:p>
        </w:tc>
        <w:tc>
          <w:tcPr>
            <w:tcW w:w="2549"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吴忠市生态环境局同心分局</w:t>
            </w:r>
          </w:p>
        </w:tc>
        <w:tc>
          <w:tcPr>
            <w:tcW w:w="2218"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项目审批（核准/</w:t>
            </w:r>
          </w:p>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备案）文号（选填）</w:t>
            </w:r>
          </w:p>
        </w:tc>
        <w:tc>
          <w:tcPr>
            <w:tcW w:w="2552" w:type="dxa"/>
            <w:gridSpan w:val="2"/>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同发改审发〔2023〕11号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总投资（万元）</w:t>
            </w:r>
          </w:p>
        </w:tc>
        <w:tc>
          <w:tcPr>
            <w:tcW w:w="2549" w:type="dxa"/>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124.51万元</w:t>
            </w:r>
          </w:p>
        </w:tc>
        <w:tc>
          <w:tcPr>
            <w:tcW w:w="2218"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环保投资（万元）</w:t>
            </w:r>
          </w:p>
        </w:tc>
        <w:tc>
          <w:tcPr>
            <w:tcW w:w="2552" w:type="dxa"/>
            <w:gridSpan w:val="2"/>
            <w:vAlign w:val="center"/>
          </w:tcPr>
          <w:p>
            <w:pPr>
              <w:adjustRightInd w:val="0"/>
              <w:snapToGrid w:val="0"/>
              <w:jc w:val="center"/>
              <w:rPr>
                <w:rFonts w:hint="default" w:ascii="Times New Roman" w:hAnsi="Times New Roman" w:cs="Times New Roman"/>
                <w:sz w:val="24"/>
              </w:rPr>
            </w:pPr>
            <w:r>
              <w:rPr>
                <w:rFonts w:hint="default" w:ascii="Times New Roman" w:hAnsi="Times New Roman" w:cs="Times New Roman"/>
                <w:sz w:val="24"/>
              </w:rPr>
              <w:t>16.98万元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环保投资占比（%）</w:t>
            </w:r>
          </w:p>
        </w:tc>
        <w:tc>
          <w:tcPr>
            <w:tcW w:w="2549" w:type="dxa"/>
            <w:vAlign w:val="center"/>
          </w:tcPr>
          <w:p>
            <w:pPr>
              <w:adjustRightInd w:val="0"/>
              <w:snapToGrid w:val="0"/>
              <w:jc w:val="center"/>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sz w:val="24"/>
                <w:szCs w:val="32"/>
              </w:rPr>
              <w:t>13.64</w:t>
            </w:r>
            <w:r>
              <w:rPr>
                <w:rFonts w:hint="default" w:ascii="Times New Roman" w:hAnsi="Times New Roman" w:cs="Times New Roman"/>
                <w:sz w:val="24"/>
              </w:rPr>
              <w:t>%</w:t>
            </w:r>
          </w:p>
        </w:tc>
        <w:tc>
          <w:tcPr>
            <w:tcW w:w="2218"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施工工期</w:t>
            </w:r>
          </w:p>
        </w:tc>
        <w:tc>
          <w:tcPr>
            <w:tcW w:w="2552" w:type="dxa"/>
            <w:gridSpan w:val="2"/>
            <w:vAlign w:val="center"/>
          </w:tcPr>
          <w:p>
            <w:pPr>
              <w:adjustRightInd w:val="0"/>
              <w:snapToGrid w:val="0"/>
              <w:jc w:val="center"/>
              <w:rPr>
                <w:rFonts w:hint="default" w:ascii="Times New Roman" w:hAnsi="Times New Roman" w:cs="Times New Roman"/>
              </w:rPr>
            </w:pPr>
            <w:r>
              <w:rPr>
                <w:rFonts w:hint="default" w:ascii="Times New Roman" w:hAnsi="Times New Roman" w:cs="Times New Roman"/>
                <w:sz w:val="24"/>
              </w:rPr>
              <w:t>2个月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是否开工建设</w:t>
            </w:r>
          </w:p>
        </w:tc>
        <w:tc>
          <w:tcPr>
            <w:tcW w:w="7319" w:type="dxa"/>
            <w:gridSpan w:val="4"/>
            <w:vAlign w:val="center"/>
          </w:tcPr>
          <w:p>
            <w:pPr>
              <w:adjustRightInd w:val="0"/>
              <w:snapToGrid w:val="0"/>
              <w:ind w:firstLine="105"/>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☑否</w:t>
            </w:r>
          </w:p>
          <w:p>
            <w:pPr>
              <w:adjustRightInd w:val="0"/>
              <w:snapToGrid w:val="0"/>
              <w:ind w:firstLine="92"/>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04"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专项评价设置情况</w:t>
            </w:r>
          </w:p>
        </w:tc>
        <w:tc>
          <w:tcPr>
            <w:tcW w:w="7319" w:type="dxa"/>
            <w:gridSpan w:val="4"/>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textAlignment w:val="auto"/>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lang w:eastAsia="zh-CN"/>
                <w14:textFill>
                  <w14:solidFill>
                    <w14:schemeClr w14:val="tx1"/>
                  </w14:solidFill>
                </w14:textFill>
              </w:rPr>
              <w:t>根据《建设项目环境影响报告表编制技术指南（生态影响类）（试行）》，本项目无需进行专项评价。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规划情况</w:t>
            </w:r>
          </w:p>
        </w:tc>
        <w:tc>
          <w:tcPr>
            <w:tcW w:w="7319" w:type="dxa"/>
            <w:gridSpan w:val="4"/>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Times New Roman" w:hAnsi="Times New Roman" w:eastAsia="宋体" w:cs="Times New Roman"/>
                <w:color w:val="000000" w:themeColor="text1"/>
                <w:kern w:val="0"/>
                <w:sz w:val="24"/>
                <w:lang w:eastAsia="zh-CN"/>
                <w14:textFill>
                  <w14:solidFill>
                    <w14:schemeClr w14:val="tx1"/>
                  </w14:solidFill>
                </w14:textFill>
              </w:rPr>
            </w:pPr>
            <w:r>
              <w:rPr>
                <w:rFonts w:hint="eastAsia"/>
                <w:color w:val="0000FF"/>
                <w:sz w:val="24"/>
                <w:szCs w:val="24"/>
                <w:lang w:val="en-US" w:eastAsia="zh-CN"/>
              </w:rPr>
              <w:t>《</w:t>
            </w:r>
            <w:r>
              <w:rPr>
                <w:color w:val="0000FF"/>
                <w:sz w:val="24"/>
                <w:szCs w:val="24"/>
              </w:rPr>
              <w:t>宁夏回族自治区水安全保障“十四五”规划</w:t>
            </w:r>
            <w:r>
              <w:rPr>
                <w:rFonts w:hint="eastAsia"/>
                <w:color w:val="0000FF"/>
                <w:sz w:val="24"/>
                <w:szCs w:val="24"/>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规划环境影响</w:t>
            </w:r>
          </w:p>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评价情况</w:t>
            </w:r>
          </w:p>
        </w:tc>
        <w:tc>
          <w:tcPr>
            <w:tcW w:w="7319" w:type="dxa"/>
            <w:gridSpan w:val="4"/>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jc w:val="left"/>
              <w:textAlignment w:val="auto"/>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23" w:hRule="atLeast"/>
          <w:jc w:val="center"/>
        </w:trPr>
        <w:tc>
          <w:tcPr>
            <w:tcW w:w="1720" w:type="dxa"/>
            <w:tcMar>
              <w:top w:w="16" w:type="dxa"/>
              <w:left w:w="16" w:type="dxa"/>
              <w:right w:w="16" w:type="dxa"/>
            </w:tcMar>
            <w:vAlign w:val="center"/>
          </w:tcPr>
          <w:p>
            <w:pPr>
              <w:autoSpaceDE w:val="0"/>
              <w:autoSpaceDN w:val="0"/>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规划及</w:t>
            </w:r>
            <w:r>
              <w:rPr>
                <w:rFonts w:hint="default" w:ascii="Times New Roman" w:hAnsi="Times New Roman" w:cs="Times New Roman"/>
                <w:color w:val="000000" w:themeColor="text1"/>
                <w:szCs w:val="21"/>
                <w14:textFill>
                  <w14:solidFill>
                    <w14:schemeClr w14:val="tx1"/>
                  </w14:solidFill>
                </w14:textFill>
              </w:rPr>
              <w:t>规划环境影响评价</w:t>
            </w:r>
            <w:r>
              <w:rPr>
                <w:rFonts w:hint="default" w:ascii="Times New Roman" w:hAnsi="Times New Roman" w:cs="Times New Roman"/>
                <w:color w:val="000000" w:themeColor="text1"/>
                <w:kern w:val="0"/>
                <w:szCs w:val="21"/>
                <w14:textFill>
                  <w14:solidFill>
                    <w14:schemeClr w14:val="tx1"/>
                  </w14:solidFill>
                </w14:textFill>
              </w:rPr>
              <w:t>符合性分析</w:t>
            </w:r>
          </w:p>
        </w:tc>
        <w:tc>
          <w:tcPr>
            <w:tcW w:w="7319" w:type="dxa"/>
            <w:gridSpan w:val="4"/>
            <w:tcMar>
              <w:top w:w="16" w:type="dxa"/>
              <w:left w:w="16" w:type="dxa"/>
              <w:right w:w="16" w:type="dxa"/>
            </w:tcMar>
            <w:vAlign w:val="center"/>
          </w:tcPr>
          <w:p>
            <w:pPr>
              <w:pStyle w:val="6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default" w:ascii="Times New Roman" w:hAnsi="Times New Roman" w:eastAsia="宋体" w:cs="Times New Roman"/>
                <w:color w:val="000000" w:themeColor="text1"/>
                <w:kern w:val="0"/>
                <w:lang w:val="en-US" w:eastAsia="zh-CN"/>
                <w14:textFill>
                  <w14:solidFill>
                    <w14:schemeClr w14:val="tx1"/>
                  </w14:solidFill>
                </w14:textFill>
              </w:rPr>
            </w:pPr>
            <w:r>
              <w:rPr>
                <w:rFonts w:hint="default" w:ascii="Times New Roman" w:hAnsi="Times New Roman" w:cs="Times New Roman"/>
                <w:color w:val="000000" w:themeColor="text1"/>
                <w:kern w:val="0"/>
                <w:lang w:val="en-US" w:eastAsia="zh-CN"/>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431" w:hRule="atLeast"/>
          <w:jc w:val="center"/>
        </w:trPr>
        <w:tc>
          <w:tcPr>
            <w:tcW w:w="1720" w:type="dxa"/>
            <w:tcMar>
              <w:top w:w="16" w:type="dxa"/>
              <w:left w:w="16" w:type="dxa"/>
              <w:right w:w="16" w:type="dxa"/>
            </w:tcMar>
            <w:vAlign w:val="center"/>
          </w:tcPr>
          <w:p>
            <w:pPr>
              <w:autoSpaceDE w:val="0"/>
              <w:autoSpaceDN w:val="0"/>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bookmarkStart w:id="5" w:name="_Hlk56690880"/>
            <w:r>
              <w:rPr>
                <w:rFonts w:hint="default" w:ascii="Times New Roman" w:hAnsi="Times New Roman" w:cs="Times New Roman"/>
                <w:color w:val="000000" w:themeColor="text1"/>
                <w:kern w:val="0"/>
                <w:szCs w:val="21"/>
                <w14:textFill>
                  <w14:solidFill>
                    <w14:schemeClr w14:val="tx1"/>
                  </w14:solidFill>
                </w14:textFill>
              </w:rPr>
              <w:t>其他符合性分析</w:t>
            </w:r>
            <w:bookmarkEnd w:id="5"/>
          </w:p>
        </w:tc>
        <w:tc>
          <w:tcPr>
            <w:tcW w:w="7319" w:type="dxa"/>
            <w:gridSpan w:val="4"/>
            <w:tcMar>
              <w:top w:w="16" w:type="dxa"/>
              <w:left w:w="16" w:type="dxa"/>
              <w:right w:w="16" w:type="dxa"/>
            </w:tcMar>
            <w:vAlign w:val="center"/>
          </w:tcPr>
          <w:p>
            <w:pPr>
              <w:adjustRightInd w:val="0"/>
              <w:spacing w:line="360" w:lineRule="auto"/>
              <w:ind w:firstLine="482" w:firstLineChars="200"/>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1、产业政策符合性</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根据国家发展和改革委员会令第21号《产业结构调整指导目录》（2019年本），本项目</w:t>
            </w:r>
            <w:r>
              <w:rPr>
                <w:rFonts w:hint="eastAsia" w:cs="Times New Roman"/>
                <w:color w:val="000000" w:themeColor="text1"/>
                <w:sz w:val="24"/>
                <w:lang w:val="en-US" w:eastAsia="zh-CN"/>
                <w14:textFill>
                  <w14:solidFill>
                    <w14:schemeClr w14:val="tx1"/>
                  </w14:solidFill>
                </w14:textFill>
              </w:rPr>
              <w:t>城市排涝和防洪工程</w:t>
            </w:r>
            <w:r>
              <w:rPr>
                <w:rFonts w:hint="default" w:ascii="Times New Roman" w:hAnsi="Times New Roman" w:cs="Times New Roman"/>
                <w:color w:val="000000" w:themeColor="text1"/>
                <w:sz w:val="24"/>
                <w14:textFill>
                  <w14:solidFill>
                    <w14:schemeClr w14:val="tx1"/>
                  </w14:solidFill>
                </w14:textFill>
              </w:rPr>
              <w:t>，属于“鼓励类”第二项“水利”第9条“城市积涝预警和防洪工程”。因此本项目的建设符合国家相关产业政策要求。</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同时，本项目已取得同心县发改局《同心县兴隆乡王团村村庄排涝工程初步设计的批复》，（同发改审发〔2023〕11号），项目符合国家及地方产业政策。</w:t>
            </w:r>
          </w:p>
          <w:p>
            <w:pPr>
              <w:adjustRightInd w:val="0"/>
              <w:spacing w:line="360" w:lineRule="auto"/>
              <w:ind w:firstLine="482" w:firstLineChars="200"/>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2、主体功能区规划符合性分析</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自治区人民政府关于印发宁夏回族自治区主体功能区规划的通知》（宁政发〔2014〕53号），自治区范围内主要功能区包括重点开发区域，限制开发区域（农产品主产区），限制开发区域（重点生态功能区）和禁止开发区域四类。本项目选址位于宁夏回族自治区吴忠市同心县韦州镇，属于限制开发区域（重点生态功能区），本项目为防洪除涝工程建筑，根据《自治区人民政府关于印发宁夏回族自治区主体功能区规划的通知》中“限制开发区域的开发管理原则”，本项目不属于限制和禁止建设项目，因此符合主体功能区规划。</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自治区发展改革委关于印发宁夏回族自治区国家重点生态功能区产业准入负面清单（试行）的通知》（宁发改规划〔2016〕426号），对自治区泾源县、彭阳县、西吉县、隆德县、海原县、同心县、同心县、红寺堡区等8个国家重点生态功能区制定了“负面清单”。负面清单所列产业分为禁止类和限制类两类。本项目为防洪除涝工程建筑，在生态保护区以外布局，不属于所列“负面清单”中的限制类和禁止类。</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综上所述本项目的建设符合宁夏回族自治区主体功能区划要求。</w:t>
            </w:r>
          </w:p>
          <w:p>
            <w:pPr>
              <w:adjustRightInd w:val="0"/>
              <w:spacing w:line="360" w:lineRule="auto"/>
              <w:ind w:firstLine="482" w:firstLineChars="200"/>
              <w:rPr>
                <w:rFonts w:hint="default" w:ascii="Times New Roman" w:hAnsi="Times New Roman" w:eastAsia="宋体" w:cs="Times New Roman"/>
                <w:b/>
                <w:bCs/>
                <w:color w:val="FF0000"/>
                <w:sz w:val="24"/>
                <w:lang w:val="en-US" w:eastAsia="zh-CN"/>
              </w:rPr>
            </w:pPr>
            <w:r>
              <w:rPr>
                <w:rFonts w:hint="default" w:ascii="Times New Roman" w:hAnsi="Times New Roman" w:eastAsia="宋体" w:cs="Times New Roman"/>
                <w:b/>
                <w:bCs/>
                <w:color w:val="FF0000"/>
                <w:sz w:val="24"/>
                <w:lang w:val="en-US" w:eastAsia="zh-CN"/>
              </w:rPr>
              <w:t>3、与</w:t>
            </w:r>
            <w:r>
              <w:rPr>
                <w:rFonts w:hint="default" w:ascii="Times New Roman" w:hAnsi="Times New Roman" w:eastAsia="宋体" w:cs="Times New Roman"/>
                <w:b/>
                <w:bCs/>
                <w:color w:val="FF0000"/>
                <w:sz w:val="24"/>
              </w:rPr>
              <w:t>《宁夏回族自治区水安全保障“十四五”规划》</w:t>
            </w:r>
            <w:r>
              <w:rPr>
                <w:rFonts w:hint="default" w:ascii="Times New Roman" w:hAnsi="Times New Roman" w:eastAsia="宋体" w:cs="Times New Roman"/>
                <w:b/>
                <w:bCs/>
                <w:color w:val="FF0000"/>
                <w:sz w:val="24"/>
                <w:lang w:eastAsia="zh-CN"/>
              </w:rPr>
              <w:t>符合性分析</w:t>
            </w:r>
          </w:p>
          <w:p>
            <w:pPr>
              <w:adjustRightInd w:val="0"/>
              <w:spacing w:line="360" w:lineRule="auto"/>
              <w:ind w:firstLine="480" w:firstLineChars="200"/>
              <w:rPr>
                <w:rFonts w:hint="default" w:ascii="Times New Roman" w:hAnsi="Times New Roman" w:eastAsia="宋体" w:cs="Times New Roman"/>
                <w:color w:val="FF0000"/>
                <w:sz w:val="24"/>
              </w:rPr>
            </w:pPr>
            <w:r>
              <w:rPr>
                <w:rFonts w:hint="default" w:ascii="Times New Roman" w:hAnsi="Times New Roman" w:eastAsia="宋体" w:cs="Times New Roman"/>
                <w:color w:val="FF0000"/>
                <w:sz w:val="24"/>
                <w:lang w:val="en-US" w:eastAsia="zh-CN"/>
              </w:rPr>
              <w:t>根据</w:t>
            </w:r>
            <w:r>
              <w:rPr>
                <w:rFonts w:hint="default" w:ascii="Times New Roman" w:hAnsi="Times New Roman" w:eastAsia="宋体" w:cs="Times New Roman"/>
                <w:color w:val="FF0000"/>
                <w:sz w:val="24"/>
              </w:rPr>
              <w:t>《宁夏回族自治区水安全保障“十四五”规划》</w:t>
            </w:r>
            <w:r>
              <w:rPr>
                <w:rFonts w:hint="default" w:ascii="Times New Roman" w:hAnsi="Times New Roman" w:eastAsia="宋体" w:cs="Times New Roman"/>
                <w:color w:val="FF0000"/>
                <w:sz w:val="24"/>
                <w:lang w:eastAsia="zh-CN"/>
              </w:rPr>
              <w:t>，</w:t>
            </w:r>
            <w:r>
              <w:rPr>
                <w:rFonts w:hint="default" w:ascii="Times New Roman" w:hAnsi="Times New Roman" w:eastAsia="宋体" w:cs="Times New Roman"/>
                <w:color w:val="FF0000"/>
                <w:sz w:val="24"/>
              </w:rPr>
              <w:t>按照水利基础设施高质量发展的要求，以国家水网建设为契机，以黄河大保护大治理为核心，以城乡供水网、农田灌排网为重点，以市场化、社会化、智慧化为手段，以黄河黑山峡水利枢纽等控制性工程为关键节点融入国家水网体系，统筹治水、兴水、用水、节水，织密自治区、市、县三级水网，加快构建河湖库坝连通、沟渠管网贯通、城乡山川覆盖、旱引汛蓄涝排、灌排通畅可控的现代水网体系，进一步提升水资源调控保障能力，提高水资源供给质量、效率和水平。</w:t>
            </w:r>
          </w:p>
          <w:p>
            <w:pPr>
              <w:adjustRightInd w:val="0"/>
              <w:spacing w:line="360" w:lineRule="auto"/>
              <w:ind w:firstLine="480" w:firstLineChars="200"/>
              <w:rPr>
                <w:rFonts w:hint="default" w:ascii="Times New Roman" w:hAnsi="Times New Roman" w:eastAsia="宋体" w:cs="Times New Roman"/>
                <w:color w:val="FF0000"/>
                <w:sz w:val="24"/>
              </w:rPr>
            </w:pPr>
            <w:r>
              <w:rPr>
                <w:rFonts w:hint="default" w:ascii="Times New Roman" w:hAnsi="Times New Roman" w:eastAsia="宋体" w:cs="Times New Roman"/>
                <w:color w:val="FF0000"/>
                <w:sz w:val="24"/>
                <w:lang w:val="en-US" w:eastAsia="zh-CN"/>
              </w:rPr>
              <w:t>同时，</w:t>
            </w:r>
            <w:r>
              <w:rPr>
                <w:rFonts w:hint="default" w:ascii="Times New Roman" w:hAnsi="Times New Roman" w:eastAsia="宋体" w:cs="Times New Roman"/>
                <w:color w:val="FF0000"/>
                <w:sz w:val="24"/>
              </w:rPr>
              <w:t>按照“防治结合、以防为主”的思路，突出贺兰山东麓防洪工程体系和重要支流防洪治理，统筹“沟、渠、库、堤、路”系统整治，对危害严重的重点山洪沟道进行治理，完善监测预警系统和群测群防体系，提升监测预警的精度和准确性。开展清水河综合治理。按照“源头涵养、城镇提升、郊野保护”的治理思路，以防洪保安、塌岸治理为重点，推进水生态保护修复及水环境治理。</w:t>
            </w:r>
          </w:p>
          <w:p>
            <w:pPr>
              <w:adjustRightInd w:val="0"/>
              <w:spacing w:line="360" w:lineRule="auto"/>
              <w:ind w:firstLine="480" w:firstLineChars="200"/>
              <w:rPr>
                <w:rFonts w:hint="default" w:ascii="Times New Roman" w:hAnsi="Times New Roman" w:eastAsia="宋体" w:cs="Times New Roman"/>
                <w:color w:val="FF0000"/>
                <w:sz w:val="24"/>
                <w:lang w:val="en-US" w:eastAsia="zh-CN"/>
              </w:rPr>
            </w:pPr>
            <w:r>
              <w:rPr>
                <w:rFonts w:hint="default" w:ascii="Times New Roman" w:hAnsi="Times New Roman" w:eastAsia="宋体" w:cs="Times New Roman"/>
                <w:color w:val="FF0000"/>
                <w:sz w:val="24"/>
              </w:rPr>
              <w:t>本项目为防洪设施工程建筑，</w:t>
            </w:r>
            <w:r>
              <w:rPr>
                <w:rFonts w:hint="default" w:ascii="Times New Roman" w:hAnsi="Times New Roman" w:eastAsia="宋体" w:cs="Times New Roman"/>
                <w:color w:val="FF0000"/>
                <w:sz w:val="24"/>
                <w:lang w:eastAsia="zh-CN"/>
              </w:rPr>
              <w:t>位于同心县兴隆乡王团村，</w:t>
            </w:r>
            <w:r>
              <w:rPr>
                <w:rFonts w:hint="default" w:ascii="Times New Roman" w:hAnsi="Times New Roman" w:eastAsia="宋体" w:cs="Times New Roman"/>
                <w:color w:val="FF0000"/>
                <w:sz w:val="24"/>
              </w:rPr>
              <w:t>符合</w:t>
            </w:r>
            <w:r>
              <w:rPr>
                <w:rFonts w:hint="default" w:ascii="Times New Roman" w:hAnsi="Times New Roman" w:eastAsia="宋体" w:cs="Times New Roman"/>
                <w:color w:val="FF0000"/>
                <w:sz w:val="24"/>
                <w:lang w:val="en-US" w:eastAsia="zh-CN"/>
              </w:rPr>
              <w:t>《</w:t>
            </w:r>
            <w:r>
              <w:rPr>
                <w:rFonts w:hint="default" w:ascii="Times New Roman" w:hAnsi="Times New Roman" w:eastAsia="宋体" w:cs="Times New Roman"/>
                <w:color w:val="FF0000"/>
                <w:sz w:val="24"/>
              </w:rPr>
              <w:t>宁夏回族自治区水安全保障“十四五”规划</w:t>
            </w:r>
            <w:r>
              <w:rPr>
                <w:rFonts w:hint="default" w:ascii="Times New Roman" w:hAnsi="Times New Roman" w:eastAsia="宋体" w:cs="Times New Roman"/>
                <w:color w:val="FF0000"/>
                <w:sz w:val="24"/>
                <w:lang w:val="en-US" w:eastAsia="zh-CN"/>
              </w:rPr>
              <w:t>》要求</w:t>
            </w:r>
            <w:r>
              <w:rPr>
                <w:rFonts w:hint="default" w:ascii="Times New Roman" w:hAnsi="Times New Roman" w:eastAsia="宋体" w:cs="Times New Roman"/>
                <w:color w:val="FF0000"/>
                <w:sz w:val="24"/>
              </w:rPr>
              <w:t>。</w:t>
            </w:r>
          </w:p>
          <w:p>
            <w:pPr>
              <w:adjustRightInd w:val="0"/>
              <w:spacing w:line="360" w:lineRule="auto"/>
              <w:ind w:firstLine="482" w:firstLineChars="200"/>
              <w:rPr>
                <w:rFonts w:hint="default" w:ascii="Times New Roman" w:hAnsi="Times New Roman" w:eastAsia="宋体" w:cs="Times New Roman"/>
                <w:b/>
                <w:bCs/>
                <w:color w:val="000000" w:themeColor="text1"/>
                <w:sz w:val="24"/>
                <w:lang w:val="en-US" w:eastAsia="zh-CN"/>
                <w14:textFill>
                  <w14:solidFill>
                    <w14:schemeClr w14:val="tx1"/>
                  </w14:solidFill>
                </w14:textFill>
              </w:rPr>
            </w:pPr>
            <w:commentRangeStart w:id="0"/>
            <w:r>
              <w:rPr>
                <w:rFonts w:hint="default" w:ascii="Times New Roman" w:hAnsi="Times New Roman" w:eastAsia="宋体" w:cs="Times New Roman"/>
                <w:b/>
                <w:bCs/>
                <w:color w:val="000000" w:themeColor="text1"/>
                <w:sz w:val="24"/>
                <w:lang w:val="en-US" w:eastAsia="zh-CN"/>
                <w14:textFill>
                  <w14:solidFill>
                    <w14:schemeClr w14:val="tx1"/>
                  </w14:solidFill>
                </w14:textFill>
              </w:rPr>
              <w:t>4、与《水利建设项目(河湖整治与防洪除涝工程)环境影响评价文件审批原则(试行)》符合性分析</w:t>
            </w:r>
          </w:p>
          <w:p>
            <w:pPr>
              <w:adjustRightInd w:val="0"/>
              <w:spacing w:line="360" w:lineRule="auto"/>
              <w:ind w:firstLine="480" w:firstLineChars="200"/>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本项目属于防洪除涝工程，与《水利建设项目（河湖整治与防洪除涝工程）环境影响评价文件审批原则（试行）》符合性分析见下表。</w:t>
            </w:r>
          </w:p>
          <w:p>
            <w:pPr>
              <w:adjustRightInd w:val="0"/>
              <w:spacing w:line="360" w:lineRule="auto"/>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表1-1与《水利建设项目(河湖整治与防洪除涝工程)环境影响评价文件</w:t>
            </w:r>
          </w:p>
          <w:p>
            <w:pPr>
              <w:adjustRightInd w:val="0"/>
              <w:spacing w:line="360" w:lineRule="auto"/>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审批原则(试行)》符合性分析</w:t>
            </w:r>
          </w:p>
          <w:tbl>
            <w:tblPr>
              <w:tblStyle w:val="2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2"/>
              <w:gridCol w:w="3786"/>
              <w:gridCol w:w="1819"/>
              <w:gridCol w:w="102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序号</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相关要求</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本项目情况</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第一条本原则适用于河湖整治与防洪除涝工程环境影响评价文件的审批，工程建设内容包括疏浚、堤防建设、闸坝闸站建设、岸线治理、水系连通、蓄（</w:t>
                  </w:r>
                  <w:r>
                    <w:rPr>
                      <w:rFonts w:hint="eastAsia" w:cs="Times New Roman"/>
                      <w:color w:val="000000" w:themeColor="text1"/>
                      <w:sz w:val="21"/>
                      <w:szCs w:val="21"/>
                      <w:lang w:val="en-US" w:eastAsia="zh-CN"/>
                      <w14:textFill>
                        <w14:solidFill>
                          <w14:schemeClr w14:val="tx1"/>
                        </w14:solidFill>
                      </w14:textFill>
                    </w:rPr>
                    <w:t>滞</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）洪区建设、排涝治理等（引调水、防洪水库等水利枢纽工程除外）。其他类似工程可参照执行。</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本项目属于防洪除涝工程，工程内容主要为堤防建设与城市排涝</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2</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二条项目符合环境保护相关法律法规和政策要求，与主体功能区规划、生态功能区划、水环境功能区划、水功能区划、生态环境保护规划、流域综合规划、防洪规划等相协调，满足相关规划环评要求。工程涉及岸线调整(治导线变化)、裁弯取直、围垦水面和占用河湖滩地等建设内容的，充分论证了方案环境可行性，最大程度保持了河湖自然形态，最大限度维护了河湖健康、生态系统功能和生物多样性。</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本项目符合环境保护相关法律法规和政策要求，与主体功能区规划、生态功能区划、水环境功能区划、水功能区划、生态环境保护规划、流域综合规划、防洪规划等相协调，满足相关规划环评要求。</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3</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三条工程选址选线、施工布置原则上不占用自然保护区风景名胜区、世界文化和自然遗产地以及其他生态保护红线等环境敏感区中法律法规禁止占用的区域，并与饮用水水源保护区的保护要求相协调。法律法规、政策另有规定的从其规定。</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工程选址选线、施工布置原则不占用自然保护区风景名胜区、世界文化和自然遗产地以及其他生态保护红线等环境敏感区中法律法规禁止占用的区域，对"下游饮用水水源保护区无明显影响</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4</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四条项目实施改变水动力条件或水文过程且对水质产生不利影响的，提出了工程优化调整、科学调度、实施区域流域水污染防治等措施。对地下水环境产生不利影响或次生环境影响的，提出了优化工程设计、导排、防护等针对性的防治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在采取上述措施后，对水环境的不利影响能够得到缓解和控制，居民用水安全能够得到保障，相关区域不会出现显著的土壤潜育化、沼泽化、盐碱化等次生环境问题。</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项目实施不会改变水动力条件或水文过程。</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5</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第五条项目对鱼类等水生生物的徊游通道及“三场”等重要生境、物种多样性及资源量等产生不利影响的，提出了下泄生态流量、恢复鱼类徊游通道、采用生态友好型护岸(坡、底)、生态修复、增殖放流等措施。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在采取上述措施后，对水生生物的不利影响能够得到缓解和控制，不会造成原有珍稀濒危保护、区域特有或重要经济水生生物在相关河段消失，不会对相关河段水生生态系统造成重大不利影响。</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本项目不涉及项目对鱼类等水生生物的徊游通道及三场”等重要生境</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6</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六条项目对湿地生态系统结构和功能、河湖生态缓冲带造成不利影响的，提出了优化工程设计及调度运行方案、生态修复等措施。对珍稀濒危保护植物造成不利影响的，提出了避让、原位防护、移栽等措施。对陆生珍稀濒危保护动物及其生境造成不利影响的，提出了避让、救护、迁徙廊道构建、生境再造等措施。对景观产生不利影响的，提出了避让、优化设计、景观塑造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在采取上述措施后，对湿地以及陆生动植物的不利影响能够得到缓解和控制，与区域景观相协调，不会造成原有珍稀濒危保护动植物在相关区域消失，不会对陆生生态系统造成重大不利影响。</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本项目不涉及湿地生态系统结构和功能、河湖生态缓冲带，施工范围不涉及珍稀濒危保护植物</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7</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七条项目施工组织方案具有环境合理性，对料场、弃土（渣）场等施工场地提出了水土流失防治和生态修复等措施。根据环境保护相关标准和要求，对施工期各类废（污）水、扬尘、废气、噪声、固体废物等提出了防治或处置措施。其中，涉水施工涉及饮用水水源保护区或取水口并可能对水质造成不利影响的，提出了避让、施工方案优化、污染物控制等措施;涉水施工对鱼类等水生生物及其重要生境造成不利影响的，提出了避让、施工方案优化、控制施工噪声等措施；针对清淤、疏浚等产生的淤泥，提出了符合相关规定的处置或综合利用方案。</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在采取上述措施后，施工期的不利环境影响能够得到缓解和控制，不会对周围环境和敏感保护目标造成重大不利影响。</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本项目周边生态环境良好，无明显环境制约因素，施工期采取了有效的生态环境保护措施。项目不涉及饮用水水源保护区或取水口；涉水施工期较短，不涉及清淤、疏浚，无淤泥产生</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8</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第八条项目移民安置的选址和建设方式具有环境合理性，提出了生态保护、污水处理、固体废物处置等措施。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针对蓄滞洪区的环境污染、新增占地涉及污染场地等，提出了环境管理对策建议。</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本项目不涉及移民安置、蓄滞洪区环境污染、新增占地涉及污染场地</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9</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第九条项目存在河湖水质污染、富营养化或外来物种入侵等环境风险的，提出了针对性的风险防范措施以及环境应急预案编制、建立必要的应急联动机制等要求。</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项目为新建堤防工程及河湖整治，底泥监测结果表明河段不涉及重金属污染，本项目不存在河湖水质污染、富营养化或外来物种入侵等环境风险</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10</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第十条改、扩建项目在全面梳理了与项目有关的现有工程环境问题基础上，提出了与项目相适应的“以新带老”措施。</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本项目为新建项目</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11</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十一条按相关导则及规定要求,制定了水环境、生态等环境监测计划，明确了监测网点、因子、频次等有关要求，提出了开展环境影响后评价及根据监测评估结果优化环境保护措施的要求。根据需要和相关规定，提出了环境保护设计、开展相关科学研究、环境管理等要求。</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本次评价按相关导则及规定要求，制定了水环境、大气、声环境等环境监测计划，明确了监测网点、因子、频次等有关要求，提出了根据监测评估结果优化环境保护措施的要求</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12</w:t>
                  </w:r>
                </w:p>
              </w:tc>
              <w:tc>
                <w:tcPr>
                  <w:tcW w:w="2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第十二条对环境保护措施进行了深入论证，建设单位主体责任、投资估算、时间节点、预期效果明确，确保科学有效、安全可行、绿色协调。</w:t>
                  </w:r>
                </w:p>
              </w:tc>
              <w:tc>
                <w:tcPr>
                  <w:tcW w:w="12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本环评对环境保护措施进行了深入论证。建设单位主体责任、投资估算、时间节点、预期效果明确，确保科学有效、安全可行、绿色协调。</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符合</w:t>
                  </w:r>
                  <w:commentRangeEnd w:id="0"/>
                  <w:r>
                    <w:rPr>
                      <w:rFonts w:hint="default" w:ascii="Times New Roman" w:hAnsi="Times New Roman" w:eastAsia="宋体" w:cs="Times New Roman"/>
                      <w:color w:val="000000" w:themeColor="text1"/>
                      <w:sz w:val="21"/>
                      <w:szCs w:val="21"/>
                      <w14:textFill>
                        <w14:solidFill>
                          <w14:schemeClr w14:val="tx1"/>
                        </w14:solidFill>
                      </w14:textFill>
                    </w:rPr>
                    <w:commentReference w:id="0"/>
                  </w:r>
                </w:p>
              </w:tc>
            </w:tr>
          </w:tbl>
          <w:p>
            <w:pPr>
              <w:adjustRightInd w:val="0"/>
              <w:spacing w:line="360" w:lineRule="auto"/>
              <w:ind w:firstLine="482" w:firstLineChars="200"/>
              <w:rPr>
                <w:rFonts w:hint="default" w:ascii="Times New Roman" w:hAnsi="Times New Roman" w:eastAsia="宋体" w:cs="Times New Roman"/>
                <w:b/>
                <w:bCs/>
                <w:color w:val="000000" w:themeColor="text1"/>
                <w:sz w:val="24"/>
                <w:lang w:val="en-US" w:eastAsia="zh-CN"/>
                <w14:textFill>
                  <w14:solidFill>
                    <w14:schemeClr w14:val="tx1"/>
                  </w14:solidFill>
                </w14:textFill>
              </w:rPr>
            </w:pPr>
            <w:commentRangeStart w:id="1"/>
            <w:r>
              <w:rPr>
                <w:rFonts w:hint="default" w:ascii="Times New Roman" w:hAnsi="Times New Roman" w:eastAsia="宋体" w:cs="Times New Roman"/>
                <w:b/>
                <w:bCs/>
                <w:color w:val="000000" w:themeColor="text1"/>
                <w:sz w:val="24"/>
                <w:lang w:val="en-US" w:eastAsia="zh-CN"/>
                <w14:textFill>
                  <w14:solidFill>
                    <w14:schemeClr w14:val="tx1"/>
                  </w14:solidFill>
                </w14:textFill>
              </w:rPr>
              <w:t>5、与《</w:t>
            </w:r>
            <w:r>
              <w:rPr>
                <w:rFonts w:hint="default" w:ascii="Times New Roman" w:hAnsi="Times New Roman" w:eastAsia="宋体" w:cs="Times New Roman"/>
                <w:b/>
                <w:bCs/>
                <w:color w:val="000000" w:themeColor="text1"/>
                <w:sz w:val="24"/>
                <w14:textFill>
                  <w14:solidFill>
                    <w14:schemeClr w14:val="tx1"/>
                  </w14:solidFill>
                </w14:textFill>
              </w:rPr>
              <w:t>宁夏回族自治区国民经济和社会发展第十四个五年规划和2035年远景目标纲要</w:t>
            </w:r>
            <w:r>
              <w:rPr>
                <w:rFonts w:hint="default" w:ascii="Times New Roman" w:hAnsi="Times New Roman" w:eastAsia="宋体" w:cs="Times New Roman"/>
                <w:b/>
                <w:bCs/>
                <w:color w:val="000000" w:themeColor="text1"/>
                <w:sz w:val="24"/>
                <w:lang w:val="en-US" w:eastAsia="zh-CN"/>
                <w14:textFill>
                  <w14:solidFill>
                    <w14:schemeClr w14:val="tx1"/>
                  </w14:solidFill>
                </w14:textFill>
              </w:rPr>
              <w:t>》符合性分析</w:t>
            </w:r>
          </w:p>
          <w:p>
            <w:pPr>
              <w:adjustRightInd w:val="0"/>
              <w:spacing w:line="360" w:lineRule="auto"/>
              <w:ind w:firstLine="480" w:firstLineChars="200"/>
              <w:rPr>
                <w:rFonts w:hint="default" w:ascii="Times New Roman" w:hAnsi="Times New Roman" w:eastAsia="宋体" w:cs="Times New Roman"/>
                <w:color w:val="000000" w:themeColor="text1"/>
                <w:sz w:val="24"/>
                <w:lang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根据《</w:t>
            </w:r>
            <w:r>
              <w:rPr>
                <w:rFonts w:hint="default" w:ascii="Times New Roman" w:hAnsi="Times New Roman" w:eastAsia="宋体" w:cs="Times New Roman"/>
                <w:color w:val="000000" w:themeColor="text1"/>
                <w:sz w:val="24"/>
                <w14:textFill>
                  <w14:solidFill>
                    <w14:schemeClr w14:val="tx1"/>
                  </w14:solidFill>
                </w14:textFill>
              </w:rPr>
              <w:t>宁夏回族自治区国民经济和社会发展第十四个五年规划和2035年远景目标纲要</w:t>
            </w:r>
            <w:r>
              <w:rPr>
                <w:rFonts w:hint="default" w:ascii="Times New Roman" w:hAnsi="Times New Roman" w:eastAsia="宋体" w:cs="Times New Roman"/>
                <w:color w:val="000000" w:themeColor="text1"/>
                <w:sz w:val="24"/>
                <w:lang w:val="en-US" w:eastAsia="zh-CN"/>
                <w14:textFill>
                  <w14:solidFill>
                    <w14:schemeClr w14:val="tx1"/>
                  </w14:solidFill>
                </w14:textFill>
              </w:rPr>
              <w:t>》中发展目标相关内容：“</w:t>
            </w:r>
            <w:r>
              <w:rPr>
                <w:rFonts w:hint="default" w:ascii="Times New Roman" w:hAnsi="Times New Roman" w:eastAsia="宋体" w:cs="Times New Roman"/>
                <w:color w:val="000000" w:themeColor="text1"/>
                <w:sz w:val="24"/>
                <w14:textFill>
                  <w14:solidFill>
                    <w14:schemeClr w14:val="tx1"/>
                  </w14:solidFill>
                </w14:textFill>
              </w:rPr>
              <w:t>实施两岸堤防、河道控导、滩区治理工程，加强黄河宁夏段综合治理，打造百年防堤，实现宁夏境内水患、堤防安全隐患基本消除，河道河槽河床、排洪输沙功能基本稳定，保障黄河长久安澜。</w:t>
            </w:r>
            <w:r>
              <w:rPr>
                <w:rFonts w:hint="default" w:ascii="Times New Roman" w:hAnsi="Times New Roman" w:eastAsia="宋体" w:cs="Times New Roman"/>
                <w:color w:val="000000" w:themeColor="text1"/>
                <w:sz w:val="24"/>
                <w:lang w:eastAsia="zh-CN"/>
                <w14:textFill>
                  <w14:solidFill>
                    <w14:schemeClr w14:val="tx1"/>
                  </w14:solidFill>
                </w14:textFill>
              </w:rPr>
              <w:t>”</w:t>
            </w:r>
          </w:p>
          <w:p>
            <w:pPr>
              <w:adjustRightInd w:val="0"/>
              <w:spacing w:line="360" w:lineRule="auto"/>
              <w:ind w:firstLine="480" w:firstLineChars="200"/>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本项目为同心县兴隆乡王团村防洪治理工程，其建设可加强王团村河道防洪能力，可以减小洪水对两岸的威胁，符合《</w:t>
            </w:r>
            <w:r>
              <w:rPr>
                <w:rFonts w:hint="default" w:ascii="Times New Roman" w:hAnsi="Times New Roman" w:eastAsia="宋体" w:cs="Times New Roman"/>
                <w:color w:val="000000" w:themeColor="text1"/>
                <w:sz w:val="24"/>
                <w14:textFill>
                  <w14:solidFill>
                    <w14:schemeClr w14:val="tx1"/>
                  </w14:solidFill>
                </w14:textFill>
              </w:rPr>
              <w:t>宁夏回族自治区国民经济和社会发展第十四个五年规划和2035年远景目标纲要</w:t>
            </w:r>
            <w:r>
              <w:rPr>
                <w:rFonts w:hint="default" w:ascii="Times New Roman" w:hAnsi="Times New Roman" w:eastAsia="宋体" w:cs="Times New Roman"/>
                <w:color w:val="000000" w:themeColor="text1"/>
                <w:sz w:val="24"/>
                <w:lang w:val="en-US" w:eastAsia="zh-CN"/>
                <w14:textFill>
                  <w14:solidFill>
                    <w14:schemeClr w14:val="tx1"/>
                  </w14:solidFill>
                </w14:textFill>
              </w:rPr>
              <w:t>》相关要求。</w:t>
            </w:r>
          </w:p>
          <w:p>
            <w:pPr>
              <w:adjustRightInd w:val="0"/>
              <w:spacing w:line="360" w:lineRule="auto"/>
              <w:ind w:firstLine="482" w:firstLineChars="200"/>
              <w:rPr>
                <w:rFonts w:hint="default" w:ascii="Times New Roman" w:hAnsi="Times New Roman" w:eastAsia="宋体" w:cs="Times New Roman"/>
                <w:b/>
                <w:bCs/>
                <w:color w:val="000000" w:themeColor="text1"/>
                <w:sz w:val="24"/>
                <w:lang w:val="en-US" w:eastAsia="zh-CN"/>
                <w14:textFill>
                  <w14:solidFill>
                    <w14:schemeClr w14:val="tx1"/>
                  </w14:solidFill>
                </w14:textFill>
              </w:rPr>
            </w:pPr>
            <w:r>
              <w:rPr>
                <w:rFonts w:hint="default" w:ascii="Times New Roman" w:hAnsi="Times New Roman" w:eastAsia="宋体" w:cs="Times New Roman"/>
                <w:b/>
                <w:bCs/>
                <w:color w:val="000000" w:themeColor="text1"/>
                <w:sz w:val="24"/>
                <w:lang w:val="en-US" w:eastAsia="zh-CN"/>
                <w14:textFill>
                  <w14:solidFill>
                    <w14:schemeClr w14:val="tx1"/>
                  </w14:solidFill>
                </w14:textFill>
              </w:rPr>
              <w:t>6、与《</w:t>
            </w:r>
            <w:r>
              <w:rPr>
                <w:rFonts w:hint="default" w:ascii="Times New Roman" w:hAnsi="Times New Roman" w:eastAsia="宋体" w:cs="Times New Roman"/>
                <w:b/>
                <w:bCs/>
                <w:color w:val="000000" w:themeColor="text1"/>
                <w:sz w:val="24"/>
                <w14:textFill>
                  <w14:solidFill>
                    <w14:schemeClr w14:val="tx1"/>
                  </w14:solidFill>
                </w14:textFill>
              </w:rPr>
              <w:t>吴忠市国民经济和社会发展第十</w:t>
            </w:r>
            <w:r>
              <w:rPr>
                <w:rFonts w:hint="default" w:ascii="Times New Roman" w:hAnsi="Times New Roman" w:eastAsia="宋体" w:cs="Times New Roman"/>
                <w:b/>
                <w:bCs/>
                <w:color w:val="000000" w:themeColor="text1"/>
                <w:sz w:val="24"/>
                <w:lang w:eastAsia="zh-CN"/>
                <w14:textFill>
                  <w14:solidFill>
                    <w14:schemeClr w14:val="tx1"/>
                  </w14:solidFill>
                </w14:textFill>
              </w:rPr>
              <w:t>四</w:t>
            </w:r>
            <w:r>
              <w:rPr>
                <w:rFonts w:hint="default" w:ascii="Times New Roman" w:hAnsi="Times New Roman" w:eastAsia="宋体" w:cs="Times New Roman"/>
                <w:b/>
                <w:bCs/>
                <w:color w:val="000000" w:themeColor="text1"/>
                <w:sz w:val="24"/>
                <w14:textFill>
                  <w14:solidFill>
                    <w14:schemeClr w14:val="tx1"/>
                  </w14:solidFill>
                </w14:textFill>
              </w:rPr>
              <w:t>个五年规划</w:t>
            </w:r>
            <w:r>
              <w:rPr>
                <w:rFonts w:hint="default" w:ascii="Times New Roman" w:hAnsi="Times New Roman" w:eastAsia="宋体" w:cs="Times New Roman"/>
                <w:b/>
                <w:bCs/>
                <w:color w:val="000000" w:themeColor="text1"/>
                <w:sz w:val="24"/>
                <w:lang w:val="en-US" w:eastAsia="zh-CN"/>
                <w14:textFill>
                  <w14:solidFill>
                    <w14:schemeClr w14:val="tx1"/>
                  </w14:solidFill>
                </w14:textFill>
              </w:rPr>
              <w:t>和二〇三五年远景目标</w:t>
            </w:r>
            <w:r>
              <w:rPr>
                <w:rFonts w:hint="default" w:ascii="Times New Roman" w:hAnsi="Times New Roman" w:eastAsia="宋体" w:cs="Times New Roman"/>
                <w:b/>
                <w:bCs/>
                <w:color w:val="000000" w:themeColor="text1"/>
                <w:sz w:val="24"/>
                <w14:textFill>
                  <w14:solidFill>
                    <w14:schemeClr w14:val="tx1"/>
                  </w14:solidFill>
                </w14:textFill>
              </w:rPr>
              <w:t>纲要</w:t>
            </w:r>
            <w:r>
              <w:rPr>
                <w:rFonts w:hint="default" w:ascii="Times New Roman" w:hAnsi="Times New Roman" w:eastAsia="宋体" w:cs="Times New Roman"/>
                <w:b/>
                <w:bCs/>
                <w:color w:val="000000" w:themeColor="text1"/>
                <w:sz w:val="24"/>
                <w:lang w:val="en-US" w:eastAsia="zh-CN"/>
                <w14:textFill>
                  <w14:solidFill>
                    <w14:schemeClr w14:val="tx1"/>
                  </w14:solidFill>
                </w14:textFill>
              </w:rPr>
              <w:t>》符合性分析</w:t>
            </w:r>
          </w:p>
          <w:p>
            <w:pPr>
              <w:adjustRightInd w:val="0"/>
              <w:spacing w:line="360" w:lineRule="auto"/>
              <w:ind w:firstLine="480" w:firstLineChars="200"/>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根据《</w:t>
            </w:r>
            <w:r>
              <w:rPr>
                <w:rFonts w:hint="default" w:ascii="Times New Roman" w:hAnsi="Times New Roman" w:eastAsia="宋体" w:cs="Times New Roman"/>
                <w:color w:val="000000" w:themeColor="text1"/>
                <w:sz w:val="24"/>
                <w14:textFill>
                  <w14:solidFill>
                    <w14:schemeClr w14:val="tx1"/>
                  </w14:solidFill>
                </w14:textFill>
              </w:rPr>
              <w:t>吴忠市国民经济和社会发展第十</w:t>
            </w:r>
            <w:r>
              <w:rPr>
                <w:rFonts w:hint="default" w:ascii="Times New Roman" w:hAnsi="Times New Roman" w:eastAsia="宋体" w:cs="Times New Roman"/>
                <w:color w:val="000000" w:themeColor="text1"/>
                <w:sz w:val="24"/>
                <w:lang w:eastAsia="zh-CN"/>
                <w14:textFill>
                  <w14:solidFill>
                    <w14:schemeClr w14:val="tx1"/>
                  </w14:solidFill>
                </w14:textFill>
              </w:rPr>
              <w:t>四</w:t>
            </w:r>
            <w:r>
              <w:rPr>
                <w:rFonts w:hint="default" w:ascii="Times New Roman" w:hAnsi="Times New Roman" w:eastAsia="宋体" w:cs="Times New Roman"/>
                <w:color w:val="000000" w:themeColor="text1"/>
                <w:sz w:val="24"/>
                <w14:textFill>
                  <w14:solidFill>
                    <w14:schemeClr w14:val="tx1"/>
                  </w14:solidFill>
                </w14:textFill>
              </w:rPr>
              <w:t>个五年规划</w:t>
            </w:r>
            <w:r>
              <w:rPr>
                <w:rFonts w:hint="default" w:ascii="Times New Roman" w:hAnsi="Times New Roman" w:eastAsia="宋体" w:cs="Times New Roman"/>
                <w:color w:val="000000" w:themeColor="text1"/>
                <w:sz w:val="24"/>
                <w:lang w:val="en-US" w:eastAsia="zh-CN"/>
                <w14:textFill>
                  <w14:solidFill>
                    <w14:schemeClr w14:val="tx1"/>
                  </w14:solidFill>
                </w14:textFill>
              </w:rPr>
              <w:t>和二〇三五年远景目标</w:t>
            </w:r>
            <w:r>
              <w:rPr>
                <w:rFonts w:hint="default" w:ascii="Times New Roman" w:hAnsi="Times New Roman" w:eastAsia="宋体" w:cs="Times New Roman"/>
                <w:color w:val="000000" w:themeColor="text1"/>
                <w:sz w:val="24"/>
                <w14:textFill>
                  <w14:solidFill>
                    <w14:schemeClr w14:val="tx1"/>
                  </w14:solidFill>
                </w14:textFill>
              </w:rPr>
              <w:t>纲要</w:t>
            </w:r>
            <w:r>
              <w:rPr>
                <w:rFonts w:hint="default" w:ascii="Times New Roman" w:hAnsi="Times New Roman" w:eastAsia="宋体" w:cs="Times New Roman"/>
                <w:color w:val="000000" w:themeColor="text1"/>
                <w:sz w:val="24"/>
                <w:lang w:val="en-US" w:eastAsia="zh-CN"/>
                <w14:textFill>
                  <w14:solidFill>
                    <w14:schemeClr w14:val="tx1"/>
                  </w14:solidFill>
                </w14:textFill>
              </w:rPr>
              <w:t>》中加快河段堤防安全标准区建设要求：“按照一般河段50年一遇、城市河段100年一遇防洪标准，提标改造青铜峡市、利通区两岸堤防，构筑稳固防线，全市境内水患堤防隐患基本消除。”</w:t>
            </w:r>
          </w:p>
          <w:p>
            <w:pPr>
              <w:adjustRightInd w:val="0"/>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本项目为同心县兴隆乡王团村防洪治理工程，其建设可加强王团村河道防洪能力，可以减小洪水对两岸的威胁，符合《</w:t>
            </w:r>
            <w:r>
              <w:rPr>
                <w:rFonts w:hint="default" w:ascii="Times New Roman" w:hAnsi="Times New Roman" w:eastAsia="宋体" w:cs="Times New Roman"/>
                <w:color w:val="000000" w:themeColor="text1"/>
                <w:sz w:val="24"/>
                <w14:textFill>
                  <w14:solidFill>
                    <w14:schemeClr w14:val="tx1"/>
                  </w14:solidFill>
                </w14:textFill>
              </w:rPr>
              <w:t>吴忠市国民经济和社会发展第十</w:t>
            </w:r>
            <w:r>
              <w:rPr>
                <w:rFonts w:hint="default" w:ascii="Times New Roman" w:hAnsi="Times New Roman" w:eastAsia="宋体" w:cs="Times New Roman"/>
                <w:color w:val="000000" w:themeColor="text1"/>
                <w:sz w:val="24"/>
                <w:lang w:eastAsia="zh-CN"/>
                <w14:textFill>
                  <w14:solidFill>
                    <w14:schemeClr w14:val="tx1"/>
                  </w14:solidFill>
                </w14:textFill>
              </w:rPr>
              <w:t>四</w:t>
            </w:r>
            <w:r>
              <w:rPr>
                <w:rFonts w:hint="default" w:ascii="Times New Roman" w:hAnsi="Times New Roman" w:eastAsia="宋体" w:cs="Times New Roman"/>
                <w:color w:val="000000" w:themeColor="text1"/>
                <w:sz w:val="24"/>
                <w14:textFill>
                  <w14:solidFill>
                    <w14:schemeClr w14:val="tx1"/>
                  </w14:solidFill>
                </w14:textFill>
              </w:rPr>
              <w:t>个五年规划</w:t>
            </w:r>
            <w:r>
              <w:rPr>
                <w:rFonts w:hint="default" w:ascii="Times New Roman" w:hAnsi="Times New Roman" w:eastAsia="宋体" w:cs="Times New Roman"/>
                <w:color w:val="000000" w:themeColor="text1"/>
                <w:sz w:val="24"/>
                <w:lang w:val="en-US" w:eastAsia="zh-CN"/>
                <w14:textFill>
                  <w14:solidFill>
                    <w14:schemeClr w14:val="tx1"/>
                  </w14:solidFill>
                </w14:textFill>
              </w:rPr>
              <w:t>和二〇三五年远景目标</w:t>
            </w:r>
            <w:r>
              <w:rPr>
                <w:rFonts w:hint="default" w:ascii="Times New Roman" w:hAnsi="Times New Roman" w:eastAsia="宋体" w:cs="Times New Roman"/>
                <w:color w:val="000000" w:themeColor="text1"/>
                <w:sz w:val="24"/>
                <w14:textFill>
                  <w14:solidFill>
                    <w14:schemeClr w14:val="tx1"/>
                  </w14:solidFill>
                </w14:textFill>
              </w:rPr>
              <w:t>纲要</w:t>
            </w:r>
            <w:r>
              <w:rPr>
                <w:rFonts w:hint="default" w:ascii="Times New Roman" w:hAnsi="Times New Roman" w:eastAsia="宋体" w:cs="Times New Roman"/>
                <w:color w:val="000000" w:themeColor="text1"/>
                <w:sz w:val="24"/>
                <w:lang w:val="en-US" w:eastAsia="zh-CN"/>
                <w14:textFill>
                  <w14:solidFill>
                    <w14:schemeClr w14:val="tx1"/>
                  </w14:solidFill>
                </w14:textFill>
              </w:rPr>
              <w:t>》相关要求。</w:t>
            </w:r>
            <w:commentRangeEnd w:id="1"/>
            <w:r>
              <w:rPr>
                <w:rFonts w:hint="default" w:ascii="Times New Roman" w:hAnsi="Times New Roman" w:eastAsia="宋体" w:cs="Times New Roman"/>
                <w:color w:val="000000" w:themeColor="text1"/>
                <w:sz w:val="24"/>
                <w14:textFill>
                  <w14:solidFill>
                    <w14:schemeClr w14:val="tx1"/>
                  </w14:solidFill>
                </w14:textFill>
              </w:rPr>
              <w:commentReference w:id="1"/>
            </w:r>
          </w:p>
          <w:p>
            <w:pPr>
              <w:adjustRightInd w:val="0"/>
              <w:snapToGrid w:val="0"/>
              <w:spacing w:line="360" w:lineRule="auto"/>
              <w:ind w:firstLine="482" w:firstLineChars="200"/>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bCs/>
                <w:color w:val="000000" w:themeColor="text1"/>
                <w:sz w:val="24"/>
                <w:lang w:val="en-US" w:eastAsia="zh-CN"/>
                <w14:textFill>
                  <w14:solidFill>
                    <w14:schemeClr w14:val="tx1"/>
                  </w14:solidFill>
                </w14:textFill>
              </w:rPr>
              <w:t>7</w:t>
            </w:r>
            <w:r>
              <w:rPr>
                <w:rFonts w:hint="default" w:ascii="Times New Roman" w:hAnsi="Times New Roman" w:cs="Times New Roman"/>
                <w:b/>
                <w:bCs/>
                <w:color w:val="000000" w:themeColor="text1"/>
                <w:sz w:val="24"/>
                <w14:textFill>
                  <w14:solidFill>
                    <w14:schemeClr w14:val="tx1"/>
                  </w14:solidFill>
                </w14:textFill>
              </w:rPr>
              <w:t>、“三线一单”符合性分析</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（1）生态保护红线</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1）自治区生态保护红线</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2018年6月30日，宁夏回族自治区人民政府发布《自治区人民政府关于发布宁夏回族自治区生态保护红线的通知》（宁政发〔2018〕23号），公布了宁夏回族自治区生态保护红线分布情况。</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宁夏回族自治区生态保护红线包括生物多样性维护、水源涵养、防风固沙、水土流失、水土保持5种生态功能类型，呈现9个片区分布。</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本项目属于“线性”综合治理，河道防洪整治的线路布局路径较短</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14:textFill>
                  <w14:solidFill>
                    <w14:schemeClr w14:val="tx1"/>
                  </w14:solidFill>
                </w14:textFill>
              </w:rPr>
              <w:t>不穿越宁夏回族自治区生态保护红线边缘区域。</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关于以改善环境质量为核心加强环境影响评价管理的通知》（环环评[2016]150号文）要求：“一、强化“三线一单”约束作用。除受自然条件限制、确实无法避让的铁路、公路、航道、防洪、管道、干渠、通讯、输变电等重要基础设施项目外，在生态保护红线范围内，严控各类开发建设活动，依法不予审批新建工业项目和矿产开发项目的环评文件。”根据《宁夏回族自治区生态保护红线管理条例》规定：“第十六条自治区人民政府生态环境主管部门应当会同有关部门和设区的市、县（市、区）人民政府，依照法律、法规和国家有关规定制定生态环保红线准入清单，报自治区人民政府批准后公布执行”、“第十八条生态保护红线内已有的交通、通信、能源管道、输电线路、防洪水利等设施应当依法管理、运行和维护。”</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2）吴忠市生态保护红线</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lang w:eastAsia="zh-CN"/>
                <w14:textFill>
                  <w14:solidFill>
                    <w14:schemeClr w14:val="tx1"/>
                  </w14:solidFill>
                </w14:textFill>
              </w:rPr>
              <w:t>根据《</w:t>
            </w:r>
            <w:r>
              <w:rPr>
                <w:rFonts w:hint="default" w:ascii="Times New Roman" w:hAnsi="Times New Roman" w:cs="Times New Roman"/>
                <w:color w:val="000000" w:themeColor="text1"/>
                <w:sz w:val="24"/>
                <w:lang w:val="en-US" w:eastAsia="zh-CN"/>
                <w14:textFill>
                  <w14:solidFill>
                    <w14:schemeClr w14:val="tx1"/>
                  </w14:solidFill>
                </w14:textFill>
              </w:rPr>
              <w:t>吴忠市关于实施“三线一单”生态环境分区管控的意见</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lang w:val="en-US" w:eastAsia="zh-CN"/>
                <w14:textFill>
                  <w14:solidFill>
                    <w14:schemeClr w14:val="tx1"/>
                  </w14:solidFill>
                </w14:textFill>
              </w:rPr>
              <w:t>生态保护红线原则上按禁止开发区域的要求进行管理。严禁不符合主体功能定位的各类开发活动，严禁任意改变用途。确保生态保护红线内“生态功能不降低，面积不减少，性质不改变”。生态保护红线外的生态空间（一般生态空间）原则上按限制开发区域的要求进行管理。</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同心县态空间总面积4434.80km</w:t>
            </w:r>
            <w:r>
              <w:rPr>
                <w:rFonts w:hint="default" w:ascii="Times New Roman" w:hAnsi="Times New Roman" w:cs="Times New Roman"/>
                <w:color w:val="000000" w:themeColor="text1"/>
                <w:sz w:val="24"/>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4"/>
                <w:lang w:val="en-US" w:eastAsia="zh-CN"/>
                <w14:textFill>
                  <w14:solidFill>
                    <w14:schemeClr w14:val="tx1"/>
                  </w14:solidFill>
                </w14:textFill>
              </w:rPr>
              <w:t>，生态保护红线1139.89km</w:t>
            </w:r>
            <w:r>
              <w:rPr>
                <w:rFonts w:hint="default" w:ascii="Times New Roman" w:hAnsi="Times New Roman" w:cs="Times New Roman"/>
                <w:color w:val="000000" w:themeColor="text1"/>
                <w:sz w:val="24"/>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4"/>
                <w:lang w:val="en-US" w:eastAsia="zh-CN"/>
                <w14:textFill>
                  <w14:solidFill>
                    <w14:schemeClr w14:val="tx1"/>
                  </w14:solidFill>
                </w14:textFill>
              </w:rPr>
              <w:t>，一般生态空间439.60km</w:t>
            </w:r>
            <w:r>
              <w:rPr>
                <w:rFonts w:hint="default" w:ascii="Times New Roman" w:hAnsi="Times New Roman" w:cs="Times New Roman"/>
                <w:color w:val="000000" w:themeColor="text1"/>
                <w:sz w:val="24"/>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4"/>
                <w:lang w:val="en-US" w:eastAsia="zh-CN"/>
                <w14:textFill>
                  <w14:solidFill>
                    <w14:schemeClr w14:val="tx1"/>
                  </w14:solidFill>
                </w14:textFill>
              </w:rPr>
              <w:t>，</w:t>
            </w:r>
            <w:r>
              <w:rPr>
                <w:rFonts w:hint="default" w:ascii="Times New Roman" w:hAnsi="Times New Roman" w:cs="Times New Roman"/>
                <w:color w:val="000000" w:themeColor="text1"/>
                <w:sz w:val="24"/>
                <w:lang w:eastAsia="zh-CN"/>
                <w14:textFill>
                  <w14:solidFill>
                    <w14:schemeClr w14:val="tx1"/>
                  </w14:solidFill>
                </w14:textFill>
              </w:rPr>
              <w:t>生态空间总面积</w:t>
            </w:r>
            <w:r>
              <w:rPr>
                <w:rFonts w:hint="default" w:ascii="Times New Roman" w:hAnsi="Times New Roman" w:cs="Times New Roman"/>
                <w:color w:val="000000" w:themeColor="text1"/>
                <w:sz w:val="24"/>
                <w:lang w:val="en-US" w:eastAsia="zh-CN"/>
                <w14:textFill>
                  <w14:solidFill>
                    <w14:schemeClr w14:val="tx1"/>
                  </w14:solidFill>
                </w14:textFill>
              </w:rPr>
              <w:t>占比9.42%。本项目</w:t>
            </w:r>
            <w:r>
              <w:rPr>
                <w:rFonts w:hint="default" w:ascii="Times New Roman" w:hAnsi="Times New Roman" w:cs="Times New Roman"/>
                <w:color w:val="000000" w:themeColor="text1"/>
                <w:sz w:val="24"/>
                <w14:textFill>
                  <w14:solidFill>
                    <w14:schemeClr w14:val="tx1"/>
                  </w14:solidFill>
                </w14:textFill>
              </w:rPr>
              <w:t>不涉及</w:t>
            </w:r>
            <w:r>
              <w:rPr>
                <w:rFonts w:hint="default" w:ascii="Times New Roman" w:hAnsi="Times New Roman" w:cs="Times New Roman"/>
                <w:color w:val="000000" w:themeColor="text1"/>
                <w:sz w:val="24"/>
                <w:lang w:eastAsia="zh-CN"/>
                <w14:textFill>
                  <w14:solidFill>
                    <w14:schemeClr w14:val="tx1"/>
                  </w14:solidFill>
                </w14:textFill>
              </w:rPr>
              <w:t>上述的</w:t>
            </w:r>
            <w:r>
              <w:rPr>
                <w:rFonts w:hint="default" w:ascii="Times New Roman" w:hAnsi="Times New Roman" w:cs="Times New Roman"/>
                <w:color w:val="000000" w:themeColor="text1"/>
                <w:sz w:val="24"/>
                <w14:textFill>
                  <w14:solidFill>
                    <w14:schemeClr w14:val="tx1"/>
                  </w14:solidFill>
                </w14:textFill>
              </w:rPr>
              <w:t>自然保护区、饮用水源保护区等生态保护目标。</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lang w:eastAsia="zh-CN"/>
                <w14:textFill>
                  <w14:solidFill>
                    <w14:schemeClr w14:val="tx1"/>
                  </w14:solidFill>
                </w14:textFill>
              </w:rPr>
              <w:t>综上所述，</w:t>
            </w:r>
            <w:r>
              <w:rPr>
                <w:rFonts w:hint="default" w:ascii="Times New Roman" w:hAnsi="Times New Roman" w:cs="Times New Roman"/>
                <w:color w:val="000000" w:themeColor="text1"/>
                <w:sz w:val="24"/>
                <w14:textFill>
                  <w14:solidFill>
                    <w14:schemeClr w14:val="tx1"/>
                  </w14:solidFill>
                </w14:textFill>
              </w:rPr>
              <w:t>本项目不经过生态保护红线内，本项目作为河湖整治及防洪该工程项目，能够满足宁夏回族自治区生态保护红线</w:t>
            </w:r>
            <w:r>
              <w:rPr>
                <w:rFonts w:hint="default" w:ascii="Times New Roman" w:hAnsi="Times New Roman" w:cs="Times New Roman"/>
                <w:color w:val="000000" w:themeColor="text1"/>
                <w:sz w:val="24"/>
                <w:lang w:eastAsia="zh-CN"/>
                <w14:textFill>
                  <w14:solidFill>
                    <w14:schemeClr w14:val="tx1"/>
                  </w14:solidFill>
                </w14:textFill>
              </w:rPr>
              <w:t>和吴忠市</w:t>
            </w:r>
            <w:r>
              <w:rPr>
                <w:rFonts w:hint="default" w:ascii="Times New Roman" w:hAnsi="Times New Roman" w:cs="Times New Roman"/>
                <w:color w:val="000000" w:themeColor="text1"/>
                <w:sz w:val="24"/>
                <w14:textFill>
                  <w14:solidFill>
                    <w14:schemeClr w14:val="tx1"/>
                  </w14:solidFill>
                </w14:textFill>
              </w:rPr>
              <w:t>生态保护红线的要求</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FF"/>
                <w:sz w:val="24"/>
                <w:lang w:eastAsia="zh-CN"/>
              </w:rPr>
              <w:t>见附图</w:t>
            </w:r>
            <w:r>
              <w:rPr>
                <w:rFonts w:hint="default" w:ascii="Times New Roman" w:hAnsi="Times New Roman" w:cs="Times New Roman"/>
                <w:color w:val="0000FF"/>
                <w:sz w:val="24"/>
                <w:lang w:val="en-US" w:eastAsia="zh-CN"/>
              </w:rPr>
              <w:t>2、附图3</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14:textFill>
                  <w14:solidFill>
                    <w14:schemeClr w14:val="tx1"/>
                  </w14:solidFill>
                </w14:textFill>
              </w:rPr>
              <w:t>。</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commentRangeStart w:id="2"/>
            <w:r>
              <w:rPr>
                <w:rFonts w:hint="default" w:ascii="Times New Roman" w:hAnsi="Times New Roman" w:cs="Times New Roman"/>
                <w:color w:val="000000" w:themeColor="text1"/>
                <w:sz w:val="24"/>
                <w14:textFill>
                  <w14:solidFill>
                    <w14:schemeClr w14:val="tx1"/>
                  </w14:solidFill>
                </w14:textFill>
              </w:rPr>
              <w:t>（2）环境质量底线</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①水环境质量底线及分区管控符合性分析</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项目所在区无常年地表水体，因此本项目不对地表水环境质量现状进行评价。</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w:t>
            </w:r>
            <w:r>
              <w:rPr>
                <w:rFonts w:hint="default" w:ascii="Times New Roman" w:hAnsi="Times New Roman" w:cs="Times New Roman"/>
                <w:color w:val="000000" w:themeColor="text1"/>
                <w:sz w:val="24"/>
                <w:lang w:eastAsia="zh-CN"/>
                <w14:textFill>
                  <w14:solidFill>
                    <w14:schemeClr w14:val="tx1"/>
                  </w14:solidFill>
                </w14:textFill>
              </w:rPr>
              <w:t>吴忠市</w:t>
            </w:r>
            <w:r>
              <w:rPr>
                <w:rFonts w:hint="default" w:ascii="Times New Roman" w:hAnsi="Times New Roman" w:cs="Times New Roman"/>
                <w:color w:val="000000" w:themeColor="text1"/>
                <w:sz w:val="24"/>
                <w14:textFill>
                  <w14:solidFill>
                    <w14:schemeClr w14:val="tx1"/>
                  </w14:solidFill>
                </w14:textFill>
              </w:rPr>
              <w:t>人民政府关于实施“三线一单”生态环境分区管控的意见》（吴政规发〔2021〕2号）</w:t>
            </w:r>
            <w:r>
              <w:rPr>
                <w:rFonts w:hint="default" w:ascii="Times New Roman" w:hAnsi="Times New Roman" w:cs="Times New Roman"/>
                <w:color w:val="000000" w:themeColor="text1"/>
                <w:sz w:val="24"/>
                <w:lang w:val="en-US" w:eastAsia="zh-CN"/>
                <w14:textFill>
                  <w14:solidFill>
                    <w14:schemeClr w14:val="tx1"/>
                  </w14:solidFill>
                </w14:textFill>
              </w:rPr>
              <w:t>，将吴忠市水环境分区管控划分为水环境优先保护区、水环境重点管控区、水环境一般管控区，本项目位于水环境一般管控区。位置关系图详见附图4。</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水环境一般管控区：对水环境问题相对较少，对区域影响程度较轻的一般控制单元，落实普适性治理要求，加强污染预防。本项目为同心县兴隆乡王团村防洪治理工程，</w:t>
            </w:r>
            <w:r>
              <w:rPr>
                <w:rFonts w:hint="default" w:ascii="Times New Roman" w:hAnsi="Times New Roman" w:cs="Times New Roman"/>
                <w:color w:val="000000" w:themeColor="text1"/>
                <w:sz w:val="24"/>
                <w:lang w:val="en-GB" w:eastAsia="zh-CN"/>
                <w14:textFill>
                  <w14:solidFill>
                    <w14:schemeClr w14:val="tx1"/>
                  </w14:solidFill>
                </w14:textFill>
              </w:rPr>
              <w:t>本项目运营期不产生废水，不会对区域水环境产生影响，</w:t>
            </w:r>
            <w:r>
              <w:rPr>
                <w:rFonts w:hint="default" w:ascii="Times New Roman" w:hAnsi="Times New Roman" w:cs="Times New Roman"/>
                <w:color w:val="000000" w:themeColor="text1"/>
                <w:sz w:val="24"/>
                <w:lang w:val="en-US" w:eastAsia="zh-CN"/>
                <w14:textFill>
                  <w14:solidFill>
                    <w14:schemeClr w14:val="tx1"/>
                  </w14:solidFill>
                </w14:textFill>
              </w:rPr>
              <w:t>因此本项目符合水环境一般管控区要求。</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②大气环境质量底线及分区管控符合性分析</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大气环境质量底线：根据《吴忠市“三线一单”编制文本》中“表3-2吴忠市分阶段PM2.5底线目标建议值”吴忠市利通区2025年及2035年PM2.5目标值均为33ug/m3。</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本次大气环境质量引用</w:t>
            </w:r>
            <w:r>
              <w:rPr>
                <w:rFonts w:hint="default" w:ascii="Times New Roman" w:hAnsi="Times New Roman" w:cs="Times New Roman"/>
                <w:color w:val="000000" w:themeColor="text1"/>
                <w:sz w:val="24"/>
                <w14:textFill>
                  <w14:solidFill>
                    <w14:schemeClr w14:val="tx1"/>
                  </w14:solidFill>
                </w14:textFill>
              </w:rPr>
              <w:t>《202</w:t>
            </w:r>
            <w:r>
              <w:rPr>
                <w:rFonts w:hint="default" w:ascii="Times New Roman" w:hAnsi="Times New Roman" w:cs="Times New Roman"/>
                <w:color w:val="000000" w:themeColor="text1"/>
                <w:sz w:val="24"/>
                <w:lang w:val="en-US" w:eastAsia="zh-CN"/>
                <w14:textFill>
                  <w14:solidFill>
                    <w14:schemeClr w14:val="tx1"/>
                  </w14:solidFill>
                </w14:textFill>
              </w:rPr>
              <w:t>1</w:t>
            </w:r>
            <w:r>
              <w:rPr>
                <w:rFonts w:hint="default" w:ascii="Times New Roman" w:hAnsi="Times New Roman" w:cs="Times New Roman"/>
                <w:color w:val="000000" w:themeColor="text1"/>
                <w:sz w:val="24"/>
                <w14:textFill>
                  <w14:solidFill>
                    <w14:schemeClr w14:val="tx1"/>
                  </w14:solidFill>
                </w14:textFill>
              </w:rPr>
              <w:t>年</w:t>
            </w:r>
            <w:r>
              <w:rPr>
                <w:rFonts w:hint="default" w:ascii="Times New Roman" w:hAnsi="Times New Roman" w:cs="Times New Roman"/>
                <w:color w:val="000000" w:themeColor="text1"/>
                <w:sz w:val="24"/>
                <w:lang w:eastAsia="zh-CN"/>
                <w14:textFill>
                  <w14:solidFill>
                    <w14:schemeClr w14:val="tx1"/>
                  </w14:solidFill>
                </w14:textFill>
              </w:rPr>
              <w:t>生态环境状况公报</w:t>
            </w:r>
            <w:r>
              <w:rPr>
                <w:rFonts w:hint="default" w:ascii="Times New Roman" w:hAnsi="Times New Roman" w:cs="Times New Roman"/>
                <w:color w:val="000000" w:themeColor="text1"/>
                <w:sz w:val="24"/>
                <w14:textFill>
                  <w14:solidFill>
                    <w14:schemeClr w14:val="tx1"/>
                  </w14:solidFill>
                </w14:textFill>
              </w:rPr>
              <w:t>》</w:t>
            </w:r>
            <w:r>
              <w:rPr>
                <w:rFonts w:hint="default" w:ascii="Times New Roman" w:hAnsi="Times New Roman" w:cs="Times New Roman"/>
                <w:color w:val="000000" w:themeColor="text1"/>
                <w:sz w:val="24"/>
                <w:lang w:eastAsia="zh-CN"/>
                <w14:textFill>
                  <w14:solidFill>
                    <w14:schemeClr w14:val="tx1"/>
                  </w14:solidFill>
                </w14:textFill>
              </w:rPr>
              <w:t>中</w:t>
            </w:r>
            <w:r>
              <w:rPr>
                <w:rFonts w:hint="default" w:ascii="Times New Roman" w:hAnsi="Times New Roman" w:cs="Times New Roman"/>
                <w:color w:val="000000" w:themeColor="text1"/>
                <w:sz w:val="24"/>
                <w14:textFill>
                  <w14:solidFill>
                    <w14:schemeClr w14:val="tx1"/>
                  </w14:solidFill>
                </w14:textFill>
              </w:rPr>
              <w:t>的监测数据</w:t>
            </w:r>
            <w:r>
              <w:rPr>
                <w:rFonts w:hint="default" w:ascii="Times New Roman" w:hAnsi="Times New Roman" w:cs="Times New Roman"/>
                <w:color w:val="000000" w:themeColor="text1"/>
                <w:sz w:val="24"/>
                <w:lang w:eastAsia="zh-CN"/>
                <w14:textFill>
                  <w14:solidFill>
                    <w14:schemeClr w14:val="tx1"/>
                  </w14:solidFill>
                </w14:textFill>
              </w:rPr>
              <w:t>，根据监测数据可以看出，</w:t>
            </w:r>
            <w:r>
              <w:rPr>
                <w:rFonts w:hint="default" w:ascii="Times New Roman" w:hAnsi="Times New Roman" w:cs="Times New Roman"/>
                <w:color w:val="000000" w:themeColor="text1"/>
                <w:sz w:val="24"/>
                <w:lang w:val="en-US" w:eastAsia="zh-CN"/>
                <w14:textFill>
                  <w14:solidFill>
                    <w14:schemeClr w14:val="tx1"/>
                  </w14:solidFill>
                </w14:textFill>
              </w:rPr>
              <w:t>2021年剔除</w:t>
            </w:r>
            <w:r>
              <w:rPr>
                <w:rFonts w:hint="default" w:ascii="Times New Roman" w:hAnsi="Times New Roman" w:cs="Times New Roman"/>
                <w:color w:val="000000" w:themeColor="text1"/>
                <w:sz w:val="24"/>
                <w:lang w:eastAsia="zh-CN"/>
                <w14:textFill>
                  <w14:solidFill>
                    <w14:schemeClr w14:val="tx1"/>
                  </w14:solidFill>
                </w14:textFill>
              </w:rPr>
              <w:t>沙尘天气</w:t>
            </w:r>
            <w:r>
              <w:rPr>
                <w:rFonts w:hint="default" w:ascii="Times New Roman" w:hAnsi="Times New Roman" w:cs="Times New Roman"/>
                <w:color w:val="000000" w:themeColor="text1"/>
                <w:sz w:val="24"/>
                <w:lang w:val="en-US" w:eastAsia="zh-CN"/>
                <w14:textFill>
                  <w14:solidFill>
                    <w14:schemeClr w14:val="tx1"/>
                  </w14:solidFill>
                </w14:textFill>
              </w:rPr>
              <w:t>影响，吴忠市同心县</w:t>
            </w:r>
            <w:r>
              <w:rPr>
                <w:rFonts w:hint="default" w:ascii="Times New Roman" w:hAnsi="Times New Roman" w:cs="Times New Roman"/>
                <w:color w:val="000000" w:themeColor="text1"/>
                <w:sz w:val="24"/>
                <w14:textFill>
                  <w14:solidFill>
                    <w14:schemeClr w14:val="tx1"/>
                  </w14:solidFill>
                </w14:textFill>
              </w:rPr>
              <w:t>环境空气质量各项监测指标</w:t>
            </w:r>
            <w:r>
              <w:rPr>
                <w:rFonts w:hint="default" w:ascii="Times New Roman" w:hAnsi="Times New Roman" w:cs="Times New Roman"/>
                <w:color w:val="000000" w:themeColor="text1"/>
                <w:sz w:val="24"/>
                <w:lang w:eastAsia="zh-CN"/>
                <w14:textFill>
                  <w14:solidFill>
                    <w14:schemeClr w14:val="tx1"/>
                  </w14:solidFill>
                </w14:textFill>
              </w:rPr>
              <w:t>除</w:t>
            </w:r>
            <w:r>
              <w:rPr>
                <w:rFonts w:hint="default" w:ascii="Times New Roman" w:hAnsi="Times New Roman" w:cs="Times New Roman"/>
                <w:color w:val="000000" w:themeColor="text1"/>
                <w:sz w:val="24"/>
                <w:lang w:val="en-US" w:eastAsia="zh-CN"/>
                <w14:textFill>
                  <w14:solidFill>
                    <w14:schemeClr w14:val="tx1"/>
                  </w14:solidFill>
                </w14:textFill>
              </w:rPr>
              <w:t>PM10、PM2.5外，其他指标</w:t>
            </w:r>
            <w:r>
              <w:rPr>
                <w:rFonts w:hint="default" w:ascii="Times New Roman" w:hAnsi="Times New Roman" w:cs="Times New Roman"/>
                <w:color w:val="000000" w:themeColor="text1"/>
                <w:sz w:val="24"/>
                <w14:textFill>
                  <w14:solidFill>
                    <w14:schemeClr w14:val="tx1"/>
                  </w14:solidFill>
                </w14:textFill>
              </w:rPr>
              <w:t>均可满足《环境空气质量标准》</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14:textFill>
                  <w14:solidFill>
                    <w14:schemeClr w14:val="tx1"/>
                  </w14:solidFill>
                </w14:textFill>
              </w:rPr>
              <w:t>GB3095-2012</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14:textFill>
                  <w14:solidFill>
                    <w14:schemeClr w14:val="tx1"/>
                  </w14:solidFill>
                </w14:textFill>
              </w:rPr>
              <w:t>中二级标准限值要求，项目所在区为达标区。</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大气分区管控：基于大气环境脆弱性、敏感性、重要性评价结果，考虑大气污染传输规律和城市用地特征，识别网格单元主导属性，将</w:t>
            </w:r>
            <w:r>
              <w:rPr>
                <w:rFonts w:hint="default" w:ascii="Times New Roman" w:hAnsi="Times New Roman" w:cs="Times New Roman"/>
                <w:color w:val="000000" w:themeColor="text1"/>
                <w:sz w:val="24"/>
                <w:lang w:eastAsia="zh-CN"/>
                <w14:textFill>
                  <w14:solidFill>
                    <w14:schemeClr w14:val="tx1"/>
                  </w14:solidFill>
                </w14:textFill>
              </w:rPr>
              <w:t>吴忠市</w:t>
            </w:r>
            <w:r>
              <w:rPr>
                <w:rFonts w:hint="default" w:ascii="Times New Roman" w:hAnsi="Times New Roman" w:cs="Times New Roman"/>
                <w:color w:val="000000" w:themeColor="text1"/>
                <w:sz w:val="24"/>
                <w14:textFill>
                  <w14:solidFill>
                    <w14:schemeClr w14:val="tx1"/>
                  </w14:solidFill>
                </w14:textFill>
              </w:rPr>
              <w:t>划分为大气环境优先保护区、大气环境重点管控区和大气环境一般管控区，本项目位于</w:t>
            </w:r>
            <w:r>
              <w:rPr>
                <w:rFonts w:hint="default" w:ascii="Times New Roman" w:hAnsi="Times New Roman" w:cs="Times New Roman"/>
                <w:color w:val="000000" w:themeColor="text1"/>
                <w:sz w:val="24"/>
                <w:lang w:eastAsia="zh-CN"/>
                <w14:textFill>
                  <w14:solidFill>
                    <w14:schemeClr w14:val="tx1"/>
                  </w14:solidFill>
                </w14:textFill>
              </w:rPr>
              <w:t>布局敏感重点管控区</w:t>
            </w:r>
            <w:r>
              <w:rPr>
                <w:rFonts w:hint="default" w:ascii="Times New Roman" w:hAnsi="Times New Roman" w:cs="Times New Roman"/>
                <w:color w:val="000000" w:themeColor="text1"/>
                <w:sz w:val="24"/>
                <w14:textFill>
                  <w14:solidFill>
                    <w14:schemeClr w14:val="tx1"/>
                  </w14:solidFill>
                </w14:textFill>
              </w:rPr>
              <w:t>，位置关系图详见附图</w:t>
            </w:r>
            <w:r>
              <w:rPr>
                <w:rFonts w:hint="default" w:ascii="Times New Roman" w:hAnsi="Times New Roman" w:cs="Times New Roman"/>
                <w:color w:val="000000" w:themeColor="text1"/>
                <w:sz w:val="24"/>
                <w:lang w:val="en-US" w:eastAsia="zh-CN"/>
                <w14:textFill>
                  <w14:solidFill>
                    <w14:schemeClr w14:val="tx1"/>
                  </w14:solidFill>
                </w14:textFill>
              </w:rPr>
              <w:t>5</w:t>
            </w:r>
            <w:r>
              <w:rPr>
                <w:rFonts w:hint="default" w:ascii="Times New Roman" w:hAnsi="Times New Roman" w:cs="Times New Roman"/>
                <w:color w:val="000000" w:themeColor="text1"/>
                <w:sz w:val="24"/>
                <w14:textFill>
                  <w14:solidFill>
                    <w14:schemeClr w14:val="tx1"/>
                  </w14:solidFill>
                </w14:textFill>
              </w:rPr>
              <w:t>。</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大气环境一般管控区：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本项目为同心县兴隆乡王团村防洪治理工程</w:t>
            </w:r>
            <w:r>
              <w:rPr>
                <w:rFonts w:hint="default" w:ascii="Times New Roman" w:hAnsi="Times New Roman" w:cs="Times New Roman"/>
                <w:color w:val="000000" w:themeColor="text1"/>
                <w:sz w:val="24"/>
                <w:lang w:eastAsia="zh-CN"/>
                <w14:textFill>
                  <w14:solidFill>
                    <w14:schemeClr w14:val="tx1"/>
                  </w14:solidFill>
                </w14:textFill>
              </w:rPr>
              <w:t>，不属于高耗能高污染项目</w:t>
            </w:r>
            <w:r>
              <w:rPr>
                <w:rFonts w:hint="default" w:ascii="Times New Roman" w:hAnsi="Times New Roman" w:cs="Times New Roman"/>
                <w:color w:val="000000" w:themeColor="text1"/>
                <w:sz w:val="24"/>
                <w14:textFill>
                  <w14:solidFill>
                    <w14:schemeClr w14:val="tx1"/>
                  </w14:solidFill>
                </w14:textFill>
              </w:rPr>
              <w:t>，</w:t>
            </w:r>
            <w:r>
              <w:rPr>
                <w:rFonts w:hint="default" w:ascii="Times New Roman" w:hAnsi="Times New Roman" w:cs="Times New Roman"/>
                <w:color w:val="000000" w:themeColor="text1"/>
                <w:sz w:val="24"/>
                <w:lang w:eastAsia="zh-CN"/>
                <w14:textFill>
                  <w14:solidFill>
                    <w14:schemeClr w14:val="tx1"/>
                  </w14:solidFill>
                </w14:textFill>
              </w:rPr>
              <w:t>不涉及燃煤锅炉，不排放</w:t>
            </w:r>
            <w:r>
              <w:rPr>
                <w:rFonts w:hint="default" w:ascii="Times New Roman" w:hAnsi="Times New Roman" w:cs="Times New Roman"/>
                <w:color w:val="000000" w:themeColor="text1"/>
                <w:sz w:val="24"/>
                <w14:textFill>
                  <w14:solidFill>
                    <w14:schemeClr w14:val="tx1"/>
                  </w14:solidFill>
                </w14:textFill>
              </w:rPr>
              <w:t>VOCs</w:t>
            </w:r>
            <w:r>
              <w:rPr>
                <w:rFonts w:hint="default" w:ascii="Times New Roman" w:hAnsi="Times New Roman" w:cs="Times New Roman"/>
                <w:color w:val="000000" w:themeColor="text1"/>
                <w:sz w:val="24"/>
                <w:lang w:eastAsia="zh-CN"/>
                <w14:textFill>
                  <w14:solidFill>
                    <w14:schemeClr w14:val="tx1"/>
                  </w14:solidFill>
                </w14:textFill>
              </w:rPr>
              <w:t>，</w:t>
            </w:r>
            <w:r>
              <w:rPr>
                <w:rFonts w:hint="default" w:ascii="Times New Roman" w:hAnsi="Times New Roman" w:cs="Times New Roman"/>
                <w:color w:val="000000" w:themeColor="text1"/>
                <w:sz w:val="24"/>
                <w14:textFill>
                  <w14:solidFill>
                    <w14:schemeClr w14:val="tx1"/>
                  </w14:solidFill>
                </w14:textFill>
              </w:rPr>
              <w:t>因此</w:t>
            </w:r>
            <w:r>
              <w:rPr>
                <w:rFonts w:hint="default" w:ascii="Times New Roman" w:hAnsi="Times New Roman" w:cs="Times New Roman"/>
                <w:color w:val="000000" w:themeColor="text1"/>
                <w:sz w:val="24"/>
                <w:lang w:eastAsia="zh-CN"/>
                <w14:textFill>
                  <w14:solidFill>
                    <w14:schemeClr w14:val="tx1"/>
                  </w14:solidFill>
                </w14:textFill>
              </w:rPr>
              <w:t>本项目</w:t>
            </w:r>
            <w:r>
              <w:rPr>
                <w:rFonts w:hint="default" w:ascii="Times New Roman" w:hAnsi="Times New Roman" w:cs="Times New Roman"/>
                <w:color w:val="000000" w:themeColor="text1"/>
                <w:sz w:val="24"/>
                <w14:textFill>
                  <w14:solidFill>
                    <w14:schemeClr w14:val="tx1"/>
                  </w14:solidFill>
                </w14:textFill>
              </w:rPr>
              <w:t>符合大气环境布局敏感重点管控区</w:t>
            </w:r>
            <w:r>
              <w:rPr>
                <w:rFonts w:hint="default" w:ascii="Times New Roman" w:hAnsi="Times New Roman" w:cs="Times New Roman"/>
                <w:color w:val="000000" w:themeColor="text1"/>
                <w:sz w:val="24"/>
                <w:lang w:eastAsia="zh-CN"/>
                <w14:textFill>
                  <w14:solidFill>
                    <w14:schemeClr w14:val="tx1"/>
                  </w14:solidFill>
                </w14:textFill>
              </w:rPr>
              <w:t>管控</w:t>
            </w:r>
            <w:r>
              <w:rPr>
                <w:rFonts w:hint="default" w:ascii="Times New Roman" w:hAnsi="Times New Roman" w:cs="Times New Roman"/>
                <w:color w:val="000000" w:themeColor="text1"/>
                <w:sz w:val="24"/>
                <w14:textFill>
                  <w14:solidFill>
                    <w14:schemeClr w14:val="tx1"/>
                  </w14:solidFill>
                </w14:textFill>
              </w:rPr>
              <w:t>要求。</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③土壤环境质量底线及分区管控符合性分析</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土壤环境质量底线：根据《吴忠市“三线一单”编制文本》中预期到2025年，吴忠受污染耕地安全利用率保持在98%以上，污染地块安全利用率高于90%；到2035年，受污染耕地安全利用率、污染地块安全利用率达到国家、自治区考核标准”本项目为</w:t>
            </w:r>
            <w:r>
              <w:rPr>
                <w:rFonts w:hint="default" w:ascii="Times New Roman" w:hAnsi="Times New Roman" w:cs="Times New Roman"/>
                <w:color w:val="000000" w:themeColor="text1"/>
                <w:sz w:val="24"/>
                <w:lang w:eastAsia="zh-CN"/>
                <w14:textFill>
                  <w14:solidFill>
                    <w14:schemeClr w14:val="tx1"/>
                  </w14:solidFill>
                </w14:textFill>
              </w:rPr>
              <w:t>社区卫生服务中心项目</w:t>
            </w:r>
            <w:r>
              <w:rPr>
                <w:rFonts w:hint="default" w:ascii="Times New Roman" w:hAnsi="Times New Roman" w:cs="Times New Roman"/>
                <w:color w:val="000000" w:themeColor="text1"/>
                <w:sz w:val="24"/>
                <w:lang w:val="en-US" w:eastAsia="zh-CN"/>
                <w14:textFill>
                  <w14:solidFill>
                    <w14:schemeClr w14:val="tx1"/>
                  </w14:solidFill>
                </w14:textFill>
              </w:rPr>
              <w:t>，不存在土壤污染途径，符合土壤环境质量底线要求。</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w:t>
            </w:r>
            <w:r>
              <w:rPr>
                <w:rFonts w:hint="default" w:ascii="Times New Roman" w:hAnsi="Times New Roman" w:cs="Times New Roman"/>
                <w:color w:val="000000" w:themeColor="text1"/>
                <w:sz w:val="24"/>
                <w:lang w:eastAsia="zh-CN"/>
                <w14:textFill>
                  <w14:solidFill>
                    <w14:schemeClr w14:val="tx1"/>
                  </w14:solidFill>
                </w14:textFill>
              </w:rPr>
              <w:t>吴忠市</w:t>
            </w:r>
            <w:r>
              <w:rPr>
                <w:rFonts w:hint="default" w:ascii="Times New Roman" w:hAnsi="Times New Roman" w:cs="Times New Roman"/>
                <w:color w:val="000000" w:themeColor="text1"/>
                <w:sz w:val="24"/>
                <w14:textFill>
                  <w14:solidFill>
                    <w14:schemeClr w14:val="tx1"/>
                  </w14:solidFill>
                </w14:textFill>
              </w:rPr>
              <w:t>人民政府关于实施“三线一单”生态环境分区管控的意见》（吴政规发〔2021〕2号）</w:t>
            </w:r>
            <w:r>
              <w:rPr>
                <w:rFonts w:hint="default" w:ascii="Times New Roman" w:hAnsi="Times New Roman" w:cs="Times New Roman"/>
                <w:color w:val="000000" w:themeColor="text1"/>
                <w:sz w:val="24"/>
                <w:lang w:val="en-US" w:eastAsia="zh-CN"/>
                <w14:textFill>
                  <w14:solidFill>
                    <w14:schemeClr w14:val="tx1"/>
                  </w14:solidFill>
                </w14:textFill>
              </w:rPr>
              <w:t>，将吴忠土壤污染风险管控分区分为农用地优先保护区、建设用地土壤污染风险重点管控区和一般管控区，本项目位于一般管控区，位置关系图详见附图6。</w:t>
            </w:r>
          </w:p>
          <w:p>
            <w:pPr>
              <w:adjustRightInd w:val="0"/>
              <w:spacing w:line="360" w:lineRule="auto"/>
              <w:ind w:firstLine="480" w:firstLineChars="200"/>
              <w:rPr>
                <w:rFonts w:hint="default" w:ascii="Times New Roman" w:hAnsi="Times New Roman" w:cs="Times New Roman"/>
                <w:color w:val="000000" w:themeColor="text1"/>
                <w:sz w:val="24"/>
                <w:lang w:val="en-US" w:eastAsia="zh-CN"/>
                <w14:textFill>
                  <w14:solidFill>
                    <w14:schemeClr w14:val="tx1"/>
                  </w14:solidFill>
                </w14:textFill>
              </w:rPr>
            </w:pPr>
            <w:r>
              <w:rPr>
                <w:rFonts w:hint="default" w:ascii="Times New Roman" w:hAnsi="Times New Roman" w:cs="Times New Roman"/>
                <w:color w:val="000000" w:themeColor="text1"/>
                <w:sz w:val="24"/>
                <w:lang w:eastAsia="zh-CN"/>
                <w14:textFill>
                  <w14:solidFill>
                    <w14:schemeClr w14:val="tx1"/>
                  </w14:solidFill>
                </w14:textFill>
              </w:rPr>
              <w:t>一般管控区：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lang w:val="en-US" w:eastAsia="zh-CN"/>
                <w14:textFill>
                  <w14:solidFill>
                    <w14:schemeClr w14:val="tx1"/>
                  </w14:solidFill>
                </w14:textFill>
              </w:rPr>
              <w:t>本项目不存在土壤污染途径，因此本项目符合土壤环境一般管控区的管控要求。</w:t>
            </w:r>
            <w:commentRangeEnd w:id="2"/>
            <w:r>
              <w:rPr>
                <w:rFonts w:hint="default" w:ascii="Times New Roman" w:hAnsi="Times New Roman" w:cs="Times New Roman"/>
                <w:color w:val="000000" w:themeColor="text1"/>
                <w:sz w:val="24"/>
                <w14:textFill>
                  <w14:solidFill>
                    <w14:schemeClr w14:val="tx1"/>
                  </w14:solidFill>
                </w14:textFill>
              </w:rPr>
              <w:commentReference w:id="2"/>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（3）资源利用上线</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项目建设用地属吴忠市兴隆乡王团村内，本项目属于防洪除涝工程项目，项目在城镇内实施，不涉及矿、煤、地表水、地下水、灌溉水等资源，土地类型主要为建设用地和裸土地等，工程施工结束后，用地恢复原有用地性质。项目资源利用满足要求。</w:t>
            </w:r>
          </w:p>
          <w:p>
            <w:pPr>
              <w:adjustRightIn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（4）生态环境准入清单</w:t>
            </w:r>
          </w:p>
          <w:p>
            <w:pPr>
              <w:adjustRightInd w:val="0"/>
              <w:spacing w:line="360" w:lineRule="auto"/>
              <w:ind w:firstLine="480" w:firstLineChars="20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本项目所在区域生态环境准入清单见下表所示。</w:t>
            </w:r>
          </w:p>
          <w:p>
            <w:pPr>
              <w:adjustRightInd w:val="0"/>
              <w:snapToGrid w:val="0"/>
              <w:ind w:firstLine="422" w:firstLineChars="200"/>
              <w:jc w:val="center"/>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14:textFill>
                  <w14:solidFill>
                    <w14:schemeClr w14:val="tx1"/>
                  </w14:solidFill>
                </w14:textFill>
              </w:rPr>
              <w:t>表1-2生态环境准入清单</w:t>
            </w:r>
          </w:p>
          <w:tbl>
            <w:tblPr>
              <w:tblStyle w:val="24"/>
              <w:tblW w:w="49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690"/>
              <w:gridCol w:w="5338"/>
              <w:gridCol w:w="111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85" w:type="dxa"/>
                  <w:tcBorders>
                    <w:tl2br w:val="nil"/>
                    <w:tr2bl w:val="nil"/>
                  </w:tcBorders>
                  <w:vAlign w:val="center"/>
                </w:tcPr>
                <w:p>
                  <w:pPr>
                    <w:jc w:val="center"/>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序号</w:t>
                  </w:r>
                </w:p>
              </w:tc>
              <w:tc>
                <w:tcPr>
                  <w:tcW w:w="5298" w:type="dxa"/>
                  <w:tcBorders>
                    <w:tl2br w:val="nil"/>
                    <w:tr2bl w:val="nil"/>
                  </w:tcBorders>
                  <w:vAlign w:val="center"/>
                </w:tcPr>
                <w:p>
                  <w:pPr>
                    <w:jc w:val="center"/>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法律、法规、政府文件等</w:t>
                  </w:r>
                </w:p>
              </w:tc>
              <w:tc>
                <w:tcPr>
                  <w:tcW w:w="1104" w:type="dxa"/>
                  <w:tcBorders>
                    <w:tl2br w:val="nil"/>
                    <w:tr2bl w:val="nil"/>
                  </w:tcBorders>
                  <w:vAlign w:val="center"/>
                </w:tcPr>
                <w:p>
                  <w:pPr>
                    <w:jc w:val="center"/>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是否属于</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85"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w:t>
                  </w:r>
                </w:p>
              </w:tc>
              <w:tc>
                <w:tcPr>
                  <w:tcW w:w="5298"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属于《产业结构调整指导目录》（2019年本）中淘汰类、限制类项目</w:t>
                  </w:r>
                </w:p>
              </w:tc>
              <w:tc>
                <w:tcPr>
                  <w:tcW w:w="1104"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不属于</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85"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w:t>
                  </w:r>
                </w:p>
              </w:tc>
              <w:tc>
                <w:tcPr>
                  <w:tcW w:w="5298"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不符合城市总体规划、土地利用规划、环境保护规划的建设项目</w:t>
                  </w:r>
                </w:p>
              </w:tc>
              <w:tc>
                <w:tcPr>
                  <w:tcW w:w="1104"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不属于</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85"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3</w:t>
                  </w:r>
                </w:p>
              </w:tc>
              <w:tc>
                <w:tcPr>
                  <w:tcW w:w="5298"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环境污染严重、污染物排放总量指标未落实的项目</w:t>
                  </w:r>
                </w:p>
              </w:tc>
              <w:tc>
                <w:tcPr>
                  <w:tcW w:w="1104"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不属于</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85"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4</w:t>
                  </w:r>
                </w:p>
              </w:tc>
              <w:tc>
                <w:tcPr>
                  <w:tcW w:w="5298"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国家、宁夏回族自治区明确规定不得审批的建设项目</w:t>
                  </w:r>
                </w:p>
              </w:tc>
              <w:tc>
                <w:tcPr>
                  <w:tcW w:w="1104" w:type="dxa"/>
                  <w:tcBorders>
                    <w:tl2br w:val="nil"/>
                    <w:tr2bl w:val="nil"/>
                  </w:tcBorders>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不属于</w:t>
                  </w:r>
                </w:p>
              </w:tc>
            </w:tr>
          </w:tbl>
          <w:p>
            <w:pPr>
              <w:pStyle w:val="7"/>
              <w:adjustRightInd w:val="0"/>
              <w:snapToGri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同时根据“重点生态功能区划分”分析，本项目不在产业负面清单内。因此，本项目属于生态环境准入清单内。</w:t>
            </w:r>
          </w:p>
          <w:p>
            <w:pPr>
              <w:adjustRightInd w:val="0"/>
              <w:snapToGri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（5）“三线一单”生态环境分区管控</w:t>
            </w:r>
          </w:p>
          <w:p>
            <w:pPr>
              <w:keepLines w:val="0"/>
              <w:pageBreakBefore w:val="0"/>
              <w:widowControl w:val="0"/>
              <w:kinsoku/>
              <w:wordWrap/>
              <w:overflowPunct/>
              <w:topLinePunct w:val="0"/>
              <w:autoSpaceDE w:val="0"/>
              <w:autoSpaceDN w:val="0"/>
              <w:bidi w:val="0"/>
              <w:spacing w:line="360" w:lineRule="auto"/>
              <w:ind w:firstLine="480" w:firstLineChars="200"/>
              <w:textAlignment w:val="auto"/>
              <w:rPr>
                <w:rFonts w:hint="default" w:ascii="Times New Roman" w:hAnsi="Times New Roman" w:cs="Times New Roman"/>
                <w:snapToGrid w:val="0"/>
                <w:color w:val="000000" w:themeColor="text1"/>
                <w:kern w:val="0"/>
                <w:sz w:val="24"/>
                <w14:textFill>
                  <w14:solidFill>
                    <w14:schemeClr w14:val="tx1"/>
                  </w14:solidFill>
                </w14:textFill>
              </w:rPr>
            </w:pPr>
            <w:r>
              <w:rPr>
                <w:rFonts w:hint="default" w:ascii="Times New Roman" w:hAnsi="Times New Roman" w:cs="Times New Roman"/>
                <w:snapToGrid w:val="0"/>
                <w:color w:val="000000" w:themeColor="text1"/>
                <w:kern w:val="0"/>
                <w:sz w:val="24"/>
                <w14:textFill>
                  <w14:solidFill>
                    <w14:schemeClr w14:val="tx1"/>
                  </w14:solidFill>
                </w14:textFill>
              </w:rPr>
              <w:t>根据《吴忠市人民政府关于实施“三线一单”生态环境分区管控的意见》（吴政规发〔2021〕2号），全市划分优先保护、重点管控、一般管控共计三大类48个环境管控单元。其中</w:t>
            </w:r>
            <w:r>
              <w:rPr>
                <w:rFonts w:hint="default" w:ascii="Times New Roman" w:hAnsi="Times New Roman" w:cs="Times New Roman"/>
                <w:snapToGrid w:val="0"/>
                <w:color w:val="000000" w:themeColor="text1"/>
                <w:kern w:val="0"/>
                <w:sz w:val="24"/>
                <w:lang w:val="en-US" w:eastAsia="zh-CN"/>
                <w14:textFill>
                  <w14:solidFill>
                    <w14:schemeClr w14:val="tx1"/>
                  </w14:solidFill>
                </w14:textFill>
              </w:rPr>
              <w:t>。一般管控单元个数为12个，其面积为6911.28km</w:t>
            </w:r>
            <w:r>
              <w:rPr>
                <w:rFonts w:hint="default" w:ascii="Times New Roman" w:hAnsi="Times New Roman" w:cs="Times New Roman"/>
                <w:snapToGrid w:val="0"/>
                <w:color w:val="000000" w:themeColor="text1"/>
                <w:kern w:val="0"/>
                <w:sz w:val="24"/>
                <w:vertAlign w:val="superscript"/>
                <w:lang w:val="en-US" w:eastAsia="zh-CN"/>
                <w14:textFill>
                  <w14:solidFill>
                    <w14:schemeClr w14:val="tx1"/>
                  </w14:solidFill>
                </w14:textFill>
              </w:rPr>
              <w:t>2</w:t>
            </w:r>
            <w:r>
              <w:rPr>
                <w:rFonts w:hint="default" w:ascii="Times New Roman" w:hAnsi="Times New Roman" w:cs="Times New Roman"/>
                <w:snapToGrid w:val="0"/>
                <w:color w:val="000000" w:themeColor="text1"/>
                <w:kern w:val="0"/>
                <w:sz w:val="24"/>
                <w:lang w:val="en-US" w:eastAsia="zh-CN"/>
                <w14:textFill>
                  <w14:solidFill>
                    <w14:schemeClr w14:val="tx1"/>
                  </w14:solidFill>
                </w14:textFill>
              </w:rPr>
              <w:t>，占全市总面积的41.24%。</w:t>
            </w:r>
          </w:p>
          <w:p>
            <w:pPr>
              <w:keepLines w:val="0"/>
              <w:pageBreakBefore w:val="0"/>
              <w:widowControl w:val="0"/>
              <w:kinsoku/>
              <w:wordWrap/>
              <w:overflowPunct/>
              <w:topLinePunct w:val="0"/>
              <w:autoSpaceDE w:val="0"/>
              <w:autoSpaceDN w:val="0"/>
              <w:bidi w:val="0"/>
              <w:spacing w:line="360" w:lineRule="auto"/>
              <w:ind w:firstLine="480" w:firstLineChars="200"/>
              <w:textAlignment w:val="auto"/>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rPr>
              <w:t>一般管控单元：除优先保护单元和重点管控单元之外的其他区域全部纳入一般管控单元。一般管控单元以适度发展社会经济、避免大规模高强度开发为导向，执行区域生态环境保护的基本要求。</w:t>
            </w:r>
            <w:commentRangeStart w:id="3"/>
            <w:r>
              <w:rPr>
                <w:rFonts w:hint="default" w:ascii="Times New Roman" w:hAnsi="Times New Roman" w:eastAsia="宋体" w:cs="Times New Roman"/>
                <w:color w:val="auto"/>
                <w:kern w:val="0"/>
                <w:sz w:val="24"/>
                <w:szCs w:val="24"/>
              </w:rPr>
              <w:t>项目所在区域环境</w:t>
            </w:r>
            <w:r>
              <w:rPr>
                <w:rFonts w:hint="default" w:ascii="Times New Roman" w:hAnsi="Times New Roman" w:eastAsia="宋体" w:cs="Times New Roman"/>
                <w:color w:val="auto"/>
                <w:kern w:val="0"/>
                <w:sz w:val="24"/>
                <w:szCs w:val="24"/>
                <w:lang w:val="en-US" w:eastAsia="zh-CN"/>
              </w:rPr>
              <w:t>分区管控</w:t>
            </w:r>
            <w:r>
              <w:rPr>
                <w:rFonts w:hint="default" w:ascii="Times New Roman" w:hAnsi="Times New Roman" w:eastAsia="宋体" w:cs="Times New Roman"/>
                <w:color w:val="auto"/>
                <w:kern w:val="0"/>
                <w:sz w:val="24"/>
                <w:szCs w:val="24"/>
              </w:rPr>
              <w:t>清单见表1</w:t>
            </w:r>
            <w:r>
              <w:rPr>
                <w:rFonts w:hint="default" w:ascii="Times New Roman" w:hAnsi="Times New Roman" w:cs="Times New Roman"/>
                <w:color w:val="auto"/>
                <w:kern w:val="0"/>
                <w:sz w:val="24"/>
                <w:szCs w:val="24"/>
                <w:lang w:val="en-US" w:eastAsia="zh-CN"/>
              </w:rPr>
              <w:t>-3、1-4</w:t>
            </w:r>
            <w:r>
              <w:rPr>
                <w:rFonts w:hint="default" w:ascii="Times New Roman" w:hAnsi="Times New Roman" w:eastAsia="宋体" w:cs="Times New Roman"/>
                <w:color w:val="auto"/>
                <w:kern w:val="0"/>
                <w:sz w:val="24"/>
                <w:szCs w:val="24"/>
              </w:rPr>
              <w:t>所示。</w:t>
            </w:r>
          </w:p>
          <w:p>
            <w:pPr>
              <w:pStyle w:val="59"/>
              <w:bidi w:val="0"/>
              <w:rPr>
                <w:rFonts w:hint="default" w:ascii="Times New Roman" w:hAnsi="Times New Roman" w:cs="Times New Roman"/>
              </w:rPr>
            </w:pPr>
          </w:p>
          <w:p>
            <w:pPr>
              <w:pStyle w:val="59"/>
              <w:bidi w:val="0"/>
              <w:rPr>
                <w:rFonts w:hint="default" w:ascii="Times New Roman" w:hAnsi="Times New Roman" w:cs="Times New Roman"/>
              </w:rPr>
            </w:pPr>
          </w:p>
          <w:p>
            <w:pPr>
              <w:pStyle w:val="59"/>
              <w:bidi w:val="0"/>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lang w:val="en-US" w:eastAsia="zh-CN"/>
              </w:rPr>
              <w:t>1-3 吴忠市环境管控单元生态环境准入清单</w:t>
            </w:r>
            <w:commentRangeEnd w:id="3"/>
            <w:r>
              <w:rPr>
                <w:rFonts w:hint="default" w:ascii="Times New Roman" w:hAnsi="Times New Roman" w:cs="Times New Roman"/>
              </w:rPr>
              <w:commentReference w:id="3"/>
            </w:r>
          </w:p>
          <w:tbl>
            <w:tblPr>
              <w:tblStyle w:val="25"/>
              <w:tblW w:w="7370"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305"/>
              <w:gridCol w:w="611"/>
              <w:gridCol w:w="358"/>
              <w:gridCol w:w="392"/>
              <w:gridCol w:w="347"/>
              <w:gridCol w:w="588"/>
              <w:gridCol w:w="796"/>
              <w:gridCol w:w="600"/>
              <w:gridCol w:w="635"/>
              <w:gridCol w:w="2320"/>
              <w:gridCol w:w="418"/>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86" w:hRule="atLeast"/>
                <w:jc w:val="center"/>
              </w:trPr>
              <w:tc>
                <w:tcPr>
                  <w:tcW w:w="305"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序号</w:t>
                  </w:r>
                </w:p>
              </w:tc>
              <w:tc>
                <w:tcPr>
                  <w:tcW w:w="611"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环境管控单元名称</w:t>
                  </w:r>
                </w:p>
              </w:tc>
              <w:tc>
                <w:tcPr>
                  <w:tcW w:w="1685" w:type="dxa"/>
                  <w:gridSpan w:val="4"/>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行政区划</w:t>
                  </w:r>
                </w:p>
              </w:tc>
              <w:tc>
                <w:tcPr>
                  <w:tcW w:w="796"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主体功能定位</w:t>
                  </w:r>
                </w:p>
              </w:tc>
              <w:tc>
                <w:tcPr>
                  <w:tcW w:w="600"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要素属性</w:t>
                  </w:r>
                </w:p>
              </w:tc>
              <w:tc>
                <w:tcPr>
                  <w:tcW w:w="635"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管控单元</w:t>
                  </w:r>
                </w:p>
              </w:tc>
              <w:tc>
                <w:tcPr>
                  <w:tcW w:w="2320"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空间布局约束管控要求</w:t>
                  </w:r>
                </w:p>
              </w:tc>
              <w:tc>
                <w:tcPr>
                  <w:tcW w:w="418" w:type="dxa"/>
                  <w:vMerge w:val="restart"/>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center"/>
                    <w:textAlignment w:val="auto"/>
                    <w:rPr>
                      <w:rFonts w:hint="default" w:ascii="Times New Roman" w:hAnsi="Times New Roman" w:cs="Times New Roman"/>
                      <w:b/>
                      <w:bCs/>
                      <w:sz w:val="21"/>
                      <w:szCs w:val="21"/>
                      <w:lang w:val="en-US" w:eastAsia="zh-CN"/>
                    </w:rPr>
                  </w:pPr>
                  <w:r>
                    <w:rPr>
                      <w:rFonts w:hint="default" w:ascii="Times New Roman" w:hAnsi="Times New Roman" w:eastAsia="宋体" w:cs="Times New Roman"/>
                      <w:b/>
                      <w:bCs/>
                      <w:sz w:val="21"/>
                      <w:szCs w:val="21"/>
                      <w:lang w:val="en-US" w:eastAsia="zh-CN"/>
                    </w:rPr>
                    <w:t>符合性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305"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611"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358"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省</w:t>
                  </w:r>
                </w:p>
              </w:tc>
              <w:tc>
                <w:tcPr>
                  <w:tcW w:w="392"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市</w:t>
                  </w:r>
                </w:p>
              </w:tc>
              <w:tc>
                <w:tcPr>
                  <w:tcW w:w="347"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区县</w:t>
                  </w:r>
                </w:p>
              </w:tc>
              <w:tc>
                <w:tcPr>
                  <w:tcW w:w="588"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r>
                    <w:rPr>
                      <w:rFonts w:hint="default" w:ascii="Times New Roman" w:hAnsi="Times New Roman" w:cs="Times New Roman"/>
                      <w:b/>
                      <w:bCs/>
                      <w:sz w:val="21"/>
                      <w:szCs w:val="21"/>
                      <w:lang w:val="en-US" w:eastAsia="zh-CN"/>
                    </w:rPr>
                    <w:t>涉及乡镇(街道)</w:t>
                  </w:r>
                </w:p>
              </w:tc>
              <w:tc>
                <w:tcPr>
                  <w:tcW w:w="796"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p>
              </w:tc>
              <w:tc>
                <w:tcPr>
                  <w:tcW w:w="600"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p>
              </w:tc>
              <w:tc>
                <w:tcPr>
                  <w:tcW w:w="635"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p>
              </w:tc>
              <w:tc>
                <w:tcPr>
                  <w:tcW w:w="2320"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rPr>
                  </w:pPr>
                </w:p>
              </w:tc>
              <w:tc>
                <w:tcPr>
                  <w:tcW w:w="418" w:type="dxa"/>
                  <w:vMerge w:val="continue"/>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b/>
                      <w:bCs/>
                      <w:sz w:val="21"/>
                      <w:szCs w:val="21"/>
                      <w:lang w:val="en-US" w:eastAsia="zh-CN"/>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305"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ZH64032430003</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611"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同心县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兴隆乡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一般管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控单元</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358"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lang w:eastAsia="zh-CN"/>
                    </w:rPr>
                  </w:pPr>
                  <w:r>
                    <w:rPr>
                      <w:rFonts w:hint="default" w:ascii="Times New Roman" w:hAnsi="Times New Roman" w:cs="Times New Roman"/>
                      <w:sz w:val="21"/>
                      <w:szCs w:val="21"/>
                      <w:lang w:eastAsia="zh-CN"/>
                    </w:rPr>
                    <w:t>宁夏回族自治区</w:t>
                  </w:r>
                </w:p>
              </w:tc>
              <w:tc>
                <w:tcPr>
                  <w:tcW w:w="392"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lang w:eastAsia="zh-CN"/>
                    </w:rPr>
                  </w:pPr>
                  <w:r>
                    <w:rPr>
                      <w:rFonts w:hint="default" w:ascii="Times New Roman" w:hAnsi="Times New Roman" w:cs="Times New Roman"/>
                      <w:sz w:val="21"/>
                      <w:szCs w:val="21"/>
                      <w:lang w:eastAsia="zh-CN"/>
                    </w:rPr>
                    <w:t>吴忠市</w:t>
                  </w:r>
                </w:p>
              </w:tc>
              <w:tc>
                <w:tcPr>
                  <w:tcW w:w="347"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lang w:eastAsia="zh-CN"/>
                    </w:rPr>
                  </w:pPr>
                  <w:r>
                    <w:rPr>
                      <w:rFonts w:hint="default" w:ascii="Times New Roman" w:hAnsi="Times New Roman" w:cs="Times New Roman"/>
                      <w:sz w:val="21"/>
                      <w:szCs w:val="21"/>
                      <w:lang w:eastAsia="zh-CN"/>
                    </w:rPr>
                    <w:t>同心县</w:t>
                  </w:r>
                </w:p>
              </w:tc>
              <w:tc>
                <w:tcPr>
                  <w:tcW w:w="588"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兴隆乡</w:t>
                  </w:r>
                </w:p>
              </w:tc>
              <w:tc>
                <w:tcPr>
                  <w:tcW w:w="796"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中部荒漠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草原防沙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治沙区；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国家级重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点生态功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能区</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600"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635"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一般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管控 </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单元</w:t>
                  </w:r>
                </w:p>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p>
              </w:tc>
              <w:tc>
                <w:tcPr>
                  <w:tcW w:w="2320"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不得开展《宁夏回族自治区国家重点生态功能区产业准入清单》中同心县的产业准入清单外的产业项目活动。</w:t>
                  </w:r>
                </w:p>
              </w:tc>
              <w:tc>
                <w:tcPr>
                  <w:tcW w:w="418" w:type="dxa"/>
                  <w:tcBorders>
                    <w:tl2br w:val="nil"/>
                    <w:tr2bl w:val="nil"/>
                  </w:tcBorders>
                  <w:noWrap w:val="0"/>
                  <w:vAlign w:val="center"/>
                </w:tcPr>
                <w:p>
                  <w:pPr>
                    <w:pStyle w:val="33"/>
                    <w:keepNext w:val="0"/>
                    <w:keepLines w:val="0"/>
                    <w:pageBreakBefore w:val="0"/>
                    <w:widowControl w:val="0"/>
                    <w:kinsoku/>
                    <w:wordWrap/>
                    <w:overflowPunct/>
                    <w:topLinePunct w:val="0"/>
                    <w:autoSpaceDE/>
                    <w:autoSpaceDN/>
                    <w:bidi w:val="0"/>
                    <w:adjustRightInd w:val="0"/>
                    <w:snapToGrid w:val="0"/>
                    <w:spacing w:beforeLines="0" w:afterLines="0" w:line="240" w:lineRule="auto"/>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bl>
          <w:p>
            <w:pPr>
              <w:pStyle w:val="59"/>
              <w:bidi w:val="0"/>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lang w:val="en-US" w:eastAsia="zh-CN"/>
              </w:rPr>
              <w:t xml:space="preserve">1-4 </w:t>
            </w:r>
            <w:r>
              <w:rPr>
                <w:rFonts w:hint="default" w:ascii="Times New Roman" w:hAnsi="Times New Roman" w:eastAsia="宋体" w:cs="Times New Roman"/>
                <w:b/>
                <w:bCs/>
                <w:color w:val="000000"/>
                <w:kern w:val="0"/>
                <w:sz w:val="21"/>
                <w:szCs w:val="21"/>
                <w:lang w:val="en-US" w:eastAsia="zh-CN" w:bidi="ar"/>
              </w:rPr>
              <w:t>与“三线一单”生态环境管控要求相符性分析一览表</w:t>
            </w:r>
          </w:p>
          <w:tbl>
            <w:tblPr>
              <w:tblStyle w:val="25"/>
              <w:tblW w:w="7370"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09"/>
              <w:gridCol w:w="623"/>
              <w:gridCol w:w="3205"/>
              <w:gridCol w:w="2187"/>
              <w:gridCol w:w="94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bidi w:val="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序号</w:t>
                  </w:r>
                </w:p>
              </w:tc>
              <w:tc>
                <w:tcPr>
                  <w:tcW w:w="3828" w:type="dxa"/>
                  <w:gridSpan w:val="2"/>
                  <w:tcBorders>
                    <w:tl2br w:val="nil"/>
                    <w:tr2bl w:val="nil"/>
                  </w:tcBorders>
                  <w:noWrap w:val="0"/>
                  <w:vAlign w:val="center"/>
                </w:tcPr>
                <w:p>
                  <w:pPr>
                    <w:pStyle w:val="33"/>
                    <w:bidi w:val="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区域要求</w:t>
                  </w:r>
                </w:p>
              </w:tc>
              <w:tc>
                <w:tcPr>
                  <w:tcW w:w="2187" w:type="dxa"/>
                  <w:tcBorders>
                    <w:tl2br w:val="nil"/>
                    <w:tr2bl w:val="nil"/>
                  </w:tcBorders>
                  <w:noWrap w:val="0"/>
                  <w:vAlign w:val="center"/>
                </w:tcPr>
                <w:p>
                  <w:pPr>
                    <w:pStyle w:val="33"/>
                    <w:bidi w:val="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项目情况</w:t>
                  </w:r>
                </w:p>
              </w:tc>
              <w:tc>
                <w:tcPr>
                  <w:tcW w:w="946" w:type="dxa"/>
                  <w:tcBorders>
                    <w:tl2br w:val="nil"/>
                    <w:tr2bl w:val="nil"/>
                  </w:tcBorders>
                  <w:noWrap w:val="0"/>
                  <w:vAlign w:val="center"/>
                </w:tcPr>
                <w:p>
                  <w:pPr>
                    <w:pStyle w:val="33"/>
                    <w:bidi w:val="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1</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区域主体功能定位</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一般管控单元以适度发展社会经济、避免大规模高强度开发为导向，执行区域生态环境保护的基本要求。</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本项目位于同心县兴隆乡王团村，为</w:t>
                  </w:r>
                  <w:r>
                    <w:rPr>
                      <w:rFonts w:hint="eastAsia" w:cs="Times New Roman"/>
                      <w:sz w:val="21"/>
                      <w:szCs w:val="21"/>
                      <w:lang w:val="en-US" w:eastAsia="zh-CN"/>
                    </w:rPr>
                    <w:t>城市排涝及防洪</w:t>
                  </w:r>
                  <w:r>
                    <w:rPr>
                      <w:rFonts w:hint="default" w:ascii="Times New Roman" w:hAnsi="Times New Roman" w:cs="Times New Roman"/>
                      <w:sz w:val="21"/>
                      <w:szCs w:val="21"/>
                    </w:rPr>
                    <w:t>工程</w:t>
                  </w:r>
                  <w:r>
                    <w:rPr>
                      <w:rFonts w:hint="default" w:ascii="Times New Roman" w:hAnsi="Times New Roman" w:cs="Times New Roman"/>
                      <w:sz w:val="21"/>
                      <w:szCs w:val="21"/>
                      <w:lang w:val="en-US" w:eastAsia="zh-CN"/>
                    </w:rPr>
                    <w:t>，符合区域主体功能定位。</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2</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空间布局约束</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1.严格控制耗煤行业煤炭新增量，重点区域所有新建、改建、扩建耗煤1万吨及以上项目（除热电联产外）一律实行煤炭等量或减量替代。</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建筑工地全面落实“六个100%”的扬尘防控措施，重点区域占地面积超过4000平方米或者建筑面积超过20000平方米的建筑工地安装在线监测和视频监控设备，并与当地有关主管部门联网。对扬尘防控措施达不到要求的工地一律责令停止施工，依法予以行政处罚，记入企业不良信用记录，情节严重的，列入建筑市场主体“黑名单”。</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3.严格控制在优先保护类耕地集中区域新建有色金属冶炼、石油加工、化工、焦化、电镀、制革等行业企业。</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4.重点监管有色金属冶炼、石油开采、石油加工、化工、焦化、电镀、制革等行业，以及产粮（油）大县、地级以上城市建成区等区域。</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5.对暂不开发利用或现阶段不具备治理修复条件的污染地块，按年度计划编制污染地块环境风险管控方案</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本项目的土地用途为</w:t>
                  </w:r>
                  <w:r>
                    <w:rPr>
                      <w:rFonts w:hint="default" w:ascii="Times New Roman" w:hAnsi="Times New Roman" w:cs="Times New Roman"/>
                      <w:sz w:val="21"/>
                      <w:szCs w:val="21"/>
                    </w:rPr>
                    <w:t>江河堤防建设及河道治理工程</w:t>
                  </w:r>
                  <w:r>
                    <w:rPr>
                      <w:rFonts w:hint="default" w:ascii="Times New Roman" w:hAnsi="Times New Roman" w:cs="Times New Roman"/>
                      <w:sz w:val="21"/>
                      <w:szCs w:val="21"/>
                      <w:lang w:val="en-US" w:eastAsia="zh-CN"/>
                    </w:rPr>
                    <w:t>，不涉及其空间布局约束条件。</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3</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污染物排放管控</w:t>
                  </w:r>
                </w:p>
              </w:tc>
              <w:tc>
                <w:tcPr>
                  <w:tcW w:w="3205"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本项目所在区域不存在黑臭水体等相关污染问题，项目为</w:t>
                  </w:r>
                  <w:r>
                    <w:rPr>
                      <w:rFonts w:hint="default" w:ascii="Times New Roman" w:hAnsi="Times New Roman" w:cs="Times New Roman"/>
                      <w:sz w:val="21"/>
                      <w:szCs w:val="21"/>
                    </w:rPr>
                    <w:t>江河堤防建设及河道治理工程</w:t>
                  </w:r>
                  <w:r>
                    <w:rPr>
                      <w:rFonts w:hint="default" w:ascii="Times New Roman" w:hAnsi="Times New Roman" w:cs="Times New Roman"/>
                      <w:sz w:val="21"/>
                      <w:szCs w:val="21"/>
                      <w:lang w:eastAsia="zh-CN"/>
                    </w:rPr>
                    <w:t>，运营期无废水产生</w:t>
                  </w:r>
                  <w:r>
                    <w:rPr>
                      <w:rFonts w:hint="default" w:ascii="Times New Roman" w:hAnsi="Times New Roman" w:cs="Times New Roman"/>
                      <w:sz w:val="21"/>
                      <w:szCs w:val="21"/>
                      <w:lang w:val="en-US" w:eastAsia="zh-CN"/>
                    </w:rPr>
                    <w:t>。</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4</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环境风险防控</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1.1严格执行质量、环保、能耗、安全等法规标准，依法依规推进落后产能退出，严防“地条钢”等列入淘汰名录的低端落后产能死灰复燃。</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1.2建立“散乱污”企业动态管理机制，坚决杜绝“散乱污”企业项目建设和已取缔“散乱污”企业异地转移、死灰复燃，确保取缔到位。</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1.3对物料运输、装卸、转移和工艺过程等无组织排放实施深度治理。</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1.4启动危险废物大数据服务环境监管工作，探索“超市化”物联网管理模式。</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本项目施工期主要以土建和沟道护坡砌护工程，运营期无污染物产生、无危险源，不涉及环境风险防控。</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5</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资源利用效率要求</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1.1到2025年，单位GDP用水量降低15%。</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1.2矿区的补充用水、园区及企业生产和生态用水应优先使用矿井水，加强洗煤废水循环利用。纺织印染、造纸、石油石化、化工、制革等高耗水企业积极采取措施实现废水深度处理回用，工业园区污水处理厂应积极推广中水回用。</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1.3促进再生水利。确保工业生产、城市绿化、道路清扫、车辆冲洗、建筑施工以及生态景观等用水优先使用再生水。具备使用再生水条件但未充分利用的钢铁、火电、化工、制浆造纸、印染等项目，各地均不得批准其新增取水许可。单体建筑面积超过2万平方米的新建公共建筑应安装建筑中水设施。</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1.4到2025年，非化石能源占能源消费总量比重12%。单位GDP能源消耗降低（%）、单位GDP二氧化碳排放降低（%）完成自治区下达目标任务。</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1.5在畜禽粪便肥料化利用和堆肥污染气体减排方面有重大突破，核心示范区实现畜禽粪便无害化率达到90%以上，资源化利用率达到60%，减排污染物40%。</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1.6全市畜禽养殖废弃物处理和资源化利用率达90%以上，规模养殖场粪污处理设施装备配套率达到100%以上。</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1.7全市畜禽粪污综合利用率达到90%。</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1.8全市农作物秸秆综合利用率达到90%以上。全市废旧残膜回收率达到85%。</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本项目运营期无驻场人员，不消耗能源，满足资源利用效率要求。</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6</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生态保护红线</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同心县态空间总面积4434.80</w:t>
                  </w:r>
                  <w:r>
                    <w:rPr>
                      <w:rFonts w:hint="default" w:ascii="Times New Roman" w:hAnsi="Times New Roman" w:eastAsia="等线" w:cs="Times New Roman"/>
                      <w:sz w:val="21"/>
                      <w:szCs w:val="21"/>
                      <w:lang w:val="en-US" w:eastAsia="zh-CN"/>
                    </w:rPr>
                    <w:t>km</w:t>
                  </w:r>
                  <w:r>
                    <w:rPr>
                      <w:rFonts w:hint="default" w:ascii="Times New Roman" w:hAnsi="Times New Roman" w:eastAsia="等线" w:cs="Times New Roman"/>
                      <w:sz w:val="21"/>
                      <w:szCs w:val="21"/>
                      <w:vertAlign w:val="superscript"/>
                      <w:lang w:val="en-US" w:eastAsia="zh-CN"/>
                    </w:rPr>
                    <w:t>2</w:t>
                  </w:r>
                  <w:r>
                    <w:rPr>
                      <w:rFonts w:hint="default" w:ascii="Times New Roman" w:hAnsi="Times New Roman" w:cs="Times New Roman"/>
                      <w:sz w:val="21"/>
                      <w:szCs w:val="21"/>
                      <w:lang w:val="en-US" w:eastAsia="zh-CN"/>
                    </w:rPr>
                    <w:t>，生态保护红线1139.89</w:t>
                  </w:r>
                  <w:r>
                    <w:rPr>
                      <w:rFonts w:hint="default" w:ascii="Times New Roman" w:hAnsi="Times New Roman" w:eastAsia="等线" w:cs="Times New Roman"/>
                      <w:sz w:val="21"/>
                      <w:szCs w:val="21"/>
                      <w:lang w:val="en-US" w:eastAsia="zh-CN"/>
                    </w:rPr>
                    <w:t>km</w:t>
                  </w:r>
                  <w:r>
                    <w:rPr>
                      <w:rFonts w:hint="default" w:ascii="Times New Roman" w:hAnsi="Times New Roman" w:eastAsia="等线" w:cs="Times New Roman"/>
                      <w:sz w:val="21"/>
                      <w:szCs w:val="21"/>
                      <w:vertAlign w:val="superscript"/>
                      <w:lang w:val="en-US" w:eastAsia="zh-CN"/>
                    </w:rPr>
                    <w:t>2</w:t>
                  </w:r>
                  <w:r>
                    <w:rPr>
                      <w:rFonts w:hint="default" w:ascii="Times New Roman" w:hAnsi="Times New Roman" w:cs="Times New Roman"/>
                      <w:sz w:val="21"/>
                      <w:szCs w:val="21"/>
                      <w:lang w:val="en-US" w:eastAsia="zh-CN"/>
                    </w:rPr>
                    <w:t>，一般生态空间439.60</w:t>
                  </w:r>
                  <w:r>
                    <w:rPr>
                      <w:rFonts w:hint="default" w:ascii="Times New Roman" w:hAnsi="Times New Roman" w:eastAsia="等线" w:cs="Times New Roman"/>
                      <w:sz w:val="21"/>
                      <w:szCs w:val="21"/>
                      <w:lang w:val="en-US" w:eastAsia="zh-CN"/>
                    </w:rPr>
                    <w:t>km</w:t>
                  </w:r>
                  <w:r>
                    <w:rPr>
                      <w:rFonts w:hint="default" w:ascii="Times New Roman" w:hAnsi="Times New Roman" w:eastAsia="等线" w:cs="Times New Roman"/>
                      <w:sz w:val="21"/>
                      <w:szCs w:val="21"/>
                      <w:vertAlign w:val="superscript"/>
                      <w:lang w:val="en-US" w:eastAsia="zh-CN"/>
                    </w:rPr>
                    <w:t>2</w:t>
                  </w:r>
                  <w:r>
                    <w:rPr>
                      <w:rFonts w:hint="default" w:ascii="Times New Roman" w:hAnsi="Times New Roman" w:cs="Times New Roman"/>
                      <w:sz w:val="21"/>
                      <w:szCs w:val="21"/>
                      <w:lang w:val="en-US" w:eastAsia="zh-CN"/>
                    </w:rPr>
                    <w:t>，</w:t>
                  </w:r>
                  <w:r>
                    <w:rPr>
                      <w:rFonts w:hint="default" w:ascii="Times New Roman" w:hAnsi="Times New Roman" w:cs="Times New Roman"/>
                      <w:sz w:val="21"/>
                      <w:szCs w:val="21"/>
                      <w:lang w:eastAsia="zh-CN"/>
                    </w:rPr>
                    <w:t>生态空间总面积</w:t>
                  </w:r>
                  <w:r>
                    <w:rPr>
                      <w:rFonts w:hint="default" w:ascii="Times New Roman" w:hAnsi="Times New Roman" w:cs="Times New Roman"/>
                      <w:sz w:val="21"/>
                      <w:szCs w:val="21"/>
                      <w:lang w:val="en-US" w:eastAsia="zh-CN"/>
                    </w:rPr>
                    <w:t>占比9.42%。</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w:t>
                  </w:r>
                  <w:r>
                    <w:rPr>
                      <w:rFonts w:hint="default" w:ascii="Times New Roman" w:hAnsi="Times New Roman" w:cs="Times New Roman"/>
                      <w:sz w:val="21"/>
                      <w:szCs w:val="21"/>
                    </w:rPr>
                    <w:t>不涉及</w:t>
                  </w:r>
                  <w:r>
                    <w:rPr>
                      <w:rFonts w:hint="default" w:ascii="Times New Roman" w:hAnsi="Times New Roman" w:cs="Times New Roman"/>
                      <w:sz w:val="21"/>
                      <w:szCs w:val="21"/>
                      <w:lang w:eastAsia="zh-CN"/>
                    </w:rPr>
                    <w:t>上述的</w:t>
                  </w:r>
                  <w:r>
                    <w:rPr>
                      <w:rFonts w:hint="default" w:ascii="Times New Roman" w:hAnsi="Times New Roman" w:cs="Times New Roman"/>
                      <w:sz w:val="21"/>
                      <w:szCs w:val="21"/>
                    </w:rPr>
                    <w:t>自然保护区、饮用水源保护区等生态保护目标。</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7</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rPr>
                    <w:t>环境质量底线</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eastAsia="zh-CN"/>
                    </w:rPr>
                    <w:t>参考</w:t>
                  </w:r>
                  <w:r>
                    <w:rPr>
                      <w:rFonts w:hint="default" w:ascii="Times New Roman" w:hAnsi="Times New Roman" w:cs="Times New Roman"/>
                      <w:sz w:val="21"/>
                      <w:szCs w:val="21"/>
                    </w:rPr>
                    <w:t>《中共宁夏回族自治区委员会关于建设黄河流域生态保护和高质量发展先行区的实施意见》、《自治区人民政府关于印发宁夏回族自治区国民经济和社会发展第十四个五年规划和2035年远景目标纲要的通知》等文件要求</w:t>
                  </w:r>
                  <w:r>
                    <w:rPr>
                      <w:rFonts w:hint="default" w:ascii="Times New Roman" w:hAnsi="Times New Roman" w:cs="Times New Roman"/>
                      <w:sz w:val="21"/>
                      <w:szCs w:val="21"/>
                      <w:lang w:eastAsia="zh-CN"/>
                    </w:rPr>
                    <w:t>，</w:t>
                  </w:r>
                  <w:r>
                    <w:rPr>
                      <w:rFonts w:hint="default" w:ascii="Times New Roman" w:hAnsi="Times New Roman" w:cs="Times New Roman"/>
                      <w:sz w:val="21"/>
                      <w:szCs w:val="21"/>
                    </w:rPr>
                    <w:t>根据《202</w:t>
                  </w:r>
                  <w:r>
                    <w:rPr>
                      <w:rFonts w:hint="default" w:ascii="Times New Roman" w:hAnsi="Times New Roman" w:cs="Times New Roman"/>
                      <w:sz w:val="21"/>
                      <w:szCs w:val="21"/>
                      <w:lang w:val="en-US" w:eastAsia="zh-CN"/>
                    </w:rPr>
                    <w:t>1</w:t>
                  </w:r>
                  <w:r>
                    <w:rPr>
                      <w:rFonts w:hint="default" w:ascii="Times New Roman" w:hAnsi="Times New Roman" w:cs="Times New Roman"/>
                      <w:sz w:val="21"/>
                      <w:szCs w:val="21"/>
                    </w:rPr>
                    <w:t>年宁夏生态环境质量状况》，</w:t>
                  </w:r>
                  <w:r>
                    <w:rPr>
                      <w:rFonts w:hint="default" w:ascii="Times New Roman" w:hAnsi="Times New Roman" w:cs="Times New Roman"/>
                      <w:sz w:val="21"/>
                      <w:szCs w:val="21"/>
                      <w:lang w:eastAsia="zh-CN"/>
                    </w:rPr>
                    <w:t>同心县</w:t>
                  </w:r>
                  <w:r>
                    <w:rPr>
                      <w:rFonts w:hint="default" w:ascii="Times New Roman" w:hAnsi="Times New Roman" w:cs="Times New Roman"/>
                      <w:sz w:val="21"/>
                      <w:szCs w:val="21"/>
                    </w:rPr>
                    <w:t>环境空气质量优良天数比例为</w:t>
                  </w:r>
                  <w:r>
                    <w:rPr>
                      <w:rFonts w:hint="default" w:ascii="Times New Roman" w:hAnsi="Times New Roman" w:cs="Times New Roman"/>
                      <w:sz w:val="21"/>
                      <w:szCs w:val="21"/>
                      <w:lang w:val="en-US" w:eastAsia="zh-CN"/>
                    </w:rPr>
                    <w:t>97.4</w:t>
                  </w:r>
                  <w:r>
                    <w:rPr>
                      <w:rFonts w:hint="default" w:ascii="Times New Roman" w:hAnsi="Times New Roman" w:cs="Times New Roman"/>
                      <w:sz w:val="21"/>
                      <w:szCs w:val="21"/>
                    </w:rPr>
                    <w:t>，同比上升</w:t>
                  </w:r>
                  <w:r>
                    <w:rPr>
                      <w:rFonts w:hint="default" w:ascii="Times New Roman" w:hAnsi="Times New Roman" w:cs="Times New Roman"/>
                      <w:sz w:val="21"/>
                      <w:szCs w:val="21"/>
                      <w:lang w:val="en-US"/>
                    </w:rPr>
                    <w:t>1.1</w:t>
                  </w:r>
                  <w:r>
                    <w:rPr>
                      <w:rFonts w:hint="default" w:ascii="Times New Roman" w:hAnsi="Times New Roman" w:cs="Times New Roman"/>
                      <w:sz w:val="21"/>
                      <w:szCs w:val="21"/>
                    </w:rPr>
                    <w:t>个百分点。</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eastAsia="zh-CN"/>
                    </w:rPr>
                    <w:t>本项目</w:t>
                  </w:r>
                  <w:r>
                    <w:rPr>
                      <w:rFonts w:hint="default" w:ascii="Times New Roman" w:hAnsi="Times New Roman" w:cs="Times New Roman"/>
                      <w:sz w:val="21"/>
                      <w:szCs w:val="21"/>
                    </w:rPr>
                    <w:t>施工期通过采取相应的保护及缓解措施</w:t>
                  </w:r>
                  <w:r>
                    <w:rPr>
                      <w:rFonts w:hint="default" w:ascii="Times New Roman" w:hAnsi="Times New Roman" w:cs="Times New Roman"/>
                      <w:sz w:val="21"/>
                      <w:szCs w:val="21"/>
                      <w:lang w:eastAsia="zh-CN"/>
                    </w:rPr>
                    <w:t>来减小对周围环境的影响。</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本项目建成后无污染物产生和排放。</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综上所述，本项目在施工期和运营期对周围环境影响较小，</w:t>
                  </w:r>
                  <w:r>
                    <w:rPr>
                      <w:rFonts w:hint="default" w:ascii="Times New Roman" w:hAnsi="Times New Roman" w:cs="Times New Roman"/>
                      <w:sz w:val="21"/>
                      <w:szCs w:val="21"/>
                      <w:lang w:eastAsia="zh-CN"/>
                    </w:rPr>
                    <w:t>满足环境质量底线的要求</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8</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rPr>
                    <w:t>资源利用上线</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rPr>
                    <w:t>从生态环境保护的角度出发，综合考虑生态保护红线、永久基本农田等保护区域的面积，可开发利用土地资源的存量，以及土地资源的集约利用水平等因素，评价各</w:t>
                  </w:r>
                  <w:r>
                    <w:rPr>
                      <w:rFonts w:hint="default" w:ascii="Times New Roman" w:hAnsi="Times New Roman" w:cs="Times New Roman"/>
                      <w:sz w:val="21"/>
                      <w:szCs w:val="21"/>
                      <w:lang w:eastAsia="zh-CN"/>
                    </w:rPr>
                    <w:t>项目</w:t>
                  </w:r>
                  <w:r>
                    <w:rPr>
                      <w:rFonts w:hint="default" w:ascii="Times New Roman" w:hAnsi="Times New Roman" w:cs="Times New Roman"/>
                      <w:sz w:val="21"/>
                      <w:szCs w:val="21"/>
                    </w:rPr>
                    <w:t>在土地资源开发利用与生态环境保护方面的潜在矛盾程度。</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本项目运营期无驻场人员，不消耗能源。</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409"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9</w:t>
                  </w:r>
                </w:p>
              </w:tc>
              <w:tc>
                <w:tcPr>
                  <w:tcW w:w="623"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rPr>
                    <w:t>环境准入负面清单</w:t>
                  </w:r>
                </w:p>
              </w:tc>
              <w:tc>
                <w:tcPr>
                  <w:tcW w:w="3205"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1.中部干旱半干旱水土流失、罗山生物多样性维护、防风固沙生态保护红线生态保护原则上按禁止开发区域的要求进行管理。（依据《宁夏回族自治区生态保护红线管理条例》）</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2.不得开展《宁夏回族自治区国家重点生态功能区产业准入清单》中同心县的产业准入清单外的产业项目活动。</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3.严格区域矿产资源开发项目审批。</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4.除国家重大战略项目以及对生态功能不造成破坏的八类有限人为活动之外，严格禁止开发性、生产性建设活动。（依据《关于在国土空间规划中统筹划定落实三条控制线的指导意见》第四条）。</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5.开展的其他开发利用类项目不得损害该区域防风固沙和生物多样性。</w:t>
                  </w:r>
                </w:p>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6.区域内划入永久基本农田的优先保护类耕地，除法律规定的重点建设项目选址确实无法避让外，不得擅自占用。（依据《国务院关于印发土壤污染防治行动计划的通知》（国发〔2016〕31号）。</w:t>
                  </w:r>
                </w:p>
              </w:tc>
              <w:tc>
                <w:tcPr>
                  <w:tcW w:w="2187" w:type="dxa"/>
                  <w:tcBorders>
                    <w:tl2br w:val="nil"/>
                    <w:tr2bl w:val="nil"/>
                  </w:tcBorders>
                  <w:noWrap w:val="0"/>
                  <w:vAlign w:val="center"/>
                </w:tcPr>
                <w:p>
                  <w:pPr>
                    <w:pStyle w:val="69"/>
                    <w:keepNext w:val="0"/>
                    <w:keepLines w:val="0"/>
                    <w:pageBreakBefore w:val="0"/>
                    <w:kinsoku/>
                    <w:wordWrap/>
                    <w:overflowPunct/>
                    <w:topLinePunct w:val="0"/>
                    <w:autoSpaceDE/>
                    <w:autoSpaceDN/>
                    <w:bidi w:val="0"/>
                    <w:spacing w:line="240" w:lineRule="auto"/>
                    <w:ind w:firstLine="0" w:firstLineChars="0"/>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eastAsia="zh-CN"/>
                    </w:rPr>
                    <w:t>本项目不在上述管控要求范围之内，符合准入条件及</w:t>
                  </w:r>
                  <w:r>
                    <w:rPr>
                      <w:rFonts w:hint="default" w:ascii="Times New Roman" w:hAnsi="Times New Roman" w:cs="Times New Roman"/>
                      <w:sz w:val="21"/>
                      <w:szCs w:val="21"/>
                    </w:rPr>
                    <w:t>相关产业政策，布局选址、资源利用效率、资源配置等均不涉及负面清单中规定的类别</w:t>
                  </w:r>
                  <w:r>
                    <w:rPr>
                      <w:rFonts w:hint="default" w:ascii="Times New Roman" w:hAnsi="Times New Roman" w:cs="Times New Roman"/>
                      <w:sz w:val="21"/>
                      <w:szCs w:val="21"/>
                      <w:lang w:eastAsia="zh-CN"/>
                    </w:rPr>
                    <w:t>。</w:t>
                  </w:r>
                </w:p>
              </w:tc>
              <w:tc>
                <w:tcPr>
                  <w:tcW w:w="946" w:type="dxa"/>
                  <w:tcBorders>
                    <w:tl2br w:val="nil"/>
                    <w:tr2bl w:val="nil"/>
                  </w:tcBorders>
                  <w:noWrap w:val="0"/>
                  <w:vAlign w:val="center"/>
                </w:tcPr>
                <w:p>
                  <w:pPr>
                    <w:pStyle w:val="33"/>
                    <w:keepNext w:val="0"/>
                    <w:keepLines w:val="0"/>
                    <w:pageBreakBefore w:val="0"/>
                    <w:kinsoku/>
                    <w:wordWrap/>
                    <w:overflowPunct/>
                    <w:topLinePunct w:val="0"/>
                    <w:autoSpaceDE/>
                    <w:autoSpaceDN/>
                    <w:bidi w:val="0"/>
                    <w:spacing w:beforeLines="0" w:afterLines="0" w:line="240" w:lineRule="auto"/>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符合</w:t>
                  </w:r>
                </w:p>
              </w:tc>
            </w:tr>
          </w:tbl>
          <w:p>
            <w:pPr>
              <w:adjustRightInd w:val="0"/>
              <w:snapToGrid w:val="0"/>
              <w:spacing w:line="360" w:lineRule="auto"/>
              <w:ind w:firstLine="480" w:firstLineChars="200"/>
              <w:rPr>
                <w:rFonts w:hint="default" w:ascii="Times New Roman" w:hAnsi="Times New Roman" w:eastAsia="宋体" w:cs="Times New Roman"/>
                <w:snapToGrid w:val="0"/>
                <w:color w:val="000000" w:themeColor="text1"/>
                <w:kern w:val="0"/>
                <w:sz w:val="24"/>
                <w14:textFill>
                  <w14:solidFill>
                    <w14:schemeClr w14:val="tx1"/>
                  </w14:solidFill>
                </w14:textFill>
              </w:rPr>
            </w:pPr>
            <w:r>
              <w:rPr>
                <w:rFonts w:hint="default" w:ascii="Times New Roman" w:hAnsi="Times New Roman" w:eastAsia="宋体" w:cs="Times New Roman"/>
                <w:snapToGrid w:val="0"/>
                <w:color w:val="000000" w:themeColor="text1"/>
                <w:kern w:val="0"/>
                <w:sz w:val="24"/>
                <w:lang w:val="en-US" w:eastAsia="zh-CN"/>
                <w14:textFill>
                  <w14:solidFill>
                    <w14:schemeClr w14:val="tx1"/>
                  </w14:solidFill>
                </w14:textFill>
              </w:rPr>
              <w:t>根据上表可知，本项目的建设符合“三线一单”生态环境管控相关要求。</w:t>
            </w:r>
          </w:p>
          <w:p>
            <w:pPr>
              <w:adjustRightInd w:val="0"/>
              <w:snapToGrid w:val="0"/>
              <w:spacing w:line="360" w:lineRule="auto"/>
              <w:ind w:firstLine="480" w:firstLineChars="200"/>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综上所述，本项目符合</w:t>
            </w:r>
            <w:r>
              <w:rPr>
                <w:rFonts w:hint="default" w:ascii="Times New Roman" w:hAnsi="Times New Roman" w:cs="Times New Roman"/>
                <w:snapToGrid w:val="0"/>
                <w:color w:val="000000" w:themeColor="text1"/>
                <w:kern w:val="0"/>
                <w:sz w:val="24"/>
                <w14:textFill>
                  <w14:solidFill>
                    <w14:schemeClr w14:val="tx1"/>
                  </w14:solidFill>
                </w14:textFill>
              </w:rPr>
              <w:t>《吴忠市人民政府关于实施“三线一单”生态环境分区管控的意见》中</w:t>
            </w:r>
            <w:r>
              <w:rPr>
                <w:rFonts w:hint="default" w:ascii="Times New Roman" w:hAnsi="Times New Roman" w:cs="Times New Roman"/>
                <w:color w:val="000000" w:themeColor="text1"/>
                <w:sz w:val="24"/>
                <w14:textFill>
                  <w14:solidFill>
                    <w14:schemeClr w14:val="tx1"/>
                  </w14:solidFill>
                </w14:textFill>
              </w:rPr>
              <w:t>生态环境分区管控的要求。</w:t>
            </w:r>
          </w:p>
        </w:tc>
      </w:tr>
    </w:tbl>
    <w:p>
      <w:pPr>
        <w:spacing w:line="360" w:lineRule="auto"/>
        <w:rPr>
          <w:rFonts w:hint="default" w:ascii="Times New Roman" w:hAnsi="Times New Roman" w:eastAsia="黑体" w:cs="Times New Roman"/>
          <w:color w:val="000000" w:themeColor="text1"/>
          <w:sz w:val="30"/>
          <w14:textFill>
            <w14:solidFill>
              <w14:schemeClr w14:val="tx1"/>
            </w14:solidFill>
          </w14:textFill>
        </w:rPr>
        <w:sectPr>
          <w:footerReference r:id="rId8"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19"/>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bookmarkStart w:id="6" w:name="_Toc25281"/>
      <w:r>
        <w:rPr>
          <w:rFonts w:hint="default" w:ascii="Times New Roman" w:hAnsi="Times New Roman" w:eastAsia="黑体" w:cs="Times New Roman"/>
          <w:snapToGrid w:val="0"/>
          <w:color w:val="000000" w:themeColor="text1"/>
          <w:sz w:val="30"/>
          <w:szCs w:val="30"/>
          <w14:textFill>
            <w14:solidFill>
              <w14:schemeClr w14:val="tx1"/>
            </w14:solidFill>
          </w14:textFill>
        </w:rPr>
        <w:t>二、建设内容</w:t>
      </w:r>
      <w:bookmarkEnd w:id="6"/>
    </w:p>
    <w:tbl>
      <w:tblPr>
        <w:tblStyle w:val="24"/>
        <w:tblW w:w="85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19"/>
        <w:gridCol w:w="810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8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地理位置</w:t>
            </w:r>
          </w:p>
        </w:tc>
        <w:tc>
          <w:tcPr>
            <w:tcW w:w="7718" w:type="dxa"/>
            <w:vAlign w:val="center"/>
          </w:tcPr>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项目建设地点位于王团村，王团村位于同心县以西10公里，北邻同海线，南至红果沟，西与马塘支渠相连，东靠固海扬水七干渠。</w:t>
            </w:r>
          </w:p>
          <w:p>
            <w:pPr>
              <w:pStyle w:val="32"/>
              <w:rPr>
                <w:rFonts w:hint="default" w:ascii="Times New Roman" w:hAnsi="Times New Roman" w:cs="Times New Roman"/>
              </w:rPr>
            </w:pPr>
            <w:r>
              <w:rPr>
                <w:rFonts w:hint="default" w:ascii="Times New Roman" w:hAnsi="Times New Roman" w:cs="Times New Roman"/>
              </w:rPr>
              <w:drawing>
                <wp:inline distT="0" distB="0" distL="114300" distR="114300">
                  <wp:extent cx="4751705" cy="4490085"/>
                  <wp:effectExtent l="0" t="0" r="10795" b="571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0"/>
                          <a:stretch>
                            <a:fillRect/>
                          </a:stretch>
                        </pic:blipFill>
                        <pic:spPr>
                          <a:xfrm>
                            <a:off x="0" y="0"/>
                            <a:ext cx="4751705" cy="4490085"/>
                          </a:xfrm>
                          <a:prstGeom prst="rect">
                            <a:avLst/>
                          </a:prstGeom>
                          <a:noFill/>
                          <a:ln>
                            <a:noFill/>
                          </a:ln>
                        </pic:spPr>
                      </pic:pic>
                    </a:graphicData>
                  </a:graphic>
                </wp:inline>
              </w:drawing>
            </w:r>
          </w:p>
          <w:p>
            <w:pPr>
              <w:adjustRightInd w:val="0"/>
              <w:snapToGrid w:val="0"/>
              <w:spacing w:line="360" w:lineRule="auto"/>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b/>
                <w:bCs/>
                <w:color w:val="000000" w:themeColor="text1"/>
                <w:kern w:val="0"/>
                <w:szCs w:val="21"/>
                <w14:textFill>
                  <w14:solidFill>
                    <w14:schemeClr w14:val="tx1"/>
                  </w14:solidFill>
                </w14:textFill>
              </w:rPr>
              <w:t>图1地理位置图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29" w:hRule="atLeast"/>
          <w:jc w:val="center"/>
        </w:trPr>
        <w:tc>
          <w:tcPr>
            <w:tcW w:w="8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项目组成及规模</w:t>
            </w:r>
          </w:p>
        </w:tc>
        <w:tc>
          <w:tcPr>
            <w:tcW w:w="7718"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000000" w:themeColor="text1"/>
                <w:kern w:val="0"/>
                <w:sz w:val="24"/>
                <w14:textFill>
                  <w14:solidFill>
                    <w14:schemeClr w14:val="tx1"/>
                  </w14:solidFill>
                </w14:textFill>
              </w:rPr>
            </w:pPr>
            <w:r>
              <w:rPr>
                <w:rFonts w:hint="default" w:ascii="Times New Roman" w:hAnsi="Times New Roman" w:cs="Times New Roman"/>
                <w:b/>
                <w:bCs/>
                <w:color w:val="000000" w:themeColor="text1"/>
                <w:kern w:val="0"/>
                <w:sz w:val="24"/>
                <w:lang w:val="en-US" w:eastAsia="zh-CN"/>
                <w14:textFill>
                  <w14:solidFill>
                    <w14:schemeClr w14:val="tx1"/>
                  </w14:solidFill>
                </w14:textFill>
              </w:rPr>
              <w:t>1、项目基础概况</w:t>
            </w:r>
          </w:p>
          <w:p>
            <w:pPr>
              <w:pStyle w:val="8"/>
              <w:spacing w:before="0" w:after="0" w:line="360" w:lineRule="auto"/>
              <w:ind w:right="0" w:firstLine="480" w:firstLineChars="200"/>
              <w:rPr>
                <w:rFonts w:hint="default" w:ascii="Times New Roman" w:hAnsi="Times New Roman" w:cs="Times New Roman"/>
                <w:color w:val="000000" w:themeColor="text1"/>
                <w:kern w:val="2"/>
                <w:sz w:val="24"/>
                <w:szCs w:val="24"/>
                <w14:textFill>
                  <w14:solidFill>
                    <w14:schemeClr w14:val="tx1"/>
                  </w14:solidFill>
                </w14:textFill>
              </w:rPr>
            </w:pPr>
            <w:r>
              <w:rPr>
                <w:rFonts w:hint="default" w:ascii="Times New Roman" w:hAnsi="Times New Roman" w:cs="Times New Roman"/>
                <w:color w:val="000000" w:themeColor="text1"/>
                <w:kern w:val="2"/>
                <w:sz w:val="24"/>
                <w:szCs w:val="24"/>
                <w14:textFill>
                  <w14:solidFill>
                    <w14:schemeClr w14:val="tx1"/>
                  </w14:solidFill>
                </w14:textFill>
              </w:rPr>
              <w:t>项目区位于同心县城区以西10公里的王团村，由于项目区村庄西高东低，南高北低，村庄主干道硬化路面从南向北穿过王团村庄，主干道硬化路面高程高于东侧村庄巷道硬化路面30</w:t>
            </w:r>
            <w:r>
              <w:rPr>
                <w:rFonts w:hint="eastAsia" w:cs="Times New Roman"/>
                <w:color w:val="000000" w:themeColor="text1"/>
                <w:kern w:val="2"/>
                <w:sz w:val="24"/>
                <w:szCs w:val="24"/>
                <w:lang w:val="en-US" w:eastAsia="zh-CN"/>
                <w14:textFill>
                  <w14:solidFill>
                    <w14:schemeClr w14:val="tx1"/>
                  </w14:solidFill>
                </w14:textFill>
              </w:rPr>
              <w:t>cm</w:t>
            </w:r>
            <w:r>
              <w:rPr>
                <w:rFonts w:hint="default" w:ascii="Times New Roman" w:hAnsi="Times New Roman" w:cs="Times New Roman"/>
                <w:color w:val="000000" w:themeColor="text1"/>
                <w:kern w:val="2"/>
                <w:sz w:val="24"/>
                <w:szCs w:val="24"/>
                <w14:textFill>
                  <w14:solidFill>
                    <w14:schemeClr w14:val="tx1"/>
                  </w14:solidFill>
                </w14:textFill>
              </w:rPr>
              <w:t>-50cm，由于路高，居民院落较低，自然形成挡水墙，加之主干道硬化路在修建过程中没有考虑排水设施，一遇雨季雨水无法排出，造成村庄内涝，尤其是遇到较强降雨天气，内涝情况尤为严重且威胁居民生命财产安全。</w:t>
            </w:r>
          </w:p>
          <w:p>
            <w:pPr>
              <w:pStyle w:val="8"/>
              <w:spacing w:before="0" w:after="0" w:line="360" w:lineRule="auto"/>
              <w:ind w:right="0" w:firstLine="480" w:firstLineChars="200"/>
              <w:rPr>
                <w:rFonts w:hint="default" w:ascii="Times New Roman" w:hAnsi="Times New Roman" w:cs="Times New Roman"/>
                <w:color w:val="000000" w:themeColor="text1"/>
                <w:kern w:val="2"/>
                <w:sz w:val="24"/>
                <w:szCs w:val="24"/>
                <w14:textFill>
                  <w14:solidFill>
                    <w14:schemeClr w14:val="tx1"/>
                  </w14:solidFill>
                </w14:textFill>
              </w:rPr>
            </w:pPr>
            <w:r>
              <w:rPr>
                <w:rFonts w:hint="default" w:ascii="Times New Roman" w:hAnsi="Times New Roman" w:cs="Times New Roman"/>
                <w:color w:val="000000" w:themeColor="text1"/>
                <w:kern w:val="2"/>
                <w:sz w:val="24"/>
                <w:szCs w:val="24"/>
                <w14:textFill>
                  <w14:solidFill>
                    <w14:schemeClr w14:val="tx1"/>
                  </w14:solidFill>
                </w14:textFill>
              </w:rPr>
              <w:t>自2022年7月1日以来，我县境内连续出现强降雨过程，特别是在“701”“713”阵雨强降雨过程中，给我村农业生产农民生活造成了很大影响。虽然，</w:t>
            </w:r>
            <w:r>
              <w:rPr>
                <w:rFonts w:hint="eastAsia" w:cs="Times New Roman"/>
                <w:color w:val="000000" w:themeColor="text1"/>
                <w:kern w:val="2"/>
                <w:sz w:val="24"/>
                <w:szCs w:val="24"/>
                <w:lang w:eastAsia="zh-CN"/>
                <w14:textFill>
                  <w14:solidFill>
                    <w14:schemeClr w14:val="tx1"/>
                  </w14:solidFill>
                </w14:textFill>
              </w:rPr>
              <w:t>按</w:t>
            </w:r>
            <w:r>
              <w:rPr>
                <w:rFonts w:hint="default" w:ascii="Times New Roman" w:hAnsi="Times New Roman" w:cs="Times New Roman"/>
                <w:color w:val="000000" w:themeColor="text1"/>
                <w:kern w:val="2"/>
                <w:sz w:val="24"/>
                <w:szCs w:val="24"/>
                <w14:textFill>
                  <w14:solidFill>
                    <w14:schemeClr w14:val="tx1"/>
                  </w14:solidFill>
                </w14:textFill>
              </w:rPr>
              <w:t>照乡党委政府部署，通过县乡两级降雨预警、广泛宣传和应急处置准备，但是干旱、暴晒等天气不利因素加剧降雨过程气象天气复杂剧烈，形成了强对流、强降雨、冰雹夹杂等气象天气。导致我村部分农业生产道路遭受瞬间强降雨产生的大洪水浸泡冲刷，导致土方滑坡，生产路2.2公里的道路灾害损坏情况，造成损失4万余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000000" w:themeColor="text1"/>
                <w:kern w:val="0"/>
                <w:sz w:val="24"/>
                <w14:textFill>
                  <w14:solidFill>
                    <w14:schemeClr w14:val="tx1"/>
                  </w14:solidFill>
                </w14:textFill>
              </w:rPr>
            </w:pPr>
            <w:r>
              <w:rPr>
                <w:rFonts w:hint="default" w:ascii="Times New Roman" w:hAnsi="Times New Roman" w:cs="Times New Roman"/>
                <w:b/>
                <w:bCs/>
                <w:color w:val="000000" w:themeColor="text1"/>
                <w:kern w:val="0"/>
                <w:sz w:val="24"/>
                <w:lang w:val="en-US" w:eastAsia="zh-CN"/>
                <w14:textFill>
                  <w14:solidFill>
                    <w14:schemeClr w14:val="tx1"/>
                  </w14:solidFill>
                </w14:textFill>
              </w:rPr>
              <w:t>2、</w:t>
            </w:r>
            <w:r>
              <w:rPr>
                <w:rFonts w:hint="default" w:ascii="Times New Roman" w:hAnsi="Times New Roman" w:cs="Times New Roman"/>
                <w:b/>
                <w:bCs/>
                <w:color w:val="000000" w:themeColor="text1"/>
                <w:kern w:val="0"/>
                <w:sz w:val="24"/>
                <w14:textFill>
                  <w14:solidFill>
                    <w14:schemeClr w14:val="tx1"/>
                  </w14:solidFill>
                </w14:textFill>
              </w:rPr>
              <w:t>村庄防洪除涝现状</w:t>
            </w:r>
          </w:p>
          <w:p>
            <w:pPr>
              <w:pStyle w:val="8"/>
              <w:spacing w:before="0" w:after="0" w:line="360" w:lineRule="auto"/>
              <w:ind w:right="0" w:firstLine="480" w:firstLineChars="200"/>
              <w:rPr>
                <w:rFonts w:hint="default" w:ascii="Times New Roman" w:hAnsi="Times New Roman" w:cs="Times New Roman"/>
                <w:color w:val="000000" w:themeColor="text1"/>
                <w:kern w:val="2"/>
                <w:sz w:val="24"/>
                <w:szCs w:val="24"/>
                <w14:textFill>
                  <w14:solidFill>
                    <w14:schemeClr w14:val="tx1"/>
                  </w14:solidFill>
                </w14:textFill>
              </w:rPr>
            </w:pPr>
            <w:r>
              <w:rPr>
                <w:rFonts w:hint="default" w:ascii="Times New Roman" w:hAnsi="Times New Roman" w:cs="Times New Roman"/>
                <w:color w:val="000000" w:themeColor="text1"/>
                <w:kern w:val="2"/>
                <w:sz w:val="24"/>
                <w:szCs w:val="24"/>
                <w14:textFill>
                  <w14:solidFill>
                    <w14:schemeClr w14:val="tx1"/>
                  </w14:solidFill>
                </w14:textFill>
              </w:rPr>
              <w:t>由于没有排涝沟道，致使雨水汇集，雨水淹没村庄庭院及建筑设施，直接威胁着附近居民的生命和财产安全，对当地的社会发展造成安全隐患。经现场勘察，项目区洪水主要来源于村庄集雨产生的雨水，无其他沟道及地表水汇流。</w:t>
            </w:r>
          </w:p>
          <w:p>
            <w:pPr>
              <w:pStyle w:val="8"/>
              <w:spacing w:before="0" w:after="0" w:line="360" w:lineRule="auto"/>
              <w:ind w:right="0"/>
              <w:rPr>
                <w:rFonts w:hint="default" w:ascii="Times New Roman" w:hAnsi="Times New Roman" w:cs="Times New Roman"/>
                <w:color w:val="000000" w:themeColor="text1"/>
                <w:kern w:val="2"/>
                <w:sz w:val="24"/>
                <w:szCs w:val="24"/>
                <w14:textFill>
                  <w14:solidFill>
                    <w14:schemeClr w14:val="tx1"/>
                  </w14:solidFill>
                </w14:textFill>
              </w:rPr>
            </w:pPr>
            <w:r>
              <w:rPr>
                <w:rFonts w:hint="default" w:ascii="Times New Roman" w:hAnsi="Times New Roman" w:cs="Times New Roman"/>
              </w:rPr>
              <w:drawing>
                <wp:inline distT="0" distB="0" distL="114300" distR="114300">
                  <wp:extent cx="4759325" cy="3570605"/>
                  <wp:effectExtent l="0" t="0" r="3175" b="1079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1"/>
                          <a:stretch>
                            <a:fillRect/>
                          </a:stretch>
                        </pic:blipFill>
                        <pic:spPr>
                          <a:xfrm>
                            <a:off x="0" y="0"/>
                            <a:ext cx="4759325" cy="3570605"/>
                          </a:xfrm>
                          <a:prstGeom prst="rect">
                            <a:avLst/>
                          </a:prstGeom>
                          <a:noFill/>
                          <a:ln>
                            <a:noFill/>
                          </a:ln>
                        </pic:spPr>
                      </pic:pic>
                    </a:graphicData>
                  </a:graphic>
                </wp:inline>
              </w:drawing>
            </w:r>
          </w:p>
          <w:p>
            <w:pPr>
              <w:pStyle w:val="15"/>
              <w:adjustRightInd w:val="0"/>
              <w:jc w:val="center"/>
              <w:rPr>
                <w:rFonts w:hint="default" w:ascii="Times New Roman" w:hAnsi="Times New Roman" w:cs="Times New Roman"/>
                <w:b/>
                <w:color w:val="000000" w:themeColor="text1"/>
                <w:sz w:val="21"/>
                <w:szCs w:val="24"/>
                <w14:textFill>
                  <w14:solidFill>
                    <w14:schemeClr w14:val="tx1"/>
                  </w14:solidFill>
                </w14:textFill>
              </w:rPr>
            </w:pPr>
            <w:r>
              <w:rPr>
                <w:rFonts w:hint="default" w:ascii="Times New Roman" w:hAnsi="Times New Roman" w:cs="Times New Roman"/>
                <w:b/>
                <w:color w:val="000000" w:themeColor="text1"/>
                <w:sz w:val="21"/>
                <w:szCs w:val="24"/>
                <w14:textFill>
                  <w14:solidFill>
                    <w14:schemeClr w14:val="tx1"/>
                  </w14:solidFill>
                </w14:textFill>
              </w:rPr>
              <w:t>图2排涝现状</w:t>
            </w:r>
          </w:p>
          <w:p>
            <w:pPr>
              <w:pStyle w:val="8"/>
              <w:spacing w:before="0" w:after="0" w:line="240" w:lineRule="auto"/>
              <w:ind w:right="0"/>
              <w:jc w:val="center"/>
              <w:rPr>
                <w:rFonts w:hint="default" w:ascii="Times New Roman" w:hAnsi="Times New Roman" w:cs="Times New Roman"/>
              </w:rPr>
            </w:pPr>
            <w:r>
              <w:rPr>
                <w:rFonts w:hint="default" w:ascii="Times New Roman" w:hAnsi="Times New Roman" w:cs="Times New Roman"/>
              </w:rPr>
              <w:drawing>
                <wp:inline distT="0" distB="0" distL="114300" distR="114300">
                  <wp:extent cx="4756785" cy="3581400"/>
                  <wp:effectExtent l="0" t="0" r="5715" b="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4756785" cy="3581400"/>
                          </a:xfrm>
                          <a:prstGeom prst="rect">
                            <a:avLst/>
                          </a:prstGeom>
                          <a:noFill/>
                          <a:ln>
                            <a:noFill/>
                          </a:ln>
                        </pic:spPr>
                      </pic:pic>
                    </a:graphicData>
                  </a:graphic>
                </wp:inline>
              </w:drawing>
            </w:r>
          </w:p>
          <w:p>
            <w:pPr>
              <w:tabs>
                <w:tab w:val="left" w:pos="1103"/>
              </w:tabs>
              <w:jc w:val="center"/>
              <w:rPr>
                <w:rFonts w:hint="default" w:ascii="Times New Roman" w:hAnsi="Times New Roman" w:cs="Times New Roman"/>
                <w:b/>
                <w:color w:val="000000" w:themeColor="text1"/>
                <w14:textFill>
                  <w14:solidFill>
                    <w14:schemeClr w14:val="tx1"/>
                  </w14:solidFill>
                </w14:textFill>
              </w:rPr>
            </w:pPr>
            <w:r>
              <w:rPr>
                <w:rFonts w:hint="default" w:ascii="Times New Roman" w:hAnsi="Times New Roman" w:cs="Times New Roman"/>
                <w:b/>
                <w:color w:val="000000" w:themeColor="text1"/>
                <w14:textFill>
                  <w14:solidFill>
                    <w14:schemeClr w14:val="tx1"/>
                  </w14:solidFill>
                </w14:textFill>
              </w:rPr>
              <w:t>图3排涝现状</w:t>
            </w:r>
          </w:p>
          <w:p>
            <w:pPr>
              <w:pStyle w:val="8"/>
              <w:spacing w:before="0" w:after="0" w:line="240" w:lineRule="auto"/>
              <w:ind w:right="0"/>
              <w:jc w:val="center"/>
              <w:rPr>
                <w:rFonts w:hint="default" w:ascii="Times New Roman" w:hAnsi="Times New Roman" w:cs="Times New Roman"/>
                <w:color w:val="000000" w:themeColor="text1"/>
                <w:sz w:val="21"/>
                <w14:textFill>
                  <w14:solidFill>
                    <w14:schemeClr w14:val="tx1"/>
                  </w14:solidFill>
                </w14:textFill>
              </w:rPr>
            </w:pPr>
            <w:r>
              <w:rPr>
                <w:rFonts w:hint="default" w:ascii="Times New Roman" w:hAnsi="Times New Roman" w:cs="Times New Roman"/>
              </w:rPr>
              <w:drawing>
                <wp:inline distT="0" distB="0" distL="114300" distR="114300">
                  <wp:extent cx="4747260" cy="3561080"/>
                  <wp:effectExtent l="0" t="0" r="15240" b="1270"/>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13"/>
                          <a:stretch>
                            <a:fillRect/>
                          </a:stretch>
                        </pic:blipFill>
                        <pic:spPr>
                          <a:xfrm>
                            <a:off x="0" y="0"/>
                            <a:ext cx="4747260" cy="3561080"/>
                          </a:xfrm>
                          <a:prstGeom prst="rect">
                            <a:avLst/>
                          </a:prstGeom>
                          <a:noFill/>
                          <a:ln>
                            <a:noFill/>
                          </a:ln>
                        </pic:spPr>
                      </pic:pic>
                    </a:graphicData>
                  </a:graphic>
                </wp:inline>
              </w:drawing>
            </w:r>
          </w:p>
          <w:p>
            <w:pPr>
              <w:tabs>
                <w:tab w:val="left" w:pos="1223"/>
              </w:tabs>
              <w:jc w:val="center"/>
              <w:rPr>
                <w:rFonts w:hint="default" w:ascii="Times New Roman" w:hAnsi="Times New Roman" w:cs="Times New Roman"/>
                <w:b/>
                <w:color w:val="000000" w:themeColor="text1"/>
                <w14:textFill>
                  <w14:solidFill>
                    <w14:schemeClr w14:val="tx1"/>
                  </w14:solidFill>
                </w14:textFill>
              </w:rPr>
            </w:pPr>
            <w:r>
              <w:rPr>
                <w:rFonts w:hint="default" w:ascii="Times New Roman" w:hAnsi="Times New Roman" w:cs="Times New Roman"/>
                <w:b/>
                <w:color w:val="000000" w:themeColor="text1"/>
                <w14:textFill>
                  <w14:solidFill>
                    <w14:schemeClr w14:val="tx1"/>
                  </w14:solidFill>
                </w14:textFill>
              </w:rPr>
              <w:t>图4排涝现状</w:t>
            </w:r>
          </w:p>
          <w:p>
            <w:pPr>
              <w:widowControl/>
              <w:adjustRightInd w:val="0"/>
              <w:snapToGrid w:val="0"/>
              <w:spacing w:line="360" w:lineRule="auto"/>
              <w:ind w:firstLine="482" w:firstLineChars="200"/>
              <w:rPr>
                <w:rFonts w:hint="default" w:ascii="Times New Roman" w:hAnsi="Times New Roman" w:cs="Times New Roman"/>
                <w:b/>
                <w:bCs/>
                <w:color w:val="FF0000"/>
                <w:kern w:val="0"/>
                <w:sz w:val="24"/>
                <w:lang w:bidi="ar"/>
              </w:rPr>
            </w:pPr>
            <w:r>
              <w:rPr>
                <w:rFonts w:hint="default" w:ascii="Times New Roman" w:hAnsi="Times New Roman" w:cs="Times New Roman"/>
                <w:b/>
                <w:bCs/>
                <w:color w:val="FF0000"/>
                <w:kern w:val="0"/>
                <w:sz w:val="24"/>
                <w:lang w:val="en-US" w:eastAsia="zh-CN" w:bidi="ar"/>
              </w:rPr>
              <w:t>3、项目任务及规模</w:t>
            </w:r>
          </w:p>
          <w:p>
            <w:pPr>
              <w:widowControl/>
              <w:adjustRightInd w:val="0"/>
              <w:snapToGrid w:val="0"/>
              <w:spacing w:line="360" w:lineRule="auto"/>
              <w:ind w:firstLine="482" w:firstLineChars="200"/>
              <w:rPr>
                <w:rFonts w:hint="default" w:ascii="Times New Roman" w:hAnsi="Times New Roman" w:eastAsia="宋体" w:cs="Times New Roman"/>
                <w:b/>
                <w:bCs/>
                <w:color w:val="FF0000"/>
                <w:kern w:val="0"/>
                <w:sz w:val="24"/>
                <w:lang w:val="en-US" w:eastAsia="zh-CN" w:bidi="ar"/>
              </w:rPr>
            </w:pPr>
            <w:r>
              <w:rPr>
                <w:rFonts w:hint="default" w:ascii="Times New Roman" w:hAnsi="Times New Roman" w:eastAsia="宋体" w:cs="Times New Roman"/>
                <w:b/>
                <w:bCs/>
                <w:color w:val="FF0000"/>
                <w:kern w:val="0"/>
                <w:sz w:val="24"/>
                <w:lang w:val="en-US" w:eastAsia="zh-CN" w:bidi="ar"/>
              </w:rPr>
              <w:t>3.1工程任务</w:t>
            </w:r>
          </w:p>
          <w:p>
            <w:pPr>
              <w:pStyle w:val="8"/>
              <w:spacing w:before="0" w:after="0" w:line="360" w:lineRule="auto"/>
              <w:ind w:right="0" w:firstLine="480" w:firstLineChars="200"/>
              <w:rPr>
                <w:rFonts w:hint="default" w:ascii="Times New Roman" w:hAnsi="Times New Roman" w:cs="Times New Roman"/>
                <w:color w:val="FF0000"/>
                <w:kern w:val="2"/>
                <w:sz w:val="24"/>
                <w:szCs w:val="24"/>
                <w:lang w:val="en-US" w:eastAsia="zh-CN"/>
              </w:rPr>
            </w:pPr>
            <w:r>
              <w:rPr>
                <w:rFonts w:hint="default" w:ascii="Times New Roman" w:hAnsi="Times New Roman" w:cs="Times New Roman"/>
                <w:color w:val="FF0000"/>
                <w:kern w:val="2"/>
                <w:sz w:val="24"/>
                <w:szCs w:val="24"/>
                <w:lang w:val="en-US" w:eastAsia="zh-CN"/>
              </w:rPr>
              <w:t>本次同心县兴隆乡王团村村庄排涝工程的任务是：项目区实施排涝工程措施，完善区域排涝体系，逐步稳定洪水流路，逐步减轻洪水对项目区保护对象的影响，保护群众生命财产、村庄、农田、交通等基础设施的安全。保障标准内洪水安全下泄及区域内防洪安全，遇超标准洪水把损失减少到最低限度，以达到防洪保安的目的。</w:t>
            </w:r>
          </w:p>
          <w:p>
            <w:pPr>
              <w:pStyle w:val="8"/>
              <w:spacing w:before="0" w:after="0" w:line="360" w:lineRule="auto"/>
              <w:ind w:right="0" w:firstLine="482" w:firstLineChars="200"/>
              <w:rPr>
                <w:rFonts w:hint="default" w:ascii="Times New Roman" w:hAnsi="Times New Roman" w:cs="Times New Roman"/>
                <w:b/>
                <w:bCs/>
                <w:color w:val="FF0000"/>
                <w:kern w:val="2"/>
                <w:sz w:val="24"/>
                <w:szCs w:val="24"/>
                <w:lang w:val="en-US" w:eastAsia="zh-CN"/>
              </w:rPr>
            </w:pPr>
            <w:r>
              <w:rPr>
                <w:rFonts w:hint="default" w:ascii="Times New Roman" w:hAnsi="Times New Roman" w:cs="Times New Roman"/>
                <w:b/>
                <w:bCs/>
                <w:color w:val="FF0000"/>
                <w:kern w:val="2"/>
                <w:sz w:val="24"/>
                <w:szCs w:val="24"/>
                <w:lang w:val="en-US" w:eastAsia="zh-CN"/>
              </w:rPr>
              <w:t>3.2工程规模</w:t>
            </w:r>
          </w:p>
          <w:p>
            <w:pPr>
              <w:pStyle w:val="8"/>
              <w:spacing w:before="0" w:after="0" w:line="360" w:lineRule="auto"/>
              <w:ind w:right="0" w:firstLine="480" w:firstLineChars="200"/>
              <w:rPr>
                <w:rFonts w:hint="default" w:ascii="Times New Roman" w:hAnsi="Times New Roman" w:cs="Times New Roman"/>
                <w:color w:val="FF0000"/>
                <w:kern w:val="2"/>
                <w:sz w:val="24"/>
                <w:szCs w:val="24"/>
              </w:rPr>
            </w:pPr>
            <w:r>
              <w:rPr>
                <w:rFonts w:hint="default" w:ascii="Times New Roman" w:hAnsi="Times New Roman" w:cs="Times New Roman"/>
                <w:color w:val="FF0000"/>
                <w:kern w:val="2"/>
                <w:sz w:val="24"/>
                <w:szCs w:val="24"/>
                <w:lang w:val="en-US" w:eastAsia="zh-CN"/>
              </w:rPr>
              <w:t>治理区域内对项目区造成影响的主要为降雨村庄内涝积水，本次区域内设计洪水标准为十年一遇，设计流量0.34m</w:t>
            </w:r>
            <w:r>
              <w:rPr>
                <w:rFonts w:hint="default" w:ascii="Times New Roman" w:hAnsi="Times New Roman" w:cs="Times New Roman"/>
                <w:color w:val="FF0000"/>
                <w:kern w:val="2"/>
                <w:sz w:val="24"/>
                <w:szCs w:val="24"/>
                <w:vertAlign w:val="superscript"/>
                <w:lang w:val="en-US" w:eastAsia="zh-CN"/>
              </w:rPr>
              <w:t>3</w:t>
            </w:r>
            <w:r>
              <w:rPr>
                <w:rFonts w:hint="default" w:ascii="Times New Roman" w:hAnsi="Times New Roman" w:cs="Times New Roman"/>
                <w:color w:val="FF0000"/>
                <w:kern w:val="2"/>
                <w:sz w:val="24"/>
                <w:szCs w:val="24"/>
                <w:lang w:val="en-US" w:eastAsia="zh-CN"/>
              </w:rPr>
              <w:t>/s。</w:t>
            </w:r>
          </w:p>
          <w:p>
            <w:pPr>
              <w:pStyle w:val="8"/>
              <w:spacing w:before="0" w:after="0" w:line="360" w:lineRule="auto"/>
              <w:ind w:right="0" w:firstLine="480" w:firstLineChars="200"/>
              <w:rPr>
                <w:rFonts w:hint="default" w:ascii="Times New Roman" w:hAnsi="Times New Roman" w:cs="Times New Roman"/>
                <w:color w:val="FF0000"/>
                <w:kern w:val="2"/>
                <w:sz w:val="24"/>
                <w:szCs w:val="24"/>
              </w:rPr>
            </w:pPr>
            <w:r>
              <w:rPr>
                <w:rFonts w:hint="default" w:ascii="Times New Roman" w:hAnsi="Times New Roman" w:cs="Times New Roman"/>
                <w:color w:val="FF0000"/>
                <w:kern w:val="2"/>
                <w:sz w:val="24"/>
                <w:szCs w:val="24"/>
                <w:lang w:val="en-US" w:eastAsia="zh-CN"/>
              </w:rPr>
              <w:t>本工程防护对象为王团村，本次规划治理段采用暗管排涝和明渠排涝的方式。</w:t>
            </w:r>
          </w:p>
          <w:p>
            <w:pPr>
              <w:pStyle w:val="8"/>
              <w:spacing w:before="0" w:after="0" w:line="360" w:lineRule="auto"/>
              <w:ind w:right="0" w:firstLine="482" w:firstLineChars="200"/>
              <w:rPr>
                <w:rFonts w:hint="default" w:ascii="Times New Roman" w:hAnsi="Times New Roman" w:cs="Times New Roman"/>
                <w:b/>
                <w:bCs/>
                <w:color w:val="FF0000"/>
                <w:kern w:val="2"/>
                <w:sz w:val="24"/>
                <w:szCs w:val="24"/>
                <w:lang w:val="en-US" w:eastAsia="zh-CN"/>
              </w:rPr>
            </w:pPr>
            <w:r>
              <w:rPr>
                <w:rFonts w:hint="default" w:ascii="Times New Roman" w:hAnsi="Times New Roman" w:cs="Times New Roman"/>
                <w:b/>
                <w:bCs/>
                <w:color w:val="FF0000"/>
                <w:kern w:val="2"/>
                <w:sz w:val="24"/>
                <w:szCs w:val="24"/>
                <w:lang w:val="en-US" w:eastAsia="zh-CN"/>
              </w:rPr>
              <w:t>4、项目组成及规模</w:t>
            </w:r>
          </w:p>
          <w:p>
            <w:pPr>
              <w:pStyle w:val="8"/>
              <w:spacing w:before="0" w:after="0" w:line="360" w:lineRule="auto"/>
              <w:ind w:right="0" w:firstLine="482" w:firstLineChars="200"/>
              <w:rPr>
                <w:rFonts w:hint="default" w:ascii="Times New Roman" w:hAnsi="Times New Roman" w:cs="Times New Roman"/>
                <w:b/>
                <w:bCs/>
                <w:color w:val="FF0000"/>
                <w:kern w:val="2"/>
                <w:sz w:val="24"/>
                <w:szCs w:val="24"/>
                <w:lang w:val="en-US" w:eastAsia="zh-CN"/>
              </w:rPr>
            </w:pPr>
            <w:r>
              <w:rPr>
                <w:rFonts w:hint="default" w:ascii="Times New Roman" w:hAnsi="Times New Roman" w:cs="Times New Roman"/>
                <w:b/>
                <w:bCs/>
                <w:color w:val="FF0000"/>
                <w:kern w:val="2"/>
                <w:sz w:val="24"/>
                <w:szCs w:val="24"/>
                <w:lang w:val="en-US" w:eastAsia="zh-CN"/>
              </w:rPr>
              <w:t>4.1项目组成</w:t>
            </w:r>
          </w:p>
          <w:p>
            <w:pPr>
              <w:pStyle w:val="8"/>
              <w:spacing w:before="0" w:after="0" w:line="360" w:lineRule="auto"/>
              <w:ind w:right="0" w:firstLine="480" w:firstLineChars="200"/>
              <w:rPr>
                <w:rFonts w:hint="default" w:ascii="Times New Roman" w:hAnsi="Times New Roman" w:cs="Times New Roman"/>
                <w:color w:val="FF0000"/>
                <w:kern w:val="2"/>
                <w:sz w:val="24"/>
                <w:szCs w:val="24"/>
                <w:lang w:val="en-US" w:eastAsia="zh-CN"/>
              </w:rPr>
            </w:pPr>
            <w:r>
              <w:rPr>
                <w:rFonts w:hint="default" w:ascii="Times New Roman" w:hAnsi="Times New Roman" w:cs="Times New Roman"/>
                <w:color w:val="FF0000"/>
                <w:kern w:val="2"/>
                <w:sz w:val="24"/>
                <w:szCs w:val="24"/>
                <w:lang w:val="en-US" w:eastAsia="zh-CN"/>
              </w:rPr>
              <w:t>本次设计的同心县兴隆乡王团村村庄排涝工程是对项目区村庄新建排涝管道及排水井，将王团村雨水排入东环路县城排水管网，提高王团村防洪安全，使王团村庄村居民生产、生活条件得到改善。项目区洪水主要来源于降雨时产生的村庄积水，因此，通过对王团村新建排涝管道及排水渠，将王团村雨水由南向北穿过同海线汇入段家沟。</w:t>
            </w:r>
          </w:p>
          <w:p>
            <w:pPr>
              <w:pStyle w:val="8"/>
              <w:spacing w:before="0" w:after="0" w:line="360" w:lineRule="auto"/>
              <w:ind w:right="0" w:firstLine="482" w:firstLineChars="200"/>
              <w:rPr>
                <w:rFonts w:hint="default" w:ascii="Times New Roman" w:hAnsi="Times New Roman" w:cs="Times New Roman"/>
                <w:b/>
                <w:bCs/>
                <w:color w:val="FF0000"/>
                <w:kern w:val="2"/>
                <w:sz w:val="24"/>
                <w:szCs w:val="24"/>
                <w:lang w:val="en-US" w:eastAsia="zh-CN"/>
              </w:rPr>
            </w:pPr>
            <w:r>
              <w:rPr>
                <w:rFonts w:hint="default" w:ascii="Times New Roman" w:hAnsi="Times New Roman" w:cs="Times New Roman"/>
                <w:b/>
                <w:bCs/>
                <w:color w:val="FF0000"/>
                <w:kern w:val="2"/>
                <w:sz w:val="24"/>
                <w:szCs w:val="24"/>
                <w:lang w:val="en-US" w:eastAsia="zh-CN"/>
              </w:rPr>
              <w:t>4.2项目规模</w:t>
            </w:r>
          </w:p>
          <w:p>
            <w:pPr>
              <w:pStyle w:val="8"/>
              <w:spacing w:before="0" w:after="0" w:line="360" w:lineRule="auto"/>
              <w:ind w:right="0" w:firstLine="480" w:firstLineChars="200"/>
              <w:rPr>
                <w:rFonts w:hint="default" w:ascii="Times New Roman" w:hAnsi="Times New Roman" w:cs="Times New Roman"/>
                <w:color w:val="FF0000"/>
                <w:sz w:val="24"/>
                <w:szCs w:val="24"/>
              </w:rPr>
            </w:pPr>
            <w:r>
              <w:rPr>
                <w:rFonts w:hint="default" w:ascii="Times New Roman" w:hAnsi="Times New Roman" w:cs="Times New Roman"/>
                <w:color w:val="FF0000"/>
                <w:kern w:val="2"/>
                <w:sz w:val="24"/>
                <w:szCs w:val="24"/>
              </w:rPr>
              <w:t>新建排涝渠868m，布置各类建筑物共计28座：新建0.6</w:t>
            </w:r>
            <w:r>
              <w:rPr>
                <w:rFonts w:hint="default" w:ascii="Times New Roman" w:hAnsi="Times New Roman" w:cs="Times New Roman"/>
                <w:color w:val="FF0000"/>
                <w:kern w:val="2"/>
                <w:sz w:val="24"/>
                <w:szCs w:val="24"/>
                <w:lang w:eastAsia="zh-CN"/>
              </w:rPr>
              <w:t>×</w:t>
            </w:r>
            <w:r>
              <w:rPr>
                <w:rFonts w:hint="default" w:ascii="Times New Roman" w:hAnsi="Times New Roman" w:cs="Times New Roman"/>
                <w:color w:val="FF0000"/>
                <w:kern w:val="2"/>
                <w:sz w:val="24"/>
                <w:szCs w:val="24"/>
              </w:rPr>
              <w:t>4.0m生产桥27座，新建0.6</w:t>
            </w:r>
            <w:r>
              <w:rPr>
                <w:rFonts w:hint="default" w:ascii="Times New Roman" w:hAnsi="Times New Roman" w:cs="Times New Roman"/>
                <w:color w:val="FF0000"/>
                <w:kern w:val="2"/>
                <w:sz w:val="24"/>
                <w:szCs w:val="24"/>
                <w:lang w:eastAsia="zh-CN"/>
              </w:rPr>
              <w:t>×</w:t>
            </w:r>
            <w:r>
              <w:rPr>
                <w:rFonts w:hint="default" w:ascii="Times New Roman" w:hAnsi="Times New Roman" w:cs="Times New Roman"/>
                <w:color w:val="FF0000"/>
                <w:kern w:val="2"/>
                <w:sz w:val="24"/>
                <w:szCs w:val="24"/>
              </w:rPr>
              <w:t>10.0m生产桥1座；规划钢筋混凝土排水管440m，DN110PE/0.6Mpa排水管60m；混凝土路面恢复2处/24.8㎡，面包砖路面恢复1处/846.30㎡；布置各类建筑物共计12座：新建检查井2座，新建雨水井8座，新建斜坡式跌水1座，顶管穿路防护1座。</w:t>
            </w:r>
          </w:p>
          <w:p>
            <w:pPr>
              <w:pStyle w:val="8"/>
              <w:spacing w:before="0" w:after="0" w:line="360" w:lineRule="auto"/>
              <w:ind w:right="0" w:firstLine="482" w:firstLineChars="200"/>
              <w:rPr>
                <w:rFonts w:hint="default" w:ascii="Times New Roman" w:hAnsi="Times New Roman" w:cs="Times New Roman"/>
                <w:b/>
                <w:bCs/>
                <w:color w:val="FF0000"/>
                <w:kern w:val="2"/>
                <w:sz w:val="24"/>
                <w:szCs w:val="24"/>
                <w:lang w:val="en-US" w:eastAsia="zh-CN"/>
              </w:rPr>
            </w:pPr>
            <w:r>
              <w:rPr>
                <w:rFonts w:hint="default" w:ascii="Times New Roman" w:hAnsi="Times New Roman" w:cs="Times New Roman"/>
                <w:b/>
                <w:bCs/>
                <w:color w:val="FF0000"/>
                <w:kern w:val="2"/>
                <w:sz w:val="24"/>
                <w:szCs w:val="24"/>
                <w:lang w:val="en-US" w:eastAsia="zh-CN"/>
              </w:rPr>
              <w:t>5、主要工程设计标准及建设内容</w:t>
            </w:r>
          </w:p>
          <w:p>
            <w:pPr>
              <w:pStyle w:val="8"/>
              <w:spacing w:before="0" w:after="0" w:line="360" w:lineRule="auto"/>
              <w:ind w:right="0" w:firstLine="482" w:firstLineChars="200"/>
              <w:rPr>
                <w:rFonts w:hint="default" w:ascii="Times New Roman" w:hAnsi="Times New Roman" w:cs="Times New Roman"/>
                <w:b/>
                <w:bCs/>
                <w:color w:val="FF0000"/>
                <w:kern w:val="2"/>
                <w:sz w:val="24"/>
                <w:szCs w:val="24"/>
                <w:lang w:val="en-US" w:eastAsia="zh-CN"/>
              </w:rPr>
            </w:pPr>
            <w:r>
              <w:rPr>
                <w:rFonts w:hint="default" w:ascii="Times New Roman" w:hAnsi="Times New Roman" w:cs="Times New Roman"/>
                <w:b/>
                <w:bCs/>
                <w:color w:val="FF0000"/>
                <w:kern w:val="2"/>
                <w:sz w:val="24"/>
                <w:szCs w:val="24"/>
                <w:lang w:val="en-US" w:eastAsia="zh-CN"/>
              </w:rPr>
              <w:t>5.1工程设计标准</w:t>
            </w:r>
          </w:p>
          <w:p>
            <w:pPr>
              <w:pStyle w:val="8"/>
              <w:spacing w:before="0" w:after="0" w:line="360" w:lineRule="auto"/>
              <w:ind w:right="0" w:firstLine="480" w:firstLineChars="200"/>
              <w:rPr>
                <w:rFonts w:hint="default" w:ascii="Times New Roman" w:hAnsi="Times New Roman" w:cs="Times New Roman"/>
                <w:b w:val="0"/>
                <w:bCs w:val="0"/>
                <w:color w:val="FF0000"/>
                <w:kern w:val="2"/>
                <w:sz w:val="24"/>
                <w:szCs w:val="24"/>
                <w:lang w:val="en-US" w:eastAsia="zh-CN"/>
              </w:rPr>
            </w:pPr>
            <w:r>
              <w:rPr>
                <w:rFonts w:hint="default" w:ascii="Times New Roman" w:hAnsi="Times New Roman" w:cs="Times New Roman"/>
                <w:b w:val="0"/>
                <w:bCs w:val="0"/>
                <w:color w:val="FF0000"/>
                <w:kern w:val="2"/>
                <w:sz w:val="24"/>
                <w:szCs w:val="24"/>
                <w:lang w:val="en-US" w:eastAsia="zh-CN"/>
              </w:rPr>
              <w:t>本工程的防护对象是乡村，防护区人口为1648人，小于20万人。保护区耕地面为8784亩，面积小于30万亩，按国家《防洪标准》（GB50201-2014）的规定项目区防洪标准为Ⅳ级，根据《水利水电工程等级划分及洪水标准》（SL252-2017），工程等别为Ⅴ等。排水管及其主要建筑物级别为5级，次要建筑物级别为5级，本排涝工程设计防洪标准为10年一遇设计。</w:t>
            </w:r>
          </w:p>
          <w:p>
            <w:pPr>
              <w:pStyle w:val="8"/>
              <w:spacing w:before="0" w:after="0" w:line="360" w:lineRule="auto"/>
              <w:ind w:right="0" w:firstLine="482" w:firstLineChars="200"/>
              <w:rPr>
                <w:rFonts w:hint="default" w:ascii="Times New Roman" w:hAnsi="Times New Roman" w:cs="Times New Roman"/>
                <w:b/>
                <w:bCs/>
                <w:color w:val="000000" w:themeColor="text1"/>
                <w:kern w:val="2"/>
                <w:sz w:val="24"/>
                <w:szCs w:val="24"/>
                <w:lang w:val="en-US" w:eastAsia="zh-CN"/>
                <w14:textFill>
                  <w14:solidFill>
                    <w14:schemeClr w14:val="tx1"/>
                  </w14:solidFill>
                </w14:textFill>
              </w:rPr>
            </w:pPr>
            <w:r>
              <w:rPr>
                <w:rFonts w:hint="default" w:ascii="Times New Roman" w:hAnsi="Times New Roman" w:cs="Times New Roman"/>
                <w:b/>
                <w:bCs/>
                <w:color w:val="000000" w:themeColor="text1"/>
                <w:kern w:val="2"/>
                <w:sz w:val="24"/>
                <w:szCs w:val="24"/>
                <w:lang w:val="en-US" w:eastAsia="zh-CN"/>
                <w14:textFill>
                  <w14:solidFill>
                    <w14:schemeClr w14:val="tx1"/>
                  </w14:solidFill>
                </w14:textFill>
              </w:rPr>
              <w:t>5.2建设内容</w:t>
            </w:r>
          </w:p>
          <w:p>
            <w:pPr>
              <w:pStyle w:val="8"/>
              <w:spacing w:before="0" w:after="0" w:line="360" w:lineRule="auto"/>
              <w:ind w:right="0" w:firstLine="480" w:firstLineChars="200"/>
              <w:rPr>
                <w:rFonts w:hint="default" w:ascii="Times New Roman" w:hAnsi="Times New Roman" w:cs="Times New Roman"/>
                <w:color w:val="000000" w:themeColor="text1"/>
                <w:kern w:val="2"/>
                <w:sz w:val="24"/>
                <w:szCs w:val="24"/>
                <w14:textFill>
                  <w14:solidFill>
                    <w14:schemeClr w14:val="tx1"/>
                  </w14:solidFill>
                </w14:textFill>
              </w:rPr>
            </w:pPr>
            <w:r>
              <w:rPr>
                <w:rFonts w:hint="default" w:ascii="Times New Roman" w:hAnsi="Times New Roman" w:cs="Times New Roman"/>
                <w:color w:val="000000" w:themeColor="text1"/>
                <w:kern w:val="2"/>
                <w:sz w:val="24"/>
                <w:szCs w:val="24"/>
                <w:lang w:val="en-US" w:eastAsia="zh-CN"/>
                <w14:textFill>
                  <w14:solidFill>
                    <w14:schemeClr w14:val="tx1"/>
                  </w14:solidFill>
                </w14:textFill>
              </w:rPr>
              <w:t>主要工程数量见表2-1。</w:t>
            </w:r>
          </w:p>
          <w:p>
            <w:pPr>
              <w:widowControl/>
              <w:adjustRightInd w:val="0"/>
              <w:snapToGrid w:val="0"/>
              <w:jc w:val="center"/>
              <w:rPr>
                <w:rFonts w:hint="default" w:ascii="Times New Roman" w:hAnsi="Times New Roman" w:cs="Times New Roman"/>
                <w:b/>
                <w:bCs/>
                <w:color w:val="000000" w:themeColor="text1"/>
                <w:kern w:val="0"/>
                <w:szCs w:val="21"/>
                <w:lang w:bidi="ar"/>
                <w14:textFill>
                  <w14:solidFill>
                    <w14:schemeClr w14:val="tx1"/>
                  </w14:solidFill>
                </w14:textFill>
              </w:rPr>
            </w:pPr>
            <w:r>
              <w:rPr>
                <w:rFonts w:hint="default" w:ascii="Times New Roman" w:hAnsi="Times New Roman" w:cs="Times New Roman"/>
                <w:b/>
                <w:bCs/>
                <w:color w:val="000000" w:themeColor="text1"/>
                <w:kern w:val="0"/>
                <w:szCs w:val="21"/>
                <w:lang w:bidi="ar"/>
                <w14:textFill>
                  <w14:solidFill>
                    <w14:schemeClr w14:val="tx1"/>
                  </w14:solidFill>
                </w14:textFill>
              </w:rPr>
              <w:t>表2-1本项目主要工程内容一览表</w:t>
            </w:r>
          </w:p>
          <w:tbl>
            <w:tblPr>
              <w:tblStyle w:val="24"/>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61"/>
              <w:gridCol w:w="678"/>
              <w:gridCol w:w="426"/>
              <w:gridCol w:w="577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1" w:hRule="atLeast"/>
                <w:tblHeader/>
                <w:jc w:val="center"/>
              </w:trPr>
              <w:tc>
                <w:tcPr>
                  <w:tcW w:w="761" w:type="dxa"/>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项目名称</w:t>
                  </w:r>
                </w:p>
              </w:tc>
              <w:tc>
                <w:tcPr>
                  <w:tcW w:w="1082" w:type="dxa"/>
                  <w:gridSpan w:val="2"/>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工程名称</w:t>
                  </w:r>
                </w:p>
              </w:tc>
              <w:tc>
                <w:tcPr>
                  <w:tcW w:w="5777" w:type="dxa"/>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建设内容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1" w:type="dxa"/>
                  <w:vMerge w:val="restar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主体工程</w:t>
                  </w: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排水管网工程</w:t>
                  </w:r>
                </w:p>
              </w:tc>
              <w:tc>
                <w:tcPr>
                  <w:tcW w:w="5777" w:type="dxa"/>
                  <w:tcBorders>
                    <w:tl2br w:val="nil"/>
                    <w:tr2bl w:val="nil"/>
                  </w:tcBorders>
                  <w:vAlign w:val="center"/>
                </w:tcPr>
                <w:p>
                  <w:pPr>
                    <w:rPr>
                      <w:rFonts w:hint="default" w:ascii="Times New Roman" w:hAnsi="Times New Roman" w:cs="Times New Roman"/>
                      <w:color w:val="FF0000"/>
                      <w:szCs w:val="21"/>
                    </w:rPr>
                  </w:pPr>
                  <w:r>
                    <w:rPr>
                      <w:rFonts w:hint="default" w:ascii="Times New Roman" w:hAnsi="Times New Roman" w:cs="Times New Roman"/>
                      <w:szCs w:val="21"/>
                    </w:rPr>
                    <w:t>新建排水管网以及排水出户配套设施，排水暗管按排水规划布置，管道铺设地点为村庄，排水主管管径选用DN600排水管道（流量0.35m</w:t>
                  </w:r>
                  <w:r>
                    <w:rPr>
                      <w:rFonts w:hint="default" w:ascii="Times New Roman" w:hAnsi="Times New Roman" w:cs="Times New Roman"/>
                      <w:szCs w:val="21"/>
                      <w:vertAlign w:val="superscript"/>
                    </w:rPr>
                    <w:t>3</w:t>
                  </w:r>
                  <w:r>
                    <w:rPr>
                      <w:rFonts w:hint="default" w:ascii="Times New Roman" w:hAnsi="Times New Roman" w:cs="Times New Roman"/>
                      <w:szCs w:val="21"/>
                    </w:rPr>
                    <w:t>/s），其中DN600钢筋混凝土排水管0.44km，DN110PE/0.6Mpa排水管0.06km。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排水渠</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rPr>
                    <w:t>本次设计规划新建D=0.6m</w:t>
                  </w:r>
                  <w:r>
                    <w:rPr>
                      <w:rFonts w:hint="default" w:ascii="Times New Roman" w:hAnsi="Times New Roman" w:cs="Times New Roman"/>
                      <w:szCs w:val="21"/>
                      <w:lang w:eastAsia="zh-CN"/>
                    </w:rPr>
                    <w:t>×</w:t>
                  </w:r>
                  <w:r>
                    <w:rPr>
                      <w:rFonts w:hint="default" w:ascii="Times New Roman" w:hAnsi="Times New Roman" w:cs="Times New Roman"/>
                      <w:szCs w:val="21"/>
                    </w:rPr>
                    <w:t>0.6m矩形渠道，厚0.2m，采用C25预制混凝土板，基础铺设0.2m厚砂砾石垫层，每隔7.79m设置一道伸缩缝，缝宽3cm，采用聚乙烯油膏填筑，沿主干道方向砌筑；渠道左侧渠拜与硬化路连接处采用C25混凝土铺装；据实地踏勘，项目区主干道硬化路路面窄，本次设计渠拜左侧顺接硬化路面，硬化路面不做破除。共计新建排水渠868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检查井工程</w:t>
                  </w:r>
                </w:p>
              </w:tc>
              <w:tc>
                <w:tcPr>
                  <w:tcW w:w="5777" w:type="dxa"/>
                  <w:tcBorders>
                    <w:tl2br w:val="nil"/>
                    <w:tr2bl w:val="nil"/>
                  </w:tcBorders>
                  <w:vAlign w:val="center"/>
                </w:tcPr>
                <w:p>
                  <w:pPr>
                    <w:pStyle w:val="8"/>
                    <w:spacing w:before="0" w:after="0" w:line="240" w:lineRule="auto"/>
                    <w:ind w:right="0"/>
                    <w:rPr>
                      <w:rFonts w:hint="default" w:ascii="Times New Roman" w:hAnsi="Times New Roman" w:cs="Times New Roman"/>
                      <w:color w:val="FF0000"/>
                      <w:sz w:val="21"/>
                      <w:szCs w:val="21"/>
                      <w:lang w:bidi="zh-CN"/>
                    </w:rPr>
                  </w:pPr>
                  <w:r>
                    <w:rPr>
                      <w:rFonts w:hint="default" w:ascii="Times New Roman" w:hAnsi="Times New Roman" w:cs="Times New Roman"/>
                      <w:kern w:val="2"/>
                      <w:sz w:val="21"/>
                      <w:szCs w:val="21"/>
                    </w:rPr>
                    <w:t>检查井采用砖结构砌护，顶板采用钢筋混凝土，共计建设检查井2座。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雨水口工程</w:t>
                  </w:r>
                </w:p>
              </w:tc>
              <w:tc>
                <w:tcPr>
                  <w:tcW w:w="5777" w:type="dxa"/>
                  <w:tcBorders>
                    <w:tl2br w:val="nil"/>
                    <w:tr2bl w:val="nil"/>
                  </w:tcBorders>
                  <w:vAlign w:val="center"/>
                </w:tcPr>
                <w:p>
                  <w:pPr>
                    <w:pStyle w:val="8"/>
                    <w:spacing w:before="0" w:after="0" w:line="240" w:lineRule="auto"/>
                    <w:ind w:right="0"/>
                    <w:rPr>
                      <w:rFonts w:hint="default" w:ascii="Times New Roman" w:hAnsi="Times New Roman" w:cs="Times New Roman"/>
                      <w:kern w:val="2"/>
                      <w:sz w:val="21"/>
                      <w:szCs w:val="21"/>
                    </w:rPr>
                  </w:pPr>
                  <w:r>
                    <w:rPr>
                      <w:rFonts w:hint="default" w:ascii="Times New Roman" w:hAnsi="Times New Roman" w:cs="Times New Roman"/>
                      <w:kern w:val="2"/>
                      <w:sz w:val="21"/>
                      <w:szCs w:val="21"/>
                    </w:rPr>
                    <w:t>雨水口井圈表面高程比该处道路路面低30mm，与附近硬化</w:t>
                  </w:r>
                </w:p>
                <w:p>
                  <w:pPr>
                    <w:pStyle w:val="8"/>
                    <w:spacing w:before="0" w:after="0" w:line="240" w:lineRule="auto"/>
                    <w:ind w:right="0"/>
                    <w:rPr>
                      <w:rFonts w:hint="default" w:ascii="Times New Roman" w:hAnsi="Times New Roman" w:cs="Times New Roman"/>
                      <w:color w:val="FF0000"/>
                      <w:sz w:val="21"/>
                      <w:szCs w:val="21"/>
                      <w:lang w:bidi="zh-CN"/>
                    </w:rPr>
                  </w:pPr>
                  <w:r>
                    <w:rPr>
                      <w:rFonts w:hint="default" w:ascii="Times New Roman" w:hAnsi="Times New Roman" w:cs="Times New Roman"/>
                      <w:kern w:val="2"/>
                      <w:sz w:val="21"/>
                      <w:szCs w:val="21"/>
                    </w:rPr>
                    <w:t>路面接顺。共计建设雨水井8座。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斜坡式跌水工程</w:t>
                  </w:r>
                </w:p>
              </w:tc>
              <w:tc>
                <w:tcPr>
                  <w:tcW w:w="5777" w:type="dxa"/>
                  <w:tcBorders>
                    <w:tl2br w:val="nil"/>
                    <w:tr2bl w:val="nil"/>
                  </w:tcBorders>
                  <w:vAlign w:val="center"/>
                </w:tcPr>
                <w:p>
                  <w:pPr>
                    <w:pStyle w:val="8"/>
                    <w:spacing w:before="0" w:after="0" w:line="240" w:lineRule="auto"/>
                    <w:ind w:right="0"/>
                    <w:rPr>
                      <w:rFonts w:hint="default" w:ascii="Times New Roman" w:hAnsi="Times New Roman" w:cs="Times New Roman"/>
                      <w:kern w:val="2"/>
                      <w:sz w:val="21"/>
                      <w:szCs w:val="21"/>
                    </w:rPr>
                  </w:pPr>
                  <w:r>
                    <w:rPr>
                      <w:rFonts w:hint="default" w:ascii="Times New Roman" w:hAnsi="Times New Roman" w:cs="Times New Roman"/>
                      <w:kern w:val="2"/>
                      <w:sz w:val="21"/>
                      <w:szCs w:val="21"/>
                    </w:rPr>
                    <w:t>斜坡段：采用C25钢筋混凝土及浆砌石基础做整体斜坡处理，底宽0.8m，边墙高0.8m。侧墙顶宽为0.5m。每隔设7m设1道3cm宽伸缩缝。</w:t>
                  </w:r>
                </w:p>
                <w:p>
                  <w:pPr>
                    <w:pStyle w:val="8"/>
                    <w:spacing w:before="0" w:after="0" w:line="240" w:lineRule="auto"/>
                    <w:ind w:right="0"/>
                    <w:rPr>
                      <w:rFonts w:hint="default" w:ascii="Times New Roman" w:hAnsi="Times New Roman" w:cs="Times New Roman"/>
                      <w:kern w:val="2"/>
                      <w:sz w:val="21"/>
                      <w:szCs w:val="21"/>
                    </w:rPr>
                  </w:pPr>
                  <w:r>
                    <w:rPr>
                      <w:rFonts w:hint="default" w:ascii="Times New Roman" w:hAnsi="Times New Roman" w:cs="Times New Roman"/>
                      <w:kern w:val="2"/>
                      <w:sz w:val="21"/>
                      <w:szCs w:val="21"/>
                    </w:rPr>
                    <w:t>消力池段：陡坡后接消力池（长4.0m，宽0.8米），采用C25</w:t>
                  </w:r>
                </w:p>
                <w:p>
                  <w:pPr>
                    <w:pStyle w:val="8"/>
                    <w:spacing w:before="0" w:after="0" w:line="240" w:lineRule="auto"/>
                    <w:ind w:right="0"/>
                    <w:rPr>
                      <w:rFonts w:hint="default" w:ascii="Times New Roman" w:hAnsi="Times New Roman" w:cs="Times New Roman"/>
                      <w:kern w:val="2"/>
                      <w:sz w:val="21"/>
                      <w:szCs w:val="21"/>
                    </w:rPr>
                  </w:pPr>
                  <w:r>
                    <w:rPr>
                      <w:rFonts w:hint="default" w:ascii="Times New Roman" w:hAnsi="Times New Roman" w:cs="Times New Roman"/>
                      <w:kern w:val="2"/>
                      <w:sz w:val="21"/>
                      <w:szCs w:val="21"/>
                    </w:rPr>
                    <w:t>钢筋混凝土墙面，浆石基础的矩形断面，边墙高0.8m，边墙顶部宽0.5m，内外边墙均铅直，底板厚0.5m。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生产桥</w:t>
                  </w:r>
                </w:p>
              </w:tc>
              <w:tc>
                <w:tcPr>
                  <w:tcW w:w="5777" w:type="dxa"/>
                  <w:tcBorders>
                    <w:tl2br w:val="nil"/>
                    <w:tr2bl w:val="nil"/>
                  </w:tcBorders>
                  <w:vAlign w:val="center"/>
                </w:tcPr>
                <w:p>
                  <w:pPr>
                    <w:pStyle w:val="8"/>
                    <w:spacing w:before="0" w:after="0" w:line="240" w:lineRule="auto"/>
                    <w:ind w:right="0"/>
                    <w:rPr>
                      <w:rFonts w:hint="default" w:ascii="Times New Roman" w:hAnsi="Times New Roman" w:cs="Times New Roman"/>
                      <w:kern w:val="2"/>
                      <w:sz w:val="21"/>
                      <w:szCs w:val="21"/>
                    </w:rPr>
                  </w:pPr>
                  <w:r>
                    <w:rPr>
                      <w:rFonts w:hint="default" w:ascii="Times New Roman" w:hAnsi="Times New Roman" w:cs="Times New Roman"/>
                      <w:kern w:val="2"/>
                      <w:sz w:val="21"/>
                      <w:szCs w:val="21"/>
                    </w:rPr>
                    <w:t>规格0.6×4m、0.6×10m，设计荷载标准公路Ⅱ级。桥板厚0.2m，采用C25混凝土和HRB400钢筋，桥身重力墩采用MU30块石，M7.5砂浆砌筑，挡土墙后回填土方要求回填至桥面高度并夯实。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辅助工程</w:t>
                  </w:r>
                </w:p>
              </w:tc>
              <w:tc>
                <w:tcPr>
                  <w:tcW w:w="5777" w:type="dxa"/>
                  <w:tcBorders>
                    <w:tl2br w:val="nil"/>
                    <w:tr2bl w:val="nil"/>
                  </w:tcBorders>
                  <w:vAlign w:val="center"/>
                </w:tcPr>
                <w:p>
                  <w:pPr>
                    <w:pStyle w:val="8"/>
                    <w:spacing w:before="0" w:after="0" w:line="240" w:lineRule="auto"/>
                    <w:ind w:right="0"/>
                    <w:rPr>
                      <w:rFonts w:hint="default" w:ascii="Times New Roman" w:hAnsi="Times New Roman" w:cs="Times New Roman"/>
                      <w:kern w:val="2"/>
                      <w:sz w:val="21"/>
                      <w:szCs w:val="21"/>
                    </w:rPr>
                  </w:pPr>
                  <w:r>
                    <w:rPr>
                      <w:rFonts w:hint="default" w:ascii="Times New Roman" w:hAnsi="Times New Roman" w:cs="Times New Roman"/>
                      <w:kern w:val="2"/>
                      <w:sz w:val="21"/>
                      <w:szCs w:val="21"/>
                    </w:rPr>
                    <w:t>混凝土路面恢复2处，共计24.8m</w:t>
                  </w:r>
                  <w:r>
                    <w:rPr>
                      <w:rFonts w:hint="default" w:ascii="Times New Roman" w:hAnsi="Times New Roman" w:cs="Times New Roman"/>
                      <w:kern w:val="2"/>
                      <w:sz w:val="21"/>
                      <w:szCs w:val="21"/>
                      <w:vertAlign w:val="superscript"/>
                    </w:rPr>
                    <w:t>2</w:t>
                  </w:r>
                  <w:r>
                    <w:rPr>
                      <w:rFonts w:hint="default" w:ascii="Times New Roman" w:hAnsi="Times New Roman" w:cs="Times New Roman"/>
                      <w:kern w:val="2"/>
                      <w:sz w:val="21"/>
                      <w:szCs w:val="21"/>
                    </w:rPr>
                    <w:t>。面包砖路面恢复1处，共计846.3m</w:t>
                  </w:r>
                  <w:r>
                    <w:rPr>
                      <w:rFonts w:hint="default" w:ascii="Times New Roman" w:hAnsi="Times New Roman" w:cs="Times New Roman"/>
                      <w:kern w:val="2"/>
                      <w:sz w:val="21"/>
                      <w:szCs w:val="21"/>
                      <w:vertAlign w:val="superscript"/>
                    </w:rPr>
                    <w:t>2</w:t>
                  </w:r>
                  <w:r>
                    <w:rPr>
                      <w:rFonts w:hint="default" w:ascii="Times New Roman" w:hAnsi="Times New Roman" w:cs="Times New Roman"/>
                      <w:kern w:val="2"/>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761" w:type="dxa"/>
                  <w:vMerge w:val="restart"/>
                  <w:tcBorders>
                    <w:tl2br w:val="nil"/>
                    <w:tr2bl w:val="nil"/>
                  </w:tcBorders>
                  <w:vAlign w:val="center"/>
                </w:tcPr>
                <w:p>
                  <w:pPr>
                    <w:jc w:val="left"/>
                    <w:rPr>
                      <w:rFonts w:hint="default" w:ascii="Times New Roman" w:hAnsi="Times New Roman" w:cs="Times New Roman"/>
                      <w:szCs w:val="21"/>
                    </w:rPr>
                  </w:pPr>
                  <w:r>
                    <w:rPr>
                      <w:rFonts w:hint="default" w:ascii="Times New Roman" w:hAnsi="Times New Roman" w:cs="Times New Roman"/>
                      <w:szCs w:val="21"/>
                    </w:rPr>
                    <w:t>临时工程</w:t>
                  </w: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lang w:bidi="zh-CN"/>
                    </w:rPr>
                    <w:t>临时施工道路</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lang w:bidi="zh-CN"/>
                    </w:rPr>
                    <w:t>本项目在城镇施工不涉及临时道路。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lang w:bidi="zh-CN"/>
                    </w:rPr>
                    <w:t>施工临时房屋及临时占地</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lang w:bidi="zh-CN"/>
                    </w:rPr>
                    <w:t>根据工程在分布情况，结合工程点位，本项目施工期规划1个施工工区。为了在施工期不占或少占地，在施工组织设计中，施工建设办公用房及用地考虑就近租用农村的场部、打谷场以及充分利用空地等方式解决。</w:t>
                  </w:r>
                  <w:r>
                    <w:rPr>
                      <w:rFonts w:hint="default" w:ascii="Times New Roman" w:hAnsi="Times New Roman" w:cs="Times New Roman"/>
                      <w:color w:val="FF0000"/>
                      <w:szCs w:val="21"/>
                      <w:lang w:val="en-US" w:eastAsia="zh-CN" w:bidi="zh-CN"/>
                    </w:rPr>
                    <w:t>临时工程占地主要为施工生产区、施工道路、材料堆放区及土方堆放区。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761" w:type="dxa"/>
                  <w:vMerge w:val="restar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公用工程</w:t>
                  </w: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用水</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lang w:bidi="zh-CN"/>
                    </w:rPr>
                    <w:t>项目区处于乡镇区域，因此，生产生活用水采用就近拉运，购买当地自来水。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1082" w:type="dxa"/>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用电</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rPr>
                    <w:t>施工沿线均有电源，目前已实现了村村通电工程。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761" w:type="dxa"/>
                  <w:vMerge w:val="restar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环保</w:t>
                  </w:r>
                </w:p>
                <w:p>
                  <w:pPr>
                    <w:jc w:val="center"/>
                    <w:rPr>
                      <w:rFonts w:hint="default" w:ascii="Times New Roman" w:hAnsi="Times New Roman" w:cs="Times New Roman"/>
                      <w:szCs w:val="21"/>
                    </w:rPr>
                  </w:pPr>
                  <w:r>
                    <w:rPr>
                      <w:rFonts w:hint="default" w:ascii="Times New Roman" w:hAnsi="Times New Roman" w:cs="Times New Roman"/>
                      <w:szCs w:val="21"/>
                    </w:rPr>
                    <w:t>工程</w:t>
                  </w:r>
                </w:p>
              </w:tc>
              <w:tc>
                <w:tcPr>
                  <w:tcW w:w="678" w:type="dxa"/>
                  <w:vMerge w:val="restar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施工期</w:t>
                  </w: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lang w:bidi="zh-CN"/>
                    </w:rPr>
                    <w:t>废污水</w:t>
                  </w:r>
                </w:p>
              </w:tc>
              <w:tc>
                <w:tcPr>
                  <w:tcW w:w="5777" w:type="dxa"/>
                  <w:tcBorders>
                    <w:tl2br w:val="nil"/>
                    <w:tr2bl w:val="nil"/>
                  </w:tcBorders>
                  <w:vAlign w:val="center"/>
                </w:tcPr>
                <w:p>
                  <w:pPr>
                    <w:rPr>
                      <w:rFonts w:hint="default" w:ascii="Times New Roman" w:hAnsi="Times New Roman" w:cs="Times New Roman"/>
                      <w:szCs w:val="21"/>
                      <w:highlight w:val="yellow"/>
                      <w:lang w:bidi="zh-CN"/>
                    </w:rPr>
                  </w:pPr>
                  <w:r>
                    <w:rPr>
                      <w:rFonts w:hint="default" w:ascii="Times New Roman" w:hAnsi="Times New Roman" w:cs="Times New Roman"/>
                      <w:szCs w:val="21"/>
                    </w:rPr>
                    <w:t>施工期</w:t>
                  </w:r>
                  <w:r>
                    <w:rPr>
                      <w:rFonts w:hint="default" w:ascii="Times New Roman" w:hAnsi="Times New Roman" w:cs="Times New Roman"/>
                      <w:szCs w:val="21"/>
                      <w:lang w:bidi="zh-CN"/>
                    </w:rPr>
                    <w:t>废污水包括生产废水和施工人员生活污水两部分，生产废水及</w:t>
                  </w:r>
                  <w:r>
                    <w:rPr>
                      <w:rFonts w:hint="default" w:ascii="Times New Roman" w:hAnsi="Times New Roman" w:cs="Times New Roman"/>
                      <w:szCs w:val="21"/>
                      <w:lang w:val="en-GB" w:bidi="zh-CN"/>
                    </w:rPr>
                    <w:t>车辆冲洗等少量废水沉淀后用于洒水降尘，生活污水由租住村庄当地污水处理系统处理。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大气</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lang w:bidi="zh-CN"/>
                    </w:rPr>
                    <w:t>施工期废气主要为施工扬尘与机械及燃油设备尾气，施工扬尘采取</w:t>
                  </w:r>
                  <w:r>
                    <w:rPr>
                      <w:rFonts w:hint="default" w:ascii="Times New Roman" w:hAnsi="Times New Roman" w:cs="Times New Roman"/>
                      <w:color w:val="FF0000"/>
                      <w:szCs w:val="21"/>
                      <w:lang w:bidi="zh-CN"/>
                    </w:rPr>
                    <w:t>洒水</w:t>
                  </w:r>
                  <w:r>
                    <w:rPr>
                      <w:rFonts w:hint="default" w:ascii="Times New Roman" w:hAnsi="Times New Roman" w:cs="Times New Roman"/>
                      <w:szCs w:val="21"/>
                      <w:lang w:bidi="zh-CN"/>
                    </w:rPr>
                    <w:t>抑尘、运输车辆加盖篷布等措施；机械及燃油设备尾气采取加强</w:t>
                  </w:r>
                  <w:r>
                    <w:rPr>
                      <w:rFonts w:hint="default" w:ascii="Times New Roman" w:hAnsi="Times New Roman" w:cs="Times New Roman"/>
                      <w:color w:val="FF0000"/>
                      <w:szCs w:val="21"/>
                      <w:lang w:bidi="zh-CN"/>
                    </w:rPr>
                    <w:t>车辆保养</w:t>
                  </w:r>
                  <w:r>
                    <w:rPr>
                      <w:rFonts w:hint="default" w:ascii="Times New Roman" w:hAnsi="Times New Roman" w:cs="Times New Roman"/>
                      <w:szCs w:val="21"/>
                      <w:lang w:bidi="zh-CN"/>
                    </w:rPr>
                    <w:t>等措施。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噪声</w:t>
                  </w:r>
                </w:p>
              </w:tc>
              <w:tc>
                <w:tcPr>
                  <w:tcW w:w="5777" w:type="dxa"/>
                  <w:tcBorders>
                    <w:tl2br w:val="nil"/>
                    <w:tr2bl w:val="nil"/>
                  </w:tcBorders>
                  <w:vAlign w:val="center"/>
                </w:tcPr>
                <w:p>
                  <w:pPr>
                    <w:rPr>
                      <w:rFonts w:hint="default" w:ascii="Times New Roman" w:hAnsi="Times New Roman" w:cs="Times New Roman"/>
                      <w:szCs w:val="21"/>
                      <w:highlight w:val="yellow"/>
                    </w:rPr>
                  </w:pPr>
                  <w:r>
                    <w:rPr>
                      <w:rFonts w:hint="default" w:ascii="Times New Roman" w:hAnsi="Times New Roman" w:cs="Times New Roman"/>
                      <w:szCs w:val="21"/>
                      <w:lang w:bidi="zh-CN"/>
                    </w:rPr>
                    <w:t>围挡等临时隔声围护措施。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固体废弃物</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rPr>
                    <w:t>建筑垃圾能利用的部分回用，不能利用的集中收集后，清运至当地政府部门指定地点堆放。生活垃圾由租住村庄环卫部门统一处理。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生态</w:t>
                  </w:r>
                </w:p>
              </w:tc>
              <w:tc>
                <w:tcPr>
                  <w:tcW w:w="5777" w:type="dxa"/>
                  <w:tcBorders>
                    <w:tl2br w:val="nil"/>
                    <w:tr2bl w:val="nil"/>
                  </w:tcBorders>
                  <w:vAlign w:val="center"/>
                </w:tcPr>
                <w:p>
                  <w:pPr>
                    <w:rPr>
                      <w:rFonts w:hint="default" w:ascii="Times New Roman" w:hAnsi="Times New Roman" w:cs="Times New Roman"/>
                      <w:szCs w:val="21"/>
                    </w:rPr>
                  </w:pPr>
                  <w:r>
                    <w:rPr>
                      <w:rFonts w:hint="default" w:ascii="Times New Roman" w:hAnsi="Times New Roman" w:cs="Times New Roman"/>
                      <w:szCs w:val="21"/>
                    </w:rPr>
                    <w:t>对临时占地进行表土剥离，剥离厚度为30cm；对有需要的植被进行移植；本项目约需移植树木47株。严格按照规定进行施工，表土堆放场地需进行平整处理，表土堆放在下风向，并苫盖防尘网。</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restar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运营期</w:t>
                  </w: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废污水</w:t>
                  </w:r>
                </w:p>
              </w:tc>
              <w:tc>
                <w:tcPr>
                  <w:tcW w:w="5777"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营运期无废水产生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大气</w:t>
                  </w:r>
                </w:p>
              </w:tc>
              <w:tc>
                <w:tcPr>
                  <w:tcW w:w="5777"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lang w:val="en-GB"/>
                    </w:rPr>
                    <w:t>营运期无大气环境影响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噪声</w:t>
                  </w:r>
                </w:p>
              </w:tc>
              <w:tc>
                <w:tcPr>
                  <w:tcW w:w="5777"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lang w:val="en-GB"/>
                    </w:rPr>
                    <w:t>营运期无噪声影响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固体废弃物</w:t>
                  </w:r>
                </w:p>
              </w:tc>
              <w:tc>
                <w:tcPr>
                  <w:tcW w:w="5777"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营运期无固体废弃物产生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61" w:type="dxa"/>
                  <w:vMerge w:val="continue"/>
                  <w:tcBorders>
                    <w:tl2br w:val="nil"/>
                    <w:tr2bl w:val="nil"/>
                  </w:tcBorders>
                  <w:vAlign w:val="center"/>
                </w:tcPr>
                <w:p>
                  <w:pPr>
                    <w:jc w:val="center"/>
                    <w:rPr>
                      <w:rFonts w:hint="default" w:ascii="Times New Roman" w:hAnsi="Times New Roman" w:cs="Times New Roman"/>
                      <w:szCs w:val="21"/>
                    </w:rPr>
                  </w:pPr>
                </w:p>
              </w:tc>
              <w:tc>
                <w:tcPr>
                  <w:tcW w:w="678" w:type="dxa"/>
                  <w:vMerge w:val="continue"/>
                  <w:tcBorders>
                    <w:tl2br w:val="nil"/>
                    <w:tr2bl w:val="nil"/>
                  </w:tcBorders>
                  <w:vAlign w:val="center"/>
                </w:tcPr>
                <w:p>
                  <w:pPr>
                    <w:jc w:val="center"/>
                    <w:rPr>
                      <w:rFonts w:hint="default" w:ascii="Times New Roman" w:hAnsi="Times New Roman" w:cs="Times New Roman"/>
                      <w:szCs w:val="21"/>
                    </w:rPr>
                  </w:pPr>
                </w:p>
              </w:tc>
              <w:tc>
                <w:tcPr>
                  <w:tcW w:w="404"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生态</w:t>
                  </w:r>
                </w:p>
              </w:tc>
              <w:tc>
                <w:tcPr>
                  <w:tcW w:w="5777" w:type="dxa"/>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对需要恢复的土地进行表土回覆，回覆厚度20</w:t>
                  </w:r>
                  <w:r>
                    <w:rPr>
                      <w:rFonts w:hint="eastAsia" w:cs="Times New Roman"/>
                      <w:szCs w:val="21"/>
                      <w:lang w:val="en-US" w:eastAsia="zh-CN"/>
                    </w:rPr>
                    <w:t>cm</w:t>
                  </w:r>
                  <w:r>
                    <w:rPr>
                      <w:rFonts w:hint="default" w:ascii="Times New Roman" w:hAnsi="Times New Roman" w:cs="Times New Roman"/>
                      <w:szCs w:val="21"/>
                    </w:rPr>
                    <w:t>~50cm，并播撒草籽；临时占地、裸露地表播撒草籽。</w:t>
                  </w:r>
                </w:p>
              </w:tc>
            </w:tr>
          </w:tbl>
          <w:p>
            <w:pPr>
              <w:pStyle w:val="60"/>
              <w:ind w:firstLine="482"/>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w:t>
            </w:r>
            <w:r>
              <w:rPr>
                <w:rFonts w:hint="default" w:ascii="Times New Roman" w:hAnsi="Times New Roman" w:cs="Times New Roman"/>
                <w:b/>
                <w:bCs/>
                <w:color w:val="000000" w:themeColor="text1"/>
                <w14:textFill>
                  <w14:solidFill>
                    <w14:schemeClr w14:val="tx1"/>
                  </w14:solidFill>
                </w14:textFill>
              </w:rPr>
              <w:t>主要工程概况：</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6.1</w:t>
            </w:r>
            <w:r>
              <w:rPr>
                <w:rFonts w:hint="default" w:ascii="Times New Roman" w:hAnsi="Times New Roman" w:cs="Times New Roman"/>
                <w:b/>
                <w:bCs/>
                <w:color w:val="000000" w:themeColor="text1"/>
                <w14:textFill>
                  <w14:solidFill>
                    <w14:schemeClr w14:val="tx1"/>
                  </w14:solidFill>
                </w14:textFill>
              </w:rPr>
              <w:t>工程等级及建筑物级别</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根据《水利水电工程等级划分及洪水标准》（SL252-2017），王团村排涝工程等别及规模确定为Ⅴ等。</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根据本工程等别确定，排涝暗管和明渠及其主要建筑物级别为5级，次要建筑物级别为5级。</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6.2</w:t>
            </w:r>
            <w:r>
              <w:rPr>
                <w:rFonts w:hint="default" w:ascii="Times New Roman" w:hAnsi="Times New Roman" w:cs="Times New Roman"/>
                <w:b/>
                <w:bCs/>
                <w:color w:val="000000" w:themeColor="text1"/>
                <w14:textFill>
                  <w14:solidFill>
                    <w14:schemeClr w14:val="tx1"/>
                  </w14:solidFill>
                </w14:textFill>
              </w:rPr>
              <w:t>排涝工程总布置</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项目区洪水主要来源于降雨时产生的村庄积水，因此，通过对王团村新建排涝管道及排水渠，将王团村雨水由南向北穿过同海线汇入段家沟。</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6.3</w:t>
            </w:r>
            <w:r>
              <w:rPr>
                <w:rFonts w:hint="default" w:ascii="Times New Roman" w:hAnsi="Times New Roman" w:cs="Times New Roman"/>
                <w:b/>
                <w:bCs/>
                <w:color w:val="000000" w:themeColor="text1"/>
                <w14:textFill>
                  <w14:solidFill>
                    <w14:schemeClr w14:val="tx1"/>
                  </w14:solidFill>
                </w14:textFill>
              </w:rPr>
              <w:t>管道工程</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沟槽的宽度应便于管道敷设和安装，同时也便于夯实机具操作和地下水排出。沟槽的最小宽度b应按下列公式计算确定：</w:t>
            </w:r>
          </w:p>
          <w:p>
            <w:pPr>
              <w:pStyle w:val="60"/>
              <w:ind w:firstLine="48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b≥D</w:t>
            </w:r>
            <w:r>
              <w:rPr>
                <w:rFonts w:hint="default" w:ascii="Times New Roman" w:hAnsi="Times New Roman" w:cs="Times New Roman"/>
                <w:color w:val="000000" w:themeColor="text1"/>
                <w:vertAlign w:val="subscript"/>
                <w14:textFill>
                  <w14:solidFill>
                    <w14:schemeClr w14:val="tx1"/>
                  </w14:solidFill>
                </w14:textFill>
              </w:rPr>
              <w:t>1</w:t>
            </w:r>
            <w:r>
              <w:rPr>
                <w:rFonts w:hint="default" w:ascii="Times New Roman" w:hAnsi="Times New Roman" w:cs="Times New Roman"/>
                <w:color w:val="000000" w:themeColor="text1"/>
                <w14:textFill>
                  <w14:solidFill>
                    <w14:schemeClr w14:val="tx1"/>
                  </w14:solidFill>
                </w14:textFill>
              </w:rPr>
              <w:t>+2S</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式中：b——沟槽的最小宽度（mm）</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D1——管外径（mm）</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S——管壁到沟槽的距离（mm）</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考虑到项目区周围土质有湿陷性，故本次基础由下而上依次为300mm厚原土翻夯，200mm厚3:7灰土。</w:t>
            </w:r>
          </w:p>
          <w:p>
            <w:pPr>
              <w:pStyle w:val="60"/>
              <w:ind w:firstLine="0" w:firstLineChars="0"/>
              <w:rPr>
                <w:rFonts w:hint="default" w:ascii="Times New Roman" w:hAnsi="Times New Roman" w:cs="Times New Roman"/>
              </w:rPr>
            </w:pPr>
            <w:r>
              <w:rPr>
                <w:rFonts w:hint="default" w:ascii="Times New Roman" w:hAnsi="Times New Roman" w:cs="Times New Roman"/>
              </w:rPr>
              <w:drawing>
                <wp:inline distT="0" distB="0" distL="114300" distR="114300">
                  <wp:extent cx="4758690" cy="3432175"/>
                  <wp:effectExtent l="0" t="0" r="3810" b="15875"/>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4"/>
                          <a:stretch>
                            <a:fillRect/>
                          </a:stretch>
                        </pic:blipFill>
                        <pic:spPr>
                          <a:xfrm>
                            <a:off x="0" y="0"/>
                            <a:ext cx="4758690" cy="3432175"/>
                          </a:xfrm>
                          <a:prstGeom prst="rect">
                            <a:avLst/>
                          </a:prstGeom>
                          <a:noFill/>
                          <a:ln>
                            <a:noFill/>
                          </a:ln>
                        </pic:spPr>
                      </pic:pic>
                    </a:graphicData>
                  </a:graphic>
                </wp:inline>
              </w:drawing>
            </w:r>
          </w:p>
          <w:p>
            <w:pPr>
              <w:pStyle w:val="60"/>
              <w:ind w:firstLine="0" w:firstLineChars="0"/>
              <w:jc w:val="center"/>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图5排水管道横断面图</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6.4</w:t>
            </w:r>
            <w:r>
              <w:rPr>
                <w:rFonts w:hint="default" w:ascii="Times New Roman" w:hAnsi="Times New Roman" w:cs="Times New Roman"/>
                <w:b/>
                <w:bCs/>
                <w:color w:val="000000" w:themeColor="text1"/>
                <w14:textFill>
                  <w14:solidFill>
                    <w14:schemeClr w14:val="tx1"/>
                  </w14:solidFill>
                </w14:textFill>
              </w:rPr>
              <w:t>检查井工程</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检查采用砖结构砌护检查井，盖采用Φ70mm×70mm球墨铸铁井盖（防盗），管道检查井内的流槽，与井壁同时进行砌筑；流槽表面平顺、圆滑、光洁，并与上下游管道底部顺接；有支连管接入井室，在井室施工的同时安装预留支、连管，预留管的管径、方向、高程符合设计要求，管与井壁衔接处严密；排水检查井的预留管管口采用低强度砂浆砌筑封口抹平；井室周围的回填，与管道沟槽回填同时进行，不便同时进行时，应留台阶形接茬，井室周围回填压实时沿井室中心对称进行，且不得漏夯；路面范围内的井室应采用石灰土、砂、砂砾等材料回填，其宽度不小于400mm；禁在槽壁取土回填。</w:t>
            </w:r>
          </w:p>
          <w:p>
            <w:pPr>
              <w:pStyle w:val="60"/>
              <w:ind w:firstLine="0" w:firstLineChars="0"/>
              <w:rPr>
                <w:rFonts w:hint="default" w:ascii="Times New Roman" w:hAnsi="Times New Roman" w:cs="Times New Roman"/>
              </w:rPr>
            </w:pPr>
            <w:r>
              <w:rPr>
                <w:rFonts w:hint="default" w:ascii="Times New Roman" w:hAnsi="Times New Roman" w:cs="Times New Roman"/>
              </w:rPr>
              <w:drawing>
                <wp:inline distT="0" distB="0" distL="114300" distR="114300">
                  <wp:extent cx="4789805" cy="4133850"/>
                  <wp:effectExtent l="0" t="0" r="10795" b="0"/>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15"/>
                          <a:stretch>
                            <a:fillRect/>
                          </a:stretch>
                        </pic:blipFill>
                        <pic:spPr>
                          <a:xfrm>
                            <a:off x="0" y="0"/>
                            <a:ext cx="4789805" cy="4133850"/>
                          </a:xfrm>
                          <a:prstGeom prst="rect">
                            <a:avLst/>
                          </a:prstGeom>
                          <a:noFill/>
                          <a:ln>
                            <a:noFill/>
                          </a:ln>
                        </pic:spPr>
                      </pic:pic>
                    </a:graphicData>
                  </a:graphic>
                </wp:inline>
              </w:drawing>
            </w:r>
          </w:p>
          <w:p>
            <w:pPr>
              <w:pStyle w:val="60"/>
              <w:ind w:firstLine="0" w:firstLineChars="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图6检查井横断面图</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6.5</w:t>
            </w:r>
            <w:r>
              <w:rPr>
                <w:rFonts w:hint="default" w:ascii="Times New Roman" w:hAnsi="Times New Roman" w:cs="Times New Roman"/>
                <w:b/>
                <w:bCs/>
                <w:color w:val="000000" w:themeColor="text1"/>
                <w14:textFill>
                  <w14:solidFill>
                    <w14:schemeClr w14:val="tx1"/>
                  </w14:solidFill>
                </w14:textFill>
              </w:rPr>
              <w:t>雨水口工程</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雨水口井圈表面高程比该处道路路面低30mm，并与附近硬化路面接顺。当道路无路面结构时（土路），需在雨水口四周浇筑混凝土路面，路面做法按道路标准，路面高程及范围如图所示。雨水口位置、尺寸符合设计条件，平面尺寸误差不超过土10mm，高程误差不超过-10m。</w:t>
            </w:r>
          </w:p>
          <w:p>
            <w:pPr>
              <w:pStyle w:val="60"/>
              <w:ind w:firstLine="0" w:firstLineChars="0"/>
              <w:rPr>
                <w:rFonts w:hint="default" w:ascii="Times New Roman" w:hAnsi="Times New Roman" w:cs="Times New Roman"/>
              </w:rPr>
            </w:pPr>
            <w:r>
              <w:rPr>
                <w:rFonts w:hint="default" w:ascii="Times New Roman" w:hAnsi="Times New Roman" w:cs="Times New Roman"/>
              </w:rPr>
              <w:drawing>
                <wp:inline distT="0" distB="0" distL="114300" distR="114300">
                  <wp:extent cx="4759960" cy="3651885"/>
                  <wp:effectExtent l="0" t="0" r="2540" b="5715"/>
                  <wp:docPr id="1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6"/>
                          <pic:cNvPicPr>
                            <a:picLocks noChangeAspect="1"/>
                          </pic:cNvPicPr>
                        </pic:nvPicPr>
                        <pic:blipFill>
                          <a:blip r:embed="rId16"/>
                          <a:stretch>
                            <a:fillRect/>
                          </a:stretch>
                        </pic:blipFill>
                        <pic:spPr>
                          <a:xfrm>
                            <a:off x="0" y="0"/>
                            <a:ext cx="4759960" cy="3651885"/>
                          </a:xfrm>
                          <a:prstGeom prst="rect">
                            <a:avLst/>
                          </a:prstGeom>
                          <a:noFill/>
                          <a:ln>
                            <a:noFill/>
                          </a:ln>
                        </pic:spPr>
                      </pic:pic>
                    </a:graphicData>
                  </a:graphic>
                </wp:inline>
              </w:drawing>
            </w:r>
          </w:p>
          <w:p>
            <w:pPr>
              <w:pStyle w:val="60"/>
              <w:ind w:firstLine="0" w:firstLineChars="0"/>
              <w:jc w:val="center"/>
              <w:rPr>
                <w:rFonts w:hint="default" w:ascii="Times New Roman" w:hAnsi="Times New Roman" w:cs="Times New Roman"/>
              </w:rPr>
            </w:pPr>
            <w:r>
              <w:rPr>
                <w:rFonts w:hint="default" w:ascii="Times New Roman" w:hAnsi="Times New Roman" w:cs="Times New Roman"/>
                <w:b/>
                <w:color w:val="000000" w:themeColor="text1"/>
                <w:sz w:val="21"/>
                <w14:textFill>
                  <w14:solidFill>
                    <w14:schemeClr w14:val="tx1"/>
                  </w14:solidFill>
                </w14:textFill>
              </w:rPr>
              <w:t>图7雨水井横断面图</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6.6</w:t>
            </w:r>
            <w:r>
              <w:rPr>
                <w:rFonts w:hint="default" w:ascii="Times New Roman" w:hAnsi="Times New Roman" w:cs="Times New Roman"/>
                <w:b/>
                <w:bCs/>
                <w:color w:val="000000" w:themeColor="text1"/>
                <w14:textFill>
                  <w14:solidFill>
                    <w14:schemeClr w14:val="tx1"/>
                  </w14:solidFill>
                </w14:textFill>
              </w:rPr>
              <w:t>排水渠工程</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根据项目区10年一遇洪水流量为0.34m³/s，及项目区现状地形，本次设计规划新建D=0.6m</w:t>
            </w:r>
            <w:r>
              <w:rPr>
                <w:rFonts w:hint="default"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0.6m矩形渠道，厚0.2m，采用C25预制混凝土板，基础铺设0.2m厚砂砾石垫层，每隔7.79m设置一道伸缩缝，缝宽3cm，采用聚乙烯油膏填筑，沿主干道方向砌筑；渠道左侧渠拜与硬化路连接处采用C25混凝土铺装；据实地踏勘，项目区主干道硬化路路面窄，本次设计渠拜左侧顺接硬化路面，硬化路面不做破除。</w:t>
            </w:r>
          </w:p>
          <w:p>
            <w:pPr>
              <w:pStyle w:val="60"/>
              <w:ind w:firstLine="0" w:firstLineChars="0"/>
              <w:rPr>
                <w:rFonts w:hint="default" w:ascii="Times New Roman" w:hAnsi="Times New Roman" w:cs="Times New Roman"/>
              </w:rPr>
            </w:pPr>
            <w:r>
              <w:rPr>
                <w:rFonts w:hint="default" w:ascii="Times New Roman" w:hAnsi="Times New Roman" w:cs="Times New Roman"/>
              </w:rPr>
              <w:drawing>
                <wp:inline distT="0" distB="0" distL="114300" distR="114300">
                  <wp:extent cx="4751705" cy="3413125"/>
                  <wp:effectExtent l="0" t="0" r="10795" b="15875"/>
                  <wp:docPr id="1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7"/>
                          <pic:cNvPicPr>
                            <a:picLocks noChangeAspect="1"/>
                          </pic:cNvPicPr>
                        </pic:nvPicPr>
                        <pic:blipFill>
                          <a:blip r:embed="rId17"/>
                          <a:stretch>
                            <a:fillRect/>
                          </a:stretch>
                        </pic:blipFill>
                        <pic:spPr>
                          <a:xfrm>
                            <a:off x="0" y="0"/>
                            <a:ext cx="4751705" cy="3413125"/>
                          </a:xfrm>
                          <a:prstGeom prst="rect">
                            <a:avLst/>
                          </a:prstGeom>
                          <a:noFill/>
                          <a:ln>
                            <a:noFill/>
                          </a:ln>
                        </pic:spPr>
                      </pic:pic>
                    </a:graphicData>
                  </a:graphic>
                </wp:inline>
              </w:drawing>
            </w:r>
          </w:p>
          <w:p>
            <w:pPr>
              <w:pStyle w:val="60"/>
              <w:ind w:firstLine="0" w:firstLineChars="0"/>
              <w:jc w:val="center"/>
              <w:rPr>
                <w:rFonts w:hint="default" w:ascii="Times New Roman" w:hAnsi="Times New Roman" w:cs="Times New Roman"/>
              </w:rPr>
            </w:pPr>
            <w:r>
              <w:rPr>
                <w:rFonts w:hint="default" w:ascii="Times New Roman" w:hAnsi="Times New Roman" w:cs="Times New Roman"/>
                <w:b/>
                <w:color w:val="000000" w:themeColor="text1"/>
                <w:sz w:val="21"/>
                <w14:textFill>
                  <w14:solidFill>
                    <w14:schemeClr w14:val="tx1"/>
                  </w14:solidFill>
                </w14:textFill>
              </w:rPr>
              <w:t>图8排水渠横断面图</w:t>
            </w:r>
          </w:p>
          <w:p>
            <w:pPr>
              <w:pStyle w:val="60"/>
              <w:ind w:firstLine="480"/>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6.7</w:t>
            </w:r>
            <w:r>
              <w:rPr>
                <w:rFonts w:hint="default" w:ascii="Times New Roman" w:hAnsi="Times New Roman" w:cs="Times New Roman"/>
                <w:b/>
                <w:bCs/>
                <w:color w:val="000000" w:themeColor="text1"/>
                <w14:textFill>
                  <w14:solidFill>
                    <w14:schemeClr w14:val="tx1"/>
                  </w14:solidFill>
                </w14:textFill>
              </w:rPr>
              <w:t>生产桥</w:t>
            </w:r>
          </w:p>
          <w:p>
            <w:pPr>
              <w:pStyle w:val="60"/>
              <w:ind w:firstLine="480"/>
              <w:rPr>
                <w:rFonts w:hint="default" w:ascii="Times New Roman" w:hAnsi="Times New Roman" w:cs="Times New Roman"/>
              </w:rPr>
            </w:pPr>
            <w:r>
              <w:rPr>
                <w:rFonts w:hint="default" w:ascii="Times New Roman" w:hAnsi="Times New Roman" w:cs="Times New Roman"/>
                <w:color w:val="000000" w:themeColor="text1"/>
                <w14:textFill>
                  <w14:solidFill>
                    <w14:schemeClr w14:val="tx1"/>
                  </w14:solidFill>
                </w14:textFill>
              </w:rPr>
              <w:t>规格为0.6×4m共计27座、0.6×10m共计1座，设计荷载标准为：公路Ⅱ级。桥板厚0.20m，采用C25混凝土，钢筋采用HRB400钢筋，桥身重力墩采用M</w:t>
            </w:r>
            <w:r>
              <w:rPr>
                <w:rFonts w:hint="default" w:ascii="Times New Roman" w:hAnsi="Times New Roman" w:cs="Times New Roman"/>
              </w:rPr>
              <w:t>U30块石，M7.5砂浆砌筑，挡土墙后回填土方要求回填至桥面高度并夯实。生产桥刨面图见附图</w:t>
            </w:r>
            <w:r>
              <w:rPr>
                <w:rFonts w:hint="default" w:ascii="Times New Roman" w:hAnsi="Times New Roman" w:cs="Times New Roman"/>
                <w:lang w:val="en-US" w:eastAsia="zh-CN"/>
              </w:rPr>
              <w:t>8</w:t>
            </w:r>
            <w:r>
              <w:rPr>
                <w:rFonts w:hint="default" w:ascii="Times New Roman" w:hAnsi="Times New Roman" w:cs="Times New Roman"/>
              </w:rPr>
              <w:t>。</w:t>
            </w:r>
          </w:p>
          <w:p>
            <w:pPr>
              <w:widowControl/>
              <w:adjustRightInd w:val="0"/>
              <w:spacing w:line="360" w:lineRule="auto"/>
              <w:ind w:firstLine="482" w:firstLineChars="200"/>
              <w:jc w:val="left"/>
              <w:rPr>
                <w:rFonts w:hint="default" w:ascii="Times New Roman" w:hAnsi="Times New Roman" w:cs="Times New Roman"/>
                <w:b/>
                <w:bCs/>
                <w:sz w:val="24"/>
                <w:lang w:val="en-US" w:eastAsia="zh-CN"/>
              </w:rPr>
            </w:pPr>
            <w:r>
              <w:rPr>
                <w:rFonts w:hint="default" w:ascii="Times New Roman" w:hAnsi="Times New Roman" w:cs="Times New Roman"/>
                <w:b/>
                <w:bCs/>
                <w:sz w:val="24"/>
                <w:lang w:val="en-US" w:eastAsia="zh-CN"/>
              </w:rPr>
              <w:t>7、公用工程</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（1）给水工程</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项目区处于村庄内，工程沿线无地表水及地下水可用，因此，生产生活用水采用村庄内自来水购买拉运。</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（2）排水工程</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施工期废污水包括车辆冲洗废水和施工人员生活污水两部分，生活废水及车辆冲洗等少量废水沉淀后用于洒水降尘，生活污水由租住村庄当地污水处理系统处理。</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①生活污水</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本项目施工期生活区租用当地民房，不再另设。生活污水主要为洗漱废水，依托租用房屋的排水设施。</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②车辆冲洗废水</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项目施工车辆冲洗废水经过沉淀池后洒水降尘循环利用，不外排。</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（3）供电工程</w:t>
            </w:r>
          </w:p>
          <w:p>
            <w:pPr>
              <w:widowControl/>
              <w:adjustRightInd w:val="0"/>
              <w:spacing w:line="360" w:lineRule="auto"/>
              <w:ind w:firstLine="480" w:firstLineChars="200"/>
              <w:jc w:val="left"/>
              <w:rPr>
                <w:rFonts w:hint="default" w:ascii="Times New Roman" w:hAnsi="Times New Roman" w:cs="Times New Roman"/>
                <w:b w:val="0"/>
                <w:bCs w:val="0"/>
                <w:color w:val="FF0000"/>
                <w:sz w:val="24"/>
                <w:lang w:val="en-US" w:eastAsia="zh-CN"/>
              </w:rPr>
            </w:pPr>
            <w:r>
              <w:rPr>
                <w:rFonts w:hint="default" w:ascii="Times New Roman" w:hAnsi="Times New Roman" w:cs="Times New Roman"/>
                <w:b w:val="0"/>
                <w:bCs w:val="0"/>
                <w:color w:val="FF0000"/>
                <w:sz w:val="24"/>
                <w:lang w:val="en-US" w:eastAsia="zh-CN"/>
              </w:rPr>
              <w:t>项目村庄有输电线网。与当地电力部门联系，搭设临时电力线路，保证工程用电。</w:t>
            </w:r>
          </w:p>
          <w:p>
            <w:pPr>
              <w:widowControl/>
              <w:adjustRightInd w:val="0"/>
              <w:spacing w:line="360" w:lineRule="auto"/>
              <w:ind w:firstLine="482" w:firstLineChars="200"/>
              <w:jc w:val="left"/>
              <w:rPr>
                <w:rFonts w:hint="default" w:ascii="Times New Roman" w:hAnsi="Times New Roman" w:cs="Times New Roman"/>
                <w:snapToGrid w:val="0"/>
                <w:kern w:val="0"/>
                <w:sz w:val="24"/>
              </w:rPr>
            </w:pPr>
            <w:r>
              <w:rPr>
                <w:rFonts w:hint="default" w:ascii="Times New Roman" w:hAnsi="Times New Roman" w:cs="Times New Roman"/>
                <w:b/>
                <w:bCs/>
                <w:sz w:val="24"/>
                <w:lang w:val="en-US" w:eastAsia="zh-CN"/>
              </w:rPr>
              <w:t>8、</w:t>
            </w:r>
            <w:r>
              <w:rPr>
                <w:rFonts w:hint="default" w:ascii="Times New Roman" w:hAnsi="Times New Roman" w:cs="Times New Roman"/>
                <w:b/>
                <w:bCs/>
                <w:snapToGrid w:val="0"/>
                <w:kern w:val="0"/>
                <w:sz w:val="24"/>
              </w:rPr>
              <w:t>工程占地</w:t>
            </w:r>
          </w:p>
          <w:p>
            <w:pPr>
              <w:widowControl/>
              <w:adjustRightInd w:val="0"/>
              <w:spacing w:line="360" w:lineRule="auto"/>
              <w:ind w:firstLine="480" w:firstLineChars="200"/>
              <w:jc w:val="left"/>
              <w:rPr>
                <w:rFonts w:hint="default" w:ascii="Times New Roman" w:hAnsi="Times New Roman" w:cs="Times New Roman"/>
                <w:snapToGrid w:val="0"/>
                <w:kern w:val="0"/>
                <w:sz w:val="24"/>
                <w:lang w:val="sq-AL"/>
              </w:rPr>
            </w:pPr>
            <w:r>
              <w:rPr>
                <w:rFonts w:hint="default" w:ascii="Times New Roman" w:hAnsi="Times New Roman" w:cs="Times New Roman"/>
                <w:snapToGrid w:val="0"/>
                <w:kern w:val="0"/>
                <w:sz w:val="24"/>
                <w:lang w:val="sq-AL"/>
              </w:rPr>
              <w:t>（</w:t>
            </w:r>
            <w:r>
              <w:rPr>
                <w:rFonts w:hint="default" w:ascii="Times New Roman" w:hAnsi="Times New Roman" w:cs="Times New Roman"/>
                <w:snapToGrid w:val="0"/>
                <w:kern w:val="0"/>
                <w:sz w:val="24"/>
              </w:rPr>
              <w:t>1</w:t>
            </w:r>
            <w:r>
              <w:rPr>
                <w:rFonts w:hint="default" w:ascii="Times New Roman" w:hAnsi="Times New Roman" w:cs="Times New Roman"/>
                <w:snapToGrid w:val="0"/>
                <w:kern w:val="0"/>
                <w:sz w:val="24"/>
                <w:lang w:val="sq-AL"/>
              </w:rPr>
              <w:t>）工程永久占地</w:t>
            </w:r>
          </w:p>
          <w:p>
            <w:pPr>
              <w:widowControl/>
              <w:adjustRightInd w:val="0"/>
              <w:spacing w:line="360" w:lineRule="auto"/>
              <w:ind w:firstLine="480" w:firstLineChars="200"/>
              <w:jc w:val="left"/>
              <w:rPr>
                <w:rFonts w:hint="default" w:ascii="Times New Roman" w:hAnsi="Times New Roman" w:cs="Times New Roman"/>
                <w:snapToGrid w:val="0"/>
                <w:kern w:val="0"/>
                <w:sz w:val="24"/>
              </w:rPr>
            </w:pPr>
            <w:r>
              <w:rPr>
                <w:rFonts w:hint="default" w:ascii="Times New Roman" w:hAnsi="Times New Roman" w:cs="Times New Roman"/>
                <w:snapToGrid w:val="0"/>
                <w:kern w:val="0"/>
                <w:sz w:val="24"/>
              </w:rPr>
              <w:t>本项目无永久占地。</w:t>
            </w:r>
          </w:p>
          <w:p>
            <w:pPr>
              <w:widowControl/>
              <w:adjustRightInd w:val="0"/>
              <w:spacing w:line="360" w:lineRule="auto"/>
              <w:ind w:firstLine="480" w:firstLineChars="200"/>
              <w:jc w:val="left"/>
              <w:rPr>
                <w:rFonts w:hint="default" w:ascii="Times New Roman" w:hAnsi="Times New Roman" w:cs="Times New Roman"/>
                <w:snapToGrid w:val="0"/>
                <w:kern w:val="0"/>
                <w:sz w:val="24"/>
              </w:rPr>
            </w:pPr>
            <w:r>
              <w:rPr>
                <w:rFonts w:hint="default" w:ascii="Times New Roman" w:hAnsi="Times New Roman" w:cs="Times New Roman"/>
                <w:snapToGrid w:val="0"/>
                <w:kern w:val="0"/>
                <w:sz w:val="24"/>
              </w:rPr>
              <w:t>（2）工程临时占地</w:t>
            </w:r>
          </w:p>
          <w:p>
            <w:pPr>
              <w:widowControl/>
              <w:adjustRightInd w:val="0"/>
              <w:spacing w:line="360" w:lineRule="auto"/>
              <w:ind w:firstLine="480" w:firstLineChars="200"/>
              <w:jc w:val="left"/>
              <w:rPr>
                <w:rFonts w:hint="default" w:ascii="Times New Roman" w:hAnsi="Times New Roman" w:cs="Times New Roman"/>
                <w:snapToGrid w:val="0"/>
                <w:kern w:val="0"/>
                <w:sz w:val="24"/>
              </w:rPr>
            </w:pPr>
            <w:r>
              <w:rPr>
                <w:rFonts w:hint="default" w:ascii="Times New Roman" w:hAnsi="Times New Roman" w:cs="Times New Roman"/>
                <w:snapToGrid w:val="0"/>
                <w:kern w:val="0"/>
                <w:sz w:val="24"/>
              </w:rPr>
              <w:t>本工程施工人员均雇佣自当地居民，因此不需要设置大量板房营地，施工营地、施工场区及施工建设办公用房用地考虑就近租用农村的场部、打谷场以及充分利用空地等方式解决。</w:t>
            </w:r>
            <w:r>
              <w:rPr>
                <w:rFonts w:hint="default" w:ascii="Times New Roman" w:hAnsi="Times New Roman" w:cs="Times New Roman"/>
                <w:snapToGrid w:val="0"/>
                <w:color w:val="FF0000"/>
                <w:kern w:val="0"/>
                <w:sz w:val="24"/>
                <w:lang w:val="en-US" w:eastAsia="zh-CN"/>
              </w:rPr>
              <w:t>临时工程占地主要为施工生产区、施工道路、材料堆放区及土方堆放区。</w:t>
            </w:r>
            <w:r>
              <w:rPr>
                <w:rFonts w:hint="default" w:ascii="Times New Roman" w:hAnsi="Times New Roman" w:cs="Times New Roman"/>
                <w:snapToGrid w:val="0"/>
                <w:kern w:val="0"/>
                <w:sz w:val="24"/>
              </w:rPr>
              <w:t>临时占地主要为管道开挖及渠道开挖，占地面积为633.33m</w:t>
            </w:r>
            <w:r>
              <w:rPr>
                <w:rFonts w:hint="default" w:ascii="Times New Roman" w:hAnsi="Times New Roman" w:cs="Times New Roman"/>
                <w:snapToGrid w:val="0"/>
                <w:kern w:val="0"/>
                <w:sz w:val="24"/>
                <w:vertAlign w:val="superscript"/>
              </w:rPr>
              <w:t>2</w:t>
            </w:r>
            <w:r>
              <w:rPr>
                <w:rFonts w:hint="default" w:ascii="Times New Roman" w:hAnsi="Times New Roman" w:cs="Times New Roman"/>
                <w:snapToGrid w:val="0"/>
                <w:kern w:val="0"/>
                <w:sz w:val="24"/>
              </w:rPr>
              <w:t>，占地类型为建设用地。</w:t>
            </w:r>
          </w:p>
          <w:p>
            <w:pPr>
              <w:pStyle w:val="8"/>
              <w:spacing w:after="0" w:line="360" w:lineRule="auto"/>
              <w:jc w:val="center"/>
              <w:rPr>
                <w:rFonts w:hint="default" w:ascii="Times New Roman" w:hAnsi="Times New Roman" w:cs="Times New Roman"/>
                <w:b/>
                <w:sz w:val="21"/>
                <w:szCs w:val="32"/>
              </w:rPr>
            </w:pPr>
            <w:r>
              <w:rPr>
                <w:rFonts w:hint="default" w:ascii="Times New Roman" w:hAnsi="Times New Roman" w:cs="Times New Roman"/>
                <w:b/>
                <w:sz w:val="21"/>
                <w:szCs w:val="32"/>
              </w:rPr>
              <w:t>表2-2项目占地一览表单位：m</w:t>
            </w:r>
            <w:r>
              <w:rPr>
                <w:rFonts w:hint="default" w:ascii="Times New Roman" w:hAnsi="Times New Roman" w:cs="Times New Roman"/>
                <w:b/>
                <w:sz w:val="21"/>
                <w:szCs w:val="32"/>
                <w:vertAlign w:val="superscript"/>
              </w:rPr>
              <w:t>2</w:t>
            </w:r>
          </w:p>
          <w:tbl>
            <w:tblPr>
              <w:tblStyle w:val="24"/>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1317"/>
              <w:gridCol w:w="2620"/>
              <w:gridCol w:w="1836"/>
              <w:gridCol w:w="131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03" w:type="pct"/>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835" w:type="pct"/>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占地性质</w:t>
                  </w:r>
                </w:p>
              </w:tc>
              <w:tc>
                <w:tcPr>
                  <w:tcW w:w="1661" w:type="pct"/>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占地项目</w:t>
                  </w:r>
                </w:p>
              </w:tc>
              <w:tc>
                <w:tcPr>
                  <w:tcW w:w="1164" w:type="pct"/>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占地类型</w:t>
                  </w:r>
                </w:p>
              </w:tc>
              <w:tc>
                <w:tcPr>
                  <w:tcW w:w="835" w:type="pct"/>
                  <w:tcBorders>
                    <w:tl2br w:val="nil"/>
                    <w:tr2bl w:val="nil"/>
                  </w:tcBorders>
                  <w:vAlign w:val="center"/>
                </w:tcPr>
                <w:p>
                  <w:pPr>
                    <w:jc w:val="center"/>
                    <w:rPr>
                      <w:rFonts w:hint="default" w:ascii="Times New Roman" w:hAnsi="Times New Roman" w:cs="Times New Roman"/>
                      <w:b/>
                      <w:szCs w:val="21"/>
                    </w:rPr>
                  </w:pPr>
                  <w:r>
                    <w:rPr>
                      <w:rFonts w:hint="default" w:ascii="Times New Roman" w:hAnsi="Times New Roman" w:cs="Times New Roman"/>
                      <w:b/>
                      <w:szCs w:val="21"/>
                    </w:rPr>
                    <w:t>占地面积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03"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1</w:t>
                  </w:r>
                </w:p>
              </w:tc>
              <w:tc>
                <w:tcPr>
                  <w:tcW w:w="835"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永久占地</w:t>
                  </w:r>
                </w:p>
              </w:tc>
              <w:tc>
                <w:tcPr>
                  <w:tcW w:w="1661" w:type="pct"/>
                  <w:tcBorders>
                    <w:tl2br w:val="nil"/>
                    <w:tr2bl w:val="nil"/>
                  </w:tcBorders>
                  <w:vAlign w:val="center"/>
                </w:tcPr>
                <w:p>
                  <w:pPr>
                    <w:pStyle w:val="55"/>
                    <w:adjustRightInd/>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1164" w:type="pct"/>
                  <w:tcBorders>
                    <w:tl2br w:val="nil"/>
                    <w:tr2bl w:val="nil"/>
                  </w:tcBorders>
                  <w:vAlign w:val="center"/>
                </w:tcPr>
                <w:p>
                  <w:pPr>
                    <w:pStyle w:val="55"/>
                    <w:adjustRightInd/>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835"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40" w:hRule="exact"/>
                <w:jc w:val="center"/>
              </w:trPr>
              <w:tc>
                <w:tcPr>
                  <w:tcW w:w="503"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2</w:t>
                  </w:r>
                </w:p>
              </w:tc>
              <w:tc>
                <w:tcPr>
                  <w:tcW w:w="835"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临时占地</w:t>
                  </w:r>
                </w:p>
              </w:tc>
              <w:tc>
                <w:tcPr>
                  <w:tcW w:w="1661"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管道开挖、渠道开挖</w:t>
                  </w:r>
                </w:p>
              </w:tc>
              <w:tc>
                <w:tcPr>
                  <w:tcW w:w="1164"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建设用地</w:t>
                  </w:r>
                </w:p>
              </w:tc>
              <w:tc>
                <w:tcPr>
                  <w:tcW w:w="835"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633.33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03"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3</w:t>
                  </w:r>
                </w:p>
              </w:tc>
              <w:tc>
                <w:tcPr>
                  <w:tcW w:w="2496" w:type="pct"/>
                  <w:gridSpan w:val="2"/>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合计</w:t>
                  </w:r>
                </w:p>
              </w:tc>
              <w:tc>
                <w:tcPr>
                  <w:tcW w:w="1164" w:type="pct"/>
                  <w:tcBorders>
                    <w:tl2br w:val="nil"/>
                    <w:tr2bl w:val="nil"/>
                  </w:tcBorders>
                  <w:vAlign w:val="center"/>
                </w:tcPr>
                <w:p>
                  <w:pPr>
                    <w:jc w:val="center"/>
                    <w:rPr>
                      <w:rFonts w:hint="default" w:ascii="Times New Roman" w:hAnsi="Times New Roman" w:cs="Times New Roman"/>
                      <w:szCs w:val="21"/>
                    </w:rPr>
                  </w:pPr>
                </w:p>
              </w:tc>
              <w:tc>
                <w:tcPr>
                  <w:tcW w:w="835" w:type="pct"/>
                  <w:tcBorders>
                    <w:tl2br w:val="nil"/>
                    <w:tr2bl w:val="nil"/>
                  </w:tcBorders>
                  <w:vAlign w:val="center"/>
                </w:tcPr>
                <w:p>
                  <w:pPr>
                    <w:jc w:val="center"/>
                    <w:rPr>
                      <w:rFonts w:hint="default" w:ascii="Times New Roman" w:hAnsi="Times New Roman" w:cs="Times New Roman"/>
                      <w:szCs w:val="21"/>
                    </w:rPr>
                  </w:pPr>
                  <w:r>
                    <w:rPr>
                      <w:rFonts w:hint="default" w:ascii="Times New Roman" w:hAnsi="Times New Roman" w:cs="Times New Roman"/>
                      <w:szCs w:val="21"/>
                    </w:rPr>
                    <w:t>633.33</w:t>
                  </w:r>
                </w:p>
              </w:tc>
            </w:tr>
          </w:tbl>
          <w:p>
            <w:pPr>
              <w:pStyle w:val="45"/>
              <w:spacing w:line="360" w:lineRule="auto"/>
              <w:ind w:firstLine="482" w:firstLineChars="200"/>
              <w:rPr>
                <w:rFonts w:hint="default" w:ascii="Times New Roman" w:hAnsi="Times New Roman" w:cs="Times New Roman"/>
                <w:b/>
                <w:bCs/>
                <w:sz w:val="24"/>
              </w:rPr>
            </w:pPr>
            <w:r>
              <w:rPr>
                <w:rFonts w:hint="default" w:ascii="Times New Roman" w:hAnsi="Times New Roman" w:cs="Times New Roman"/>
                <w:b/>
                <w:bCs/>
                <w:sz w:val="24"/>
                <w:lang w:val="en-US" w:eastAsia="zh-CN"/>
              </w:rPr>
              <w:t>9</w:t>
            </w:r>
            <w:r>
              <w:rPr>
                <w:rFonts w:hint="default" w:ascii="Times New Roman" w:hAnsi="Times New Roman" w:cs="Times New Roman"/>
                <w:b/>
                <w:bCs/>
                <w:sz w:val="24"/>
              </w:rPr>
              <w:t>、土石方工程</w:t>
            </w:r>
          </w:p>
          <w:p>
            <w:pPr>
              <w:adjustRightInd w:val="0"/>
              <w:spacing w:line="360" w:lineRule="auto"/>
              <w:ind w:firstLine="480" w:firstLineChars="200"/>
              <w:outlineLvl w:val="1"/>
              <w:rPr>
                <w:rFonts w:hint="default" w:ascii="Times New Roman" w:hAnsi="Times New Roman" w:cs="Times New Roman"/>
                <w:bCs/>
                <w:sz w:val="24"/>
              </w:rPr>
            </w:pPr>
            <w:r>
              <w:rPr>
                <w:rFonts w:hint="default" w:ascii="Times New Roman" w:hAnsi="Times New Roman" w:cs="Times New Roman"/>
                <w:bCs/>
                <w:sz w:val="24"/>
              </w:rPr>
              <w:t>本次主要是在管道及渠道开挖过程中产生挖方量，其中土石方开挖量4869.25m</w:t>
            </w:r>
            <w:r>
              <w:rPr>
                <w:rFonts w:hint="default" w:ascii="Times New Roman" w:hAnsi="Times New Roman" w:cs="Times New Roman"/>
                <w:bCs/>
                <w:sz w:val="24"/>
                <w:vertAlign w:val="superscript"/>
              </w:rPr>
              <w:t>3</w:t>
            </w:r>
            <w:r>
              <w:rPr>
                <w:rFonts w:hint="default" w:ascii="Times New Roman" w:hAnsi="Times New Roman" w:cs="Times New Roman"/>
                <w:bCs/>
                <w:sz w:val="24"/>
              </w:rPr>
              <w:t>，填方量为3686.08m</w:t>
            </w:r>
            <w:r>
              <w:rPr>
                <w:rFonts w:hint="default" w:ascii="Times New Roman" w:hAnsi="Times New Roman" w:cs="Times New Roman"/>
                <w:bCs/>
                <w:sz w:val="24"/>
                <w:vertAlign w:val="superscript"/>
              </w:rPr>
              <w:t>3</w:t>
            </w:r>
            <w:r>
              <w:rPr>
                <w:rFonts w:hint="default" w:ascii="Times New Roman" w:hAnsi="Times New Roman" w:cs="Times New Roman"/>
                <w:bCs/>
                <w:sz w:val="24"/>
              </w:rPr>
              <w:t>，弃土方为1183.17m</w:t>
            </w:r>
            <w:r>
              <w:rPr>
                <w:rFonts w:hint="default" w:ascii="Times New Roman" w:hAnsi="Times New Roman" w:cs="Times New Roman"/>
                <w:bCs/>
                <w:sz w:val="24"/>
                <w:vertAlign w:val="superscript"/>
              </w:rPr>
              <w:t>3</w:t>
            </w:r>
            <w:r>
              <w:rPr>
                <w:rFonts w:hint="default" w:ascii="Times New Roman" w:hAnsi="Times New Roman" w:cs="Times New Roman"/>
                <w:bCs/>
                <w:sz w:val="24"/>
                <w:lang w:eastAsia="zh-CN"/>
              </w:rPr>
              <w:t>。</w:t>
            </w:r>
            <w:r>
              <w:rPr>
                <w:rFonts w:hint="default" w:ascii="Times New Roman" w:hAnsi="Times New Roman" w:cs="Times New Roman"/>
                <w:bCs/>
                <w:sz w:val="24"/>
                <w:lang w:val="en-US" w:eastAsia="zh-CN"/>
              </w:rPr>
              <w:t>管道工程采用边挖边填，弃土堆于管沟边，不设置单</w:t>
            </w:r>
            <w:r>
              <w:rPr>
                <w:rFonts w:hint="eastAsia" w:cs="Times New Roman"/>
                <w:bCs/>
                <w:sz w:val="24"/>
                <w:lang w:val="en-US" w:eastAsia="zh-CN"/>
              </w:rPr>
              <w:t>独</w:t>
            </w:r>
            <w:r>
              <w:rPr>
                <w:rFonts w:hint="default" w:ascii="Times New Roman" w:hAnsi="Times New Roman" w:cs="Times New Roman"/>
                <w:bCs/>
                <w:sz w:val="24"/>
                <w:lang w:val="en-US" w:eastAsia="zh-CN"/>
              </w:rPr>
              <w:t>的堆土场。</w:t>
            </w:r>
            <w:r>
              <w:rPr>
                <w:rFonts w:hint="default" w:ascii="Times New Roman" w:hAnsi="Times New Roman" w:cs="Times New Roman"/>
                <w:bCs/>
                <w:sz w:val="24"/>
              </w:rPr>
              <w:t>本项目不设弃土场，项目为线性分散点工程，因此每段工程的弃土方量小，弃土部分用作就近低洼地势平整恢复利用，其余用来平整村内水毁坑洼段。堆土应压实平整，并播撒当地草籽，绿化恢复。弃土对周边环境影响较小，且能有效解决周边地势坑洼状态。本项目土石方平衡一览表见下表。</w:t>
            </w:r>
          </w:p>
          <w:p>
            <w:pPr>
              <w:adjustRightInd w:val="0"/>
              <w:snapToGrid w:val="0"/>
              <w:spacing w:line="360" w:lineRule="auto"/>
              <w:jc w:val="center"/>
              <w:rPr>
                <w:rFonts w:hint="default" w:ascii="Times New Roman" w:hAnsi="Times New Roman" w:cs="Times New Roman"/>
                <w:snapToGrid w:val="0"/>
                <w:sz w:val="24"/>
              </w:rPr>
            </w:pPr>
            <w:r>
              <w:rPr>
                <w:rFonts w:hint="default" w:ascii="Times New Roman" w:hAnsi="Times New Roman" w:cs="Times New Roman"/>
                <w:b/>
                <w:snapToGrid w:val="0"/>
              </w:rPr>
              <w:t>表2-3土方计算表</w:t>
            </w:r>
          </w:p>
          <w:tbl>
            <w:tblPr>
              <w:tblStyle w:val="24"/>
              <w:tblW w:w="4998" w:type="pct"/>
              <w:tblInd w:w="5"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647"/>
              <w:gridCol w:w="2736"/>
              <w:gridCol w:w="1059"/>
              <w:gridCol w:w="1224"/>
              <w:gridCol w:w="1218"/>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422" w:hRule="atLeast"/>
              </w:trPr>
              <w:tc>
                <w:tcPr>
                  <w:tcW w:w="946" w:type="pct"/>
                  <w:vMerge w:val="restart"/>
                  <w:tcBorders>
                    <w:tl2br w:val="nil"/>
                    <w:tr2bl w:val="nil"/>
                  </w:tcBorders>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内容</w:t>
                  </w:r>
                </w:p>
              </w:tc>
              <w:tc>
                <w:tcPr>
                  <w:tcW w:w="1572" w:type="pct"/>
                  <w:vMerge w:val="restart"/>
                  <w:tcBorders>
                    <w:tl2br w:val="nil"/>
                    <w:tr2bl w:val="nil"/>
                  </w:tcBorders>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处理方式</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土方开挖</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土方回填</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弃土外运</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22" w:hRule="atLeast"/>
              </w:trPr>
              <w:tc>
                <w:tcPr>
                  <w:tcW w:w="946" w:type="pct"/>
                  <w:vMerge w:val="continue"/>
                  <w:tcBorders>
                    <w:tl2br w:val="nil"/>
                    <w:tr2bl w:val="nil"/>
                  </w:tcBorders>
                  <w:vAlign w:val="center"/>
                </w:tcPr>
                <w:p>
                  <w:pPr>
                    <w:widowControl/>
                    <w:jc w:val="center"/>
                    <w:rPr>
                      <w:rFonts w:hint="default" w:ascii="Times New Roman" w:hAnsi="Times New Roman" w:cs="Times New Roman"/>
                      <w:color w:val="000000"/>
                      <w:kern w:val="0"/>
                      <w:sz w:val="21"/>
                      <w:szCs w:val="21"/>
                    </w:rPr>
                  </w:pPr>
                </w:p>
              </w:tc>
              <w:tc>
                <w:tcPr>
                  <w:tcW w:w="1572" w:type="pct"/>
                  <w:vMerge w:val="continue"/>
                  <w:tcBorders>
                    <w:tl2br w:val="nil"/>
                    <w:tr2bl w:val="nil"/>
                  </w:tcBorders>
                  <w:vAlign w:val="center"/>
                </w:tcPr>
                <w:p>
                  <w:pPr>
                    <w:widowControl/>
                    <w:jc w:val="center"/>
                    <w:rPr>
                      <w:rFonts w:hint="default" w:ascii="Times New Roman" w:hAnsi="Times New Roman" w:cs="Times New Roman"/>
                      <w:color w:val="000000"/>
                      <w:kern w:val="0"/>
                      <w:sz w:val="21"/>
                      <w:szCs w:val="21"/>
                    </w:rPr>
                  </w:pP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V（m</w:t>
                  </w:r>
                  <w:r>
                    <w:rPr>
                      <w:rFonts w:hint="default" w:ascii="Times New Roman" w:hAnsi="Times New Roman" w:cs="Times New Roman"/>
                      <w:color w:val="000000"/>
                      <w:kern w:val="0"/>
                      <w:sz w:val="21"/>
                      <w:szCs w:val="21"/>
                      <w:vertAlign w:val="superscript"/>
                    </w:rPr>
                    <w:t>3</w:t>
                  </w:r>
                  <w:r>
                    <w:rPr>
                      <w:rFonts w:hint="default" w:ascii="Times New Roman" w:hAnsi="Times New Roman" w:cs="Times New Roman"/>
                      <w:color w:val="000000"/>
                      <w:kern w:val="0"/>
                      <w:sz w:val="21"/>
                      <w:szCs w:val="21"/>
                    </w:rPr>
                    <w:t>）</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V（m</w:t>
                  </w:r>
                  <w:r>
                    <w:rPr>
                      <w:rFonts w:hint="default" w:ascii="Times New Roman" w:hAnsi="Times New Roman" w:cs="Times New Roman"/>
                      <w:color w:val="000000"/>
                      <w:kern w:val="0"/>
                      <w:sz w:val="21"/>
                      <w:szCs w:val="21"/>
                      <w:vertAlign w:val="superscript"/>
                    </w:rPr>
                    <w:t>3</w:t>
                  </w:r>
                  <w:r>
                    <w:rPr>
                      <w:rFonts w:hint="default" w:ascii="Times New Roman" w:hAnsi="Times New Roman" w:cs="Times New Roman"/>
                      <w:color w:val="000000"/>
                      <w:kern w:val="0"/>
                      <w:sz w:val="21"/>
                      <w:szCs w:val="21"/>
                    </w:rPr>
                    <w:t>）</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V（m</w:t>
                  </w:r>
                  <w:r>
                    <w:rPr>
                      <w:rFonts w:hint="default" w:ascii="Times New Roman" w:hAnsi="Times New Roman" w:cs="Times New Roman"/>
                      <w:color w:val="000000"/>
                      <w:kern w:val="0"/>
                      <w:sz w:val="21"/>
                      <w:szCs w:val="21"/>
                      <w:vertAlign w:val="superscript"/>
                    </w:rPr>
                    <w:t>3</w:t>
                  </w:r>
                  <w:r>
                    <w:rPr>
                      <w:rFonts w:hint="default" w:ascii="Times New Roman" w:hAnsi="Times New Roman" w:cs="Times New Roman"/>
                      <w:color w:val="000000"/>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排水渠砌护</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回填及平整村内水毁坑洼段　</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1594.95　</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1182.01</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412.94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0.6</w:t>
                  </w:r>
                  <w:r>
                    <w:rPr>
                      <w:rFonts w:hint="default" w:ascii="Times New Roman" w:hAnsi="Times New Roman" w:cs="Times New Roman"/>
                      <w:color w:val="000000"/>
                      <w:kern w:val="0"/>
                      <w:sz w:val="21"/>
                      <w:szCs w:val="21"/>
                      <w:lang w:eastAsia="zh-CN"/>
                    </w:rPr>
                    <w:t>×</w:t>
                  </w:r>
                  <w:r>
                    <w:rPr>
                      <w:rFonts w:hint="default" w:ascii="Times New Roman" w:hAnsi="Times New Roman" w:cs="Times New Roman"/>
                      <w:color w:val="000000"/>
                      <w:kern w:val="0"/>
                      <w:sz w:val="21"/>
                      <w:szCs w:val="21"/>
                    </w:rPr>
                    <w:t>4.0生产桥</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回填桥周边坑洼土地</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381.24</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264.6</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116.64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0.6</w:t>
                  </w:r>
                  <w:r>
                    <w:rPr>
                      <w:rFonts w:hint="default" w:ascii="Times New Roman" w:hAnsi="Times New Roman" w:cs="Times New Roman"/>
                      <w:color w:val="000000"/>
                      <w:kern w:val="0"/>
                      <w:sz w:val="21"/>
                      <w:szCs w:val="21"/>
                      <w:lang w:eastAsia="zh-CN"/>
                    </w:rPr>
                    <w:t>×</w:t>
                  </w:r>
                  <w:r>
                    <w:rPr>
                      <w:rFonts w:hint="default" w:ascii="Times New Roman" w:hAnsi="Times New Roman" w:cs="Times New Roman"/>
                      <w:color w:val="000000"/>
                      <w:kern w:val="0"/>
                      <w:sz w:val="21"/>
                      <w:szCs w:val="21"/>
                    </w:rPr>
                    <w:t>10.0生产桥</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回填桥周边坑洼土地</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32.55</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21.16</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11.39</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排水管线</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回填及平整村内水毁坑洼段</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1948.19</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1568.48</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379.71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检查井</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回填周边坑洼土地</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84.00</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64.98</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19.02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雨水井</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回填周边坑洼土地</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193.60</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163.68</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29.92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斜坡式跌水</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回填及平整村内水毁坑洼段</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606.72</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394.37</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212.35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顶管穿路</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回填周边坑洼土地</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28.00</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26.80</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1.20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946"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合计</w:t>
                  </w:r>
                </w:p>
              </w:tc>
              <w:tc>
                <w:tcPr>
                  <w:tcW w:w="1572"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　</w:t>
                  </w:r>
                </w:p>
              </w:tc>
              <w:tc>
                <w:tcPr>
                  <w:tcW w:w="758"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4869.25</w:t>
                  </w:r>
                </w:p>
              </w:tc>
              <w:tc>
                <w:tcPr>
                  <w:tcW w:w="863"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3686.08</w:t>
                  </w:r>
                </w:p>
              </w:tc>
              <w:tc>
                <w:tcPr>
                  <w:tcW w:w="859" w:type="pct"/>
                  <w:tcBorders>
                    <w:tl2br w:val="nil"/>
                    <w:tr2bl w:val="nil"/>
                  </w:tcBorders>
                  <w:noWrap/>
                  <w:vAlign w:val="center"/>
                </w:tcPr>
                <w:p>
                  <w:pPr>
                    <w:widowControl/>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1183.17</w:t>
                  </w:r>
                </w:p>
              </w:tc>
            </w:tr>
          </w:tbl>
          <w:p>
            <w:pPr>
              <w:adjustRightInd w:val="0"/>
              <w:snapToGrid w:val="0"/>
              <w:spacing w:line="360" w:lineRule="auto"/>
              <w:jc w:val="center"/>
              <w:rPr>
                <w:rFonts w:hint="default" w:ascii="Times New Roman" w:hAnsi="Times New Roman" w:cs="Times New Roman"/>
                <w:b/>
                <w:snapToGrid w:val="0"/>
              </w:rPr>
            </w:pPr>
            <w:r>
              <w:rPr>
                <w:rFonts w:hint="default" w:ascii="Times New Roman" w:hAnsi="Times New Roman" w:cs="Times New Roman"/>
                <w:b/>
                <w:snapToGrid w:val="0"/>
              </w:rPr>
              <w:t>表2-4本项目表土剥离及回填平衡表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
              <w:gridCol w:w="5113"/>
              <w:gridCol w:w="1387"/>
              <w:gridCol w:w="1370"/>
              <w:gridCol w:w="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5" w:type="pct"/>
                <w:trHeight w:val="397" w:hRule="atLeast"/>
              </w:trPr>
              <w:tc>
                <w:tcPr>
                  <w:tcW w:w="3240" w:type="pct"/>
                  <w:tcBorders>
                    <w:tl2br w:val="nil"/>
                    <w:tr2bl w:val="nil"/>
                  </w:tcBorders>
                  <w:shd w:val="clear" w:color="auto" w:fill="auto"/>
                  <w:noWrap/>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治理区</w:t>
                  </w:r>
                </w:p>
              </w:tc>
              <w:tc>
                <w:tcPr>
                  <w:tcW w:w="879" w:type="pct"/>
                  <w:tcBorders>
                    <w:tl2br w:val="nil"/>
                    <w:tr2bl w:val="nil"/>
                  </w:tcBorders>
                  <w:shd w:val="clear" w:color="auto" w:fill="auto"/>
                  <w:noWrap/>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剥离</w:t>
                  </w:r>
                  <w:r>
                    <w:rPr>
                      <w:rFonts w:hint="default" w:ascii="Times New Roman" w:hAnsi="Times New Roman" w:cs="Times New Roman"/>
                      <w:color w:val="000000"/>
                      <w:kern w:val="0"/>
                      <w:sz w:val="18"/>
                      <w:szCs w:val="18"/>
                    </w:rPr>
                    <w:t>（m</w:t>
                  </w:r>
                  <w:r>
                    <w:rPr>
                      <w:rFonts w:hint="default" w:ascii="Times New Roman" w:hAnsi="Times New Roman" w:cs="Times New Roman"/>
                      <w:color w:val="000000"/>
                      <w:kern w:val="0"/>
                      <w:sz w:val="18"/>
                      <w:szCs w:val="18"/>
                      <w:vertAlign w:val="superscript"/>
                    </w:rPr>
                    <w:t>3</w:t>
                  </w:r>
                  <w:r>
                    <w:rPr>
                      <w:rFonts w:hint="default" w:ascii="Times New Roman" w:hAnsi="Times New Roman" w:cs="Times New Roman"/>
                      <w:color w:val="000000"/>
                      <w:kern w:val="0"/>
                      <w:sz w:val="18"/>
                      <w:szCs w:val="18"/>
                    </w:rPr>
                    <w:t>）</w:t>
                  </w:r>
                </w:p>
              </w:tc>
              <w:tc>
                <w:tcPr>
                  <w:tcW w:w="874" w:type="pct"/>
                  <w:gridSpan w:val="2"/>
                  <w:tcBorders>
                    <w:tl2br w:val="nil"/>
                    <w:tr2bl w:val="nil"/>
                  </w:tcBorders>
                  <w:shd w:val="clear" w:color="auto" w:fill="auto"/>
                  <w:noWrap/>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回填</w:t>
                  </w:r>
                  <w:r>
                    <w:rPr>
                      <w:rFonts w:hint="default" w:ascii="Times New Roman" w:hAnsi="Times New Roman" w:cs="Times New Roman"/>
                      <w:color w:val="000000"/>
                      <w:kern w:val="0"/>
                      <w:sz w:val="18"/>
                      <w:szCs w:val="18"/>
                    </w:rPr>
                    <w:t>（m</w:t>
                  </w:r>
                  <w:r>
                    <w:rPr>
                      <w:rFonts w:hint="default" w:ascii="Times New Roman" w:hAnsi="Times New Roman" w:cs="Times New Roman"/>
                      <w:color w:val="000000"/>
                      <w:kern w:val="0"/>
                      <w:sz w:val="18"/>
                      <w:szCs w:val="18"/>
                      <w:vertAlign w:val="superscript"/>
                    </w:rPr>
                    <w:t>3</w:t>
                  </w:r>
                  <w:r>
                    <w:rPr>
                      <w:rFonts w:hint="default" w:ascii="Times New Roman" w:hAnsi="Times New Roman" w:cs="Times New Roman"/>
                      <w:color w:val="000000"/>
                      <w:kern w:val="0"/>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97" w:hRule="atLeast"/>
              </w:trPr>
              <w:tc>
                <w:tcPr>
                  <w:tcW w:w="3245" w:type="pct"/>
                  <w:gridSpan w:val="2"/>
                  <w:tcBorders>
                    <w:tl2br w:val="nil"/>
                    <w:tr2bl w:val="nil"/>
                  </w:tcBorders>
                  <w:shd w:val="clear" w:color="auto" w:fill="auto"/>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排水管线施工</w:t>
                  </w:r>
                </w:p>
              </w:tc>
              <w:tc>
                <w:tcPr>
                  <w:tcW w:w="879" w:type="pct"/>
                  <w:tcBorders>
                    <w:tl2br w:val="nil"/>
                    <w:tr2bl w:val="nil"/>
                  </w:tcBorders>
                  <w:shd w:val="clear" w:color="auto" w:fill="auto"/>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450.0</w:t>
                  </w:r>
                </w:p>
              </w:tc>
              <w:tc>
                <w:tcPr>
                  <w:tcW w:w="868" w:type="pct"/>
                  <w:tcBorders>
                    <w:tl2br w:val="nil"/>
                    <w:tr2bl w:val="nil"/>
                  </w:tcBorders>
                  <w:shd w:val="clear" w:color="auto" w:fill="auto"/>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450.0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gridAfter w:val="1"/>
                <w:wAfter w:w="5" w:type="pct"/>
                <w:trHeight w:val="397" w:hRule="atLeast"/>
              </w:trPr>
              <w:tc>
                <w:tcPr>
                  <w:tcW w:w="3245" w:type="pct"/>
                  <w:gridSpan w:val="2"/>
                  <w:tcBorders>
                    <w:tl2br w:val="nil"/>
                    <w:tr2bl w:val="nil"/>
                  </w:tcBorders>
                  <w:shd w:val="clear" w:color="auto" w:fill="auto"/>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其他工程</w:t>
                  </w:r>
                </w:p>
              </w:tc>
              <w:tc>
                <w:tcPr>
                  <w:tcW w:w="879" w:type="pct"/>
                  <w:tcBorders>
                    <w:tl2br w:val="nil"/>
                    <w:tr2bl w:val="nil"/>
                  </w:tcBorders>
                  <w:shd w:val="clear" w:color="auto" w:fill="auto"/>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260.0</w:t>
                  </w:r>
                </w:p>
              </w:tc>
              <w:tc>
                <w:tcPr>
                  <w:tcW w:w="868" w:type="pct"/>
                  <w:tcBorders>
                    <w:tl2br w:val="nil"/>
                    <w:tr2bl w:val="nil"/>
                  </w:tcBorders>
                  <w:shd w:val="clear" w:color="auto" w:fill="auto"/>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260.0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5" w:type="pct"/>
                <w:trHeight w:val="397" w:hRule="atLeast"/>
              </w:trPr>
              <w:tc>
                <w:tcPr>
                  <w:tcW w:w="3240" w:type="pct"/>
                  <w:tcBorders>
                    <w:tl2br w:val="nil"/>
                    <w:tr2bl w:val="nil"/>
                  </w:tcBorders>
                  <w:shd w:val="clear" w:color="auto" w:fill="auto"/>
                  <w:noWrap/>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合计</w:t>
                  </w:r>
                </w:p>
              </w:tc>
              <w:tc>
                <w:tcPr>
                  <w:tcW w:w="879" w:type="pct"/>
                  <w:tcBorders>
                    <w:tl2br w:val="nil"/>
                    <w:tr2bl w:val="nil"/>
                  </w:tcBorders>
                  <w:shd w:val="clear" w:color="auto" w:fill="auto"/>
                  <w:noWrap/>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710.0</w:t>
                  </w:r>
                </w:p>
              </w:tc>
              <w:tc>
                <w:tcPr>
                  <w:tcW w:w="874" w:type="pct"/>
                  <w:gridSpan w:val="2"/>
                  <w:tcBorders>
                    <w:tl2br w:val="nil"/>
                    <w:tr2bl w:val="nil"/>
                  </w:tcBorders>
                  <w:shd w:val="clear" w:color="auto" w:fill="auto"/>
                  <w:noWrap/>
                  <w:vAlign w:val="center"/>
                </w:tcPr>
                <w:p>
                  <w:pPr>
                    <w:pStyle w:val="61"/>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710.0</w:t>
                  </w:r>
                </w:p>
              </w:tc>
            </w:tr>
          </w:tbl>
          <w:p>
            <w:pPr>
              <w:pStyle w:val="15"/>
              <w:adjustRightInd w:val="0"/>
              <w:spacing w:line="360" w:lineRule="auto"/>
              <w:ind w:firstLine="360" w:firstLineChars="200"/>
              <w:rPr>
                <w:rFonts w:hint="default" w:ascii="Times New Roman" w:hAnsi="Times New Roman" w:cs="Times New Roman"/>
                <w:color w:val="000000" w:themeColor="text1"/>
                <w:kern w:val="0"/>
                <w:szCs w:val="21"/>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8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总平面及现场布置</w:t>
            </w:r>
          </w:p>
        </w:tc>
        <w:tc>
          <w:tcPr>
            <w:tcW w:w="7718" w:type="dxa"/>
            <w:vAlign w:val="center"/>
          </w:tcPr>
          <w:p>
            <w:pPr>
              <w:widowControl/>
              <w:adjustRightInd w:val="0"/>
              <w:snapToGrid w:val="0"/>
              <w:spacing w:line="360" w:lineRule="auto"/>
              <w:ind w:firstLine="482" w:firstLineChars="200"/>
              <w:rPr>
                <w:rFonts w:hint="default" w:ascii="Times New Roman" w:hAnsi="Times New Roman" w:cs="Times New Roman"/>
                <w:b/>
                <w:bCs/>
                <w:color w:val="000000" w:themeColor="text1"/>
                <w:kern w:val="0"/>
                <w:sz w:val="24"/>
                <w:szCs w:val="24"/>
                <w14:textFill>
                  <w14:solidFill>
                    <w14:schemeClr w14:val="tx1"/>
                  </w14:solidFill>
                </w14:textFill>
              </w:rPr>
            </w:pPr>
            <w:r>
              <w:rPr>
                <w:rFonts w:hint="default" w:ascii="Times New Roman" w:hAnsi="Times New Roman" w:cs="Times New Roman"/>
                <w:b/>
                <w:bCs/>
                <w:color w:val="000000" w:themeColor="text1"/>
                <w:kern w:val="0"/>
                <w:sz w:val="24"/>
                <w:szCs w:val="24"/>
                <w:lang w:val="en-US" w:eastAsia="zh-CN"/>
                <w14:textFill>
                  <w14:solidFill>
                    <w14:schemeClr w14:val="tx1"/>
                  </w14:solidFill>
                </w14:textFill>
              </w:rPr>
              <w:t>1、交通条件</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项目区距同心县10km，同海线穿项目区南侧</w:t>
            </w:r>
            <w:r>
              <w:rPr>
                <w:rFonts w:hint="eastAsia" w:cs="Times New Roman"/>
                <w:color w:val="000000" w:themeColor="text1"/>
                <w:kern w:val="0"/>
                <w:sz w:val="24"/>
                <w:szCs w:val="24"/>
                <w:lang w:val="en-US" w:eastAsia="zh-CN"/>
                <w14:textFill>
                  <w14:solidFill>
                    <w14:schemeClr w14:val="tx1"/>
                  </w14:solidFill>
                </w14:textFill>
              </w:rPr>
              <w:t>通</w:t>
            </w:r>
            <w:bookmarkStart w:id="28" w:name="_GoBack"/>
            <w:bookmarkEnd w:id="28"/>
            <w:r>
              <w:rPr>
                <w:rFonts w:hint="default" w:ascii="Times New Roman" w:hAnsi="Times New Roman" w:cs="Times New Roman"/>
                <w:color w:val="000000" w:themeColor="text1"/>
                <w:kern w:val="0"/>
                <w:sz w:val="24"/>
                <w:szCs w:val="24"/>
                <w:lang w:val="en-US" w:eastAsia="zh-CN"/>
                <w14:textFill>
                  <w14:solidFill>
                    <w14:schemeClr w14:val="tx1"/>
                  </w14:solidFill>
                </w14:textFill>
              </w:rPr>
              <w:t>过，项目区内主要道路均已硬化，交通十分便利。</w:t>
            </w:r>
          </w:p>
          <w:p>
            <w:pPr>
              <w:widowControl/>
              <w:adjustRightInd w:val="0"/>
              <w:snapToGrid w:val="0"/>
              <w:spacing w:line="360" w:lineRule="auto"/>
              <w:ind w:firstLine="482" w:firstLineChars="200"/>
              <w:rPr>
                <w:rFonts w:hint="default" w:ascii="Times New Roman" w:hAnsi="Times New Roman" w:cs="Times New Roman"/>
                <w:b/>
                <w:bCs/>
                <w:color w:val="000000" w:themeColor="text1"/>
                <w:kern w:val="0"/>
                <w:sz w:val="24"/>
                <w:szCs w:val="24"/>
                <w14:textFill>
                  <w14:solidFill>
                    <w14:schemeClr w14:val="tx1"/>
                  </w14:solidFill>
                </w14:textFill>
              </w:rPr>
            </w:pPr>
            <w:r>
              <w:rPr>
                <w:rFonts w:hint="default" w:ascii="Times New Roman" w:hAnsi="Times New Roman" w:cs="Times New Roman"/>
                <w:b/>
                <w:bCs/>
                <w:color w:val="000000" w:themeColor="text1"/>
                <w:kern w:val="0"/>
                <w:sz w:val="24"/>
                <w:szCs w:val="24"/>
                <w:lang w:val="en-US" w:eastAsia="zh-CN"/>
                <w14:textFill>
                  <w14:solidFill>
                    <w14:schemeClr w14:val="tx1"/>
                  </w14:solidFill>
                </w14:textFill>
              </w:rPr>
              <w:t>2、供电、供水条件</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工程用电负荷较小，可就近接用附近电网，对部分距离现有电网较远的工程点，可采用自备柴油发电机供电。施工用水、砼工程用水和生活用水可就近在乡镇水源地拉用。</w:t>
            </w:r>
          </w:p>
          <w:p>
            <w:pPr>
              <w:widowControl/>
              <w:adjustRightInd w:val="0"/>
              <w:snapToGrid w:val="0"/>
              <w:spacing w:line="360" w:lineRule="auto"/>
              <w:ind w:firstLine="482" w:firstLineChars="200"/>
              <w:rPr>
                <w:rFonts w:hint="default" w:ascii="Times New Roman" w:hAnsi="Times New Roman" w:cs="Times New Roman"/>
                <w:b/>
                <w:bCs/>
                <w:color w:val="000000" w:themeColor="text1"/>
                <w:kern w:val="0"/>
                <w:sz w:val="24"/>
                <w:szCs w:val="24"/>
                <w14:textFill>
                  <w14:solidFill>
                    <w14:schemeClr w14:val="tx1"/>
                  </w14:solidFill>
                </w14:textFill>
              </w:rPr>
            </w:pPr>
            <w:r>
              <w:rPr>
                <w:rFonts w:hint="default" w:ascii="Times New Roman" w:hAnsi="Times New Roman" w:cs="Times New Roman"/>
                <w:b/>
                <w:bCs/>
                <w:color w:val="000000" w:themeColor="text1"/>
                <w:kern w:val="0"/>
                <w:sz w:val="24"/>
                <w:szCs w:val="24"/>
                <w:lang w:val="en-US" w:eastAsia="zh-CN"/>
                <w14:textFill>
                  <w14:solidFill>
                    <w14:schemeClr w14:val="tx1"/>
                  </w14:solidFill>
                </w14:textFill>
              </w:rPr>
              <w:t>3、施工导流</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工程计划2个月完成施工，施工期可选择在非汛期进行，如有少股水流，排水可考虑输水管道排入下游沟道内。</w:t>
            </w:r>
          </w:p>
          <w:p>
            <w:pPr>
              <w:widowControl/>
              <w:adjustRightInd w:val="0"/>
              <w:snapToGrid w:val="0"/>
              <w:spacing w:line="360" w:lineRule="auto"/>
              <w:ind w:firstLine="482" w:firstLineChars="200"/>
              <w:rPr>
                <w:rFonts w:hint="default" w:ascii="Times New Roman" w:hAnsi="Times New Roman" w:cs="Times New Roman"/>
                <w:b/>
                <w:bCs/>
                <w:color w:val="000000" w:themeColor="text1"/>
                <w:kern w:val="0"/>
                <w:sz w:val="24"/>
                <w:szCs w:val="24"/>
                <w14:textFill>
                  <w14:solidFill>
                    <w14:schemeClr w14:val="tx1"/>
                  </w14:solidFill>
                </w14:textFill>
              </w:rPr>
            </w:pPr>
            <w:r>
              <w:rPr>
                <w:rFonts w:hint="default" w:ascii="Times New Roman" w:hAnsi="Times New Roman" w:cs="Times New Roman"/>
                <w:b/>
                <w:bCs/>
                <w:color w:val="000000" w:themeColor="text1"/>
                <w:kern w:val="0"/>
                <w:sz w:val="24"/>
                <w:szCs w:val="24"/>
                <w:lang w:val="en-US" w:eastAsia="zh-CN"/>
                <w14:textFill>
                  <w14:solidFill>
                    <w14:schemeClr w14:val="tx1"/>
                  </w14:solidFill>
                </w14:textFill>
              </w:rPr>
              <w:t>4、建筑材料</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主要建筑材料从同心县购买，运距10km。</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（1）块石料</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采用外购形式。红寺堡区大河乡石炭沟料场，距离同心县50km。属中山地貌单元，地形起伏较大，由西向东倾斜，沟壑纵横，基岩裸露，植被不发育。</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（2）粗骨料</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采用外购形式。中宁县大战场镇宽口井料场，距同心县60km。属罗山冲洪积平原，地形有起伏，由西向东倾斜，其间冲沟发育。</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（3）细骨料</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采用外购形式。同心县丁塘镇八方村料场，距同心县25km。属罗山冲洪积平原，地形有起伏，由西向东倾斜，其间冲沟发育。</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（4）</w:t>
            </w:r>
            <w:bookmarkStart w:id="7" w:name="_Toc480367743"/>
            <w:bookmarkStart w:id="8" w:name="_Toc41925681"/>
            <w:bookmarkStart w:id="9" w:name="_Toc45296908"/>
            <w:r>
              <w:rPr>
                <w:rFonts w:hint="default" w:ascii="Times New Roman" w:hAnsi="Times New Roman" w:cs="Times New Roman"/>
                <w:color w:val="000000" w:themeColor="text1"/>
                <w:kern w:val="0"/>
                <w:sz w:val="24"/>
                <w:szCs w:val="24"/>
                <w:lang w:val="en-US" w:eastAsia="zh-CN"/>
                <w14:textFill>
                  <w14:solidFill>
                    <w14:schemeClr w14:val="tx1"/>
                  </w14:solidFill>
                </w14:textFill>
              </w:rPr>
              <w:t>钢材</w:t>
            </w:r>
            <w:bookmarkEnd w:id="7"/>
            <w:bookmarkEnd w:id="8"/>
            <w:bookmarkEnd w:id="9"/>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钢材、木材从同心县采购，运距10km。</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szCs w:val="24"/>
                <w:lang w:val="en-US" w:eastAsia="zh-CN"/>
                <w14:textFill>
                  <w14:solidFill>
                    <w14:schemeClr w14:val="tx1"/>
                  </w14:solidFill>
                </w14:textFill>
              </w:rPr>
            </w:pPr>
            <w:commentRangeStart w:id="4"/>
            <w:r>
              <w:rPr>
                <w:rFonts w:hint="default" w:ascii="Times New Roman" w:hAnsi="Times New Roman" w:cs="Times New Roman"/>
                <w:color w:val="000000" w:themeColor="text1"/>
                <w:kern w:val="0"/>
                <w:sz w:val="24"/>
                <w:szCs w:val="24"/>
                <w:lang w:val="en-US" w:eastAsia="zh-CN"/>
                <w14:textFill>
                  <w14:solidFill>
                    <w14:schemeClr w14:val="tx1"/>
                  </w14:solidFill>
                </w14:textFill>
              </w:rPr>
              <w:t>（5）商品混凝土</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 w:val="24"/>
                <w:szCs w:val="24"/>
                <w:lang w:val="en-US" w:eastAsia="zh-CN"/>
                <w14:textFill>
                  <w14:solidFill>
                    <w14:schemeClr w14:val="tx1"/>
                  </w14:solidFill>
                </w14:textFill>
              </w:rPr>
              <w:t>本项目所用商品混凝土从同心县购买，运输条件较好，运距10km。</w:t>
            </w:r>
            <w:commentRangeEnd w:id="4"/>
            <w:r>
              <w:rPr>
                <w:rFonts w:hint="default" w:ascii="Times New Roman" w:hAnsi="Times New Roman" w:cs="Times New Roman"/>
                <w:color w:val="000000" w:themeColor="text1"/>
                <w:kern w:val="0"/>
                <w:sz w:val="24"/>
                <w:szCs w:val="24"/>
                <w14:textFill>
                  <w14:solidFill>
                    <w14:schemeClr w14:val="tx1"/>
                  </w14:solidFill>
                </w14:textFill>
              </w:rPr>
              <w:commentReference w:id="4"/>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8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施工方案</w:t>
            </w:r>
          </w:p>
        </w:tc>
        <w:tc>
          <w:tcPr>
            <w:tcW w:w="7718" w:type="dxa"/>
            <w:vAlign w:val="center"/>
          </w:tcPr>
          <w:p>
            <w:pPr>
              <w:widowControl/>
              <w:adjustRightInd w:val="0"/>
              <w:snapToGrid w:val="0"/>
              <w:spacing w:line="360" w:lineRule="auto"/>
              <w:ind w:firstLine="482" w:firstLineChars="20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b/>
                <w:bCs/>
                <w:color w:val="000000" w:themeColor="text1"/>
                <w:kern w:val="0"/>
                <w:sz w:val="24"/>
                <w:lang w:bidi="ar"/>
                <w14:textFill>
                  <w14:solidFill>
                    <w14:schemeClr w14:val="tx1"/>
                  </w14:solidFill>
                </w14:textFill>
              </w:rPr>
              <w:t>一、总体部署</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lang w:bidi="ar"/>
                <w14:textFill>
                  <w14:solidFill>
                    <w14:schemeClr w14:val="tx1"/>
                  </w14:solidFill>
                </w14:textFill>
              </w:rPr>
            </w:pPr>
            <w:r>
              <w:rPr>
                <w:rFonts w:hint="default" w:ascii="Times New Roman" w:hAnsi="Times New Roman" w:cs="Times New Roman"/>
                <w:color w:val="000000" w:themeColor="text1"/>
                <w:kern w:val="0"/>
                <w:sz w:val="24"/>
                <w:lang w:bidi="ar"/>
                <w14:textFill>
                  <w14:solidFill>
                    <w14:schemeClr w14:val="tx1"/>
                  </w14:solidFill>
                </w14:textFill>
              </w:rPr>
              <w:t>同心县兴隆乡王团村村庄排涝工程修复区域为同心县兴隆乡王团村。按照施工点的工程和位置不同分别施工。项目区电力充足，道路条件便利，地方材料充足，劳动力富余，工程建设区无不良地质条件，具有良好的施工条件。</w:t>
            </w:r>
          </w:p>
          <w:p>
            <w:pPr>
              <w:widowControl/>
              <w:adjustRightInd w:val="0"/>
              <w:snapToGrid w:val="0"/>
              <w:spacing w:line="360" w:lineRule="auto"/>
              <w:ind w:firstLine="482" w:firstLineChars="200"/>
              <w:jc w:val="left"/>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b/>
                <w:bCs/>
                <w:color w:val="000000" w:themeColor="text1"/>
                <w:kern w:val="0"/>
                <w:sz w:val="24"/>
                <w:lang w:bidi="ar"/>
                <w14:textFill>
                  <w14:solidFill>
                    <w14:schemeClr w14:val="tx1"/>
                  </w14:solidFill>
                </w14:textFill>
              </w:rPr>
              <w:t>二、施工组织设计</w:t>
            </w:r>
          </w:p>
          <w:p>
            <w:pPr>
              <w:widowControl/>
              <w:adjustRightInd w:val="0"/>
              <w:snapToGrid w:val="0"/>
              <w:spacing w:line="360" w:lineRule="auto"/>
              <w:ind w:firstLine="482" w:firstLineChars="200"/>
              <w:rPr>
                <w:rFonts w:hint="default" w:ascii="Times New Roman" w:hAnsi="Times New Roman" w:cs="Times New Roman"/>
                <w:b/>
                <w:bCs/>
                <w:color w:val="000000" w:themeColor="text1"/>
                <w:kern w:val="0"/>
                <w:sz w:val="24"/>
                <w:lang w:bidi="ar"/>
                <w14:textFill>
                  <w14:solidFill>
                    <w14:schemeClr w14:val="tx1"/>
                  </w14:solidFill>
                </w14:textFill>
              </w:rPr>
            </w:pPr>
            <w:r>
              <w:rPr>
                <w:rFonts w:hint="default" w:ascii="Times New Roman" w:hAnsi="Times New Roman" w:cs="Times New Roman"/>
                <w:b/>
                <w:bCs/>
                <w:color w:val="000000" w:themeColor="text1"/>
                <w:kern w:val="0"/>
                <w:sz w:val="24"/>
                <w:lang w:bidi="ar"/>
                <w14:textFill>
                  <w14:solidFill>
                    <w14:schemeClr w14:val="tx1"/>
                  </w14:solidFill>
                </w14:textFill>
              </w:rPr>
              <w:t>1、施工方案合理性分析</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lang w:bidi="ar"/>
                <w14:textFill>
                  <w14:solidFill>
                    <w14:schemeClr w14:val="tx1"/>
                  </w14:solidFill>
                </w14:textFill>
              </w:rPr>
            </w:pPr>
            <w:r>
              <w:rPr>
                <w:rFonts w:hint="default" w:ascii="Times New Roman" w:hAnsi="Times New Roman" w:cs="Times New Roman"/>
                <w:color w:val="000000" w:themeColor="text1"/>
                <w:kern w:val="0"/>
                <w:sz w:val="24"/>
                <w:lang w:bidi="ar"/>
                <w14:textFill>
                  <w14:solidFill>
                    <w14:schemeClr w14:val="tx1"/>
                  </w14:solidFill>
                </w14:textFill>
              </w:rPr>
              <w:t>防洪除涝工程建设，以管道铺设和排水渠修建为主，没有特殊大件和重料运输。村庄交通道路已基本形成，因此采用公路运输方案。各公路干线到施工点均有公路相通，各乡村之间也有简易公路，基本可以满足施工交通要求。项目区通电、道路条件便利，地方材料充足，劳动力富余，工程建设区无不良地质条件。本工程中所用块石料采用花豹沟的块石，储量、质量满足要求，有公路可达，交通便利，料场地集中，已经开采，属外购料，距离工地运距50km。</w:t>
            </w:r>
          </w:p>
          <w:p>
            <w:pPr>
              <w:widowControl/>
              <w:adjustRightInd w:val="0"/>
              <w:snapToGrid w:val="0"/>
              <w:spacing w:line="360" w:lineRule="auto"/>
              <w:ind w:firstLine="480" w:firstLineChars="200"/>
              <w:rPr>
                <w:rFonts w:hint="default" w:ascii="Times New Roman" w:hAnsi="Times New Roman" w:cs="Times New Roman"/>
                <w:color w:val="000000" w:themeColor="text1"/>
                <w:kern w:val="0"/>
                <w:sz w:val="24"/>
                <w:lang w:bidi="ar"/>
                <w14:textFill>
                  <w14:solidFill>
                    <w14:schemeClr w14:val="tx1"/>
                  </w14:solidFill>
                </w14:textFill>
              </w:rPr>
            </w:pPr>
            <w:r>
              <w:rPr>
                <w:rFonts w:hint="default" w:ascii="Times New Roman" w:hAnsi="Times New Roman" w:cs="Times New Roman"/>
                <w:color w:val="000000" w:themeColor="text1"/>
                <w:kern w:val="0"/>
                <w:sz w:val="24"/>
                <w:lang w:bidi="ar"/>
                <w14:textFill>
                  <w14:solidFill>
                    <w14:schemeClr w14:val="tx1"/>
                  </w14:solidFill>
                </w14:textFill>
              </w:rPr>
              <w:t>本项目采用人力、机械相结合，冬季不施工，施工期能够保障边施工边治理。本次布置基本维持原水道的走向，工程布置尽量保持原泄洪形态，设计中心线基本与原泄洪道的走向一致。根据确定的建设方案，工程均在村庄洪水泄洪通道为施工点。本排涝工程保护的对象是王团村的农村居民、村庄、农田、水利、电力、交通、铁路等基础设施，防护区人口为1648人，保护区耕地面积为8784亩。防洪保护范围为北邻同海线，南至红果沟，西与马塘支渠相连，东靠固海扬水七干渠。治理区域内对项目区造成影响的主要为降雨村庄内涝积水，本次区域内设计洪水标准为十年一遇，设计流量0.34m³/s。</w:t>
            </w:r>
          </w:p>
          <w:p>
            <w:pPr>
              <w:widowControl/>
              <w:spacing w:line="360" w:lineRule="auto"/>
              <w:ind w:firstLine="482" w:firstLineChars="200"/>
              <w:jc w:val="left"/>
              <w:rPr>
                <w:rFonts w:hint="default" w:ascii="Times New Roman" w:hAnsi="Times New Roman" w:cs="Times New Roman"/>
                <w:sz w:val="24"/>
              </w:rPr>
            </w:pPr>
            <w:r>
              <w:rPr>
                <w:rFonts w:hint="default" w:ascii="Times New Roman" w:hAnsi="Times New Roman" w:cs="Times New Roman"/>
                <w:b/>
                <w:bCs/>
                <w:color w:val="000000"/>
                <w:kern w:val="0"/>
                <w:sz w:val="24"/>
                <w:lang w:bidi="ar"/>
              </w:rPr>
              <w:t>2、施工时序</w:t>
            </w:r>
          </w:p>
          <w:p>
            <w:pPr>
              <w:widowControl/>
              <w:spacing w:line="360" w:lineRule="auto"/>
              <w:ind w:firstLine="480" w:firstLineChars="200"/>
              <w:jc w:val="left"/>
              <w:rPr>
                <w:rFonts w:hint="default" w:ascii="Times New Roman" w:hAnsi="Times New Roman" w:cs="Times New Roman"/>
                <w:color w:val="000000"/>
                <w:kern w:val="0"/>
                <w:sz w:val="24"/>
                <w:lang w:bidi="ar"/>
              </w:rPr>
            </w:pPr>
            <w:r>
              <w:rPr>
                <w:rFonts w:hint="default" w:ascii="Times New Roman" w:hAnsi="Times New Roman" w:cs="Times New Roman"/>
                <w:color w:val="000000"/>
                <w:kern w:val="0"/>
                <w:sz w:val="24"/>
                <w:lang w:bidi="ar"/>
              </w:rPr>
              <w:t>本项目主体工艺施工顺序框图见图9。</w:t>
            </w:r>
          </w:p>
          <w:p>
            <w:pPr>
              <w:widowControl/>
              <w:jc w:val="center"/>
              <w:rPr>
                <w:rFonts w:hint="default" w:ascii="Times New Roman" w:hAnsi="Times New Roman" w:cs="Times New Roman"/>
                <w:sz w:val="24"/>
              </w:rPr>
            </w:pPr>
            <w:r>
              <w:rPr>
                <w:rFonts w:hint="default" w:ascii="Times New Roman" w:hAnsi="Times New Roman" w:cs="Times New Roman"/>
                <w:color w:val="000000"/>
                <w:kern w:val="0"/>
                <w:sz w:val="24"/>
                <w:lang w:bidi="ar"/>
              </w:rPr>
              <w:drawing>
                <wp:inline distT="0" distB="0" distL="114300" distR="114300">
                  <wp:extent cx="4853940" cy="6592570"/>
                  <wp:effectExtent l="0" t="0" r="0" b="0"/>
                  <wp:docPr id="16" name="ECB019B1-382A-4266-B25C-5B523AA43C14-1"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ECB019B1-382A-4266-B25C-5B523AA43C14-1" descr="wps"/>
                          <pic:cNvPicPr>
                            <a:picLocks noChangeAspect="1"/>
                          </pic:cNvPicPr>
                        </pic:nvPicPr>
                        <pic:blipFill>
                          <a:blip r:embed="rId18"/>
                          <a:stretch>
                            <a:fillRect/>
                          </a:stretch>
                        </pic:blipFill>
                        <pic:spPr>
                          <a:xfrm>
                            <a:off x="0" y="0"/>
                            <a:ext cx="4853940" cy="6592570"/>
                          </a:xfrm>
                          <a:prstGeom prst="rect">
                            <a:avLst/>
                          </a:prstGeom>
                        </pic:spPr>
                      </pic:pic>
                    </a:graphicData>
                  </a:graphic>
                </wp:inline>
              </w:drawing>
            </w:r>
          </w:p>
          <w:p>
            <w:pPr>
              <w:pStyle w:val="45"/>
              <w:jc w:val="center"/>
              <w:rPr>
                <w:rFonts w:hint="default" w:ascii="Times New Roman" w:hAnsi="Times New Roman" w:cs="Times New Roman"/>
                <w:b/>
                <w:bCs/>
                <w:color w:val="FF0000"/>
                <w:sz w:val="21"/>
              </w:rPr>
            </w:pPr>
            <w:r>
              <w:rPr>
                <w:rFonts w:hint="default" w:ascii="Times New Roman" w:hAnsi="Times New Roman" w:cs="Times New Roman"/>
                <w:b/>
                <w:bCs/>
                <w:color w:val="FF0000"/>
                <w:sz w:val="21"/>
              </w:rPr>
              <w:t>图9本项目工程主要施工流程图</w:t>
            </w:r>
          </w:p>
          <w:p>
            <w:pPr>
              <w:widowControl/>
              <w:spacing w:line="360" w:lineRule="auto"/>
              <w:ind w:firstLine="482" w:firstLineChars="200"/>
              <w:jc w:val="left"/>
              <w:rPr>
                <w:rFonts w:hint="default" w:ascii="Times New Roman" w:hAnsi="Times New Roman" w:cs="Times New Roman"/>
                <w:color w:val="FF0000"/>
                <w:sz w:val="24"/>
              </w:rPr>
            </w:pPr>
            <w:r>
              <w:rPr>
                <w:rFonts w:hint="default" w:ascii="Times New Roman" w:hAnsi="Times New Roman" w:cs="Times New Roman"/>
                <w:b/>
                <w:bCs/>
                <w:color w:val="FF0000"/>
                <w:kern w:val="0"/>
                <w:sz w:val="24"/>
                <w:lang w:bidi="ar"/>
              </w:rPr>
              <w:t>3、施工工艺</w:t>
            </w:r>
          </w:p>
          <w:p>
            <w:pPr>
              <w:widowControl/>
              <w:spacing w:line="360" w:lineRule="auto"/>
              <w:ind w:firstLine="480" w:firstLineChars="200"/>
              <w:jc w:val="left"/>
              <w:rPr>
                <w:rFonts w:hint="default" w:ascii="Times New Roman" w:hAnsi="Times New Roman" w:cs="Times New Roman"/>
                <w:color w:val="000000"/>
                <w:kern w:val="0"/>
                <w:sz w:val="24"/>
                <w:lang w:val="en-US" w:eastAsia="zh-CN" w:bidi="ar"/>
              </w:rPr>
            </w:pPr>
            <w:r>
              <w:rPr>
                <w:rFonts w:hint="default" w:ascii="Times New Roman" w:hAnsi="Times New Roman" w:cs="Times New Roman"/>
                <w:color w:val="000000"/>
                <w:kern w:val="0"/>
                <w:sz w:val="24"/>
                <w:lang w:val="en-US" w:eastAsia="zh-CN" w:bidi="ar"/>
              </w:rPr>
              <w:t>（1）施工准备</w:t>
            </w:r>
          </w:p>
          <w:p>
            <w:pPr>
              <w:widowControl/>
              <w:spacing w:line="360" w:lineRule="auto"/>
              <w:ind w:firstLine="480" w:firstLineChars="200"/>
              <w:jc w:val="left"/>
              <w:rPr>
                <w:rFonts w:hint="default" w:ascii="Times New Roman" w:hAnsi="Times New Roman" w:cs="Times New Roman"/>
                <w:color w:val="000000"/>
                <w:kern w:val="0"/>
                <w:sz w:val="24"/>
                <w:lang w:val="en-US" w:eastAsia="zh-CN" w:bidi="ar"/>
              </w:rPr>
            </w:pPr>
            <w:r>
              <w:rPr>
                <w:rFonts w:hint="default" w:ascii="Times New Roman" w:hAnsi="Times New Roman" w:cs="Times New Roman"/>
                <w:color w:val="000000"/>
                <w:kern w:val="0"/>
                <w:sz w:val="24"/>
                <w:lang w:val="en-US" w:eastAsia="zh-CN" w:bidi="ar"/>
              </w:rPr>
              <w:t>排水管道施工前，建设单位应向施工单位提供施工影响范围内的地下管线(构筑物)及其他公共设施资料，施工单位应采取措施加以保护。同时施工单位应做好人、料、机的施工组织，做到流水作业施工，防止窝工。</w:t>
            </w:r>
          </w:p>
          <w:p>
            <w:pPr>
              <w:widowControl/>
              <w:spacing w:line="360" w:lineRule="auto"/>
              <w:ind w:firstLine="480" w:firstLineChars="200"/>
              <w:jc w:val="left"/>
              <w:rPr>
                <w:rFonts w:hint="default" w:ascii="Times New Roman" w:hAnsi="Times New Roman" w:cs="Times New Roman"/>
                <w:color w:val="000000"/>
                <w:kern w:val="0"/>
                <w:sz w:val="24"/>
                <w:lang w:val="en-US" w:eastAsia="zh-CN" w:bidi="ar"/>
              </w:rPr>
            </w:pPr>
            <w:r>
              <w:rPr>
                <w:rFonts w:hint="default" w:ascii="Times New Roman" w:hAnsi="Times New Roman" w:cs="Times New Roman"/>
                <w:color w:val="000000"/>
                <w:kern w:val="0"/>
                <w:sz w:val="24"/>
                <w:lang w:val="en-US" w:eastAsia="zh-CN" w:bidi="ar"/>
              </w:rPr>
              <w:t>（2）测量放线</w:t>
            </w:r>
          </w:p>
          <w:p>
            <w:pPr>
              <w:widowControl/>
              <w:spacing w:line="360" w:lineRule="auto"/>
              <w:ind w:firstLine="480" w:firstLineChars="200"/>
              <w:jc w:val="left"/>
              <w:rPr>
                <w:rFonts w:hint="default" w:ascii="Times New Roman" w:hAnsi="Times New Roman" w:cs="Times New Roman"/>
                <w:color w:val="000000"/>
                <w:kern w:val="0"/>
                <w:sz w:val="24"/>
                <w:lang w:bidi="ar"/>
              </w:rPr>
            </w:pPr>
            <w:r>
              <w:rPr>
                <w:rFonts w:hint="default" w:ascii="Times New Roman" w:hAnsi="Times New Roman" w:cs="Times New Roman"/>
                <w:color w:val="000000"/>
                <w:kern w:val="0"/>
                <w:sz w:val="24"/>
                <w:lang w:val="en-US" w:eastAsia="zh-CN" w:bidi="ar"/>
              </w:rPr>
              <w:t>施工测量采用全站仪导线测量放样，采用水准仪测高程。施工时严格控制流水面高程，保持水流方向及与交叉结构物的衔接。</w:t>
            </w:r>
          </w:p>
          <w:p>
            <w:pPr>
              <w:widowControl/>
              <w:spacing w:line="360" w:lineRule="auto"/>
              <w:ind w:firstLine="480" w:firstLineChars="200"/>
              <w:jc w:val="left"/>
              <w:rPr>
                <w:rFonts w:hint="default" w:ascii="Times New Roman" w:hAnsi="Times New Roman" w:cs="Times New Roman"/>
                <w:sz w:val="24"/>
              </w:rPr>
            </w:pPr>
            <w:r>
              <w:rPr>
                <w:rFonts w:hint="default" w:ascii="Times New Roman" w:hAnsi="Times New Roman" w:cs="Times New Roman"/>
                <w:color w:val="000000"/>
                <w:kern w:val="0"/>
                <w:sz w:val="24"/>
                <w:lang w:bidi="ar"/>
              </w:rPr>
              <w:t>（</w:t>
            </w:r>
            <w:r>
              <w:rPr>
                <w:rFonts w:hint="default" w:ascii="Times New Roman" w:hAnsi="Times New Roman" w:cs="Times New Roman"/>
                <w:color w:val="000000"/>
                <w:kern w:val="0"/>
                <w:sz w:val="24"/>
                <w:lang w:val="en-US" w:eastAsia="zh-CN" w:bidi="ar"/>
              </w:rPr>
              <w:t>3</w:t>
            </w:r>
            <w:r>
              <w:rPr>
                <w:rFonts w:hint="default" w:ascii="Times New Roman" w:hAnsi="Times New Roman" w:cs="Times New Roman"/>
                <w:color w:val="000000"/>
                <w:kern w:val="0"/>
                <w:sz w:val="24"/>
                <w:lang w:bidi="ar"/>
              </w:rPr>
              <w:t>）土方开挖</w:t>
            </w:r>
          </w:p>
          <w:p>
            <w:pPr>
              <w:widowControl/>
              <w:spacing w:line="360" w:lineRule="auto"/>
              <w:ind w:firstLine="480" w:firstLineChars="200"/>
              <w:jc w:val="left"/>
              <w:rPr>
                <w:rFonts w:hint="default" w:ascii="Times New Roman" w:hAnsi="Times New Roman" w:cs="Times New Roman"/>
                <w:color w:val="000000"/>
                <w:kern w:val="0"/>
                <w:sz w:val="24"/>
                <w:lang w:bidi="ar"/>
              </w:rPr>
            </w:pPr>
            <w:r>
              <w:rPr>
                <w:rFonts w:hint="default" w:ascii="Times New Roman" w:hAnsi="Times New Roman" w:cs="Times New Roman"/>
                <w:color w:val="000000"/>
                <w:kern w:val="0"/>
                <w:sz w:val="24"/>
                <w:lang w:bidi="ar"/>
              </w:rPr>
              <w:t>土方工程施工应进行土方平衡计算，按照土方运距最短、运程合理和各个工程的施工顺序做好调配，减少重复搬运。土方开挖时应防止附近已有建筑物、道路等发生下沉和变形，必要时应与设计单位或建设单位协商采取可行的防护措施。土方工程施工中应经常测量和校核其平面位置、水平标高和边坡坡度是否符合设计要求，平面控制桩和水准点也应定期复查和检查是否正确。采用机械施工时，必要的边坡修正和场地边角、小型沟槽的开挖等，可采用人工或小型机具配合进行。</w:t>
            </w:r>
          </w:p>
          <w:p>
            <w:pPr>
              <w:widowControl/>
              <w:spacing w:line="360" w:lineRule="auto"/>
              <w:ind w:firstLine="480" w:firstLineChars="200"/>
              <w:jc w:val="left"/>
              <w:rPr>
                <w:rFonts w:hint="default" w:ascii="Times New Roman" w:hAnsi="Times New Roman" w:cs="Times New Roman"/>
                <w:color w:val="000000"/>
                <w:kern w:val="0"/>
                <w:sz w:val="24"/>
                <w:lang w:bidi="ar"/>
              </w:rPr>
            </w:pPr>
            <w:r>
              <w:rPr>
                <w:rFonts w:hint="default" w:ascii="Times New Roman" w:hAnsi="Times New Roman" w:cs="Times New Roman"/>
                <w:color w:val="000000"/>
                <w:kern w:val="0"/>
                <w:sz w:val="24"/>
                <w:lang w:bidi="ar"/>
              </w:rPr>
              <w:t>永久性挖土边坡应符合设计要求，当工程地质与设计不符需要修改边坡坡度时，应由设计单位确定。使用较长的临时性挖方坡度，应根据工程地质结合当地同类土体的稳定值确定，一般硬塑性土边坡坡度为1</w:t>
            </w:r>
            <w:r>
              <w:rPr>
                <w:rFonts w:hint="eastAsia" w:cs="Times New Roman"/>
                <w:color w:val="000000"/>
                <w:kern w:val="0"/>
                <w:sz w:val="24"/>
                <w:lang w:val="en-US" w:eastAsia="zh-CN" w:bidi="ar"/>
              </w:rPr>
              <w:t>:</w:t>
            </w:r>
            <w:r>
              <w:rPr>
                <w:rFonts w:hint="default" w:ascii="Times New Roman" w:hAnsi="Times New Roman" w:cs="Times New Roman"/>
                <w:color w:val="000000"/>
                <w:kern w:val="0"/>
                <w:sz w:val="24"/>
                <w:lang w:bidi="ar"/>
              </w:rPr>
              <w:t>1～1</w:t>
            </w:r>
            <w:r>
              <w:rPr>
                <w:rFonts w:hint="eastAsia" w:cs="Times New Roman"/>
                <w:color w:val="000000"/>
                <w:kern w:val="0"/>
                <w:sz w:val="24"/>
                <w:lang w:val="en-US" w:eastAsia="zh-CN" w:bidi="ar"/>
              </w:rPr>
              <w:t>:</w:t>
            </w:r>
            <w:r>
              <w:rPr>
                <w:rFonts w:hint="default" w:ascii="Times New Roman" w:hAnsi="Times New Roman" w:cs="Times New Roman"/>
                <w:color w:val="000000"/>
                <w:kern w:val="0"/>
                <w:sz w:val="24"/>
                <w:lang w:bidi="ar"/>
              </w:rPr>
              <w:t>1.25，充填坚硬的碎石类土边坡坡度为1</w:t>
            </w:r>
            <w:r>
              <w:rPr>
                <w:rFonts w:hint="eastAsia" w:cs="Times New Roman"/>
                <w:color w:val="000000"/>
                <w:kern w:val="0"/>
                <w:sz w:val="24"/>
                <w:lang w:val="en-US" w:eastAsia="zh-CN" w:bidi="ar"/>
              </w:rPr>
              <w:t>:</w:t>
            </w:r>
            <w:r>
              <w:rPr>
                <w:rFonts w:hint="default" w:ascii="Times New Roman" w:hAnsi="Times New Roman" w:cs="Times New Roman"/>
                <w:color w:val="000000"/>
                <w:kern w:val="0"/>
                <w:sz w:val="24"/>
                <w:lang w:bidi="ar"/>
              </w:rPr>
              <w:t>0.5～1</w:t>
            </w:r>
            <w:r>
              <w:rPr>
                <w:rFonts w:hint="eastAsia" w:cs="Times New Roman"/>
                <w:color w:val="000000"/>
                <w:kern w:val="0"/>
                <w:sz w:val="24"/>
                <w:lang w:val="en-US" w:eastAsia="zh-CN" w:bidi="ar"/>
              </w:rPr>
              <w:t>:</w:t>
            </w:r>
            <w:r>
              <w:rPr>
                <w:rFonts w:hint="default" w:ascii="Times New Roman" w:hAnsi="Times New Roman" w:cs="Times New Roman"/>
                <w:color w:val="000000"/>
                <w:kern w:val="0"/>
                <w:sz w:val="24"/>
                <w:lang w:bidi="ar"/>
              </w:rPr>
              <w:t>1。挖方经过不同类别的土（岩）层或深度超过3.0m时其边坡可做成台阶形。</w:t>
            </w:r>
          </w:p>
          <w:p>
            <w:pPr>
              <w:widowControl/>
              <w:spacing w:line="360" w:lineRule="auto"/>
              <w:ind w:firstLine="480" w:firstLineChars="200"/>
              <w:jc w:val="left"/>
              <w:rPr>
                <w:rFonts w:hint="default" w:ascii="Times New Roman" w:hAnsi="Times New Roman" w:cs="Times New Roman"/>
                <w:color w:val="000000"/>
                <w:kern w:val="0"/>
                <w:sz w:val="24"/>
                <w:lang w:val="en-US" w:eastAsia="zh-CN" w:bidi="ar"/>
              </w:rPr>
            </w:pPr>
            <w:r>
              <w:rPr>
                <w:rFonts w:hint="default" w:ascii="Times New Roman" w:hAnsi="Times New Roman" w:cs="Times New Roman"/>
                <w:color w:val="000000"/>
                <w:kern w:val="0"/>
                <w:sz w:val="24"/>
                <w:lang w:val="en-US" w:eastAsia="zh-CN" w:bidi="ar"/>
              </w:rPr>
              <w:t>（4）基础混凝土浇筑</w:t>
            </w:r>
          </w:p>
          <w:p>
            <w:pPr>
              <w:widowControl/>
              <w:spacing w:line="360" w:lineRule="auto"/>
              <w:ind w:firstLine="480" w:firstLineChars="200"/>
              <w:jc w:val="left"/>
              <w:rPr>
                <w:rFonts w:hint="default" w:ascii="Times New Roman" w:hAnsi="Times New Roman" w:cs="Times New Roman"/>
                <w:color w:val="FF0000"/>
                <w:kern w:val="0"/>
                <w:sz w:val="24"/>
                <w:lang w:val="en-US" w:eastAsia="zh-CN" w:bidi="ar"/>
              </w:rPr>
            </w:pPr>
            <w:r>
              <w:rPr>
                <w:rFonts w:hint="default" w:ascii="Times New Roman" w:hAnsi="Times New Roman" w:cs="Times New Roman"/>
                <w:color w:val="000000"/>
                <w:kern w:val="0"/>
                <w:sz w:val="24"/>
                <w:lang w:val="en-US" w:eastAsia="zh-CN" w:bidi="ar"/>
              </w:rPr>
              <w:t>本项目设计计算基础支承角为120度和180度两种，混凝土振捣应密实，管道基</w:t>
            </w:r>
            <w:r>
              <w:rPr>
                <w:rFonts w:hint="default" w:ascii="Times New Roman" w:hAnsi="Times New Roman" w:cs="Times New Roman"/>
                <w:color w:val="FF0000"/>
                <w:kern w:val="0"/>
                <w:sz w:val="24"/>
                <w:lang w:val="en-US" w:eastAsia="zh-CN" w:bidi="ar"/>
              </w:rPr>
              <w:t>础达到一定强度才能安装管节。</w:t>
            </w:r>
          </w:p>
          <w:p>
            <w:pPr>
              <w:widowControl/>
              <w:spacing w:line="360" w:lineRule="auto"/>
              <w:ind w:firstLine="480" w:firstLineChars="200"/>
              <w:jc w:val="left"/>
              <w:rPr>
                <w:rFonts w:hint="default" w:ascii="Times New Roman" w:hAnsi="Times New Roman" w:cs="Times New Roman"/>
                <w:color w:val="FF0000"/>
                <w:kern w:val="0"/>
                <w:sz w:val="24"/>
                <w:lang w:val="en-US" w:eastAsia="zh-CN" w:bidi="ar"/>
              </w:rPr>
            </w:pPr>
            <w:r>
              <w:rPr>
                <w:rFonts w:hint="default" w:ascii="Times New Roman" w:hAnsi="Times New Roman" w:cs="Times New Roman"/>
                <w:color w:val="FF0000"/>
                <w:kern w:val="0"/>
                <w:sz w:val="24"/>
                <w:lang w:val="en-US" w:eastAsia="zh-CN" w:bidi="ar"/>
              </w:rPr>
              <w:t>（5）管道铺设</w:t>
            </w:r>
          </w:p>
          <w:p>
            <w:pPr>
              <w:widowControl/>
              <w:spacing w:line="360" w:lineRule="auto"/>
              <w:ind w:firstLine="480" w:firstLineChars="200"/>
              <w:jc w:val="left"/>
              <w:rPr>
                <w:rFonts w:hint="default" w:ascii="Times New Roman" w:hAnsi="Times New Roman" w:cs="Times New Roman"/>
                <w:color w:val="FF0000"/>
                <w:kern w:val="0"/>
                <w:sz w:val="24"/>
                <w:lang w:val="en-US" w:eastAsia="zh-CN" w:bidi="ar"/>
              </w:rPr>
            </w:pPr>
            <w:r>
              <w:rPr>
                <w:rFonts w:hint="default" w:ascii="Times New Roman" w:hAnsi="Times New Roman" w:cs="Times New Roman"/>
                <w:color w:val="FF0000"/>
                <w:kern w:val="0"/>
                <w:sz w:val="24"/>
                <w:lang w:val="en-US" w:eastAsia="zh-CN" w:bidi="ar"/>
              </w:rPr>
              <w:t>管节安装前应进行外观检查，发现裂缝、保护层脱落、空鼓、接口掉角等缺陷，应修补并经鉴定合格后方可使用。管道铺设要沿管轴线带线铺设，铺设顺直，且管口的纵向间隙符合规范规定，同时留好检查井位置。管道接口采用钢丝网水泥砂浆抹带接口。管接口处应凿毛刷净，抹带及填缝均采用1:2.5水泥砂浆。</w:t>
            </w:r>
          </w:p>
          <w:p>
            <w:pPr>
              <w:widowControl/>
              <w:spacing w:line="360" w:lineRule="auto"/>
              <w:ind w:firstLine="480" w:firstLineChars="200"/>
              <w:jc w:val="left"/>
              <w:rPr>
                <w:rFonts w:hint="default" w:ascii="Times New Roman" w:hAnsi="Times New Roman" w:cs="Times New Roman"/>
                <w:color w:val="000000"/>
                <w:kern w:val="0"/>
                <w:sz w:val="24"/>
                <w:lang w:bidi="ar"/>
              </w:rPr>
            </w:pPr>
            <w:r>
              <w:rPr>
                <w:rFonts w:hint="default" w:ascii="Times New Roman" w:hAnsi="Times New Roman" w:cs="Times New Roman"/>
                <w:color w:val="000000"/>
                <w:kern w:val="0"/>
                <w:sz w:val="24"/>
                <w:lang w:bidi="ar"/>
              </w:rPr>
              <w:t>（</w:t>
            </w:r>
            <w:r>
              <w:rPr>
                <w:rFonts w:hint="default" w:ascii="Times New Roman" w:hAnsi="Times New Roman" w:cs="Times New Roman"/>
                <w:color w:val="000000"/>
                <w:kern w:val="0"/>
                <w:sz w:val="24"/>
                <w:lang w:val="en-US" w:eastAsia="zh-CN" w:bidi="ar"/>
              </w:rPr>
              <w:t>6</w:t>
            </w:r>
            <w:r>
              <w:rPr>
                <w:rFonts w:hint="default" w:ascii="Times New Roman" w:hAnsi="Times New Roman" w:cs="Times New Roman"/>
                <w:color w:val="000000"/>
                <w:kern w:val="0"/>
                <w:sz w:val="24"/>
                <w:lang w:bidi="ar"/>
              </w:rPr>
              <w:t>）土方回填</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回填、夯填土方前，应彻底清除基地表面草皮、垃圾、树根、表面浮土、孔洞、裂隙、井及墓穴等，应对填方基地和已完隐蔽工程进行检查和中间验收。</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填方施工前，应根据工程特点、填料种类、设计压实系数、施工条件等合理选择压实机具，并根据实验确定含水量范围、铺土厚度及压实遍数等。填土前应检验含水量是否在控制范围内，如含水量偏高，可采用翻松、晾晒、均匀掺入干土等措施；如含水量偏低，可采用预先洒水湿润、增加压实遍数或使用大功率压实机械等措施，碾压时轮（夯）迹应相互搭接，防止漏压。填方每层土厚度：平碾200～300mm，碾压6～8遍；蛙式打夯机200～250mm，碾压3～4遍；人工打夯不大于200mm，碾压3～4遍；土块粒径不大于5cm，压实度要求大于0.9。</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分段填筑时，每层接缝处应做成斜坡形，碾迹重叠0.5～1.0m，上下层接缝应错开不小于1.0m，填方可根据工程性质、填方高度、填料种类、压实系数和地基情况预留沉降量，沉降量一般不超过高度的3％。填方取土应在填方体坡脚线30m以外取料，取土坑的坡度应根据土质而定。</w:t>
            </w:r>
          </w:p>
          <w:p>
            <w:pPr>
              <w:pStyle w:val="45"/>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rPr>
            </w:pPr>
            <w:r>
              <w:rPr>
                <w:rFonts w:hint="default" w:ascii="Times New Roman" w:hAnsi="Times New Roman" w:cs="Times New Roman"/>
                <w:sz w:val="24"/>
                <w:lang w:eastAsia="zh-CN"/>
              </w:rPr>
              <w:t>（</w:t>
            </w:r>
            <w:r>
              <w:rPr>
                <w:rFonts w:hint="default" w:ascii="Times New Roman" w:hAnsi="Times New Roman" w:cs="Times New Roman"/>
                <w:sz w:val="24"/>
                <w:lang w:val="en-US" w:eastAsia="zh-CN"/>
              </w:rPr>
              <w:t>7</w:t>
            </w:r>
            <w:r>
              <w:rPr>
                <w:rFonts w:hint="default" w:ascii="Times New Roman" w:hAnsi="Times New Roman" w:cs="Times New Roman"/>
                <w:sz w:val="24"/>
                <w:lang w:eastAsia="zh-CN"/>
              </w:rPr>
              <w:t>）</w:t>
            </w:r>
            <w:r>
              <w:rPr>
                <w:rFonts w:hint="default" w:ascii="Times New Roman" w:hAnsi="Times New Roman" w:cs="Times New Roman"/>
                <w:sz w:val="24"/>
              </w:rPr>
              <w:t>渠道砌石工程</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砌石砂浆应按设计配合比拌制均匀，随拌随用。自出料到用完，其允许间隔时间不应超过1.5小时。砌石施工时，应先洒水润湿基础，然后在基础或垫层上铺筑一层厚度2～5cm低标号混合砂浆，再铺筑砌石料。</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石料安放要求：浆砌石应花砌、大面朝外、错缝交接，并选择较大较规整的块石砌在渠底和渠坡下部；浆砌料石和石板，在渠坡应纵砌，在渠底应横砌，必须错缝砌筑，料石错缝距离为料石长边的1/2；浆砌卵石相邻两排应错开茬口，并选择较大的卵石砌于渠底和渠道坡角，大头朝下、挤紧靠实；浆砌石挡土墙式防渗层，应有足够的小石。</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石料砌筑要求：砌筑前宜洒水润湿，石料应冲洗干净；浆砌料石和块石，应干摆试放分层砌筑、座浆饱满，每层铺砂浆的厚度，料石宜为2～3cm，块石宜为3～5cm，块石缝宽超过5cm时，应填塞小片石；卵石可采用挤浆砌筑；浆砌石板应保持砌缝密实平整，石板接缝间的不平整度不得超过1.0cm。</w:t>
            </w:r>
          </w:p>
          <w:p>
            <w:pPr>
              <w:pStyle w:val="45"/>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勾缝要求浆砌料石、块石、卵石和石板宜在砌筑砂浆初凝前勾缝，勾缝自上而下用砂浆充填、压实和抹光。浆砌料石、块石和石板宜勾平缝，浆砌卵石宜勾凹缝，缝面宜低于砌石1～3cm。</w:t>
            </w:r>
          </w:p>
          <w:p>
            <w:pPr>
              <w:pStyle w:val="45"/>
              <w:numPr>
                <w:ilvl w:val="0"/>
                <w:numId w:val="1"/>
              </w:numPr>
              <w:spacing w:line="360" w:lineRule="auto"/>
              <w:ind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生产桥架设工程</w:t>
            </w:r>
          </w:p>
          <w:p>
            <w:pPr>
              <w:pStyle w:val="45"/>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lang w:val="en-US" w:eastAsia="zh-CN"/>
              </w:rPr>
            </w:pPr>
            <w:r>
              <w:rPr>
                <w:rFonts w:hint="default" w:ascii="Times New Roman" w:hAnsi="Times New Roman" w:cs="Times New Roman"/>
                <w:sz w:val="24"/>
                <w:lang w:val="en-US" w:eastAsia="zh-CN"/>
              </w:rPr>
              <w:t>采用C25桥板预制安装及运输组装，C20细石砼填缝，规格为0.6×4m、0.6×10m，设计荷载标准为：公路Ⅱ级。桥板厚0.20m，采用C25混凝土，钢筋采用HRB400钢筋，桥身重力墩采用MU30块石，M7.5砂浆砌筑，挡土墙后回填土方要求回填至桥面高度并夯实。</w:t>
            </w:r>
          </w:p>
          <w:p>
            <w:pPr>
              <w:adjustRightInd w:val="0"/>
              <w:snapToGrid w:val="0"/>
              <w:spacing w:line="360" w:lineRule="auto"/>
              <w:ind w:firstLine="480" w:firstLineChars="200"/>
              <w:rPr>
                <w:rFonts w:hint="default" w:ascii="Times New Roman" w:hAnsi="Times New Roman" w:cs="Times New Roman"/>
                <w:color w:val="000000" w:themeColor="text1"/>
                <w:sz w:val="24"/>
                <w:szCs w:val="32"/>
                <w14:textFill>
                  <w14:solidFill>
                    <w14:schemeClr w14:val="tx1"/>
                  </w14:solidFill>
                </w14:textFill>
              </w:rPr>
            </w:pPr>
            <w:r>
              <w:rPr>
                <w:rFonts w:hint="default" w:ascii="Times New Roman" w:hAnsi="Times New Roman" w:cs="Times New Roman"/>
                <w:color w:val="000000" w:themeColor="text1"/>
                <w:sz w:val="24"/>
                <w:szCs w:val="32"/>
                <w14:textFill>
                  <w14:solidFill>
                    <w14:schemeClr w14:val="tx1"/>
                  </w14:solidFill>
                </w14:textFill>
              </w:rPr>
              <w:t>施工期工艺流程见图</w:t>
            </w:r>
            <w:r>
              <w:rPr>
                <w:rFonts w:hint="default" w:ascii="Times New Roman" w:hAnsi="Times New Roman" w:cs="Times New Roman"/>
                <w:color w:val="000000" w:themeColor="text1"/>
                <w:sz w:val="24"/>
                <w:szCs w:val="32"/>
                <w:lang w:val="en-US" w:eastAsia="zh-CN"/>
                <w14:textFill>
                  <w14:solidFill>
                    <w14:schemeClr w14:val="tx1"/>
                  </w14:solidFill>
                </w14:textFill>
              </w:rPr>
              <w:t>10</w:t>
            </w:r>
            <w:r>
              <w:rPr>
                <w:rFonts w:hint="default" w:ascii="Times New Roman" w:hAnsi="Times New Roman" w:cs="Times New Roman"/>
                <w:color w:val="000000" w:themeColor="text1"/>
                <w:sz w:val="24"/>
                <w:szCs w:val="32"/>
                <w14:textFill>
                  <w14:solidFill>
                    <w14:schemeClr w14:val="tx1"/>
                  </w14:solidFill>
                </w14:textFill>
              </w:rPr>
              <w:t>。</w:t>
            </w:r>
          </w:p>
          <w:p>
            <w:pPr>
              <w:adjustRightInd w:val="0"/>
              <w:snapToGrid w:val="0"/>
              <w:jc w:val="center"/>
              <w:rPr>
                <w:rFonts w:hint="default" w:ascii="Times New Roman" w:hAnsi="Times New Roman" w:cs="Times New Roman"/>
                <w:b/>
                <w:bCs/>
                <w:color w:val="000000" w:themeColor="text1"/>
                <w:sz w:val="24"/>
                <w:szCs w:val="32"/>
                <w14:textFill>
                  <w14:solidFill>
                    <w14:schemeClr w14:val="tx1"/>
                  </w14:solidFill>
                </w14:textFill>
              </w:rPr>
            </w:pPr>
            <w:r>
              <w:rPr>
                <w:rFonts w:hint="default" w:ascii="Times New Roman" w:hAnsi="Times New Roman" w:cs="Times New Roman"/>
                <w:b/>
                <w:bCs/>
                <w:color w:val="000000" w:themeColor="text1"/>
                <w:sz w:val="24"/>
                <w:szCs w:val="32"/>
                <w14:textFill>
                  <w14:solidFill>
                    <w14:schemeClr w14:val="tx1"/>
                  </w14:solidFill>
                </w14:textFill>
              </w:rPr>
              <w:drawing>
                <wp:inline distT="0" distB="0" distL="114300" distR="114300">
                  <wp:extent cx="5172710" cy="4142105"/>
                  <wp:effectExtent l="0" t="0" r="8890" b="10795"/>
                  <wp:docPr id="1" name="图片 1" descr="医院挂号系统功能模块"/>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WM_UNIT_PLACING_PICTURE_USER_VIEWPORT" s:val="{&quot;height&quot;:5549,&quot;width&quot;:8146}"/>
                        </s:tag>
                      </a:ext>
                    </a:extLst>
                  </wp:cNvGraphicFramePr>
                  <a:graphic xmlns:a="http://schemas.openxmlformats.org/drawingml/2006/main">
                    <a:graphicData uri="http://schemas.openxmlformats.org/drawingml/2006/picture">
                      <pic:pic xmlns:pic="http://schemas.openxmlformats.org/drawingml/2006/picture">
                        <pic:nvPicPr>
                          <pic:cNvPr id="1" name="图片 1" descr="医院挂号系统功能模块"/>
                          <pic:cNvPicPr>
                            <a:picLocks noChangeAspect="1"/>
                          </pic:cNvPicPr>
                        </pic:nvPicPr>
                        <pic:blipFill>
                          <a:blip r:embed="rId19"/>
                          <a:srcRect/>
                          <a:stretch>
                            <a:fillRect/>
                          </a:stretch>
                        </pic:blipFill>
                        <pic:spPr>
                          <a:xfrm>
                            <a:off x="0" y="0"/>
                            <a:ext cx="5172710" cy="4142105"/>
                          </a:xfrm>
                          <a:prstGeom prst="rect">
                            <a:avLst/>
                          </a:prstGeom>
                        </pic:spPr>
                      </pic:pic>
                    </a:graphicData>
                  </a:graphic>
                </wp:inline>
              </w:drawing>
            </w:r>
          </w:p>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图</w:t>
            </w:r>
            <w:r>
              <w:rPr>
                <w:rFonts w:hint="default" w:ascii="Times New Roman" w:hAnsi="Times New Roman" w:cs="Times New Roman"/>
                <w:b/>
                <w:bCs/>
                <w:color w:val="000000" w:themeColor="text1"/>
                <w:szCs w:val="21"/>
                <w:lang w:val="en-US" w:eastAsia="zh-CN"/>
                <w14:textFill>
                  <w14:solidFill>
                    <w14:schemeClr w14:val="tx1"/>
                  </w14:solidFill>
                </w14:textFill>
              </w:rPr>
              <w:t>10</w:t>
            </w:r>
            <w:r>
              <w:rPr>
                <w:rFonts w:hint="default" w:ascii="Times New Roman" w:hAnsi="Times New Roman" w:cs="Times New Roman"/>
                <w:b/>
                <w:bCs/>
                <w:color w:val="000000" w:themeColor="text1"/>
                <w:szCs w:val="21"/>
                <w14:textFill>
                  <w14:solidFill>
                    <w14:schemeClr w14:val="tx1"/>
                  </w14:solidFill>
                </w14:textFill>
              </w:rPr>
              <w:t>施工期工艺流程及产污环节图</w:t>
            </w:r>
          </w:p>
          <w:p>
            <w:pPr>
              <w:pStyle w:val="45"/>
              <w:spacing w:line="360" w:lineRule="auto"/>
              <w:ind w:firstLine="480" w:firstLineChars="200"/>
              <w:rPr>
                <w:rFonts w:hint="default" w:ascii="Times New Roman" w:hAnsi="Times New Roman" w:cs="Times New Roman"/>
                <w:sz w:val="24"/>
              </w:rPr>
            </w:pPr>
          </w:p>
          <w:p>
            <w:pPr>
              <w:widowControl/>
              <w:spacing w:line="360" w:lineRule="auto"/>
              <w:ind w:firstLine="482" w:firstLineChars="200"/>
              <w:jc w:val="left"/>
              <w:rPr>
                <w:rFonts w:hint="default" w:ascii="Times New Roman" w:hAnsi="Times New Roman" w:cs="Times New Roman"/>
                <w:sz w:val="24"/>
              </w:rPr>
            </w:pPr>
            <w:r>
              <w:rPr>
                <w:rFonts w:hint="default" w:ascii="Times New Roman" w:hAnsi="Times New Roman" w:cs="Times New Roman"/>
                <w:b/>
                <w:bCs/>
                <w:color w:val="000000"/>
                <w:kern w:val="0"/>
                <w:sz w:val="24"/>
                <w:lang w:bidi="ar"/>
              </w:rPr>
              <w:t>3、建设周期</w:t>
            </w:r>
          </w:p>
          <w:p>
            <w:pPr>
              <w:widowControl/>
              <w:adjustRightInd w:val="0"/>
              <w:snapToGrid w:val="0"/>
              <w:spacing w:line="360" w:lineRule="auto"/>
              <w:ind w:firstLine="480" w:firstLineChars="200"/>
              <w:jc w:val="left"/>
              <w:rPr>
                <w:rFonts w:hint="default" w:ascii="Times New Roman" w:hAnsi="Times New Roman" w:cs="Times New Roman"/>
                <w:color w:val="000000"/>
                <w:kern w:val="0"/>
                <w:sz w:val="24"/>
                <w:lang w:bidi="ar"/>
              </w:rPr>
            </w:pPr>
            <w:r>
              <w:rPr>
                <w:rFonts w:hint="default" w:ascii="Times New Roman" w:hAnsi="Times New Roman" w:cs="Times New Roman"/>
                <w:color w:val="000000"/>
                <w:kern w:val="0"/>
                <w:sz w:val="24"/>
                <w:lang w:bidi="ar"/>
              </w:rPr>
              <w:t>本工程2023年</w:t>
            </w:r>
            <w:r>
              <w:rPr>
                <w:rFonts w:hint="default" w:ascii="Times New Roman" w:hAnsi="Times New Roman" w:cs="Times New Roman"/>
                <w:color w:val="000000"/>
                <w:kern w:val="0"/>
                <w:sz w:val="24"/>
                <w:lang w:val="en-US" w:eastAsia="zh-CN" w:bidi="ar"/>
              </w:rPr>
              <w:t>6</w:t>
            </w:r>
            <w:r>
              <w:rPr>
                <w:rFonts w:hint="default" w:ascii="Times New Roman" w:hAnsi="Times New Roman" w:cs="Times New Roman"/>
                <w:color w:val="000000"/>
                <w:kern w:val="0"/>
                <w:sz w:val="24"/>
                <w:lang w:bidi="ar"/>
              </w:rPr>
              <w:t>月开工，2023年</w:t>
            </w:r>
            <w:r>
              <w:rPr>
                <w:rFonts w:hint="default" w:ascii="Times New Roman" w:hAnsi="Times New Roman" w:cs="Times New Roman"/>
                <w:color w:val="000000"/>
                <w:kern w:val="0"/>
                <w:sz w:val="24"/>
                <w:lang w:val="en-US" w:eastAsia="zh-CN" w:bidi="ar"/>
              </w:rPr>
              <w:t>8</w:t>
            </w:r>
            <w:r>
              <w:rPr>
                <w:rFonts w:hint="default" w:ascii="Times New Roman" w:hAnsi="Times New Roman" w:cs="Times New Roman"/>
                <w:color w:val="000000"/>
                <w:kern w:val="0"/>
                <w:sz w:val="24"/>
                <w:lang w:bidi="ar"/>
              </w:rPr>
              <w:t>月完工，总工期为2个月。</w:t>
            </w:r>
          </w:p>
          <w:p>
            <w:pPr>
              <w:widowControl/>
              <w:adjustRightInd w:val="0"/>
              <w:snapToGrid w:val="0"/>
              <w:spacing w:line="360" w:lineRule="auto"/>
              <w:ind w:firstLine="482" w:firstLineChars="200"/>
              <w:jc w:val="left"/>
              <w:rPr>
                <w:rFonts w:hint="default" w:ascii="Times New Roman" w:hAnsi="Times New Roman" w:cs="Times New Roman"/>
                <w:b/>
                <w:bCs/>
                <w:color w:val="000000" w:themeColor="text1"/>
                <w:kern w:val="0"/>
                <w:sz w:val="24"/>
                <w:lang w:bidi="ar"/>
                <w14:textFill>
                  <w14:solidFill>
                    <w14:schemeClr w14:val="tx1"/>
                  </w14:solidFill>
                </w14:textFill>
              </w:rPr>
            </w:pPr>
            <w:r>
              <w:rPr>
                <w:rFonts w:hint="default" w:ascii="Times New Roman" w:hAnsi="Times New Roman" w:cs="Times New Roman"/>
                <w:b/>
                <w:bCs/>
                <w:color w:val="000000" w:themeColor="text1"/>
                <w:kern w:val="0"/>
                <w:sz w:val="24"/>
                <w:lang w:bidi="ar"/>
                <w14:textFill>
                  <w14:solidFill>
                    <w14:schemeClr w14:val="tx1"/>
                  </w14:solidFill>
                </w14:textFill>
              </w:rPr>
              <w:t>三、工程进度安排</w:t>
            </w:r>
          </w:p>
          <w:p>
            <w:pPr>
              <w:pStyle w:val="6"/>
              <w:adjustRightInd w:val="0"/>
              <w:snapToGrid w:val="0"/>
              <w:spacing w:line="360" w:lineRule="auto"/>
              <w:rPr>
                <w:rFonts w:hint="default" w:ascii="Times New Roman" w:hAnsi="Times New Roman" w:cs="Times New Roman"/>
                <w:color w:val="000000" w:themeColor="text1"/>
                <w:sz w:val="24"/>
                <w:szCs w:val="22"/>
                <w14:textFill>
                  <w14:solidFill>
                    <w14:schemeClr w14:val="tx1"/>
                  </w14:solidFill>
                </w14:textFill>
              </w:rPr>
            </w:pPr>
            <w:r>
              <w:rPr>
                <w:rFonts w:hint="default" w:ascii="Times New Roman" w:hAnsi="Times New Roman" w:cs="Times New Roman"/>
                <w:color w:val="000000" w:themeColor="text1"/>
                <w:sz w:val="24"/>
                <w:szCs w:val="22"/>
                <w14:textFill>
                  <w14:solidFill>
                    <w14:schemeClr w14:val="tx1"/>
                  </w14:solidFill>
                </w14:textFill>
              </w:rPr>
              <w:t>2023年</w:t>
            </w:r>
            <w:r>
              <w:rPr>
                <w:rFonts w:hint="default" w:ascii="Times New Roman" w:hAnsi="Times New Roman" w:cs="Times New Roman"/>
                <w:color w:val="000000" w:themeColor="text1"/>
                <w:sz w:val="24"/>
                <w:szCs w:val="22"/>
                <w:lang w:val="en-US" w:eastAsia="zh-CN"/>
                <w14:textFill>
                  <w14:solidFill>
                    <w14:schemeClr w14:val="tx1"/>
                  </w14:solidFill>
                </w14:textFill>
              </w:rPr>
              <w:t>5</w:t>
            </w:r>
            <w:r>
              <w:rPr>
                <w:rFonts w:hint="default" w:ascii="Times New Roman" w:hAnsi="Times New Roman" w:cs="Times New Roman"/>
                <w:color w:val="000000" w:themeColor="text1"/>
                <w:sz w:val="24"/>
                <w:szCs w:val="22"/>
                <w14:textFill>
                  <w14:solidFill>
                    <w14:schemeClr w14:val="tx1"/>
                  </w14:solidFill>
                </w14:textFill>
              </w:rPr>
              <w:t>月～2023年</w:t>
            </w:r>
            <w:r>
              <w:rPr>
                <w:rFonts w:hint="default" w:ascii="Times New Roman" w:hAnsi="Times New Roman" w:cs="Times New Roman"/>
                <w:color w:val="000000" w:themeColor="text1"/>
                <w:sz w:val="24"/>
                <w:szCs w:val="22"/>
                <w:lang w:val="en-US" w:eastAsia="zh-CN"/>
                <w14:textFill>
                  <w14:solidFill>
                    <w14:schemeClr w14:val="tx1"/>
                  </w14:solidFill>
                </w14:textFill>
              </w:rPr>
              <w:t>5</w:t>
            </w:r>
            <w:r>
              <w:rPr>
                <w:rFonts w:hint="default" w:ascii="Times New Roman" w:hAnsi="Times New Roman" w:cs="Times New Roman"/>
                <w:color w:val="000000" w:themeColor="text1"/>
                <w:sz w:val="24"/>
                <w:szCs w:val="22"/>
                <w14:textFill>
                  <w14:solidFill>
                    <w14:schemeClr w14:val="tx1"/>
                  </w14:solidFill>
                </w14:textFill>
              </w:rPr>
              <w:t>月，进行勘察、地质测绘、治理工程设计。</w:t>
            </w:r>
          </w:p>
          <w:p>
            <w:pPr>
              <w:pStyle w:val="6"/>
              <w:adjustRightInd w:val="0"/>
              <w:snapToGrid w:val="0"/>
              <w:spacing w:line="360" w:lineRule="auto"/>
              <w:rPr>
                <w:rFonts w:hint="default" w:ascii="Times New Roman" w:hAnsi="Times New Roman" w:cs="Times New Roman"/>
                <w:color w:val="000000" w:themeColor="text1"/>
                <w:sz w:val="24"/>
                <w:szCs w:val="22"/>
                <w14:textFill>
                  <w14:solidFill>
                    <w14:schemeClr w14:val="tx1"/>
                  </w14:solidFill>
                </w14:textFill>
              </w:rPr>
            </w:pPr>
            <w:r>
              <w:rPr>
                <w:rFonts w:hint="default" w:ascii="Times New Roman" w:hAnsi="Times New Roman" w:cs="Times New Roman"/>
                <w:color w:val="000000" w:themeColor="text1"/>
                <w:sz w:val="24"/>
                <w:szCs w:val="22"/>
                <w14:textFill>
                  <w14:solidFill>
                    <w14:schemeClr w14:val="tx1"/>
                  </w14:solidFill>
                </w14:textFill>
              </w:rPr>
              <w:t>2023年</w:t>
            </w:r>
            <w:r>
              <w:rPr>
                <w:rFonts w:hint="default" w:ascii="Times New Roman" w:hAnsi="Times New Roman" w:cs="Times New Roman"/>
                <w:color w:val="000000" w:themeColor="text1"/>
                <w:sz w:val="24"/>
                <w:szCs w:val="22"/>
                <w:lang w:val="en-US" w:eastAsia="zh-CN"/>
                <w14:textFill>
                  <w14:solidFill>
                    <w14:schemeClr w14:val="tx1"/>
                  </w14:solidFill>
                </w14:textFill>
              </w:rPr>
              <w:t>5</w:t>
            </w:r>
            <w:r>
              <w:rPr>
                <w:rFonts w:hint="default" w:ascii="Times New Roman" w:hAnsi="Times New Roman" w:cs="Times New Roman"/>
                <w:color w:val="000000" w:themeColor="text1"/>
                <w:sz w:val="24"/>
                <w:szCs w:val="22"/>
                <w14:textFill>
                  <w14:solidFill>
                    <w14:schemeClr w14:val="tx1"/>
                  </w14:solidFill>
                </w14:textFill>
              </w:rPr>
              <w:t>月～2023年</w:t>
            </w:r>
            <w:r>
              <w:rPr>
                <w:rFonts w:hint="default" w:ascii="Times New Roman" w:hAnsi="Times New Roman" w:cs="Times New Roman"/>
                <w:color w:val="000000" w:themeColor="text1"/>
                <w:sz w:val="24"/>
                <w:szCs w:val="22"/>
                <w:lang w:val="en-US" w:eastAsia="zh-CN"/>
                <w14:textFill>
                  <w14:solidFill>
                    <w14:schemeClr w14:val="tx1"/>
                  </w14:solidFill>
                </w14:textFill>
              </w:rPr>
              <w:t>5</w:t>
            </w:r>
            <w:r>
              <w:rPr>
                <w:rFonts w:hint="default" w:ascii="Times New Roman" w:hAnsi="Times New Roman" w:cs="Times New Roman"/>
                <w:color w:val="000000" w:themeColor="text1"/>
                <w:sz w:val="24"/>
                <w:szCs w:val="22"/>
                <w14:textFill>
                  <w14:solidFill>
                    <w14:schemeClr w14:val="tx1"/>
                  </w14:solidFill>
                </w14:textFill>
              </w:rPr>
              <w:t>月，委托施工方。</w:t>
            </w:r>
          </w:p>
          <w:p>
            <w:pPr>
              <w:pStyle w:val="6"/>
              <w:adjustRightInd w:val="0"/>
              <w:snapToGrid w:val="0"/>
              <w:spacing w:line="360" w:lineRule="auto"/>
              <w:rPr>
                <w:rFonts w:hint="default" w:ascii="Times New Roman" w:hAnsi="Times New Roman" w:cs="Times New Roman"/>
                <w:color w:val="000000" w:themeColor="text1"/>
                <w:sz w:val="24"/>
                <w:szCs w:val="22"/>
                <w14:textFill>
                  <w14:solidFill>
                    <w14:schemeClr w14:val="tx1"/>
                  </w14:solidFill>
                </w14:textFill>
              </w:rPr>
            </w:pPr>
            <w:r>
              <w:rPr>
                <w:rFonts w:hint="default" w:ascii="Times New Roman" w:hAnsi="Times New Roman" w:cs="Times New Roman"/>
                <w:color w:val="000000" w:themeColor="text1"/>
                <w:sz w:val="24"/>
                <w:szCs w:val="22"/>
                <w14:textFill>
                  <w14:solidFill>
                    <w14:schemeClr w14:val="tx1"/>
                  </w14:solidFill>
                </w14:textFill>
              </w:rPr>
              <w:t>2023年</w:t>
            </w:r>
            <w:r>
              <w:rPr>
                <w:rFonts w:hint="default" w:ascii="Times New Roman" w:hAnsi="Times New Roman" w:cs="Times New Roman"/>
                <w:color w:val="000000" w:themeColor="text1"/>
                <w:sz w:val="24"/>
                <w:szCs w:val="22"/>
                <w:lang w:val="en-US" w:eastAsia="zh-CN"/>
                <w14:textFill>
                  <w14:solidFill>
                    <w14:schemeClr w14:val="tx1"/>
                  </w14:solidFill>
                </w14:textFill>
              </w:rPr>
              <w:t>6</w:t>
            </w:r>
            <w:r>
              <w:rPr>
                <w:rFonts w:hint="default" w:ascii="Times New Roman" w:hAnsi="Times New Roman" w:cs="Times New Roman"/>
                <w:color w:val="000000" w:themeColor="text1"/>
                <w:sz w:val="24"/>
                <w:szCs w:val="22"/>
                <w14:textFill>
                  <w14:solidFill>
                    <w14:schemeClr w14:val="tx1"/>
                  </w14:solidFill>
                </w14:textFill>
              </w:rPr>
              <w:t>月～</w:t>
            </w:r>
            <w:r>
              <w:rPr>
                <w:rFonts w:hint="default" w:ascii="Times New Roman" w:hAnsi="Times New Roman" w:cs="Times New Roman"/>
                <w:color w:val="000000" w:themeColor="text1"/>
                <w:sz w:val="24"/>
                <w:szCs w:val="22"/>
                <w:lang w:val="en-US" w:eastAsia="zh-CN"/>
                <w14:textFill>
                  <w14:solidFill>
                    <w14:schemeClr w14:val="tx1"/>
                  </w14:solidFill>
                </w14:textFill>
              </w:rPr>
              <w:t>8</w:t>
            </w:r>
            <w:r>
              <w:rPr>
                <w:rFonts w:hint="default" w:ascii="Times New Roman" w:hAnsi="Times New Roman" w:cs="Times New Roman"/>
                <w:color w:val="000000" w:themeColor="text1"/>
                <w:sz w:val="24"/>
                <w:szCs w:val="22"/>
                <w14:textFill>
                  <w14:solidFill>
                    <w14:schemeClr w14:val="tx1"/>
                  </w14:solidFill>
                </w14:textFill>
              </w:rPr>
              <w:t>月，施工。</w:t>
            </w:r>
          </w:p>
          <w:p>
            <w:pPr>
              <w:pStyle w:val="6"/>
              <w:adjustRightInd w:val="0"/>
              <w:snapToGrid w:val="0"/>
              <w:spacing w:line="360" w:lineRule="auto"/>
              <w:rPr>
                <w:rFonts w:hint="default" w:ascii="Times New Roman" w:hAnsi="Times New Roman" w:cs="Times New Roman"/>
                <w:color w:val="000000" w:themeColor="text1"/>
                <w:sz w:val="24"/>
                <w:szCs w:val="22"/>
                <w14:textFill>
                  <w14:solidFill>
                    <w14:schemeClr w14:val="tx1"/>
                  </w14:solidFill>
                </w14:textFill>
              </w:rPr>
            </w:pPr>
            <w:r>
              <w:rPr>
                <w:rFonts w:hint="default" w:ascii="Times New Roman" w:hAnsi="Times New Roman" w:cs="Times New Roman"/>
                <w:color w:val="000000" w:themeColor="text1"/>
                <w:sz w:val="24"/>
                <w:szCs w:val="22"/>
                <w14:textFill>
                  <w14:solidFill>
                    <w14:schemeClr w14:val="tx1"/>
                  </w14:solidFill>
                </w14:textFill>
              </w:rPr>
              <w:t>2023年</w:t>
            </w:r>
            <w:r>
              <w:rPr>
                <w:rFonts w:hint="default" w:ascii="Times New Roman" w:hAnsi="Times New Roman" w:cs="Times New Roman"/>
                <w:color w:val="000000" w:themeColor="text1"/>
                <w:sz w:val="24"/>
                <w:szCs w:val="22"/>
                <w:lang w:val="en-US" w:eastAsia="zh-CN"/>
                <w14:textFill>
                  <w14:solidFill>
                    <w14:schemeClr w14:val="tx1"/>
                  </w14:solidFill>
                </w14:textFill>
              </w:rPr>
              <w:t>8</w:t>
            </w:r>
            <w:r>
              <w:rPr>
                <w:rFonts w:hint="default" w:ascii="Times New Roman" w:hAnsi="Times New Roman" w:cs="Times New Roman"/>
                <w:color w:val="000000" w:themeColor="text1"/>
                <w:sz w:val="24"/>
                <w:szCs w:val="22"/>
                <w14:textFill>
                  <w14:solidFill>
                    <w14:schemeClr w14:val="tx1"/>
                  </w14:solidFill>
                </w14:textFill>
              </w:rPr>
              <w:t>月，完成县级验收。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8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其他</w:t>
            </w:r>
          </w:p>
        </w:tc>
        <w:tc>
          <w:tcPr>
            <w:tcW w:w="7718" w:type="dxa"/>
            <w:vAlign w:val="bottom"/>
          </w:tcPr>
          <w:p>
            <w:pPr>
              <w:pStyle w:val="15"/>
              <w:spacing w:line="360" w:lineRule="auto"/>
              <w:ind w:firstLine="480" w:firstLineChars="200"/>
              <w:rPr>
                <w:rFonts w:hint="default" w:ascii="Times New Roman" w:hAnsi="Times New Roman" w:cs="Times New Roman"/>
                <w:sz w:val="24"/>
                <w:szCs w:val="21"/>
              </w:rPr>
            </w:pPr>
            <w:r>
              <w:rPr>
                <w:rFonts w:hint="default" w:ascii="Times New Roman" w:hAnsi="Times New Roman" w:cs="Times New Roman"/>
                <w:sz w:val="24"/>
                <w:szCs w:val="21"/>
              </w:rPr>
              <w:t>环水保在总体布局上本着工程措施与植物措施相结合，永久措施与临时措施相结合，点、线、面相结合的原则，形成布局合理的环水保综合防治体系。</w:t>
            </w:r>
          </w:p>
          <w:p>
            <w:pPr>
              <w:pStyle w:val="15"/>
              <w:spacing w:line="360" w:lineRule="auto"/>
              <w:ind w:firstLine="480" w:firstLineChars="200"/>
              <w:rPr>
                <w:rFonts w:hint="default" w:ascii="Times New Roman" w:hAnsi="Times New Roman" w:cs="Times New Roman"/>
                <w:sz w:val="24"/>
                <w:szCs w:val="21"/>
              </w:rPr>
            </w:pPr>
            <w:r>
              <w:rPr>
                <w:rFonts w:hint="default" w:ascii="Times New Roman" w:hAnsi="Times New Roman" w:cs="Times New Roman"/>
                <w:sz w:val="24"/>
                <w:szCs w:val="21"/>
              </w:rPr>
              <w:t>项目施工布置临时占地不涉及生态红线、自然保护区、饮用水源地、文化遗址、生态敏感区、基本农田、地表水地下水等。因本项目为保障当地居民生命财产安全，根据项目初步设计方案，本项目的总平面布置在符合区域规划的基础上，根据拟建项目的性质、规模、流程、以及安全、施工等要求，结合场地自然条件，经过技术经济比较后择优确定，平面布置紧凑、降低能耗，节约用地，符合同心县土地利用政策和相关规范要求。项目占地不属于国土资源部和发展</w:t>
            </w:r>
            <w:r>
              <w:rPr>
                <w:rFonts w:hint="eastAsia" w:cs="Times New Roman"/>
                <w:sz w:val="24"/>
                <w:szCs w:val="21"/>
                <w:lang w:eastAsia="zh-CN"/>
              </w:rPr>
              <w:t>和</w:t>
            </w:r>
            <w:r>
              <w:rPr>
                <w:rFonts w:hint="default" w:ascii="Times New Roman" w:hAnsi="Times New Roman" w:cs="Times New Roman"/>
                <w:sz w:val="24"/>
                <w:szCs w:val="21"/>
              </w:rPr>
              <w:t>改革委员会颁布的《限制用地项目目录》（2012年本）和《禁止用地项目目录》（2012年本）中所列目录。项目周边有道路，交通运输方便，与城市建设、道路交通规划相符。因此，从环境保护角度工程选址合理。</w:t>
            </w:r>
          </w:p>
          <w:p>
            <w:pPr>
              <w:pStyle w:val="15"/>
              <w:rPr>
                <w:rFonts w:hint="default" w:ascii="Times New Roman" w:hAnsi="Times New Roman" w:cs="Times New Roman"/>
                <w:color w:val="000000" w:themeColor="text1"/>
                <w:sz w:val="24"/>
                <w:szCs w:val="32"/>
                <w14:textFill>
                  <w14:solidFill>
                    <w14:schemeClr w14:val="tx1"/>
                  </w14:solidFill>
                </w14:textFill>
              </w:rPr>
            </w:pPr>
          </w:p>
        </w:tc>
      </w:tr>
    </w:tbl>
    <w:p>
      <w:pPr>
        <w:pStyle w:val="19"/>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r>
        <w:rPr>
          <w:rFonts w:hint="default" w:ascii="Times New Roman" w:hAnsi="Times New Roman" w:eastAsia="仿宋_GB2312" w:cs="Times New Roman"/>
          <w:b/>
          <w:bCs/>
          <w:color w:val="000000" w:themeColor="text1"/>
          <w14:textFill>
            <w14:solidFill>
              <w14:schemeClr w14:val="tx1"/>
            </w14:solidFill>
          </w14:textFill>
        </w:rPr>
        <w:br w:type="page"/>
      </w:r>
      <w:bookmarkStart w:id="10" w:name="_Toc10602"/>
      <w:r>
        <w:rPr>
          <w:rFonts w:hint="default" w:ascii="Times New Roman" w:hAnsi="Times New Roman" w:eastAsia="黑体" w:cs="Times New Roman"/>
          <w:snapToGrid w:val="0"/>
          <w:color w:val="000000" w:themeColor="text1"/>
          <w:sz w:val="30"/>
          <w:szCs w:val="30"/>
          <w14:textFill>
            <w14:solidFill>
              <w14:schemeClr w14:val="tx1"/>
            </w14:solidFill>
          </w14:textFill>
        </w:rPr>
        <w:t>三、生态环境现状、保护目标及评价标准</w:t>
      </w:r>
      <w:bookmarkEnd w:id="10"/>
    </w:p>
    <w:tbl>
      <w:tblPr>
        <w:tblStyle w:val="24"/>
        <w:tblW w:w="91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529"/>
        <w:gridCol w:w="862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生态环境现状</w:t>
            </w:r>
          </w:p>
        </w:tc>
        <w:tc>
          <w:tcPr>
            <w:tcW w:w="8253" w:type="dxa"/>
            <w:tcBorders>
              <w:top w:val="single" w:color="auto" w:sz="4" w:space="0"/>
              <w:right w:val="single" w:color="auto" w:sz="4" w:space="0"/>
            </w:tcBorders>
            <w:vAlign w:val="center"/>
          </w:tcPr>
          <w:p>
            <w:pPr>
              <w:adjustRightInd w:val="0"/>
              <w:snapToGrid w:val="0"/>
              <w:spacing w:line="360" w:lineRule="auto"/>
              <w:ind w:firstLine="482" w:firstLineChars="200"/>
              <w:rPr>
                <w:rFonts w:hint="default" w:ascii="Times New Roman" w:hAnsi="Times New Roman" w:cs="Times New Roman"/>
                <w:b/>
                <w:bCs/>
                <w:snapToGrid w:val="0"/>
                <w:color w:val="000000" w:themeColor="text1"/>
                <w:kern w:val="0"/>
                <w:sz w:val="24"/>
                <w:szCs w:val="22"/>
                <w14:textFill>
                  <w14:solidFill>
                    <w14:schemeClr w14:val="tx1"/>
                  </w14:solidFill>
                </w14:textFill>
              </w:rPr>
            </w:pPr>
            <w:r>
              <w:rPr>
                <w:rFonts w:hint="default" w:ascii="Times New Roman" w:hAnsi="Times New Roman" w:cs="Times New Roman"/>
                <w:b/>
                <w:bCs/>
                <w:snapToGrid w:val="0"/>
                <w:color w:val="000000" w:themeColor="text1"/>
                <w:kern w:val="0"/>
                <w:sz w:val="24"/>
                <w:szCs w:val="22"/>
                <w14:textFill>
                  <w14:solidFill>
                    <w14:schemeClr w14:val="tx1"/>
                  </w14:solidFill>
                </w14:textFill>
              </w:rPr>
              <w:t>1、环境空气质量现状</w:t>
            </w:r>
          </w:p>
          <w:p>
            <w:pPr>
              <w:adjustRightInd w:val="0"/>
              <w:snapToGrid w:val="0"/>
              <w:spacing w:line="360" w:lineRule="auto"/>
              <w:ind w:firstLine="480" w:firstLineChars="200"/>
              <w:rPr>
                <w:rFonts w:hint="default" w:ascii="Times New Roman" w:hAnsi="Times New Roman" w:cs="Times New Roman"/>
                <w:color w:val="000000" w:themeColor="text1"/>
                <w:kern w:val="0"/>
                <w:sz w:val="24"/>
                <w:szCs w:val="21"/>
                <w14:textFill>
                  <w14:solidFill>
                    <w14:schemeClr w14:val="tx1"/>
                  </w14:solidFill>
                </w14:textFill>
              </w:rPr>
            </w:pPr>
            <w:r>
              <w:rPr>
                <w:rFonts w:hint="default" w:ascii="Times New Roman" w:hAnsi="Times New Roman" w:cs="Times New Roman"/>
                <w:color w:val="000000" w:themeColor="text1"/>
                <w:kern w:val="0"/>
                <w:sz w:val="24"/>
                <w:szCs w:val="21"/>
                <w14:textFill>
                  <w14:solidFill>
                    <w14:schemeClr w14:val="tx1"/>
                  </w14:solidFill>
                </w14:textFill>
              </w:rPr>
              <w:t>（1）区域环境达标情况</w:t>
            </w:r>
          </w:p>
          <w:p>
            <w:pPr>
              <w:pStyle w:val="52"/>
              <w:snapToGrid w:val="0"/>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本项目位于吴忠市同心县，项目区域环境空气质量现状数据引用《2022年1~12月宁夏5市及宁东城市环境空气质量状况》中吴忠市环境空气质量监测数据进行评价。项目所在区域环境空气质量达标情况见表3-1。</w:t>
            </w:r>
          </w:p>
          <w:p>
            <w:pPr>
              <w:pStyle w:val="22"/>
              <w:widowControl w:val="0"/>
              <w:adjustRightInd w:val="0"/>
              <w:spacing w:before="0" w:after="0" w:line="240" w:lineRule="auto"/>
              <w:ind w:right="0" w:firstLine="0" w:firstLineChars="0"/>
              <w:jc w:val="center"/>
              <w:rPr>
                <w:rFonts w:hint="default" w:ascii="Times New Roman" w:hAnsi="Times New Roman" w:cs="Times New Roman"/>
                <w:b/>
                <w:bCs/>
                <w:color w:val="000000" w:themeColor="text1"/>
                <w:szCs w:val="21"/>
                <w:vertAlign w:val="superscript"/>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表3-1区域环境空气质量现状单位：ug/m</w:t>
            </w:r>
            <w:r>
              <w:rPr>
                <w:rFonts w:hint="default" w:ascii="Times New Roman" w:hAnsi="Times New Roman" w:cs="Times New Roman"/>
                <w:b/>
                <w:bCs/>
                <w:color w:val="000000" w:themeColor="text1"/>
                <w:szCs w:val="21"/>
                <w:vertAlign w:val="superscript"/>
                <w14:textFill>
                  <w14:solidFill>
                    <w14:schemeClr w14:val="tx1"/>
                  </w14:solidFill>
                </w14:textFill>
              </w:rPr>
              <w:t>3</w:t>
            </w:r>
          </w:p>
          <w:tbl>
            <w:tblPr>
              <w:tblStyle w:val="24"/>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48"/>
              <w:gridCol w:w="1364"/>
              <w:gridCol w:w="984"/>
              <w:gridCol w:w="1053"/>
              <w:gridCol w:w="649"/>
              <w:gridCol w:w="649"/>
              <w:gridCol w:w="655"/>
              <w:gridCol w:w="748"/>
              <w:gridCol w:w="125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23" w:type="pct"/>
                  <w:vMerge w:val="restar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城市</w:t>
                  </w:r>
                </w:p>
              </w:tc>
              <w:tc>
                <w:tcPr>
                  <w:tcW w:w="810" w:type="pct"/>
                  <w:vMerge w:val="restar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吴忠市</w:t>
                  </w:r>
                </w:p>
              </w:tc>
              <w:tc>
                <w:tcPr>
                  <w:tcW w:w="2816" w:type="pct"/>
                  <w:gridSpan w:val="6"/>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主要监测项目平均浓度</w:t>
                  </w:r>
                </w:p>
              </w:tc>
              <w:tc>
                <w:tcPr>
                  <w:tcW w:w="748" w:type="pct"/>
                  <w:vMerge w:val="restar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主要污染物</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623" w:type="pct"/>
                  <w:vMerge w:val="continue"/>
                  <w:vAlign w:val="center"/>
                </w:tcPr>
                <w:p>
                  <w:pPr>
                    <w:pStyle w:val="33"/>
                    <w:spacing w:before="24" w:after="24"/>
                    <w:rPr>
                      <w:rFonts w:hint="default" w:ascii="Times New Roman" w:hAnsi="Times New Roman" w:cs="Times New Roman"/>
                      <w:b/>
                      <w:bCs/>
                      <w:sz w:val="18"/>
                    </w:rPr>
                  </w:pPr>
                </w:p>
              </w:tc>
              <w:tc>
                <w:tcPr>
                  <w:tcW w:w="810" w:type="pct"/>
                  <w:vMerge w:val="continue"/>
                  <w:vAlign w:val="center"/>
                </w:tcPr>
                <w:p>
                  <w:pPr>
                    <w:pStyle w:val="33"/>
                    <w:spacing w:before="24" w:after="24"/>
                    <w:rPr>
                      <w:rFonts w:hint="default" w:ascii="Times New Roman" w:hAnsi="Times New Roman" w:cs="Times New Roman"/>
                      <w:b/>
                      <w:bCs/>
                      <w:sz w:val="18"/>
                    </w:rPr>
                  </w:pPr>
                </w:p>
              </w:tc>
              <w:tc>
                <w:tcPr>
                  <w:tcW w:w="585"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10</w:t>
                  </w:r>
                </w:p>
              </w:tc>
              <w:tc>
                <w:tcPr>
                  <w:tcW w:w="626"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2.5</w:t>
                  </w:r>
                </w:p>
              </w:tc>
              <w:tc>
                <w:tcPr>
                  <w:tcW w:w="386"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SO</w:t>
                  </w:r>
                  <w:r>
                    <w:rPr>
                      <w:rFonts w:hint="default" w:ascii="Times New Roman" w:hAnsi="Times New Roman" w:cs="Times New Roman"/>
                      <w:b/>
                      <w:bCs/>
                      <w:sz w:val="18"/>
                      <w:vertAlign w:val="subscript"/>
                    </w:rPr>
                    <w:t>2</w:t>
                  </w:r>
                </w:p>
              </w:tc>
              <w:tc>
                <w:tcPr>
                  <w:tcW w:w="386"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NO</w:t>
                  </w:r>
                  <w:r>
                    <w:rPr>
                      <w:rFonts w:hint="default" w:ascii="Times New Roman" w:hAnsi="Times New Roman" w:cs="Times New Roman"/>
                      <w:b/>
                      <w:bCs/>
                      <w:sz w:val="18"/>
                      <w:vertAlign w:val="subscript"/>
                    </w:rPr>
                    <w:t>2</w:t>
                  </w:r>
                </w:p>
              </w:tc>
              <w:tc>
                <w:tcPr>
                  <w:tcW w:w="389"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CO</w:t>
                  </w:r>
                </w:p>
              </w:tc>
              <w:tc>
                <w:tcPr>
                  <w:tcW w:w="442"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O</w:t>
                  </w:r>
                  <w:r>
                    <w:rPr>
                      <w:rFonts w:hint="default" w:ascii="Times New Roman" w:hAnsi="Times New Roman" w:cs="Times New Roman"/>
                      <w:b/>
                      <w:bCs/>
                      <w:sz w:val="18"/>
                      <w:vertAlign w:val="subscript"/>
                    </w:rPr>
                    <w:t>3-8H</w:t>
                  </w:r>
                </w:p>
              </w:tc>
              <w:tc>
                <w:tcPr>
                  <w:tcW w:w="748" w:type="pct"/>
                  <w:vMerge w:val="continue"/>
                  <w:vAlign w:val="center"/>
                </w:tcPr>
                <w:p>
                  <w:pPr>
                    <w:pStyle w:val="33"/>
                    <w:spacing w:before="24" w:after="24"/>
                    <w:rPr>
                      <w:rFonts w:hint="default" w:ascii="Times New Roman" w:hAnsi="Times New Roman" w:cs="Times New Roman"/>
                      <w:b/>
                      <w:bCs/>
                      <w:sz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1月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120</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83</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20</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39</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2.2</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77</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2月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70</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37</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17</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23</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1.1</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88</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3月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148</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44</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15</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24</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1.0</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109</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4月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130</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47</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11</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20</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0.7</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116</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5月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96</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30</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11</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18</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0.6</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165</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O</w:t>
                  </w:r>
                  <w:r>
                    <w:rPr>
                      <w:rFonts w:hint="default" w:ascii="Times New Roman" w:hAnsi="Times New Roman" w:cs="Times New Roman"/>
                      <w:b/>
                      <w:bCs/>
                      <w:sz w:val="18"/>
                      <w:vertAlign w:val="sub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6月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57</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20</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10</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18</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0.5</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163</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O</w:t>
                  </w:r>
                  <w:r>
                    <w:rPr>
                      <w:rFonts w:hint="default" w:ascii="Times New Roman" w:hAnsi="Times New Roman" w:cs="Times New Roman"/>
                      <w:b/>
                      <w:bCs/>
                      <w:sz w:val="18"/>
                      <w:vertAlign w:val="sub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7月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55</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18</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9</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14</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0.6</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173</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O</w:t>
                  </w:r>
                  <w:r>
                    <w:rPr>
                      <w:rFonts w:hint="default" w:ascii="Times New Roman" w:hAnsi="Times New Roman" w:cs="Times New Roman"/>
                      <w:b/>
                      <w:bCs/>
                      <w:sz w:val="18"/>
                      <w:vertAlign w:val="sub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8月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41</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18</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7</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16</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0.7</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163</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O</w:t>
                  </w:r>
                  <w:r>
                    <w:rPr>
                      <w:rFonts w:hint="default" w:ascii="Times New Roman" w:hAnsi="Times New Roman" w:cs="Times New Roman"/>
                      <w:b/>
                      <w:bCs/>
                      <w:sz w:val="18"/>
                      <w:vertAlign w:val="sub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9月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49</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19</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8</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24</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0.7</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154</w:t>
                  </w:r>
                </w:p>
              </w:tc>
              <w:tc>
                <w:tcPr>
                  <w:tcW w:w="748"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b/>
                      <w:bCs/>
                      <w:sz w:val="18"/>
                    </w:rPr>
                    <w:t>O</w:t>
                  </w:r>
                  <w:r>
                    <w:rPr>
                      <w:rFonts w:hint="default" w:ascii="Times New Roman" w:hAnsi="Times New Roman" w:cs="Times New Roman"/>
                      <w:b/>
                      <w:bCs/>
                      <w:sz w:val="18"/>
                      <w:vertAlign w:val="sub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10月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74</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33</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12</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25</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0.9</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111</w:t>
                  </w:r>
                </w:p>
              </w:tc>
              <w:tc>
                <w:tcPr>
                  <w:tcW w:w="748"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10</w:t>
                  </w:r>
                  <w:r>
                    <w:rPr>
                      <w:rFonts w:hint="default" w:ascii="Times New Roman" w:hAnsi="Times New Roman" w:cs="Times New Roman"/>
                      <w:b/>
                      <w:bCs/>
                      <w:sz w:val="18"/>
                    </w:rPr>
                    <w:t>、O</w:t>
                  </w:r>
                  <w:r>
                    <w:rPr>
                      <w:rFonts w:hint="default" w:ascii="Times New Roman" w:hAnsi="Times New Roman" w:cs="Times New Roman"/>
                      <w:b/>
                      <w:bCs/>
                      <w:sz w:val="18"/>
                      <w:vertAlign w:val="sub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11月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96</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41</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16</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31</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1.0</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85</w:t>
                  </w:r>
                </w:p>
              </w:tc>
              <w:tc>
                <w:tcPr>
                  <w:tcW w:w="748"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12月</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109</w:t>
                  </w:r>
                </w:p>
              </w:tc>
              <w:tc>
                <w:tcPr>
                  <w:tcW w:w="62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41</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18</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27</w:t>
                  </w:r>
                </w:p>
              </w:tc>
              <w:tc>
                <w:tcPr>
                  <w:tcW w:w="389"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1.4</w:t>
                  </w:r>
                </w:p>
              </w:tc>
              <w:tc>
                <w:tcPr>
                  <w:tcW w:w="442"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rPr>
                    <w:t>79</w:t>
                  </w:r>
                </w:p>
              </w:tc>
              <w:tc>
                <w:tcPr>
                  <w:tcW w:w="748" w:type="pct"/>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PM</w:t>
                  </w:r>
                  <w:r>
                    <w:rPr>
                      <w:rFonts w:hint="default" w:ascii="Times New Roman" w:hAnsi="Times New Roman" w:cs="Times New Roman"/>
                      <w:b/>
                      <w:bCs/>
                      <w:sz w:val="18"/>
                      <w:vertAlign w:val="subscript"/>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434" w:type="pct"/>
                  <w:gridSpan w:val="2"/>
                  <w:vAlign w:val="center"/>
                </w:tcPr>
                <w:p>
                  <w:pPr>
                    <w:pStyle w:val="33"/>
                    <w:spacing w:before="24" w:after="24"/>
                    <w:rPr>
                      <w:rFonts w:hint="default" w:ascii="Times New Roman" w:hAnsi="Times New Roman" w:cs="Times New Roman"/>
                      <w:b/>
                      <w:bCs/>
                      <w:sz w:val="18"/>
                    </w:rPr>
                  </w:pPr>
                  <w:r>
                    <w:rPr>
                      <w:rFonts w:hint="default" w:ascii="Times New Roman" w:hAnsi="Times New Roman" w:cs="Times New Roman"/>
                      <w:b/>
                      <w:bCs/>
                      <w:sz w:val="18"/>
                    </w:rPr>
                    <w:t>年平均浓度</w:t>
                  </w:r>
                </w:p>
              </w:tc>
              <w:tc>
                <w:tcPr>
                  <w:tcW w:w="585"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szCs w:val="22"/>
                      <w:lang w:bidi="ar"/>
                    </w:rPr>
                    <w:t>87.08</w:t>
                  </w:r>
                </w:p>
              </w:tc>
              <w:tc>
                <w:tcPr>
                  <w:tcW w:w="626" w:type="pct"/>
                  <w:vAlign w:val="center"/>
                </w:tcPr>
                <w:p>
                  <w:pPr>
                    <w:widowControl/>
                    <w:jc w:val="center"/>
                    <w:textAlignment w:val="center"/>
                    <w:rPr>
                      <w:rFonts w:hint="default" w:ascii="Times New Roman" w:hAnsi="Times New Roman" w:cs="Times New Roman"/>
                      <w:kern w:val="0"/>
                      <w:sz w:val="18"/>
                      <w:szCs w:val="22"/>
                      <w:lang w:bidi="ar"/>
                    </w:rPr>
                  </w:pPr>
                  <w:r>
                    <w:rPr>
                      <w:rFonts w:hint="default" w:ascii="Times New Roman" w:hAnsi="Times New Roman" w:cs="Times New Roman"/>
                      <w:kern w:val="0"/>
                      <w:sz w:val="18"/>
                      <w:szCs w:val="22"/>
                      <w:lang w:bidi="ar"/>
                    </w:rPr>
                    <w:t>35.92</w:t>
                  </w:r>
                </w:p>
              </w:tc>
              <w:tc>
                <w:tcPr>
                  <w:tcW w:w="386" w:type="pct"/>
                  <w:vAlign w:val="center"/>
                </w:tcPr>
                <w:p>
                  <w:pPr>
                    <w:widowControl/>
                    <w:jc w:val="center"/>
                    <w:textAlignment w:val="center"/>
                    <w:rPr>
                      <w:rFonts w:hint="default" w:ascii="Times New Roman" w:hAnsi="Times New Roman" w:cs="Times New Roman"/>
                      <w:kern w:val="0"/>
                      <w:sz w:val="18"/>
                      <w:szCs w:val="22"/>
                      <w:lang w:bidi="ar"/>
                    </w:rPr>
                  </w:pPr>
                  <w:r>
                    <w:rPr>
                      <w:rFonts w:hint="default" w:ascii="Times New Roman" w:hAnsi="Times New Roman" w:cs="Times New Roman"/>
                      <w:kern w:val="0"/>
                      <w:sz w:val="18"/>
                      <w:szCs w:val="22"/>
                      <w:lang w:bidi="ar"/>
                    </w:rPr>
                    <w:t>12.83</w:t>
                  </w:r>
                </w:p>
              </w:tc>
              <w:tc>
                <w:tcPr>
                  <w:tcW w:w="386" w:type="pct"/>
                  <w:vAlign w:val="center"/>
                </w:tcPr>
                <w:p>
                  <w:pPr>
                    <w:pStyle w:val="33"/>
                    <w:spacing w:before="24" w:after="24"/>
                    <w:rPr>
                      <w:rFonts w:hint="default" w:ascii="Times New Roman" w:hAnsi="Times New Roman" w:cs="Times New Roman"/>
                      <w:sz w:val="18"/>
                    </w:rPr>
                  </w:pPr>
                  <w:r>
                    <w:rPr>
                      <w:rFonts w:hint="default" w:ascii="Times New Roman" w:hAnsi="Times New Roman" w:cs="Times New Roman"/>
                      <w:sz w:val="18"/>
                      <w:szCs w:val="22"/>
                      <w:lang w:bidi="ar"/>
                    </w:rPr>
                    <w:t>23.25</w:t>
                  </w:r>
                </w:p>
              </w:tc>
              <w:tc>
                <w:tcPr>
                  <w:tcW w:w="389" w:type="pct"/>
                  <w:vAlign w:val="center"/>
                </w:tcPr>
                <w:p>
                  <w:pPr>
                    <w:widowControl/>
                    <w:jc w:val="center"/>
                    <w:textAlignment w:val="center"/>
                    <w:rPr>
                      <w:rFonts w:hint="default" w:ascii="Times New Roman" w:hAnsi="Times New Roman" w:cs="Times New Roman"/>
                      <w:kern w:val="0"/>
                      <w:sz w:val="18"/>
                      <w:szCs w:val="22"/>
                      <w:lang w:bidi="ar"/>
                    </w:rPr>
                  </w:pPr>
                  <w:r>
                    <w:rPr>
                      <w:rFonts w:hint="default" w:ascii="Times New Roman" w:hAnsi="Times New Roman" w:cs="Times New Roman"/>
                      <w:kern w:val="0"/>
                      <w:sz w:val="18"/>
                      <w:szCs w:val="22"/>
                      <w:lang w:bidi="ar"/>
                    </w:rPr>
                    <w:t>0.95</w:t>
                  </w:r>
                </w:p>
              </w:tc>
              <w:tc>
                <w:tcPr>
                  <w:tcW w:w="442" w:type="pct"/>
                  <w:vAlign w:val="center"/>
                </w:tcPr>
                <w:p>
                  <w:pPr>
                    <w:widowControl/>
                    <w:jc w:val="center"/>
                    <w:textAlignment w:val="center"/>
                    <w:rPr>
                      <w:rFonts w:hint="default" w:ascii="Times New Roman" w:hAnsi="Times New Roman" w:cs="Times New Roman"/>
                      <w:kern w:val="0"/>
                      <w:sz w:val="18"/>
                      <w:szCs w:val="22"/>
                      <w:lang w:bidi="ar"/>
                    </w:rPr>
                  </w:pPr>
                  <w:r>
                    <w:rPr>
                      <w:rFonts w:hint="default" w:ascii="Times New Roman" w:hAnsi="Times New Roman" w:cs="Times New Roman"/>
                      <w:kern w:val="0"/>
                      <w:sz w:val="18"/>
                      <w:szCs w:val="22"/>
                      <w:lang w:bidi="ar"/>
                    </w:rPr>
                    <w:t>123.58</w:t>
                  </w:r>
                </w:p>
              </w:tc>
              <w:tc>
                <w:tcPr>
                  <w:tcW w:w="748" w:type="pct"/>
                  <w:vAlign w:val="center"/>
                </w:tcPr>
                <w:p>
                  <w:pPr>
                    <w:widowControl/>
                    <w:jc w:val="center"/>
                    <w:textAlignment w:val="center"/>
                    <w:rPr>
                      <w:rFonts w:hint="default" w:ascii="Times New Roman" w:hAnsi="Times New Roman" w:cs="Times New Roman"/>
                      <w:kern w:val="0"/>
                      <w:sz w:val="18"/>
                      <w:szCs w:val="22"/>
                      <w:lang w:bidi="ar"/>
                    </w:rPr>
                  </w:pPr>
                </w:p>
              </w:tc>
            </w:tr>
          </w:tbl>
          <w:p>
            <w:pPr>
              <w:pStyle w:val="15"/>
              <w:rPr>
                <w:rFonts w:hint="default" w:ascii="Times New Roman" w:hAnsi="Times New Roman" w:cs="Times New Roman"/>
                <w:b/>
                <w:bCs/>
                <w:color w:val="000000" w:themeColor="text1"/>
                <w:szCs w:val="21"/>
                <w:vertAlign w:val="superscript"/>
                <w14:textFill>
                  <w14:solidFill>
                    <w14:schemeClr w14:val="tx1"/>
                  </w14:solidFill>
                </w14:textFill>
              </w:rPr>
            </w:pP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由上表得，2022年吴忠市环境空气质量状况整体较好，环境空气质量除PM</w:t>
            </w:r>
            <w:r>
              <w:rPr>
                <w:rFonts w:hint="default" w:ascii="Times New Roman" w:hAnsi="Times New Roman" w:cs="Times New Roman"/>
                <w:bCs/>
                <w:color w:val="000000" w:themeColor="text1"/>
                <w:sz w:val="24"/>
                <w:vertAlign w:val="subscript"/>
                <w14:textFill>
                  <w14:solidFill>
                    <w14:schemeClr w14:val="tx1"/>
                  </w14:solidFill>
                </w14:textFill>
              </w:rPr>
              <w:t>2.5</w:t>
            </w:r>
            <w:r>
              <w:rPr>
                <w:rFonts w:hint="default" w:ascii="Times New Roman" w:hAnsi="Times New Roman" w:cs="Times New Roman"/>
                <w:bCs/>
                <w:color w:val="000000" w:themeColor="text1"/>
                <w:sz w:val="24"/>
                <w14:textFill>
                  <w14:solidFill>
                    <w14:schemeClr w14:val="tx1"/>
                  </w14:solidFill>
                </w14:textFill>
              </w:rPr>
              <w:t>、PM</w:t>
            </w:r>
            <w:r>
              <w:rPr>
                <w:rFonts w:hint="default" w:ascii="Times New Roman" w:hAnsi="Times New Roman" w:cs="Times New Roman"/>
                <w:bCs/>
                <w:color w:val="000000" w:themeColor="text1"/>
                <w:sz w:val="24"/>
                <w:vertAlign w:val="subscript"/>
                <w14:textFill>
                  <w14:solidFill>
                    <w14:schemeClr w14:val="tx1"/>
                  </w14:solidFill>
                </w14:textFill>
              </w:rPr>
              <w:t>10</w:t>
            </w:r>
            <w:r>
              <w:rPr>
                <w:rFonts w:hint="default" w:ascii="Times New Roman" w:hAnsi="Times New Roman" w:cs="Times New Roman"/>
                <w:bCs/>
                <w:color w:val="000000" w:themeColor="text1"/>
                <w:sz w:val="24"/>
                <w14:textFill>
                  <w14:solidFill>
                    <w14:schemeClr w14:val="tx1"/>
                  </w14:solidFill>
                </w14:textFill>
              </w:rPr>
              <w:t>监测指标年平均浓度可满足《环境空气质量标准》（GB3095-2012）及2018年修改单中二级标准要求。按照《环境影响评价技术导则大气环境》（HJ2.2-2018）对项目所在区域达标判断结果可知，项目所在区域为不达标区。PM</w:t>
            </w:r>
            <w:r>
              <w:rPr>
                <w:rFonts w:hint="default" w:ascii="Times New Roman" w:hAnsi="Times New Roman" w:cs="Times New Roman"/>
                <w:bCs/>
                <w:color w:val="000000" w:themeColor="text1"/>
                <w:sz w:val="24"/>
                <w:vertAlign w:val="subscript"/>
                <w14:textFill>
                  <w14:solidFill>
                    <w14:schemeClr w14:val="tx1"/>
                  </w14:solidFill>
                </w14:textFill>
              </w:rPr>
              <w:t>2.5</w:t>
            </w:r>
            <w:r>
              <w:rPr>
                <w:rFonts w:hint="default" w:ascii="Times New Roman" w:hAnsi="Times New Roman" w:cs="Times New Roman"/>
                <w:bCs/>
                <w:color w:val="000000" w:themeColor="text1"/>
                <w:sz w:val="24"/>
                <w14:textFill>
                  <w14:solidFill>
                    <w14:schemeClr w14:val="tx1"/>
                  </w14:solidFill>
                </w14:textFill>
              </w:rPr>
              <w:t>、PM</w:t>
            </w:r>
            <w:r>
              <w:rPr>
                <w:rFonts w:hint="default" w:ascii="Times New Roman" w:hAnsi="Times New Roman" w:cs="Times New Roman"/>
                <w:bCs/>
                <w:color w:val="000000" w:themeColor="text1"/>
                <w:sz w:val="24"/>
                <w:vertAlign w:val="subscript"/>
                <w14:textFill>
                  <w14:solidFill>
                    <w14:schemeClr w14:val="tx1"/>
                  </w14:solidFill>
                </w14:textFill>
              </w:rPr>
              <w:t>10</w:t>
            </w:r>
            <w:r>
              <w:rPr>
                <w:rFonts w:hint="default" w:ascii="Times New Roman" w:hAnsi="Times New Roman" w:cs="Times New Roman"/>
                <w:bCs/>
                <w:color w:val="000000" w:themeColor="text1"/>
                <w:sz w:val="24"/>
                <w14:textFill>
                  <w14:solidFill>
                    <w14:schemeClr w14:val="tx1"/>
                  </w14:solidFill>
                </w14:textFill>
              </w:rPr>
              <w:t>超标的主要原因为当地风沙较大，且冬季取暖时段供热排放增加。</w:t>
            </w:r>
          </w:p>
          <w:p>
            <w:pPr>
              <w:pStyle w:val="2"/>
              <w:spacing w:line="360" w:lineRule="auto"/>
              <w:ind w:left="0" w:firstLine="480" w:firstLineChars="200"/>
              <w:rPr>
                <w:rFonts w:hint="default" w:ascii="Times New Roman" w:hAnsi="Times New Roman" w:cs="Times New Roman"/>
                <w:b w:val="0"/>
                <w:bCs w:val="0"/>
                <w:color w:val="000000" w:themeColor="text1"/>
                <w:sz w:val="24"/>
                <w14:textFill>
                  <w14:solidFill>
                    <w14:schemeClr w14:val="tx1"/>
                  </w14:solidFill>
                </w14:textFill>
              </w:rPr>
            </w:pPr>
            <w:r>
              <w:rPr>
                <w:rFonts w:hint="default" w:ascii="Times New Roman" w:hAnsi="Times New Roman" w:cs="Times New Roman"/>
                <w:b w:val="0"/>
                <w:color w:val="000000" w:themeColor="text1"/>
                <w:sz w:val="24"/>
                <w:szCs w:val="24"/>
                <w14:textFill>
                  <w14:solidFill>
                    <w14:schemeClr w14:val="tx1"/>
                  </w14:solidFill>
                </w14:textFill>
              </w:rPr>
              <w:t>根据《2021宁夏生态环境状况公报》中大气质量公报数据，同心县全年空气质量基本为优良，能够满足</w:t>
            </w:r>
            <w:r>
              <w:rPr>
                <w:rFonts w:hint="default" w:ascii="Times New Roman" w:hAnsi="Times New Roman" w:cs="Times New Roman"/>
                <w:b w:val="0"/>
                <w:bCs w:val="0"/>
                <w:color w:val="000000" w:themeColor="text1"/>
                <w:sz w:val="24"/>
                <w14:textFill>
                  <w14:solidFill>
                    <w14:schemeClr w14:val="tx1"/>
                  </w14:solidFill>
                </w14:textFill>
              </w:rPr>
              <w:t>《环境空气质量标准》（GB3095-2012）及2018年修改单中二级标准要求，主要污染物为PM</w:t>
            </w:r>
            <w:r>
              <w:rPr>
                <w:rFonts w:hint="default" w:ascii="Times New Roman" w:hAnsi="Times New Roman" w:cs="Times New Roman"/>
                <w:b w:val="0"/>
                <w:bCs w:val="0"/>
                <w:color w:val="000000" w:themeColor="text1"/>
                <w:sz w:val="24"/>
                <w:vertAlign w:val="subscript"/>
                <w14:textFill>
                  <w14:solidFill>
                    <w14:schemeClr w14:val="tx1"/>
                  </w14:solidFill>
                </w14:textFill>
              </w:rPr>
              <w:t>10</w:t>
            </w:r>
            <w:r>
              <w:rPr>
                <w:rFonts w:hint="default" w:ascii="Times New Roman" w:hAnsi="Times New Roman" w:cs="Times New Roman"/>
                <w:b w:val="0"/>
                <w:bCs w:val="0"/>
                <w:color w:val="000000" w:themeColor="text1"/>
                <w:sz w:val="24"/>
                <w14:textFill>
                  <w14:solidFill>
                    <w14:schemeClr w14:val="tx1"/>
                  </w14:solidFill>
                </w14:textFill>
              </w:rPr>
              <w:t>，PM</w:t>
            </w:r>
            <w:r>
              <w:rPr>
                <w:rFonts w:hint="default" w:ascii="Times New Roman" w:hAnsi="Times New Roman" w:cs="Times New Roman"/>
                <w:b w:val="0"/>
                <w:bCs w:val="0"/>
                <w:color w:val="000000" w:themeColor="text1"/>
                <w:sz w:val="24"/>
                <w:vertAlign w:val="subscript"/>
                <w14:textFill>
                  <w14:solidFill>
                    <w14:schemeClr w14:val="tx1"/>
                  </w14:solidFill>
                </w14:textFill>
              </w:rPr>
              <w:t>10</w:t>
            </w:r>
            <w:r>
              <w:rPr>
                <w:rFonts w:hint="default" w:ascii="Times New Roman" w:hAnsi="Times New Roman" w:cs="Times New Roman"/>
                <w:b w:val="0"/>
                <w:bCs w:val="0"/>
                <w:color w:val="000000" w:themeColor="text1"/>
                <w:sz w:val="24"/>
                <w14:textFill>
                  <w14:solidFill>
                    <w14:schemeClr w14:val="tx1"/>
                  </w14:solidFill>
                </w14:textFill>
              </w:rPr>
              <w:t>超标的主要原因为当地风沙较大，且冬季取暖时段供热排放增加。主要数据见图10。</w:t>
            </w:r>
          </w:p>
          <w:p>
            <w:pPr>
              <w:rPr>
                <w:rFonts w:hint="default" w:ascii="Times New Roman" w:hAnsi="Times New Roman" w:cs="Times New Roman"/>
              </w:rPr>
            </w:pPr>
            <w:r>
              <w:rPr>
                <w:rFonts w:hint="default" w:ascii="Times New Roman" w:hAnsi="Times New Roman" w:cs="Times New Roman"/>
              </w:rPr>
              <w:drawing>
                <wp:inline distT="0" distB="0" distL="114300" distR="114300">
                  <wp:extent cx="5295900" cy="2762250"/>
                  <wp:effectExtent l="0" t="0" r="0" b="0"/>
                  <wp:docPr id="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pic:cNvPicPr>
                            <a:picLocks noChangeAspect="1"/>
                          </pic:cNvPicPr>
                        </pic:nvPicPr>
                        <pic:blipFill>
                          <a:blip r:embed="rId20"/>
                          <a:stretch>
                            <a:fillRect/>
                          </a:stretch>
                        </pic:blipFill>
                        <pic:spPr>
                          <a:xfrm>
                            <a:off x="0" y="0"/>
                            <a:ext cx="5295900" cy="2762250"/>
                          </a:xfrm>
                          <a:prstGeom prst="rect">
                            <a:avLst/>
                          </a:prstGeom>
                          <a:noFill/>
                          <a:ln>
                            <a:noFill/>
                          </a:ln>
                        </pic:spPr>
                      </pic:pic>
                    </a:graphicData>
                  </a:graphic>
                </wp:inline>
              </w:drawing>
            </w:r>
          </w:p>
          <w:p>
            <w:pPr>
              <w:pStyle w:val="2"/>
              <w:jc w:val="center"/>
              <w:rPr>
                <w:rFonts w:hint="default" w:ascii="Times New Roman" w:hAnsi="Times New Roman" w:cs="Times New Roman"/>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14:textFill>
                  <w14:solidFill>
                    <w14:schemeClr w14:val="tx1"/>
                  </w14:solidFill>
                </w14:textFill>
              </w:rPr>
              <w:t>图102021年14个县区环境空气质量分布情况</w:t>
            </w:r>
          </w:p>
          <w:p>
            <w:pPr>
              <w:adjustRightInd w:val="0"/>
              <w:snapToGrid w:val="0"/>
              <w:spacing w:line="360" w:lineRule="auto"/>
              <w:ind w:firstLine="482" w:firstLineChars="200"/>
              <w:rPr>
                <w:rFonts w:hint="default" w:ascii="Times New Roman" w:hAnsi="Times New Roman" w:cs="Times New Roman"/>
                <w:b/>
                <w:bCs/>
                <w:snapToGrid w:val="0"/>
                <w:color w:val="000000" w:themeColor="text1"/>
                <w:kern w:val="0"/>
                <w:sz w:val="24"/>
                <w:szCs w:val="22"/>
                <w14:textFill>
                  <w14:solidFill>
                    <w14:schemeClr w14:val="tx1"/>
                  </w14:solidFill>
                </w14:textFill>
              </w:rPr>
            </w:pPr>
            <w:r>
              <w:rPr>
                <w:rFonts w:hint="default" w:ascii="Times New Roman" w:hAnsi="Times New Roman" w:cs="Times New Roman"/>
                <w:b/>
                <w:bCs/>
                <w:snapToGrid w:val="0"/>
                <w:color w:val="000000" w:themeColor="text1"/>
                <w:kern w:val="0"/>
                <w:sz w:val="24"/>
                <w:szCs w:val="22"/>
                <w14:textFill>
                  <w14:solidFill>
                    <w14:schemeClr w14:val="tx1"/>
                  </w14:solidFill>
                </w14:textFill>
              </w:rPr>
              <w:t>2、地表水环境</w:t>
            </w:r>
          </w:p>
          <w:p>
            <w:pPr>
              <w:adjustRightInd w:val="0"/>
              <w:snapToGrid w:val="0"/>
              <w:spacing w:line="360" w:lineRule="auto"/>
              <w:ind w:firstLine="480" w:firstLineChars="200"/>
              <w:rPr>
                <w:rFonts w:hint="default" w:ascii="Times New Roman" w:hAnsi="Times New Roman" w:cs="Times New Roman"/>
                <w:b/>
                <w:bCs/>
                <w:snapToGrid w:val="0"/>
                <w:color w:val="000000" w:themeColor="text1"/>
                <w:kern w:val="0"/>
                <w:sz w:val="24"/>
                <w14:textFill>
                  <w14:solidFill>
                    <w14:schemeClr w14:val="tx1"/>
                  </w14:solidFill>
                </w14:textFill>
              </w:rPr>
            </w:pPr>
            <w:r>
              <w:rPr>
                <w:rFonts w:hint="default" w:ascii="Times New Roman" w:hAnsi="Times New Roman" w:cs="Times New Roman"/>
                <w:color w:val="000000" w:themeColor="text1"/>
                <w:sz w:val="24"/>
                <w:lang w:bidi="en-US"/>
                <w14:textFill>
                  <w14:solidFill>
                    <w14:schemeClr w14:val="tx1"/>
                  </w14:solidFill>
                </w14:textFill>
              </w:rPr>
              <w:t>本项目为防洪除涝工程，施工期和运营期均无废水排放到外环境，本次评价仅对项目区域的地表水环境进行简单介绍。项目东侧600m的固海七干渠，主要为灌溉用水。项目区东侧5800m有清水河流过，根据宁夏生态环境厅2023</w:t>
            </w:r>
            <w:r>
              <w:rPr>
                <w:rFonts w:hint="eastAsia" w:cs="Times New Roman"/>
                <w:color w:val="000000" w:themeColor="text1"/>
                <w:sz w:val="24"/>
                <w:lang w:val="en-US" w:eastAsia="zh-CN" w:bidi="en-US"/>
                <w14:textFill>
                  <w14:solidFill>
                    <w14:schemeClr w14:val="tx1"/>
                  </w14:solidFill>
                </w14:textFill>
              </w:rPr>
              <w:t>-</w:t>
            </w:r>
            <w:r>
              <w:rPr>
                <w:rFonts w:hint="default" w:ascii="Times New Roman" w:hAnsi="Times New Roman" w:cs="Times New Roman"/>
                <w:color w:val="000000" w:themeColor="text1"/>
                <w:sz w:val="24"/>
                <w:lang w:bidi="en-US"/>
                <w14:textFill>
                  <w14:solidFill>
                    <w14:schemeClr w14:val="tx1"/>
                  </w14:solidFill>
                </w14:textFill>
              </w:rPr>
              <w:t>02-06公布《2022年12月宁夏回族自治区地表水环境质量状况月报》清水河水质总体为中度污染。监测的6个断面中，三营市界断面为Ⅱ类水质，泉眼山入黄口断面为Ⅳ类水质，石炭沟桥市界断面为劣Ⅴ类水质，二十里铺（上游源头）、东至河入清水河和王团市界断面因施工、断流等原因未监测。</w:t>
            </w:r>
          </w:p>
          <w:p>
            <w:pPr>
              <w:adjustRightInd w:val="0"/>
              <w:snapToGrid w:val="0"/>
              <w:spacing w:line="360" w:lineRule="auto"/>
              <w:ind w:firstLine="482" w:firstLineChars="200"/>
              <w:rPr>
                <w:rFonts w:hint="default" w:ascii="Times New Roman" w:hAnsi="Times New Roman" w:cs="Times New Roman"/>
                <w:b/>
                <w:bCs/>
                <w:snapToGrid w:val="0"/>
                <w:color w:val="000000" w:themeColor="text1"/>
                <w:kern w:val="0"/>
                <w:sz w:val="24"/>
                <w:szCs w:val="22"/>
                <w14:textFill>
                  <w14:solidFill>
                    <w14:schemeClr w14:val="tx1"/>
                  </w14:solidFill>
                </w14:textFill>
              </w:rPr>
            </w:pPr>
            <w:r>
              <w:rPr>
                <w:rFonts w:hint="default" w:ascii="Times New Roman" w:hAnsi="Times New Roman" w:cs="Times New Roman"/>
                <w:b/>
                <w:bCs/>
                <w:snapToGrid w:val="0"/>
                <w:color w:val="000000" w:themeColor="text1"/>
                <w:kern w:val="0"/>
                <w:sz w:val="24"/>
                <w:szCs w:val="22"/>
                <w14:textFill>
                  <w14:solidFill>
                    <w14:schemeClr w14:val="tx1"/>
                  </w14:solidFill>
                </w14:textFill>
              </w:rPr>
              <w:t>3、声环境质量</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为了解项目评价区域的声环境质量现状，由本公司对项目评价区域的声环境质量现状进行监测，本公司具有CMA资质证书。</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（1）监测点位</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根据项目区周围的环境现状，本次噪声监测共计布设</w:t>
            </w:r>
            <w:r>
              <w:rPr>
                <w:rFonts w:hint="default" w:ascii="Times New Roman" w:hAnsi="Times New Roman" w:cs="Times New Roman"/>
                <w:color w:val="0000FF"/>
                <w:kern w:val="0"/>
                <w:sz w:val="24"/>
              </w:rPr>
              <w:t>4</w:t>
            </w:r>
            <w:r>
              <w:rPr>
                <w:rFonts w:hint="default" w:ascii="Times New Roman" w:hAnsi="Times New Roman" w:cs="Times New Roman"/>
                <w:color w:val="000000" w:themeColor="text1"/>
                <w:kern w:val="0"/>
                <w:sz w:val="24"/>
                <w14:textFill>
                  <w14:solidFill>
                    <w14:schemeClr w14:val="tx1"/>
                  </w14:solidFill>
                </w14:textFill>
              </w:rPr>
              <w:t>个噪声监测点，监测布点见</w:t>
            </w:r>
            <w:r>
              <w:rPr>
                <w:rFonts w:hint="default" w:ascii="Times New Roman" w:hAnsi="Times New Roman" w:cs="Times New Roman"/>
                <w:color w:val="0000FF"/>
                <w:kern w:val="0"/>
                <w:sz w:val="24"/>
              </w:rPr>
              <w:t>附图</w:t>
            </w:r>
            <w:r>
              <w:rPr>
                <w:rFonts w:hint="default" w:ascii="Times New Roman" w:hAnsi="Times New Roman" w:cs="Times New Roman"/>
                <w:color w:val="0000FF"/>
                <w:kern w:val="0"/>
                <w:sz w:val="24"/>
                <w:lang w:val="en-US" w:eastAsia="zh-CN"/>
              </w:rPr>
              <w:t>9</w:t>
            </w:r>
            <w:r>
              <w:rPr>
                <w:rFonts w:hint="default" w:ascii="Times New Roman" w:hAnsi="Times New Roman" w:cs="Times New Roman"/>
                <w:color w:val="000000" w:themeColor="text1"/>
                <w:kern w:val="0"/>
                <w:sz w:val="24"/>
                <w14:textFill>
                  <w14:solidFill>
                    <w14:schemeClr w14:val="tx1"/>
                  </w14:solidFill>
                </w14:textFill>
              </w:rPr>
              <w:t>。</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（2）监测时间及频率</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本次监测于2023年3月1~2日进行声环境质量现状监测，连续监测2天，每天监测2次，昼夜各一次。</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（3）评价标准</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采用《声环境质量标准》（GB3096-2008）中2类标准。</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（4）监测结果统计与评价</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本项目环境噪声现状监测统计结果见表3-2。</w:t>
            </w:r>
          </w:p>
          <w:p>
            <w:pPr>
              <w:pStyle w:val="6"/>
              <w:adjustRightInd w:val="0"/>
              <w:snapToGrid w:val="0"/>
              <w:ind w:firstLine="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kern w:val="0"/>
                <w:szCs w:val="21"/>
                <w14:textFill>
                  <w14:solidFill>
                    <w14:schemeClr w14:val="tx1"/>
                  </w14:solidFill>
                </w14:textFill>
              </w:rPr>
              <w:t>表3-2环境噪声现状监测统计表</w:t>
            </w:r>
            <w:r>
              <w:rPr>
                <w:rFonts w:hint="default" w:ascii="Times New Roman" w:hAnsi="Times New Roman" w:cs="Times New Roman"/>
                <w:b/>
                <w:bCs/>
                <w:color w:val="000000" w:themeColor="text1"/>
                <w:szCs w:val="21"/>
                <w14:textFill>
                  <w14:solidFill>
                    <w14:schemeClr w14:val="tx1"/>
                  </w14:solidFill>
                </w14:textFill>
              </w:rPr>
              <w:t>单位：dB（A）</w:t>
            </w:r>
          </w:p>
          <w:tbl>
            <w:tblPr>
              <w:tblStyle w:val="25"/>
              <w:tblpPr w:leftFromText="180" w:rightFromText="180" w:vertAnchor="text" w:horzAnchor="page" w:tblpX="160" w:tblpY="266"/>
              <w:tblOverlap w:val="never"/>
              <w:tblW w:w="7938" w:type="dxa"/>
              <w:tblInd w:w="0" w:type="dxa"/>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1134"/>
              <w:gridCol w:w="1134"/>
              <w:gridCol w:w="1134"/>
              <w:gridCol w:w="1134"/>
              <w:gridCol w:w="1134"/>
              <w:gridCol w:w="1134"/>
              <w:gridCol w:w="1134"/>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vMerge w:val="restart"/>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监测点位</w:t>
                  </w:r>
                </w:p>
              </w:tc>
              <w:tc>
                <w:tcPr>
                  <w:tcW w:w="3402" w:type="dxa"/>
                  <w:gridSpan w:val="3"/>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昼间</w:t>
                  </w:r>
                </w:p>
              </w:tc>
              <w:tc>
                <w:tcPr>
                  <w:tcW w:w="3402" w:type="dxa"/>
                  <w:gridSpan w:val="3"/>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夜间</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3月1日</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评价标准</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是否达标</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3月1日</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评价标准</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是否达标</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1#</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58.3</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60</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达标</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37.6</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50</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2#</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56.8</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39.6</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3#</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56.5</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38.9</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4#</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53.6</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36.9</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color w:val="000000" w:themeColor="text1"/>
                      <w:kern w:val="0"/>
                      <w:szCs w:val="21"/>
                      <w:lang w:bidi="ar"/>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监测点位</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3月2日</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评价标准</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是否达标</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3月2日</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评价标准</w:t>
                  </w:r>
                </w:p>
              </w:tc>
              <w:tc>
                <w:tcPr>
                  <w:tcW w:w="1134" w:type="dxa"/>
                  <w:tcBorders>
                    <w:tl2br w:val="nil"/>
                    <w:tr2bl w:val="nil"/>
                  </w:tcBorders>
                  <w:vAlign w:val="center"/>
                </w:tcPr>
                <w:p>
                  <w:pPr>
                    <w:pStyle w:val="33"/>
                    <w:spacing w:before="24" w:after="24"/>
                    <w:rPr>
                      <w:rFonts w:hint="default" w:ascii="Times New Roman" w:hAnsi="Times New Roman" w:cs="Times New Roman"/>
                      <w:b/>
                      <w:color w:val="000000" w:themeColor="text1"/>
                      <w:sz w:val="21"/>
                      <w14:textFill>
                        <w14:solidFill>
                          <w14:schemeClr w14:val="tx1"/>
                        </w14:solidFill>
                      </w14:textFill>
                    </w:rPr>
                  </w:pPr>
                  <w:r>
                    <w:rPr>
                      <w:rFonts w:hint="default" w:ascii="Times New Roman" w:hAnsi="Times New Roman" w:cs="Times New Roman"/>
                      <w:b/>
                      <w:color w:val="000000" w:themeColor="text1"/>
                      <w:sz w:val="21"/>
                      <w14:textFill>
                        <w14:solidFill>
                          <w14:schemeClr w14:val="tx1"/>
                        </w14:solidFill>
                      </w14:textFill>
                    </w:rPr>
                    <w:t>是否达标</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1#</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55.8</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60</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达标</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36.4</w:t>
                  </w:r>
                </w:p>
              </w:tc>
              <w:tc>
                <w:tcPr>
                  <w:tcW w:w="1134" w:type="dxa"/>
                  <w:vMerge w:val="restart"/>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50</w:t>
                  </w:r>
                </w:p>
              </w:tc>
              <w:tc>
                <w:tcPr>
                  <w:tcW w:w="1134" w:type="dxa"/>
                  <w:vMerge w:val="restart"/>
                  <w:tcBorders>
                    <w:tl2br w:val="nil"/>
                    <w:tr2bl w:val="nil"/>
                  </w:tcBorders>
                  <w:vAlign w:val="center"/>
                </w:tcPr>
                <w:p>
                  <w:pPr>
                    <w:pStyle w:val="33"/>
                    <w:spacing w:before="24" w:after="24"/>
                    <w:rPr>
                      <w:rFonts w:hint="default" w:ascii="Times New Roman" w:hAnsi="Times New Roman" w:eastAsia="黑体"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2#</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54.9</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36.2</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eastAsia="黑体" w:cs="Times New Roman"/>
                      <w:color w:val="000000" w:themeColor="text1"/>
                      <w:sz w:val="24"/>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3#</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55.2</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37.6</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eastAsia="黑体" w:cs="Times New Roman"/>
                      <w:color w:val="000000" w:themeColor="text1"/>
                      <w:sz w:val="24"/>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tl2br w:val="nil"/>
                    <w:tr2bl w:val="nil"/>
                  </w:tcBorders>
                  <w:vAlign w:val="center"/>
                </w:tcPr>
                <w:p>
                  <w:pPr>
                    <w:widowControl/>
                    <w:jc w:val="center"/>
                    <w:textAlignment w:val="center"/>
                    <w:rPr>
                      <w:rFonts w:hint="default" w:ascii="Times New Roman" w:hAnsi="Times New Roman" w:cs="Times New Roman"/>
                      <w:bCs/>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lang w:bidi="ar"/>
                      <w14:textFill>
                        <w14:solidFill>
                          <w14:schemeClr w14:val="tx1"/>
                        </w14:solidFill>
                      </w14:textFill>
                    </w:rPr>
                    <w:t>4#</w:t>
                  </w: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54.6</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r>
                    <w:rPr>
                      <w:rFonts w:hint="default" w:ascii="Times New Roman" w:hAnsi="Times New Roman" w:cs="Times New Roman"/>
                      <w:bCs/>
                      <w:color w:val="000000" w:themeColor="text1"/>
                      <w:sz w:val="21"/>
                      <w14:textFill>
                        <w14:solidFill>
                          <w14:schemeClr w14:val="tx1"/>
                        </w14:solidFill>
                      </w14:textFill>
                    </w:rPr>
                    <w:t>36.4</w:t>
                  </w:r>
                </w:p>
              </w:tc>
              <w:tc>
                <w:tcPr>
                  <w:tcW w:w="1134" w:type="dxa"/>
                  <w:vMerge w:val="continue"/>
                  <w:tcBorders>
                    <w:tl2br w:val="nil"/>
                    <w:tr2bl w:val="nil"/>
                  </w:tcBorders>
                  <w:vAlign w:val="center"/>
                </w:tcPr>
                <w:p>
                  <w:pPr>
                    <w:pStyle w:val="33"/>
                    <w:spacing w:before="24" w:after="24"/>
                    <w:rPr>
                      <w:rFonts w:hint="default" w:ascii="Times New Roman" w:hAnsi="Times New Roman" w:cs="Times New Roman"/>
                      <w:bCs/>
                      <w:color w:val="000000" w:themeColor="text1"/>
                      <w:sz w:val="21"/>
                      <w14:textFill>
                        <w14:solidFill>
                          <w14:schemeClr w14:val="tx1"/>
                        </w14:solidFill>
                      </w14:textFill>
                    </w:rPr>
                  </w:pPr>
                </w:p>
              </w:tc>
              <w:tc>
                <w:tcPr>
                  <w:tcW w:w="1134" w:type="dxa"/>
                  <w:vMerge w:val="continue"/>
                  <w:tcBorders>
                    <w:tl2br w:val="nil"/>
                    <w:tr2bl w:val="nil"/>
                  </w:tcBorders>
                  <w:vAlign w:val="center"/>
                </w:tcPr>
                <w:p>
                  <w:pPr>
                    <w:pStyle w:val="33"/>
                    <w:spacing w:before="24" w:after="24"/>
                    <w:rPr>
                      <w:rFonts w:hint="default" w:ascii="Times New Roman" w:hAnsi="Times New Roman" w:eastAsia="黑体" w:cs="Times New Roman"/>
                      <w:color w:val="000000" w:themeColor="text1"/>
                      <w:sz w:val="24"/>
                      <w14:textFill>
                        <w14:solidFill>
                          <w14:schemeClr w14:val="tx1"/>
                        </w14:solidFill>
                      </w14:textFill>
                    </w:rPr>
                  </w:pPr>
                </w:p>
              </w:tc>
            </w:tr>
          </w:tbl>
          <w:p>
            <w:pPr>
              <w:adjustRightInd w:val="0"/>
              <w:snapToGrid w:val="0"/>
              <w:spacing w:line="360" w:lineRule="auto"/>
              <w:ind w:firstLine="480" w:firstLineChars="200"/>
              <w:rPr>
                <w:rFonts w:hint="default" w:ascii="Times New Roman" w:hAnsi="Times New Roman" w:cs="Times New Roman"/>
                <w:b/>
                <w:bCs/>
                <w:snapToGrid w:val="0"/>
                <w:color w:val="000000" w:themeColor="text1"/>
                <w:kern w:val="0"/>
                <w:sz w:val="24"/>
                <w:szCs w:val="22"/>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根据实测数据，本项目所在地边界昼间噪声值为53.6~58.3dB（A），夜间噪声值为36.2~39.6dB（A），昼夜噪声值均达到《声环境质量标准》（GB3096-2008）的2类标准要求。</w:t>
            </w:r>
          </w:p>
          <w:p>
            <w:pPr>
              <w:adjustRightInd w:val="0"/>
              <w:snapToGrid w:val="0"/>
              <w:spacing w:line="360" w:lineRule="auto"/>
              <w:ind w:firstLine="482" w:firstLineChars="200"/>
              <w:rPr>
                <w:rFonts w:hint="default" w:ascii="Times New Roman" w:hAnsi="Times New Roman" w:cs="Times New Roman"/>
                <w:b/>
                <w:bCs/>
                <w:snapToGrid w:val="0"/>
                <w:color w:val="000000" w:themeColor="text1"/>
                <w:kern w:val="0"/>
                <w:sz w:val="24"/>
                <w:szCs w:val="22"/>
                <w14:textFill>
                  <w14:solidFill>
                    <w14:schemeClr w14:val="tx1"/>
                  </w14:solidFill>
                </w14:textFill>
              </w:rPr>
            </w:pPr>
            <w:r>
              <w:rPr>
                <w:rFonts w:hint="default" w:ascii="Times New Roman" w:hAnsi="Times New Roman" w:cs="Times New Roman"/>
                <w:b/>
                <w:bCs/>
                <w:snapToGrid w:val="0"/>
                <w:color w:val="000000" w:themeColor="text1"/>
                <w:kern w:val="0"/>
                <w:sz w:val="24"/>
                <w:szCs w:val="22"/>
                <w14:textFill>
                  <w14:solidFill>
                    <w14:schemeClr w14:val="tx1"/>
                  </w14:solidFill>
                </w14:textFill>
              </w:rPr>
              <w:t>4、生态环境</w:t>
            </w:r>
          </w:p>
          <w:p>
            <w:pPr>
              <w:adjustRightInd w:val="0"/>
              <w:snapToGrid w:val="0"/>
              <w:spacing w:line="360" w:lineRule="auto"/>
              <w:ind w:firstLine="480" w:firstLineChars="200"/>
              <w:rPr>
                <w:rFonts w:hint="default" w:ascii="Times New Roman" w:hAnsi="Times New Roman" w:cs="Times New Roman"/>
                <w:b/>
                <w:bCs/>
                <w:sz w:val="24"/>
                <w:szCs w:val="20"/>
                <w:lang w:bidi="ar"/>
              </w:rPr>
            </w:pPr>
            <w:r>
              <w:rPr>
                <w:rFonts w:hint="default" w:ascii="Times New Roman" w:hAnsi="Times New Roman" w:cs="Times New Roman"/>
                <w:sz w:val="24"/>
                <w:lang w:bidi="ar"/>
              </w:rPr>
              <w:t>项目区位于《宁夏回族自治区主体功能区规划》国家重点生态功能区，属于限制开发区，本项目所在区域主体功能区规划图见</w:t>
            </w:r>
            <w:r>
              <w:rPr>
                <w:rFonts w:hint="default" w:ascii="Times New Roman" w:hAnsi="Times New Roman" w:cs="Times New Roman"/>
                <w:color w:val="00B0F0"/>
                <w:sz w:val="24"/>
                <w:lang w:bidi="ar"/>
              </w:rPr>
              <w:t>附图</w:t>
            </w:r>
            <w:r>
              <w:rPr>
                <w:rFonts w:hint="default" w:ascii="Times New Roman" w:hAnsi="Times New Roman" w:cs="Times New Roman"/>
                <w:color w:val="00B0F0"/>
                <w:sz w:val="24"/>
                <w:lang w:val="en-US" w:eastAsia="zh-CN" w:bidi="ar"/>
              </w:rPr>
              <w:t>10</w:t>
            </w:r>
            <w:r>
              <w:rPr>
                <w:rFonts w:hint="default" w:ascii="Times New Roman" w:hAnsi="Times New Roman" w:cs="Times New Roman"/>
                <w:sz w:val="24"/>
                <w:lang w:bidi="ar"/>
              </w:rPr>
              <w:t>。根据《宁夏生态功能区划》（2014.6），限制开发生态区域以修复生态、保护环境、提供生态产品为首要任务，增强水源涵养、水土保持、防风固沙、维护湿地生态等功能，提高生态产品供给的能力，因地制宜地发展资源环境可承载的适宜产业，引导超载人口逐步有序转移。限制开发区域要通过治理、限制或关闭污染物排放企业等手段，实现污染物排放总量持续下降和环境质量状况达标。重点生态功能区要按照生态功能恢复和保育原则设置产业准入环境标准；禁止开发区域要按照强制保护原则设置产业准入环境标准。限制开发区域要加大水资源保护力度，适度开发利用水资源，满足基本的生态用水需求，加强水土保持和生态环境修复与保护。加强气候变化规律的科学研究，开展气候变化对水资源、农业和生态环境等的影响评估，严格执行重大工程气象风险评估与气候可行性论证制度。提高极端天气气候事件监测预警能力，加强自然灾害的应急和防御能力建设。</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（1）土壤与植被</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a.土壤</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沿线土壤类型主要以灰钙土为主。灰钙土沙性大，水稳性团聚体少，肥力低，持水保肥性能差，分布范围十分广泛，气候类型多样，而且由于河流源头和流经地域的地质、地貌类型多种多样，沉积物质十分复杂。因而成土母质的来源深刻地制约着灰钙土的属性。本项目沿线主要苦水河流域，灰钙土覆盖较广。土壤质地一般为沙质土，垂直方向的变化很小，上下两自然层次之间，粒级分选不明显。碳酸钙含量因沉积物质来源不同而异，一般含量为12％左右，同一剖面的垂直变化很小，相邻两自然层次之间，相差不超过15％。</w:t>
            </w:r>
          </w:p>
          <w:tbl>
            <w:tblPr>
              <w:tblStyle w:val="25"/>
              <w:tblW w:w="0" w:type="auto"/>
              <w:tblInd w:w="0" w:type="dxa"/>
              <w:tblBorders>
                <w:top w:val="single" w:color="auto" w:sz="8" w:space="0"/>
                <w:left w:val="none" w:color="auto" w:sz="0" w:space="0"/>
                <w:bottom w:val="single" w:color="auto" w:sz="8"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4170"/>
              <w:gridCol w:w="4170"/>
            </w:tblGrid>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170"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color w:val="000000" w:themeColor="text1"/>
                      <w:sz w:val="21"/>
                      <w:szCs w:val="21"/>
                      <w14:textFill>
                        <w14:solidFill>
                          <w14:schemeClr w14:val="tx1"/>
                        </w14:solidFill>
                      </w14:textFill>
                    </w:rPr>
                    <w:drawing>
                      <wp:inline distT="0" distB="0" distL="0" distR="0">
                        <wp:extent cx="2490470" cy="1649730"/>
                        <wp:effectExtent l="0" t="0" r="5080" b="7620"/>
                        <wp:docPr id="11" name="image6.jpeg" descr="DSCN1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6.jpeg" descr="DSCN1823"/>
                                <pic:cNvPicPr>
                                  <a:picLocks noChangeAspect="1"/>
                                </pic:cNvPicPr>
                              </pic:nvPicPr>
                              <pic:blipFill>
                                <a:blip r:embed="rId21" cstate="print"/>
                                <a:stretch>
                                  <a:fillRect/>
                                </a:stretch>
                              </pic:blipFill>
                              <pic:spPr>
                                <a:xfrm>
                                  <a:off x="0" y="0"/>
                                  <a:ext cx="2490470" cy="1649730"/>
                                </a:xfrm>
                                <a:prstGeom prst="rect">
                                  <a:avLst/>
                                </a:prstGeom>
                              </pic:spPr>
                            </pic:pic>
                          </a:graphicData>
                        </a:graphic>
                      </wp:inline>
                    </w:drawing>
                  </w:r>
                </w:p>
              </w:tc>
              <w:tc>
                <w:tcPr>
                  <w:tcW w:w="4170"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color w:val="000000" w:themeColor="text1"/>
                      <w:sz w:val="21"/>
                      <w:szCs w:val="21"/>
                      <w14:textFill>
                        <w14:solidFill>
                          <w14:schemeClr w14:val="tx1"/>
                        </w14:solidFill>
                      </w14:textFill>
                    </w:rPr>
                    <w:drawing>
                      <wp:inline distT="0" distB="0" distL="0" distR="0">
                        <wp:extent cx="2409190" cy="1663700"/>
                        <wp:effectExtent l="0" t="0" r="10160" b="12700"/>
                        <wp:docPr id="13" name="image7.jpeg" descr="DSCN1125"/>
                        <wp:cNvGraphicFramePr/>
                        <a:graphic xmlns:a="http://schemas.openxmlformats.org/drawingml/2006/main">
                          <a:graphicData uri="http://schemas.openxmlformats.org/drawingml/2006/picture">
                            <pic:pic xmlns:pic="http://schemas.openxmlformats.org/drawingml/2006/picture">
                              <pic:nvPicPr>
                                <pic:cNvPr id="13" name="image7.jpeg" descr="DSCN1125"/>
                                <pic:cNvPicPr/>
                              </pic:nvPicPr>
                              <pic:blipFill>
                                <a:blip r:embed="rId22" cstate="print"/>
                                <a:stretch>
                                  <a:fillRect/>
                                </a:stretch>
                              </pic:blipFill>
                              <pic:spPr>
                                <a:xfrm>
                                  <a:off x="0" y="0"/>
                                  <a:ext cx="2409190" cy="1663700"/>
                                </a:xfrm>
                                <a:prstGeom prst="rect">
                                  <a:avLst/>
                                </a:prstGeom>
                              </pic:spPr>
                            </pic:pic>
                          </a:graphicData>
                        </a:graphic>
                      </wp:inline>
                    </w:drawing>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170"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sz w:val="21"/>
                      <w:szCs w:val="21"/>
                      <w:vertAlign w:val="baseline"/>
                    </w:rPr>
                    <w:t>图11灰钙土图</w:t>
                  </w:r>
                </w:p>
              </w:tc>
              <w:tc>
                <w:tcPr>
                  <w:tcW w:w="4170"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Style w:val="67"/>
                      <w:rFonts w:hint="default" w:ascii="Times New Roman" w:hAnsi="Times New Roman" w:cs="Times New Roman"/>
                      <w:b/>
                      <w:color w:val="000000" w:themeColor="text1"/>
                      <w:sz w:val="21"/>
                      <w:szCs w:val="21"/>
                      <w14:textFill>
                        <w14:solidFill>
                          <w14:schemeClr w14:val="tx1"/>
                        </w14:solidFill>
                      </w14:textFill>
                    </w:rPr>
                    <w:t>图12风沙土</w:t>
                  </w:r>
                </w:p>
              </w:tc>
            </w:tr>
          </w:tbl>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b.植被</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区植被区域属于干草原过渡小区以及宁中、宁北荒漠草原区，植被生态系统类型属于草原带沙生植被系统和人工农业生态系统。经现场踏勘，项目区域主要植被沙打旺、柠条、冰草、芨芨草、苦豆子、短花针茅油蒿等，项目区无重点保护植被但由于区内私挖滥采活动频繁，已对该区域的植被系统造成大面积的破坏，植被覆盖度小于10%，生态条件脆弱。</w:t>
            </w:r>
          </w:p>
          <w:tbl>
            <w:tblPr>
              <w:tblStyle w:val="25"/>
              <w:tblW w:w="0" w:type="auto"/>
              <w:tblInd w:w="0" w:type="dxa"/>
              <w:tblBorders>
                <w:top w:val="single" w:color="auto" w:sz="8" w:space="0"/>
                <w:left w:val="none" w:color="auto" w:sz="0" w:space="0"/>
                <w:bottom w:val="single" w:color="auto" w:sz="8"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4206"/>
              <w:gridCol w:w="4206"/>
            </w:tblGrid>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206"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color w:val="000000" w:themeColor="text1"/>
                      <w:sz w:val="20"/>
                      <w14:textFill>
                        <w14:solidFill>
                          <w14:schemeClr w14:val="tx1"/>
                        </w14:solidFill>
                      </w14:textFill>
                    </w:rPr>
                    <w:drawing>
                      <wp:inline distT="0" distB="0" distL="0" distR="0">
                        <wp:extent cx="2520315" cy="1683385"/>
                        <wp:effectExtent l="0" t="0" r="13335" b="12065"/>
                        <wp:docPr id="17" name="image9.jpeg" descr="DSCN1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9.jpeg" descr="DSCN1893"/>
                                <pic:cNvPicPr>
                                  <a:picLocks noChangeAspect="1"/>
                                </pic:cNvPicPr>
                              </pic:nvPicPr>
                              <pic:blipFill>
                                <a:blip r:embed="rId23" cstate="print"/>
                                <a:stretch>
                                  <a:fillRect/>
                                </a:stretch>
                              </pic:blipFill>
                              <pic:spPr>
                                <a:xfrm>
                                  <a:off x="0" y="0"/>
                                  <a:ext cx="2520315" cy="1683385"/>
                                </a:xfrm>
                                <a:prstGeom prst="rect">
                                  <a:avLst/>
                                </a:prstGeom>
                              </pic:spPr>
                            </pic:pic>
                          </a:graphicData>
                        </a:graphic>
                      </wp:inline>
                    </w:drawing>
                  </w:r>
                </w:p>
              </w:tc>
              <w:tc>
                <w:tcPr>
                  <w:tcW w:w="4206"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color w:val="000000" w:themeColor="text1"/>
                      <w:sz w:val="20"/>
                      <w14:textFill>
                        <w14:solidFill>
                          <w14:schemeClr w14:val="tx1"/>
                        </w14:solidFill>
                      </w14:textFill>
                    </w:rPr>
                    <w:drawing>
                      <wp:inline distT="0" distB="0" distL="0" distR="0">
                        <wp:extent cx="2520315" cy="1669415"/>
                        <wp:effectExtent l="0" t="0" r="13335" b="6985"/>
                        <wp:docPr id="19" name="image10.jpeg" descr="DSCN1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10.jpeg" descr="DSCN1779"/>
                                <pic:cNvPicPr>
                                  <a:picLocks noChangeAspect="1"/>
                                </pic:cNvPicPr>
                              </pic:nvPicPr>
                              <pic:blipFill>
                                <a:blip r:embed="rId24" cstate="print"/>
                                <a:stretch>
                                  <a:fillRect/>
                                </a:stretch>
                              </pic:blipFill>
                              <pic:spPr>
                                <a:xfrm>
                                  <a:off x="0" y="0"/>
                                  <a:ext cx="2520315" cy="1669415"/>
                                </a:xfrm>
                                <a:prstGeom prst="rect">
                                  <a:avLst/>
                                </a:prstGeom>
                              </pic:spPr>
                            </pic:pic>
                          </a:graphicData>
                        </a:graphic>
                      </wp:inline>
                    </w:drawing>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412" w:type="dxa"/>
                  <w:gridSpan w:val="2"/>
                  <w:tcBorders>
                    <w:tl2br w:val="nil"/>
                    <w:tr2bl w:val="nil"/>
                  </w:tcBorders>
                  <w:vAlign w:val="center"/>
                </w:tcPr>
                <w:p>
                  <w:pPr>
                    <w:pStyle w:val="62"/>
                    <w:rPr>
                      <w:rFonts w:hint="default" w:ascii="Times New Roman" w:hAnsi="Times New Roman" w:cs="Times New Roman"/>
                      <w:sz w:val="21"/>
                      <w:szCs w:val="21"/>
                      <w:vertAlign w:val="baseline"/>
                    </w:rPr>
                  </w:pPr>
                  <w:r>
                    <w:rPr>
                      <w:rFonts w:hint="default" w:ascii="Times New Roman" w:hAnsi="Times New Roman" w:cs="Times New Roman"/>
                      <w:color w:val="000000" w:themeColor="text1"/>
                      <w14:textFill>
                        <w14:solidFill>
                          <w14:schemeClr w14:val="tx1"/>
                        </w14:solidFill>
                      </w14:textFill>
                    </w:rPr>
                    <w:t>图13项目区周边植被</w:t>
                  </w:r>
                </w:p>
              </w:tc>
            </w:tr>
          </w:tbl>
          <w:p>
            <w:pPr>
              <w:pStyle w:val="15"/>
              <w:adjustRightInd w:val="0"/>
              <w:spacing w:line="360" w:lineRule="auto"/>
              <w:ind w:firstLine="480" w:firstLineChars="200"/>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（2）地形、地貌</w:t>
            </w:r>
          </w:p>
          <w:p>
            <w:pPr>
              <w:pStyle w:val="60"/>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项目区为黄土丘陵区，地处鄂尔多斯高原西部与黄土高原北部的过渡地带，地处清水河川地，主要由洪积、冲积地貌单元组成。清水河川地高出河床10</w:t>
            </w:r>
            <w:r>
              <w:rPr>
                <w:rFonts w:hint="eastAsia" w:cs="Times New Roman"/>
                <w:color w:val="000000" w:themeColor="text1"/>
                <w:lang w:val="en-US" w:eastAsia="zh-CN"/>
                <w14:textFill>
                  <w14:solidFill>
                    <w14:schemeClr w14:val="tx1"/>
                  </w14:solidFill>
                </w14:textFill>
              </w:rPr>
              <w:t>m</w:t>
            </w:r>
            <w:r>
              <w:rPr>
                <w:rFonts w:hint="default" w:ascii="Times New Roman" w:hAnsi="Times New Roman" w:cs="Times New Roman"/>
                <w:color w:val="000000" w:themeColor="text1"/>
                <w14:textFill>
                  <w14:solidFill>
                    <w14:schemeClr w14:val="tx1"/>
                  </w14:solidFill>
                </w14:textFill>
              </w:rPr>
              <w:t>-30m，两侧阶地微向河床倾斜。地势平坦，土层深厚，是同心县主要的粮油、蔬菜、瓜果生产基地。项目区总的地势：西高东低，由南向北倾斜。项目区地表标高在1386</w:t>
            </w:r>
            <w:r>
              <w:rPr>
                <w:rFonts w:hint="eastAsia" w:cs="Times New Roman"/>
                <w:color w:val="000000" w:themeColor="text1"/>
                <w:lang w:val="en-US" w:eastAsia="zh-CN"/>
                <w14:textFill>
                  <w14:solidFill>
                    <w14:schemeClr w14:val="tx1"/>
                  </w14:solidFill>
                </w14:textFill>
              </w:rPr>
              <w:t>m</w:t>
            </w:r>
            <w:r>
              <w:rPr>
                <w:rFonts w:hint="default" w:ascii="Times New Roman" w:hAnsi="Times New Roman" w:cs="Times New Roman"/>
                <w:color w:val="000000" w:themeColor="text1"/>
                <w14:textFill>
                  <w14:solidFill>
                    <w14:schemeClr w14:val="tx1"/>
                  </w14:solidFill>
                </w14:textFill>
              </w:rPr>
              <w:t>-1368m之间，相对高差18m，地形坡度1/200-1/800。</w:t>
            </w:r>
          </w:p>
          <w:tbl>
            <w:tblPr>
              <w:tblStyle w:val="25"/>
              <w:tblW w:w="0" w:type="auto"/>
              <w:tblInd w:w="0" w:type="dxa"/>
              <w:tblBorders>
                <w:top w:val="single" w:color="auto" w:sz="8" w:space="0"/>
                <w:left w:val="none" w:color="auto" w:sz="0" w:space="0"/>
                <w:bottom w:val="single" w:color="auto" w:sz="8"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4206"/>
              <w:gridCol w:w="4206"/>
            </w:tblGrid>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206"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color w:val="000000" w:themeColor="text1"/>
                      <w:sz w:val="20"/>
                      <w14:textFill>
                        <w14:solidFill>
                          <w14:schemeClr w14:val="tx1"/>
                        </w14:solidFill>
                      </w14:textFill>
                    </w:rPr>
                    <w:drawing>
                      <wp:inline distT="0" distB="0" distL="0" distR="0">
                        <wp:extent cx="2520315" cy="1670685"/>
                        <wp:effectExtent l="0" t="0" r="13335" b="5715"/>
                        <wp:docPr id="31" name="image2.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2.jpeg" descr="?"/>
                                <pic:cNvPicPr>
                                  <a:picLocks noChangeAspect="1"/>
                                </pic:cNvPicPr>
                              </pic:nvPicPr>
                              <pic:blipFill>
                                <a:blip r:embed="rId25" cstate="print"/>
                                <a:stretch>
                                  <a:fillRect/>
                                </a:stretch>
                              </pic:blipFill>
                              <pic:spPr>
                                <a:xfrm>
                                  <a:off x="0" y="0"/>
                                  <a:ext cx="2520315" cy="1670685"/>
                                </a:xfrm>
                                <a:prstGeom prst="rect">
                                  <a:avLst/>
                                </a:prstGeom>
                              </pic:spPr>
                            </pic:pic>
                          </a:graphicData>
                        </a:graphic>
                      </wp:inline>
                    </w:drawing>
                  </w:r>
                </w:p>
              </w:tc>
              <w:tc>
                <w:tcPr>
                  <w:tcW w:w="4206" w:type="dxa"/>
                  <w:tcBorders>
                    <w:tl2br w:val="nil"/>
                    <w:tr2bl w:val="nil"/>
                  </w:tcBorders>
                  <w:vAlign w:val="center"/>
                </w:tcPr>
                <w:p>
                  <w:pPr>
                    <w:pStyle w:val="2"/>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imes New Roman" w:hAnsi="Times New Roman" w:cs="Times New Roman"/>
                      <w:sz w:val="21"/>
                      <w:szCs w:val="21"/>
                      <w:vertAlign w:val="baseline"/>
                    </w:rPr>
                  </w:pPr>
                  <w:r>
                    <w:rPr>
                      <w:rFonts w:hint="default" w:ascii="Times New Roman" w:hAnsi="Times New Roman" w:cs="Times New Roman"/>
                      <w:color w:val="000000" w:themeColor="text1"/>
                      <w:sz w:val="20"/>
                      <w14:textFill>
                        <w14:solidFill>
                          <w14:schemeClr w14:val="tx1"/>
                        </w14:solidFill>
                      </w14:textFill>
                    </w:rPr>
                    <w:drawing>
                      <wp:inline distT="0" distB="0" distL="0" distR="0">
                        <wp:extent cx="2520315" cy="1675130"/>
                        <wp:effectExtent l="0" t="0" r="13335" b="1270"/>
                        <wp:docPr id="5" name="image3.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3.jpeg" descr="?"/>
                                <pic:cNvPicPr>
                                  <a:picLocks noChangeAspect="1"/>
                                </pic:cNvPicPr>
                              </pic:nvPicPr>
                              <pic:blipFill>
                                <a:blip r:embed="rId26" cstate="print"/>
                                <a:stretch>
                                  <a:fillRect/>
                                </a:stretch>
                              </pic:blipFill>
                              <pic:spPr>
                                <a:xfrm>
                                  <a:off x="0" y="0"/>
                                  <a:ext cx="2520315" cy="1675130"/>
                                </a:xfrm>
                                <a:prstGeom prst="rect">
                                  <a:avLst/>
                                </a:prstGeom>
                              </pic:spPr>
                            </pic:pic>
                          </a:graphicData>
                        </a:graphic>
                      </wp:inline>
                    </w:drawing>
                  </w:r>
                </w:p>
              </w:tc>
            </w:tr>
            <w:tr>
              <w:tblPrEx>
                <w:tblBorders>
                  <w:top w:val="single" w:color="auto" w:sz="8" w:space="0"/>
                  <w:left w:val="none" w:color="auto" w:sz="0" w:space="0"/>
                  <w:bottom w:val="single" w:color="auto" w:sz="8"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412" w:type="dxa"/>
                  <w:gridSpan w:val="2"/>
                  <w:tcBorders>
                    <w:tl2br w:val="nil"/>
                    <w:tr2bl w:val="nil"/>
                  </w:tcBorders>
                  <w:vAlign w:val="center"/>
                </w:tcPr>
                <w:p>
                  <w:pPr>
                    <w:pStyle w:val="62"/>
                    <w:rPr>
                      <w:rFonts w:hint="default" w:ascii="Times New Roman" w:hAnsi="Times New Roman" w:cs="Times New Roman"/>
                      <w:sz w:val="21"/>
                      <w:szCs w:val="21"/>
                      <w:vertAlign w:val="baseline"/>
                    </w:rPr>
                  </w:pPr>
                  <w:r>
                    <w:rPr>
                      <w:rFonts w:hint="default" w:ascii="Times New Roman" w:hAnsi="Times New Roman" w:cs="Times New Roman"/>
                      <w:color w:val="000000" w:themeColor="text1"/>
                      <w14:textFill>
                        <w14:solidFill>
                          <w14:schemeClr w14:val="tx1"/>
                        </w14:solidFill>
                      </w14:textFill>
                    </w:rPr>
                    <w:t>图14地形地貌</w:t>
                  </w:r>
                </w:p>
              </w:tc>
            </w:tr>
          </w:tbl>
          <w:p>
            <w:pPr>
              <w:pStyle w:val="15"/>
              <w:numPr>
                <w:ilvl w:val="0"/>
                <w:numId w:val="2"/>
              </w:numPr>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动物</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工程区域野生动物主要是一些适应环境的常见种类如黄鼠、长爪沙鼠、野兔、小云雀、家燕、喜鹊等，没有珍惜濒危保护动物。</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（4）水文气象</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a.水文</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项目区位于宁夏中部干旱带西部，流经项目区域内的主要河流有黄河一级支流清水河。主要的水文特点是水少、沙多、水土流失较重、水质差，没有水文站和实测水文资料，本阶段工程设计所依据的水文基本资料主要有以下方面。</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①径流、泥沙</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主要依据《宁夏水资源综合规划》成果，水文系列为1956～2000年。</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②暴雨洪水</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采用暴雨资料推求设计洪水，主要依据《宁夏暴雨洪水图集》及重新修订的宁夏不同历时暴雨参数等值线图。</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③水资源开发利用</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水资源评价主要参考《宁夏水资源综合规划》，水资源开发利用主要依据历年《宁夏水资源公报》。</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b.气象</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本区受大陆西风气流的控制，呈现典型的大陆性气候特征，气温日较差大，无霜期短，降水量少，蒸发量大。年平均气温8.7℃，年最高气温36.7℃，最低气温-25.4℃，无霜期140～170d。多年平均降水量340mm，多集中在7～9月，占全年的72%，水面蒸发量1260mm左右（E601型），最大冻土深度1.37m，主要自然灾害有干旱、霜冻、沙尘暴等，其中以干旱造成的危害最为严重。</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①降水</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项目区附近预旺雨量站多年平均降雨量310mm，降水年内分配不均，主要集中在7～9月，约占全年总降水量的60%。</w:t>
            </w:r>
          </w:p>
          <w:p>
            <w:pPr>
              <w:pStyle w:val="15"/>
              <w:adjustRightInd w:val="0"/>
              <w:spacing w:line="360" w:lineRule="auto"/>
              <w:ind w:firstLine="480" w:firstLineChars="200"/>
              <w:jc w:val="both"/>
              <w:rPr>
                <w:rFonts w:hint="default" w:ascii="Times New Roman" w:hAnsi="Times New Roman" w:cs="Times New Roman"/>
                <w:color w:val="000000" w:themeColor="text1"/>
                <w:kern w:val="0"/>
                <w:sz w:val="24"/>
                <w:szCs w:val="24"/>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②蒸发</w:t>
            </w:r>
          </w:p>
          <w:p>
            <w:pPr>
              <w:pStyle w:val="15"/>
              <w:adjustRightInd w:val="0"/>
              <w:spacing w:line="360" w:lineRule="auto"/>
              <w:ind w:firstLine="480" w:firstLineChars="200"/>
              <w:jc w:val="both"/>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kern w:val="0"/>
                <w:sz w:val="24"/>
                <w:szCs w:val="24"/>
                <w14:textFill>
                  <w14:solidFill>
                    <w14:schemeClr w14:val="tx1"/>
                  </w14:solidFill>
                </w14:textFill>
              </w:rPr>
              <w:t>该地区日照充足、风大、水面蒸发强烈。多年平均水面蒸发量（E601）1260mm，干旱指数4.2，属干旱区。水面蒸发的年际变化小，年内变化大，其随各月气温、湿度、日照、风速的变化而变化。11月至次年2月为结冰期，水面蒸发量小。水面蒸发量最小月出现在气温最低月的1、12月份，春季风大，气温回升，蒸发量增大，最大月蒸发量一般出现在6、7月份，9月、10月随气温的下降水面蒸发量逐渐减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65" w:hRule="atLeast"/>
          <w:jc w:val="center"/>
        </w:trPr>
        <w:tc>
          <w:tcPr>
            <w:tcW w:w="9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与项目有关的原有环境污染和生态破坏问题</w:t>
            </w:r>
          </w:p>
        </w:tc>
        <w:tc>
          <w:tcPr>
            <w:tcW w:w="8253" w:type="dxa"/>
            <w:vAlign w:val="center"/>
          </w:tcPr>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属于防洪设施较差区域，雨季村庄水蚀严重。项目区全流域为土石山区、河谷川台区和黄土丘陵区三大地貌，地势基本走向西高东低，呈波状倾斜，上游西南部为土石山区，该地区基岩呈疏缓复背斜构造，多为第四系黄土覆盖；中游为冲积平原区，下游左岸多为山丘，右岸多为台地，其单块面积小，台面平整，前缘直立，一般高出河床5～20m，末端河道基本为岩石段部分河段形成峡谷地形。项目区内以水力侵蚀为主，兼有风力侵蚀。</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区自然条件恶劣，生态系统脆弱，自身调节能力差，水土保持工作以预防为主，自然封育恢复植被。近年来，防洪措施的不完善导致当地水土流失日渐加剧。目前，地表植被退化严重，土地利用价值丧失，土地沙化、水土流失加剧，与周边环境极不协调，严重威胁着周边人民群众的生命财产安全、制约着周边经济高质量发展。</w:t>
            </w:r>
          </w:p>
          <w:p>
            <w:pPr>
              <w:adjustRightInd w:val="0"/>
              <w:snapToGrid w:val="0"/>
              <w:spacing w:line="360" w:lineRule="auto"/>
              <w:ind w:firstLine="420" w:firstLineChars="200"/>
              <w:rPr>
                <w:rFonts w:hint="default" w:ascii="Times New Roman" w:hAnsi="Times New Roman" w:cs="Times New Roman"/>
                <w:color w:val="000000" w:themeColor="text1"/>
                <w:kern w:val="0"/>
                <w:szCs w:val="21"/>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生态环境保护目标</w:t>
            </w:r>
          </w:p>
        </w:tc>
        <w:tc>
          <w:tcPr>
            <w:tcW w:w="8253" w:type="dxa"/>
            <w:vAlign w:val="center"/>
          </w:tcPr>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项目主要环境保护目标见表3-3，具体位置关系见附图</w:t>
            </w:r>
            <w:r>
              <w:rPr>
                <w:rFonts w:hint="default" w:ascii="Times New Roman" w:hAnsi="Times New Roman" w:cs="Times New Roman"/>
                <w:color w:val="000000" w:themeColor="text1"/>
                <w:kern w:val="0"/>
                <w:sz w:val="24"/>
                <w:lang w:val="en-US" w:eastAsia="zh-CN"/>
                <w14:textFill>
                  <w14:solidFill>
                    <w14:schemeClr w14:val="tx1"/>
                  </w14:solidFill>
                </w14:textFill>
              </w:rPr>
              <w:t>11</w:t>
            </w:r>
            <w:r>
              <w:rPr>
                <w:rFonts w:hint="default" w:ascii="Times New Roman" w:hAnsi="Times New Roman" w:cs="Times New Roman"/>
                <w:color w:val="000000" w:themeColor="text1"/>
                <w:kern w:val="0"/>
                <w:sz w:val="24"/>
                <w14:textFill>
                  <w14:solidFill>
                    <w14:schemeClr w14:val="tx1"/>
                  </w14:solidFill>
                </w14:textFill>
              </w:rPr>
              <w:t>。</w:t>
            </w:r>
          </w:p>
          <w:p>
            <w:pPr>
              <w:pStyle w:val="59"/>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表3-3主要环境保护目标一览表</w:t>
            </w:r>
          </w:p>
          <w:tbl>
            <w:tblPr>
              <w:tblStyle w:val="24"/>
              <w:tblW w:w="7880"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49"/>
              <w:gridCol w:w="434"/>
              <w:gridCol w:w="983"/>
              <w:gridCol w:w="1881"/>
              <w:gridCol w:w="1300"/>
              <w:gridCol w:w="1026"/>
              <w:gridCol w:w="160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9"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环境要素</w:t>
                  </w:r>
                </w:p>
              </w:tc>
              <w:tc>
                <w:tcPr>
                  <w:tcW w:w="434"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序号</w:t>
                  </w:r>
                </w:p>
              </w:tc>
              <w:tc>
                <w:tcPr>
                  <w:tcW w:w="983"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保护目标名称</w:t>
                  </w:r>
                </w:p>
              </w:tc>
              <w:tc>
                <w:tcPr>
                  <w:tcW w:w="1881"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中心点坐标</w:t>
                  </w:r>
                </w:p>
              </w:tc>
              <w:tc>
                <w:tcPr>
                  <w:tcW w:w="1300"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方位及距项目区边界距离m</w:t>
                  </w:r>
                </w:p>
              </w:tc>
              <w:tc>
                <w:tcPr>
                  <w:tcW w:w="1026"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功能/规模</w:t>
                  </w:r>
                </w:p>
              </w:tc>
              <w:tc>
                <w:tcPr>
                  <w:tcW w:w="1607"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保护要求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49"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大气环境、</w:t>
                  </w:r>
                </w:p>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声环境</w:t>
                  </w:r>
                </w:p>
              </w:tc>
              <w:tc>
                <w:tcPr>
                  <w:tcW w:w="434"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w:t>
                  </w:r>
                </w:p>
              </w:tc>
              <w:tc>
                <w:tcPr>
                  <w:tcW w:w="983"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王团村</w:t>
                  </w:r>
                </w:p>
              </w:tc>
              <w:tc>
                <w:tcPr>
                  <w:tcW w:w="1881"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p>
              </w:tc>
              <w:tc>
                <w:tcPr>
                  <w:tcW w:w="1300"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500m辐射区</w:t>
                  </w:r>
                </w:p>
              </w:tc>
              <w:tc>
                <w:tcPr>
                  <w:tcW w:w="1026"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居民/371户</w:t>
                  </w:r>
                </w:p>
              </w:tc>
              <w:tc>
                <w:tcPr>
                  <w:tcW w:w="1607"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1、环境空气质量符合《环境空气质量标准》（GB3095-2012）二级标准；</w:t>
                  </w:r>
                </w:p>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2、2类区声环境质量满足《声环境质量标准》（GB3096-2008）中2类标准；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9"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水环境</w:t>
                  </w:r>
                </w:p>
              </w:tc>
              <w:tc>
                <w:tcPr>
                  <w:tcW w:w="434"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w:t>
                  </w:r>
                </w:p>
              </w:tc>
              <w:tc>
                <w:tcPr>
                  <w:tcW w:w="983"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固海七干渠</w:t>
                  </w:r>
                </w:p>
              </w:tc>
              <w:tc>
                <w:tcPr>
                  <w:tcW w:w="1881"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p>
              </w:tc>
              <w:tc>
                <w:tcPr>
                  <w:tcW w:w="1300"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E:600m</w:t>
                  </w:r>
                </w:p>
              </w:tc>
              <w:tc>
                <w:tcPr>
                  <w:tcW w:w="1026"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灌溉</w:t>
                  </w:r>
                </w:p>
              </w:tc>
              <w:tc>
                <w:tcPr>
                  <w:tcW w:w="1607"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不破坏其原有功能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649" w:type="dxa"/>
                  <w:vMerge w:val="restart"/>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生态环境</w:t>
                  </w:r>
                </w:p>
              </w:tc>
              <w:tc>
                <w:tcPr>
                  <w:tcW w:w="434"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w:t>
                  </w:r>
                </w:p>
              </w:tc>
              <w:tc>
                <w:tcPr>
                  <w:tcW w:w="983"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周边植被</w:t>
                  </w:r>
                </w:p>
              </w:tc>
              <w:tc>
                <w:tcPr>
                  <w:tcW w:w="1881"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w:t>
                  </w:r>
                </w:p>
              </w:tc>
              <w:tc>
                <w:tcPr>
                  <w:tcW w:w="1300"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项目区周边</w:t>
                  </w:r>
                </w:p>
              </w:tc>
              <w:tc>
                <w:tcPr>
                  <w:tcW w:w="1026" w:type="dxa"/>
                  <w:vMerge w:val="restart"/>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临时占地</w:t>
                  </w:r>
                </w:p>
              </w:tc>
              <w:tc>
                <w:tcPr>
                  <w:tcW w:w="1607" w:type="dxa"/>
                  <w:vMerge w:val="restart"/>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严禁扩大施工范围，破坏占地范围以外的植被</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9" w:type="dxa"/>
                  <w:vMerge w:val="continue"/>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p>
              </w:tc>
              <w:tc>
                <w:tcPr>
                  <w:tcW w:w="434"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2</w:t>
                  </w:r>
                </w:p>
              </w:tc>
              <w:tc>
                <w:tcPr>
                  <w:tcW w:w="983"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周边耕地</w:t>
                  </w:r>
                </w:p>
              </w:tc>
              <w:tc>
                <w:tcPr>
                  <w:tcW w:w="1881"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w:t>
                  </w:r>
                </w:p>
              </w:tc>
              <w:tc>
                <w:tcPr>
                  <w:tcW w:w="1300" w:type="dxa"/>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项目区周边</w:t>
                  </w:r>
                </w:p>
              </w:tc>
              <w:tc>
                <w:tcPr>
                  <w:tcW w:w="1026" w:type="dxa"/>
                  <w:vMerge w:val="continue"/>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p>
              </w:tc>
              <w:tc>
                <w:tcPr>
                  <w:tcW w:w="1607" w:type="dxa"/>
                  <w:vMerge w:val="continue"/>
                  <w:tcBorders>
                    <w:tl2br w:val="nil"/>
                    <w:tr2bl w:val="nil"/>
                  </w:tcBorders>
                  <w:vAlign w:val="center"/>
                </w:tcPr>
                <w:p>
                  <w:pPr>
                    <w:pStyle w:val="61"/>
                    <w:rPr>
                      <w:rFonts w:hint="default" w:ascii="Times New Roman" w:hAnsi="Times New Roman" w:cs="Times New Roman"/>
                      <w:color w:val="000000" w:themeColor="text1"/>
                      <w:sz w:val="18"/>
                      <w:szCs w:val="18"/>
                      <w14:textFill>
                        <w14:solidFill>
                          <w14:schemeClr w14:val="tx1"/>
                        </w14:solidFill>
                      </w14:textFill>
                    </w:rPr>
                  </w:pPr>
                </w:p>
              </w:tc>
            </w:tr>
          </w:tbl>
          <w:p>
            <w:pPr>
              <w:pStyle w:val="15"/>
              <w:adjustRightInd w:val="0"/>
              <w:spacing w:line="360" w:lineRule="auto"/>
              <w:ind w:firstLine="360" w:firstLineChars="200"/>
              <w:jc w:val="both"/>
              <w:rPr>
                <w:rFonts w:hint="default" w:ascii="Times New Roman" w:hAnsi="Times New Roman" w:cs="Times New Roman"/>
                <w:color w:val="000000" w:themeColor="text1"/>
                <w:kern w:val="0"/>
                <w:szCs w:val="21"/>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评价</w:t>
            </w:r>
          </w:p>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标准</w:t>
            </w:r>
          </w:p>
        </w:tc>
        <w:tc>
          <w:tcPr>
            <w:tcW w:w="8253" w:type="dxa"/>
            <w:vAlign w:val="center"/>
          </w:tcPr>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根据国家有关环境功能的分类、执行标准和方法，本评价执行如下标准：</w:t>
            </w:r>
          </w:p>
          <w:p>
            <w:pPr>
              <w:numPr>
                <w:ilvl w:val="0"/>
                <w:numId w:val="3"/>
              </w:num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《地表水环境质量标准》（GB3838-2002）Ⅳ类标准；</w:t>
            </w:r>
          </w:p>
          <w:p>
            <w:pPr>
              <w:pStyle w:val="15"/>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表3-4《地表水环境质量标准》节选单位：mg/L（pH无量纲）</w:t>
            </w:r>
          </w:p>
          <w:tbl>
            <w:tblPr>
              <w:tblStyle w:val="24"/>
              <w:tblW w:w="7937" w:type="dxa"/>
              <w:jc w:val="center"/>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autofit"/>
              <w:tblCellMar>
                <w:top w:w="0" w:type="dxa"/>
                <w:left w:w="108" w:type="dxa"/>
                <w:bottom w:w="0" w:type="dxa"/>
                <w:right w:w="108" w:type="dxa"/>
              </w:tblCellMar>
            </w:tblPr>
            <w:tblGrid>
              <w:gridCol w:w="993"/>
              <w:gridCol w:w="2309"/>
              <w:gridCol w:w="4635"/>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序号</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污染物名称</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标准值Ⅳ类</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水温</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周平均温升≤1，周平均温降≤2</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2</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pH值</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6～9</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3</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DO</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4</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高锰酸盐指数</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≤6</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5</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COD</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≤20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6</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BOD5</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≤4</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7</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氨氮</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8</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石油类</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9</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硫化物</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≤0.2</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10</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氟化物</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11</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挥发酚</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≤0.005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12</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氰化物</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≤0.2</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13</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六价铬</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14</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砷</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15</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汞</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≤0.0001</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16</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铜</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17</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铅</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18</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锌</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19</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镉</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≤0.005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cantSplit/>
                <w:trHeight w:val="340" w:hRule="atLeast"/>
                <w:tblHeader/>
                <w:jc w:val="center"/>
              </w:trPr>
              <w:tc>
                <w:tcPr>
                  <w:tcW w:w="625"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20</w:t>
                  </w:r>
                </w:p>
              </w:tc>
              <w:tc>
                <w:tcPr>
                  <w:tcW w:w="1454"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总磷</w:t>
                  </w:r>
                </w:p>
              </w:tc>
              <w:tc>
                <w:tcPr>
                  <w:tcW w:w="2919" w:type="pct"/>
                  <w:vAlign w:val="center"/>
                </w:tcPr>
                <w:p>
                  <w:pPr>
                    <w:pStyle w:val="15"/>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≤0.2</w:t>
                  </w:r>
                </w:p>
              </w:tc>
            </w:tr>
          </w:tbl>
          <w:p>
            <w:pPr>
              <w:numPr>
                <w:ilvl w:val="0"/>
                <w:numId w:val="3"/>
              </w:num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《环境空气质量标准》（GB3095-2012）二级标准；</w:t>
            </w:r>
          </w:p>
          <w:p>
            <w:pPr>
              <w:kinsoku w:val="0"/>
              <w:adjustRightInd w:val="0"/>
              <w:snapToGrid w:val="0"/>
              <w:jc w:val="center"/>
              <w:rPr>
                <w:rFonts w:hint="default" w:ascii="Times New Roman" w:hAnsi="Times New Roman" w:cs="Times New Roman"/>
                <w:b/>
                <w:color w:val="000000" w:themeColor="text1"/>
                <w:szCs w:val="21"/>
                <w:lang w:bidi="ar"/>
                <w14:textFill>
                  <w14:solidFill>
                    <w14:schemeClr w14:val="tx1"/>
                  </w14:solidFill>
                </w14:textFill>
              </w:rPr>
            </w:pPr>
          </w:p>
          <w:p>
            <w:pPr>
              <w:kinsoku w:val="0"/>
              <w:adjustRightInd w:val="0"/>
              <w:snapToGrid w:val="0"/>
              <w:jc w:val="center"/>
              <w:rPr>
                <w:rFonts w:hint="default" w:ascii="Times New Roman" w:hAnsi="Times New Roman" w:cs="Times New Roman"/>
                <w:b/>
                <w:color w:val="000000" w:themeColor="text1"/>
                <w:szCs w:val="21"/>
                <w:lang w:bidi="ar"/>
                <w14:textFill>
                  <w14:solidFill>
                    <w14:schemeClr w14:val="tx1"/>
                  </w14:solidFill>
                </w14:textFill>
              </w:rPr>
            </w:pPr>
            <w:r>
              <w:rPr>
                <w:rFonts w:hint="default" w:ascii="Times New Roman" w:hAnsi="Times New Roman" w:cs="Times New Roman"/>
                <w:b/>
                <w:color w:val="000000" w:themeColor="text1"/>
                <w:szCs w:val="21"/>
                <w:lang w:bidi="ar"/>
                <w14:textFill>
                  <w14:solidFill>
                    <w14:schemeClr w14:val="tx1"/>
                  </w14:solidFill>
                </w14:textFill>
              </w:rPr>
              <w:t>表3-5项目环境空气质量标准</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27"/>
              <w:gridCol w:w="888"/>
              <w:gridCol w:w="1503"/>
              <w:gridCol w:w="1109"/>
              <w:gridCol w:w="1077"/>
              <w:gridCol w:w="24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vMerge w:val="restart"/>
                  <w:tcBorders>
                    <w:top w:val="single" w:color="auto" w:sz="12" w:space="0"/>
                    <w:left w:val="nil"/>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污染物名称</w:t>
                  </w:r>
                </w:p>
              </w:tc>
              <w:tc>
                <w:tcPr>
                  <w:tcW w:w="4315" w:type="dxa"/>
                  <w:gridSpan w:val="4"/>
                  <w:tcBorders>
                    <w:top w:val="single" w:color="auto" w:sz="12" w:space="0"/>
                    <w:bottom w:val="single" w:color="auto" w:sz="4" w:space="0"/>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标准值</w:t>
                  </w:r>
                </w:p>
              </w:tc>
              <w:tc>
                <w:tcPr>
                  <w:tcW w:w="2294" w:type="dxa"/>
                  <w:vMerge w:val="restart"/>
                  <w:tcBorders>
                    <w:top w:val="single" w:color="auto" w:sz="12" w:space="0"/>
                    <w:right w:val="nil"/>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依据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vMerge w:val="continue"/>
                  <w:tcBorders>
                    <w:left w:val="nil"/>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p>
              </w:tc>
              <w:tc>
                <w:tcPr>
                  <w:tcW w:w="837" w:type="dxa"/>
                  <w:tcBorders>
                    <w:top w:val="single" w:color="auto" w:sz="4" w:space="0"/>
                    <w:right w:val="single" w:color="auto" w:sz="4" w:space="0"/>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年平均</w:t>
                  </w:r>
                </w:p>
              </w:tc>
              <w:tc>
                <w:tcPr>
                  <w:tcW w:w="1417" w:type="dxa"/>
                  <w:tcBorders>
                    <w:top w:val="single" w:color="auto" w:sz="4" w:space="0"/>
                    <w:left w:val="single" w:color="auto" w:sz="4" w:space="0"/>
                    <w:right w:val="single" w:color="auto" w:sz="4" w:space="0"/>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24</w:t>
                  </w:r>
                </w:p>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小时平均</w:t>
                  </w:r>
                </w:p>
              </w:tc>
              <w:tc>
                <w:tcPr>
                  <w:tcW w:w="1046" w:type="dxa"/>
                  <w:tcBorders>
                    <w:top w:val="single" w:color="auto" w:sz="4" w:space="0"/>
                    <w:left w:val="single" w:color="auto" w:sz="4" w:space="0"/>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1小时</w:t>
                  </w:r>
                </w:p>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平均</w:t>
                  </w:r>
                </w:p>
              </w:tc>
              <w:tc>
                <w:tcPr>
                  <w:tcW w:w="1015"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单位</w:t>
                  </w:r>
                </w:p>
              </w:tc>
              <w:tc>
                <w:tcPr>
                  <w:tcW w:w="2294" w:type="dxa"/>
                  <w:vMerge w:val="continue"/>
                  <w:tcBorders>
                    <w:right w:val="nil"/>
                  </w:tcBorders>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SO</w:t>
                  </w:r>
                  <w:r>
                    <w:rPr>
                      <w:rFonts w:hint="default" w:ascii="Times New Roman" w:hAnsi="Times New Roman" w:cs="Times New Roman"/>
                      <w:color w:val="000000" w:themeColor="text1"/>
                      <w:szCs w:val="21"/>
                      <w:vertAlign w:val="subscript"/>
                      <w14:textFill>
                        <w14:solidFill>
                          <w14:schemeClr w14:val="tx1"/>
                        </w14:solidFill>
                      </w14:textFill>
                    </w:rPr>
                    <w:t>2</w:t>
                  </w:r>
                </w:p>
              </w:tc>
              <w:tc>
                <w:tcPr>
                  <w:tcW w:w="837" w:type="dxa"/>
                  <w:tcBorders>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60</w:t>
                  </w:r>
                </w:p>
              </w:tc>
              <w:tc>
                <w:tcPr>
                  <w:tcW w:w="1417" w:type="dxa"/>
                  <w:tcBorders>
                    <w:left w:val="single" w:color="auto" w:sz="4"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150</w:t>
                  </w:r>
                </w:p>
              </w:tc>
              <w:tc>
                <w:tcPr>
                  <w:tcW w:w="1046" w:type="dxa"/>
                  <w:tcBorders>
                    <w:lef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500</w:t>
                  </w:r>
                </w:p>
              </w:tc>
              <w:tc>
                <w:tcPr>
                  <w:tcW w:w="1015" w:type="dxa"/>
                  <w:vMerge w:val="restar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μg/m³</w:t>
                  </w:r>
                </w:p>
              </w:tc>
              <w:tc>
                <w:tcPr>
                  <w:tcW w:w="2294" w:type="dxa"/>
                  <w:vMerge w:val="restart"/>
                  <w:tcBorders>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《环境空气质量标准》（GB3095-2012）二级标准及修改单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NO</w:t>
                  </w:r>
                  <w:r>
                    <w:rPr>
                      <w:rFonts w:hint="default" w:ascii="Times New Roman" w:hAnsi="Times New Roman" w:cs="Times New Roman"/>
                      <w:color w:val="000000" w:themeColor="text1"/>
                      <w:szCs w:val="21"/>
                      <w:vertAlign w:val="subscript"/>
                      <w14:textFill>
                        <w14:solidFill>
                          <w14:schemeClr w14:val="tx1"/>
                        </w14:solidFill>
                      </w14:textFill>
                    </w:rPr>
                    <w:t>2</w:t>
                  </w:r>
                </w:p>
              </w:tc>
              <w:tc>
                <w:tcPr>
                  <w:tcW w:w="837" w:type="dxa"/>
                  <w:tcBorders>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40</w:t>
                  </w:r>
                </w:p>
              </w:tc>
              <w:tc>
                <w:tcPr>
                  <w:tcW w:w="1417" w:type="dxa"/>
                  <w:tcBorders>
                    <w:left w:val="single" w:color="auto" w:sz="4"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80</w:t>
                  </w:r>
                </w:p>
              </w:tc>
              <w:tc>
                <w:tcPr>
                  <w:tcW w:w="1046" w:type="dxa"/>
                  <w:tcBorders>
                    <w:lef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200</w:t>
                  </w:r>
                </w:p>
              </w:tc>
              <w:tc>
                <w:tcPr>
                  <w:tcW w:w="1015" w:type="dxa"/>
                  <w:vMerge w:val="continue"/>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c>
                <w:tcPr>
                  <w:tcW w:w="2294" w:type="dxa"/>
                  <w:vMerge w:val="continue"/>
                  <w:tcBorders>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PM</w:t>
                  </w:r>
                  <w:r>
                    <w:rPr>
                      <w:rFonts w:hint="default" w:ascii="Times New Roman" w:hAnsi="Times New Roman" w:cs="Times New Roman"/>
                      <w:color w:val="000000" w:themeColor="text1"/>
                      <w:szCs w:val="21"/>
                      <w:vertAlign w:val="subscript"/>
                      <w14:textFill>
                        <w14:solidFill>
                          <w14:schemeClr w14:val="tx1"/>
                        </w14:solidFill>
                      </w14:textFill>
                    </w:rPr>
                    <w:t>10</w:t>
                  </w:r>
                </w:p>
              </w:tc>
              <w:tc>
                <w:tcPr>
                  <w:tcW w:w="837" w:type="dxa"/>
                  <w:tcBorders>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70</w:t>
                  </w:r>
                </w:p>
              </w:tc>
              <w:tc>
                <w:tcPr>
                  <w:tcW w:w="1417" w:type="dxa"/>
                  <w:tcBorders>
                    <w:left w:val="single" w:color="auto" w:sz="4"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150</w:t>
                  </w:r>
                </w:p>
              </w:tc>
              <w:tc>
                <w:tcPr>
                  <w:tcW w:w="1046" w:type="dxa"/>
                  <w:tcBorders>
                    <w:lef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15" w:type="dxa"/>
                  <w:vMerge w:val="continue"/>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c>
                <w:tcPr>
                  <w:tcW w:w="2294" w:type="dxa"/>
                  <w:vMerge w:val="continue"/>
                  <w:tcBorders>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PM</w:t>
                  </w:r>
                  <w:r>
                    <w:rPr>
                      <w:rFonts w:hint="default" w:ascii="Times New Roman" w:hAnsi="Times New Roman" w:cs="Times New Roman"/>
                      <w:color w:val="000000" w:themeColor="text1"/>
                      <w:szCs w:val="21"/>
                      <w:vertAlign w:val="subscript"/>
                      <w14:textFill>
                        <w14:solidFill>
                          <w14:schemeClr w14:val="tx1"/>
                        </w14:solidFill>
                      </w14:textFill>
                    </w:rPr>
                    <w:t>2.5</w:t>
                  </w:r>
                </w:p>
              </w:tc>
              <w:tc>
                <w:tcPr>
                  <w:tcW w:w="837" w:type="dxa"/>
                  <w:tcBorders>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35</w:t>
                  </w:r>
                </w:p>
              </w:tc>
              <w:tc>
                <w:tcPr>
                  <w:tcW w:w="1417" w:type="dxa"/>
                  <w:tcBorders>
                    <w:left w:val="single" w:color="auto" w:sz="4"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75</w:t>
                  </w:r>
                </w:p>
              </w:tc>
              <w:tc>
                <w:tcPr>
                  <w:tcW w:w="1046" w:type="dxa"/>
                  <w:tcBorders>
                    <w:lef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15" w:type="dxa"/>
                  <w:vMerge w:val="continue"/>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c>
                <w:tcPr>
                  <w:tcW w:w="2294" w:type="dxa"/>
                  <w:vMerge w:val="continue"/>
                  <w:tcBorders>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O</w:t>
                  </w:r>
                  <w:r>
                    <w:rPr>
                      <w:rFonts w:hint="default" w:ascii="Times New Roman" w:hAnsi="Times New Roman" w:cs="Times New Roman"/>
                      <w:color w:val="000000" w:themeColor="text1"/>
                      <w:szCs w:val="21"/>
                      <w:vertAlign w:val="subscript"/>
                      <w14:textFill>
                        <w14:solidFill>
                          <w14:schemeClr w14:val="tx1"/>
                        </w14:solidFill>
                      </w14:textFill>
                    </w:rPr>
                    <w:t>3</w:t>
                  </w:r>
                </w:p>
              </w:tc>
              <w:tc>
                <w:tcPr>
                  <w:tcW w:w="837" w:type="dxa"/>
                  <w:tcBorders>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417" w:type="dxa"/>
                  <w:tcBorders>
                    <w:left w:val="single" w:color="auto" w:sz="4"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160（日最大8小时平均）</w:t>
                  </w:r>
                </w:p>
              </w:tc>
              <w:tc>
                <w:tcPr>
                  <w:tcW w:w="1046" w:type="dxa"/>
                  <w:tcBorders>
                    <w:lef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200</w:t>
                  </w:r>
                </w:p>
              </w:tc>
              <w:tc>
                <w:tcPr>
                  <w:tcW w:w="1015" w:type="dxa"/>
                  <w:vMerge w:val="continue"/>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c>
                <w:tcPr>
                  <w:tcW w:w="2294" w:type="dxa"/>
                  <w:vMerge w:val="continue"/>
                  <w:tcBorders>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CO</w:t>
                  </w:r>
                </w:p>
              </w:tc>
              <w:tc>
                <w:tcPr>
                  <w:tcW w:w="837" w:type="dxa"/>
                  <w:tcBorders>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417" w:type="dxa"/>
                  <w:tcBorders>
                    <w:left w:val="single" w:color="auto" w:sz="4"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4</w:t>
                  </w:r>
                </w:p>
              </w:tc>
              <w:tc>
                <w:tcPr>
                  <w:tcW w:w="1046" w:type="dxa"/>
                  <w:tcBorders>
                    <w:lef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10</w:t>
                  </w:r>
                </w:p>
              </w:tc>
              <w:tc>
                <w:tcPr>
                  <w:tcW w:w="1015"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mg/m³</w:t>
                  </w:r>
                </w:p>
              </w:tc>
              <w:tc>
                <w:tcPr>
                  <w:tcW w:w="2294" w:type="dxa"/>
                  <w:vMerge w:val="continue"/>
                  <w:tcBorders>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jc w:val="center"/>
              </w:trPr>
              <w:tc>
                <w:tcPr>
                  <w:tcW w:w="874" w:type="dxa"/>
                  <w:tcBorders>
                    <w:left w:val="nil"/>
                    <w:bottom w:val="single" w:color="auto" w:sz="12"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TSP</w:t>
                  </w:r>
                </w:p>
              </w:tc>
              <w:tc>
                <w:tcPr>
                  <w:tcW w:w="837" w:type="dxa"/>
                  <w:tcBorders>
                    <w:bottom w:val="single" w:color="auto" w:sz="12"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200</w:t>
                  </w:r>
                </w:p>
              </w:tc>
              <w:tc>
                <w:tcPr>
                  <w:tcW w:w="1417" w:type="dxa"/>
                  <w:tcBorders>
                    <w:left w:val="single" w:color="auto" w:sz="4" w:space="0"/>
                    <w:bottom w:val="single" w:color="auto" w:sz="12" w:space="0"/>
                    <w:right w:val="single" w:color="auto" w:sz="4"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300</w:t>
                  </w:r>
                </w:p>
              </w:tc>
              <w:tc>
                <w:tcPr>
                  <w:tcW w:w="1046" w:type="dxa"/>
                  <w:tcBorders>
                    <w:left w:val="single" w:color="auto" w:sz="4" w:space="0"/>
                    <w:bottom w:val="single" w:color="auto" w:sz="12"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15" w:type="dxa"/>
                  <w:tcBorders>
                    <w:bottom w:val="single" w:color="auto" w:sz="12" w:space="0"/>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μg/m³</w:t>
                  </w:r>
                </w:p>
              </w:tc>
              <w:tc>
                <w:tcPr>
                  <w:tcW w:w="2294" w:type="dxa"/>
                  <w:vMerge w:val="continue"/>
                  <w:tcBorders>
                    <w:bottom w:val="single" w:color="auto" w:sz="12" w:space="0"/>
                    <w:right w:val="nil"/>
                  </w:tcBorders>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bl>
          <w:p>
            <w:pPr>
              <w:numPr>
                <w:ilvl w:val="0"/>
                <w:numId w:val="3"/>
              </w:num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项目区域执行《声环境质量标准》（GB3096-2008）2类标准。</w:t>
            </w:r>
          </w:p>
          <w:p>
            <w:pPr>
              <w:kinsoku w:val="0"/>
              <w:adjustRightInd w:val="0"/>
              <w:snapToGrid w:val="0"/>
              <w:jc w:val="center"/>
              <w:rPr>
                <w:rFonts w:hint="default" w:ascii="Times New Roman" w:hAnsi="Times New Roman" w:cs="Times New Roman"/>
                <w:b/>
                <w:color w:val="000000" w:themeColor="text1"/>
                <w:szCs w:val="21"/>
                <w:lang w:bidi="ar"/>
                <w14:textFill>
                  <w14:solidFill>
                    <w14:schemeClr w14:val="tx1"/>
                  </w14:solidFill>
                </w14:textFill>
              </w:rPr>
            </w:pPr>
            <w:r>
              <w:rPr>
                <w:rFonts w:hint="default" w:ascii="Times New Roman" w:hAnsi="Times New Roman" w:cs="Times New Roman"/>
                <w:b/>
                <w:color w:val="000000" w:themeColor="text1"/>
                <w:szCs w:val="21"/>
                <w:lang w:bidi="ar"/>
                <w14:textFill>
                  <w14:solidFill>
                    <w14:schemeClr w14:val="tx1"/>
                  </w14:solidFill>
                </w14:textFill>
              </w:rPr>
              <w:t>表3-6项目声环境质量标准单位：dB（A）</w:t>
            </w:r>
          </w:p>
          <w:tbl>
            <w:tblPr>
              <w:tblStyle w:val="24"/>
              <w:tblW w:w="7937"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2087"/>
              <w:gridCol w:w="3146"/>
              <w:gridCol w:w="2704"/>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314" w:type="pct"/>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类别</w:t>
                  </w:r>
                </w:p>
              </w:tc>
              <w:tc>
                <w:tcPr>
                  <w:tcW w:w="1981" w:type="pct"/>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昼间</w:t>
                  </w:r>
                </w:p>
              </w:tc>
              <w:tc>
                <w:tcPr>
                  <w:tcW w:w="1703" w:type="pct"/>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31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2</w:t>
                  </w:r>
                </w:p>
              </w:tc>
              <w:tc>
                <w:tcPr>
                  <w:tcW w:w="1981"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60</w:t>
                  </w:r>
                </w:p>
              </w:tc>
              <w:tc>
                <w:tcPr>
                  <w:tcW w:w="1703"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50</w:t>
                  </w:r>
                </w:p>
              </w:tc>
            </w:tr>
          </w:tbl>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污染物排放执行以下标准：</w:t>
            </w:r>
          </w:p>
          <w:p>
            <w:pPr>
              <w:numPr>
                <w:ilvl w:val="0"/>
                <w:numId w:val="4"/>
              </w:num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《大气污染物综合排放标准》（GB16297-1996）无组织排放标准；</w:t>
            </w:r>
          </w:p>
          <w:p>
            <w:pPr>
              <w:kinsoku w:val="0"/>
              <w:adjustRightInd w:val="0"/>
              <w:snapToGrid w:val="0"/>
              <w:jc w:val="center"/>
              <w:rPr>
                <w:rFonts w:hint="default" w:ascii="Times New Roman" w:hAnsi="Times New Roman" w:cs="Times New Roman"/>
                <w:b/>
                <w:color w:val="000000" w:themeColor="text1"/>
                <w:szCs w:val="21"/>
                <w:lang w:bidi="ar"/>
                <w14:textFill>
                  <w14:solidFill>
                    <w14:schemeClr w14:val="tx1"/>
                  </w14:solidFill>
                </w14:textFill>
              </w:rPr>
            </w:pPr>
            <w:r>
              <w:rPr>
                <w:rFonts w:hint="default" w:ascii="Times New Roman" w:hAnsi="Times New Roman" w:cs="Times New Roman"/>
                <w:b/>
                <w:color w:val="000000" w:themeColor="text1"/>
                <w:szCs w:val="21"/>
                <w:lang w:bidi="ar"/>
                <w14:textFill>
                  <w14:solidFill>
                    <w14:schemeClr w14:val="tx1"/>
                  </w14:solidFill>
                </w14:textFill>
              </w:rPr>
              <w:t>表3-7《大气污染物综合排放标准》（GB16297-1996）</w:t>
            </w:r>
          </w:p>
          <w:tbl>
            <w:tblPr>
              <w:tblStyle w:val="24"/>
              <w:tblW w:w="7937"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982"/>
              <w:gridCol w:w="1985"/>
              <w:gridCol w:w="1985"/>
              <w:gridCol w:w="1985"/>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478" w:hRule="atLeast"/>
                <w:jc w:val="center"/>
              </w:trPr>
              <w:tc>
                <w:tcPr>
                  <w:tcW w:w="1863"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污染物</w:t>
                  </w:r>
                </w:p>
              </w:tc>
              <w:tc>
                <w:tcPr>
                  <w:tcW w:w="1864"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最高允许排放浓度（mg/m</w:t>
                  </w:r>
                  <w:r>
                    <w:rPr>
                      <w:rFonts w:hint="default" w:ascii="Times New Roman" w:hAnsi="Times New Roman" w:cs="Times New Roman"/>
                      <w:b/>
                      <w:bCs/>
                      <w:color w:val="000000" w:themeColor="text1"/>
                      <w:szCs w:val="21"/>
                      <w:vertAlign w:val="superscript"/>
                      <w14:textFill>
                        <w14:solidFill>
                          <w14:schemeClr w14:val="tx1"/>
                        </w14:solidFill>
                      </w14:textFill>
                    </w:rPr>
                    <w:t>3</w:t>
                  </w:r>
                  <w:r>
                    <w:rPr>
                      <w:rFonts w:hint="default" w:ascii="Times New Roman" w:hAnsi="Times New Roman" w:cs="Times New Roman"/>
                      <w:b/>
                      <w:bCs/>
                      <w:color w:val="000000" w:themeColor="text1"/>
                      <w:szCs w:val="21"/>
                      <w14:textFill>
                        <w14:solidFill>
                          <w14:schemeClr w14:val="tx1"/>
                        </w14:solidFill>
                      </w14:textFill>
                    </w:rPr>
                    <w:t>）</w:t>
                  </w:r>
                </w:p>
              </w:tc>
              <w:tc>
                <w:tcPr>
                  <w:tcW w:w="1864"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最高允许排放速率（kg/h）</w:t>
                  </w:r>
                </w:p>
              </w:tc>
              <w:tc>
                <w:tcPr>
                  <w:tcW w:w="1864"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无组织排放监控浓度限值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9" w:hRule="atLeast"/>
                <w:jc w:val="center"/>
              </w:trPr>
              <w:tc>
                <w:tcPr>
                  <w:tcW w:w="1863"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颗粒物</w:t>
                  </w:r>
                </w:p>
              </w:tc>
              <w:tc>
                <w:tcPr>
                  <w:tcW w:w="3728" w:type="dxa"/>
                  <w:gridSpan w:val="2"/>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864"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1.0mg/m</w:t>
                  </w:r>
                  <w:r>
                    <w:rPr>
                      <w:rFonts w:hint="default" w:ascii="Times New Roman" w:hAnsi="Times New Roman" w:cs="Times New Roman"/>
                      <w:color w:val="000000" w:themeColor="text1"/>
                      <w:szCs w:val="21"/>
                      <w:vertAlign w:val="superscript"/>
                      <w14:textFill>
                        <w14:solidFill>
                          <w14:schemeClr w14:val="tx1"/>
                        </w14:solidFill>
                      </w14:textFill>
                    </w:rPr>
                    <w:t>3</w:t>
                  </w:r>
                </w:p>
              </w:tc>
            </w:tr>
          </w:tbl>
          <w:p>
            <w:pPr>
              <w:numPr>
                <w:ilvl w:val="0"/>
                <w:numId w:val="4"/>
              </w:num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《建筑施工场界环境噪声排放标准》（GB12523-2011）中标准限值；</w:t>
            </w:r>
          </w:p>
          <w:p>
            <w:pPr>
              <w:kinsoku w:val="0"/>
              <w:adjustRightInd w:val="0"/>
              <w:snapToGrid w:val="0"/>
              <w:jc w:val="center"/>
              <w:rPr>
                <w:rFonts w:hint="default" w:ascii="Times New Roman" w:hAnsi="Times New Roman" w:cs="Times New Roman"/>
                <w:bCs/>
                <w:color w:val="000000" w:themeColor="text1"/>
                <w:szCs w:val="21"/>
                <w:lang w:bidi="ar"/>
                <w14:textFill>
                  <w14:solidFill>
                    <w14:schemeClr w14:val="tx1"/>
                  </w14:solidFill>
                </w14:textFill>
              </w:rPr>
            </w:pPr>
            <w:r>
              <w:rPr>
                <w:rFonts w:hint="default" w:ascii="Times New Roman" w:hAnsi="Times New Roman" w:cs="Times New Roman"/>
                <w:b/>
                <w:color w:val="000000" w:themeColor="text1"/>
                <w:szCs w:val="21"/>
                <w:lang w:bidi="ar"/>
                <w14:textFill>
                  <w14:solidFill>
                    <w14:schemeClr w14:val="tx1"/>
                  </w14:solidFill>
                </w14:textFill>
              </w:rPr>
              <w:t>表3-8《建筑施工场界环境噪声排放标准》（GB12523-2011）单位：dB（A）</w:t>
            </w:r>
          </w:p>
          <w:tbl>
            <w:tblPr>
              <w:tblStyle w:val="24"/>
              <w:tblW w:w="793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3968"/>
              <w:gridCol w:w="396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743"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昼间</w:t>
                  </w:r>
                </w:p>
              </w:tc>
              <w:tc>
                <w:tcPr>
                  <w:tcW w:w="3743"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743"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70</w:t>
                  </w:r>
                </w:p>
              </w:tc>
              <w:tc>
                <w:tcPr>
                  <w:tcW w:w="3743"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55</w:t>
                  </w:r>
                </w:p>
              </w:tc>
            </w:tr>
          </w:tbl>
          <w:p>
            <w:pPr>
              <w:adjustRightInd w:val="0"/>
              <w:snapToGrid w:val="0"/>
              <w:spacing w:line="360" w:lineRule="auto"/>
              <w:ind w:firstLine="480" w:firstLineChars="200"/>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3、本项目产生的一般固体废物执行《中华人民共和国固体废物污染环境防治法》（2020修订）；生活垃圾执行《中华人民共和国固体废物污染环境防治法》（2020修订）相关标准要求。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000000" w:themeColor="text1"/>
                <w:kern w:val="0"/>
                <w:szCs w:val="21"/>
                <w14:textFill>
                  <w14:solidFill>
                    <w14:schemeClr w14:val="tx1"/>
                  </w14:solidFill>
                </w14:textFill>
              </w:rPr>
            </w:pPr>
            <w:r>
              <w:rPr>
                <w:rFonts w:hint="default" w:ascii="Times New Roman" w:hAnsi="Times New Roman" w:cs="Times New Roman"/>
                <w:color w:val="000000" w:themeColor="text1"/>
                <w:kern w:val="0"/>
                <w:szCs w:val="21"/>
                <w14:textFill>
                  <w14:solidFill>
                    <w14:schemeClr w14:val="tx1"/>
                  </w14:solidFill>
                </w14:textFill>
              </w:rPr>
              <w:t>其他</w:t>
            </w:r>
          </w:p>
        </w:tc>
        <w:tc>
          <w:tcPr>
            <w:tcW w:w="8253" w:type="dxa"/>
            <w:vAlign w:val="center"/>
          </w:tcPr>
          <w:p>
            <w:pPr>
              <w:adjustRightInd w:val="0"/>
              <w:snapToGrid w:val="0"/>
              <w:spacing w:line="360" w:lineRule="auto"/>
              <w:ind w:firstLine="480" w:firstLineChars="200"/>
              <w:jc w:val="left"/>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sz w:val="24"/>
                <w:szCs w:val="32"/>
                <w14:textFill>
                  <w14:solidFill>
                    <w14:schemeClr w14:val="tx1"/>
                  </w14:solidFill>
                </w14:textFill>
              </w:rPr>
              <w:t>无</w:t>
            </w:r>
          </w:p>
        </w:tc>
      </w:tr>
    </w:tbl>
    <w:p>
      <w:pPr>
        <w:pStyle w:val="19"/>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r>
        <w:rPr>
          <w:rFonts w:hint="default" w:ascii="Times New Roman" w:hAnsi="Times New Roman" w:eastAsia="黑体" w:cs="Times New Roman"/>
          <w:snapToGrid w:val="0"/>
          <w:color w:val="000000" w:themeColor="text1"/>
          <w:kern w:val="2"/>
          <w:sz w:val="36"/>
          <w:szCs w:val="36"/>
          <w14:textFill>
            <w14:solidFill>
              <w14:schemeClr w14:val="tx1"/>
            </w14:solidFill>
          </w14:textFill>
        </w:rPr>
        <w:br w:type="page"/>
      </w:r>
      <w:bookmarkStart w:id="11" w:name="_Toc20567"/>
      <w:r>
        <w:rPr>
          <w:rFonts w:hint="default" w:ascii="Times New Roman" w:hAnsi="Times New Roman" w:eastAsia="黑体" w:cs="Times New Roman"/>
          <w:snapToGrid w:val="0"/>
          <w:color w:val="000000" w:themeColor="text1"/>
          <w:sz w:val="30"/>
          <w:szCs w:val="30"/>
          <w14:textFill>
            <w14:solidFill>
              <w14:schemeClr w14:val="tx1"/>
            </w14:solidFill>
          </w14:textFill>
        </w:rPr>
        <w:t>四、生态环境影响分析</w:t>
      </w:r>
      <w:bookmarkEnd w:id="11"/>
    </w:p>
    <w:tbl>
      <w:tblPr>
        <w:tblStyle w:val="24"/>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79"/>
        <w:gridCol w:w="83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06" w:hRule="atLeast"/>
          <w:jc w:val="center"/>
        </w:trPr>
        <w:tc>
          <w:tcPr>
            <w:tcW w:w="879" w:type="dxa"/>
            <w:tcMar>
              <w:left w:w="28" w:type="dxa"/>
              <w:right w:w="28" w:type="dxa"/>
            </w:tcMar>
            <w:vAlign w:val="center"/>
          </w:tcPr>
          <w:p>
            <w:pPr>
              <w:pStyle w:val="19"/>
              <w:adjustRightInd w:val="0"/>
              <w:snapToGrid w:val="0"/>
              <w:spacing w:before="0" w:beforeAutospacing="0" w:after="0" w:afterAutospacing="0"/>
              <w:jc w:val="center"/>
              <w:rPr>
                <w:rFonts w:hint="default" w:ascii="Times New Roman" w:hAnsi="Times New Roman" w:cs="Times New Roman"/>
                <w:bCs/>
                <w:color w:val="000000" w:themeColor="text1"/>
                <w:kern w:val="2"/>
                <w:sz w:val="21"/>
                <w:szCs w:val="21"/>
                <w14:textFill>
                  <w14:solidFill>
                    <w14:schemeClr w14:val="tx1"/>
                  </w14:solidFill>
                </w14:textFill>
              </w:rPr>
            </w:pPr>
            <w:bookmarkStart w:id="12" w:name="_Hlk49796138"/>
            <w:r>
              <w:rPr>
                <w:rFonts w:hint="default" w:ascii="Times New Roman" w:hAnsi="Times New Roman" w:cs="Times New Roman"/>
                <w:bCs/>
                <w:color w:val="000000" w:themeColor="text1"/>
                <w:spacing w:val="10"/>
                <w:kern w:val="2"/>
                <w:sz w:val="21"/>
                <w:szCs w:val="21"/>
                <w14:textFill>
                  <w14:solidFill>
                    <w14:schemeClr w14:val="tx1"/>
                  </w14:solidFill>
                </w14:textFill>
              </w:rPr>
              <w:t>施工期生态环境影响分析</w:t>
            </w:r>
            <w:bookmarkEnd w:id="12"/>
          </w:p>
        </w:tc>
        <w:tc>
          <w:tcPr>
            <w:tcW w:w="8363" w:type="dxa"/>
          </w:tcPr>
          <w:p>
            <w:pPr>
              <w:adjustRightInd w:val="0"/>
              <w:snapToGrid w:val="0"/>
              <w:spacing w:line="360" w:lineRule="auto"/>
              <w:ind w:firstLine="482" w:firstLineChars="200"/>
              <w:rPr>
                <w:rFonts w:hint="default" w:ascii="Times New Roman" w:hAnsi="Times New Roman" w:cs="Times New Roman"/>
                <w:b/>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二、施工期环境空气影响分析</w:t>
            </w:r>
          </w:p>
          <w:p>
            <w:pPr>
              <w:adjustRightInd w:val="0"/>
              <w:snapToGri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1、施工现场扬尘</w:t>
            </w:r>
          </w:p>
          <w:p>
            <w:pPr>
              <w:adjustRightInd w:val="0"/>
              <w:snapToGri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本项目施工扬尘主要来自土方工程和建筑垃圾拆除、运输过程中产生的扬尘等。但是随着距施工现场距离的增加，同时对施工场地洒水降尘等措施的跟进，大气环境中TSP浓度逐渐降低，至150m以外将不会造成明显影响；弃土回填、建筑垃圾转运时，受风力作用也易发生扬尘，且扬尘基本上集中在下风向50m范围内，考虑到扬尘对人体健康和植被的有害作用，通过定期洒水、篷布遮挡等措施，可有效防止风吹起尘，将扬尘影响控制在较低水平。</w:t>
            </w:r>
          </w:p>
          <w:p>
            <w:pPr>
              <w:adjustRightInd w:val="0"/>
              <w:snapToGrid w:val="0"/>
              <w:spacing w:line="360" w:lineRule="auto"/>
              <w:ind w:firstLine="480" w:firstLineChars="200"/>
              <w:rPr>
                <w:rFonts w:hint="default" w:ascii="Times New Roman" w:hAnsi="Times New Roman" w:cs="Times New Roman"/>
                <w:bCs/>
                <w:color w:val="000000" w:themeColor="text1"/>
                <w:sz w:val="24"/>
                <w:lang w:bidi="ar"/>
                <w14:textFill>
                  <w14:solidFill>
                    <w14:schemeClr w14:val="tx1"/>
                  </w14:solidFill>
                </w14:textFill>
              </w:rPr>
            </w:pPr>
            <w:r>
              <w:rPr>
                <w:rFonts w:hint="default" w:ascii="Times New Roman" w:hAnsi="Times New Roman" w:cs="Times New Roman"/>
                <w:bCs/>
                <w:color w:val="000000" w:themeColor="text1"/>
                <w:sz w:val="24"/>
                <w:lang w:bidi="ar"/>
                <w14:textFill>
                  <w14:solidFill>
                    <w14:schemeClr w14:val="tx1"/>
                  </w14:solidFill>
                </w14:textFill>
              </w:rPr>
              <w:t>2、施工作业机械尾气</w:t>
            </w:r>
          </w:p>
          <w:p>
            <w:pPr>
              <w:adjustRightInd w:val="0"/>
              <w:snapToGrid w:val="0"/>
              <w:spacing w:line="360" w:lineRule="auto"/>
              <w:ind w:firstLine="480" w:firstLineChars="200"/>
              <w:rPr>
                <w:rFonts w:hint="default" w:ascii="Times New Roman" w:hAnsi="Times New Roman" w:cs="Times New Roman"/>
                <w:bCs/>
                <w:color w:val="000000" w:themeColor="text1"/>
                <w:sz w:val="24"/>
                <w:lang w:bidi="ar"/>
                <w14:textFill>
                  <w14:solidFill>
                    <w14:schemeClr w14:val="tx1"/>
                  </w14:solidFill>
                </w14:textFill>
              </w:rPr>
            </w:pPr>
            <w:r>
              <w:rPr>
                <w:rFonts w:hint="default" w:ascii="Times New Roman" w:hAnsi="Times New Roman" w:cs="Times New Roman"/>
                <w:bCs/>
                <w:color w:val="000000" w:themeColor="text1"/>
                <w:sz w:val="24"/>
                <w:lang w:bidi="ar"/>
                <w14:textFill>
                  <w14:solidFill>
                    <w14:schemeClr w14:val="tx1"/>
                  </w14:solidFill>
                </w14:textFill>
              </w:rPr>
              <w:t>本项目施工期施工机械主要有挖掘机、推土机、柴油动力机械等燃油机械，其排放的污染物主要有CO、NO</w:t>
            </w:r>
            <w:r>
              <w:rPr>
                <w:rFonts w:hint="default" w:ascii="Times New Roman" w:hAnsi="Times New Roman" w:cs="Times New Roman"/>
                <w:bCs/>
                <w:color w:val="000000" w:themeColor="text1"/>
                <w:sz w:val="24"/>
                <w:vertAlign w:val="subscript"/>
                <w:lang w:bidi="ar"/>
                <w14:textFill>
                  <w14:solidFill>
                    <w14:schemeClr w14:val="tx1"/>
                  </w14:solidFill>
                </w14:textFill>
              </w:rPr>
              <w:t>2</w:t>
            </w:r>
            <w:r>
              <w:rPr>
                <w:rFonts w:hint="default" w:ascii="Times New Roman" w:hAnsi="Times New Roman" w:cs="Times New Roman"/>
                <w:bCs/>
                <w:color w:val="000000" w:themeColor="text1"/>
                <w:sz w:val="24"/>
                <w:lang w:bidi="ar"/>
                <w14:textFill>
                  <w14:solidFill>
                    <w14:schemeClr w14:val="tx1"/>
                  </w14:solidFill>
                </w14:textFill>
              </w:rPr>
              <w:t>；参考其他类似工程施工现场监测结果，在距离现场50m处，空气环境中CO、NO</w:t>
            </w:r>
            <w:r>
              <w:rPr>
                <w:rFonts w:hint="default" w:ascii="Times New Roman" w:hAnsi="Times New Roman" w:cs="Times New Roman"/>
                <w:bCs/>
                <w:color w:val="000000" w:themeColor="text1"/>
                <w:sz w:val="24"/>
                <w:vertAlign w:val="subscript"/>
                <w:lang w:bidi="ar"/>
                <w14:textFill>
                  <w14:solidFill>
                    <w14:schemeClr w14:val="tx1"/>
                  </w14:solidFill>
                </w14:textFill>
              </w:rPr>
              <w:t>2</w:t>
            </w:r>
            <w:r>
              <w:rPr>
                <w:rFonts w:hint="default" w:ascii="Times New Roman" w:hAnsi="Times New Roman" w:cs="Times New Roman"/>
                <w:bCs/>
                <w:color w:val="000000" w:themeColor="text1"/>
                <w:sz w:val="24"/>
                <w:lang w:bidi="ar"/>
                <w14:textFill>
                  <w14:solidFill>
                    <w14:schemeClr w14:val="tx1"/>
                  </w14:solidFill>
                </w14:textFill>
              </w:rPr>
              <w:t>1小时平均浓度分别为0.20mg/m</w:t>
            </w:r>
            <w:r>
              <w:rPr>
                <w:rFonts w:hint="default" w:ascii="Times New Roman" w:hAnsi="Times New Roman" w:cs="Times New Roman"/>
                <w:bCs/>
                <w:color w:val="000000" w:themeColor="text1"/>
                <w:sz w:val="24"/>
                <w:vertAlign w:val="superscript"/>
                <w:lang w:bidi="ar"/>
                <w14:textFill>
                  <w14:solidFill>
                    <w14:schemeClr w14:val="tx1"/>
                  </w14:solidFill>
                </w14:textFill>
              </w:rPr>
              <w:t>3</w:t>
            </w:r>
            <w:r>
              <w:rPr>
                <w:rFonts w:hint="default" w:ascii="Times New Roman" w:hAnsi="Times New Roman" w:cs="Times New Roman"/>
                <w:bCs/>
                <w:color w:val="000000" w:themeColor="text1"/>
                <w:sz w:val="24"/>
                <w:lang w:bidi="ar"/>
                <w14:textFill>
                  <w14:solidFill>
                    <w14:schemeClr w14:val="tx1"/>
                  </w14:solidFill>
                </w14:textFill>
              </w:rPr>
              <w:t>和0.13mg/m</w:t>
            </w:r>
            <w:r>
              <w:rPr>
                <w:rFonts w:hint="default" w:ascii="Times New Roman" w:hAnsi="Times New Roman" w:cs="Times New Roman"/>
                <w:bCs/>
                <w:color w:val="000000" w:themeColor="text1"/>
                <w:sz w:val="24"/>
                <w:vertAlign w:val="superscript"/>
                <w:lang w:bidi="ar"/>
                <w14:textFill>
                  <w14:solidFill>
                    <w14:schemeClr w14:val="tx1"/>
                  </w14:solidFill>
                </w14:textFill>
              </w:rPr>
              <w:t>3</w:t>
            </w:r>
            <w:r>
              <w:rPr>
                <w:rFonts w:hint="default" w:ascii="Times New Roman" w:hAnsi="Times New Roman" w:cs="Times New Roman"/>
                <w:bCs/>
                <w:color w:val="000000" w:themeColor="text1"/>
                <w:sz w:val="24"/>
                <w:lang w:bidi="ar"/>
                <w14:textFill>
                  <w14:solidFill>
                    <w14:schemeClr w14:val="tx1"/>
                  </w14:solidFill>
                </w14:textFill>
              </w:rPr>
              <w:t>，24小时平均浓度分别为0.13mg/m</w:t>
            </w:r>
            <w:r>
              <w:rPr>
                <w:rFonts w:hint="default" w:ascii="Times New Roman" w:hAnsi="Times New Roman" w:cs="Times New Roman"/>
                <w:bCs/>
                <w:color w:val="000000" w:themeColor="text1"/>
                <w:sz w:val="24"/>
                <w:vertAlign w:val="superscript"/>
                <w:lang w:bidi="ar"/>
                <w14:textFill>
                  <w14:solidFill>
                    <w14:schemeClr w14:val="tx1"/>
                  </w14:solidFill>
                </w14:textFill>
              </w:rPr>
              <w:t>3</w:t>
            </w:r>
            <w:r>
              <w:rPr>
                <w:rFonts w:hint="default" w:ascii="Times New Roman" w:hAnsi="Times New Roman" w:cs="Times New Roman"/>
                <w:bCs/>
                <w:color w:val="000000" w:themeColor="text1"/>
                <w:sz w:val="24"/>
                <w:lang w:bidi="ar"/>
                <w14:textFill>
                  <w14:solidFill>
                    <w14:schemeClr w14:val="tx1"/>
                  </w14:solidFill>
                </w14:textFill>
              </w:rPr>
              <w:t>和0.062mg/m</w:t>
            </w:r>
            <w:r>
              <w:rPr>
                <w:rFonts w:hint="default" w:ascii="Times New Roman" w:hAnsi="Times New Roman" w:cs="Times New Roman"/>
                <w:bCs/>
                <w:color w:val="000000" w:themeColor="text1"/>
                <w:sz w:val="24"/>
                <w:vertAlign w:val="superscript"/>
                <w:lang w:bidi="ar"/>
                <w14:textFill>
                  <w14:solidFill>
                    <w14:schemeClr w14:val="tx1"/>
                  </w14:solidFill>
                </w14:textFill>
              </w:rPr>
              <w:t>3</w:t>
            </w:r>
            <w:r>
              <w:rPr>
                <w:rFonts w:hint="default" w:ascii="Times New Roman" w:hAnsi="Times New Roman" w:cs="Times New Roman"/>
                <w:bCs/>
                <w:color w:val="000000" w:themeColor="text1"/>
                <w:sz w:val="24"/>
                <w:lang w:bidi="ar"/>
                <w14:textFill>
                  <w14:solidFill>
                    <w14:schemeClr w14:val="tx1"/>
                  </w14:solidFill>
                </w14:textFill>
              </w:rPr>
              <w:t>，均能满足《环境空气质量标准》（GB3095-2012）中二级标准的要求，施工机械尾气对评价范围内大气环境不利影响较小。</w:t>
            </w:r>
          </w:p>
          <w:p>
            <w:pPr>
              <w:adjustRightInd w:val="0"/>
              <w:snapToGrid w:val="0"/>
              <w:spacing w:line="360" w:lineRule="auto"/>
              <w:ind w:firstLine="482" w:firstLineChars="200"/>
              <w:rPr>
                <w:rFonts w:hint="default" w:ascii="Times New Roman" w:hAnsi="Times New Roman" w:cs="Times New Roman"/>
                <w:b/>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二、施工期水环境影响分析</w:t>
            </w:r>
          </w:p>
          <w:p>
            <w:pPr>
              <w:adjustRightInd w:val="0"/>
              <w:snapToGrid w:val="0"/>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本项目施工期废水主要包括施工人员日常产生的生活污水</w:t>
            </w:r>
            <w:r>
              <w:rPr>
                <w:rFonts w:hint="default" w:ascii="Times New Roman" w:hAnsi="Times New Roman" w:eastAsia="宋体" w:cs="Times New Roman"/>
                <w:bCs/>
                <w:color w:val="000000" w:themeColor="text1"/>
                <w:sz w:val="24"/>
                <w:lang w:val="en-US" w:eastAsia="zh-CN"/>
                <w14:textFill>
                  <w14:solidFill>
                    <w14:schemeClr w14:val="tx1"/>
                  </w14:solidFill>
                </w14:textFill>
              </w:rPr>
              <w:t>及</w:t>
            </w:r>
            <w:r>
              <w:rPr>
                <w:rFonts w:hint="default" w:ascii="Times New Roman" w:hAnsi="Times New Roman" w:eastAsia="宋体" w:cs="Times New Roman"/>
                <w:bCs/>
                <w:color w:val="000000" w:themeColor="text1"/>
                <w:sz w:val="24"/>
                <w14:textFill>
                  <w14:solidFill>
                    <w14:schemeClr w14:val="tx1"/>
                  </w14:solidFill>
                </w14:textFill>
              </w:rPr>
              <w:t>车辆、机械冲洗废水。</w:t>
            </w: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本项目不设施工营地，项目租用当地民房院落，施工人员约为30人，生活污水主要为施工人员及项目人员的洗漱废水。每人每天生活用水量按50L计，则用水量为1.5m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/d，以水的消耗率为20%计，则生活污水排放量约1.2m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w:t>
            </w:r>
            <w:r>
              <w:rPr>
                <w:rFonts w:hint="default" w:ascii="Times New Roman" w:hAnsi="Times New Roman" w:cs="Times New Roman"/>
                <w:bCs/>
                <w:color w:val="000000" w:themeColor="text1"/>
                <w:sz w:val="24"/>
                <w:lang w:val="en-US" w:eastAsia="zh-CN"/>
                <w14:textFill>
                  <w14:solidFill>
                    <w14:schemeClr w14:val="tx1"/>
                  </w14:solidFill>
                </w14:textFill>
              </w:rPr>
              <w:t>每天车辆冲洗</w:t>
            </w:r>
            <w:r>
              <w:rPr>
                <w:rFonts w:hint="default" w:ascii="Times New Roman" w:hAnsi="Times New Roman" w:cs="Times New Roman"/>
                <w:bCs/>
                <w:color w:val="000000" w:themeColor="text1"/>
                <w:sz w:val="24"/>
                <w14:textFill>
                  <w14:solidFill>
                    <w14:schemeClr w14:val="tx1"/>
                  </w14:solidFill>
                </w14:textFill>
              </w:rPr>
              <w:t>按</w:t>
            </w:r>
            <w:r>
              <w:rPr>
                <w:rFonts w:hint="default" w:ascii="Times New Roman" w:hAnsi="Times New Roman" w:cs="Times New Roman"/>
                <w:bCs/>
                <w:color w:val="000000" w:themeColor="text1"/>
                <w:sz w:val="24"/>
                <w:lang w:val="en-US" w:eastAsia="zh-CN"/>
                <w14:textFill>
                  <w14:solidFill>
                    <w14:schemeClr w14:val="tx1"/>
                  </w14:solidFill>
                </w14:textFill>
              </w:rPr>
              <w:t>3000</w:t>
            </w:r>
            <w:r>
              <w:rPr>
                <w:rFonts w:hint="default" w:ascii="Times New Roman" w:hAnsi="Times New Roman" w:cs="Times New Roman"/>
                <w:bCs/>
                <w:color w:val="000000" w:themeColor="text1"/>
                <w:sz w:val="24"/>
                <w14:textFill>
                  <w14:solidFill>
                    <w14:schemeClr w14:val="tx1"/>
                  </w14:solidFill>
                </w14:textFill>
              </w:rPr>
              <w:t>L计，则用水量为</w:t>
            </w:r>
            <w:r>
              <w:rPr>
                <w:rFonts w:hint="default" w:ascii="Times New Roman" w:hAnsi="Times New Roman" w:cs="Times New Roman"/>
                <w:bCs/>
                <w:color w:val="000000" w:themeColor="text1"/>
                <w:sz w:val="24"/>
                <w:lang w:val="en-US" w:eastAsia="zh-CN"/>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/d，以水的消耗率为20%计，则生活污水排放量约</w:t>
            </w:r>
            <w:r>
              <w:rPr>
                <w:rFonts w:hint="default" w:ascii="Times New Roman" w:hAnsi="Times New Roman" w:cs="Times New Roman"/>
                <w:bCs/>
                <w:color w:val="000000" w:themeColor="text1"/>
                <w:sz w:val="24"/>
                <w:lang w:val="en-US" w:eastAsia="zh-CN"/>
                <w14:textFill>
                  <w14:solidFill>
                    <w14:schemeClr w14:val="tx1"/>
                  </w14:solidFill>
                </w14:textFill>
              </w:rPr>
              <w:t>2.4</w:t>
            </w:r>
            <w:r>
              <w:rPr>
                <w:rFonts w:hint="default" w:ascii="Times New Roman" w:hAnsi="Times New Roman" w:cs="Times New Roman"/>
                <w:bCs/>
                <w:color w:val="000000" w:themeColor="text1"/>
                <w:sz w:val="24"/>
                <w14:textFill>
                  <w14:solidFill>
                    <w14:schemeClr w14:val="tx1"/>
                  </w14:solidFill>
                </w14:textFill>
              </w:rPr>
              <w:t>m</w:t>
            </w:r>
            <w:r>
              <w:rPr>
                <w:rFonts w:hint="default" w:ascii="Times New Roman" w:hAnsi="Times New Roman" w:cs="Times New Roman"/>
                <w:bCs/>
                <w:color w:val="000000" w:themeColor="text1"/>
                <w:sz w:val="24"/>
                <w:vertAlign w:val="superscript"/>
                <w14:textFill>
                  <w14:solidFill>
                    <w14:schemeClr w14:val="tx1"/>
                  </w14:solidFill>
                </w14:textFill>
              </w:rPr>
              <w:t>3</w:t>
            </w:r>
            <w:r>
              <w:rPr>
                <w:rFonts w:hint="default" w:ascii="Times New Roman" w:hAnsi="Times New Roman" w:cs="Times New Roman"/>
                <w:bCs/>
                <w:color w:val="000000" w:themeColor="text1"/>
                <w:sz w:val="24"/>
                <w14:textFill>
                  <w14:solidFill>
                    <w14:schemeClr w14:val="tx1"/>
                  </w14:solidFill>
                </w14:textFill>
              </w:rPr>
              <w:t>/d，主要污染物为COD、SS、BOD</w:t>
            </w:r>
            <w:r>
              <w:rPr>
                <w:rFonts w:hint="default" w:ascii="Times New Roman" w:hAnsi="Times New Roman" w:cs="Times New Roman"/>
                <w:bCs/>
                <w:color w:val="000000" w:themeColor="text1"/>
                <w:sz w:val="24"/>
                <w:vertAlign w:val="subscript"/>
                <w14:textFill>
                  <w14:solidFill>
                    <w14:schemeClr w14:val="tx1"/>
                  </w14:solidFill>
                </w14:textFill>
              </w:rPr>
              <w:t>5</w:t>
            </w:r>
            <w:r>
              <w:rPr>
                <w:rFonts w:hint="default" w:ascii="Times New Roman" w:hAnsi="Times New Roman" w:cs="Times New Roman"/>
                <w:bCs/>
                <w:color w:val="000000" w:themeColor="text1"/>
                <w:sz w:val="24"/>
                <w14:textFill>
                  <w14:solidFill>
                    <w14:schemeClr w14:val="tx1"/>
                  </w14:solidFill>
                </w14:textFill>
              </w:rPr>
              <w:t>等，盥洗</w:t>
            </w:r>
            <w:r>
              <w:rPr>
                <w:rFonts w:hint="default" w:ascii="Times New Roman" w:hAnsi="Times New Roman" w:cs="Times New Roman"/>
                <w:bCs/>
                <w:color w:val="000000" w:themeColor="text1"/>
                <w:sz w:val="24"/>
                <w:lang w:val="en-US" w:eastAsia="zh-CN"/>
                <w14:textFill>
                  <w14:solidFill>
                    <w14:schemeClr w14:val="tx1"/>
                  </w14:solidFill>
                </w14:textFill>
              </w:rPr>
              <w:t>废水依托租住区域排水设施，车辆冲洗</w:t>
            </w:r>
            <w:r>
              <w:rPr>
                <w:rFonts w:hint="default" w:ascii="Times New Roman" w:hAnsi="Times New Roman" w:cs="Times New Roman"/>
                <w:bCs/>
                <w:color w:val="000000" w:themeColor="text1"/>
                <w:sz w:val="24"/>
                <w14:textFill>
                  <w14:solidFill>
                    <w14:schemeClr w14:val="tx1"/>
                  </w14:solidFill>
                </w14:textFill>
              </w:rPr>
              <w:t>废水用于施工场地洒水降尘，粪污依托租用的民房所在社区化粪池处理后用于农家堆肥。</w:t>
            </w:r>
          </w:p>
          <w:p>
            <w:pPr>
              <w:adjustRightInd w:val="0"/>
              <w:snapToGrid w:val="0"/>
              <w:spacing w:line="360" w:lineRule="auto"/>
              <w:ind w:firstLine="482" w:firstLineChars="20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三、施工期噪声环境影响分析</w:t>
            </w:r>
          </w:p>
          <w:p>
            <w:pPr>
              <w:adjustRightInd w:val="0"/>
              <w:snapToGrid w:val="0"/>
              <w:spacing w:line="360" w:lineRule="auto"/>
              <w:ind w:firstLine="480" w:firstLineChars="200"/>
              <w:rPr>
                <w:rFonts w:hint="default" w:ascii="Times New Roman" w:hAnsi="Times New Roman" w:cs="Times New Roman"/>
                <w:bCs/>
                <w:snapToGrid w:val="0"/>
                <w:color w:val="000000" w:themeColor="text1"/>
                <w:sz w:val="24"/>
                <w14:textFill>
                  <w14:solidFill>
                    <w14:schemeClr w14:val="tx1"/>
                  </w14:solidFill>
                </w14:textFill>
              </w:rPr>
            </w:pPr>
            <w:r>
              <w:rPr>
                <w:rFonts w:hint="default" w:ascii="Times New Roman" w:hAnsi="Times New Roman" w:cs="Times New Roman"/>
                <w:bCs/>
                <w:snapToGrid w:val="0"/>
                <w:color w:val="000000" w:themeColor="text1"/>
                <w:sz w:val="24"/>
                <w14:textFill>
                  <w14:solidFill>
                    <w14:schemeClr w14:val="tx1"/>
                  </w14:solidFill>
                </w14:textFill>
              </w:rPr>
              <w:t>⑴噪声污染源统计分析</w:t>
            </w:r>
          </w:p>
          <w:p>
            <w:pPr>
              <w:adjustRightInd w:val="0"/>
              <w:snapToGrid w:val="0"/>
              <w:spacing w:line="360" w:lineRule="auto"/>
              <w:ind w:firstLine="480" w:firstLineChars="200"/>
              <w:rPr>
                <w:rFonts w:hint="default" w:ascii="Times New Roman" w:hAnsi="Times New Roman" w:cs="Times New Roman"/>
                <w:color w:val="000000" w:themeColor="text1"/>
                <w:sz w:val="24"/>
                <w:lang w:val="zh-CN"/>
                <w14:textFill>
                  <w14:solidFill>
                    <w14:schemeClr w14:val="tx1"/>
                  </w14:solidFill>
                </w14:textFill>
              </w:rPr>
            </w:pPr>
            <w:r>
              <w:rPr>
                <w:rFonts w:hint="default" w:ascii="Times New Roman" w:hAnsi="Times New Roman" w:cs="Times New Roman"/>
                <w:color w:val="000000" w:themeColor="text1"/>
                <w:sz w:val="24"/>
                <w:lang w:val="zh-CN"/>
                <w14:textFill>
                  <w14:solidFill>
                    <w14:schemeClr w14:val="tx1"/>
                  </w14:solidFill>
                </w14:textFill>
              </w:rPr>
              <w:t>在施工过程中，由于各种施工机械设备的运转和各类车辆的运行，不可避免地将产生噪声污染。施工中使用的各种施工机械、运输车辆等都是噪声的产生源。根据有关资料主要施工机械的噪声状况列于下表：</w:t>
            </w:r>
          </w:p>
          <w:p>
            <w:pPr>
              <w:pStyle w:val="20"/>
              <w:spacing w:line="360" w:lineRule="atLeast"/>
              <w:rPr>
                <w:rFonts w:hint="default" w:ascii="Times New Roman" w:hAnsi="Times New Roman" w:cs="Times New Roman"/>
                <w:color w:val="000000" w:themeColor="text1"/>
                <w:sz w:val="21"/>
                <w:szCs w:val="21"/>
                <w14:textFill>
                  <w14:solidFill>
                    <w14:schemeClr w14:val="tx1"/>
                  </w14:solidFill>
                </w14:textFill>
              </w:rPr>
            </w:pPr>
            <w:bookmarkStart w:id="13" w:name="_Toc2762"/>
            <w:r>
              <w:rPr>
                <w:rFonts w:hint="default" w:ascii="Times New Roman" w:hAnsi="Times New Roman" w:cs="Times New Roman"/>
                <w:color w:val="000000" w:themeColor="text1"/>
                <w:sz w:val="21"/>
                <w:szCs w:val="21"/>
                <w14:textFill>
                  <w14:solidFill>
                    <w14:schemeClr w14:val="tx1"/>
                  </w14:solidFill>
                </w14:textFill>
              </w:rPr>
              <w:t>表4-1施工机械设备噪声</w:t>
            </w:r>
            <w:bookmarkEnd w:id="13"/>
          </w:p>
          <w:tbl>
            <w:tblPr>
              <w:tblStyle w:val="24"/>
              <w:tblW w:w="5000" w:type="pct"/>
              <w:jc w:val="center"/>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autofit"/>
              <w:tblCellMar>
                <w:top w:w="0" w:type="dxa"/>
                <w:left w:w="108" w:type="dxa"/>
                <w:bottom w:w="0" w:type="dxa"/>
                <w:right w:w="108" w:type="dxa"/>
              </w:tblCellMar>
            </w:tblPr>
            <w:tblGrid>
              <w:gridCol w:w="3038"/>
              <w:gridCol w:w="5109"/>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2960"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施工设备名称</w:t>
                  </w:r>
                </w:p>
              </w:tc>
              <w:tc>
                <w:tcPr>
                  <w:tcW w:w="4977" w:type="dxa"/>
                  <w:vAlign w:val="center"/>
                </w:tcPr>
                <w:p>
                  <w:pPr>
                    <w:adjustRightInd w:val="0"/>
                    <w:snapToGrid w:val="0"/>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声功率级dB（A）</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2960"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挖掘机</w:t>
                  </w:r>
                </w:p>
              </w:tc>
              <w:tc>
                <w:tcPr>
                  <w:tcW w:w="4977"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96</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2960"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推土机</w:t>
                  </w:r>
                </w:p>
              </w:tc>
              <w:tc>
                <w:tcPr>
                  <w:tcW w:w="4977" w:type="dxa"/>
                  <w:vAlign w:val="center"/>
                </w:tcPr>
                <w:p>
                  <w:pPr>
                    <w:pStyle w:val="6"/>
                    <w:adjustRightInd w:val="0"/>
                    <w:snapToGrid w:val="0"/>
                    <w:ind w:firstLine="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95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2960"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起重机</w:t>
                  </w:r>
                </w:p>
              </w:tc>
              <w:tc>
                <w:tcPr>
                  <w:tcW w:w="4977"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103</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2960"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卡车</w:t>
                  </w:r>
                </w:p>
              </w:tc>
              <w:tc>
                <w:tcPr>
                  <w:tcW w:w="4977"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85</w:t>
                  </w:r>
                </w:p>
              </w:tc>
            </w:tr>
          </w:tbl>
          <w:p>
            <w:pPr>
              <w:adjustRightInd w:val="0"/>
              <w:snapToGrid w:val="0"/>
              <w:spacing w:line="360" w:lineRule="auto"/>
              <w:ind w:firstLine="480" w:firstLineChars="200"/>
              <w:rPr>
                <w:rFonts w:hint="default" w:ascii="Times New Roman" w:hAnsi="Times New Roman" w:cs="Times New Roman"/>
                <w:snapToGrid w:val="0"/>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由上表可以看出现场施工机械设备噪声很高，在实际施工过程中，往往是各种机械同时工作，各种噪声源辐射的相互叠加，噪声级将会更高，辐射面也会更大。</w:t>
            </w:r>
          </w:p>
          <w:p>
            <w:pPr>
              <w:adjustRightInd w:val="0"/>
              <w:snapToGrid w:val="0"/>
              <w:spacing w:line="360" w:lineRule="auto"/>
              <w:ind w:firstLine="480" w:firstLineChars="200"/>
              <w:rPr>
                <w:rFonts w:hint="default" w:ascii="Times New Roman" w:hAnsi="Times New Roman" w:cs="Times New Roman"/>
                <w:bCs/>
                <w:snapToGrid w:val="0"/>
                <w:color w:val="000000" w:themeColor="text1"/>
                <w:sz w:val="24"/>
                <w14:textFill>
                  <w14:solidFill>
                    <w14:schemeClr w14:val="tx1"/>
                  </w14:solidFill>
                </w14:textFill>
              </w:rPr>
            </w:pPr>
            <w:r>
              <w:rPr>
                <w:rFonts w:hint="default" w:ascii="Times New Roman" w:hAnsi="Times New Roman" w:cs="Times New Roman"/>
                <w:bCs/>
                <w:snapToGrid w:val="0"/>
                <w:color w:val="000000" w:themeColor="text1"/>
                <w:sz w:val="24"/>
                <w14:textFill>
                  <w14:solidFill>
                    <w14:schemeClr w14:val="tx1"/>
                  </w14:solidFill>
                </w14:textFill>
              </w:rPr>
              <w:t>⑵噪声影响预测分析</w:t>
            </w:r>
          </w:p>
          <w:p>
            <w:pPr>
              <w:adjustRightInd w:val="0"/>
              <w:snapToGrid w:val="0"/>
              <w:spacing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施工噪声对周围地区声环境的影响，采用《建筑施工场界环境噪声排放标准》（GB12523-2011）进行评价。</w:t>
            </w:r>
          </w:p>
          <w:p>
            <w:pPr>
              <w:adjustRightInd w:val="0"/>
              <w:snapToGrid w:val="0"/>
              <w:jc w:val="center"/>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表4-2建筑施工场界环境噪声排放限值（GB12523-2011）单位：dB（A）</w:t>
            </w:r>
          </w:p>
          <w:tbl>
            <w:tblPr>
              <w:tblStyle w:val="24"/>
              <w:tblW w:w="5000" w:type="pct"/>
              <w:jc w:val="center"/>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autofit"/>
              <w:tblCellMar>
                <w:top w:w="0" w:type="dxa"/>
                <w:left w:w="108" w:type="dxa"/>
                <w:bottom w:w="0" w:type="dxa"/>
                <w:right w:w="108" w:type="dxa"/>
              </w:tblCellMar>
            </w:tblPr>
            <w:tblGrid>
              <w:gridCol w:w="4199"/>
              <w:gridCol w:w="3948"/>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4735" w:type="dxa"/>
                  <w:vAlign w:val="center"/>
                </w:tcPr>
                <w:p>
                  <w:pPr>
                    <w:adjustRightInd w:val="0"/>
                    <w:snapToGrid w:val="0"/>
                    <w:jc w:val="center"/>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昼间</w:t>
                  </w:r>
                </w:p>
              </w:tc>
              <w:tc>
                <w:tcPr>
                  <w:tcW w:w="4449" w:type="dxa"/>
                  <w:vAlign w:val="center"/>
                </w:tcPr>
                <w:p>
                  <w:pPr>
                    <w:adjustRightInd w:val="0"/>
                    <w:snapToGrid w:val="0"/>
                    <w:jc w:val="center"/>
                    <w:rPr>
                      <w:rFonts w:hint="default" w:ascii="Times New Roman" w:hAnsi="Times New Roman" w:cs="Times New Roman"/>
                      <w:b/>
                      <w:color w:val="000000" w:themeColor="text1"/>
                      <w:szCs w:val="21"/>
                      <w14:textFill>
                        <w14:solidFill>
                          <w14:schemeClr w14:val="tx1"/>
                        </w14:solidFill>
                      </w14:textFill>
                    </w:rPr>
                  </w:pPr>
                  <w:r>
                    <w:rPr>
                      <w:rFonts w:hint="default" w:ascii="Times New Roman" w:hAnsi="Times New Roman" w:cs="Times New Roman"/>
                      <w:b/>
                      <w:color w:val="000000" w:themeColor="text1"/>
                      <w:szCs w:val="21"/>
                      <w14:textFill>
                        <w14:solidFill>
                          <w14:schemeClr w14:val="tx1"/>
                        </w14:solidFill>
                      </w14:textFill>
                    </w:rPr>
                    <w:t>夜间</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exact"/>
                <w:jc w:val="center"/>
              </w:trPr>
              <w:tc>
                <w:tcPr>
                  <w:tcW w:w="4735"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70</w:t>
                  </w:r>
                </w:p>
              </w:tc>
              <w:tc>
                <w:tcPr>
                  <w:tcW w:w="4449" w:type="dxa"/>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55</w:t>
                  </w:r>
                </w:p>
              </w:tc>
            </w:tr>
          </w:tbl>
          <w:p>
            <w:pPr>
              <w:adjustRightInd w:val="0"/>
              <w:snapToGrid w:val="0"/>
              <w:spacing w:line="360" w:lineRule="auto"/>
              <w:ind w:firstLine="480" w:firstLineChars="200"/>
              <w:rPr>
                <w:rFonts w:hint="default" w:ascii="Times New Roman" w:hAnsi="Times New Roman" w:cs="Times New Roman"/>
                <w:snapToGrid w:val="0"/>
                <w:color w:val="000000" w:themeColor="text1"/>
                <w:sz w:val="24"/>
                <w14:textFill>
                  <w14:solidFill>
                    <w14:schemeClr w14:val="tx1"/>
                  </w14:solidFill>
                </w14:textFill>
              </w:rPr>
            </w:pPr>
            <w:r>
              <w:rPr>
                <w:rFonts w:hint="default" w:ascii="Times New Roman" w:hAnsi="Times New Roman" w:cs="Times New Roman"/>
                <w:snapToGrid w:val="0"/>
                <w:color w:val="000000" w:themeColor="text1"/>
                <w:sz w:val="24"/>
                <w14:textFill>
                  <w14:solidFill>
                    <w14:schemeClr w14:val="tx1"/>
                  </w14:solidFill>
                </w14:textFill>
              </w:rPr>
              <w:t>建设单位通过合理安排施工机械设备的位置，将固定式高噪声设备设置在操作间内，并对高噪声设备采取减振、隔音、选择合理施工时间等措施，可保证项目施工场界噪声满足《建筑施工场界环境噪声排放标准》（GB12523-2011）的要求。本项目施工场地距噪声敏感点最近处为20m，施工噪声对村庄环境影响较大，可适当设置施工挡板。</w:t>
            </w:r>
            <w:r>
              <w:rPr>
                <w:rFonts w:hint="default" w:ascii="Times New Roman" w:hAnsi="Times New Roman" w:cs="Times New Roman"/>
                <w:sz w:val="24"/>
              </w:rPr>
              <w:t>合理安排作业时间，禁止在夜间（北京时间22:00至次日6:00）及午间（北京时间12:00至14:00）进行施工，尽量不给周围居民的生活带来影响。</w:t>
            </w:r>
          </w:p>
          <w:p>
            <w:pPr>
              <w:adjustRightInd w:val="0"/>
              <w:snapToGrid w:val="0"/>
              <w:spacing w:line="360" w:lineRule="auto"/>
              <w:rPr>
                <w:rFonts w:hint="default" w:ascii="Times New Roman" w:hAnsi="Times New Roman" w:cs="Times New Roman"/>
                <w:b/>
                <w:bCs/>
                <w:snapToGrid w:val="0"/>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四、</w:t>
            </w:r>
            <w:r>
              <w:rPr>
                <w:rFonts w:hint="default" w:ascii="Times New Roman" w:hAnsi="Times New Roman" w:cs="Times New Roman"/>
                <w:b/>
                <w:bCs/>
                <w:snapToGrid w:val="0"/>
                <w:color w:val="000000" w:themeColor="text1"/>
                <w:sz w:val="24"/>
                <w14:textFill>
                  <w14:solidFill>
                    <w14:schemeClr w14:val="tx1"/>
                  </w14:solidFill>
                </w14:textFill>
              </w:rPr>
              <w:t>固体废物环境影响分析</w:t>
            </w:r>
          </w:p>
          <w:p>
            <w:pPr>
              <w:pStyle w:val="8"/>
              <w:widowControl w:val="0"/>
              <w:overflowPunct w:val="0"/>
              <w:adjustRightInd w:val="0"/>
              <w:spacing w:after="0"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本项目施工期的固体废弃物主要来源为硬化物拆除产生的建筑垃圾及施工人员的生活垃圾，</w:t>
            </w:r>
          </w:p>
          <w:p>
            <w:pPr>
              <w:pStyle w:val="8"/>
              <w:widowControl w:val="0"/>
              <w:overflowPunct w:val="0"/>
              <w:adjustRightInd w:val="0"/>
              <w:spacing w:after="0"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⑴建筑垃圾处理处置的环境影响分析</w:t>
            </w:r>
          </w:p>
          <w:p>
            <w:pPr>
              <w:pStyle w:val="8"/>
              <w:widowControl w:val="0"/>
              <w:overflowPunct w:val="0"/>
              <w:adjustRightInd w:val="0"/>
              <w:spacing w:after="0" w:line="360" w:lineRule="auto"/>
              <w:ind w:firstLine="480" w:firstLineChars="20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根据本项目土石方平衡表可知，本项目开挖土方全部回填用于土地平整，无弃土外运。不能利用的建筑垃圾及清理地表的垃圾，全部运至建筑垃圾处置场，可回收的由附近村庄供村民二次使用，进行了妥善处理。</w:t>
            </w:r>
          </w:p>
          <w:p>
            <w:pPr>
              <w:adjustRightInd w:val="0"/>
              <w:snapToGrid w:val="0"/>
              <w:spacing w:line="360" w:lineRule="auto"/>
              <w:ind w:firstLine="480" w:firstLineChars="200"/>
              <w:rPr>
                <w:rFonts w:hint="default" w:ascii="Times New Roman" w:hAnsi="Times New Roman" w:cs="Times New Roman"/>
                <w:color w:val="000000" w:themeColor="text1"/>
                <w:sz w:val="24"/>
                <w:szCs w:val="32"/>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⑵</w:t>
            </w:r>
            <w:r>
              <w:rPr>
                <w:rFonts w:hint="default" w:ascii="Times New Roman" w:hAnsi="Times New Roman" w:cs="Times New Roman"/>
                <w:color w:val="000000" w:themeColor="text1"/>
                <w:sz w:val="24"/>
                <w:szCs w:val="32"/>
                <w14:textFill>
                  <w14:solidFill>
                    <w14:schemeClr w14:val="tx1"/>
                  </w14:solidFill>
                </w14:textFill>
              </w:rPr>
              <w:t>施工人员生活垃圾</w:t>
            </w:r>
          </w:p>
          <w:p>
            <w:pPr>
              <w:adjustRightInd w:val="0"/>
              <w:snapToGrid w:val="0"/>
              <w:spacing w:line="360" w:lineRule="auto"/>
              <w:ind w:firstLine="480" w:firstLineChars="200"/>
              <w:rPr>
                <w:rFonts w:hint="default" w:ascii="Times New Roman" w:hAnsi="Times New Roman" w:cs="Times New Roman"/>
                <w:color w:val="000000" w:themeColor="text1"/>
                <w:sz w:val="24"/>
                <w:szCs w:val="32"/>
                <w14:textFill>
                  <w14:solidFill>
                    <w14:schemeClr w14:val="tx1"/>
                  </w14:solidFill>
                </w14:textFill>
              </w:rPr>
            </w:pPr>
            <w:r>
              <w:rPr>
                <w:rFonts w:hint="default" w:ascii="Times New Roman" w:hAnsi="Times New Roman" w:cs="Times New Roman"/>
                <w:color w:val="000000" w:themeColor="text1"/>
                <w:sz w:val="24"/>
                <w:szCs w:val="32"/>
                <w14:textFill>
                  <w14:solidFill>
                    <w14:schemeClr w14:val="tx1"/>
                  </w14:solidFill>
                </w14:textFill>
              </w:rPr>
              <w:t>生活垃圾以人均每天产生0.35kg计算，施工人数30人，则施工期（按照365天计算）产生的生活垃圾约3.8325t，施工期产生的生活垃圾由施工单位现场集中收集后送至邻近村庄生活垃圾收集池由当地环卫部门清运。</w:t>
            </w:r>
          </w:p>
          <w:p>
            <w:pPr>
              <w:adjustRightInd w:val="0"/>
              <w:snapToGrid w:val="0"/>
              <w:spacing w:line="360" w:lineRule="auto"/>
              <w:ind w:firstLine="482" w:firstLineChars="200"/>
              <w:rPr>
                <w:rFonts w:hint="default" w:ascii="Times New Roman" w:hAnsi="Times New Roman" w:cs="Times New Roman"/>
                <w:b/>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五</w:t>
            </w:r>
            <w:r>
              <w:rPr>
                <w:rFonts w:hint="default" w:ascii="Times New Roman" w:hAnsi="Times New Roman" w:cs="Times New Roman"/>
                <w:b/>
                <w:color w:val="000000" w:themeColor="text1"/>
                <w:sz w:val="24"/>
                <w14:textFill>
                  <w14:solidFill>
                    <w14:schemeClr w14:val="tx1"/>
                  </w14:solidFill>
                </w14:textFill>
              </w:rPr>
              <w:t>、施工期生态环境影响分析</w:t>
            </w:r>
          </w:p>
          <w:p>
            <w:pPr>
              <w:adjustRightInd w:val="0"/>
              <w:snapToGrid w:val="0"/>
              <w:spacing w:line="360" w:lineRule="auto"/>
              <w:ind w:firstLine="480" w:firstLineChars="200"/>
              <w:rPr>
                <w:rStyle w:val="31"/>
                <w:rFonts w:hint="default" w:ascii="Times New Roman" w:hAnsi="Times New Roman" w:cs="Times New Roman"/>
                <w:color w:val="000000" w:themeColor="text1"/>
                <w:sz w:val="24"/>
                <w14:textFill>
                  <w14:solidFill>
                    <w14:schemeClr w14:val="tx1"/>
                  </w14:solidFill>
                </w14:textFill>
              </w:rPr>
            </w:pPr>
            <w:r>
              <w:rPr>
                <w:rStyle w:val="31"/>
                <w:rFonts w:hint="default" w:ascii="Times New Roman" w:hAnsi="Times New Roman" w:cs="Times New Roman"/>
                <w:color w:val="000000" w:themeColor="text1"/>
                <w:sz w:val="24"/>
                <w14:textFill>
                  <w14:solidFill>
                    <w14:schemeClr w14:val="tx1"/>
                  </w14:solidFill>
                </w14:textFill>
              </w:rPr>
              <w:t>1、水土流失影响分析</w:t>
            </w:r>
          </w:p>
          <w:p>
            <w:pPr>
              <w:pStyle w:val="55"/>
              <w:snapToGrid w:val="0"/>
              <w:spacing w:line="360" w:lineRule="auto"/>
              <w:ind w:firstLine="480" w:firstLineChars="20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bCs/>
                <w:color w:val="000000" w:themeColor="text1"/>
                <w14:textFill>
                  <w14:solidFill>
                    <w14:schemeClr w14:val="tx1"/>
                  </w14:solidFill>
                </w14:textFill>
              </w:rPr>
              <w:t>本项目建设期间将对地表土体产生扰动，施工过程将新增土壤侵蚀量。</w:t>
            </w:r>
            <w:r>
              <w:rPr>
                <w:rFonts w:hint="default" w:ascii="Times New Roman" w:hAnsi="Times New Roman" w:cs="Times New Roman"/>
                <w:color w:val="000000" w:themeColor="text1"/>
                <w14:textFill>
                  <w14:solidFill>
                    <w14:schemeClr w14:val="tx1"/>
                  </w14:solidFill>
                </w14:textFill>
              </w:rPr>
              <w:t>工程完工和生态恢复后，其水土流失程度可大为减少，从而取得良好的环境效益。土壤流失主要发生在施工阶段，当地表植被破坏后，表层土壤裸露，在降雨形成的地表径流的作用下发生流失。项目建设通过土石方工程消除地质灾害，修复破坏的地形地貌，修建行洪道，恢复原有的地形地貌及土地资源，可以使遭到破坏的生态环境得到改善和基本恢复。</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2、对区域植物影响分析</w:t>
            </w:r>
          </w:p>
          <w:p>
            <w:pPr>
              <w:pStyle w:val="58"/>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kern w:val="0"/>
                <w14:textFill>
                  <w14:solidFill>
                    <w14:schemeClr w14:val="tx1"/>
                  </w14:solidFill>
                </w14:textFill>
              </w:rPr>
              <w:t>项目区植被类型主要为荒漠草原，植被稀疏，覆盖度较低，一般在15%以下，区系简单，主要以白茎盐生草、沙蒿、沙打旺、冰草、芨芨草、盐爪爪、西伯利亚白刺等超旱生的植被为主。本项目施工期，</w:t>
            </w:r>
            <w:r>
              <w:rPr>
                <w:rFonts w:hint="default" w:ascii="Times New Roman" w:hAnsi="Times New Roman" w:cs="Times New Roman"/>
                <w:color w:val="000000" w:themeColor="text1"/>
                <w14:textFill>
                  <w14:solidFill>
                    <w14:schemeClr w14:val="tx1"/>
                  </w14:solidFill>
                </w14:textFill>
              </w:rPr>
              <w:t>施工期对植被的影响主要体现在施工区土地平整，将原有植被清除，造成区域植被破坏和生物多样性降低。工程建设破坏的植被对评价区生态系统的生物量和生态功能产生一定的影响，但通过采取绿化措施会对这种影响进行补偿。</w:t>
            </w:r>
          </w:p>
          <w:p>
            <w:pPr>
              <w:adjustRightInd w:val="0"/>
              <w:snapToGrid w:val="0"/>
              <w:spacing w:line="360" w:lineRule="auto"/>
              <w:ind w:firstLine="480" w:firstLineChars="200"/>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生态修复工程实施后，项目区地形地貌景观将得到较好的恢复，可以与周边原始地形地貌景观相协调；与周边原始植被相得益彰；项目区总汇水面积为0.52km</w:t>
            </w:r>
            <w:r>
              <w:rPr>
                <w:rFonts w:hint="default" w:ascii="Times New Roman" w:hAnsi="Times New Roman" w:cs="Times New Roman"/>
                <w:color w:val="000000" w:themeColor="text1"/>
                <w:kern w:val="0"/>
                <w:sz w:val="24"/>
                <w:vertAlign w:val="superscript"/>
                <w14:textFill>
                  <w14:solidFill>
                    <w14:schemeClr w14:val="tx1"/>
                  </w14:solidFill>
                </w14:textFill>
              </w:rPr>
              <w:t>2</w:t>
            </w:r>
            <w:r>
              <w:rPr>
                <w:rFonts w:hint="default" w:ascii="Times New Roman" w:hAnsi="Times New Roman" w:cs="Times New Roman"/>
                <w:color w:val="000000" w:themeColor="text1"/>
                <w:kern w:val="0"/>
                <w:sz w:val="24"/>
                <w14:textFill>
                  <w14:solidFill>
                    <w14:schemeClr w14:val="tx1"/>
                  </w14:solidFill>
                </w14:textFill>
              </w:rPr>
              <w:t>，概化长度为0.6km。治理的水土流失土地面积为284.918hm</w:t>
            </w:r>
            <w:r>
              <w:rPr>
                <w:rFonts w:hint="default" w:ascii="Times New Roman" w:hAnsi="Times New Roman" w:cs="Times New Roman"/>
                <w:color w:val="000000" w:themeColor="text1"/>
                <w:kern w:val="0"/>
                <w:sz w:val="24"/>
                <w:vertAlign w:val="superscript"/>
                <w14:textFill>
                  <w14:solidFill>
                    <w14:schemeClr w14:val="tx1"/>
                  </w14:solidFill>
                </w14:textFill>
              </w:rPr>
              <w:t>2</w:t>
            </w:r>
            <w:r>
              <w:rPr>
                <w:rFonts w:hint="default" w:ascii="Times New Roman" w:hAnsi="Times New Roman" w:cs="Times New Roman"/>
                <w:color w:val="000000" w:themeColor="text1"/>
                <w:kern w:val="0"/>
                <w:sz w:val="24"/>
                <w14:textFill>
                  <w14:solidFill>
                    <w14:schemeClr w14:val="tx1"/>
                  </w14:solidFill>
                </w14:textFill>
              </w:rPr>
              <w:t>，将会极大地减少项目区的水土流失；保障全村耕地面积8784亩，其中水浇地为6200亩、旱地4942亩，草原承包面积14537亩。</w:t>
            </w:r>
          </w:p>
          <w:p>
            <w:pPr>
              <w:pStyle w:val="58"/>
              <w:ind w:firstLine="480"/>
              <w:outlineLvl w:val="2"/>
              <w:rPr>
                <w:rFonts w:hint="default" w:ascii="Times New Roman" w:hAnsi="Times New Roman" w:cs="Times New Roman"/>
                <w:color w:val="000000" w:themeColor="text1"/>
                <w14:textFill>
                  <w14:solidFill>
                    <w14:schemeClr w14:val="tx1"/>
                  </w14:solidFill>
                </w14:textFill>
              </w:rPr>
            </w:pPr>
            <w:bookmarkStart w:id="14" w:name="_Toc31200"/>
            <w:r>
              <w:rPr>
                <w:rFonts w:hint="default" w:ascii="Times New Roman" w:hAnsi="Times New Roman" w:cs="Times New Roman"/>
                <w:color w:val="000000" w:themeColor="text1"/>
                <w14:textFill>
                  <w14:solidFill>
                    <w14:schemeClr w14:val="tx1"/>
                  </w14:solidFill>
                </w14:textFill>
              </w:rPr>
              <w:t>4、对动物的影响分析</w:t>
            </w:r>
            <w:bookmarkEnd w:id="14"/>
          </w:p>
          <w:p>
            <w:pPr>
              <w:pStyle w:val="58"/>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①对兽类的影响分析</w:t>
            </w:r>
          </w:p>
          <w:p>
            <w:pPr>
              <w:pStyle w:val="58"/>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施工期对兽类的影响主要体现在对动物栖息觅食地所在生态环境的破坏，包括对施工区土地平整，原有植被清除，施工所产生的噪声，各种施工人员以及施工机械的干扰等，使评价区及其周边环境发生改变，生于灌草丛的小型兽类，将迁移至附近受干扰小的区域，种类和数量将相应减少。项目占地范围内穴居兽类等的洞穴被破坏，其会迁居它处，影响项目区内该类动物的分布和数量。但由于评价区范围内或附近具有相同的生境，其容易找到栖息场所。另外，工程建设影响的范围小且时间短，因此对野生兽类不会造成大的影响。</w:t>
            </w:r>
          </w:p>
          <w:p>
            <w:pPr>
              <w:pStyle w:val="58"/>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工程建成后，随着植被的逐渐恢复，生态环境的改善，人为干扰减少，许多外迁的兽类会陆续回到原来的栖息地。</w:t>
            </w:r>
          </w:p>
          <w:p>
            <w:pPr>
              <w:pStyle w:val="58"/>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②对鸟类的影响分析</w:t>
            </w:r>
          </w:p>
          <w:p>
            <w:pPr>
              <w:pStyle w:val="58"/>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施工期对鸟类的影响主要为施工机械、车辆噪声等会导致鸟类栖息环境质量暂时下降。施工期间沿线人为活动增加、车辆穿梭、施工机械噪声的惊吓、干扰，在一定程度上会影响鸟类的南迁北往活动，进而间接影响鸟类在施工区域内的分布与种群数量，但这些鸟类可以通过迁徙和飞翔来避免施工对其直接的影响，该项目建设对区域鸟类的生态活动影响较小。</w:t>
            </w:r>
          </w:p>
          <w:p>
            <w:pPr>
              <w:pStyle w:val="58"/>
              <w:ind w:firstLine="480"/>
              <w:rPr>
                <w:rFonts w:hint="default" w:ascii="Times New Roman" w:hAnsi="Times New Roman" w:cs="Times New Roman"/>
                <w:color w:val="000000" w:themeColor="text1"/>
                <w:kern w:val="0"/>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根据现场调查和勘测目测，工程沿线区域内鸟类较少。该项目施工对附近鸟类的影响是暂时的，项目建成后，各种施工机械撤离，这种影响就会逐渐消失。综上所述，工程沿线区域不属于鸟类的分布重点区域，工程建设对于周边鸟类栖息地整体而言影响较小</w:t>
            </w:r>
            <w:r>
              <w:rPr>
                <w:rFonts w:hint="default" w:ascii="Times New Roman" w:hAnsi="Times New Roman" w:cs="Times New Roman"/>
                <w:color w:val="000000" w:themeColor="text1"/>
                <w:kern w:val="0"/>
                <w14:textFill>
                  <w14:solidFill>
                    <w14:schemeClr w14:val="tx1"/>
                  </w14:solidFill>
                </w14:textFill>
              </w:rPr>
              <w:t>。</w:t>
            </w:r>
          </w:p>
          <w:p>
            <w:pPr>
              <w:pStyle w:val="58"/>
              <w:ind w:firstLine="480"/>
              <w:outlineLvl w:val="1"/>
              <w:rPr>
                <w:rFonts w:hint="default" w:ascii="Times New Roman" w:hAnsi="Times New Roman" w:cs="Times New Roman"/>
                <w:color w:val="000000" w:themeColor="text1"/>
                <w14:textFill>
                  <w14:solidFill>
                    <w14:schemeClr w14:val="tx1"/>
                  </w14:solidFill>
                </w14:textFill>
              </w:rPr>
            </w:pPr>
            <w:bookmarkStart w:id="15" w:name="_Toc23496"/>
            <w:bookmarkStart w:id="16" w:name="_Toc28024"/>
            <w:r>
              <w:rPr>
                <w:rFonts w:hint="default" w:ascii="Times New Roman" w:hAnsi="Times New Roman" w:cs="Times New Roman"/>
                <w:color w:val="000000" w:themeColor="text1"/>
                <w14:textFill>
                  <w14:solidFill>
                    <w14:schemeClr w14:val="tx1"/>
                  </w14:solidFill>
                </w14:textFill>
              </w:rPr>
              <w:t>5、景观生态影响分析</w:t>
            </w:r>
            <w:bookmarkEnd w:id="15"/>
            <w:bookmarkEnd w:id="16"/>
          </w:p>
          <w:p>
            <w:pPr>
              <w:pStyle w:val="17"/>
              <w:adjustRightInd w:val="0"/>
              <w:snapToGrid w:val="0"/>
              <w:spacing w:line="360" w:lineRule="auto"/>
              <w:ind w:firstLine="480" w:firstLineChars="200"/>
              <w:rPr>
                <w:rFonts w:hint="default" w:ascii="Times New Roman" w:hAnsi="Times New Roman" w:cs="Times New Roman"/>
                <w:b w:val="0"/>
                <w:color w:val="000000" w:themeColor="text1"/>
                <w:sz w:val="24"/>
                <w14:textFill>
                  <w14:solidFill>
                    <w14:schemeClr w14:val="tx1"/>
                  </w14:solidFill>
                </w14:textFill>
              </w:rPr>
            </w:pPr>
            <w:r>
              <w:rPr>
                <w:rFonts w:hint="default" w:ascii="Times New Roman" w:hAnsi="Times New Roman" w:cs="Times New Roman"/>
                <w:b w:val="0"/>
                <w:color w:val="000000" w:themeColor="text1"/>
                <w:sz w:val="24"/>
                <w14:textFill>
                  <w14:solidFill>
                    <w14:schemeClr w14:val="tx1"/>
                  </w14:solidFill>
                </w14:textFill>
              </w:rPr>
              <w:t>本项目所在区域地形简单，地貌单一，</w:t>
            </w:r>
            <w:r>
              <w:rPr>
                <w:rFonts w:hint="default" w:ascii="Times New Roman" w:hAnsi="Times New Roman" w:cs="Times New Roman"/>
                <w:b w:val="0"/>
                <w:color w:val="000000" w:themeColor="text1"/>
                <w:sz w:val="24"/>
                <w:lang w:val="en-US" w:eastAsia="zh-CN"/>
                <w14:textFill>
                  <w14:solidFill>
                    <w14:schemeClr w14:val="tx1"/>
                  </w14:solidFill>
                </w14:textFill>
              </w:rPr>
              <w:t>且项目区在村庄内</w:t>
            </w:r>
            <w:r>
              <w:rPr>
                <w:rFonts w:hint="default" w:ascii="Times New Roman" w:hAnsi="Times New Roman" w:cs="Times New Roman"/>
                <w:b w:val="0"/>
                <w:color w:val="000000" w:themeColor="text1"/>
                <w:sz w:val="24"/>
                <w14:textFill>
                  <w14:solidFill>
                    <w14:schemeClr w14:val="tx1"/>
                  </w14:solidFill>
                </w14:textFill>
              </w:rPr>
              <w:t>。本项目的建设，要对项目所在区域进行开挖、回填及土地平整等活动，对原地貌进行扰动或形成再塑地貌，原有丘陵将被推平，沟壑填平。施工期结束后，被改变的原有景观无法恢复。但当本项目建成后，通过人工绿化等生态建设实现补偿，而且人工绿地会比现状的草地景观有较高的改善，因此，对自然生态景观不会造成不良影响。</w:t>
            </w:r>
          </w:p>
          <w:p>
            <w:pPr>
              <w:pStyle w:val="17"/>
              <w:spacing w:line="360" w:lineRule="auto"/>
              <w:ind w:firstLine="480" w:firstLineChars="200"/>
              <w:rPr>
                <w:rFonts w:hint="default" w:ascii="Times New Roman" w:hAnsi="Times New Roman" w:cs="Times New Roman"/>
                <w:b w:val="0"/>
                <w:bCs/>
                <w:color w:val="000000" w:themeColor="text1"/>
                <w:sz w:val="24"/>
                <w:szCs w:val="32"/>
                <w14:textFill>
                  <w14:solidFill>
                    <w14:schemeClr w14:val="tx1"/>
                  </w14:solidFill>
                </w14:textFill>
              </w:rPr>
            </w:pPr>
            <w:r>
              <w:rPr>
                <w:rFonts w:hint="default" w:ascii="Times New Roman" w:hAnsi="Times New Roman" w:cs="Times New Roman"/>
                <w:b w:val="0"/>
                <w:bCs/>
                <w:color w:val="000000" w:themeColor="text1"/>
                <w:sz w:val="24"/>
                <w:szCs w:val="32"/>
                <w14:textFill>
                  <w14:solidFill>
                    <w14:schemeClr w14:val="tx1"/>
                  </w14:solidFill>
                </w14:textFill>
              </w:rPr>
              <w:t>6、结论</w:t>
            </w:r>
          </w:p>
          <w:p>
            <w:pPr>
              <w:adjustRightInd w:val="0"/>
              <w:snapToGrid w:val="0"/>
              <w:spacing w:line="360" w:lineRule="auto"/>
              <w:ind w:firstLine="480" w:firstLineChars="2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综上，本项目施工期会对区域的生态环境产生一定的影响，但随着施工期的结束，临时用地的植被恢复，项目对区域生态环境的影响将得到缓解，并以生态环境正效益显现。通过施工过程中采取的相应措施及后期水土保持措施的介入，可提高区域植被覆盖率，改善区域生态环境质量。项目区实施排涝工程措施，完善区域排涝体系，逐步稳定洪水流路，逐步减轻洪水对项目区保护对象的影响，保护群众生命财产、村庄、农田、交通等基础设施的安全，降低区域水土流失。保障标准内洪水安全下泄及区域内防洪安全，遇超标准洪水把损失减少到最低限度，以达到防洪保安的目的。本项目的实施能够为当地环境及安全带来巨大的正效益。</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9" w:type="dxa"/>
            <w:tcMar>
              <w:left w:w="28" w:type="dxa"/>
              <w:right w:w="28" w:type="dxa"/>
            </w:tcMar>
            <w:vAlign w:val="center"/>
          </w:tcPr>
          <w:p>
            <w:pPr>
              <w:pStyle w:val="19"/>
              <w:adjustRightInd w:val="0"/>
              <w:snapToGrid w:val="0"/>
              <w:spacing w:before="0" w:beforeAutospacing="0" w:after="0" w:afterAutospacing="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spacing w:val="10"/>
                <w:kern w:val="2"/>
                <w:sz w:val="21"/>
                <w:szCs w:val="21"/>
                <w14:textFill>
                  <w14:solidFill>
                    <w14:schemeClr w14:val="tx1"/>
                  </w14:solidFill>
                </w14:textFill>
              </w:rPr>
              <w:t>运营期生态环境影响分析</w:t>
            </w:r>
          </w:p>
        </w:tc>
        <w:tc>
          <w:tcPr>
            <w:tcW w:w="8363" w:type="dxa"/>
          </w:tcPr>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项目实施后将保护村庄1648人，保护耕地面为8784亩，通过覆土、绿化等措施增加草地土地资源，使土地资源恢复其利用价值，通过土地翻耕和地力培肥等措施增加耕地面积，为农业种植提供土地，为实现当地经济的可持续发展，构建和谐社会奠定良好的基础。</w:t>
            </w: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1）项目运营期无废气、废水、噪声及固体废弃物等的产生。而雨季产生的雨水，建设项目通过排水渠、排水管道等减缓措施，生态恢复治理面积较大，雨水基本可被植物、土壤吸收，自行消纳，项目的实施相对于项目实施前是更有利于周边的生态和水环境恢复。</w:t>
            </w:r>
          </w:p>
          <w:p>
            <w:pPr>
              <w:adjustRightInd w:val="0"/>
              <w:snapToGrid w:val="0"/>
              <w:spacing w:line="360" w:lineRule="auto"/>
              <w:ind w:firstLine="480" w:firstLineChars="200"/>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（2）修复因洪水侵蚀而被损毁的土地资源，在项目治理区内，科学调配并撒播草籽，使其自然恢复，显著增加植被覆盖率，强化植被固沙护土能力。</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31" w:hRule="atLeast"/>
          <w:jc w:val="center"/>
        </w:trPr>
        <w:tc>
          <w:tcPr>
            <w:tcW w:w="879" w:type="dxa"/>
            <w:vAlign w:val="center"/>
          </w:tcPr>
          <w:p>
            <w:pPr>
              <w:pStyle w:val="19"/>
              <w:adjustRightInd w:val="0"/>
              <w:snapToGrid w:val="0"/>
              <w:spacing w:before="0" w:beforeAutospacing="0" w:after="0" w:afterAutospacing="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选址选线环境合理性分析</w:t>
            </w:r>
          </w:p>
        </w:tc>
        <w:tc>
          <w:tcPr>
            <w:tcW w:w="8363" w:type="dxa"/>
          </w:tcPr>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项目属于防洪除涝工程，将加快并彻底恢复水毁的生态环境以及消除自然灾害隐患，项目实施过程中产生的废气、噪声、地表水等污染经过采取相应的措施处理后对周边环境的影响较小。</w:t>
            </w: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从环境影响角度，项目选址合理，并能为当地带来安全及环境方面的积极效益。</w:t>
            </w: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p>
          <w:p>
            <w:pPr>
              <w:adjustRightInd w:val="0"/>
              <w:snapToGrid w:val="0"/>
              <w:spacing w:line="360" w:lineRule="auto"/>
              <w:ind w:firstLine="480" w:firstLineChars="200"/>
              <w:rPr>
                <w:rFonts w:hint="default" w:ascii="Times New Roman" w:hAnsi="Times New Roman" w:cs="Times New Roman"/>
                <w:bCs/>
                <w:color w:val="000000" w:themeColor="text1"/>
                <w:sz w:val="24"/>
                <w14:textFill>
                  <w14:solidFill>
                    <w14:schemeClr w14:val="tx1"/>
                  </w14:solidFill>
                </w14:textFill>
              </w:rPr>
            </w:pPr>
          </w:p>
          <w:p>
            <w:pPr>
              <w:adjustRightInd w:val="0"/>
              <w:snapToGrid w:val="0"/>
              <w:rPr>
                <w:rFonts w:hint="default" w:ascii="Times New Roman" w:hAnsi="Times New Roman" w:cs="Times New Roman"/>
                <w:bCs/>
                <w:color w:val="000000" w:themeColor="text1"/>
                <w:szCs w:val="21"/>
                <w14:textFill>
                  <w14:solidFill>
                    <w14:schemeClr w14:val="tx1"/>
                  </w14:solidFill>
                </w14:textFill>
              </w:rPr>
            </w:pPr>
          </w:p>
        </w:tc>
      </w:tr>
    </w:tbl>
    <w:p>
      <w:pPr>
        <w:pStyle w:val="19"/>
        <w:jc w:val="center"/>
        <w:rPr>
          <w:rFonts w:hint="default" w:ascii="Times New Roman" w:hAnsi="Times New Roman" w:eastAsia="黑体" w:cs="Times New Roman"/>
          <w:snapToGrid w:val="0"/>
          <w:color w:val="000000" w:themeColor="text1"/>
          <w:sz w:val="36"/>
          <w:szCs w:val="36"/>
          <w14:textFill>
            <w14:solidFill>
              <w14:schemeClr w14:val="tx1"/>
            </w14:solidFill>
          </w14:textFill>
        </w:rPr>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pPr>
    </w:p>
    <w:p>
      <w:pPr>
        <w:pStyle w:val="19"/>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bookmarkStart w:id="17" w:name="_Toc11762"/>
      <w:r>
        <w:rPr>
          <w:rFonts w:hint="default" w:ascii="Times New Roman" w:hAnsi="Times New Roman" w:eastAsia="黑体" w:cs="Times New Roman"/>
          <w:snapToGrid w:val="0"/>
          <w:color w:val="000000" w:themeColor="text1"/>
          <w:sz w:val="30"/>
          <w:szCs w:val="30"/>
          <w14:textFill>
            <w14:solidFill>
              <w14:schemeClr w14:val="tx1"/>
            </w14:solidFill>
          </w14:textFill>
        </w:rPr>
        <w:t>五、主要生态环境保护措施</w:t>
      </w:r>
      <w:bookmarkEnd w:id="17"/>
    </w:p>
    <w:tbl>
      <w:tblPr>
        <w:tblStyle w:val="24"/>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53"/>
        <w:gridCol w:w="84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497" w:hRule="atLeast"/>
          <w:jc w:val="center"/>
        </w:trPr>
        <w:tc>
          <w:tcPr>
            <w:tcW w:w="753" w:type="dxa"/>
            <w:tcMar>
              <w:left w:w="28" w:type="dxa"/>
              <w:right w:w="28" w:type="dxa"/>
            </w:tcMar>
            <w:vAlign w:val="center"/>
          </w:tcPr>
          <w:p>
            <w:pPr>
              <w:adjustRightInd w:val="0"/>
              <w:snapToGrid w:val="0"/>
              <w:jc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pacing w:val="10"/>
                <w:szCs w:val="21"/>
                <w14:textFill>
                  <w14:solidFill>
                    <w14:schemeClr w14:val="tx1"/>
                  </w14:solidFill>
                </w14:textFill>
              </w:rPr>
              <w:t>施工期生态环境保护措施</w:t>
            </w:r>
          </w:p>
        </w:tc>
        <w:tc>
          <w:tcPr>
            <w:tcW w:w="8457" w:type="dxa"/>
          </w:tcPr>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1、施工期生态保护措施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lang w:val="en-US" w:eastAsia="zh-CN"/>
              </w:rPr>
            </w:pPr>
            <w:commentRangeStart w:id="5"/>
            <w:r>
              <w:rPr>
                <w:rFonts w:hint="default" w:ascii="Times New Roman" w:hAnsi="Times New Roman" w:eastAsia="宋体" w:cs="Times New Roman"/>
                <w:b/>
                <w:bCs/>
                <w:sz w:val="24"/>
                <w:szCs w:val="24"/>
                <w:lang w:val="en-US" w:eastAsia="zh-CN"/>
              </w:rPr>
              <w:t>1.1陆生生态保护措施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确定最小施工范围，划定施工红线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本项目施工红线以工程设计的最小占地范围为基准，尽量降低对项目区域生态环境的影响。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施工前做好划线勘查工作，划定施工红线</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lI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合理进行施工布局及施工安排，严格控制工程动土范围、严禁越界施工</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w:t>
            </w:r>
            <w:r>
              <w:rPr>
                <w:rFonts w:hint="default" w:ascii="Times New Roman" w:hAnsi="Times New Roman" w:eastAsia="宋体" w:cs="Times New Roman"/>
                <w:sz w:val="24"/>
                <w:szCs w:val="24"/>
                <w:lang w:eastAsia="zh-CN"/>
              </w:rPr>
              <w:t>工</w:t>
            </w:r>
            <w:r>
              <w:rPr>
                <w:rFonts w:hint="default" w:ascii="Times New Roman" w:hAnsi="Times New Roman" w:eastAsia="宋体" w:cs="Times New Roman"/>
                <w:sz w:val="24"/>
                <w:szCs w:val="24"/>
              </w:rPr>
              <w:t>过程中的植物保护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在工程设计过程中，合理选择施工场地，使工程施工开挖及占地对植被的破坏程降到最低程度；施工过程中，严格控制临时占地范围，尽可能缩小施工作业带宽度；对将要受到破坏的原生植被进行有计划地保护、利用、恢复及补偿。由于工程建设区在村庄内生态环境一般，因此，工程施工期应采取以下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施工场地平整期间地表植被及其附着土壤剥离并妥善管理</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待施</w:t>
            </w:r>
            <w:r>
              <w:rPr>
                <w:rFonts w:hint="default" w:ascii="Times New Roman" w:hAnsi="Times New Roman" w:eastAsia="宋体" w:cs="Times New Roman"/>
                <w:sz w:val="24"/>
                <w:szCs w:val="24"/>
                <w:lang w:eastAsia="zh-CN"/>
              </w:rPr>
              <w:t>工</w:t>
            </w:r>
            <w:r>
              <w:rPr>
                <w:rFonts w:hint="default" w:ascii="Times New Roman" w:hAnsi="Times New Roman" w:eastAsia="宋体" w:cs="Times New Roman"/>
                <w:sz w:val="24"/>
                <w:szCs w:val="24"/>
              </w:rPr>
              <w:t>结束后用于植被恢复和构建</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II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加强施工管理，及时对项目沿线</w:t>
            </w:r>
            <w:r>
              <w:rPr>
                <w:rFonts w:hint="default" w:ascii="Times New Roman" w:hAnsi="Times New Roman" w:eastAsia="宋体" w:cs="Times New Roman"/>
                <w:sz w:val="24"/>
                <w:szCs w:val="24"/>
                <w:lang w:val="en-US" w:eastAsia="zh-CN"/>
              </w:rPr>
              <w:t>施工区</w:t>
            </w:r>
            <w:r>
              <w:rPr>
                <w:rFonts w:hint="default" w:ascii="Times New Roman" w:hAnsi="Times New Roman" w:eastAsia="宋体" w:cs="Times New Roman"/>
                <w:sz w:val="24"/>
                <w:szCs w:val="24"/>
              </w:rPr>
              <w:t>进行酒水降尘，同时对运输车辆进行封闭或采用篷布覆盖，尽量保持车辆轮胎湿润，减少起尘量</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val="en-US" w:eastAsia="zh-CN"/>
              </w:rPr>
              <w:t>I</w:t>
            </w: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施工人员在建设期间，要规范人为施工和机械施工的方式，精确细致，不能对红线以外的植被造成破坏。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IV</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施工过程中，对施工道路、施工场地等临时占地在分段施工完毕后及时覆盖表土，进行土地复垦和迹地恢复。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VI、在选择临时占用地时，应注意根据实际需要控制临时占地的面积，尽量选择荒地。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VII、在土方开挖、回填过程中，必须严格对表层实行分层堆放和分层回填，将表层土回填于上部，尽量减小因开挖活动对土壤养分造成的流失影响。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VIII、为了减少工程对植被的破坏，工程在施工过程中，应尽量减少占地、减少破坏植被。施工中坚决实施水土保持方案，落实各个责任区的水保措施。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VIII、工程建设中，采取当地植物物种对周围区域进行恢复植被工作，合理阻隔和防止风沙危害，并且种植绿化树种。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X、必须严格遵守建筑施工规范，严格坚持生态第一，保护第一的原则，制定施工期保护植被、水源的保护措施。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XI、加强对施工人员的宣传教育和管理工作，制定规章制度，严禁破坏陆生植物，禁止施工人员捕食野生动物，减轻施工期对当地陆生动物的影响。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XII、妥善处理施工期产生的各类污染物，防止其对重点地段的生态环境造成重大污染，特别是对河流水体及土壤的污染。</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施工过程中的野生动物保护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本项目在村庄内施工，对野生动物的干扰较小。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避免夜间施工，以保证野生动物夜间的正常活动</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合理安排施工时间，要避开早晨和黄昏时段作业</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这些时段为多数动物的休息和觅食时段</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lI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针对鸟类，施工的季节避开鸟类的繁殖季节，避开鸟类等飞禽的迁徙通道，并加强施工人员保护鸟类的宣传教育</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val="en-US" w:eastAsia="zh-CN"/>
              </w:rPr>
              <w:t>I</w:t>
            </w: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针对兽类，严禁猎捕，对工程废物和施工人员的生活垃圾立即处理，避免生活垃圾为鼠类等疫源性兽类提供生活环境，避免小型兽类的种群爆发。保障动物自由通行不受阻碍。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4</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施工过程中水土流失保护措施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w:t>
            </w:r>
            <w:r>
              <w:rPr>
                <w:rFonts w:hint="default" w:ascii="Times New Roman" w:hAnsi="Times New Roman" w:eastAsia="宋体" w:cs="Times New Roman"/>
                <w:sz w:val="24"/>
                <w:szCs w:val="24"/>
                <w:lang w:eastAsia="zh-CN"/>
              </w:rPr>
              <w:t>主体</w:t>
            </w:r>
            <w:r>
              <w:rPr>
                <w:rFonts w:hint="default" w:ascii="Times New Roman" w:hAnsi="Times New Roman" w:eastAsia="宋体" w:cs="Times New Roman"/>
                <w:sz w:val="24"/>
                <w:szCs w:val="24"/>
              </w:rPr>
              <w:t>工程区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主体设计施</w:t>
            </w:r>
            <w:r>
              <w:rPr>
                <w:rFonts w:hint="default" w:ascii="Times New Roman" w:hAnsi="Times New Roman" w:eastAsia="宋体" w:cs="Times New Roman"/>
                <w:sz w:val="24"/>
                <w:szCs w:val="24"/>
                <w:lang w:eastAsia="zh-CN"/>
              </w:rPr>
              <w:t>工</w:t>
            </w:r>
            <w:r>
              <w:rPr>
                <w:rFonts w:hint="default" w:ascii="Times New Roman" w:hAnsi="Times New Roman" w:eastAsia="宋体" w:cs="Times New Roman"/>
                <w:sz w:val="24"/>
                <w:szCs w:val="24"/>
              </w:rPr>
              <w:t>前对存在表土区域进行表土剥离，并在出入口设置个洗车槽，施工过程中在</w:t>
            </w:r>
            <w:r>
              <w:rPr>
                <w:rFonts w:hint="default" w:ascii="Times New Roman" w:hAnsi="Times New Roman" w:eastAsia="宋体" w:cs="Times New Roman"/>
                <w:sz w:val="24"/>
                <w:szCs w:val="24"/>
                <w:lang w:eastAsia="zh-CN"/>
              </w:rPr>
              <w:t>护坡</w:t>
            </w:r>
            <w:r>
              <w:rPr>
                <w:rFonts w:hint="default" w:ascii="Times New Roman" w:hAnsi="Times New Roman" w:eastAsia="宋体" w:cs="Times New Roman"/>
                <w:sz w:val="24"/>
                <w:szCs w:val="24"/>
              </w:rPr>
              <w:t>背水坡脚设置排水沟</w:t>
            </w:r>
            <w:r>
              <w:rPr>
                <w:rFonts w:hint="default" w:ascii="Times New Roman" w:hAnsi="Times New Roman" w:eastAsia="宋体"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lI</w:t>
            </w:r>
            <w:r>
              <w:rPr>
                <w:rFonts w:hint="default" w:ascii="Times New Roman" w:hAnsi="Times New Roman" w:eastAsia="宋体" w:cs="Times New Roman"/>
                <w:sz w:val="24"/>
                <w:szCs w:val="24"/>
                <w:lang w:eastAsia="zh-CN"/>
              </w:rPr>
              <w:t>、临时工程区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本项目施工期临时工程区占地类型为</w:t>
            </w:r>
            <w:r>
              <w:rPr>
                <w:rFonts w:hint="default" w:ascii="Times New Roman" w:hAnsi="Times New Roman" w:eastAsia="宋体" w:cs="Times New Roman"/>
                <w:sz w:val="24"/>
                <w:szCs w:val="24"/>
                <w:lang w:val="en-US" w:eastAsia="zh-CN"/>
              </w:rPr>
              <w:t>天然牧草地、园地、耕地及裸地</w:t>
            </w:r>
            <w:r>
              <w:rPr>
                <w:rFonts w:hint="default" w:ascii="Times New Roman" w:hAnsi="Times New Roman" w:eastAsia="宋体" w:cs="Times New Roman"/>
                <w:sz w:val="24"/>
                <w:szCs w:val="24"/>
                <w:lang w:eastAsia="zh-CN"/>
              </w:rPr>
              <w:t>。施工期在临时堆土区堆土后修建土袋挡墙及防雨布遮盖。在施工结束后在临时堆土区进行播撒草籽。</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lang w:val="en-US" w:eastAsia="zh-CN"/>
              </w:rPr>
            </w:pPr>
            <w:r>
              <w:rPr>
                <w:rFonts w:hint="default" w:ascii="Times New Roman" w:hAnsi="Times New Roman" w:cs="Times New Roman"/>
                <w:b/>
                <w:bCs/>
                <w:lang w:eastAsia="zh-CN"/>
              </w:rPr>
              <w:t>表</w:t>
            </w:r>
            <w:r>
              <w:rPr>
                <w:rFonts w:hint="default" w:ascii="Times New Roman" w:hAnsi="Times New Roman" w:cs="Times New Roman"/>
                <w:b/>
                <w:bCs/>
                <w:lang w:val="en-US" w:eastAsia="zh-CN"/>
              </w:rPr>
              <w:t>5-1 水土保持措施布局一览表</w:t>
            </w:r>
          </w:p>
          <w:tbl>
            <w:tblPr>
              <w:tblStyle w:val="25"/>
              <w:tblW w:w="8220"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23"/>
              <w:gridCol w:w="2164"/>
              <w:gridCol w:w="1644"/>
              <w:gridCol w:w="1644"/>
              <w:gridCol w:w="164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项目分区</w:t>
                  </w:r>
                </w:p>
              </w:tc>
              <w:tc>
                <w:tcPr>
                  <w:tcW w:w="2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措施分类</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措施项目</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实施部位</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实施时间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主体工程区</w:t>
                  </w:r>
                </w:p>
              </w:tc>
              <w:tc>
                <w:tcPr>
                  <w:tcW w:w="2164"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工程措施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排水沟</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护坡背水侧</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实施过程中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216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表土剥离</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防护绿地区域</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216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表土回覆</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绿地区域</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施工后期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2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植物措施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植草</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护坡背水侧</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施工后期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2164"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临时措施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防雨布遮盖</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裸露地表</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施工过程中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216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洗车槽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出入口</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临时工程区</w:t>
                  </w:r>
                </w:p>
              </w:tc>
              <w:tc>
                <w:tcPr>
                  <w:tcW w:w="2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植物措施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撒播草籽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管沟开挖区及施工临时道路</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施工后期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p>
              </w:tc>
              <w:tc>
                <w:tcPr>
                  <w:tcW w:w="2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临时措施</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防雨布遮盖</w:t>
                  </w:r>
                </w:p>
              </w:tc>
              <w:tc>
                <w:tcPr>
                  <w:tcW w:w="16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裸露地表及临时堆土区</w:t>
                  </w:r>
                </w:p>
              </w:tc>
              <w:tc>
                <w:tcPr>
                  <w:tcW w:w="16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施工过程中</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5</w:t>
            </w:r>
            <w:r>
              <w:rPr>
                <w:rFonts w:hint="default" w:ascii="Times New Roman" w:hAnsi="Times New Roman" w:eastAsia="宋体" w:cs="Times New Roman"/>
                <w:sz w:val="24"/>
                <w:szCs w:val="24"/>
                <w:lang w:eastAsia="zh-CN"/>
              </w:rPr>
              <w:t>）施工期综合保护措施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w:t>
            </w:r>
            <w:commentRangeStart w:id="6"/>
            <w:r>
              <w:rPr>
                <w:rFonts w:hint="default" w:ascii="Times New Roman" w:hAnsi="Times New Roman" w:eastAsia="宋体" w:cs="Times New Roman"/>
                <w:sz w:val="24"/>
                <w:szCs w:val="24"/>
                <w:lang w:val="en-US" w:eastAsia="zh-CN"/>
              </w:rPr>
              <w:t>针对</w:t>
            </w:r>
            <w:commentRangeEnd w:id="6"/>
            <w:r>
              <w:rPr>
                <w:rFonts w:hint="default" w:ascii="Times New Roman" w:hAnsi="Times New Roman" w:eastAsia="宋体" w:cs="Times New Roman"/>
                <w:sz w:val="24"/>
                <w:szCs w:val="24"/>
              </w:rPr>
              <w:commentReference w:id="6"/>
            </w:r>
            <w:r>
              <w:rPr>
                <w:rFonts w:hint="default" w:ascii="Times New Roman" w:hAnsi="Times New Roman" w:eastAsia="宋体" w:cs="Times New Roman"/>
                <w:sz w:val="24"/>
                <w:szCs w:val="24"/>
                <w:lang w:val="en-US" w:eastAsia="zh-CN"/>
              </w:rPr>
              <w:t>施工队伍对植被和土壤的影响，施工期间应划定施工范围，在保证施工顺利进行的前提下，严格限制施工人员及工机械的活动范围，尽可能缩小施工作业带的宽度。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lI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加强教育，规范施工人员的行为，爱护花草树木，严紧砍伐、破坏工区以外的作物和植被，不准随便破坏动物巢穴，严禁捕杀野生动物，禁止施工人员捕食鸟类、兽类等野生动物，以减轻施工对当地陆生动植物的影响，并采取有效措施抑制鼠类的危害。</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val="en-US" w:eastAsia="zh-CN"/>
              </w:rPr>
              <w:t>I</w:t>
            </w:r>
            <w:r>
              <w:rPr>
                <w:rFonts w:hint="default" w:ascii="Times New Roman" w:hAnsi="Times New Roman" w:eastAsia="宋体" w:cs="Times New Roman"/>
                <w:sz w:val="24"/>
                <w:szCs w:val="24"/>
              </w:rPr>
              <w:t>I</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在选择临时占用地时，应注意根据实际需要控制临时占地的面积，尽量选择荒地。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IV</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土方开挖前，应执行分层开挖的操作制度，即表层土与底层图分开堆放；土方填埋时，也应分层回填，即底土回填在下，表土回填在上。尽可能保持植物原有的生活环境。回填时，还应留足适宜的堆积层，防止因降水、径流造成地表下陷和水土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V、施工结束后，施工单位应负责及时清理现场，使之尽快恢复原状，将施工期对生态环境影响降到最低程度。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t>
            </w:r>
            <w:r>
              <w:rPr>
                <w:rFonts w:hint="default" w:ascii="Times New Roman" w:hAnsi="Times New Roman" w:eastAsia="宋体" w:cs="Times New Roman"/>
                <w:sz w:val="24"/>
                <w:szCs w:val="24"/>
                <w:lang w:val="en-US" w:eastAsia="zh-CN"/>
              </w:rPr>
              <w:t>6</w:t>
            </w:r>
            <w:r>
              <w:rPr>
                <w:rFonts w:hint="default" w:ascii="Times New Roman" w:hAnsi="Times New Roman" w:eastAsia="宋体" w:cs="Times New Roman"/>
                <w:sz w:val="24"/>
                <w:szCs w:val="24"/>
              </w:rPr>
              <w:t>）土地利用影响减缓措施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w:t>
            </w:r>
            <w:r>
              <w:rPr>
                <w:rFonts w:hint="default" w:ascii="Times New Roman" w:hAnsi="Times New Roman" w:eastAsia="宋体" w:cs="Times New Roman"/>
                <w:sz w:val="24"/>
                <w:szCs w:val="24"/>
              </w:rPr>
              <w:t>工程设计中确保满足工程要求与减少建设用地的合理统一，对路基等用地面积进行优化设计，减少对土地资源的占用；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lang w:val="en-US" w:eastAsia="zh-CN"/>
              </w:rPr>
              <w:t>II、</w:t>
            </w:r>
            <w:r>
              <w:rPr>
                <w:rFonts w:hint="default" w:ascii="Times New Roman" w:hAnsi="Times New Roman" w:eastAsia="宋体" w:cs="Times New Roman"/>
                <w:sz w:val="24"/>
                <w:szCs w:val="24"/>
              </w:rPr>
              <w:t>本项目占地为</w:t>
            </w:r>
            <w:r>
              <w:rPr>
                <w:rFonts w:hint="default" w:ascii="Times New Roman" w:hAnsi="Times New Roman" w:eastAsia="宋体" w:cs="Times New Roman"/>
                <w:sz w:val="24"/>
                <w:szCs w:val="24"/>
                <w:lang w:val="en-US" w:eastAsia="zh-CN"/>
              </w:rPr>
              <w:t>原建筑用地及裸地</w:t>
            </w:r>
            <w:r>
              <w:rPr>
                <w:rFonts w:hint="default" w:ascii="Times New Roman" w:hAnsi="Times New Roman" w:eastAsia="宋体" w:cs="Times New Roman"/>
                <w:sz w:val="24"/>
                <w:szCs w:val="24"/>
              </w:rPr>
              <w:t>，</w:t>
            </w:r>
            <w:r>
              <w:rPr>
                <w:rFonts w:hint="default" w:ascii="Times New Roman" w:hAnsi="Times New Roman" w:eastAsia="宋体" w:cs="Times New Roman"/>
                <w:sz w:val="24"/>
                <w:szCs w:val="24"/>
                <w:lang w:val="en-US" w:eastAsia="zh-CN"/>
              </w:rPr>
              <w:t>临时占地在管沟回填后及时恢复</w:t>
            </w:r>
            <w:r>
              <w:rPr>
                <w:rFonts w:hint="default" w:ascii="Times New Roman" w:hAnsi="Times New Roman" w:eastAsia="宋体" w:cs="Times New Roman"/>
                <w:sz w:val="24"/>
                <w:szCs w:val="24"/>
              </w:rPr>
              <w:t>；</w:t>
            </w:r>
            <w:r>
              <w:rPr>
                <w:rFonts w:hint="default" w:ascii="Times New Roman" w:hAnsi="Times New Roman" w:eastAsia="宋体" w:cs="Times New Roman"/>
                <w:sz w:val="24"/>
                <w:szCs w:val="24"/>
                <w:lang w:eastAsia="zh-CN"/>
              </w:rPr>
              <w:t>采取该措施后对土地资源影响可以接受；</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III、</w:t>
            </w:r>
            <w:r>
              <w:rPr>
                <w:rFonts w:hint="default" w:ascii="Times New Roman" w:hAnsi="Times New Roman" w:eastAsia="宋体" w:cs="Times New Roman"/>
                <w:sz w:val="24"/>
                <w:szCs w:val="24"/>
              </w:rPr>
              <w:t>建设单位要增强耕地保护意识，加强科学指导；监理单位要加强对施工过程中占地情况的监督，督促施工单位落实土地保护措施；在组织交工验收时，应对土地利用和恢复情况进行全面检查；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IV、</w:t>
            </w:r>
            <w:r>
              <w:rPr>
                <w:rFonts w:hint="default" w:ascii="Times New Roman" w:hAnsi="Times New Roman" w:eastAsia="宋体" w:cs="Times New Roman"/>
                <w:sz w:val="24"/>
                <w:szCs w:val="24"/>
              </w:rPr>
              <w:t>施工人员生活用房租用当地已有房屋，不设置施工生活营地。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t>
            </w:r>
            <w:r>
              <w:rPr>
                <w:rFonts w:hint="default" w:ascii="Times New Roman" w:hAnsi="Times New Roman" w:eastAsia="宋体" w:cs="Times New Roman"/>
                <w:sz w:val="24"/>
                <w:szCs w:val="24"/>
                <w:lang w:val="en-US" w:eastAsia="zh-CN"/>
              </w:rPr>
              <w:t>7</w:t>
            </w:r>
            <w:r>
              <w:rPr>
                <w:rFonts w:hint="default" w:ascii="Times New Roman" w:hAnsi="Times New Roman" w:eastAsia="宋体" w:cs="Times New Roman"/>
                <w:sz w:val="24"/>
                <w:szCs w:val="24"/>
              </w:rPr>
              <w:t>）自然生态环境保护措施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在工程施工过程中应加强项目沿线的生态保护措施，具体如下：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w:t>
            </w:r>
            <w:r>
              <w:rPr>
                <w:rFonts w:hint="default" w:ascii="Times New Roman" w:hAnsi="Times New Roman" w:eastAsia="宋体" w:cs="Times New Roman"/>
                <w:sz w:val="24"/>
                <w:szCs w:val="24"/>
              </w:rPr>
              <w:t>对施工人员进行施工环保措施的宣传教育，对施工管理人员进行相关培训，让他们充分认识到公路建设中环保工作的重要性，使环保措施落到实处；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II、</w:t>
            </w:r>
            <w:r>
              <w:rPr>
                <w:rFonts w:hint="default" w:ascii="Times New Roman" w:hAnsi="Times New Roman" w:eastAsia="宋体" w:cs="Times New Roman"/>
                <w:sz w:val="24"/>
                <w:szCs w:val="24"/>
              </w:rPr>
              <w:t>施工机械位置和施工人员活动范围要求限定在施工作业范围内，施工机械及其他建筑材料不得乱停乱放，防止破坏区域自然植被。施工作业范围全部控制在本次公路建设的用地范围之内；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III、</w:t>
            </w:r>
            <w:r>
              <w:rPr>
                <w:rFonts w:hint="default" w:ascii="Times New Roman" w:hAnsi="Times New Roman" w:eastAsia="宋体" w:cs="Times New Roman"/>
                <w:sz w:val="24"/>
                <w:szCs w:val="24"/>
              </w:rPr>
              <w:t>施工单位在施工期须加强对沿线现有自然植被的保护，避免对其造成破坏；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IV、</w:t>
            </w:r>
            <w:r>
              <w:rPr>
                <w:rFonts w:hint="default" w:ascii="Times New Roman" w:hAnsi="Times New Roman" w:eastAsia="宋体" w:cs="Times New Roman"/>
                <w:sz w:val="24"/>
                <w:szCs w:val="24"/>
              </w:rPr>
              <w:t>合理安排施工时间，尽可能缩短疏松地面、坡面的裸露时间；水土保持的一些工程措施与道路施工同时进行，最大限度降低水土流失；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V、</w:t>
            </w:r>
            <w:r>
              <w:rPr>
                <w:rFonts w:hint="default" w:ascii="Times New Roman" w:hAnsi="Times New Roman" w:eastAsia="宋体" w:cs="Times New Roman"/>
                <w:sz w:val="24"/>
                <w:szCs w:val="24"/>
              </w:rPr>
              <w:t>加强施工期的环境监理工作，保护好沿线两侧其它区域现有的植被。</w:t>
            </w:r>
            <w:commentRangeEnd w:id="5"/>
            <w:r>
              <w:rPr>
                <w:rFonts w:hint="default" w:ascii="Times New Roman" w:hAnsi="Times New Roman" w:eastAsia="宋体" w:cs="Times New Roman"/>
                <w:sz w:val="24"/>
                <w:szCs w:val="24"/>
              </w:rPr>
              <w:commentReference w:id="5"/>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w:t>
            </w:r>
            <w:r>
              <w:rPr>
                <w:rFonts w:hint="default" w:ascii="Times New Roman" w:hAnsi="Times New Roman" w:eastAsia="宋体" w:cs="Times New Roman"/>
                <w:b/>
                <w:bCs/>
                <w:sz w:val="24"/>
                <w:szCs w:val="24"/>
                <w:lang w:val="en-US" w:eastAsia="zh-CN"/>
              </w:rPr>
              <w:t>2</w:t>
            </w:r>
            <w:r>
              <w:rPr>
                <w:rFonts w:hint="default" w:ascii="Times New Roman" w:hAnsi="Times New Roman" w:eastAsia="宋体" w:cs="Times New Roman"/>
                <w:b/>
                <w:bCs/>
                <w:sz w:val="24"/>
                <w:szCs w:val="24"/>
              </w:rPr>
              <w:t>施工管理措施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（1）加强施工期环境管理，强化施工人员环保意识，规范施工。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A 加强施工期环境管理，做好施工组织安排工作，教育职工爱护环境，保护施工场所周围的一草一木，严禁砍伐、破坏施工区以外的植被。</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B 划定施工作业范围和路线，不得随意扩大，按规定进行操作。严格控制和管理运输车辆及重型机械施工作业范围，尽可能减少对土壤和植被的破坏。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C 划定适宜的堆管</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料</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场，堆管</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料</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需在施工作业带范围内堆放，严禁施工材料乱堆乱放，防止对植物的破坏范围扩大。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D 严格控制临时占地，不得随意扩大用地。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（2）作好施工组织安排工作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A 合理安排施工进度。若在雨季施工，要注意现场作业带堆土水土流失，尽可能在雨季前完成施工，或雨季对重点部位进行毡盖。</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B 提高工程施工效率，缩短施工时间，减少裸地的暴露时间，不留疏松地面。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C 做好施工后的恢复工作。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施工结束后，施工单位应负责清理现场。凡受到施工车辆、机械破坏的地方都要及时修整，恢复原貌，植被一时难以恢复的可在来年予以恢复。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做好表层土保护工作，表层土单独堆放，并覆盖，作为施工后期植被恢复的表层土。</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2、</w:t>
            </w:r>
            <w:r>
              <w:rPr>
                <w:rFonts w:hint="default" w:ascii="Times New Roman" w:hAnsi="Times New Roman" w:eastAsia="宋体" w:cs="Times New Roman"/>
                <w:b/>
                <w:bCs/>
                <w:sz w:val="24"/>
                <w:szCs w:val="24"/>
              </w:rPr>
              <w:t>施工期大气污染防治措施</w:t>
            </w:r>
          </w:p>
          <w:p>
            <w:pPr>
              <w:pStyle w:val="56"/>
              <w:keepNext w:val="0"/>
              <w:keepLines w:val="0"/>
              <w:pageBreakBefore w:val="0"/>
              <w:widowControl w:val="0"/>
              <w:kinsoku/>
              <w:wordWrap/>
              <w:overflowPunct w:val="0"/>
              <w:topLinePunct w:val="0"/>
              <w:autoSpaceDE/>
              <w:autoSpaceDN/>
              <w:bidi w:val="0"/>
              <w:adjustRightInd w:val="0"/>
              <w:snapToGrid w:val="0"/>
              <w:ind w:firstLine="482"/>
              <w:jc w:val="both"/>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2</w:t>
            </w:r>
            <w:r>
              <w:rPr>
                <w:rFonts w:hint="default" w:ascii="Times New Roman" w:hAnsi="Times New Roman" w:eastAsia="宋体" w:cs="Times New Roman"/>
                <w:b/>
                <w:bCs/>
                <w:sz w:val="24"/>
                <w:szCs w:val="24"/>
              </w:rPr>
              <w:t>.1施工扬尘</w:t>
            </w:r>
          </w:p>
          <w:p>
            <w:pPr>
              <w:pStyle w:val="56"/>
              <w:keepNext w:val="0"/>
              <w:keepLines w:val="0"/>
              <w:pageBreakBefore w:val="0"/>
              <w:widowControl w:val="0"/>
              <w:kinsoku/>
              <w:wordWrap/>
              <w:overflowPunct w:val="0"/>
              <w:topLinePunct w:val="0"/>
              <w:autoSpaceDE/>
              <w:autoSpaceDN/>
              <w:bidi w:val="0"/>
              <w:adjustRightInd w:val="0"/>
              <w:snapToGrid w:val="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为减少施工扬尘，主要通过加强施工管理，提高洒水抑尘次数，同时在垃圾清运过程中进行车辆篷布苫盖等。具体措施如下：</w:t>
            </w:r>
          </w:p>
          <w:p>
            <w:pPr>
              <w:pStyle w:val="56"/>
              <w:keepNext w:val="0"/>
              <w:keepLines w:val="0"/>
              <w:pageBreakBefore w:val="0"/>
              <w:widowControl w:val="0"/>
              <w:kinsoku/>
              <w:wordWrap/>
              <w:overflowPunct w:val="0"/>
              <w:topLinePunct w:val="0"/>
              <w:autoSpaceDE/>
              <w:autoSpaceDN/>
              <w:bidi w:val="0"/>
              <w:adjustRightInd w:val="0"/>
              <w:snapToGrid w:val="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（1）避免在大风日以及夏季暴雨时节施工，尽可能缩短施工时间，提高施工效率，减少地表裸露的时间，遇有大风天气时，避免进行挖掘、回填等大土方量作业或采取洒水抑尘措施。</w:t>
            </w:r>
          </w:p>
          <w:p>
            <w:pPr>
              <w:pStyle w:val="56"/>
              <w:keepNext w:val="0"/>
              <w:keepLines w:val="0"/>
              <w:pageBreakBefore w:val="0"/>
              <w:widowControl w:val="0"/>
              <w:kinsoku/>
              <w:wordWrap/>
              <w:overflowPunct w:val="0"/>
              <w:topLinePunct w:val="0"/>
              <w:autoSpaceDE/>
              <w:autoSpaceDN/>
              <w:bidi w:val="0"/>
              <w:adjustRightInd w:val="0"/>
              <w:snapToGrid w:val="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施工单位必须加强施工区的规划管理：采取防尘、抑尘措施，如在大风天气，对散料堆场应采用水喷淋法防尘，以减少建设过程中使用的建筑材料在装卸、堆放过程中的粉尘外溢，降低项目建设对当地的空气污染。</w:t>
            </w:r>
          </w:p>
          <w:p>
            <w:pPr>
              <w:pStyle w:val="56"/>
              <w:keepNext w:val="0"/>
              <w:keepLines w:val="0"/>
              <w:pageBreakBefore w:val="0"/>
              <w:widowControl w:val="0"/>
              <w:kinsoku/>
              <w:wordWrap/>
              <w:overflowPunct w:val="0"/>
              <w:topLinePunct w:val="0"/>
              <w:autoSpaceDE/>
              <w:autoSpaceDN/>
              <w:bidi w:val="0"/>
              <w:adjustRightInd w:val="0"/>
              <w:snapToGrid w:val="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用汽车运输易起尘的物料时，要加盖篷布、控制车速，防止物料洒落和产生扬尘；卸车时应尽量减少落差，减少扬尘；运输车辆进出的主干道应定期洒水清扫，保持车辆出入口路面清洁、润湿，并尽量要求运输车辆放慢行车速度，以减少地面扬尘污染。另外，运输路线应尽可能避开居民区。</w:t>
            </w:r>
          </w:p>
          <w:p>
            <w:pPr>
              <w:pStyle w:val="56"/>
              <w:keepNext w:val="0"/>
              <w:keepLines w:val="0"/>
              <w:pageBreakBefore w:val="0"/>
              <w:widowControl w:val="0"/>
              <w:kinsoku/>
              <w:wordWrap/>
              <w:overflowPunct w:val="0"/>
              <w:topLinePunct w:val="0"/>
              <w:autoSpaceDE/>
              <w:autoSpaceDN/>
              <w:bidi w:val="0"/>
              <w:adjustRightInd w:val="0"/>
              <w:snapToGrid w:val="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（4）加强对施工机械、车辆的维修保养，禁止以柴油为燃料的施工机械超负荷工作，减少烟尘和颗粒物的排放。</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本项目施工场地附近居民居住较多，施工扬尘对村庄空气环境影响较大。需增加洒水降尘频次，确保对周边居民影响最小。综上，评价认为采取施工期废气污染防治措施技术可行、经济合理，在落实上述措施后对区域环境空气影响较小，措施可行。</w:t>
            </w:r>
          </w:p>
          <w:p>
            <w:pPr>
              <w:keepNext w:val="0"/>
              <w:keepLines w:val="0"/>
              <w:pageBreakBefore w:val="0"/>
              <w:widowControl w:val="0"/>
              <w:kinsoku/>
              <w:wordWrap/>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cs="Times New Roman"/>
                <w:b/>
                <w:bCs/>
                <w:sz w:val="24"/>
                <w:szCs w:val="24"/>
                <w:lang w:val="en-US" w:eastAsia="zh-CN"/>
              </w:rPr>
              <w:t>2</w:t>
            </w:r>
            <w:r>
              <w:rPr>
                <w:rFonts w:hint="default" w:ascii="Times New Roman" w:hAnsi="Times New Roman" w:eastAsia="宋体" w:cs="Times New Roman"/>
                <w:b/>
                <w:bCs/>
                <w:sz w:val="24"/>
                <w:szCs w:val="24"/>
              </w:rPr>
              <w:t>.2施工机械尾气</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项目施工机械尾气主要来自施工机械和运输土方等原材料的汽车，其主要成分为CO、NOx，以及未完全燃烧的THC等，其特点是排放量小，属间断性无组织排放。由于拟建项目所在地较为开阔，空气流通较好，车辆排放的尾气能够较快地扩散，不会对当地的环境空气产生较大影响，但项目建设过程中仍应采取控制措施，加强施工机械的维护，使环境空气质量受到的影响降至最低。施工单位应尽量选用低能耗、低污染排放的施工运输车辆，对于尾气排放超标的车辆，应安装尾气净化装置；注意车辆维修保养，减少因车辆状况不佳造成的空气污染。</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3、</w:t>
            </w:r>
            <w:r>
              <w:rPr>
                <w:rFonts w:hint="default" w:ascii="Times New Roman" w:hAnsi="Times New Roman" w:eastAsia="宋体" w:cs="Times New Roman"/>
                <w:b/>
                <w:bCs/>
                <w:sz w:val="24"/>
                <w:szCs w:val="24"/>
              </w:rPr>
              <w:t>施工期地表水污染防治措施</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本项目不设置施工营地，故不产生生活污水。本项目施工期废水主要是</w:t>
            </w:r>
            <w:r>
              <w:rPr>
                <w:rFonts w:hint="default" w:ascii="Times New Roman" w:hAnsi="Times New Roman" w:eastAsia="宋体" w:cs="Times New Roman"/>
                <w:sz w:val="24"/>
                <w:szCs w:val="24"/>
                <w:lang w:val="en-US" w:eastAsia="zh-CN"/>
              </w:rPr>
              <w:t>施工废水及</w:t>
            </w:r>
            <w:r>
              <w:rPr>
                <w:rFonts w:hint="default" w:ascii="Times New Roman" w:hAnsi="Times New Roman" w:eastAsia="宋体" w:cs="Times New Roman"/>
                <w:sz w:val="24"/>
                <w:szCs w:val="24"/>
              </w:rPr>
              <w:t>机械冲洗废水。</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施工期废水主要污染因子为SS。在施工场地设置简易沉淀池，本环评要求在施工场地设定机械设备、车辆的冲洗区域，冲洗区域的地面应设置临时的硬化防渗地坪并在其四周设置集水沟和沉淀池，将冲洗废水经沉淀达标后，回用于周边绿化或沿线道路、施工场地的洒水降尘，避免直接排入附近沟渠</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雨天禁止施工。</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本工程每个施工区共布置修建</w:t>
            </w:r>
            <w:r>
              <w:rPr>
                <w:rFonts w:hint="default" w:ascii="Times New Roman" w:hAnsi="Times New Roman" w:eastAsia="宋体" w:cs="Times New Roman"/>
                <w:sz w:val="24"/>
                <w:szCs w:val="24"/>
                <w:lang w:val="en-US" w:eastAsia="zh-CN"/>
              </w:rPr>
              <w:t>1</w:t>
            </w:r>
            <w:r>
              <w:rPr>
                <w:rFonts w:hint="default" w:ascii="Times New Roman" w:hAnsi="Times New Roman" w:eastAsia="宋体" w:cs="Times New Roman"/>
                <w:sz w:val="24"/>
                <w:szCs w:val="24"/>
              </w:rPr>
              <w:t>个沉淀池</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设计尺寸为：长×宽×高=1.5m×1.0m×0.8m。废水经处理后，水质达到循环利用要求，进行综合利用。</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此外，除采取以上施工期废水处置措施，工程施工期还应加强施工管理，加强施工人员的环保意识，禁止随意向河沟、农田倾倒废水及残渣废物。</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4、</w:t>
            </w:r>
            <w:r>
              <w:rPr>
                <w:rFonts w:hint="default" w:ascii="Times New Roman" w:hAnsi="Times New Roman" w:eastAsia="宋体" w:cs="Times New Roman"/>
                <w:b/>
                <w:bCs/>
                <w:sz w:val="24"/>
                <w:szCs w:val="24"/>
              </w:rPr>
              <w:t>施工期噪声污染防治措施</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噪声以挖掘机等设备噪声强度较大，一般可达85~103dB（A），必须进行有效的降噪隔声治理措施。采用消声、减振、隔声和个人防护相结合的措施。</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挖掘机、运输汽车等移动性设备，以对司机及个人防护为主，司机室可采用隔声防振，个人防护可佩戴耳罩等。</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为了尽量减少运输对沿途居民的影响，工程运输车辆进入沿途居民时必须限速、禁止鸣高音喇叭，并且避开沿途居民的休息时间，禁止夜间运输。</w:t>
            </w:r>
          </w:p>
          <w:p>
            <w:pPr>
              <w:pStyle w:val="15"/>
              <w:keepNext w:val="0"/>
              <w:keepLines w:val="0"/>
              <w:pageBreakBefore w:val="0"/>
              <w:widowControl w:val="0"/>
              <w:kinsoku/>
              <w:wordWrap/>
              <w:topLinePunct w:val="0"/>
              <w:autoSpaceDE/>
              <w:autoSpaceDN/>
              <w:bidi w:val="0"/>
              <w:snapToGrid w:val="0"/>
              <w:spacing w:line="360" w:lineRule="auto"/>
              <w:ind w:firstLine="480" w:firstLineChars="20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lang w:val="en-US" w:eastAsia="zh-CN"/>
              </w:rPr>
              <w:t>4</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优先选用低噪声施工机械，合理安排施工时间；禁止在夜间（北京时间22:00至次日6:00）及午间（北京时间12:00至14:00）进行施工，尽量不给周围居民的生活带来影响；合理优化施工工艺；加强管理，文明施工，建筑器械、材料轻拿轻放，尽量减少人为噪声。</w:t>
            </w:r>
          </w:p>
          <w:p>
            <w:pPr>
              <w:keepNext w:val="0"/>
              <w:keepLines w:val="0"/>
              <w:pageBreakBefore w:val="0"/>
              <w:widowControl w:val="0"/>
              <w:kinsoku/>
              <w:wordWrap/>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5</w:t>
            </w:r>
            <w:r>
              <w:rPr>
                <w:rFonts w:hint="default" w:ascii="Times New Roman" w:hAnsi="Times New Roman" w:eastAsia="宋体" w:cs="Times New Roman"/>
                <w:b/>
                <w:bCs/>
                <w:sz w:val="24"/>
                <w:szCs w:val="24"/>
              </w:rPr>
              <w:t>、施工期固体废物防治措施</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施工期固体废弃物包括施工弃渣和生活垃圾。</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本项目不设弃土场，</w:t>
            </w:r>
            <w:r>
              <w:rPr>
                <w:rFonts w:hint="default" w:ascii="Times New Roman" w:hAnsi="Times New Roman" w:eastAsia="宋体" w:cs="Times New Roman"/>
                <w:sz w:val="24"/>
                <w:szCs w:val="24"/>
                <w:lang w:val="en-US" w:eastAsia="zh-CN"/>
              </w:rPr>
              <w:t>弃土部分用作就近低洼地势平整恢复利用，其余堆放于护岸一侧</w:t>
            </w:r>
            <w:r>
              <w:rPr>
                <w:rFonts w:hint="default" w:ascii="Times New Roman" w:hAnsi="Times New Roman" w:eastAsia="宋体" w:cs="Times New Roman"/>
                <w:sz w:val="24"/>
                <w:szCs w:val="24"/>
              </w:rPr>
              <w:t>沟道背河区低洼处</w:t>
            </w:r>
            <w:r>
              <w:rPr>
                <w:rFonts w:hint="default" w:ascii="Times New Roman" w:hAnsi="Times New Roman" w:eastAsia="宋体" w:cs="Times New Roman"/>
                <w:sz w:val="24"/>
                <w:szCs w:val="24"/>
                <w:lang w:val="en-US" w:eastAsia="zh-CN"/>
              </w:rPr>
              <w:t>，土体堆放应大体平整，作为防洪坝</w:t>
            </w:r>
            <w:r>
              <w:rPr>
                <w:rFonts w:hint="default" w:ascii="Times New Roman" w:hAnsi="Times New Roman" w:eastAsia="宋体" w:cs="Times New Roman"/>
                <w:sz w:val="24"/>
                <w:szCs w:val="24"/>
              </w:rPr>
              <w:t>。本工程施工期建筑垃圾主要为废弃的混凝土块等</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统一收集，并由施工单位拉运至</w:t>
            </w:r>
            <w:r>
              <w:rPr>
                <w:rFonts w:hint="default" w:ascii="Times New Roman" w:hAnsi="Times New Roman" w:eastAsia="宋体" w:cs="Times New Roman"/>
                <w:sz w:val="24"/>
                <w:szCs w:val="24"/>
                <w:lang w:eastAsia="zh-CN"/>
              </w:rPr>
              <w:t>环卫部门指定地点</w:t>
            </w:r>
            <w:r>
              <w:rPr>
                <w:rFonts w:hint="default" w:ascii="Times New Roman" w:hAnsi="Times New Roman" w:eastAsia="宋体" w:cs="Times New Roman"/>
                <w:sz w:val="24"/>
                <w:szCs w:val="24"/>
              </w:rPr>
              <w:t>统一处置。在运输建筑垃圾时，应合理规划运输路线及时间，不得丢弃、遗撒建筑垃圾。</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建筑材料运输、堆放过程中引起扬尘可能会随风飘落到附近水体中，对水体产生一定影响。此外，施工材料如保管不善，被雨水冲刷进入水体将会产生水环境污染。评价要求建筑材料堆放场和临时土方堆场应远离周边水体，堆放期间应加盖篷布，减少扬尘，必要时设围栏，避免被雨水冲刷进入水体，造成水环境污染。</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生活垃圾集中收集，定期交环卫部门统一处置。</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在采取上述固废防治措施后，加强管理、科学施工可将本工程施工期固废对环境影响降至最低</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commentReference w:id="7"/>
            </w:r>
          </w:p>
          <w:p>
            <w:pPr>
              <w:keepNext w:val="0"/>
              <w:keepLines w:val="0"/>
              <w:pageBreakBefore w:val="0"/>
              <w:widowControl w:val="0"/>
              <w:kinsoku/>
              <w:wordWrap/>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commentRangeStart w:id="8"/>
            <w:r>
              <w:rPr>
                <w:rFonts w:hint="default" w:ascii="Times New Roman" w:hAnsi="Times New Roman" w:eastAsia="宋体" w:cs="Times New Roman"/>
                <w:b/>
                <w:bCs/>
                <w:sz w:val="24"/>
                <w:szCs w:val="24"/>
              </w:rPr>
              <w:t>6、环境风险防范措施</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rPr>
              <w:t>针对项目环境风险，本环评提出以下环境风险防范措施及应急要求</w:t>
            </w:r>
            <w:r>
              <w:rPr>
                <w:rFonts w:hint="default" w:ascii="Times New Roman" w:hAnsi="Times New Roman" w:eastAsia="宋体" w:cs="Times New Roman"/>
                <w:sz w:val="24"/>
                <w:szCs w:val="24"/>
                <w:lang w:eastAsia="zh-CN"/>
              </w:rPr>
              <w:t>：</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管理措施</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成立环境风险事故领导小组，派专人对施工现场和沿线道路进行清扫，从源头上控制油料泄露可能带来的不良影响</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定期检查和维护施工设备和运输车辆，使其维持良好的工作状态</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敦促施工人员严格按照交通规则行驶并注意文明行车，减小事故几率</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加强施工质量和进度管理，严格按照既定的施工要求、施工进度及施工范围内进行施工，确保在枯水期进行施工。</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工程措施</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做好施工场地检查工作，保持排水通畅。施工场地和石方运输线路沿线等设置明显标志，提醒司机注意行车安全。</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rPr>
            </w:pPr>
            <w:r>
              <w:rPr>
                <w:rFonts w:hint="default" w:ascii="Times New Roman" w:hAnsi="Times New Roman" w:eastAsia="宋体" w:cs="Times New Roman"/>
                <w:sz w:val="24"/>
                <w:szCs w:val="24"/>
              </w:rPr>
              <w:t>应急措施</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油料泄露后应及时组织人员将该部分沙土铲除并收集至专用容器中交资质单位处置，如油料泄露点位于周边道路，则用沙土覆盖其表面，待其充分被吸收后在用专用容器收集交资质单位处置，从而避免泄露的油料随雨水等带入周边水体</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同时制订污染物泄漏风险事故应急预案，预案应包括应急事故组织机构、应急救援队伍、应急设施及物质的配备、应急报警系统、应急处理措施、应急培训计划等内容</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施工场所应张贴应急报警电话。本项</w:t>
            </w:r>
            <w:r>
              <w:rPr>
                <w:rFonts w:hint="eastAsia" w:cs="Times New Roman"/>
                <w:sz w:val="24"/>
                <w:szCs w:val="24"/>
                <w:lang w:eastAsia="zh-CN"/>
              </w:rPr>
              <w:t>目</w:t>
            </w:r>
            <w:r>
              <w:rPr>
                <w:rFonts w:hint="default" w:ascii="Times New Roman" w:hAnsi="Times New Roman" w:eastAsia="宋体" w:cs="Times New Roman"/>
                <w:sz w:val="24"/>
                <w:szCs w:val="24"/>
              </w:rPr>
              <w:t>安排在枯水期施工，在洪水主汛期来临之前完成，但考虑到工程区经常发生泥石流，现场施工单位及业主部门应密切关注上游来水，做好预警工作。</w:t>
            </w:r>
            <w:commentRangeEnd w:id="8"/>
            <w:r>
              <w:rPr>
                <w:rFonts w:hint="default" w:ascii="Times New Roman" w:hAnsi="Times New Roman" w:eastAsia="宋体" w:cs="Times New Roman"/>
                <w:sz w:val="24"/>
                <w:szCs w:val="24"/>
              </w:rPr>
              <w:commentReference w:id="8"/>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53" w:type="dxa"/>
            <w:tcMar>
              <w:left w:w="28" w:type="dxa"/>
              <w:right w:w="28" w:type="dxa"/>
            </w:tcMar>
            <w:vAlign w:val="center"/>
          </w:tcPr>
          <w:p>
            <w:pPr>
              <w:adjustRightInd w:val="0"/>
              <w:snapToGrid w:val="0"/>
              <w:jc w:val="center"/>
              <w:rPr>
                <w:rFonts w:hint="default" w:ascii="Times New Roman" w:hAnsi="Times New Roman" w:cs="Times New Roman"/>
                <w:bCs/>
                <w:color w:val="000000" w:themeColor="text1"/>
                <w:spacing w:val="10"/>
                <w:szCs w:val="21"/>
                <w14:textFill>
                  <w14:solidFill>
                    <w14:schemeClr w14:val="tx1"/>
                  </w14:solidFill>
                </w14:textFill>
              </w:rPr>
            </w:pPr>
            <w:r>
              <w:rPr>
                <w:rFonts w:hint="default" w:ascii="Times New Roman" w:hAnsi="Times New Roman" w:cs="Times New Roman"/>
                <w:bCs/>
                <w:color w:val="000000" w:themeColor="text1"/>
                <w:spacing w:val="10"/>
                <w:szCs w:val="21"/>
                <w14:textFill>
                  <w14:solidFill>
                    <w14:schemeClr w14:val="tx1"/>
                  </w14:solidFill>
                </w14:textFill>
              </w:rPr>
              <w:t>运营期生态环境保护措施</w:t>
            </w:r>
          </w:p>
        </w:tc>
        <w:tc>
          <w:tcPr>
            <w:tcW w:w="8457" w:type="dxa"/>
          </w:tcPr>
          <w:p>
            <w:pPr>
              <w:adjustRightInd w:val="0"/>
              <w:snapToGrid w:val="0"/>
              <w:spacing w:line="360" w:lineRule="auto"/>
              <w:ind w:firstLine="520" w:firstLineChars="200"/>
              <w:rPr>
                <w:rFonts w:hint="default" w:ascii="Times New Roman" w:hAnsi="Times New Roman" w:cs="Times New Roman"/>
                <w:bCs/>
                <w:color w:val="000000" w:themeColor="text1"/>
                <w:spacing w:val="10"/>
                <w:szCs w:val="21"/>
                <w14:textFill>
                  <w14:solidFill>
                    <w14:schemeClr w14:val="tx1"/>
                  </w14:solidFill>
                </w14:textFill>
              </w:rPr>
            </w:pPr>
            <w:r>
              <w:rPr>
                <w:rFonts w:hint="default" w:ascii="Times New Roman" w:hAnsi="Times New Roman" w:cs="Times New Roman"/>
                <w:bCs/>
                <w:color w:val="000000" w:themeColor="text1"/>
                <w:spacing w:val="10"/>
                <w:sz w:val="24"/>
                <w14:textFill>
                  <w14:solidFill>
                    <w14:schemeClr w14:val="tx1"/>
                  </w14:solidFill>
                </w14:textFill>
              </w:rPr>
              <w:t>本项目为防洪除涝工程，施工期结束后其用地部分转换为</w:t>
            </w:r>
            <w:r>
              <w:rPr>
                <w:rFonts w:hint="default" w:ascii="Times New Roman" w:hAnsi="Times New Roman" w:cs="Times New Roman"/>
                <w:bCs/>
                <w:color w:val="000000" w:themeColor="text1"/>
                <w:spacing w:val="10"/>
                <w:sz w:val="24"/>
                <w:lang w:val="en-US" w:eastAsia="zh-CN"/>
                <w14:textFill>
                  <w14:solidFill>
                    <w14:schemeClr w14:val="tx1"/>
                  </w14:solidFill>
                </w14:textFill>
              </w:rPr>
              <w:t>原始用地</w:t>
            </w:r>
            <w:r>
              <w:rPr>
                <w:rFonts w:hint="default" w:ascii="Times New Roman" w:hAnsi="Times New Roman" w:cs="Times New Roman"/>
                <w:bCs/>
                <w:color w:val="000000" w:themeColor="text1"/>
                <w:spacing w:val="10"/>
                <w:sz w:val="24"/>
                <w14:textFill>
                  <w14:solidFill>
                    <w14:schemeClr w14:val="tx1"/>
                  </w14:solidFill>
                </w14:textFill>
              </w:rPr>
              <w:t>。在项目撒播草籽治理区内，科学调配并撒播草籽，使其自然恢复，显著增加植被覆盖率，强化植被固沙护土能力。在恢复耕地区进行场地平整、土地翻耕（深翻30cm）和地力培肥（增施农家肥），在新增耕地的同时能够提升耕地质量，改善农业生产条件和生态环境，提高土地利用率和产出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53" w:type="dxa"/>
            <w:vAlign w:val="center"/>
          </w:tcPr>
          <w:p>
            <w:pPr>
              <w:adjustRightInd w:val="0"/>
              <w:snapToGrid w:val="0"/>
              <w:jc w:val="center"/>
              <w:rPr>
                <w:rFonts w:hint="default" w:ascii="Times New Roman" w:hAnsi="Times New Roman" w:cs="Times New Roman"/>
                <w:bCs/>
                <w:color w:val="000000" w:themeColor="text1"/>
                <w:spacing w:val="10"/>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其他</w:t>
            </w:r>
          </w:p>
        </w:tc>
        <w:tc>
          <w:tcPr>
            <w:tcW w:w="8457" w:type="dxa"/>
          </w:tcPr>
          <w:p>
            <w:pPr>
              <w:adjustRightInd w:val="0"/>
              <w:snapToGrid w:val="0"/>
              <w:jc w:val="center"/>
              <w:rPr>
                <w:rFonts w:hint="default" w:ascii="Times New Roman" w:hAnsi="Times New Roman" w:cs="Times New Roman"/>
                <w:bCs/>
                <w:color w:val="000000" w:themeColor="text1"/>
                <w:spacing w:val="10"/>
                <w:szCs w:val="21"/>
                <w14:textFill>
                  <w14:solidFill>
                    <w14:schemeClr w14:val="tx1"/>
                  </w14:solidFill>
                </w14:textFill>
              </w:rPr>
            </w:pPr>
            <w:r>
              <w:rPr>
                <w:rFonts w:hint="default" w:ascii="Times New Roman" w:hAnsi="Times New Roman" w:cs="Times New Roman"/>
                <w:bCs/>
                <w:color w:val="000000" w:themeColor="text1"/>
                <w:spacing w:val="10"/>
                <w:sz w:val="24"/>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21" w:hRule="atLeast"/>
          <w:jc w:val="center"/>
        </w:trPr>
        <w:tc>
          <w:tcPr>
            <w:tcW w:w="753" w:type="dxa"/>
            <w:vAlign w:val="center"/>
          </w:tcPr>
          <w:p>
            <w:pPr>
              <w:adjustRightInd w:val="0"/>
              <w:snapToGrid w:val="0"/>
              <w:jc w:val="center"/>
              <w:rPr>
                <w:rFonts w:hint="default" w:ascii="Times New Roman" w:hAnsi="Times New Roman" w:cs="Times New Roman"/>
                <w:bCs/>
                <w:color w:val="000000" w:themeColor="text1"/>
                <w:spacing w:val="10"/>
                <w:szCs w:val="21"/>
                <w14:textFill>
                  <w14:solidFill>
                    <w14:schemeClr w14:val="tx1"/>
                  </w14:solidFill>
                </w14:textFill>
              </w:rPr>
            </w:pPr>
            <w:r>
              <w:rPr>
                <w:rFonts w:hint="default" w:ascii="Times New Roman" w:hAnsi="Times New Roman" w:cs="Times New Roman"/>
                <w:bCs/>
                <w:color w:val="000000" w:themeColor="text1"/>
                <w:szCs w:val="21"/>
                <w14:textFill>
                  <w14:solidFill>
                    <w14:schemeClr w14:val="tx1"/>
                  </w14:solidFill>
                </w14:textFill>
              </w:rPr>
              <w:t>环保投资</w:t>
            </w:r>
          </w:p>
        </w:tc>
        <w:tc>
          <w:tcPr>
            <w:tcW w:w="8457" w:type="dxa"/>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cs="Times New Roman"/>
                <w:color w:val="FF0000"/>
                <w:sz w:val="24"/>
                <w:szCs w:val="32"/>
              </w:rPr>
            </w:pPr>
            <w:r>
              <w:rPr>
                <w:rFonts w:hint="default" w:ascii="Times New Roman" w:hAnsi="Times New Roman" w:cs="Times New Roman"/>
                <w:color w:val="FF0000"/>
                <w:sz w:val="24"/>
                <w:szCs w:val="32"/>
              </w:rPr>
              <w:t>本项目总投资为</w:t>
            </w:r>
            <w:r>
              <w:rPr>
                <w:rFonts w:hint="default" w:ascii="Times New Roman" w:hAnsi="Times New Roman" w:cs="Times New Roman"/>
                <w:color w:val="FF0000"/>
                <w:sz w:val="24"/>
                <w:szCs w:val="32"/>
                <w:lang w:eastAsia="zh-CN"/>
              </w:rPr>
              <w:t>124.50</w:t>
            </w:r>
            <w:r>
              <w:rPr>
                <w:rFonts w:hint="default" w:ascii="Times New Roman" w:hAnsi="Times New Roman" w:cs="Times New Roman"/>
                <w:color w:val="FF0000"/>
                <w:sz w:val="24"/>
                <w:szCs w:val="32"/>
              </w:rPr>
              <w:t>万元，</w:t>
            </w:r>
            <w:r>
              <w:rPr>
                <w:rFonts w:hint="default" w:ascii="Times New Roman" w:hAnsi="Times New Roman" w:cs="Times New Roman"/>
                <w:color w:val="FF0000"/>
                <w:sz w:val="24"/>
                <w:szCs w:val="32"/>
                <w:lang w:val="en-US" w:eastAsia="zh-CN"/>
              </w:rPr>
              <w:t>环保投资16.98万元</w:t>
            </w:r>
            <w:r>
              <w:rPr>
                <w:rFonts w:hint="default" w:ascii="Times New Roman" w:hAnsi="Times New Roman" w:cs="Times New Roman"/>
                <w:color w:val="FF0000"/>
                <w:sz w:val="24"/>
                <w:szCs w:val="32"/>
              </w:rPr>
              <w:t>，占工程总投资的</w:t>
            </w:r>
            <w:r>
              <w:rPr>
                <w:rFonts w:hint="default" w:ascii="Times New Roman" w:hAnsi="Times New Roman" w:cs="Times New Roman"/>
                <w:color w:val="FF0000"/>
                <w:sz w:val="24"/>
                <w:szCs w:val="32"/>
                <w:lang w:val="en-US" w:eastAsia="zh-CN"/>
              </w:rPr>
              <w:t>13.64</w:t>
            </w:r>
            <w:r>
              <w:rPr>
                <w:rFonts w:hint="default" w:ascii="Times New Roman" w:hAnsi="Times New Roman" w:cs="Times New Roman"/>
                <w:color w:val="FF0000"/>
                <w:sz w:val="24"/>
                <w:szCs w:val="32"/>
              </w:rPr>
              <w:t>%。具体环保投资费用估算情况详见表5-2。</w:t>
            </w:r>
          </w:p>
          <w:p>
            <w:pPr>
              <w:pStyle w:val="6"/>
              <w:ind w:firstLine="0"/>
              <w:jc w:val="center"/>
              <w:rPr>
                <w:rFonts w:hint="default" w:ascii="Times New Roman" w:hAnsi="Times New Roman" w:cs="Times New Roman"/>
                <w:b/>
                <w:bCs/>
                <w:color w:val="000000" w:themeColor="text1"/>
                <w14:textFill>
                  <w14:solidFill>
                    <w14:schemeClr w14:val="tx1"/>
                  </w14:solidFill>
                </w14:textFill>
              </w:rPr>
            </w:pPr>
            <w:r>
              <w:rPr>
                <w:rFonts w:hint="default" w:ascii="Times New Roman" w:hAnsi="Times New Roman" w:cs="Times New Roman"/>
                <w:b/>
                <w:bCs/>
                <w:color w:val="000000" w:themeColor="text1"/>
                <w14:textFill>
                  <w14:solidFill>
                    <w14:schemeClr w14:val="tx1"/>
                  </w14:solidFill>
                </w14:textFill>
              </w:rPr>
              <w:t>表5-2环保投资情况表</w:t>
            </w:r>
          </w:p>
          <w:tbl>
            <w:tblPr>
              <w:tblStyle w:val="25"/>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31"/>
              <w:gridCol w:w="1724"/>
              <w:gridCol w:w="3325"/>
              <w:gridCol w:w="206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序号</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项目名称</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具体内容</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投资（万元）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废气治理</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设置围挡，采场及道路洒水</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废水治理</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沉淀池</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3</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噪声治理</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设置围挡隔声、减震等</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2.35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固废治理</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设置施工人员生活垃圾箱，硬化物拆除垃圾清运</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1.58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5</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生态修复工程</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土地平整修复</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5.47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4</w:t>
                  </w: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绿化工程</w:t>
                  </w:r>
                </w:p>
              </w:tc>
              <w:tc>
                <w:tcPr>
                  <w:tcW w:w="3325"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绿化及后期养护</w:t>
                  </w:r>
                </w:p>
              </w:tc>
              <w:tc>
                <w:tcPr>
                  <w:tcW w:w="206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1.98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1"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p>
              </w:tc>
              <w:tc>
                <w:tcPr>
                  <w:tcW w:w="1724" w:type="dxa"/>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总计</w:t>
                  </w:r>
                </w:p>
              </w:tc>
              <w:tc>
                <w:tcPr>
                  <w:tcW w:w="5386" w:type="dxa"/>
                  <w:gridSpan w:val="2"/>
                  <w:tcBorders>
                    <w:tl2br w:val="nil"/>
                    <w:tr2bl w:val="nil"/>
                  </w:tcBorders>
                  <w:vAlign w:val="center"/>
                </w:tcPr>
                <w:p>
                  <w:pPr>
                    <w:pStyle w:val="6"/>
                    <w:adjustRightInd w:val="0"/>
                    <w:snapToGrid w:val="0"/>
                    <w:ind w:firstLine="0"/>
                    <w:jc w:val="center"/>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16.98</w:t>
                  </w:r>
                </w:p>
              </w:tc>
            </w:tr>
          </w:tbl>
          <w:p>
            <w:pPr>
              <w:pStyle w:val="6"/>
              <w:ind w:firstLine="0"/>
              <w:rPr>
                <w:rFonts w:hint="default" w:ascii="Times New Roman" w:hAnsi="Times New Roman" w:cs="Times New Roman"/>
                <w:bCs/>
                <w:color w:val="000000" w:themeColor="text1"/>
                <w:spacing w:val="10"/>
                <w:szCs w:val="21"/>
                <w14:textFill>
                  <w14:solidFill>
                    <w14:schemeClr w14:val="tx1"/>
                  </w14:solidFill>
                </w14:textFill>
              </w:rPr>
            </w:pPr>
          </w:p>
        </w:tc>
      </w:tr>
    </w:tbl>
    <w:p>
      <w:pPr>
        <w:rPr>
          <w:rFonts w:hint="default" w:ascii="Times New Roman" w:hAnsi="Times New Roman" w:cs="Times New Roman"/>
          <w:color w:val="000000" w:themeColor="text1"/>
          <w14:textFill>
            <w14:solidFill>
              <w14:schemeClr w14:val="tx1"/>
            </w14:solidFill>
          </w14:textFill>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19"/>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bookmarkStart w:id="18" w:name="_Toc27751"/>
      <w:r>
        <w:rPr>
          <w:rFonts w:hint="default" w:ascii="Times New Roman" w:hAnsi="Times New Roman" w:eastAsia="黑体" w:cs="Times New Roman"/>
          <w:snapToGrid w:val="0"/>
          <w:color w:val="000000" w:themeColor="text1"/>
          <w:sz w:val="30"/>
          <w:szCs w:val="30"/>
          <w14:textFill>
            <w14:solidFill>
              <w14:schemeClr w14:val="tx1"/>
            </w14:solidFill>
          </w14:textFill>
        </w:rPr>
        <w:t>六、生态环境保护措施监督检查清单</w:t>
      </w:r>
      <w:bookmarkEnd w:id="18"/>
    </w:p>
    <w:tbl>
      <w:tblPr>
        <w:tblStyle w:val="2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8"/>
        <w:gridCol w:w="2036"/>
        <w:gridCol w:w="1775"/>
        <w:gridCol w:w="1192"/>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Merge w:val="restart"/>
            <w:tcBorders>
              <w:tl2br w:val="single" w:color="auto" w:sz="4" w:space="0"/>
            </w:tcBorders>
          </w:tcPr>
          <w:p>
            <w:pPr>
              <w:pStyle w:val="19"/>
              <w:adjustRightInd w:val="0"/>
              <w:snapToGrid w:val="0"/>
              <w:spacing w:before="72" w:beforeLines="30" w:beforeAutospacing="0" w:after="0" w:afterAutospacing="0"/>
              <w:jc w:val="center"/>
              <w:rPr>
                <w:rFonts w:hint="default" w:ascii="Times New Roman" w:hAnsi="Times New Roman" w:cs="Times New Roman"/>
                <w:b/>
                <w:bCs/>
                <w:color w:val="000000" w:themeColor="text1"/>
                <w:kern w:val="2"/>
                <w:sz w:val="21"/>
                <w:szCs w:val="21"/>
                <w14:textFill>
                  <w14:solidFill>
                    <w14:schemeClr w14:val="tx1"/>
                  </w14:solidFill>
                </w14:textFill>
              </w:rPr>
            </w:pPr>
          </w:p>
          <w:p>
            <w:pPr>
              <w:pStyle w:val="19"/>
              <w:adjustRightInd w:val="0"/>
              <w:snapToGrid w:val="0"/>
              <w:spacing w:before="72" w:beforeLines="3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19" w:name="_Toc6897"/>
            <w:r>
              <w:rPr>
                <w:rFonts w:hint="default" w:ascii="Times New Roman" w:hAnsi="Times New Roman" w:cs="Times New Roman"/>
                <w:b/>
                <w:bCs/>
                <w:color w:val="000000" w:themeColor="text1"/>
                <w:kern w:val="2"/>
                <w:sz w:val="21"/>
                <w:szCs w:val="21"/>
                <w14:textFill>
                  <w14:solidFill>
                    <w14:schemeClr w14:val="tx1"/>
                  </w14:solidFill>
                </w14:textFill>
              </w:rPr>
              <w:t>内容</w:t>
            </w:r>
            <w:bookmarkEnd w:id="19"/>
          </w:p>
          <w:p>
            <w:pPr>
              <w:pStyle w:val="19"/>
              <w:adjustRightInd w:val="0"/>
              <w:snapToGrid w:val="0"/>
              <w:spacing w:before="0" w:beforeAutospacing="0" w:after="0" w:afterAutospacing="0" w:line="14" w:lineRule="auto"/>
              <w:rPr>
                <w:rFonts w:hint="default" w:ascii="Times New Roman" w:hAnsi="Times New Roman" w:cs="Times New Roman"/>
                <w:b/>
                <w:bCs/>
                <w:color w:val="000000" w:themeColor="text1"/>
                <w:kern w:val="2"/>
                <w:sz w:val="135"/>
                <w:szCs w:val="21"/>
                <w14:textFill>
                  <w14:solidFill>
                    <w14:schemeClr w14:val="tx1"/>
                  </w14:solidFill>
                </w14:textFill>
              </w:rPr>
            </w:pPr>
          </w:p>
          <w:p>
            <w:pPr>
              <w:pStyle w:val="19"/>
              <w:adjustRightInd w:val="0"/>
              <w:snapToGrid w:val="0"/>
              <w:spacing w:before="0" w:beforeAutospacing="0" w:after="0" w:afterAutospacing="0"/>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0" w:name="_Toc27779"/>
            <w:r>
              <w:rPr>
                <w:rFonts w:hint="default" w:ascii="Times New Roman" w:hAnsi="Times New Roman" w:cs="Times New Roman"/>
                <w:b/>
                <w:bCs/>
                <w:color w:val="000000" w:themeColor="text1"/>
                <w:kern w:val="2"/>
                <w:sz w:val="21"/>
                <w:szCs w:val="21"/>
                <w14:textFill>
                  <w14:solidFill>
                    <w14:schemeClr w14:val="tx1"/>
                  </w14:solidFill>
                </w14:textFill>
              </w:rPr>
              <w:t>要素</w:t>
            </w:r>
            <w:bookmarkEnd w:id="20"/>
          </w:p>
        </w:tc>
        <w:tc>
          <w:tcPr>
            <w:tcW w:w="2235" w:type="pct"/>
            <w:gridSpan w:val="2"/>
            <w:vAlign w:val="center"/>
          </w:tcPr>
          <w:p>
            <w:pPr>
              <w:pStyle w:val="19"/>
              <w:adjustRightInd w:val="0"/>
              <w:snapToGrid w:val="0"/>
              <w:spacing w:before="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1" w:name="_Toc20327"/>
            <w:r>
              <w:rPr>
                <w:rFonts w:hint="default" w:ascii="Times New Roman" w:hAnsi="Times New Roman" w:cs="Times New Roman"/>
                <w:b/>
                <w:bCs/>
                <w:color w:val="000000" w:themeColor="text1"/>
                <w:kern w:val="2"/>
                <w:sz w:val="21"/>
                <w:szCs w:val="21"/>
                <w14:textFill>
                  <w14:solidFill>
                    <w14:schemeClr w14:val="tx1"/>
                  </w14:solidFill>
                </w14:textFill>
              </w:rPr>
              <w:t>施工期</w:t>
            </w:r>
            <w:bookmarkEnd w:id="21"/>
          </w:p>
        </w:tc>
        <w:tc>
          <w:tcPr>
            <w:tcW w:w="1427" w:type="pct"/>
            <w:gridSpan w:val="2"/>
            <w:vAlign w:val="center"/>
          </w:tcPr>
          <w:p>
            <w:pPr>
              <w:pStyle w:val="19"/>
              <w:adjustRightInd w:val="0"/>
              <w:snapToGrid w:val="0"/>
              <w:spacing w:before="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2" w:name="_Toc4702"/>
            <w:r>
              <w:rPr>
                <w:rFonts w:hint="default" w:ascii="Times New Roman" w:hAnsi="Times New Roman" w:cs="Times New Roman"/>
                <w:b/>
                <w:bCs/>
                <w:color w:val="000000" w:themeColor="text1"/>
                <w:kern w:val="2"/>
                <w:sz w:val="21"/>
                <w:szCs w:val="21"/>
                <w14:textFill>
                  <w14:solidFill>
                    <w14:schemeClr w14:val="tx1"/>
                  </w14:solidFill>
                </w14:textFill>
              </w:rPr>
              <w:t>运营期</w:t>
            </w:r>
            <w:bookmarkEnd w:id="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Merge w:val="continue"/>
          </w:tcPr>
          <w:p>
            <w:pPr>
              <w:pStyle w:val="19"/>
              <w:adjustRightInd w:val="0"/>
              <w:snapToGrid w:val="0"/>
              <w:spacing w:before="0" w:beforeAutospacing="0" w:after="0" w:afterAutospacing="0"/>
              <w:ind w:firstLine="840"/>
              <w:jc w:val="center"/>
              <w:rPr>
                <w:rFonts w:hint="default" w:ascii="Times New Roman" w:hAnsi="Times New Roman" w:eastAsia="黑体" w:cs="Times New Roman"/>
                <w:b/>
                <w:bCs/>
                <w:color w:val="000000" w:themeColor="text1"/>
                <w:kern w:val="2"/>
                <w:sz w:val="21"/>
                <w:szCs w:val="21"/>
                <w14:textFill>
                  <w14:solidFill>
                    <w14:schemeClr w14:val="tx1"/>
                  </w14:solidFill>
                </w14:textFill>
              </w:rPr>
            </w:pPr>
          </w:p>
        </w:tc>
        <w:tc>
          <w:tcPr>
            <w:tcW w:w="1194" w:type="pct"/>
            <w:vAlign w:val="center"/>
          </w:tcPr>
          <w:p>
            <w:pPr>
              <w:pStyle w:val="19"/>
              <w:adjustRightInd w:val="0"/>
              <w:snapToGrid w:val="0"/>
              <w:spacing w:before="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3" w:name="_Toc28482"/>
            <w:r>
              <w:rPr>
                <w:rFonts w:hint="default" w:ascii="Times New Roman" w:hAnsi="Times New Roman" w:cs="Times New Roman"/>
                <w:b/>
                <w:bCs/>
                <w:color w:val="000000" w:themeColor="text1"/>
                <w:kern w:val="2"/>
                <w:sz w:val="21"/>
                <w:szCs w:val="21"/>
                <w14:textFill>
                  <w14:solidFill>
                    <w14:schemeClr w14:val="tx1"/>
                  </w14:solidFill>
                </w14:textFill>
              </w:rPr>
              <w:t>环境保护措施</w:t>
            </w:r>
            <w:bookmarkEnd w:id="23"/>
          </w:p>
        </w:tc>
        <w:tc>
          <w:tcPr>
            <w:tcW w:w="1040" w:type="pct"/>
            <w:vAlign w:val="center"/>
          </w:tcPr>
          <w:p>
            <w:pPr>
              <w:pStyle w:val="19"/>
              <w:adjustRightInd w:val="0"/>
              <w:snapToGrid w:val="0"/>
              <w:spacing w:before="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4" w:name="_Toc27949"/>
            <w:r>
              <w:rPr>
                <w:rFonts w:hint="default" w:ascii="Times New Roman" w:hAnsi="Times New Roman" w:cs="Times New Roman"/>
                <w:b/>
                <w:bCs/>
                <w:color w:val="000000" w:themeColor="text1"/>
                <w:kern w:val="2"/>
                <w:sz w:val="21"/>
                <w:szCs w:val="21"/>
                <w14:textFill>
                  <w14:solidFill>
                    <w14:schemeClr w14:val="tx1"/>
                  </w14:solidFill>
                </w14:textFill>
              </w:rPr>
              <w:t>验收要求</w:t>
            </w:r>
            <w:bookmarkEnd w:id="24"/>
          </w:p>
        </w:tc>
        <w:tc>
          <w:tcPr>
            <w:tcW w:w="699" w:type="pct"/>
            <w:vAlign w:val="center"/>
          </w:tcPr>
          <w:p>
            <w:pPr>
              <w:pStyle w:val="19"/>
              <w:adjustRightInd w:val="0"/>
              <w:snapToGrid w:val="0"/>
              <w:spacing w:before="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5" w:name="_Toc25563"/>
            <w:r>
              <w:rPr>
                <w:rFonts w:hint="default" w:ascii="Times New Roman" w:hAnsi="Times New Roman" w:cs="Times New Roman"/>
                <w:b/>
                <w:bCs/>
                <w:color w:val="000000" w:themeColor="text1"/>
                <w:kern w:val="2"/>
                <w:sz w:val="21"/>
                <w:szCs w:val="21"/>
                <w14:textFill>
                  <w14:solidFill>
                    <w14:schemeClr w14:val="tx1"/>
                  </w14:solidFill>
                </w14:textFill>
              </w:rPr>
              <w:t>环境保护措施</w:t>
            </w:r>
            <w:bookmarkEnd w:id="25"/>
          </w:p>
        </w:tc>
        <w:tc>
          <w:tcPr>
            <w:tcW w:w="728" w:type="pct"/>
            <w:vAlign w:val="center"/>
          </w:tcPr>
          <w:p>
            <w:pPr>
              <w:pStyle w:val="19"/>
              <w:adjustRightInd w:val="0"/>
              <w:snapToGrid w:val="0"/>
              <w:spacing w:before="0" w:beforeAutospacing="0" w:after="0" w:afterAutospacing="0"/>
              <w:jc w:val="center"/>
              <w:outlineLvl w:val="0"/>
              <w:rPr>
                <w:rFonts w:hint="default" w:ascii="Times New Roman" w:hAnsi="Times New Roman" w:cs="Times New Roman"/>
                <w:b/>
                <w:bCs/>
                <w:color w:val="000000" w:themeColor="text1"/>
                <w:kern w:val="2"/>
                <w:sz w:val="21"/>
                <w:szCs w:val="21"/>
                <w14:textFill>
                  <w14:solidFill>
                    <w14:schemeClr w14:val="tx1"/>
                  </w14:solidFill>
                </w14:textFill>
              </w:rPr>
            </w:pPr>
            <w:bookmarkStart w:id="26" w:name="_Toc25588"/>
            <w:r>
              <w:rPr>
                <w:rFonts w:hint="default" w:ascii="Times New Roman" w:hAnsi="Times New Roman" w:cs="Times New Roman"/>
                <w:b/>
                <w:bCs/>
                <w:color w:val="000000" w:themeColor="text1"/>
                <w:kern w:val="2"/>
                <w:sz w:val="21"/>
                <w:szCs w:val="21"/>
                <w14:textFill>
                  <w14:solidFill>
                    <w14:schemeClr w14:val="tx1"/>
                  </w14:solidFill>
                </w14:textFill>
              </w:rPr>
              <w:t>验收要求</w:t>
            </w:r>
            <w:bookmarkEnd w:id="2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陆生生态</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bCs/>
                <w:color w:val="000000" w:themeColor="text1"/>
                <w:lang w:bidi="ar"/>
                <w14:textFill>
                  <w14:solidFill>
                    <w14:schemeClr w14:val="tx1"/>
                  </w14:solidFill>
                </w14:textFill>
              </w:rPr>
              <w:t>严格控制施工区域占地及周边植物保护，</w:t>
            </w:r>
            <w:r>
              <w:rPr>
                <w:rFonts w:hint="default" w:ascii="Times New Roman" w:hAnsi="Times New Roman" w:cs="Times New Roman"/>
                <w:color w:val="000000" w:themeColor="text1"/>
                <w14:textFill>
                  <w14:solidFill>
                    <w14:schemeClr w14:val="tx1"/>
                  </w14:solidFill>
                </w14:textFill>
              </w:rPr>
              <w:t>首先采取预防保护措施，通过进一步优化施工布置，控制施工占地，减少对工程地区现有植被的占压和破坏：加强施工管理，优化施工工艺，减轻工程活动对当地植被的不利影响，维护工程及周边区域的生态完整性：加大宣传教育，提高工人的生态保护意识</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在选用先进的施工工艺，选取科学的施工方式的前提下，施工单位加强施工管理，合理安排施工时间，对施工过程采取有效的控制及影响减缓措施后，可将项目实施对所在区域生态的影响降至最低程度</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恢复为耕地及草地，播撒草籽</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减少临时占地对生态环境的影响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水生生态</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地表水环境</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施工废水沉淀回用或</w:t>
            </w:r>
            <w:r>
              <w:rPr>
                <w:rFonts w:hint="default" w:ascii="Times New Roman" w:hAnsi="Times New Roman" w:cs="Times New Roman"/>
                <w:color w:val="000000" w:themeColor="text1"/>
                <w:szCs w:val="21"/>
                <w:lang w:eastAsia="zh-CN"/>
                <w14:textFill>
                  <w14:solidFill>
                    <w14:schemeClr w14:val="tx1"/>
                  </w14:solidFill>
                </w14:textFill>
              </w:rPr>
              <w:t>洒水</w:t>
            </w:r>
            <w:r>
              <w:rPr>
                <w:rFonts w:hint="default" w:ascii="Times New Roman" w:hAnsi="Times New Roman" w:cs="Times New Roman"/>
                <w:color w:val="000000" w:themeColor="text1"/>
                <w:szCs w:val="21"/>
                <w14:textFill>
                  <w14:solidFill>
                    <w14:schemeClr w14:val="tx1"/>
                  </w14:solidFill>
                </w14:textFill>
              </w:rPr>
              <w:t>降尘、盥洗废水用于施工场地洒水降尘，</w:t>
            </w:r>
            <w:r>
              <w:rPr>
                <w:rFonts w:hint="default" w:ascii="Times New Roman" w:hAnsi="Times New Roman" w:cs="Times New Roman"/>
                <w:color w:val="000000" w:themeColor="text1"/>
                <w14:textFill>
                  <w14:solidFill>
                    <w14:schemeClr w14:val="tx1"/>
                  </w14:solidFill>
                </w14:textFill>
              </w:rPr>
              <w:t>粪污</w:t>
            </w:r>
            <w:r>
              <w:rPr>
                <w:rFonts w:hint="default" w:ascii="Times New Roman" w:hAnsi="Times New Roman" w:cs="Times New Roman"/>
                <w:color w:val="000000" w:themeColor="text1"/>
                <w:szCs w:val="21"/>
                <w14:textFill>
                  <w14:solidFill>
                    <w14:schemeClr w14:val="tx1"/>
                  </w14:solidFill>
                </w14:textFill>
              </w:rPr>
              <w:t>依托租用的民房所在村庄排水系统</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无废水外排</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地下水及土壤环境</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声环境</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设置减震、个人防护可佩戴耳罩；工程运输车辆进入沿途居民时必须限速、禁止鸣高音喇叭，并且避开沿途居民的休息时间，禁止夜间运输。优先选用低噪声施工机械；合理优化施工工艺；</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厂界达标</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振动</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大气环境</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洒水抑尘、运输车辆以及施工区域遮盖等措施</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厂界达标</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固体废物</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施工区域清理垃圾应运送到指定地点，不得随意倾倒。施工人员的生活垃圾也</w:t>
            </w:r>
            <w:r>
              <w:rPr>
                <w:rFonts w:hint="default" w:ascii="Times New Roman" w:hAnsi="Times New Roman" w:cs="Times New Roman"/>
                <w:bCs/>
                <w:color w:val="000000" w:themeColor="text1"/>
                <w:szCs w:val="21"/>
                <w14:textFill>
                  <w14:solidFill>
                    <w14:schemeClr w14:val="tx1"/>
                  </w14:solidFill>
                </w14:textFill>
              </w:rPr>
              <w:t>施工单位</w:t>
            </w:r>
            <w:r>
              <w:rPr>
                <w:rFonts w:hint="default" w:ascii="Times New Roman" w:hAnsi="Times New Roman" w:cs="Times New Roman"/>
                <w:color w:val="000000" w:themeColor="text1"/>
                <w:szCs w:val="21"/>
                <w14:textFill>
                  <w14:solidFill>
                    <w14:schemeClr w14:val="tx1"/>
                  </w14:solidFill>
                </w14:textFill>
              </w:rPr>
              <w:t>及时</w:t>
            </w:r>
            <w:r>
              <w:rPr>
                <w:rFonts w:hint="default" w:ascii="Times New Roman" w:hAnsi="Times New Roman" w:cs="Times New Roman"/>
                <w:bCs/>
                <w:color w:val="000000" w:themeColor="text1"/>
                <w:szCs w:val="21"/>
                <w14:textFill>
                  <w14:solidFill>
                    <w14:schemeClr w14:val="tx1"/>
                  </w14:solidFill>
                </w14:textFill>
              </w:rPr>
              <w:t>集中收集后送至邻近村庄生活垃圾收集池由当地环卫部门清运</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设置施工人员生活垃圾箱，硬化物拆除垃圾清运</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电磁环境</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环境风险</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环境监测</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37"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其他</w:t>
            </w:r>
          </w:p>
        </w:tc>
        <w:tc>
          <w:tcPr>
            <w:tcW w:w="1194"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1040"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699"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c>
          <w:tcPr>
            <w:tcW w:w="728" w:type="pct"/>
            <w:vAlign w:val="center"/>
          </w:tcPr>
          <w:p>
            <w:pPr>
              <w:adjustRightInd w:val="0"/>
              <w:snapToGrid w:val="0"/>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w:t>
            </w:r>
          </w:p>
        </w:tc>
      </w:tr>
    </w:tbl>
    <w:p>
      <w:pPr>
        <w:pStyle w:val="19"/>
        <w:spacing w:before="192" w:beforeLines="80" w:beforeAutospacing="0"/>
        <w:jc w:val="center"/>
        <w:rPr>
          <w:rFonts w:hint="default" w:ascii="Times New Roman" w:hAnsi="Times New Roman" w:eastAsia="黑体" w:cs="Times New Roman"/>
          <w:snapToGrid w:val="0"/>
          <w:color w:val="000000" w:themeColor="text1"/>
          <w:sz w:val="30"/>
          <w:szCs w:val="30"/>
          <w14:textFill>
            <w14:solidFill>
              <w14:schemeClr w14:val="tx1"/>
            </w14:solidFill>
          </w14:textFill>
        </w:rPr>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pPr>
    </w:p>
    <w:p>
      <w:pPr>
        <w:pStyle w:val="19"/>
        <w:spacing w:before="192" w:beforeLines="80" w:beforeAutospacing="0"/>
        <w:jc w:val="center"/>
        <w:outlineLvl w:val="0"/>
        <w:rPr>
          <w:rFonts w:hint="default" w:ascii="Times New Roman" w:hAnsi="Times New Roman" w:eastAsia="黑体" w:cs="Times New Roman"/>
          <w:snapToGrid w:val="0"/>
          <w:color w:val="000000" w:themeColor="text1"/>
          <w:sz w:val="30"/>
          <w:szCs w:val="30"/>
          <w14:textFill>
            <w14:solidFill>
              <w14:schemeClr w14:val="tx1"/>
            </w14:solidFill>
          </w14:textFill>
        </w:rPr>
      </w:pPr>
      <w:bookmarkStart w:id="27" w:name="_Toc22253"/>
      <w:r>
        <w:rPr>
          <w:rFonts w:hint="default" w:ascii="Times New Roman" w:hAnsi="Times New Roman" w:eastAsia="黑体" w:cs="Times New Roman"/>
          <w:snapToGrid w:val="0"/>
          <w:color w:val="000000" w:themeColor="text1"/>
          <w:sz w:val="30"/>
          <w:szCs w:val="30"/>
          <w14:textFill>
            <w14:solidFill>
              <w14:schemeClr w14:val="tx1"/>
            </w14:solidFill>
          </w14:textFill>
        </w:rPr>
        <w:t>七、结论</w:t>
      </w:r>
      <w:bookmarkEnd w:id="27"/>
    </w:p>
    <w:tbl>
      <w:tblPr>
        <w:tblStyle w:val="24"/>
        <w:tblW w:w="92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9" w:hRule="atLeast"/>
          <w:jc w:val="center"/>
        </w:trPr>
        <w:tc>
          <w:tcPr>
            <w:tcW w:w="9289" w:type="dxa"/>
          </w:tcPr>
          <w:p>
            <w:pPr>
              <w:pStyle w:val="60"/>
              <w:ind w:firstLine="480"/>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项目符合国家产业政策，用地选址合理可行，总平面布置合理可行；区域无明显环境制约因子。项目在运行中产生一定程度的废气、噪声及固体废物的污染，建设单位严格遵循环保“三同时”制度，在切实落实本报告提出的各项污染防治措施前提下，项目对周围环境的影响可以控制在国家有关标准和要求的允许范围以内。本项目拟采取的污染防治措施从技术上和经济上均可行。因此，从环境保护角度分析，本项目建设可行，并能在项目实施后为当地带来水土保持、环境保护、安全保障的正效益。</w:t>
            </w:r>
          </w:p>
        </w:tc>
      </w:tr>
    </w:tbl>
    <w:p>
      <w:pPr>
        <w:rPr>
          <w:color w:val="000000" w:themeColor="text1"/>
          <w14:textFill>
            <w14:solidFill>
              <w14:schemeClr w14:val="tx1"/>
            </w14:solidFill>
          </w14:textFill>
        </w:rPr>
      </w:pPr>
    </w:p>
    <w:p>
      <w:pPr>
        <w:widowControl/>
        <w:adjustRightInd w:val="0"/>
        <w:snapToGrid w:val="0"/>
        <w:spacing w:before="192" w:beforeLines="80"/>
        <w:jc w:val="left"/>
        <w:rPr>
          <w:color w:val="000000" w:themeColor="text1"/>
          <w14:textFill>
            <w14:solidFill>
              <w14:schemeClr w14:val="tx1"/>
            </w14:solidFill>
          </w14:textFill>
        </w:rPr>
      </w:pPr>
    </w:p>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在家减肥" w:date="2023-05-11T10:49:00Z" w:initials="A">
    <w:p w14:paraId="472660BC">
      <w:pPr>
        <w:pStyle w:val="7"/>
        <w:rPr>
          <w:rFonts w:hint="eastAsia" w:eastAsia="宋体"/>
          <w:lang w:eastAsia="zh-CN"/>
        </w:rPr>
      </w:pPr>
      <w:r>
        <w:rPr>
          <w:rFonts w:hint="eastAsia"/>
          <w:lang w:eastAsia="zh-CN"/>
        </w:rPr>
        <w:t>已补充</w:t>
      </w:r>
    </w:p>
  </w:comment>
  <w:comment w:id="1" w:author="在家减肥" w:date="2023-05-11T10:49:00Z" w:initials="A">
    <w:p w14:paraId="4FD911F4">
      <w:pPr>
        <w:pStyle w:val="7"/>
        <w:rPr>
          <w:rFonts w:hint="eastAsia" w:eastAsia="宋体"/>
          <w:lang w:eastAsia="zh-CN"/>
        </w:rPr>
      </w:pPr>
      <w:r>
        <w:rPr>
          <w:rFonts w:hint="eastAsia"/>
          <w:lang w:eastAsia="zh-CN"/>
        </w:rPr>
        <w:t>已补充</w:t>
      </w:r>
    </w:p>
  </w:comment>
  <w:comment w:id="2" w:author="在家减肥" w:date="2023-05-08T17:18:00Z" w:initials="A">
    <w:p w14:paraId="144A31EF">
      <w:pPr>
        <w:pStyle w:val="7"/>
        <w:rPr>
          <w:rFonts w:hint="eastAsia" w:eastAsia="宋体"/>
          <w:lang w:eastAsia="zh-CN"/>
        </w:rPr>
      </w:pPr>
      <w:r>
        <w:rPr>
          <w:rFonts w:hint="eastAsia"/>
          <w:lang w:eastAsia="zh-CN"/>
        </w:rPr>
        <w:t>已补充分区管控要求</w:t>
      </w:r>
    </w:p>
  </w:comment>
  <w:comment w:id="3" w:author="在家减肥" w:date="2023-05-08T17:18:00Z" w:initials="A">
    <w:p w14:paraId="42247F91">
      <w:pPr>
        <w:pStyle w:val="7"/>
        <w:rPr>
          <w:rFonts w:hint="eastAsia" w:eastAsia="宋体"/>
          <w:lang w:eastAsia="zh-CN"/>
        </w:rPr>
      </w:pPr>
      <w:r>
        <w:rPr>
          <w:rFonts w:hint="eastAsia"/>
          <w:lang w:eastAsia="zh-CN"/>
        </w:rPr>
        <w:t>已补充环境管控单元类别</w:t>
      </w:r>
    </w:p>
  </w:comment>
  <w:comment w:id="4" w:author="在家减肥" w:date="2023-05-09T15:34:00Z" w:initials="A">
    <w:p w14:paraId="662C7AE3">
      <w:pPr>
        <w:pStyle w:val="7"/>
        <w:rPr>
          <w:rFonts w:hint="eastAsia" w:eastAsia="宋体"/>
          <w:lang w:eastAsia="zh-CN"/>
        </w:rPr>
      </w:pPr>
      <w:r>
        <w:rPr>
          <w:rFonts w:hint="eastAsia"/>
          <w:lang w:eastAsia="zh-CN"/>
        </w:rPr>
        <w:t>已明确本项目不设置混凝土拌合站，购买商品混凝土</w:t>
      </w:r>
    </w:p>
  </w:comment>
  <w:comment w:id="6" w:author="在家减肥" w:date="2023-05-09T16:35:00Z" w:initials="A">
    <w:p w14:paraId="132F5EF2">
      <w:pPr>
        <w:pStyle w:val="7"/>
        <w:rPr>
          <w:rFonts w:hint="eastAsia" w:eastAsia="宋体"/>
          <w:lang w:eastAsia="zh-CN"/>
        </w:rPr>
      </w:pPr>
      <w:r>
        <w:rPr>
          <w:rFonts w:hint="eastAsia"/>
          <w:lang w:eastAsia="zh-CN"/>
        </w:rPr>
        <w:t>已修改</w:t>
      </w:r>
    </w:p>
  </w:comment>
  <w:comment w:id="5" w:author="在家减肥" w:date="2023-05-11T16:01:00Z" w:initials="A">
    <w:p w14:paraId="31656F80">
      <w:pPr>
        <w:pStyle w:val="7"/>
        <w:rPr>
          <w:rFonts w:hint="eastAsia" w:eastAsia="宋体"/>
          <w:lang w:eastAsia="zh-CN"/>
        </w:rPr>
      </w:pPr>
      <w:r>
        <w:rPr>
          <w:rFonts w:hint="eastAsia"/>
          <w:lang w:eastAsia="zh-CN"/>
        </w:rPr>
        <w:t>已补充完善</w:t>
      </w:r>
    </w:p>
  </w:comment>
  <w:comment w:id="7" w:author="在家减肥" w:date="2023-05-09T16:09:00Z" w:initials="A">
    <w:p w14:paraId="41F4615C">
      <w:pPr>
        <w:pStyle w:val="7"/>
        <w:rPr>
          <w:rFonts w:hint="eastAsia" w:eastAsia="宋体"/>
          <w:lang w:eastAsia="zh-CN"/>
        </w:rPr>
      </w:pPr>
      <w:r>
        <w:rPr>
          <w:rFonts w:hint="eastAsia"/>
          <w:lang w:eastAsia="zh-CN"/>
        </w:rPr>
        <w:t>已重新完善施工期固废污染防治措施</w:t>
      </w:r>
    </w:p>
  </w:comment>
  <w:comment w:id="8" w:author="在家减肥" w:date="2023-05-11T16:04:00Z" w:initials="A">
    <w:p w14:paraId="7F751A60">
      <w:pPr>
        <w:pStyle w:val="7"/>
        <w:rPr>
          <w:rFonts w:hint="eastAsia" w:eastAsia="宋体"/>
          <w:lang w:eastAsia="zh-CN"/>
        </w:rPr>
      </w:pPr>
      <w:r>
        <w:rPr>
          <w:rFonts w:hint="eastAsia"/>
          <w:lang w:eastAsia="zh-CN"/>
        </w:rPr>
        <w:t>已补充</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472660BC" w15:done="0"/>
  <w15:commentEx w15:paraId="4FD911F4" w15:done="0"/>
  <w15:commentEx w15:paraId="144A31EF" w15:done="0"/>
  <w15:commentEx w15:paraId="42247F91" w15:done="0"/>
  <w15:commentEx w15:paraId="662C7AE3" w15:done="0"/>
  <w15:commentEx w15:paraId="132F5EF2" w15:done="0"/>
  <w15:commentEx w15:paraId="31656F80" w15:done="0"/>
  <w15:commentEx w15:paraId="41F4615C" w15:done="0"/>
  <w15:commentEx w15:paraId="7F751A60"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outside" w:y="1"/>
      <w:rPr>
        <w:rStyle w:val="28"/>
      </w:rPr>
    </w:pPr>
    <w:r>
      <w:fldChar w:fldCharType="begin"/>
    </w:r>
    <w:r>
      <w:rPr>
        <w:rStyle w:val="28"/>
      </w:rPr>
      <w:instrText xml:space="preserve">PAGE  </w:instrText>
    </w:r>
    <w:r>
      <w:fldChar w:fldCharType="end"/>
    </w:r>
  </w:p>
  <w:p>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42</w:t>
                          </w:r>
                          <w:r>
                            <w:fldChar w:fldCharType="end"/>
                          </w:r>
                        </w:p>
                      </w:txbxContent>
                    </wps:txbx>
                    <wps:bodyPr vert="horz" wrap="none" lIns="0" tIns="0" rIns="0" bIns="0" anchor="t" anchorCtr="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&#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719g2NYBAACyAwAADgAAAAAAAAABACAAAAAe&#10;AQAAZHJzL2Uyb0RvYy54bWxQSwUGAAAAAAYABgBZAQAAZgU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4DA3BB"/>
    <w:multiLevelType w:val="singleLevel"/>
    <w:tmpl w:val="B94DA3BB"/>
    <w:lvl w:ilvl="0" w:tentative="0">
      <w:start w:val="1"/>
      <w:numFmt w:val="decimal"/>
      <w:suff w:val="nothing"/>
      <w:lvlText w:val="%1、"/>
      <w:lvlJc w:val="left"/>
    </w:lvl>
  </w:abstractNum>
  <w:abstractNum w:abstractNumId="1">
    <w:nsid w:val="09DB5F9A"/>
    <w:multiLevelType w:val="singleLevel"/>
    <w:tmpl w:val="09DB5F9A"/>
    <w:lvl w:ilvl="0" w:tentative="0">
      <w:start w:val="8"/>
      <w:numFmt w:val="decimal"/>
      <w:suff w:val="nothing"/>
      <w:lvlText w:val="（%1）"/>
      <w:lvlJc w:val="left"/>
    </w:lvl>
  </w:abstractNum>
  <w:abstractNum w:abstractNumId="2">
    <w:nsid w:val="4F893777"/>
    <w:multiLevelType w:val="singleLevel"/>
    <w:tmpl w:val="4F893777"/>
    <w:lvl w:ilvl="0" w:tentative="0">
      <w:start w:val="1"/>
      <w:numFmt w:val="decimal"/>
      <w:suff w:val="nothing"/>
      <w:lvlText w:val="%1、"/>
      <w:lvlJc w:val="left"/>
    </w:lvl>
  </w:abstractNum>
  <w:abstractNum w:abstractNumId="3">
    <w:nsid w:val="67B24CE0"/>
    <w:multiLevelType w:val="singleLevel"/>
    <w:tmpl w:val="67B24CE0"/>
    <w:lvl w:ilvl="0" w:tentative="0">
      <w:start w:val="3"/>
      <w:numFmt w:val="decimal"/>
      <w:suff w:val="nothing"/>
      <w:lvlText w:val="（%1）"/>
      <w:lvlJc w:val="left"/>
    </w:lvl>
  </w:abstractNum>
  <w:num w:numId="1">
    <w:abstractNumId w:val="1"/>
  </w:num>
  <w:num w:numId="2">
    <w:abstractNumId w:val="3"/>
  </w:num>
  <w:num w:numId="3">
    <w:abstractNumId w:val="2"/>
  </w:num>
  <w:num w:numId="4">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在家减肥">
    <w15:presenceInfo w15:providerId="None" w15:userId="在家减肥"/>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dit="trackedChanges"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A1494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A29"/>
    <w:rsid w:val="0008331D"/>
    <w:rsid w:val="00083C18"/>
    <w:rsid w:val="00092899"/>
    <w:rsid w:val="000A178E"/>
    <w:rsid w:val="000A557E"/>
    <w:rsid w:val="000B058F"/>
    <w:rsid w:val="000B693F"/>
    <w:rsid w:val="000C09AC"/>
    <w:rsid w:val="000C0A63"/>
    <w:rsid w:val="000C437E"/>
    <w:rsid w:val="000E5F16"/>
    <w:rsid w:val="000F4452"/>
    <w:rsid w:val="000F6DA1"/>
    <w:rsid w:val="000F701B"/>
    <w:rsid w:val="001056A0"/>
    <w:rsid w:val="00115279"/>
    <w:rsid w:val="00117459"/>
    <w:rsid w:val="0011749A"/>
    <w:rsid w:val="00127A68"/>
    <w:rsid w:val="0013031C"/>
    <w:rsid w:val="00140B13"/>
    <w:rsid w:val="00141B68"/>
    <w:rsid w:val="001466DA"/>
    <w:rsid w:val="00154DE1"/>
    <w:rsid w:val="00155B40"/>
    <w:rsid w:val="00157435"/>
    <w:rsid w:val="00163EEA"/>
    <w:rsid w:val="00167A07"/>
    <w:rsid w:val="0017046A"/>
    <w:rsid w:val="001704A3"/>
    <w:rsid w:val="0017504D"/>
    <w:rsid w:val="00177422"/>
    <w:rsid w:val="001834BD"/>
    <w:rsid w:val="00184F10"/>
    <w:rsid w:val="00185546"/>
    <w:rsid w:val="0019146B"/>
    <w:rsid w:val="00194398"/>
    <w:rsid w:val="001A7D2A"/>
    <w:rsid w:val="001B574C"/>
    <w:rsid w:val="001C0AF9"/>
    <w:rsid w:val="001C155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43EA"/>
    <w:rsid w:val="00345154"/>
    <w:rsid w:val="0034560E"/>
    <w:rsid w:val="00350523"/>
    <w:rsid w:val="00351C46"/>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4F3D"/>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5558F"/>
    <w:rsid w:val="00867CBC"/>
    <w:rsid w:val="0087099D"/>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189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616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76EBF"/>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55DAD"/>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3986"/>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29DE"/>
    <w:rsid w:val="00E76D1D"/>
    <w:rsid w:val="00E806F8"/>
    <w:rsid w:val="00E87752"/>
    <w:rsid w:val="00E8793B"/>
    <w:rsid w:val="00E90F81"/>
    <w:rsid w:val="00E91A6D"/>
    <w:rsid w:val="00E9242D"/>
    <w:rsid w:val="00EB041C"/>
    <w:rsid w:val="00EC258D"/>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20B3FD7"/>
    <w:rsid w:val="021104AD"/>
    <w:rsid w:val="021B2558"/>
    <w:rsid w:val="02810D87"/>
    <w:rsid w:val="02AB7B5B"/>
    <w:rsid w:val="0310205E"/>
    <w:rsid w:val="03355597"/>
    <w:rsid w:val="041C31A0"/>
    <w:rsid w:val="041E69E5"/>
    <w:rsid w:val="04476E46"/>
    <w:rsid w:val="047A0F0B"/>
    <w:rsid w:val="047D749D"/>
    <w:rsid w:val="052A7D48"/>
    <w:rsid w:val="05742AC8"/>
    <w:rsid w:val="05B44B60"/>
    <w:rsid w:val="05D07A24"/>
    <w:rsid w:val="06352F05"/>
    <w:rsid w:val="063E7D85"/>
    <w:rsid w:val="06616A9A"/>
    <w:rsid w:val="06CB0A74"/>
    <w:rsid w:val="06E03AA2"/>
    <w:rsid w:val="070875E0"/>
    <w:rsid w:val="07293586"/>
    <w:rsid w:val="07295285"/>
    <w:rsid w:val="076C1EA1"/>
    <w:rsid w:val="07770C56"/>
    <w:rsid w:val="07B0538A"/>
    <w:rsid w:val="08061091"/>
    <w:rsid w:val="08782AD4"/>
    <w:rsid w:val="08DF66BD"/>
    <w:rsid w:val="08E33DA2"/>
    <w:rsid w:val="09162C5D"/>
    <w:rsid w:val="092217DD"/>
    <w:rsid w:val="093A7294"/>
    <w:rsid w:val="0A1F30FA"/>
    <w:rsid w:val="0A5A19EB"/>
    <w:rsid w:val="0B231F9E"/>
    <w:rsid w:val="0B2526F2"/>
    <w:rsid w:val="0B4D7C96"/>
    <w:rsid w:val="0BD06598"/>
    <w:rsid w:val="0BD27BF6"/>
    <w:rsid w:val="0CA973AD"/>
    <w:rsid w:val="0D3C64A6"/>
    <w:rsid w:val="0D6E0C30"/>
    <w:rsid w:val="0D8B22D1"/>
    <w:rsid w:val="0DD6777B"/>
    <w:rsid w:val="0E110D06"/>
    <w:rsid w:val="0E7532CC"/>
    <w:rsid w:val="0EA7676E"/>
    <w:rsid w:val="0EB9507E"/>
    <w:rsid w:val="0EC553FF"/>
    <w:rsid w:val="0F13775A"/>
    <w:rsid w:val="0F3A5EF9"/>
    <w:rsid w:val="0F6532DD"/>
    <w:rsid w:val="0F9A112B"/>
    <w:rsid w:val="100504DF"/>
    <w:rsid w:val="102B511D"/>
    <w:rsid w:val="10622ECE"/>
    <w:rsid w:val="106D2F64"/>
    <w:rsid w:val="10B63710"/>
    <w:rsid w:val="10ED30D4"/>
    <w:rsid w:val="11182893"/>
    <w:rsid w:val="111C2F7A"/>
    <w:rsid w:val="111C5B5C"/>
    <w:rsid w:val="111D6207"/>
    <w:rsid w:val="112876A9"/>
    <w:rsid w:val="113013DE"/>
    <w:rsid w:val="11AF5257"/>
    <w:rsid w:val="11B762D9"/>
    <w:rsid w:val="122B06C2"/>
    <w:rsid w:val="1263699C"/>
    <w:rsid w:val="12C02E2D"/>
    <w:rsid w:val="13951726"/>
    <w:rsid w:val="142E323C"/>
    <w:rsid w:val="142F374B"/>
    <w:rsid w:val="14396509"/>
    <w:rsid w:val="1447165C"/>
    <w:rsid w:val="157A6E47"/>
    <w:rsid w:val="159521EE"/>
    <w:rsid w:val="17735226"/>
    <w:rsid w:val="17962A8E"/>
    <w:rsid w:val="17AA5F28"/>
    <w:rsid w:val="180E011D"/>
    <w:rsid w:val="18AA5B83"/>
    <w:rsid w:val="18DC2CC2"/>
    <w:rsid w:val="18F334E0"/>
    <w:rsid w:val="19343164"/>
    <w:rsid w:val="1972483F"/>
    <w:rsid w:val="1A09723D"/>
    <w:rsid w:val="1A0D1240"/>
    <w:rsid w:val="1A1C66C0"/>
    <w:rsid w:val="1A370B9F"/>
    <w:rsid w:val="1A42393B"/>
    <w:rsid w:val="1A6709D9"/>
    <w:rsid w:val="1A865494"/>
    <w:rsid w:val="1AA52CB1"/>
    <w:rsid w:val="1B046F80"/>
    <w:rsid w:val="1B3267B5"/>
    <w:rsid w:val="1B6D2E1F"/>
    <w:rsid w:val="1BC25DC8"/>
    <w:rsid w:val="1C3256B4"/>
    <w:rsid w:val="1C380BB7"/>
    <w:rsid w:val="1C5E7925"/>
    <w:rsid w:val="1C8507BC"/>
    <w:rsid w:val="1C887FC8"/>
    <w:rsid w:val="1C955AB8"/>
    <w:rsid w:val="1D095BC4"/>
    <w:rsid w:val="1D5F6196"/>
    <w:rsid w:val="1D6132A5"/>
    <w:rsid w:val="1D8D6AB9"/>
    <w:rsid w:val="1D8E56D5"/>
    <w:rsid w:val="1DDF76FE"/>
    <w:rsid w:val="1E7A43DA"/>
    <w:rsid w:val="1EB277FE"/>
    <w:rsid w:val="1ED46BF8"/>
    <w:rsid w:val="1F3C020A"/>
    <w:rsid w:val="1F494BDF"/>
    <w:rsid w:val="1FCC189D"/>
    <w:rsid w:val="1FE32388"/>
    <w:rsid w:val="1FE7539E"/>
    <w:rsid w:val="1FEF669A"/>
    <w:rsid w:val="20805009"/>
    <w:rsid w:val="20963CB8"/>
    <w:rsid w:val="20A83488"/>
    <w:rsid w:val="20B07FB6"/>
    <w:rsid w:val="20C560E6"/>
    <w:rsid w:val="20C91F2E"/>
    <w:rsid w:val="213B74B1"/>
    <w:rsid w:val="21556A21"/>
    <w:rsid w:val="215A2310"/>
    <w:rsid w:val="21D51E30"/>
    <w:rsid w:val="21DE318A"/>
    <w:rsid w:val="21EF5B80"/>
    <w:rsid w:val="22403E68"/>
    <w:rsid w:val="22576990"/>
    <w:rsid w:val="22744244"/>
    <w:rsid w:val="229C4EAB"/>
    <w:rsid w:val="22E52C76"/>
    <w:rsid w:val="23E67D1E"/>
    <w:rsid w:val="242812F0"/>
    <w:rsid w:val="246119D1"/>
    <w:rsid w:val="248A3DB0"/>
    <w:rsid w:val="252D53FE"/>
    <w:rsid w:val="2530061B"/>
    <w:rsid w:val="25364E98"/>
    <w:rsid w:val="2551057C"/>
    <w:rsid w:val="258B7138"/>
    <w:rsid w:val="25EC2D81"/>
    <w:rsid w:val="262D71BC"/>
    <w:rsid w:val="264528BD"/>
    <w:rsid w:val="27511310"/>
    <w:rsid w:val="27D15DD1"/>
    <w:rsid w:val="27DC79BB"/>
    <w:rsid w:val="28A76295"/>
    <w:rsid w:val="28DA468F"/>
    <w:rsid w:val="29206EB8"/>
    <w:rsid w:val="292469E8"/>
    <w:rsid w:val="29437BF5"/>
    <w:rsid w:val="29AE3346"/>
    <w:rsid w:val="29AF248E"/>
    <w:rsid w:val="29E325E0"/>
    <w:rsid w:val="2A21396F"/>
    <w:rsid w:val="2A2773C7"/>
    <w:rsid w:val="2A452503"/>
    <w:rsid w:val="2B212BD5"/>
    <w:rsid w:val="2B820658"/>
    <w:rsid w:val="2BA936A8"/>
    <w:rsid w:val="2C315A5A"/>
    <w:rsid w:val="2C9A1D23"/>
    <w:rsid w:val="2D1219CB"/>
    <w:rsid w:val="2D3E28D1"/>
    <w:rsid w:val="2D4D5CC5"/>
    <w:rsid w:val="2D9E56F5"/>
    <w:rsid w:val="2E4216A4"/>
    <w:rsid w:val="2E667F96"/>
    <w:rsid w:val="2E8226AB"/>
    <w:rsid w:val="2EA40620"/>
    <w:rsid w:val="2EC46F9A"/>
    <w:rsid w:val="2EFE0305"/>
    <w:rsid w:val="2F337EDA"/>
    <w:rsid w:val="2F4A1308"/>
    <w:rsid w:val="2F832C79"/>
    <w:rsid w:val="2FA44102"/>
    <w:rsid w:val="2FEF2D58"/>
    <w:rsid w:val="30580BC9"/>
    <w:rsid w:val="30603568"/>
    <w:rsid w:val="30B25EE1"/>
    <w:rsid w:val="30E266CD"/>
    <w:rsid w:val="311E2ED7"/>
    <w:rsid w:val="315C449C"/>
    <w:rsid w:val="316D5E64"/>
    <w:rsid w:val="319D2F4A"/>
    <w:rsid w:val="31A61558"/>
    <w:rsid w:val="31B82709"/>
    <w:rsid w:val="32400B34"/>
    <w:rsid w:val="329E6876"/>
    <w:rsid w:val="32D537D9"/>
    <w:rsid w:val="33684435"/>
    <w:rsid w:val="33D934D4"/>
    <w:rsid w:val="33FE2F6A"/>
    <w:rsid w:val="34550F6E"/>
    <w:rsid w:val="346F67C8"/>
    <w:rsid w:val="34866582"/>
    <w:rsid w:val="34D90A42"/>
    <w:rsid w:val="35EC3F19"/>
    <w:rsid w:val="36074A7F"/>
    <w:rsid w:val="36677CE8"/>
    <w:rsid w:val="36751FFF"/>
    <w:rsid w:val="36923549"/>
    <w:rsid w:val="36B27E7B"/>
    <w:rsid w:val="36B75FBF"/>
    <w:rsid w:val="36FB4891"/>
    <w:rsid w:val="37127EAC"/>
    <w:rsid w:val="372E3D52"/>
    <w:rsid w:val="37982A35"/>
    <w:rsid w:val="37D722CE"/>
    <w:rsid w:val="383003C4"/>
    <w:rsid w:val="386A0A0E"/>
    <w:rsid w:val="38F12CD3"/>
    <w:rsid w:val="38F94775"/>
    <w:rsid w:val="39261FAF"/>
    <w:rsid w:val="392971ED"/>
    <w:rsid w:val="39781038"/>
    <w:rsid w:val="39812B34"/>
    <w:rsid w:val="39E469FB"/>
    <w:rsid w:val="3B3763D1"/>
    <w:rsid w:val="3BC742F4"/>
    <w:rsid w:val="3C2319A5"/>
    <w:rsid w:val="3C3F3C09"/>
    <w:rsid w:val="3CAD6FC8"/>
    <w:rsid w:val="3CDA245A"/>
    <w:rsid w:val="3CEE0A37"/>
    <w:rsid w:val="3DBD46AD"/>
    <w:rsid w:val="3E6D5563"/>
    <w:rsid w:val="3EFA7D28"/>
    <w:rsid w:val="3F660E74"/>
    <w:rsid w:val="3F6F27ED"/>
    <w:rsid w:val="3F7A2EE6"/>
    <w:rsid w:val="3F7F6FEF"/>
    <w:rsid w:val="3FCB524E"/>
    <w:rsid w:val="3FCF649D"/>
    <w:rsid w:val="403F16C6"/>
    <w:rsid w:val="407A6407"/>
    <w:rsid w:val="40915C78"/>
    <w:rsid w:val="40AD06B3"/>
    <w:rsid w:val="40F13762"/>
    <w:rsid w:val="41396558"/>
    <w:rsid w:val="42213C39"/>
    <w:rsid w:val="423A3BCC"/>
    <w:rsid w:val="424526EE"/>
    <w:rsid w:val="42941061"/>
    <w:rsid w:val="433A6FE6"/>
    <w:rsid w:val="4350713C"/>
    <w:rsid w:val="436653E0"/>
    <w:rsid w:val="439912A3"/>
    <w:rsid w:val="442314DC"/>
    <w:rsid w:val="443C7B3C"/>
    <w:rsid w:val="44780E44"/>
    <w:rsid w:val="44B97144"/>
    <w:rsid w:val="44C821E0"/>
    <w:rsid w:val="44CD14E0"/>
    <w:rsid w:val="4584178D"/>
    <w:rsid w:val="458946E9"/>
    <w:rsid w:val="46296FA0"/>
    <w:rsid w:val="463C4FC9"/>
    <w:rsid w:val="46914611"/>
    <w:rsid w:val="46D955A7"/>
    <w:rsid w:val="47133957"/>
    <w:rsid w:val="4779329E"/>
    <w:rsid w:val="47965D34"/>
    <w:rsid w:val="479E69E5"/>
    <w:rsid w:val="47A07E0C"/>
    <w:rsid w:val="48082A58"/>
    <w:rsid w:val="480C46E8"/>
    <w:rsid w:val="4870272E"/>
    <w:rsid w:val="48CB12DB"/>
    <w:rsid w:val="48F47AA5"/>
    <w:rsid w:val="496334E4"/>
    <w:rsid w:val="497712D5"/>
    <w:rsid w:val="49DC7715"/>
    <w:rsid w:val="49EC4E5D"/>
    <w:rsid w:val="49EF1D93"/>
    <w:rsid w:val="49FE3E1C"/>
    <w:rsid w:val="4A023139"/>
    <w:rsid w:val="4A7B576F"/>
    <w:rsid w:val="4AB3134A"/>
    <w:rsid w:val="4BAC5E94"/>
    <w:rsid w:val="4C4A0649"/>
    <w:rsid w:val="4C52103F"/>
    <w:rsid w:val="4CC17237"/>
    <w:rsid w:val="4CE470D3"/>
    <w:rsid w:val="4D720CBA"/>
    <w:rsid w:val="4D8900BB"/>
    <w:rsid w:val="4DA40E78"/>
    <w:rsid w:val="4DEC4FB0"/>
    <w:rsid w:val="4E013D57"/>
    <w:rsid w:val="4E075D8A"/>
    <w:rsid w:val="4EA348E9"/>
    <w:rsid w:val="4EA5674F"/>
    <w:rsid w:val="4F2616C5"/>
    <w:rsid w:val="4F360DA8"/>
    <w:rsid w:val="4F90683E"/>
    <w:rsid w:val="4FC62A8C"/>
    <w:rsid w:val="4FE20F0D"/>
    <w:rsid w:val="50504C4B"/>
    <w:rsid w:val="509776AD"/>
    <w:rsid w:val="509C6E7C"/>
    <w:rsid w:val="50D72716"/>
    <w:rsid w:val="50EB02B6"/>
    <w:rsid w:val="51200A58"/>
    <w:rsid w:val="515656E0"/>
    <w:rsid w:val="5162104E"/>
    <w:rsid w:val="51735B92"/>
    <w:rsid w:val="525A6978"/>
    <w:rsid w:val="52AE78B1"/>
    <w:rsid w:val="52CB3708"/>
    <w:rsid w:val="52CE6B1A"/>
    <w:rsid w:val="52D55408"/>
    <w:rsid w:val="52DF5A85"/>
    <w:rsid w:val="538128BD"/>
    <w:rsid w:val="539F006D"/>
    <w:rsid w:val="53A039CC"/>
    <w:rsid w:val="53A1505A"/>
    <w:rsid w:val="54063E08"/>
    <w:rsid w:val="543437E8"/>
    <w:rsid w:val="550A6B45"/>
    <w:rsid w:val="55683A1E"/>
    <w:rsid w:val="5592691F"/>
    <w:rsid w:val="559B174B"/>
    <w:rsid w:val="55CD58B3"/>
    <w:rsid w:val="55CE0CF4"/>
    <w:rsid w:val="55EF63CB"/>
    <w:rsid w:val="560D56A9"/>
    <w:rsid w:val="56101068"/>
    <w:rsid w:val="563546B0"/>
    <w:rsid w:val="563F2CD3"/>
    <w:rsid w:val="56B22A9C"/>
    <w:rsid w:val="57997DB1"/>
    <w:rsid w:val="57A75A1C"/>
    <w:rsid w:val="57B72A76"/>
    <w:rsid w:val="57E13056"/>
    <w:rsid w:val="582F5A02"/>
    <w:rsid w:val="58841312"/>
    <w:rsid w:val="598629F0"/>
    <w:rsid w:val="59EC64B5"/>
    <w:rsid w:val="5A0A31AF"/>
    <w:rsid w:val="5A3C747D"/>
    <w:rsid w:val="5A9C5AE3"/>
    <w:rsid w:val="5AB85045"/>
    <w:rsid w:val="5ABE2233"/>
    <w:rsid w:val="5AE23032"/>
    <w:rsid w:val="5B276D18"/>
    <w:rsid w:val="5B882AA2"/>
    <w:rsid w:val="5BA53CC0"/>
    <w:rsid w:val="5BDF5D95"/>
    <w:rsid w:val="5C86408E"/>
    <w:rsid w:val="5CA05E7F"/>
    <w:rsid w:val="5D275CCF"/>
    <w:rsid w:val="5D500679"/>
    <w:rsid w:val="5DAB3B72"/>
    <w:rsid w:val="5DB1402C"/>
    <w:rsid w:val="5DEC37F3"/>
    <w:rsid w:val="5DF87A0F"/>
    <w:rsid w:val="5EB915BA"/>
    <w:rsid w:val="5EFA1F83"/>
    <w:rsid w:val="5F1A2B43"/>
    <w:rsid w:val="5FB837BB"/>
    <w:rsid w:val="5FC07E46"/>
    <w:rsid w:val="5FC11974"/>
    <w:rsid w:val="5FC24952"/>
    <w:rsid w:val="5FFA55EB"/>
    <w:rsid w:val="6063347E"/>
    <w:rsid w:val="60F95D0E"/>
    <w:rsid w:val="612A3FC1"/>
    <w:rsid w:val="61927700"/>
    <w:rsid w:val="619A16DC"/>
    <w:rsid w:val="61E427AF"/>
    <w:rsid w:val="61EA2498"/>
    <w:rsid w:val="621511BF"/>
    <w:rsid w:val="622A6076"/>
    <w:rsid w:val="62364782"/>
    <w:rsid w:val="62BA67B8"/>
    <w:rsid w:val="635376CA"/>
    <w:rsid w:val="63C87E04"/>
    <w:rsid w:val="63CC6BCE"/>
    <w:rsid w:val="63D40BE9"/>
    <w:rsid w:val="63E0211F"/>
    <w:rsid w:val="645372AF"/>
    <w:rsid w:val="64542204"/>
    <w:rsid w:val="64943EE2"/>
    <w:rsid w:val="64BA2A97"/>
    <w:rsid w:val="64DB0EF3"/>
    <w:rsid w:val="65010BA0"/>
    <w:rsid w:val="65373578"/>
    <w:rsid w:val="65CD2940"/>
    <w:rsid w:val="66CD3A36"/>
    <w:rsid w:val="673F2C7A"/>
    <w:rsid w:val="67DE3038"/>
    <w:rsid w:val="67E31626"/>
    <w:rsid w:val="681F2CF5"/>
    <w:rsid w:val="681F6961"/>
    <w:rsid w:val="68610A2F"/>
    <w:rsid w:val="68805514"/>
    <w:rsid w:val="69345F0F"/>
    <w:rsid w:val="693F6B2D"/>
    <w:rsid w:val="694E2071"/>
    <w:rsid w:val="697A3B33"/>
    <w:rsid w:val="699E2456"/>
    <w:rsid w:val="69B25E89"/>
    <w:rsid w:val="69C57FA5"/>
    <w:rsid w:val="6A2014B1"/>
    <w:rsid w:val="6B322639"/>
    <w:rsid w:val="6B9F73FA"/>
    <w:rsid w:val="6BC5689C"/>
    <w:rsid w:val="6C636C38"/>
    <w:rsid w:val="6DAC1038"/>
    <w:rsid w:val="6DB34098"/>
    <w:rsid w:val="6DB545B6"/>
    <w:rsid w:val="6E115415"/>
    <w:rsid w:val="6E3D468C"/>
    <w:rsid w:val="6E4375A0"/>
    <w:rsid w:val="6E514CED"/>
    <w:rsid w:val="6E79491A"/>
    <w:rsid w:val="6EB563D5"/>
    <w:rsid w:val="6EC247BC"/>
    <w:rsid w:val="6F0C2B8F"/>
    <w:rsid w:val="6F225983"/>
    <w:rsid w:val="6F2B6694"/>
    <w:rsid w:val="6F5E6AA9"/>
    <w:rsid w:val="6FE4084F"/>
    <w:rsid w:val="6FFC5590"/>
    <w:rsid w:val="70301DA3"/>
    <w:rsid w:val="706D1DD0"/>
    <w:rsid w:val="707A6D80"/>
    <w:rsid w:val="70856B87"/>
    <w:rsid w:val="70D527EE"/>
    <w:rsid w:val="715B5300"/>
    <w:rsid w:val="715F4BD7"/>
    <w:rsid w:val="716D1530"/>
    <w:rsid w:val="71D27F8A"/>
    <w:rsid w:val="71F744C6"/>
    <w:rsid w:val="71F960CF"/>
    <w:rsid w:val="727427F4"/>
    <w:rsid w:val="72905D6F"/>
    <w:rsid w:val="731F5D5E"/>
    <w:rsid w:val="73E13EE4"/>
    <w:rsid w:val="741E793C"/>
    <w:rsid w:val="74376DFD"/>
    <w:rsid w:val="74E74932"/>
    <w:rsid w:val="758D75E2"/>
    <w:rsid w:val="75B734CB"/>
    <w:rsid w:val="75C77D48"/>
    <w:rsid w:val="75F55855"/>
    <w:rsid w:val="764352FA"/>
    <w:rsid w:val="77762421"/>
    <w:rsid w:val="779D739E"/>
    <w:rsid w:val="77D8265E"/>
    <w:rsid w:val="77FB7DBA"/>
    <w:rsid w:val="780F09F4"/>
    <w:rsid w:val="7824602F"/>
    <w:rsid w:val="789C4F47"/>
    <w:rsid w:val="78A11F10"/>
    <w:rsid w:val="78A90480"/>
    <w:rsid w:val="7948501B"/>
    <w:rsid w:val="79811327"/>
    <w:rsid w:val="79D456AC"/>
    <w:rsid w:val="7A347E17"/>
    <w:rsid w:val="7A364017"/>
    <w:rsid w:val="7A3C795A"/>
    <w:rsid w:val="7A8265E1"/>
    <w:rsid w:val="7AC313F4"/>
    <w:rsid w:val="7B1D1548"/>
    <w:rsid w:val="7B686D42"/>
    <w:rsid w:val="7B841746"/>
    <w:rsid w:val="7CE71579"/>
    <w:rsid w:val="7D0239FF"/>
    <w:rsid w:val="7D03040F"/>
    <w:rsid w:val="7D28320C"/>
    <w:rsid w:val="7D464325"/>
    <w:rsid w:val="7D5E40CD"/>
    <w:rsid w:val="7D693BED"/>
    <w:rsid w:val="7D7632BB"/>
    <w:rsid w:val="7D8D42D6"/>
    <w:rsid w:val="7DC975CB"/>
    <w:rsid w:val="7E72519D"/>
    <w:rsid w:val="7F37727D"/>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ocked="1"/>
    <w:lsdException w:qFormat="1" w:unhideWhenUsed="0" w:uiPriority="1" w:semiHidden="0" w:name="heading 3" w:locked="1"/>
    <w:lsdException w:qFormat="1" w:unhideWhenUsed="0" w:uiPriority="1"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qFormat="1" w:unhideWhenUsed="0" w:uiPriority="99"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ocked="1"/>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2">
    <w:name w:val="heading 2"/>
    <w:basedOn w:val="1"/>
    <w:next w:val="1"/>
    <w:qFormat/>
    <w:locked/>
    <w:uiPriority w:val="1"/>
    <w:pPr>
      <w:ind w:left="240"/>
      <w:outlineLvl w:val="1"/>
    </w:pPr>
    <w:rPr>
      <w:rFonts w:ascii="宋体" w:hAnsi="宋体" w:cs="宋体"/>
      <w:b/>
      <w:bCs/>
      <w:sz w:val="30"/>
      <w:szCs w:val="30"/>
    </w:rPr>
  </w:style>
  <w:style w:type="paragraph" w:styleId="4">
    <w:name w:val="heading 3"/>
    <w:basedOn w:val="1"/>
    <w:next w:val="1"/>
    <w:qFormat/>
    <w:locked/>
    <w:uiPriority w:val="1"/>
    <w:pPr>
      <w:ind w:left="801"/>
      <w:outlineLvl w:val="2"/>
    </w:pPr>
    <w:rPr>
      <w:rFonts w:ascii="宋体" w:hAnsi="宋体" w:cs="宋体"/>
      <w:b/>
      <w:bCs/>
      <w:sz w:val="28"/>
      <w:szCs w:val="28"/>
    </w:rPr>
  </w:style>
  <w:style w:type="paragraph" w:styleId="5">
    <w:name w:val="heading 4"/>
    <w:basedOn w:val="1"/>
    <w:next w:val="1"/>
    <w:qFormat/>
    <w:locked/>
    <w:uiPriority w:val="1"/>
    <w:pPr>
      <w:ind w:left="783"/>
      <w:outlineLvl w:val="3"/>
    </w:pPr>
    <w:rPr>
      <w:rFonts w:eastAsia="Times New Roman"/>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link w:val="38"/>
    <w:semiHidden/>
    <w:qFormat/>
    <w:uiPriority w:val="0"/>
    <w:pPr>
      <w:jc w:val="left"/>
    </w:pPr>
    <w:rPr>
      <w:kern w:val="0"/>
      <w:sz w:val="20"/>
    </w:rPr>
  </w:style>
  <w:style w:type="paragraph" w:styleId="8">
    <w:name w:val="Body Text"/>
    <w:basedOn w:val="1"/>
    <w:next w:val="9"/>
    <w:link w:val="35"/>
    <w:qFormat/>
    <w:uiPriority w:val="0"/>
    <w:pPr>
      <w:widowControl/>
      <w:snapToGrid w:val="0"/>
      <w:spacing w:before="60" w:after="160" w:line="259" w:lineRule="auto"/>
      <w:ind w:right="113"/>
    </w:pPr>
    <w:rPr>
      <w:kern w:val="0"/>
      <w:sz w:val="18"/>
      <w:szCs w:val="18"/>
    </w:rPr>
  </w:style>
  <w:style w:type="paragraph" w:customStyle="1" w:styleId="9">
    <w:name w:val="xl27"/>
    <w:basedOn w:val="1"/>
    <w:qFormat/>
    <w:uiPriority w:val="0"/>
    <w:pPr>
      <w:widowControl/>
      <w:pBdr>
        <w:bottom w:val="single" w:color="auto" w:sz="4" w:space="0"/>
        <w:right w:val="single" w:color="auto" w:sz="4" w:space="0"/>
      </w:pBdr>
      <w:spacing w:before="100" w:beforeAutospacing="1" w:after="100" w:afterAutospacing="1"/>
      <w:jc w:val="center"/>
    </w:pPr>
    <w:rPr>
      <w:kern w:val="0"/>
      <w:szCs w:val="21"/>
    </w:rPr>
  </w:style>
  <w:style w:type="paragraph" w:styleId="10">
    <w:name w:val="Body Text Indent"/>
    <w:basedOn w:val="1"/>
    <w:next w:val="1"/>
    <w:link w:val="39"/>
    <w:semiHidden/>
    <w:qFormat/>
    <w:uiPriority w:val="0"/>
    <w:pPr>
      <w:spacing w:after="120"/>
      <w:ind w:left="420" w:leftChars="200"/>
    </w:pPr>
  </w:style>
  <w:style w:type="paragraph" w:styleId="11">
    <w:name w:val="Plain Text"/>
    <w:basedOn w:val="1"/>
    <w:next w:val="12"/>
    <w:qFormat/>
    <w:uiPriority w:val="0"/>
    <w:rPr>
      <w:rFonts w:ascii="宋体" w:hAnsi="Courier New"/>
    </w:rPr>
  </w:style>
  <w:style w:type="paragraph" w:styleId="12">
    <w:name w:val="toc 1"/>
    <w:basedOn w:val="1"/>
    <w:next w:val="1"/>
    <w:qFormat/>
    <w:locked/>
    <w:uiPriority w:val="39"/>
    <w:pPr>
      <w:tabs>
        <w:tab w:val="right" w:leader="dot" w:pos="8296"/>
      </w:tabs>
      <w:spacing w:beforeLines="100" w:line="360" w:lineRule="auto"/>
    </w:pPr>
    <w:rPr>
      <w:snapToGrid w:val="0"/>
      <w:kern w:val="0"/>
      <w:sz w:val="24"/>
    </w:rPr>
  </w:style>
  <w:style w:type="paragraph" w:styleId="13">
    <w:name w:val="Date"/>
    <w:basedOn w:val="1"/>
    <w:next w:val="1"/>
    <w:link w:val="40"/>
    <w:qFormat/>
    <w:uiPriority w:val="0"/>
    <w:pPr>
      <w:ind w:left="100" w:leftChars="2500"/>
    </w:pPr>
    <w:rPr>
      <w:kern w:val="0"/>
      <w:sz w:val="20"/>
    </w:rPr>
  </w:style>
  <w:style w:type="paragraph" w:styleId="14">
    <w:name w:val="Balloon Text"/>
    <w:basedOn w:val="1"/>
    <w:link w:val="41"/>
    <w:semiHidden/>
    <w:qFormat/>
    <w:uiPriority w:val="0"/>
    <w:rPr>
      <w:sz w:val="18"/>
      <w:szCs w:val="18"/>
    </w:rPr>
  </w:style>
  <w:style w:type="paragraph" w:styleId="15">
    <w:name w:val="footer"/>
    <w:basedOn w:val="1"/>
    <w:link w:val="37"/>
    <w:qFormat/>
    <w:uiPriority w:val="0"/>
    <w:pPr>
      <w:tabs>
        <w:tab w:val="center" w:pos="4153"/>
        <w:tab w:val="right" w:pos="8306"/>
      </w:tabs>
      <w:snapToGrid w:val="0"/>
      <w:jc w:val="left"/>
    </w:pPr>
    <w:rPr>
      <w:sz w:val="18"/>
      <w:szCs w:val="18"/>
    </w:rPr>
  </w:style>
  <w:style w:type="paragraph" w:styleId="16">
    <w:name w:val="header"/>
    <w:basedOn w:val="1"/>
    <w:link w:val="42"/>
    <w:qFormat/>
    <w:uiPriority w:val="0"/>
    <w:pPr>
      <w:pBdr>
        <w:bottom w:val="single" w:color="auto" w:sz="6" w:space="1"/>
      </w:pBdr>
      <w:tabs>
        <w:tab w:val="center" w:pos="4153"/>
        <w:tab w:val="right" w:pos="8306"/>
      </w:tabs>
      <w:snapToGrid w:val="0"/>
      <w:jc w:val="center"/>
    </w:pPr>
    <w:rPr>
      <w:sz w:val="18"/>
      <w:szCs w:val="18"/>
    </w:rPr>
  </w:style>
  <w:style w:type="paragraph" w:styleId="17">
    <w:name w:val="index heading"/>
    <w:basedOn w:val="1"/>
    <w:next w:val="18"/>
    <w:qFormat/>
    <w:uiPriority w:val="99"/>
    <w:rPr>
      <w:rFonts w:ascii="Arial" w:hAnsi="Arial"/>
      <w:b/>
    </w:rPr>
  </w:style>
  <w:style w:type="paragraph" w:styleId="18">
    <w:name w:val="index 1"/>
    <w:basedOn w:val="1"/>
    <w:next w:val="1"/>
    <w:qFormat/>
    <w:uiPriority w:val="0"/>
  </w:style>
  <w:style w:type="paragraph" w:styleId="19">
    <w:name w:val="Normal (Web)"/>
    <w:basedOn w:val="1"/>
    <w:link w:val="43"/>
    <w:qFormat/>
    <w:uiPriority w:val="0"/>
    <w:pPr>
      <w:widowControl/>
      <w:spacing w:before="100" w:beforeAutospacing="1" w:after="100" w:afterAutospacing="1"/>
      <w:jc w:val="left"/>
    </w:pPr>
    <w:rPr>
      <w:rFonts w:ascii="宋体" w:hAnsi="宋体"/>
      <w:kern w:val="0"/>
      <w:sz w:val="24"/>
    </w:rPr>
  </w:style>
  <w:style w:type="paragraph" w:styleId="20">
    <w:name w:val="Title"/>
    <w:basedOn w:val="1"/>
    <w:next w:val="1"/>
    <w:qFormat/>
    <w:locked/>
    <w:uiPriority w:val="10"/>
    <w:pPr>
      <w:adjustRightInd w:val="0"/>
      <w:snapToGrid w:val="0"/>
      <w:jc w:val="center"/>
      <w:outlineLvl w:val="0"/>
    </w:pPr>
    <w:rPr>
      <w:b/>
      <w:bCs/>
      <w:sz w:val="24"/>
      <w:szCs w:val="32"/>
    </w:rPr>
  </w:style>
  <w:style w:type="paragraph" w:styleId="21">
    <w:name w:val="annotation subject"/>
    <w:basedOn w:val="7"/>
    <w:next w:val="7"/>
    <w:link w:val="44"/>
    <w:semiHidden/>
    <w:qFormat/>
    <w:uiPriority w:val="0"/>
    <w:rPr>
      <w:b/>
      <w:bCs/>
    </w:rPr>
  </w:style>
  <w:style w:type="paragraph" w:styleId="22">
    <w:name w:val="Body Text First Indent"/>
    <w:basedOn w:val="8"/>
    <w:next w:val="1"/>
    <w:qFormat/>
    <w:uiPriority w:val="0"/>
    <w:pPr>
      <w:spacing w:after="120"/>
      <w:ind w:firstLine="420" w:firstLineChars="100"/>
    </w:pPr>
    <w:rPr>
      <w:sz w:val="21"/>
      <w:szCs w:val="20"/>
    </w:rPr>
  </w:style>
  <w:style w:type="paragraph" w:styleId="23">
    <w:name w:val="Body Text First Indent 2"/>
    <w:basedOn w:val="10"/>
    <w:next w:val="1"/>
    <w:qFormat/>
    <w:uiPriority w:val="0"/>
    <w:pPr>
      <w:ind w:firstLine="420" w:firstLineChars="200"/>
    </w:p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locked/>
    <w:uiPriority w:val="0"/>
    <w:rPr>
      <w:b/>
    </w:rPr>
  </w:style>
  <w:style w:type="character" w:styleId="28">
    <w:name w:val="page number"/>
    <w:basedOn w:val="26"/>
    <w:qFormat/>
    <w:uiPriority w:val="0"/>
  </w:style>
  <w:style w:type="character" w:styleId="29">
    <w:name w:val="Emphasis"/>
    <w:basedOn w:val="26"/>
    <w:qFormat/>
    <w:locked/>
    <w:uiPriority w:val="0"/>
    <w:rPr>
      <w:i/>
    </w:rPr>
  </w:style>
  <w:style w:type="character" w:styleId="30">
    <w:name w:val="Hyperlink"/>
    <w:basedOn w:val="26"/>
    <w:qFormat/>
    <w:uiPriority w:val="0"/>
    <w:rPr>
      <w:color w:val="0000FF"/>
      <w:u w:val="single"/>
    </w:rPr>
  </w:style>
  <w:style w:type="character" w:styleId="31">
    <w:name w:val="annotation reference"/>
    <w:basedOn w:val="26"/>
    <w:semiHidden/>
    <w:qFormat/>
    <w:uiPriority w:val="0"/>
    <w:rPr>
      <w:sz w:val="21"/>
    </w:rPr>
  </w:style>
  <w:style w:type="paragraph" w:customStyle="1" w:styleId="32">
    <w:name w:val="正文."/>
    <w:basedOn w:val="1"/>
    <w:qFormat/>
    <w:uiPriority w:val="0"/>
    <w:rPr>
      <w:sz w:val="28"/>
      <w:szCs w:val="28"/>
    </w:rPr>
  </w:style>
  <w:style w:type="paragraph" w:customStyle="1" w:styleId="33">
    <w:name w:val="表格"/>
    <w:basedOn w:val="34"/>
    <w:next w:val="1"/>
    <w:link w:val="49"/>
    <w:qFormat/>
    <w:uiPriority w:val="0"/>
    <w:pPr>
      <w:adjustRightInd w:val="0"/>
      <w:snapToGrid w:val="0"/>
      <w:spacing w:beforeLines="10" w:afterLines="10" w:line="259" w:lineRule="auto"/>
      <w:jc w:val="center"/>
    </w:pPr>
    <w:rPr>
      <w:rFonts w:ascii="宋体"/>
      <w:kern w:val="0"/>
      <w:sz w:val="20"/>
      <w:szCs w:val="21"/>
    </w:rPr>
  </w:style>
  <w:style w:type="paragraph" w:customStyle="1" w:styleId="34">
    <w:name w:val="表头"/>
    <w:basedOn w:val="1"/>
    <w:next w:val="1"/>
    <w:qFormat/>
    <w:uiPriority w:val="0"/>
    <w:pPr>
      <w:jc w:val="left"/>
    </w:pPr>
  </w:style>
  <w:style w:type="character" w:customStyle="1" w:styleId="35">
    <w:name w:val="正文文本 Char"/>
    <w:link w:val="8"/>
    <w:qFormat/>
    <w:locked/>
    <w:uiPriority w:val="0"/>
    <w:rPr>
      <w:sz w:val="18"/>
    </w:rPr>
  </w:style>
  <w:style w:type="paragraph" w:customStyle="1" w:styleId="36">
    <w:name w:val="Date1"/>
    <w:basedOn w:val="1"/>
    <w:next w:val="1"/>
    <w:qFormat/>
    <w:uiPriority w:val="0"/>
    <w:pPr>
      <w:adjustRightInd w:val="0"/>
      <w:jc w:val="left"/>
      <w:textAlignment w:val="baseline"/>
    </w:pPr>
    <w:rPr>
      <w:rFonts w:ascii="宋体" w:hAnsi="宋体"/>
      <w:sz w:val="28"/>
      <w:szCs w:val="20"/>
    </w:rPr>
  </w:style>
  <w:style w:type="character" w:customStyle="1" w:styleId="37">
    <w:name w:val="页脚 Char"/>
    <w:basedOn w:val="26"/>
    <w:link w:val="15"/>
    <w:qFormat/>
    <w:locked/>
    <w:uiPriority w:val="0"/>
    <w:rPr>
      <w:rFonts w:cs="Times New Roman"/>
      <w:sz w:val="18"/>
      <w:szCs w:val="18"/>
    </w:rPr>
  </w:style>
  <w:style w:type="character" w:customStyle="1" w:styleId="38">
    <w:name w:val="批注文字 Char"/>
    <w:link w:val="7"/>
    <w:qFormat/>
    <w:locked/>
    <w:uiPriority w:val="0"/>
    <w:rPr>
      <w:rFonts w:ascii="Times New Roman" w:hAnsi="Times New Roman" w:eastAsia="宋体"/>
      <w:sz w:val="24"/>
    </w:rPr>
  </w:style>
  <w:style w:type="character" w:customStyle="1" w:styleId="39">
    <w:name w:val="正文文本缩进 Char"/>
    <w:basedOn w:val="26"/>
    <w:link w:val="10"/>
    <w:semiHidden/>
    <w:qFormat/>
    <w:locked/>
    <w:uiPriority w:val="0"/>
    <w:rPr>
      <w:rFonts w:ascii="Times New Roman" w:hAnsi="Times New Roman" w:eastAsia="宋体" w:cs="Times New Roman"/>
      <w:sz w:val="24"/>
      <w:szCs w:val="24"/>
    </w:rPr>
  </w:style>
  <w:style w:type="character" w:customStyle="1" w:styleId="40">
    <w:name w:val="日期 Char"/>
    <w:link w:val="13"/>
    <w:qFormat/>
    <w:locked/>
    <w:uiPriority w:val="0"/>
    <w:rPr>
      <w:rFonts w:ascii="Times New Roman" w:hAnsi="Times New Roman" w:eastAsia="宋体"/>
      <w:sz w:val="24"/>
    </w:rPr>
  </w:style>
  <w:style w:type="character" w:customStyle="1" w:styleId="41">
    <w:name w:val="批注框文本 Char"/>
    <w:basedOn w:val="26"/>
    <w:link w:val="14"/>
    <w:semiHidden/>
    <w:qFormat/>
    <w:locked/>
    <w:uiPriority w:val="0"/>
    <w:rPr>
      <w:rFonts w:ascii="Times New Roman" w:hAnsi="Times New Roman" w:eastAsia="宋体" w:cs="Times New Roman"/>
      <w:sz w:val="18"/>
      <w:szCs w:val="18"/>
    </w:rPr>
  </w:style>
  <w:style w:type="character" w:customStyle="1" w:styleId="42">
    <w:name w:val="页眉 Char"/>
    <w:basedOn w:val="26"/>
    <w:link w:val="16"/>
    <w:qFormat/>
    <w:locked/>
    <w:uiPriority w:val="0"/>
    <w:rPr>
      <w:rFonts w:cs="Times New Roman"/>
      <w:sz w:val="18"/>
      <w:szCs w:val="18"/>
    </w:rPr>
  </w:style>
  <w:style w:type="character" w:customStyle="1" w:styleId="43">
    <w:name w:val="普通(网站) Char1"/>
    <w:link w:val="19"/>
    <w:qFormat/>
    <w:locked/>
    <w:uiPriority w:val="0"/>
    <w:rPr>
      <w:rFonts w:ascii="宋体" w:hAnsi="宋体" w:eastAsia="宋体"/>
      <w:sz w:val="24"/>
    </w:rPr>
  </w:style>
  <w:style w:type="character" w:customStyle="1" w:styleId="44">
    <w:name w:val="批注主题 Char"/>
    <w:basedOn w:val="38"/>
    <w:link w:val="21"/>
    <w:semiHidden/>
    <w:qFormat/>
    <w:locked/>
    <w:uiPriority w:val="0"/>
    <w:rPr>
      <w:rFonts w:ascii="Times New Roman" w:hAnsi="Times New Roman" w:eastAsia="宋体" w:cs="Times New Roman"/>
      <w:b/>
      <w:bCs/>
      <w:kern w:val="2"/>
      <w:sz w:val="24"/>
      <w:szCs w:val="24"/>
    </w:rPr>
  </w:style>
  <w:style w:type="paragraph" w:customStyle="1" w:styleId="45">
    <w:name w:val="正文（首行缩进两字）"/>
    <w:basedOn w:val="1"/>
    <w:qFormat/>
    <w:uiPriority w:val="0"/>
    <w:pPr>
      <w:ind w:firstLine="420"/>
    </w:pPr>
    <w:rPr>
      <w:sz w:val="28"/>
      <w:szCs w:val="21"/>
    </w:rPr>
  </w:style>
  <w:style w:type="character" w:customStyle="1" w:styleId="46">
    <w:name w:val="正文文本 字符1"/>
    <w:basedOn w:val="26"/>
    <w:semiHidden/>
    <w:qFormat/>
    <w:uiPriority w:val="0"/>
    <w:rPr>
      <w:rFonts w:ascii="Times New Roman" w:hAnsi="Times New Roman" w:eastAsia="宋体" w:cs="Times New Roman"/>
      <w:sz w:val="24"/>
      <w:szCs w:val="24"/>
    </w:rPr>
  </w:style>
  <w:style w:type="character" w:customStyle="1" w:styleId="47">
    <w:name w:val="日期 字符"/>
    <w:basedOn w:val="26"/>
    <w:semiHidden/>
    <w:qFormat/>
    <w:uiPriority w:val="0"/>
    <w:rPr>
      <w:rFonts w:ascii="Times New Roman" w:hAnsi="Times New Roman" w:eastAsia="宋体" w:cs="Times New Roman"/>
      <w:sz w:val="24"/>
      <w:szCs w:val="24"/>
    </w:rPr>
  </w:style>
  <w:style w:type="character" w:customStyle="1" w:styleId="48">
    <w:name w:val="普通(网站) Char"/>
    <w:qFormat/>
    <w:locked/>
    <w:uiPriority w:val="0"/>
    <w:rPr>
      <w:rFonts w:ascii="宋体" w:hAnsi="宋体" w:eastAsia="宋体"/>
      <w:sz w:val="24"/>
    </w:rPr>
  </w:style>
  <w:style w:type="character" w:customStyle="1" w:styleId="49">
    <w:name w:val="表格 Char"/>
    <w:link w:val="33"/>
    <w:qFormat/>
    <w:locked/>
    <w:uiPriority w:val="0"/>
    <w:rPr>
      <w:rFonts w:ascii="宋体"/>
      <w:sz w:val="21"/>
    </w:rPr>
  </w:style>
  <w:style w:type="character" w:customStyle="1" w:styleId="50">
    <w:name w:val="批注文字 字符1"/>
    <w:basedOn w:val="26"/>
    <w:semiHidden/>
    <w:qFormat/>
    <w:uiPriority w:val="0"/>
    <w:rPr>
      <w:rFonts w:ascii="Times New Roman" w:hAnsi="Times New Roman" w:eastAsia="宋体" w:cs="Times New Roman"/>
      <w:sz w:val="24"/>
      <w:szCs w:val="24"/>
    </w:rPr>
  </w:style>
  <w:style w:type="paragraph" w:customStyle="1" w:styleId="51">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2">
    <w:name w:val="报告表标题1"/>
    <w:basedOn w:val="1"/>
    <w:qFormat/>
    <w:uiPriority w:val="0"/>
    <w:pPr>
      <w:adjustRightInd w:val="0"/>
    </w:pPr>
    <w:rPr>
      <w:rFonts w:ascii="Calibri" w:hAnsi="Calibri" w:eastAsia="黑体"/>
    </w:rPr>
  </w:style>
  <w:style w:type="paragraph" w:customStyle="1" w:styleId="53">
    <w:name w:val="Table Paragraph"/>
    <w:basedOn w:val="1"/>
    <w:qFormat/>
    <w:uiPriority w:val="1"/>
    <w:pPr>
      <w:jc w:val="center"/>
    </w:pPr>
    <w:rPr>
      <w:rFonts w:eastAsia="Times New Roman"/>
    </w:rPr>
  </w:style>
  <w:style w:type="paragraph" w:styleId="54">
    <w:name w:val="List Paragraph"/>
    <w:basedOn w:val="1"/>
    <w:qFormat/>
    <w:uiPriority w:val="1"/>
    <w:pPr>
      <w:ind w:left="956" w:hanging="197"/>
    </w:pPr>
    <w:rPr>
      <w:rFonts w:ascii="宋体" w:hAnsi="宋体" w:cs="宋体"/>
    </w:rPr>
  </w:style>
  <w:style w:type="paragraph" w:customStyle="1" w:styleId="55">
    <w:name w:val="Default"/>
    <w:next w:val="17"/>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6">
    <w:name w:val="环评送审"/>
    <w:basedOn w:val="1"/>
    <w:qFormat/>
    <w:uiPriority w:val="0"/>
    <w:pPr>
      <w:spacing w:line="360" w:lineRule="auto"/>
      <w:ind w:firstLine="480" w:firstLineChars="200"/>
      <w:jc w:val="left"/>
    </w:pPr>
    <w:rPr>
      <w:rFonts w:ascii="仿宋_GB2312" w:eastAsia="仿宋_GB2312"/>
      <w:sz w:val="24"/>
      <w:szCs w:val="20"/>
    </w:rPr>
  </w:style>
  <w:style w:type="paragraph" w:customStyle="1" w:styleId="57">
    <w:name w:val="【正文】"/>
    <w:basedOn w:val="1"/>
    <w:qFormat/>
    <w:uiPriority w:val="0"/>
    <w:pPr>
      <w:spacing w:line="440" w:lineRule="exact"/>
      <w:ind w:firstLine="544"/>
    </w:pPr>
    <w:rPr>
      <w:rFonts w:cs="宋体"/>
      <w:sz w:val="24"/>
      <w:szCs w:val="20"/>
    </w:rPr>
  </w:style>
  <w:style w:type="paragraph" w:customStyle="1" w:styleId="58">
    <w:name w:val="正文120"/>
    <w:basedOn w:val="1"/>
    <w:qFormat/>
    <w:uiPriority w:val="0"/>
    <w:pPr>
      <w:spacing w:line="360" w:lineRule="auto"/>
      <w:ind w:firstLine="720" w:firstLineChars="200"/>
    </w:pPr>
    <w:rPr>
      <w:sz w:val="24"/>
    </w:rPr>
  </w:style>
  <w:style w:type="paragraph" w:customStyle="1" w:styleId="59">
    <w:name w:val="小标题"/>
    <w:basedOn w:val="1"/>
    <w:qFormat/>
    <w:uiPriority w:val="0"/>
    <w:pPr>
      <w:jc w:val="center"/>
    </w:pPr>
    <w:rPr>
      <w:rFonts w:hint="eastAsia"/>
      <w:b/>
    </w:rPr>
  </w:style>
  <w:style w:type="paragraph" w:customStyle="1" w:styleId="60">
    <w:name w:val="正文1"/>
    <w:basedOn w:val="1"/>
    <w:link w:val="63"/>
    <w:qFormat/>
    <w:uiPriority w:val="0"/>
    <w:pPr>
      <w:adjustRightInd w:val="0"/>
      <w:snapToGrid w:val="0"/>
      <w:spacing w:line="360" w:lineRule="auto"/>
      <w:ind w:firstLine="720" w:firstLineChars="200"/>
    </w:pPr>
    <w:rPr>
      <w:rFonts w:hint="eastAsia"/>
      <w:sz w:val="24"/>
    </w:rPr>
  </w:style>
  <w:style w:type="paragraph" w:customStyle="1" w:styleId="61">
    <w:name w:val="表格1"/>
    <w:basedOn w:val="1"/>
    <w:qFormat/>
    <w:uiPriority w:val="0"/>
    <w:pPr>
      <w:jc w:val="center"/>
    </w:pPr>
    <w:rPr>
      <w:rFonts w:hint="eastAsia"/>
    </w:rPr>
  </w:style>
  <w:style w:type="paragraph" w:customStyle="1" w:styleId="62">
    <w:name w:val="表格加粗"/>
    <w:basedOn w:val="1"/>
    <w:link w:val="67"/>
    <w:qFormat/>
    <w:uiPriority w:val="0"/>
    <w:pPr>
      <w:adjustRightInd w:val="0"/>
      <w:snapToGrid w:val="0"/>
      <w:jc w:val="center"/>
    </w:pPr>
    <w:rPr>
      <w:rFonts w:hint="eastAsia"/>
      <w:b/>
      <w:kern w:val="0"/>
    </w:rPr>
  </w:style>
  <w:style w:type="character" w:customStyle="1" w:styleId="63">
    <w:name w:val="正文1 Char"/>
    <w:link w:val="60"/>
    <w:qFormat/>
    <w:uiPriority w:val="0"/>
    <w:rPr>
      <w:rFonts w:hint="eastAsia" w:ascii="Times New Roman" w:hAnsi="Times New Roman" w:cs="Times New Roman"/>
      <w:color w:val="auto"/>
      <w:sz w:val="24"/>
    </w:rPr>
  </w:style>
  <w:style w:type="character" w:customStyle="1" w:styleId="64">
    <w:name w:val="font21"/>
    <w:basedOn w:val="26"/>
    <w:qFormat/>
    <w:uiPriority w:val="0"/>
    <w:rPr>
      <w:rFonts w:hint="default" w:ascii="Times New Roman" w:hAnsi="Times New Roman" w:cs="Times New Roman"/>
      <w:color w:val="000000"/>
      <w:sz w:val="24"/>
      <w:szCs w:val="24"/>
      <w:u w:val="none"/>
    </w:rPr>
  </w:style>
  <w:style w:type="character" w:customStyle="1" w:styleId="65">
    <w:name w:val="font01"/>
    <w:basedOn w:val="26"/>
    <w:qFormat/>
    <w:uiPriority w:val="0"/>
    <w:rPr>
      <w:rFonts w:hint="eastAsia" w:ascii="宋体" w:hAnsi="宋体" w:eastAsia="宋体" w:cs="宋体"/>
      <w:color w:val="000000"/>
      <w:sz w:val="24"/>
      <w:szCs w:val="24"/>
      <w:u w:val="none"/>
    </w:rPr>
  </w:style>
  <w:style w:type="character" w:customStyle="1" w:styleId="66">
    <w:name w:val="font31"/>
    <w:basedOn w:val="26"/>
    <w:qFormat/>
    <w:uiPriority w:val="0"/>
    <w:rPr>
      <w:rFonts w:hint="default" w:ascii="Times New Roman" w:hAnsi="Times New Roman" w:cs="Times New Roman"/>
      <w:color w:val="000000"/>
      <w:sz w:val="21"/>
      <w:szCs w:val="21"/>
      <w:u w:val="none"/>
    </w:rPr>
  </w:style>
  <w:style w:type="character" w:customStyle="1" w:styleId="67">
    <w:name w:val="表格加粗 Char"/>
    <w:link w:val="62"/>
    <w:qFormat/>
    <w:uiPriority w:val="0"/>
    <w:rPr>
      <w:rFonts w:hint="eastAsia" w:ascii="Times New Roman" w:hAnsi="Times New Roman" w:eastAsia="宋体"/>
      <w:b/>
      <w:color w:val="auto"/>
      <w:kern w:val="0"/>
    </w:rPr>
  </w:style>
  <w:style w:type="paragraph" w:customStyle="1" w:styleId="68">
    <w:name w:val="WPSOffice手动目录 1"/>
    <w:qFormat/>
    <w:uiPriority w:val="0"/>
    <w:rPr>
      <w:rFonts w:ascii="Times New Roman" w:hAnsi="Times New Roman" w:eastAsia="宋体" w:cs="Times New Roman"/>
      <w:lang w:val="en-US" w:eastAsia="zh-CN" w:bidi="ar-SA"/>
    </w:rPr>
  </w:style>
  <w:style w:type="paragraph" w:customStyle="1" w:styleId="69">
    <w:name w:val="表格（长）"/>
    <w:basedOn w:val="1"/>
    <w:qFormat/>
    <w:uiPriority w:val="0"/>
    <w:pPr>
      <w:widowControl/>
      <w:spacing w:line="240" w:lineRule="auto"/>
      <w:jc w:val="both"/>
    </w:pPr>
    <w:rPr>
      <w:rFonts w:hint="default" w:ascii="Times New Roman" w:hAnsi="Times New Roman" w:cs="宋体"/>
      <w:color w:val="000000"/>
      <w:kern w:val="0"/>
      <w:sz w:val="21"/>
      <w:szCs w:val="21"/>
      <w:lang w:bidi="ar"/>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microsoft.com/office/2011/relationships/commentsExtended" Target="commentsExtended.xml"/><Relationship Id="rId30" Type="http://schemas.microsoft.com/office/2011/relationships/people" Target="people.xml"/><Relationship Id="rId3" Type="http://schemas.openxmlformats.org/officeDocument/2006/relationships/comments" Target="comment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7.jpeg"/><Relationship Id="rId25" Type="http://schemas.openxmlformats.org/officeDocument/2006/relationships/image" Target="media/image16.jpeg"/><Relationship Id="rId24" Type="http://schemas.openxmlformats.org/officeDocument/2006/relationships/image" Target="media/image15.jpeg"/><Relationship Id="rId23" Type="http://schemas.openxmlformats.org/officeDocument/2006/relationships/image" Target="media/image14.jpeg"/><Relationship Id="rId22" Type="http://schemas.openxmlformats.org/officeDocument/2006/relationships/image" Target="media/image13.jpeg"/><Relationship Id="rId21" Type="http://schemas.openxmlformats.org/officeDocument/2006/relationships/image" Target="media/image12.jpe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TE0Mjg1MTc2ODUyIiwKCSJHcm91cElkIiA6ICI3OTc1MzM2MzEiLAoJIkltYWdlIiA6ICJpVkJPUncwS0dnb0FBQUFOU1VoRVVnQUFBY2NBQUFKcUNBWUFBQUJlbG9zZkFBQUFDWEJJV1hNQUFBc1RBQUFMRXdFQW1wd1lBQUFnQUVsRVFWUjRuT3pkZDNnVVZkc0c4SHMyRFVMdklFVVFGWUdYa2cwdDlDNmhoSmVvS0ZWQmtBOEVGQkI0UlRGQm94RUVsQ0JWSUZTUkNFaEpoTkJCRUEya2lFU0tWRU1nQ1JGSTJ5UmI1bngveEIyekpTRjlzK1QrWFplWE8yZk96SnpkUE13emMrYk1ERU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"/>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58</Pages>
  <Words>31726</Words>
  <Characters>34017</Characters>
  <Lines>195</Lines>
  <Paragraphs>55</Paragraphs>
  <TotalTime>1</TotalTime>
  <ScaleCrop>false</ScaleCrop>
  <LinksUpToDate>false</LinksUpToDate>
  <CharactersWithSpaces>34076</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2023-04-03T08:52:00Z</dcterms:created>
  <dc:creator>lhj</dc:creator>
  <cp:lastModifiedBy>.</cp:lastModifiedBy>
  <cp:lastPrinted>2020-12-24T01:50:00Z</cp:lastPrinted>
  <dcterms:modified xsi:type="dcterms:W3CDTF">2023-07-25T08:59:32Z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2199E5E780D04557A34D62595499AEFE_13</vt:lpwstr>
  </property>
</Properties>
</file>