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color w:val="auto"/>
          <w:sz w:val="36"/>
          <w:szCs w:val="36"/>
          <w:highlight w:val="none"/>
        </w:rPr>
      </w:pPr>
      <w:bookmarkStart w:id="0" w:name="_Hlk57883707"/>
    </w:p>
    <w:p>
      <w:pPr>
        <w:rPr>
          <w:rFonts w:ascii="仿宋_GB2312" w:hAnsi="仿宋_GB2312" w:eastAsia="仿宋_GB2312" w:cs="仿宋_GB2312"/>
          <w:color w:val="auto"/>
          <w:sz w:val="36"/>
          <w:szCs w:val="36"/>
          <w:highlight w:val="none"/>
        </w:rPr>
      </w:pPr>
    </w:p>
    <w:p>
      <w:pPr>
        <w:rPr>
          <w:rFonts w:ascii="仿宋_GB2312" w:hAnsi="仿宋_GB2312" w:eastAsia="仿宋_GB2312" w:cs="仿宋_GB2312"/>
          <w:color w:val="auto"/>
          <w:sz w:val="36"/>
          <w:szCs w:val="36"/>
          <w:highlight w:val="none"/>
        </w:rPr>
      </w:pPr>
    </w:p>
    <w:p>
      <w:pPr>
        <w:rPr>
          <w:rFonts w:ascii="仿宋_GB2312" w:hAnsi="仿宋_GB2312" w:eastAsia="仿宋_GB2312" w:cs="仿宋_GB2312"/>
          <w:color w:val="auto"/>
          <w:sz w:val="36"/>
          <w:szCs w:val="36"/>
          <w:highlight w:val="none"/>
        </w:rPr>
      </w:pPr>
    </w:p>
    <w:p>
      <w:pPr>
        <w:adjustRightInd w:val="0"/>
        <w:snapToGrid w:val="0"/>
        <w:jc w:val="center"/>
        <w:outlineLvl w:val="0"/>
        <w:rPr>
          <w:rFonts w:ascii="方正小标宋_GBK" w:eastAsia="方正小标宋_GBK"/>
          <w:bCs/>
          <w:color w:val="auto"/>
          <w:sz w:val="72"/>
          <w:szCs w:val="72"/>
          <w:highlight w:val="none"/>
        </w:rPr>
      </w:pPr>
      <w:r>
        <w:rPr>
          <w:rFonts w:hint="eastAsia" w:ascii="方正小标宋_GBK" w:eastAsia="方正小标宋_GBK"/>
          <w:bCs/>
          <w:color w:val="auto"/>
          <w:sz w:val="72"/>
          <w:szCs w:val="72"/>
          <w:highlight w:val="none"/>
        </w:rPr>
        <w:t>建设项目环境影响报告表</w:t>
      </w:r>
    </w:p>
    <w:p>
      <w:pPr>
        <w:adjustRightInd w:val="0"/>
        <w:snapToGrid w:val="0"/>
        <w:spacing w:before="192" w:beforeLines="80"/>
        <w:jc w:val="center"/>
        <w:rPr>
          <w:rFonts w:ascii="楷体_GB2312" w:eastAsia="楷体_GB2312"/>
          <w:bCs/>
          <w:color w:val="auto"/>
          <w:sz w:val="48"/>
          <w:szCs w:val="48"/>
          <w:highlight w:val="none"/>
        </w:rPr>
      </w:pPr>
      <w:r>
        <w:rPr>
          <w:rFonts w:hint="eastAsia" w:ascii="楷体_GB2312" w:eastAsia="楷体_GB2312"/>
          <w:bCs/>
          <w:color w:val="auto"/>
          <w:sz w:val="48"/>
          <w:szCs w:val="48"/>
          <w:highlight w:val="none"/>
        </w:rPr>
        <w:t>（生态影响类）</w:t>
      </w:r>
    </w:p>
    <w:p>
      <w:pPr>
        <w:adjustRightInd w:val="0"/>
        <w:snapToGrid w:val="0"/>
        <w:spacing w:line="288" w:lineRule="auto"/>
        <w:jc w:val="center"/>
        <w:outlineLvl w:val="0"/>
        <w:rPr>
          <w:rFonts w:ascii="华文仿宋" w:hAnsi="华文仿宋" w:eastAsia="华文仿宋" w:cs="华文仿宋"/>
          <w:color w:val="auto"/>
          <w:kern w:val="44"/>
          <w:sz w:val="44"/>
          <w:szCs w:val="44"/>
          <w:highlight w:val="none"/>
        </w:rPr>
      </w:pPr>
      <w:bookmarkStart w:id="1" w:name="_Hlk57883728"/>
    </w:p>
    <w:p>
      <w:pPr>
        <w:jc w:val="center"/>
        <w:rPr>
          <w:rFonts w:eastAsia="仿宋"/>
          <w:color w:val="auto"/>
          <w:sz w:val="52"/>
          <w:szCs w:val="52"/>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bookmarkEnd w:id="1"/>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项目名称：</w:t>
      </w:r>
      <w:r>
        <w:rPr>
          <w:rFonts w:hint="eastAsia" w:ascii="仿宋" w:hAnsi="仿宋" w:eastAsia="仿宋" w:cs="仿宋"/>
          <w:color w:val="auto"/>
          <w:sz w:val="36"/>
          <w:szCs w:val="36"/>
          <w:highlight w:val="none"/>
          <w:u w:val="single"/>
        </w:rPr>
        <w:t xml:space="preserve">同心县苦水沟大型淤地坝工程            </w:t>
      </w:r>
    </w:p>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建设单位（盖章）：</w:t>
      </w:r>
      <w:r>
        <w:rPr>
          <w:rFonts w:hint="eastAsia" w:ascii="仿宋" w:hAnsi="仿宋" w:eastAsia="仿宋" w:cs="仿宋"/>
          <w:color w:val="auto"/>
          <w:sz w:val="36"/>
          <w:szCs w:val="36"/>
          <w:highlight w:val="none"/>
          <w:u w:val="single"/>
        </w:rPr>
        <w:t xml:space="preserve">同心县水务局               </w:t>
      </w:r>
    </w:p>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编制日期：</w:t>
      </w:r>
      <w:r>
        <w:rPr>
          <w:rFonts w:hint="eastAsia" w:ascii="仿宋" w:hAnsi="仿宋" w:eastAsia="仿宋" w:cs="仿宋"/>
          <w:color w:val="auto"/>
          <w:sz w:val="36"/>
          <w:szCs w:val="36"/>
          <w:highlight w:val="none"/>
          <w:u w:val="single"/>
        </w:rPr>
        <w:t>202</w:t>
      </w:r>
      <w:r>
        <w:rPr>
          <w:rFonts w:hint="eastAsia" w:ascii="仿宋" w:hAnsi="仿宋" w:eastAsia="仿宋" w:cs="仿宋"/>
          <w:color w:val="auto"/>
          <w:sz w:val="36"/>
          <w:szCs w:val="36"/>
          <w:highlight w:val="none"/>
          <w:u w:val="single"/>
          <w:lang w:val="en-US" w:eastAsia="zh-CN"/>
        </w:rPr>
        <w:t>3</w:t>
      </w:r>
      <w:r>
        <w:rPr>
          <w:rFonts w:hint="eastAsia" w:ascii="仿宋" w:hAnsi="仿宋" w:eastAsia="仿宋" w:cs="仿宋"/>
          <w:color w:val="auto"/>
          <w:sz w:val="36"/>
          <w:szCs w:val="36"/>
          <w:highlight w:val="none"/>
          <w:u w:val="single"/>
        </w:rPr>
        <w:t>年</w:t>
      </w:r>
      <w:r>
        <w:rPr>
          <w:rFonts w:hint="eastAsia" w:ascii="仿宋" w:hAnsi="仿宋" w:eastAsia="仿宋" w:cs="仿宋"/>
          <w:color w:val="auto"/>
          <w:sz w:val="36"/>
          <w:szCs w:val="36"/>
          <w:highlight w:val="none"/>
          <w:u w:val="single"/>
          <w:lang w:val="en-US" w:eastAsia="zh-CN"/>
        </w:rPr>
        <w:t>4</w:t>
      </w:r>
      <w:r>
        <w:rPr>
          <w:rFonts w:hint="eastAsia" w:ascii="仿宋" w:hAnsi="仿宋" w:eastAsia="仿宋" w:cs="仿宋"/>
          <w:color w:val="auto"/>
          <w:sz w:val="36"/>
          <w:szCs w:val="36"/>
          <w:highlight w:val="none"/>
          <w:u w:val="single"/>
        </w:rPr>
        <w:t xml:space="preserve">月                       </w:t>
      </w:r>
    </w:p>
    <w:p>
      <w:pPr>
        <w:adjustRightInd w:val="0"/>
        <w:snapToGrid w:val="0"/>
        <w:spacing w:line="288" w:lineRule="auto"/>
        <w:ind w:firstLine="1040"/>
        <w:rPr>
          <w:rFonts w:ascii="仿宋_GB2312" w:eastAsia="仿宋_GB2312"/>
          <w:color w:val="auto"/>
          <w:sz w:val="36"/>
          <w:szCs w:val="36"/>
          <w:highlight w:val="none"/>
          <w:u w:val="singl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jc w:val="center"/>
        <w:rPr>
          <w:rFonts w:eastAsia="仿宋_GB2312"/>
          <w:color w:val="auto"/>
          <w:sz w:val="36"/>
          <w:szCs w:val="36"/>
          <w:highlight w:val="none"/>
          <w:u w:val="single"/>
        </w:rPr>
      </w:pPr>
      <w:r>
        <w:rPr>
          <w:rFonts w:hint="eastAsia" w:ascii="楷体_GB2312" w:eastAsia="楷体_GB2312"/>
          <w:color w:val="auto"/>
          <w:sz w:val="36"/>
          <w:szCs w:val="36"/>
          <w:highlight w:val="none"/>
        </w:rPr>
        <w:t>中华人民共和国生态环境部制</w:t>
      </w:r>
    </w:p>
    <w:p>
      <w:pPr>
        <w:adjustRightInd w:val="0"/>
        <w:snapToGrid w:val="0"/>
        <w:spacing w:line="288" w:lineRule="auto"/>
        <w:ind w:firstLine="1040"/>
        <w:rPr>
          <w:rFonts w:eastAsia="仿宋_GB2312"/>
          <w:color w:val="auto"/>
          <w:sz w:val="36"/>
          <w:szCs w:val="36"/>
          <w:highlight w:val="none"/>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bookmarkStart w:id="2" w:name="_Hlk57884087"/>
    </w:p>
    <w:bookmarkEnd w:id="0"/>
    <w:bookmarkEnd w:id="2"/>
    <w:p>
      <w:pPr>
        <w:adjustRightInd w:val="0"/>
        <w:snapToGrid w:val="0"/>
        <w:spacing w:line="288" w:lineRule="auto"/>
        <w:rPr>
          <w:rFonts w:eastAsia="楷体_GB2312"/>
          <w:color w:val="auto"/>
          <w:sz w:val="36"/>
          <w:szCs w:val="36"/>
          <w:highlight w:val="none"/>
        </w:rPr>
      </w:pPr>
    </w:p>
    <w:p>
      <w:pPr>
        <w:adjustRightInd w:val="0"/>
        <w:snapToGrid w:val="0"/>
        <w:spacing w:line="288" w:lineRule="auto"/>
        <w:rPr>
          <w:rFonts w:eastAsia="仿宋_GB2312"/>
          <w:color w:val="auto"/>
          <w:sz w:val="36"/>
          <w:szCs w:val="36"/>
          <w:highlight w:val="none"/>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1"/>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一、建设项目基本情况</w:t>
      </w:r>
    </w:p>
    <w:tbl>
      <w:tblPr>
        <w:tblStyle w:val="24"/>
        <w:tblW w:w="9162" w:type="dxa"/>
        <w:tblInd w:w="-107"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994"/>
        <w:gridCol w:w="811"/>
        <w:gridCol w:w="2587"/>
        <w:gridCol w:w="2218"/>
        <w:gridCol w:w="10"/>
        <w:gridCol w:w="25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建设项目名称</w:t>
            </w:r>
          </w:p>
        </w:tc>
        <w:tc>
          <w:tcPr>
            <w:tcW w:w="7357" w:type="dxa"/>
            <w:gridSpan w:val="4"/>
            <w:vAlign w:val="center"/>
          </w:tcPr>
          <w:p>
            <w:pPr>
              <w:adjustRightInd w:val="0"/>
              <w:snapToGrid w:val="0"/>
              <w:jc w:val="center"/>
              <w:rPr>
                <w:color w:val="auto"/>
                <w:sz w:val="24"/>
                <w:highlight w:val="none"/>
              </w:rPr>
            </w:pPr>
            <w:r>
              <w:rPr>
                <w:rFonts w:hint="eastAsia"/>
                <w:color w:val="auto"/>
                <w:sz w:val="24"/>
                <w:highlight w:val="none"/>
              </w:rPr>
              <w:t>同心县苦水沟大型淤地坝工程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项目代码</w:t>
            </w:r>
          </w:p>
        </w:tc>
        <w:tc>
          <w:tcPr>
            <w:tcW w:w="7357" w:type="dxa"/>
            <w:gridSpan w:val="4"/>
            <w:vAlign w:val="center"/>
          </w:tcPr>
          <w:p>
            <w:pPr>
              <w:adjustRightInd w:val="0"/>
              <w:snapToGrid w:val="0"/>
              <w:jc w:val="center"/>
              <w:rPr>
                <w:color w:val="auto"/>
                <w:sz w:val="24"/>
                <w:highlight w:val="none"/>
              </w:rPr>
            </w:pPr>
            <w:r>
              <w:rPr>
                <w:color w:val="auto"/>
                <w:sz w:val="24"/>
                <w:highlight w:val="none"/>
              </w:rPr>
              <w:t>2203－640324－19－01－974135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pacing w:val="-20"/>
                <w:sz w:val="24"/>
                <w:highlight w:val="none"/>
              </w:rPr>
              <w:t>建设单位联系人</w:t>
            </w:r>
          </w:p>
        </w:tc>
        <w:tc>
          <w:tcPr>
            <w:tcW w:w="2587" w:type="dxa"/>
            <w:vAlign w:val="center"/>
          </w:tcPr>
          <w:p>
            <w:pPr>
              <w:adjustRightInd w:val="0"/>
              <w:snapToGrid w:val="0"/>
              <w:jc w:val="center"/>
              <w:rPr>
                <w:rFonts w:hint="default" w:ascii="Times New Roman" w:hAnsi="Times New Roman" w:eastAsia="宋体" w:cs="Times New Roman"/>
                <w:color w:val="auto"/>
                <w:kern w:val="2"/>
                <w:sz w:val="24"/>
                <w:szCs w:val="24"/>
                <w:highlight w:val="none"/>
                <w:lang w:val="en-US" w:eastAsia="zh-CN" w:bidi="ar-SA"/>
              </w:rPr>
            </w:pPr>
            <w:r>
              <w:rPr>
                <w:rFonts w:hint="eastAsia"/>
                <w:color w:val="auto"/>
                <w:sz w:val="24"/>
                <w:highlight w:val="none"/>
                <w:lang w:val="en-US" w:eastAsia="zh-CN"/>
              </w:rPr>
              <w:t>苏天胜</w:t>
            </w:r>
          </w:p>
        </w:tc>
        <w:tc>
          <w:tcPr>
            <w:tcW w:w="2228" w:type="dxa"/>
            <w:gridSpan w:val="2"/>
            <w:vAlign w:val="center"/>
          </w:tcPr>
          <w:p>
            <w:pPr>
              <w:adjustRightInd w:val="0"/>
              <w:snapToGrid w:val="0"/>
              <w:jc w:val="center"/>
              <w:rPr>
                <w:rFonts w:ascii="Times New Roman" w:hAnsi="Times New Roman" w:eastAsia="宋体" w:cs="Times New Roman"/>
                <w:color w:val="auto"/>
                <w:kern w:val="2"/>
                <w:sz w:val="24"/>
                <w:szCs w:val="24"/>
                <w:highlight w:val="none"/>
                <w:lang w:val="en-US" w:eastAsia="zh-CN" w:bidi="ar-SA"/>
              </w:rPr>
            </w:pPr>
            <w:r>
              <w:rPr>
                <w:color w:val="auto"/>
                <w:sz w:val="24"/>
                <w:highlight w:val="none"/>
              </w:rPr>
              <w:t>联系方式</w:t>
            </w:r>
          </w:p>
        </w:tc>
        <w:tc>
          <w:tcPr>
            <w:tcW w:w="2542" w:type="dxa"/>
            <w:vAlign w:val="center"/>
          </w:tcPr>
          <w:p>
            <w:pPr>
              <w:adjustRightInd w:val="0"/>
              <w:snapToGrid w:val="0"/>
              <w:jc w:val="center"/>
              <w:rPr>
                <w:rFonts w:ascii="Times New Roman" w:hAnsi="Times New Roman" w:eastAsia="宋体" w:cs="Times New Roman"/>
                <w:color w:val="auto"/>
                <w:kern w:val="2"/>
                <w:sz w:val="24"/>
                <w:szCs w:val="24"/>
                <w:highlight w:val="none"/>
                <w:lang w:val="en-US" w:eastAsia="zh-CN" w:bidi="ar-SA"/>
              </w:rPr>
            </w:pPr>
            <w:r>
              <w:rPr>
                <w:rFonts w:hint="eastAsia"/>
                <w:color w:val="auto"/>
                <w:sz w:val="24"/>
                <w:highlight w:val="none"/>
              </w:rPr>
              <w:t>15825338777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建设地点</w:t>
            </w:r>
          </w:p>
        </w:tc>
        <w:tc>
          <w:tcPr>
            <w:tcW w:w="7357" w:type="dxa"/>
            <w:gridSpan w:val="4"/>
            <w:vAlign w:val="center"/>
          </w:tcPr>
          <w:p>
            <w:pPr>
              <w:adjustRightInd w:val="0"/>
              <w:snapToGrid w:val="0"/>
              <w:jc w:val="center"/>
              <w:rPr>
                <w:color w:val="auto"/>
                <w:sz w:val="24"/>
                <w:highlight w:val="none"/>
              </w:rPr>
            </w:pPr>
            <w:r>
              <w:rPr>
                <w:rFonts w:hint="eastAsia"/>
                <w:color w:val="auto"/>
                <w:sz w:val="24"/>
                <w:highlight w:val="none"/>
              </w:rPr>
              <w:t>宁夏回族自治区吴忠市同心县河西镇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地理坐标</w:t>
            </w:r>
          </w:p>
        </w:tc>
        <w:tc>
          <w:tcPr>
            <w:tcW w:w="7357" w:type="dxa"/>
            <w:gridSpan w:val="4"/>
            <w:vAlign w:val="center"/>
          </w:tcPr>
          <w:p>
            <w:pPr>
              <w:adjustRightInd w:val="0"/>
              <w:snapToGrid w:val="0"/>
              <w:jc w:val="center"/>
              <w:rPr>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建设项目</w:t>
            </w:r>
          </w:p>
          <w:p>
            <w:pPr>
              <w:adjustRightInd w:val="0"/>
              <w:snapToGrid w:val="0"/>
              <w:jc w:val="center"/>
              <w:rPr>
                <w:color w:val="auto"/>
                <w:sz w:val="24"/>
                <w:highlight w:val="none"/>
              </w:rPr>
            </w:pPr>
            <w:r>
              <w:rPr>
                <w:color w:val="auto"/>
                <w:sz w:val="24"/>
                <w:highlight w:val="none"/>
              </w:rPr>
              <w:t>行业类别</w:t>
            </w:r>
          </w:p>
        </w:tc>
        <w:tc>
          <w:tcPr>
            <w:tcW w:w="2587" w:type="dxa"/>
            <w:vAlign w:val="center"/>
          </w:tcPr>
          <w:p>
            <w:pPr>
              <w:adjustRightInd w:val="0"/>
              <w:snapToGrid w:val="0"/>
              <w:jc w:val="center"/>
              <w:rPr>
                <w:color w:val="auto"/>
                <w:sz w:val="24"/>
                <w:highlight w:val="none"/>
              </w:rPr>
            </w:pPr>
            <w:r>
              <w:rPr>
                <w:rFonts w:hint="eastAsia"/>
                <w:color w:val="auto"/>
                <w:sz w:val="24"/>
                <w:highlight w:val="none"/>
              </w:rPr>
              <w:t>五十一</w:t>
            </w:r>
            <w:r>
              <w:rPr>
                <w:color w:val="auto"/>
                <w:sz w:val="24"/>
                <w:highlight w:val="none"/>
              </w:rPr>
              <w:t>、</w:t>
            </w:r>
            <w:r>
              <w:rPr>
                <w:rFonts w:hint="eastAsia"/>
                <w:color w:val="auto"/>
                <w:sz w:val="24"/>
                <w:highlight w:val="none"/>
              </w:rPr>
              <w:t>水利</w:t>
            </w:r>
            <w:r>
              <w:rPr>
                <w:color w:val="auto"/>
                <w:sz w:val="24"/>
                <w:highlight w:val="none"/>
              </w:rPr>
              <w:t>：</w:t>
            </w:r>
            <w:r>
              <w:rPr>
                <w:rFonts w:hint="eastAsia"/>
                <w:color w:val="auto"/>
                <w:sz w:val="24"/>
                <w:highlight w:val="none"/>
              </w:rPr>
              <w:t>127防洪除涝工程</w:t>
            </w:r>
          </w:p>
        </w:tc>
        <w:tc>
          <w:tcPr>
            <w:tcW w:w="2218" w:type="dxa"/>
            <w:vAlign w:val="center"/>
          </w:tcPr>
          <w:p>
            <w:pPr>
              <w:adjustRightInd w:val="0"/>
              <w:snapToGrid w:val="0"/>
              <w:jc w:val="center"/>
              <w:rPr>
                <w:color w:val="auto"/>
                <w:sz w:val="24"/>
                <w:highlight w:val="none"/>
              </w:rPr>
            </w:pPr>
            <w:r>
              <w:rPr>
                <w:color w:val="auto"/>
                <w:sz w:val="24"/>
                <w:highlight w:val="none"/>
              </w:rPr>
              <w:t>用地（用海）面积（m</w:t>
            </w:r>
            <w:r>
              <w:rPr>
                <w:color w:val="auto"/>
                <w:sz w:val="24"/>
                <w:highlight w:val="none"/>
                <w:vertAlign w:val="superscript"/>
              </w:rPr>
              <w:t>2</w:t>
            </w:r>
            <w:r>
              <w:rPr>
                <w:color w:val="auto"/>
                <w:sz w:val="24"/>
                <w:highlight w:val="none"/>
              </w:rPr>
              <w:t>）/长度（km）</w:t>
            </w:r>
          </w:p>
        </w:tc>
        <w:tc>
          <w:tcPr>
            <w:tcW w:w="2552" w:type="dxa"/>
            <w:gridSpan w:val="2"/>
            <w:vAlign w:val="center"/>
          </w:tcPr>
          <w:p>
            <w:pPr>
              <w:adjustRightInd w:val="0"/>
              <w:snapToGrid w:val="0"/>
              <w:jc w:val="center"/>
              <w:rPr>
                <w:color w:val="auto"/>
                <w:sz w:val="24"/>
                <w:highlight w:val="none"/>
              </w:rPr>
            </w:pPr>
            <w:r>
              <w:rPr>
                <w:rFonts w:hint="eastAsia"/>
                <w:color w:val="auto"/>
                <w:sz w:val="24"/>
                <w:highlight w:val="none"/>
                <w:lang w:val="en-US" w:eastAsia="zh-CN"/>
              </w:rPr>
              <w:t>38000</w:t>
            </w:r>
            <w:r>
              <w:rPr>
                <w:color w:val="auto"/>
                <w:sz w:val="24"/>
                <w:highlight w:val="none"/>
              </w:rPr>
              <w:t>m</w:t>
            </w:r>
            <w:r>
              <w:rPr>
                <w:color w:val="auto"/>
                <w:sz w:val="24"/>
                <w:highlight w:val="none"/>
                <w:vertAlign w:val="superscript"/>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建设性质</w:t>
            </w:r>
          </w:p>
        </w:tc>
        <w:tc>
          <w:tcPr>
            <w:tcW w:w="2587" w:type="dxa"/>
            <w:vAlign w:val="center"/>
          </w:tcPr>
          <w:p>
            <w:pPr>
              <w:adjustRightInd w:val="0"/>
              <w:snapToGrid w:val="0"/>
              <w:jc w:val="left"/>
              <w:rPr>
                <w:color w:val="auto"/>
                <w:sz w:val="24"/>
                <w:highlight w:val="none"/>
              </w:rPr>
            </w:pPr>
            <w:r>
              <w:rPr>
                <w:rFonts w:ascii="宋体" w:hAnsi="宋体"/>
                <w:color w:val="auto"/>
                <w:sz w:val="24"/>
                <w:highlight w:val="none"/>
              </w:rPr>
              <w:sym w:font="Wingdings 2" w:char="0052"/>
            </w:r>
            <w:r>
              <w:rPr>
                <w:color w:val="auto"/>
                <w:sz w:val="24"/>
                <w:highlight w:val="none"/>
              </w:rPr>
              <w:t>新建（迁建）</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改建</w:t>
            </w:r>
          </w:p>
          <w:p>
            <w:pPr>
              <w:adjustRightInd w:val="0"/>
              <w:snapToGrid w:val="0"/>
              <w:jc w:val="left"/>
              <w:rPr>
                <w:color w:val="auto"/>
                <w:sz w:val="24"/>
                <w:highlight w:val="none"/>
              </w:rPr>
            </w:pPr>
            <w:r>
              <w:rPr>
                <w:color w:val="auto"/>
                <w:sz w:val="24"/>
                <w:highlight w:val="none"/>
              </w:rPr>
              <w:sym w:font="Wingdings 2" w:char="00A3"/>
            </w:r>
            <w:r>
              <w:rPr>
                <w:color w:val="auto"/>
                <w:sz w:val="24"/>
                <w:highlight w:val="none"/>
              </w:rPr>
              <w:t>扩建</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技术改造</w:t>
            </w:r>
          </w:p>
        </w:tc>
        <w:tc>
          <w:tcPr>
            <w:tcW w:w="2218" w:type="dxa"/>
            <w:vAlign w:val="center"/>
          </w:tcPr>
          <w:p>
            <w:pPr>
              <w:adjustRightInd w:val="0"/>
              <w:snapToGrid w:val="0"/>
              <w:jc w:val="center"/>
              <w:rPr>
                <w:color w:val="auto"/>
                <w:sz w:val="24"/>
                <w:highlight w:val="none"/>
              </w:rPr>
            </w:pPr>
            <w:r>
              <w:rPr>
                <w:color w:val="auto"/>
                <w:sz w:val="24"/>
                <w:highlight w:val="none"/>
              </w:rPr>
              <w:t>建设项目</w:t>
            </w:r>
          </w:p>
          <w:p>
            <w:pPr>
              <w:adjustRightInd w:val="0"/>
              <w:snapToGrid w:val="0"/>
              <w:jc w:val="center"/>
              <w:rPr>
                <w:color w:val="auto"/>
                <w:sz w:val="24"/>
                <w:highlight w:val="none"/>
              </w:rPr>
            </w:pPr>
            <w:r>
              <w:rPr>
                <w:color w:val="auto"/>
                <w:sz w:val="24"/>
                <w:highlight w:val="none"/>
              </w:rPr>
              <w:t>申报情形</w:t>
            </w:r>
          </w:p>
        </w:tc>
        <w:tc>
          <w:tcPr>
            <w:tcW w:w="2552" w:type="dxa"/>
            <w:gridSpan w:val="2"/>
            <w:vAlign w:val="center"/>
          </w:tcPr>
          <w:p>
            <w:pPr>
              <w:adjustRightInd w:val="0"/>
              <w:snapToGrid w:val="0"/>
              <w:jc w:val="left"/>
              <w:rPr>
                <w:color w:val="auto"/>
                <w:sz w:val="24"/>
                <w:highlight w:val="none"/>
              </w:rPr>
            </w:pPr>
            <w:r>
              <w:rPr>
                <w:color w:val="auto"/>
                <w:sz w:val="24"/>
                <w:highlight w:val="none"/>
              </w:rPr>
              <w:sym w:font="Wingdings 2" w:char="0052"/>
            </w:r>
            <w:r>
              <w:rPr>
                <w:color w:val="auto"/>
                <w:sz w:val="24"/>
                <w:highlight w:val="none"/>
              </w:rPr>
              <w:t>首次申报项目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不予批准后再次申报项目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超五年重新审核项目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项目审批（核准/</w:t>
            </w:r>
          </w:p>
          <w:p>
            <w:pPr>
              <w:adjustRightInd w:val="0"/>
              <w:snapToGrid w:val="0"/>
              <w:jc w:val="center"/>
              <w:rPr>
                <w:color w:val="auto"/>
                <w:sz w:val="24"/>
                <w:highlight w:val="none"/>
              </w:rPr>
            </w:pPr>
            <w:r>
              <w:rPr>
                <w:color w:val="auto"/>
                <w:sz w:val="24"/>
                <w:highlight w:val="none"/>
              </w:rPr>
              <w:t>备案）部门（选填）</w:t>
            </w:r>
          </w:p>
        </w:tc>
        <w:tc>
          <w:tcPr>
            <w:tcW w:w="2587" w:type="dxa"/>
            <w:vAlign w:val="center"/>
          </w:tcPr>
          <w:p>
            <w:pPr>
              <w:adjustRightInd w:val="0"/>
              <w:snapToGrid w:val="0"/>
              <w:jc w:val="center"/>
              <w:rPr>
                <w:color w:val="auto"/>
                <w:sz w:val="24"/>
                <w:highlight w:val="none"/>
              </w:rPr>
            </w:pPr>
            <w:r>
              <w:rPr>
                <w:color w:val="auto"/>
                <w:sz w:val="24"/>
                <w:highlight w:val="none"/>
              </w:rPr>
              <w:t>同心县发展和改革局</w:t>
            </w:r>
          </w:p>
        </w:tc>
        <w:tc>
          <w:tcPr>
            <w:tcW w:w="2218" w:type="dxa"/>
            <w:vAlign w:val="center"/>
          </w:tcPr>
          <w:p>
            <w:pPr>
              <w:adjustRightInd w:val="0"/>
              <w:snapToGrid w:val="0"/>
              <w:jc w:val="center"/>
              <w:rPr>
                <w:color w:val="auto"/>
                <w:sz w:val="24"/>
                <w:highlight w:val="none"/>
              </w:rPr>
            </w:pPr>
            <w:r>
              <w:rPr>
                <w:color w:val="auto"/>
                <w:sz w:val="24"/>
                <w:highlight w:val="none"/>
              </w:rPr>
              <w:t>项目审批（核准/</w:t>
            </w:r>
          </w:p>
          <w:p>
            <w:pPr>
              <w:adjustRightInd w:val="0"/>
              <w:snapToGrid w:val="0"/>
              <w:jc w:val="center"/>
              <w:rPr>
                <w:color w:val="auto"/>
                <w:sz w:val="24"/>
                <w:highlight w:val="none"/>
              </w:rPr>
            </w:pPr>
            <w:r>
              <w:rPr>
                <w:color w:val="auto"/>
                <w:sz w:val="24"/>
                <w:highlight w:val="none"/>
              </w:rPr>
              <w:t>备案）文号（选填）</w:t>
            </w:r>
          </w:p>
        </w:tc>
        <w:tc>
          <w:tcPr>
            <w:tcW w:w="2552" w:type="dxa"/>
            <w:gridSpan w:val="2"/>
            <w:vAlign w:val="center"/>
          </w:tcPr>
          <w:p>
            <w:pPr>
              <w:adjustRightInd w:val="0"/>
              <w:snapToGrid w:val="0"/>
              <w:jc w:val="center"/>
              <w:rPr>
                <w:color w:val="auto"/>
                <w:sz w:val="24"/>
                <w:highlight w:val="none"/>
              </w:rPr>
            </w:pPr>
            <w:r>
              <w:rPr>
                <w:color w:val="auto"/>
                <w:sz w:val="24"/>
                <w:highlight w:val="none"/>
              </w:rPr>
              <w:t>同发改审发</w:t>
            </w:r>
            <w:r>
              <w:rPr>
                <w:rFonts w:hint="eastAsia"/>
                <w:color w:val="auto"/>
                <w:sz w:val="24"/>
                <w:highlight w:val="none"/>
              </w:rPr>
              <w:t>[</w:t>
            </w:r>
            <w:r>
              <w:rPr>
                <w:color w:val="auto"/>
                <w:sz w:val="24"/>
                <w:highlight w:val="none"/>
              </w:rPr>
              <w:t>2022]</w:t>
            </w:r>
            <w:r>
              <w:rPr>
                <w:rFonts w:hint="eastAsia"/>
                <w:color w:val="auto"/>
                <w:sz w:val="24"/>
                <w:highlight w:val="none"/>
              </w:rPr>
              <w:t>46</w:t>
            </w:r>
            <w:r>
              <w:rPr>
                <w:color w:val="auto"/>
                <w:sz w:val="24"/>
                <w:highlight w:val="none"/>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总投资（万元）</w:t>
            </w:r>
          </w:p>
        </w:tc>
        <w:tc>
          <w:tcPr>
            <w:tcW w:w="2587" w:type="dxa"/>
            <w:vAlign w:val="center"/>
          </w:tcPr>
          <w:p>
            <w:pPr>
              <w:adjustRightInd w:val="0"/>
              <w:snapToGrid w:val="0"/>
              <w:jc w:val="center"/>
              <w:rPr>
                <w:color w:val="auto"/>
                <w:sz w:val="24"/>
                <w:highlight w:val="none"/>
              </w:rPr>
            </w:pPr>
            <w:r>
              <w:rPr>
                <w:rFonts w:hint="eastAsia"/>
                <w:color w:val="auto"/>
                <w:sz w:val="24"/>
                <w:highlight w:val="none"/>
              </w:rPr>
              <w:t>536.03</w:t>
            </w:r>
          </w:p>
        </w:tc>
        <w:tc>
          <w:tcPr>
            <w:tcW w:w="2218" w:type="dxa"/>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环保投资（万元）</w:t>
            </w:r>
          </w:p>
        </w:tc>
        <w:tc>
          <w:tcPr>
            <w:tcW w:w="2552" w:type="dxa"/>
            <w:gridSpan w:val="2"/>
            <w:vAlign w:val="center"/>
          </w:tcPr>
          <w:p>
            <w:pPr>
              <w:adjustRightInd w:val="0"/>
              <w:snapToGrid w:val="0"/>
              <w:jc w:val="center"/>
              <w:rPr>
                <w:color w:val="auto"/>
                <w:sz w:val="24"/>
                <w:highlight w:val="none"/>
              </w:rPr>
            </w:pPr>
            <w:r>
              <w:rPr>
                <w:rFonts w:hint="eastAsia"/>
                <w:color w:val="auto"/>
                <w:sz w:val="24"/>
                <w:highlight w:val="none"/>
              </w:rPr>
              <w:t>38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环保投资占比（%）</w:t>
            </w:r>
          </w:p>
        </w:tc>
        <w:tc>
          <w:tcPr>
            <w:tcW w:w="2587" w:type="dxa"/>
            <w:vAlign w:val="center"/>
          </w:tcPr>
          <w:p>
            <w:pPr>
              <w:adjustRightInd w:val="0"/>
              <w:snapToGrid w:val="0"/>
              <w:jc w:val="center"/>
              <w:rPr>
                <w:color w:val="auto"/>
                <w:sz w:val="24"/>
                <w:highlight w:val="none"/>
              </w:rPr>
            </w:pPr>
            <w:r>
              <w:rPr>
                <w:rFonts w:hint="eastAsia"/>
                <w:color w:val="auto"/>
                <w:sz w:val="24"/>
                <w:highlight w:val="none"/>
              </w:rPr>
              <w:t>7.09%</w:t>
            </w:r>
          </w:p>
        </w:tc>
        <w:tc>
          <w:tcPr>
            <w:tcW w:w="2218" w:type="dxa"/>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施工工期</w:t>
            </w:r>
          </w:p>
        </w:tc>
        <w:tc>
          <w:tcPr>
            <w:tcW w:w="2552" w:type="dxa"/>
            <w:gridSpan w:val="2"/>
            <w:vAlign w:val="center"/>
          </w:tcPr>
          <w:p>
            <w:pPr>
              <w:adjustRightInd w:val="0"/>
              <w:snapToGrid w:val="0"/>
              <w:jc w:val="center"/>
              <w:rPr>
                <w:color w:val="auto"/>
                <w:sz w:val="24"/>
                <w:highlight w:val="none"/>
              </w:rPr>
            </w:pPr>
            <w:r>
              <w:rPr>
                <w:rFonts w:hint="eastAsia"/>
                <w:color w:val="auto"/>
                <w:sz w:val="24"/>
                <w:highlight w:val="none"/>
              </w:rPr>
              <w:t>6</w:t>
            </w:r>
            <w:r>
              <w:rPr>
                <w:color w:val="auto"/>
                <w:sz w:val="24"/>
                <w:highlight w:val="none"/>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62" w:hRule="atLeast"/>
        </w:trPr>
        <w:tc>
          <w:tcPr>
            <w:tcW w:w="1805" w:type="dxa"/>
            <w:gridSpan w:val="2"/>
            <w:tcMar>
              <w:top w:w="16" w:type="dxa"/>
              <w:left w:w="16" w:type="dxa"/>
              <w:right w:w="16" w:type="dxa"/>
            </w:tcMar>
            <w:vAlign w:val="center"/>
          </w:tcPr>
          <w:p>
            <w:pPr>
              <w:adjustRightInd w:val="0"/>
              <w:snapToGrid w:val="0"/>
              <w:jc w:val="center"/>
              <w:rPr>
                <w:color w:val="auto"/>
                <w:sz w:val="24"/>
                <w:highlight w:val="none"/>
              </w:rPr>
            </w:pPr>
            <w:r>
              <w:rPr>
                <w:color w:val="auto"/>
                <w:sz w:val="24"/>
                <w:highlight w:val="none"/>
              </w:rPr>
              <w:t>是否开工建设</w:t>
            </w:r>
          </w:p>
        </w:tc>
        <w:tc>
          <w:tcPr>
            <w:tcW w:w="7357" w:type="dxa"/>
            <w:gridSpan w:val="4"/>
            <w:vAlign w:val="center"/>
          </w:tcPr>
          <w:p>
            <w:pPr>
              <w:adjustRightInd w:val="0"/>
              <w:snapToGrid w:val="0"/>
              <w:ind w:firstLine="105"/>
              <w:jc w:val="left"/>
              <w:rPr>
                <w:color w:val="auto"/>
                <w:sz w:val="24"/>
                <w:highlight w:val="none"/>
              </w:rPr>
            </w:pPr>
            <w:r>
              <w:rPr>
                <w:color w:val="auto"/>
                <w:sz w:val="24"/>
                <w:highlight w:val="none"/>
              </w:rPr>
              <w:sym w:font="Wingdings 2" w:char="0052"/>
            </w:r>
            <w:r>
              <w:rPr>
                <w:color w:val="auto"/>
                <w:sz w:val="24"/>
                <w:highlight w:val="none"/>
              </w:rPr>
              <w:t>否</w:t>
            </w:r>
          </w:p>
          <w:p>
            <w:pPr>
              <w:adjustRightInd w:val="0"/>
              <w:snapToGrid w:val="0"/>
              <w:ind w:firstLine="92"/>
              <w:jc w:val="left"/>
              <w:rPr>
                <w:color w:val="auto"/>
                <w:sz w:val="24"/>
                <w:highlight w:val="none"/>
              </w:rPr>
            </w:pPr>
            <w:r>
              <w:rPr>
                <w:rFonts w:ascii="宋体" w:hAnsi="宋体"/>
                <w:color w:val="auto"/>
                <w:sz w:val="24"/>
                <w:highlight w:val="none"/>
              </w:rPr>
              <w:t>□</w:t>
            </w:r>
            <w:r>
              <w:rPr>
                <w:color w:val="auto"/>
                <w:sz w:val="24"/>
                <w:highlight w:val="none"/>
              </w:rPr>
              <w:t>是</w:t>
            </w:r>
            <w:r>
              <w:rPr>
                <w:rFonts w:hint="eastAsia"/>
                <w:color w:val="auto"/>
                <w:sz w:val="24"/>
                <w:highlight w:val="none"/>
              </w:rPr>
              <w:t>：</w:t>
            </w:r>
            <w:r>
              <w:rPr>
                <w:rFonts w:hint="eastAsia"/>
                <w:color w:val="auto"/>
                <w:sz w:val="24"/>
                <w:highlight w:val="none"/>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33" w:hRule="atLeast"/>
        </w:trPr>
        <w:tc>
          <w:tcPr>
            <w:tcW w:w="1805" w:type="dxa"/>
            <w:gridSpan w:val="2"/>
            <w:tcMar>
              <w:top w:w="16" w:type="dxa"/>
              <w:left w:w="16" w:type="dxa"/>
              <w:right w:w="16" w:type="dxa"/>
            </w:tcMar>
            <w:vAlign w:val="center"/>
          </w:tcPr>
          <w:p>
            <w:pPr>
              <w:autoSpaceDE w:val="0"/>
              <w:autoSpaceDN w:val="0"/>
              <w:adjustRightInd w:val="0"/>
              <w:snapToGrid w:val="0"/>
              <w:jc w:val="center"/>
              <w:rPr>
                <w:color w:val="auto"/>
                <w:kern w:val="0"/>
                <w:sz w:val="24"/>
                <w:highlight w:val="none"/>
              </w:rPr>
            </w:pPr>
            <w:r>
              <w:rPr>
                <w:color w:val="auto"/>
                <w:kern w:val="0"/>
                <w:sz w:val="24"/>
                <w:highlight w:val="none"/>
              </w:rPr>
              <w:t>专项评价设置情况</w:t>
            </w:r>
          </w:p>
        </w:tc>
        <w:tc>
          <w:tcPr>
            <w:tcW w:w="7357" w:type="dxa"/>
            <w:gridSpan w:val="4"/>
            <w:tcMar>
              <w:top w:w="16" w:type="dxa"/>
              <w:left w:w="16" w:type="dxa"/>
              <w:right w:w="16" w:type="dxa"/>
            </w:tcMar>
            <w:vAlign w:val="center"/>
          </w:tcPr>
          <w:p>
            <w:pPr>
              <w:autoSpaceDE w:val="0"/>
              <w:autoSpaceDN w:val="0"/>
              <w:adjustRightInd w:val="0"/>
              <w:snapToGrid w:val="0"/>
              <w:jc w:val="left"/>
              <w:rPr>
                <w:color w:val="auto"/>
                <w:kern w:val="0"/>
                <w:sz w:val="24"/>
                <w:highlight w:val="none"/>
              </w:rPr>
            </w:pPr>
            <w:r>
              <w:rPr>
                <w:rFonts w:hint="eastAsia"/>
                <w:color w:val="auto"/>
                <w:kern w:val="0"/>
                <w:sz w:val="24"/>
                <w:highlight w:val="none"/>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5" w:type="dxa"/>
            <w:gridSpan w:val="2"/>
            <w:tcMar>
              <w:top w:w="16" w:type="dxa"/>
              <w:left w:w="16" w:type="dxa"/>
              <w:right w:w="16" w:type="dxa"/>
            </w:tcMar>
            <w:vAlign w:val="center"/>
          </w:tcPr>
          <w:p>
            <w:pPr>
              <w:autoSpaceDE w:val="0"/>
              <w:autoSpaceDN w:val="0"/>
              <w:adjustRightInd w:val="0"/>
              <w:snapToGrid w:val="0"/>
              <w:jc w:val="center"/>
              <w:rPr>
                <w:color w:val="auto"/>
                <w:kern w:val="0"/>
                <w:sz w:val="24"/>
                <w:highlight w:val="none"/>
              </w:rPr>
            </w:pPr>
            <w:r>
              <w:rPr>
                <w:color w:val="auto"/>
                <w:sz w:val="24"/>
                <w:highlight w:val="none"/>
              </w:rPr>
              <w:t>规划情况</w:t>
            </w:r>
          </w:p>
        </w:tc>
        <w:tc>
          <w:tcPr>
            <w:tcW w:w="7357" w:type="dxa"/>
            <w:gridSpan w:val="4"/>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规划名称：《宁夏回族自治区水安全保障“十四五”规划》；</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审批机关：宁夏回族自治区人民政府办公厅；</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审批文件：《自治区人民政府办公厅关于印发宁夏回族自治区水安全保障“十四五”规划的通知》；</w:t>
            </w:r>
          </w:p>
          <w:p>
            <w:pPr>
              <w:pStyle w:val="2"/>
              <w:keepNext w:val="0"/>
              <w:keepLines w:val="0"/>
              <w:pageBreakBefore w:val="0"/>
              <w:widowControl w:val="0"/>
              <w:kinsoku/>
              <w:wordWrap/>
              <w:overflowPunct/>
              <w:topLinePunct w:val="0"/>
              <w:bidi w:val="0"/>
              <w:ind w:left="480" w:leftChars="0" w:hanging="480" w:hangingChars="200"/>
              <w:textAlignment w:val="auto"/>
              <w:rPr>
                <w:rFonts w:hint="default"/>
                <w:color w:val="auto"/>
                <w:highlight w:val="none"/>
                <w:lang w:val="en-US" w:eastAsia="zh-CN"/>
              </w:rPr>
            </w:pPr>
            <w:r>
              <w:rPr>
                <w:rFonts w:hint="eastAsia"/>
                <w:color w:val="auto"/>
                <w:kern w:val="0"/>
                <w:sz w:val="24"/>
                <w:highlight w:val="none"/>
                <w:lang w:val="en-US" w:eastAsia="zh-CN"/>
              </w:rPr>
              <w:t>审批文号：宁政办发〔2021〕82号；</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default"/>
                <w:color w:val="auto"/>
                <w:kern w:val="0"/>
                <w:sz w:val="24"/>
                <w:highlight w:val="none"/>
                <w:lang w:val="en-US"/>
              </w:rPr>
            </w:pPr>
            <w:r>
              <w:rPr>
                <w:rFonts w:hint="eastAsia"/>
                <w:color w:val="auto"/>
                <w:kern w:val="0"/>
                <w:sz w:val="24"/>
                <w:highlight w:val="none"/>
                <w:lang w:val="en-US" w:eastAsia="zh-CN"/>
              </w:rPr>
              <w:t>发布时间：2021年11月17日。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1805" w:type="dxa"/>
            <w:gridSpan w:val="2"/>
            <w:tcMar>
              <w:top w:w="16" w:type="dxa"/>
              <w:left w:w="16" w:type="dxa"/>
              <w:right w:w="16" w:type="dxa"/>
            </w:tcMar>
            <w:vAlign w:val="center"/>
          </w:tcPr>
          <w:p>
            <w:pPr>
              <w:autoSpaceDE w:val="0"/>
              <w:autoSpaceDN w:val="0"/>
              <w:adjustRightInd w:val="0"/>
              <w:snapToGrid w:val="0"/>
              <w:jc w:val="center"/>
              <w:rPr>
                <w:color w:val="auto"/>
                <w:sz w:val="24"/>
                <w:highlight w:val="none"/>
              </w:rPr>
            </w:pPr>
            <w:r>
              <w:rPr>
                <w:color w:val="auto"/>
                <w:sz w:val="24"/>
                <w:highlight w:val="none"/>
              </w:rPr>
              <w:t>规划环境影响</w:t>
            </w:r>
          </w:p>
          <w:p>
            <w:pPr>
              <w:autoSpaceDE w:val="0"/>
              <w:autoSpaceDN w:val="0"/>
              <w:adjustRightInd w:val="0"/>
              <w:snapToGrid w:val="0"/>
              <w:jc w:val="center"/>
              <w:rPr>
                <w:color w:val="auto"/>
                <w:kern w:val="0"/>
                <w:sz w:val="24"/>
                <w:highlight w:val="none"/>
              </w:rPr>
            </w:pPr>
            <w:r>
              <w:rPr>
                <w:color w:val="auto"/>
                <w:sz w:val="24"/>
                <w:highlight w:val="none"/>
              </w:rPr>
              <w:t>评价情况</w:t>
            </w:r>
          </w:p>
        </w:tc>
        <w:tc>
          <w:tcPr>
            <w:tcW w:w="7357" w:type="dxa"/>
            <w:gridSpan w:val="4"/>
            <w:tcMar>
              <w:top w:w="16" w:type="dxa"/>
              <w:left w:w="16" w:type="dxa"/>
              <w:right w:w="16" w:type="dxa"/>
            </w:tcMar>
            <w:vAlign w:val="center"/>
          </w:tcPr>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rFonts w:hint="eastAsia"/>
                <w:color w:val="auto"/>
                <w:kern w:val="0"/>
                <w:sz w:val="24"/>
                <w:highlight w:val="none"/>
                <w:lang w:eastAsia="zh-CN"/>
              </w:rPr>
            </w:pPr>
            <w:r>
              <w:rPr>
                <w:rFonts w:hint="eastAsia"/>
                <w:color w:val="auto"/>
                <w:kern w:val="0"/>
                <w:sz w:val="24"/>
                <w:highlight w:val="none"/>
                <w:lang w:val="en-US" w:eastAsia="zh-CN"/>
              </w:rPr>
              <w:t>规划环境影响评价文件：《</w:t>
            </w:r>
            <w:r>
              <w:rPr>
                <w:color w:val="auto"/>
                <w:kern w:val="0"/>
                <w:sz w:val="24"/>
                <w:highlight w:val="none"/>
              </w:rPr>
              <w:t>宁夏水安全保障“十四五”规环境影响报告书</w:t>
            </w:r>
            <w:r>
              <w:rPr>
                <w:rFonts w:hint="eastAsia"/>
                <w:color w:val="auto"/>
                <w:kern w:val="0"/>
                <w:sz w:val="24"/>
                <w:highlight w:val="none"/>
                <w:lang w:eastAsia="zh-CN"/>
              </w:rPr>
              <w:t>》；</w:t>
            </w:r>
          </w:p>
          <w:p>
            <w:pPr>
              <w:pStyle w:val="2"/>
              <w:keepNext w:val="0"/>
              <w:keepLines w:val="0"/>
              <w:pageBreakBefore w:val="0"/>
              <w:widowControl w:val="0"/>
              <w:kinsoku/>
              <w:wordWrap/>
              <w:overflowPunct/>
              <w:topLinePunct w:val="0"/>
              <w:bidi w:val="0"/>
              <w:ind w:left="480" w:leftChars="0" w:hanging="480" w:hangingChars="200"/>
              <w:textAlignment w:val="auto"/>
              <w:rPr>
                <w:rFonts w:hint="default"/>
                <w:color w:val="auto"/>
                <w:highlight w:val="none"/>
                <w:lang w:val="en-US" w:eastAsia="zh-CN"/>
              </w:rPr>
            </w:pPr>
            <w:r>
              <w:rPr>
                <w:rFonts w:hint="eastAsia"/>
                <w:color w:val="auto"/>
                <w:kern w:val="0"/>
                <w:sz w:val="24"/>
                <w:highlight w:val="none"/>
                <w:lang w:val="en-US" w:eastAsia="zh-CN"/>
              </w:rPr>
              <w:t>审批机关：宁夏回族</w:t>
            </w:r>
            <w:bookmarkStart w:id="25" w:name="_GoBack"/>
            <w:bookmarkEnd w:id="25"/>
            <w:r>
              <w:rPr>
                <w:color w:val="auto"/>
                <w:kern w:val="0"/>
                <w:sz w:val="24"/>
                <w:highlight w:val="none"/>
              </w:rPr>
              <w:t>自治区生态环境厅</w:t>
            </w:r>
          </w:p>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rFonts w:hint="eastAsia"/>
                <w:color w:val="auto"/>
                <w:kern w:val="0"/>
                <w:sz w:val="24"/>
                <w:highlight w:val="none"/>
                <w:lang w:eastAsia="zh-CN"/>
              </w:rPr>
            </w:pPr>
            <w:r>
              <w:rPr>
                <w:rFonts w:hint="eastAsia"/>
                <w:color w:val="auto"/>
                <w:kern w:val="0"/>
                <w:sz w:val="24"/>
                <w:highlight w:val="none"/>
                <w:lang w:val="en-US" w:eastAsia="zh-CN"/>
              </w:rPr>
              <w:t>审批文件：</w:t>
            </w:r>
            <w:r>
              <w:rPr>
                <w:color w:val="auto"/>
                <w:kern w:val="0"/>
                <w:sz w:val="24"/>
                <w:highlight w:val="none"/>
              </w:rPr>
              <w:t>《自治区生态环境厅关于&lt;宁夏水安全保障“十四五”规环境影响报告书&gt;审查意见的函》</w:t>
            </w:r>
            <w:r>
              <w:rPr>
                <w:rFonts w:hint="eastAsia"/>
                <w:color w:val="auto"/>
                <w:kern w:val="0"/>
                <w:sz w:val="24"/>
                <w:highlight w:val="none"/>
                <w:lang w:eastAsia="zh-CN"/>
              </w:rPr>
              <w:t>；</w:t>
            </w:r>
          </w:p>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color w:val="auto"/>
                <w:kern w:val="0"/>
                <w:sz w:val="24"/>
                <w:highlight w:val="none"/>
              </w:rPr>
            </w:pPr>
            <w:r>
              <w:rPr>
                <w:rFonts w:hint="eastAsia"/>
                <w:color w:val="auto"/>
                <w:kern w:val="0"/>
                <w:sz w:val="24"/>
                <w:highlight w:val="none"/>
                <w:lang w:val="en-US" w:eastAsia="zh-CN"/>
              </w:rPr>
              <w:t>审批文号：</w:t>
            </w:r>
            <w:r>
              <w:rPr>
                <w:color w:val="auto"/>
                <w:kern w:val="0"/>
                <w:sz w:val="24"/>
                <w:highlight w:val="none"/>
              </w:rPr>
              <w:t>宁环函</w:t>
            </w:r>
            <w:r>
              <w:rPr>
                <w:rFonts w:hint="eastAsia"/>
                <w:color w:val="auto"/>
                <w:kern w:val="0"/>
                <w:sz w:val="24"/>
                <w:highlight w:val="none"/>
                <w:lang w:val="en-US" w:eastAsia="zh-CN"/>
              </w:rPr>
              <w:t>〔</w:t>
            </w:r>
            <w:r>
              <w:rPr>
                <w:color w:val="auto"/>
                <w:kern w:val="0"/>
                <w:sz w:val="24"/>
                <w:highlight w:val="none"/>
              </w:rPr>
              <w:t>2021</w:t>
            </w:r>
            <w:r>
              <w:rPr>
                <w:rFonts w:hint="eastAsia"/>
                <w:color w:val="auto"/>
                <w:kern w:val="0"/>
                <w:sz w:val="24"/>
                <w:highlight w:val="none"/>
                <w:lang w:val="en-US" w:eastAsia="zh-CN"/>
              </w:rPr>
              <w:t>〕</w:t>
            </w:r>
            <w:r>
              <w:rPr>
                <w:color w:val="auto"/>
                <w:kern w:val="0"/>
                <w:sz w:val="24"/>
                <w:highlight w:val="none"/>
              </w:rPr>
              <w:t>721号。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557" w:hRule="atLeast"/>
        </w:trPr>
        <w:tc>
          <w:tcPr>
            <w:tcW w:w="994" w:type="dxa"/>
            <w:tcMar>
              <w:top w:w="16" w:type="dxa"/>
              <w:left w:w="16" w:type="dxa"/>
              <w:right w:w="16" w:type="dxa"/>
            </w:tcMar>
            <w:vAlign w:val="center"/>
          </w:tcPr>
          <w:p>
            <w:pPr>
              <w:autoSpaceDE w:val="0"/>
              <w:autoSpaceDN w:val="0"/>
              <w:adjustRightInd w:val="0"/>
              <w:snapToGrid w:val="0"/>
              <w:jc w:val="center"/>
              <w:rPr>
                <w:color w:val="auto"/>
                <w:kern w:val="0"/>
                <w:szCs w:val="21"/>
                <w:highlight w:val="none"/>
              </w:rPr>
            </w:pPr>
            <w:r>
              <w:rPr>
                <w:color w:val="auto"/>
                <w:kern w:val="0"/>
                <w:sz w:val="24"/>
                <w:highlight w:val="none"/>
              </w:rPr>
              <w:t>规划及</w:t>
            </w:r>
            <w:r>
              <w:rPr>
                <w:color w:val="auto"/>
                <w:sz w:val="24"/>
                <w:highlight w:val="none"/>
              </w:rPr>
              <w:t>规划环境影响评价</w:t>
            </w:r>
            <w:r>
              <w:rPr>
                <w:color w:val="auto"/>
                <w:kern w:val="0"/>
                <w:sz w:val="24"/>
                <w:highlight w:val="none"/>
              </w:rPr>
              <w:t>符合性分析</w:t>
            </w:r>
          </w:p>
        </w:tc>
        <w:tc>
          <w:tcPr>
            <w:tcW w:w="8168" w:type="dxa"/>
            <w:gridSpan w:val="5"/>
            <w:tcMar>
              <w:top w:w="16" w:type="dxa"/>
              <w:left w:w="16" w:type="dxa"/>
              <w:right w:w="16" w:type="dxa"/>
            </w:tcMar>
            <w:vAlign w:val="center"/>
          </w:tcPr>
          <w:p>
            <w:pPr>
              <w:adjustRightInd w:val="0"/>
              <w:snapToGrid w:val="0"/>
              <w:spacing w:line="360" w:lineRule="auto"/>
              <w:jc w:val="left"/>
              <w:rPr>
                <w:rFonts w:hint="eastAsia"/>
                <w:b/>
                <w:bCs/>
                <w:color w:val="auto"/>
                <w:kern w:val="0"/>
                <w:sz w:val="24"/>
                <w:highlight w:val="none"/>
                <w:lang w:val="en-US" w:eastAsia="zh-CN"/>
              </w:rPr>
            </w:pPr>
            <w:r>
              <w:rPr>
                <w:rFonts w:hint="eastAsia"/>
                <w:b/>
                <w:bCs/>
                <w:color w:val="auto"/>
                <w:kern w:val="0"/>
                <w:sz w:val="24"/>
                <w:highlight w:val="none"/>
                <w:lang w:val="en-US" w:eastAsia="zh-CN"/>
              </w:rPr>
              <w:t>1、与《宁夏回族自治区水安全保障“十四五”规划》的符合性</w:t>
            </w:r>
          </w:p>
          <w:p>
            <w:pPr>
              <w:adjustRightInd w:val="0"/>
              <w:snapToGrid w:val="0"/>
              <w:spacing w:line="360" w:lineRule="auto"/>
              <w:ind w:firstLine="480" w:firstLineChars="200"/>
              <w:jc w:val="left"/>
              <w:rPr>
                <w:rFonts w:hint="default"/>
                <w:color w:val="auto"/>
                <w:kern w:val="0"/>
                <w:sz w:val="24"/>
                <w:szCs w:val="24"/>
                <w:highlight w:val="none"/>
                <w:lang w:val="en-US" w:eastAsia="zh-CN"/>
              </w:rPr>
            </w:pPr>
            <w:r>
              <w:rPr>
                <w:rFonts w:hint="eastAsia"/>
                <w:color w:val="auto"/>
                <w:kern w:val="0"/>
                <w:sz w:val="24"/>
                <w:highlight w:val="none"/>
                <w:lang w:val="en-US" w:eastAsia="zh-CN"/>
              </w:rPr>
              <w:t>《宁夏回族自治区</w:t>
            </w:r>
            <w:r>
              <w:rPr>
                <w:color w:val="auto"/>
                <w:kern w:val="0"/>
                <w:sz w:val="24"/>
                <w:szCs w:val="24"/>
                <w:highlight w:val="none"/>
                <w:lang w:val="en-US" w:eastAsia="zh-CN"/>
              </w:rPr>
              <w:t>水安全保障</w:t>
            </w:r>
            <w:r>
              <w:rPr>
                <w:rFonts w:hint="eastAsia"/>
                <w:color w:val="auto"/>
                <w:kern w:val="0"/>
                <w:sz w:val="24"/>
                <w:szCs w:val="24"/>
                <w:highlight w:val="none"/>
                <w:lang w:val="en-US" w:eastAsia="zh-CN"/>
              </w:rPr>
              <w:t>“</w:t>
            </w:r>
            <w:r>
              <w:rPr>
                <w:color w:val="auto"/>
                <w:kern w:val="0"/>
                <w:sz w:val="24"/>
                <w:szCs w:val="24"/>
                <w:highlight w:val="none"/>
                <w:lang w:val="en-US" w:eastAsia="zh-CN"/>
              </w:rPr>
              <w:t>十四五</w:t>
            </w:r>
            <w:r>
              <w:rPr>
                <w:rFonts w:hint="eastAsia"/>
                <w:color w:val="auto"/>
                <w:kern w:val="0"/>
                <w:sz w:val="24"/>
                <w:szCs w:val="24"/>
                <w:highlight w:val="none"/>
                <w:lang w:val="en-US" w:eastAsia="zh-CN"/>
              </w:rPr>
              <w:t>”</w:t>
            </w:r>
            <w:r>
              <w:rPr>
                <w:color w:val="auto"/>
                <w:kern w:val="0"/>
                <w:sz w:val="24"/>
                <w:szCs w:val="24"/>
                <w:highlight w:val="none"/>
                <w:lang w:val="en-US" w:eastAsia="zh-CN"/>
              </w:rPr>
              <w:t>规划</w:t>
            </w:r>
            <w:r>
              <w:rPr>
                <w:rFonts w:hint="eastAsia"/>
                <w:color w:val="auto"/>
                <w:kern w:val="0"/>
                <w:sz w:val="24"/>
                <w:szCs w:val="24"/>
                <w:highlight w:val="none"/>
                <w:lang w:val="en-US" w:eastAsia="zh-CN"/>
              </w:rPr>
              <w:t>》</w:t>
            </w:r>
            <w:r>
              <w:rPr>
                <w:color w:val="auto"/>
                <w:kern w:val="0"/>
                <w:sz w:val="24"/>
                <w:szCs w:val="24"/>
                <w:highlight w:val="none"/>
                <w:lang w:val="en-US" w:eastAsia="zh-CN"/>
              </w:rPr>
              <w:t>中规划建设七方面主要内容，其中</w:t>
            </w:r>
            <w:r>
              <w:rPr>
                <w:rFonts w:hint="default"/>
                <w:color w:val="auto"/>
                <w:kern w:val="0"/>
                <w:sz w:val="24"/>
                <w:szCs w:val="24"/>
                <w:highlight w:val="none"/>
                <w:lang w:val="en-US" w:eastAsia="zh-CN"/>
              </w:rPr>
              <w:t>强化水生态环境治理保护中提出</w:t>
            </w:r>
            <w:r>
              <w:rPr>
                <w:rFonts w:hint="eastAsia"/>
                <w:color w:val="auto"/>
                <w:kern w:val="0"/>
                <w:sz w:val="24"/>
                <w:szCs w:val="24"/>
                <w:highlight w:val="none"/>
                <w:lang w:val="en-US" w:eastAsia="zh-CN"/>
              </w:rPr>
              <w:t>，牢固树立“山水林田湖草沙是一个生命共同体”的理念，坚持综合治理、系统治理、源头治理，统筹水量、水质、水域岸线空间，形成“一河三山”生态保护格局，努力实现河道不断流、湖泊不干涸、水土不流失，为建设生态保护修复示范区、环境污染治理率先区奠定水生态环境基础。水生态保护及修复工程建设任务提出，实施小流域综合治理、淤地坝建设、坡耕地水土流失综合整治等工程，小流域综合治理120项，新建淤地坝43座，除险加固病险淤地坝29座，新增旱作梯田32万亩，新增水土流失治理面积4000平方公里。</w:t>
            </w:r>
          </w:p>
          <w:p>
            <w:pPr>
              <w:adjustRightInd w:val="0"/>
              <w:snapToGrid w:val="0"/>
              <w:spacing w:line="360" w:lineRule="auto"/>
              <w:ind w:firstLine="480" w:firstLineChars="200"/>
              <w:jc w:val="left"/>
              <w:rPr>
                <w:rFonts w:hint="default"/>
                <w:color w:val="auto"/>
                <w:kern w:val="0"/>
                <w:sz w:val="24"/>
                <w:szCs w:val="24"/>
                <w:highlight w:val="none"/>
                <w:lang w:val="en-US" w:eastAsia="zh-CN"/>
              </w:rPr>
            </w:pPr>
            <w:r>
              <w:rPr>
                <w:rFonts w:hint="eastAsia"/>
                <w:color w:val="auto"/>
                <w:kern w:val="0"/>
                <w:sz w:val="24"/>
                <w:szCs w:val="24"/>
                <w:highlight w:val="none"/>
                <w:lang w:val="en-US" w:eastAsia="zh-CN"/>
              </w:rPr>
              <w:t>本项目为淤地坝工程，符合</w:t>
            </w:r>
            <w:r>
              <w:rPr>
                <w:rFonts w:hint="eastAsia"/>
                <w:color w:val="auto"/>
                <w:kern w:val="0"/>
                <w:sz w:val="24"/>
                <w:highlight w:val="none"/>
                <w:lang w:val="en-US" w:eastAsia="zh-CN"/>
              </w:rPr>
              <w:t>《宁夏回族自治区</w:t>
            </w:r>
            <w:r>
              <w:rPr>
                <w:color w:val="auto"/>
                <w:kern w:val="0"/>
                <w:sz w:val="24"/>
                <w:szCs w:val="24"/>
                <w:highlight w:val="none"/>
                <w:lang w:val="en-US" w:eastAsia="zh-CN"/>
              </w:rPr>
              <w:t>水安全保障</w:t>
            </w:r>
            <w:r>
              <w:rPr>
                <w:rFonts w:hint="eastAsia"/>
                <w:color w:val="auto"/>
                <w:kern w:val="0"/>
                <w:sz w:val="24"/>
                <w:szCs w:val="24"/>
                <w:highlight w:val="none"/>
                <w:lang w:val="en-US" w:eastAsia="zh-CN"/>
              </w:rPr>
              <w:t>“</w:t>
            </w:r>
            <w:r>
              <w:rPr>
                <w:color w:val="auto"/>
                <w:kern w:val="0"/>
                <w:sz w:val="24"/>
                <w:szCs w:val="24"/>
                <w:highlight w:val="none"/>
                <w:lang w:val="en-US" w:eastAsia="zh-CN"/>
              </w:rPr>
              <w:t>十四五</w:t>
            </w:r>
            <w:r>
              <w:rPr>
                <w:rFonts w:hint="eastAsia"/>
                <w:color w:val="auto"/>
                <w:kern w:val="0"/>
                <w:sz w:val="24"/>
                <w:szCs w:val="24"/>
                <w:highlight w:val="none"/>
                <w:lang w:val="en-US" w:eastAsia="zh-CN"/>
              </w:rPr>
              <w:t>”</w:t>
            </w:r>
            <w:r>
              <w:rPr>
                <w:color w:val="auto"/>
                <w:kern w:val="0"/>
                <w:sz w:val="24"/>
                <w:szCs w:val="24"/>
                <w:highlight w:val="none"/>
                <w:lang w:val="en-US" w:eastAsia="zh-CN"/>
              </w:rPr>
              <w:t>规划</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要求。</w:t>
            </w:r>
          </w:p>
          <w:p>
            <w:pPr>
              <w:adjustRightInd w:val="0"/>
              <w:snapToGrid w:val="0"/>
              <w:spacing w:line="360" w:lineRule="auto"/>
              <w:jc w:val="left"/>
              <w:rPr>
                <w:rFonts w:hint="default"/>
                <w:b/>
                <w:bCs/>
                <w:color w:val="auto"/>
                <w:sz w:val="24"/>
                <w:szCs w:val="24"/>
                <w:highlight w:val="none"/>
                <w:lang w:val="en-US" w:eastAsia="zh-CN"/>
              </w:rPr>
            </w:pPr>
            <w:r>
              <w:rPr>
                <w:rFonts w:hint="eastAsia"/>
                <w:b/>
                <w:bCs/>
                <w:color w:val="auto"/>
                <w:sz w:val="24"/>
                <w:szCs w:val="24"/>
                <w:highlight w:val="none"/>
                <w:lang w:val="en-US" w:eastAsia="zh-CN"/>
              </w:rPr>
              <w:t>2、</w:t>
            </w:r>
            <w:r>
              <w:rPr>
                <w:rFonts w:hint="default"/>
                <w:b/>
                <w:bCs/>
                <w:color w:val="auto"/>
                <w:sz w:val="24"/>
                <w:szCs w:val="24"/>
                <w:highlight w:val="none"/>
                <w:lang w:val="en-US" w:eastAsia="zh-CN"/>
              </w:rPr>
              <w:t>与</w:t>
            </w:r>
            <w:r>
              <w:rPr>
                <w:rFonts w:hint="eastAsia"/>
                <w:b/>
                <w:bCs/>
                <w:color w:val="auto"/>
                <w:kern w:val="0"/>
                <w:sz w:val="24"/>
                <w:highlight w:val="none"/>
                <w:lang w:val="en-US" w:eastAsia="zh-CN"/>
              </w:rPr>
              <w:t>《宁夏回族自治区</w:t>
            </w:r>
            <w:r>
              <w:rPr>
                <w:b/>
                <w:bCs/>
                <w:color w:val="auto"/>
                <w:kern w:val="0"/>
                <w:sz w:val="24"/>
                <w:szCs w:val="24"/>
                <w:highlight w:val="none"/>
                <w:lang w:val="en-US" w:eastAsia="zh-CN"/>
              </w:rPr>
              <w:t>水安全保障</w:t>
            </w:r>
            <w:r>
              <w:rPr>
                <w:rFonts w:hint="eastAsia"/>
                <w:b/>
                <w:bCs/>
                <w:color w:val="auto"/>
                <w:kern w:val="0"/>
                <w:sz w:val="24"/>
                <w:szCs w:val="24"/>
                <w:highlight w:val="none"/>
                <w:lang w:val="en-US" w:eastAsia="zh-CN"/>
              </w:rPr>
              <w:t>“</w:t>
            </w:r>
            <w:r>
              <w:rPr>
                <w:b/>
                <w:bCs/>
                <w:color w:val="auto"/>
                <w:kern w:val="0"/>
                <w:sz w:val="24"/>
                <w:szCs w:val="24"/>
                <w:highlight w:val="none"/>
                <w:lang w:val="en-US" w:eastAsia="zh-CN"/>
              </w:rPr>
              <w:t>十四五</w:t>
            </w:r>
            <w:r>
              <w:rPr>
                <w:rFonts w:hint="eastAsia"/>
                <w:b/>
                <w:bCs/>
                <w:color w:val="auto"/>
                <w:kern w:val="0"/>
                <w:sz w:val="24"/>
                <w:szCs w:val="24"/>
                <w:highlight w:val="none"/>
                <w:lang w:val="en-US" w:eastAsia="zh-CN"/>
              </w:rPr>
              <w:t>”</w:t>
            </w:r>
            <w:r>
              <w:rPr>
                <w:b/>
                <w:bCs/>
                <w:color w:val="auto"/>
                <w:kern w:val="0"/>
                <w:sz w:val="24"/>
                <w:szCs w:val="24"/>
                <w:highlight w:val="none"/>
                <w:lang w:val="en-US" w:eastAsia="zh-CN"/>
              </w:rPr>
              <w:t>规划</w:t>
            </w:r>
            <w:r>
              <w:rPr>
                <w:rFonts w:hint="default"/>
                <w:b/>
                <w:bCs/>
                <w:color w:val="auto"/>
                <w:sz w:val="24"/>
                <w:szCs w:val="24"/>
                <w:highlight w:val="none"/>
                <w:lang w:val="en-US" w:eastAsia="zh-CN"/>
              </w:rPr>
              <w:t>环境影响报告书</w:t>
            </w:r>
            <w:r>
              <w:rPr>
                <w:rFonts w:hint="eastAsia"/>
                <w:b/>
                <w:bCs/>
                <w:color w:val="auto"/>
                <w:kern w:val="0"/>
                <w:sz w:val="24"/>
                <w:szCs w:val="24"/>
                <w:highlight w:val="none"/>
                <w:lang w:val="en-US" w:eastAsia="zh-CN"/>
              </w:rPr>
              <w:t>》</w:t>
            </w:r>
            <w:r>
              <w:rPr>
                <w:rFonts w:hint="default"/>
                <w:b/>
                <w:bCs/>
                <w:color w:val="auto"/>
                <w:sz w:val="24"/>
                <w:szCs w:val="24"/>
                <w:highlight w:val="none"/>
                <w:lang w:val="en-US" w:eastAsia="zh-CN"/>
              </w:rPr>
              <w:t xml:space="preserve">的符合性 </w:t>
            </w:r>
          </w:p>
          <w:p>
            <w:pPr>
              <w:adjustRightInd w:val="0"/>
              <w:snapToGrid w:val="0"/>
              <w:spacing w:line="360" w:lineRule="auto"/>
              <w:ind w:firstLine="480" w:firstLineChars="200"/>
              <w:jc w:val="both"/>
              <w:rPr>
                <w:rFonts w:ascii="宋体" w:hAnsi="宋体" w:eastAsia="宋体" w:cs="宋体"/>
                <w:color w:val="auto"/>
                <w:sz w:val="24"/>
                <w:szCs w:val="24"/>
                <w:highlight w:val="none"/>
              </w:rPr>
            </w:pPr>
            <w:r>
              <w:rPr>
                <w:rFonts w:ascii="宋体" w:hAnsi="宋体" w:eastAsia="宋体" w:cs="宋体"/>
                <w:color w:val="auto"/>
                <w:sz w:val="24"/>
                <w:szCs w:val="24"/>
                <w:highlight w:val="none"/>
              </w:rPr>
              <w:t>《宁夏回族自治区水安全保障“十四五”规环境影响报告书》及其审查意见指出，《宁夏回族自治区水安全保障“十四五”规划》符合《全国主休功能区规划》《黄</w:t>
            </w:r>
            <w:r>
              <w:rPr>
                <w:rFonts w:hint="default" w:ascii="Times New Roman" w:hAnsi="Times New Roman" w:eastAsia="宋体" w:cs="Times New Roman"/>
                <w:color w:val="auto"/>
                <w:sz w:val="24"/>
                <w:szCs w:val="24"/>
                <w:highlight w:val="none"/>
              </w:rPr>
              <w:t>河流域综合规划》《宁夏国族自治区国民经济和社会发展第十四个五年规划和2035年远景</w:t>
            </w:r>
            <w:r>
              <w:rPr>
                <w:rFonts w:ascii="宋体" w:hAnsi="宋体" w:eastAsia="宋体" w:cs="宋体"/>
                <w:color w:val="auto"/>
                <w:sz w:val="24"/>
                <w:szCs w:val="24"/>
                <w:highlight w:val="none"/>
              </w:rPr>
              <w:t>目标纲要》等相关规划和自治区“三线一单”管控要求，落实了黄河流点生态保护和高质量发展先行区的建设要求，规划目标设定基本合理，《规划》以“一河三山”生态坐标构建“一带三区”总体水利基础设施布局，统筹专虑了水资源开发与生态环境保护，保障区域供水安全和生态安全，强调水资源节约集约利用，有利于全区水环境质量改善，在协调好规划重点工程与生态保护红线等环境敏感区的前提下，规划布局总体上较为合理。切实开展环境</w:t>
            </w:r>
            <w:r>
              <w:rPr>
                <w:rFonts w:hint="eastAsia" w:ascii="宋体" w:hAnsi="宋体" w:eastAsia="宋体" w:cs="宋体"/>
                <w:color w:val="auto"/>
                <w:sz w:val="24"/>
                <w:szCs w:val="24"/>
                <w:highlight w:val="none"/>
                <w:lang w:eastAsia="zh-CN"/>
              </w:rPr>
              <w:t>影响</w:t>
            </w:r>
            <w:r>
              <w:rPr>
                <w:rFonts w:ascii="宋体" w:hAnsi="宋体" w:eastAsia="宋体" w:cs="宋体"/>
                <w:color w:val="auto"/>
                <w:sz w:val="24"/>
                <w:szCs w:val="24"/>
                <w:highlight w:val="none"/>
              </w:rPr>
              <w:t>跟踪评价与监督管理，可有效顶防和减缓《规划》实施可能带来的不良环境影响，《规划》实施总体可行。</w:t>
            </w:r>
          </w:p>
          <w:p>
            <w:pPr>
              <w:adjustRightInd w:val="0"/>
              <w:snapToGrid w:val="0"/>
              <w:spacing w:line="360" w:lineRule="auto"/>
              <w:ind w:firstLine="480" w:firstLineChars="200"/>
              <w:jc w:val="left"/>
              <w:rPr>
                <w:color w:val="auto"/>
                <w:kern w:val="0"/>
                <w:szCs w:val="21"/>
                <w:highlight w:val="none"/>
              </w:rPr>
            </w:pPr>
            <w:r>
              <w:rPr>
                <w:rFonts w:ascii="宋体" w:hAnsi="宋体" w:eastAsia="宋体" w:cs="宋体"/>
                <w:color w:val="auto"/>
                <w:sz w:val="24"/>
                <w:szCs w:val="24"/>
                <w:highlight w:val="none"/>
              </w:rPr>
              <w:t>本项目为</w:t>
            </w:r>
            <w:r>
              <w:rPr>
                <w:rFonts w:hint="eastAsia"/>
                <w:color w:val="auto"/>
                <w:kern w:val="0"/>
                <w:sz w:val="24"/>
                <w:szCs w:val="24"/>
                <w:highlight w:val="none"/>
                <w:lang w:val="en-US" w:eastAsia="zh-CN"/>
              </w:rPr>
              <w:t>淤地坝</w:t>
            </w:r>
            <w:r>
              <w:rPr>
                <w:rFonts w:hint="eastAsia" w:ascii="宋体" w:hAnsi="宋体" w:eastAsia="宋体" w:cs="宋体"/>
                <w:color w:val="auto"/>
                <w:sz w:val="24"/>
                <w:szCs w:val="24"/>
                <w:highlight w:val="none"/>
              </w:rPr>
              <w:t>工程</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以拦泥防洪为主，兼顾生产交通和生态，可有效减少水土流失</w:t>
            </w:r>
            <w:r>
              <w:rPr>
                <w:rFonts w:ascii="宋体" w:hAnsi="宋体" w:eastAsia="宋体" w:cs="宋体"/>
                <w:color w:val="auto"/>
                <w:sz w:val="24"/>
                <w:szCs w:val="24"/>
                <w:highlight w:val="none"/>
              </w:rPr>
              <w:t>。项目建设施工期通过采取洒水抑尘、设置沉淀池等措施；建设完成后采取土地平整，恢复植被等措施，使得本项目对生态的影响降为最低，符合规划环境影响报告书及批复要求。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431" w:hRule="atLeast"/>
        </w:trPr>
        <w:tc>
          <w:tcPr>
            <w:tcW w:w="994" w:type="dxa"/>
            <w:tcMar>
              <w:top w:w="16" w:type="dxa"/>
              <w:left w:w="16" w:type="dxa"/>
              <w:right w:w="16" w:type="dxa"/>
            </w:tcMar>
            <w:vAlign w:val="center"/>
          </w:tcPr>
          <w:p>
            <w:pPr>
              <w:autoSpaceDE w:val="0"/>
              <w:autoSpaceDN w:val="0"/>
              <w:adjustRightInd w:val="0"/>
              <w:snapToGrid w:val="0"/>
              <w:jc w:val="center"/>
              <w:rPr>
                <w:color w:val="auto"/>
                <w:kern w:val="0"/>
                <w:szCs w:val="21"/>
                <w:highlight w:val="none"/>
              </w:rPr>
            </w:pPr>
            <w:bookmarkStart w:id="3" w:name="_Hlk56690880"/>
            <w:r>
              <w:rPr>
                <w:color w:val="auto"/>
                <w:kern w:val="0"/>
                <w:sz w:val="24"/>
                <w:highlight w:val="none"/>
              </w:rPr>
              <w:t>其他符合性分析</w:t>
            </w:r>
            <w:bookmarkEnd w:id="3"/>
          </w:p>
        </w:tc>
        <w:tc>
          <w:tcPr>
            <w:tcW w:w="8168" w:type="dxa"/>
            <w:gridSpan w:val="5"/>
            <w:tcMar>
              <w:top w:w="16" w:type="dxa"/>
              <w:left w:w="16" w:type="dxa"/>
              <w:right w:w="16" w:type="dxa"/>
            </w:tcMar>
            <w:vAlign w:val="center"/>
          </w:tcPr>
          <w:p>
            <w:pPr>
              <w:autoSpaceDE w:val="0"/>
              <w:autoSpaceDN w:val="0"/>
              <w:spacing w:line="360" w:lineRule="auto"/>
              <w:ind w:firstLine="482" w:firstLineChars="200"/>
              <w:rPr>
                <w:rFonts w:hint="default"/>
                <w:b/>
                <w:color w:val="auto"/>
                <w:sz w:val="24"/>
                <w:highlight w:val="none"/>
                <w:lang w:val="en-US" w:eastAsia="zh-CN"/>
              </w:rPr>
            </w:pPr>
            <w:r>
              <w:rPr>
                <w:rFonts w:hint="eastAsia"/>
                <w:b/>
                <w:color w:val="auto"/>
                <w:sz w:val="24"/>
                <w:highlight w:val="none"/>
                <w:lang w:val="en-US" w:eastAsia="zh-CN"/>
              </w:rPr>
              <w:t>1、与《自然资源部、生态环境部、国家林业和草原局关于加强生态保护红线管理的通知（试行）》（自然资发[2022]142号）的符合性</w:t>
            </w:r>
          </w:p>
          <w:p>
            <w:pPr>
              <w:autoSpaceDE w:val="0"/>
              <w:autoSpaceDN w:val="0"/>
              <w:spacing w:line="360" w:lineRule="auto"/>
              <w:ind w:firstLine="480" w:firstLineChars="200"/>
              <w:rPr>
                <w:rFonts w:hint="eastAsia"/>
                <w:b w:val="0"/>
                <w:bCs/>
                <w:color w:val="auto"/>
                <w:sz w:val="24"/>
                <w:highlight w:val="none"/>
                <w:lang w:val="en-US" w:eastAsia="zh-CN"/>
              </w:rPr>
            </w:pPr>
            <w:r>
              <w:rPr>
                <w:rFonts w:hint="eastAsia"/>
                <w:b w:val="0"/>
                <w:bCs/>
                <w:color w:val="auto"/>
                <w:sz w:val="24"/>
                <w:highlight w:val="none"/>
                <w:lang w:val="en-US" w:eastAsia="zh-CN"/>
              </w:rPr>
              <w:t>自然资源部、生态环境部、国家林业和草原局关于加强生态保护红线管理的通知（试行）》（自然资发[2022]142号）要求，加强人为活动管控，规范管控对生态功能不造成破坏的有限人为活动，加强有限人为活动管理，有序处理历史遗留问题，规范占用生态保护红线用地用海用岛审批，严格生态保护红线监管。</w:t>
            </w:r>
          </w:p>
          <w:p>
            <w:pPr>
              <w:autoSpaceDE w:val="0"/>
              <w:autoSpaceDN w:val="0"/>
              <w:spacing w:line="360" w:lineRule="auto"/>
              <w:ind w:firstLine="480" w:firstLineChars="200"/>
              <w:rPr>
                <w:rFonts w:hint="eastAsia"/>
                <w:b w:val="0"/>
                <w:bCs/>
                <w:color w:val="auto"/>
                <w:sz w:val="24"/>
                <w:highlight w:val="none"/>
                <w:lang w:val="en-US" w:eastAsia="zh-CN"/>
              </w:rPr>
            </w:pPr>
            <w:r>
              <w:rPr>
                <w:rFonts w:hint="eastAsia"/>
                <w:b w:val="0"/>
                <w:bCs/>
                <w:color w:val="auto"/>
                <w:sz w:val="24"/>
                <w:highlight w:val="none"/>
                <w:lang w:val="en-US" w:eastAsia="zh-CN"/>
              </w:rPr>
              <w:t>本项目永久占地、临时占地均不涉及生态保护红线，符合《自然资源部、生态环境部、国家林业和草原局关于加强生态保护红线管理的通知（试行）》要求。</w:t>
            </w:r>
          </w:p>
          <w:p>
            <w:pPr>
              <w:autoSpaceDE w:val="0"/>
              <w:autoSpaceDN w:val="0"/>
              <w:spacing w:line="360" w:lineRule="auto"/>
              <w:ind w:firstLine="482" w:firstLineChars="200"/>
              <w:rPr>
                <w:rFonts w:hint="eastAsia"/>
                <w:b/>
                <w:color w:val="auto"/>
                <w:sz w:val="24"/>
                <w:highlight w:val="none"/>
                <w:lang w:val="en-US" w:eastAsia="zh-CN"/>
              </w:rPr>
            </w:pPr>
            <w:r>
              <w:rPr>
                <w:rFonts w:hint="eastAsia"/>
                <w:b/>
                <w:color w:val="auto"/>
                <w:sz w:val="24"/>
                <w:highlight w:val="none"/>
                <w:lang w:val="en-US" w:eastAsia="zh-CN"/>
              </w:rPr>
              <w:t>2、与《宁夏回族自治区生态保护红线管理条例》的符合性</w:t>
            </w:r>
          </w:p>
          <w:p>
            <w:pPr>
              <w:autoSpaceDE w:val="0"/>
              <w:autoSpaceDN w:val="0"/>
              <w:spacing w:line="360" w:lineRule="auto"/>
              <w:ind w:firstLine="480" w:firstLineChars="200"/>
              <w:rPr>
                <w:rFonts w:ascii="Arial" w:hAnsi="Arial" w:eastAsia="宋体" w:cs="Arial"/>
                <w:i w:val="0"/>
                <w:iCs w:val="0"/>
                <w:caps w:val="0"/>
                <w:color w:val="auto"/>
                <w:spacing w:val="0"/>
                <w:sz w:val="24"/>
                <w:szCs w:val="24"/>
                <w:highlight w:val="none"/>
                <w:shd w:val="clear" w:fill="FFFFFF"/>
              </w:rPr>
            </w:pPr>
            <w:r>
              <w:rPr>
                <w:rFonts w:hint="default" w:eastAsia="宋体"/>
                <w:b w:val="0"/>
                <w:bCs/>
                <w:color w:val="auto"/>
                <w:sz w:val="24"/>
                <w:highlight w:val="none"/>
                <w:lang w:val="en-US" w:eastAsia="zh-CN"/>
              </w:rPr>
              <w:t>《宁夏回族自治区生态保护红线管理条例》</w:t>
            </w:r>
            <w:r>
              <w:rPr>
                <w:rFonts w:hint="eastAsia"/>
                <w:b w:val="0"/>
                <w:bCs/>
                <w:color w:val="auto"/>
                <w:sz w:val="24"/>
                <w:highlight w:val="none"/>
                <w:lang w:val="en-US" w:eastAsia="zh-CN"/>
              </w:rPr>
              <w:t>规定，</w:t>
            </w:r>
            <w:r>
              <w:rPr>
                <w:rFonts w:ascii="Arial" w:hAnsi="Arial" w:eastAsia="宋体" w:cs="Arial"/>
                <w:i w:val="0"/>
                <w:iCs w:val="0"/>
                <w:caps w:val="0"/>
                <w:color w:val="auto"/>
                <w:spacing w:val="0"/>
                <w:sz w:val="24"/>
                <w:szCs w:val="24"/>
                <w:highlight w:val="none"/>
                <w:shd w:val="clear" w:fill="FFFFFF"/>
              </w:rPr>
              <w:t>任何单位和个人都有保护生态保护红线的义务，有权对破坏、侵占生态保护红线的行为进行投诉、举报；接到投诉、举报的部门应当及时受理，依法查处。生态保护红线原则上按照禁止开发区域的要求进行管理，禁止不符合主体功能定位的各类开发建设活动。符合生态保护红线准入清单的开发活动可以依法进行；不符合生态保护红线准入清单的开发活动应当退出；违反本条例规定，在生态保护红线内从事不符合生态保护红线准入清单的开发活动，或者破坏、侵占生态保护红线的，法律、法规已有处罚规定的，从其规定；法律、法规未作规定的，由县级以上人民政府生态环境主管部门责令停止违法行为、限期恢复原状或者采取其他补救措施，并处五百元以上五千元以下罚款；情节严重的，并处五千元以上五万元以下罚款；情节特别严重的，并处五万元以上五十万元以下罚款。造成损失的，依法承担赔偿责任。</w:t>
            </w:r>
          </w:p>
          <w:p>
            <w:pPr>
              <w:autoSpaceDE w:val="0"/>
              <w:autoSpaceDN w:val="0"/>
              <w:spacing w:line="360" w:lineRule="auto"/>
              <w:ind w:firstLine="480" w:firstLineChars="200"/>
              <w:rPr>
                <w:rFonts w:hint="eastAsia" w:ascii="Arial" w:hAnsi="Arial" w:cs="Arial"/>
                <w:i w:val="0"/>
                <w:iCs w:val="0"/>
                <w:caps w:val="0"/>
                <w:color w:val="auto"/>
                <w:spacing w:val="0"/>
                <w:sz w:val="24"/>
                <w:szCs w:val="24"/>
                <w:highlight w:val="none"/>
                <w:shd w:val="clear" w:fill="FFFFFF"/>
                <w:lang w:val="en-US" w:eastAsia="zh-CN"/>
              </w:rPr>
            </w:pPr>
            <w:r>
              <w:rPr>
                <w:rFonts w:hint="default" w:ascii="Arial" w:hAnsi="Arial" w:eastAsia="宋体" w:cs="Arial"/>
                <w:i w:val="0"/>
                <w:iCs w:val="0"/>
                <w:caps w:val="0"/>
                <w:color w:val="auto"/>
                <w:spacing w:val="0"/>
                <w:sz w:val="24"/>
                <w:szCs w:val="24"/>
                <w:highlight w:val="none"/>
                <w:shd w:val="clear" w:fill="FFFFFF"/>
                <w:lang w:val="en-US" w:eastAsia="zh-CN"/>
              </w:rPr>
              <w:t>宁夏回族自治区生态保护红线包括生物多样性维护、水源涵养、防风固沙、水土流失、水土保持</w:t>
            </w:r>
            <w:r>
              <w:rPr>
                <w:rFonts w:hint="default" w:ascii="Times New Roman" w:hAnsi="Times New Roman" w:eastAsia="宋体" w:cs="Times New Roman"/>
                <w:i w:val="0"/>
                <w:iCs w:val="0"/>
                <w:caps w:val="0"/>
                <w:color w:val="auto"/>
                <w:spacing w:val="0"/>
                <w:sz w:val="24"/>
                <w:szCs w:val="24"/>
                <w:highlight w:val="none"/>
                <w:shd w:val="clear" w:fill="FFFFFF"/>
                <w:lang w:val="en-US" w:eastAsia="zh-CN"/>
              </w:rPr>
              <w:t>5种生态功能类型，呈现9个片区分</w:t>
            </w:r>
            <w:r>
              <w:rPr>
                <w:rFonts w:hint="default" w:ascii="Arial" w:hAnsi="Arial" w:eastAsia="宋体" w:cs="Arial"/>
                <w:i w:val="0"/>
                <w:iCs w:val="0"/>
                <w:caps w:val="0"/>
                <w:color w:val="auto"/>
                <w:spacing w:val="0"/>
                <w:sz w:val="24"/>
                <w:szCs w:val="24"/>
                <w:highlight w:val="none"/>
                <w:shd w:val="clear" w:fill="FFFFFF"/>
                <w:lang w:val="en-US" w:eastAsia="zh-CN"/>
              </w:rPr>
              <w:t>布</w:t>
            </w:r>
            <w:r>
              <w:rPr>
                <w:rFonts w:hint="eastAsia" w:ascii="Arial" w:hAnsi="Arial" w:cs="Arial"/>
                <w:i w:val="0"/>
                <w:iCs w:val="0"/>
                <w:caps w:val="0"/>
                <w:color w:val="auto"/>
                <w:spacing w:val="0"/>
                <w:sz w:val="24"/>
                <w:szCs w:val="24"/>
                <w:highlight w:val="none"/>
                <w:shd w:val="clear" w:fill="FFFFFF"/>
                <w:lang w:val="en-US" w:eastAsia="zh-CN"/>
              </w:rPr>
              <w:t>，根据宁夏回族自治区生态保护红线分布示意图，本工程不在生态保护红线范围内，符合生态保护红线要求。</w:t>
            </w:r>
          </w:p>
          <w:p>
            <w:pPr>
              <w:autoSpaceDE w:val="0"/>
              <w:autoSpaceDN w:val="0"/>
              <w:spacing w:line="360" w:lineRule="auto"/>
              <w:ind w:firstLine="482" w:firstLineChars="200"/>
              <w:rPr>
                <w:b/>
                <w:color w:val="auto"/>
                <w:sz w:val="24"/>
                <w:highlight w:val="none"/>
              </w:rPr>
            </w:pPr>
            <w:r>
              <w:rPr>
                <w:rFonts w:hint="eastAsia"/>
                <w:b/>
                <w:color w:val="auto"/>
                <w:sz w:val="24"/>
                <w:highlight w:val="none"/>
                <w:lang w:val="en-US" w:eastAsia="zh-CN"/>
              </w:rPr>
              <w:t>3</w:t>
            </w:r>
            <w:r>
              <w:rPr>
                <w:b/>
                <w:color w:val="auto"/>
                <w:sz w:val="24"/>
                <w:highlight w:val="none"/>
              </w:rPr>
              <w:t>、“三线一单”符合性分析</w:t>
            </w:r>
          </w:p>
          <w:p>
            <w:pPr>
              <w:autoSpaceDE w:val="0"/>
              <w:autoSpaceDN w:val="0"/>
              <w:spacing w:line="360" w:lineRule="auto"/>
              <w:ind w:firstLine="480" w:firstLineChars="200"/>
              <w:rPr>
                <w:bCs/>
                <w:color w:val="auto"/>
                <w:sz w:val="24"/>
                <w:highlight w:val="none"/>
              </w:rPr>
            </w:pPr>
            <w:r>
              <w:rPr>
                <w:bCs/>
                <w:color w:val="auto"/>
                <w:sz w:val="24"/>
                <w:highlight w:val="none"/>
              </w:rPr>
              <w:t>根据环保部发布的《关于以改善环境质量为核心加强环境影响评价管理的通 知》（环环评[2016]150号）要求：切实加强环境影响评价管理，落实“生态保护红线、环境质量底线、资源利用上线和环境准入负面清单”约束，建立项目环评审批与规划环评、现有项目环境管理、区域环境质量联动机制，更好地发挥环评制度从源头防范环境污染和生态破坏的作用，加快推进改善环境质量。</w:t>
            </w:r>
          </w:p>
          <w:p>
            <w:pPr>
              <w:autoSpaceDE w:val="0"/>
              <w:autoSpaceDN w:val="0"/>
              <w:spacing w:line="360" w:lineRule="auto"/>
              <w:ind w:firstLine="480" w:firstLineChars="200"/>
              <w:rPr>
                <w:bCs/>
                <w:color w:val="auto"/>
                <w:sz w:val="24"/>
                <w:highlight w:val="none"/>
              </w:rPr>
            </w:pPr>
            <w:r>
              <w:rPr>
                <w:bCs/>
                <w:color w:val="auto"/>
                <w:sz w:val="24"/>
                <w:highlight w:val="none"/>
              </w:rPr>
              <w:t xml:space="preserve">（1）生态保护红线 </w:t>
            </w:r>
          </w:p>
          <w:p>
            <w:pPr>
              <w:pStyle w:val="57"/>
              <w:ind w:firstLine="480" w:firstLineChars="200"/>
              <w:rPr>
                <w:rFonts w:ascii="Times New Roman" w:hAnsi="Times New Roman"/>
                <w:bCs/>
                <w:color w:val="auto"/>
                <w:highlight w:val="none"/>
              </w:rPr>
            </w:pPr>
            <w:r>
              <w:rPr>
                <w:rFonts w:hint="eastAsia" w:ascii="Times New Roman" w:hAnsi="Times New Roman"/>
                <w:bCs/>
                <w:color w:val="auto"/>
                <w:highlight w:val="none"/>
              </w:rPr>
              <w:t>根据2021年7月吴忠市人民政府下发的《吴忠市人民政府关于实施“三线一单”生态环境分区管控的意见》（吴政规发[2021]2号），</w:t>
            </w:r>
            <w:r>
              <w:rPr>
                <w:rFonts w:ascii="Times New Roman" w:hAnsi="Times New Roman"/>
                <w:bCs/>
                <w:color w:val="auto"/>
                <w:highlight w:val="none"/>
              </w:rPr>
              <w:t>对照</w:t>
            </w:r>
            <w:r>
              <w:rPr>
                <w:rFonts w:hint="eastAsia" w:ascii="Times New Roman" w:hAnsi="Times New Roman"/>
                <w:bCs/>
                <w:color w:val="auto"/>
                <w:highlight w:val="none"/>
              </w:rPr>
              <w:t>吴忠市</w:t>
            </w:r>
            <w:r>
              <w:rPr>
                <w:rFonts w:ascii="Times New Roman" w:hAnsi="Times New Roman"/>
                <w:bCs/>
                <w:color w:val="auto"/>
                <w:highlight w:val="none"/>
              </w:rPr>
              <w:t>生态保护红线分布图，本项目不在划定的生态保护红线范围之内，具体见</w:t>
            </w:r>
            <w:r>
              <w:rPr>
                <w:rFonts w:hint="eastAsia" w:ascii="Times New Roman" w:hAnsi="Times New Roman"/>
                <w:bCs/>
                <w:color w:val="auto"/>
                <w:highlight w:val="none"/>
              </w:rPr>
              <w:t>附图</w:t>
            </w:r>
            <w:r>
              <w:rPr>
                <w:rFonts w:ascii="Times New Roman" w:hAnsi="Times New Roman"/>
                <w:bCs/>
                <w:color w:val="auto"/>
                <w:highlight w:val="none"/>
              </w:rPr>
              <w:t>1。因此，本项目的建设与生态保护红线相协调。</w:t>
            </w:r>
          </w:p>
          <w:p>
            <w:pPr>
              <w:autoSpaceDE w:val="0"/>
              <w:autoSpaceDN w:val="0"/>
              <w:spacing w:line="360" w:lineRule="auto"/>
              <w:ind w:firstLine="480" w:firstLineChars="200"/>
              <w:rPr>
                <w:bCs/>
                <w:color w:val="auto"/>
                <w:sz w:val="24"/>
                <w:highlight w:val="none"/>
              </w:rPr>
            </w:pPr>
            <w:r>
              <w:rPr>
                <w:bCs/>
                <w:color w:val="auto"/>
                <w:sz w:val="24"/>
                <w:highlight w:val="none"/>
              </w:rPr>
              <w:t>（2）环境质量底线</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本项目位于吴忠市同心县</w:t>
            </w:r>
            <w:r>
              <w:rPr>
                <w:rFonts w:hint="eastAsia"/>
                <w:bCs/>
                <w:color w:val="auto"/>
                <w:sz w:val="24"/>
                <w:highlight w:val="none"/>
                <w:lang w:eastAsia="zh-CN"/>
              </w:rPr>
              <w:t>河西</w:t>
            </w:r>
            <w:r>
              <w:rPr>
                <w:rFonts w:hint="eastAsia"/>
                <w:bCs/>
                <w:color w:val="auto"/>
                <w:sz w:val="24"/>
                <w:highlight w:val="none"/>
              </w:rPr>
              <w:t>镇境内，本次引用宁夏回族自治区生态环境厅公开发布的《2020年宁夏生态环境质量状况》中同心县环境空气污染物监测资料进行评价。</w:t>
            </w:r>
            <w:r>
              <w:rPr>
                <w:rFonts w:hint="eastAsia"/>
                <w:color w:val="auto"/>
                <w:kern w:val="0"/>
                <w:sz w:val="24"/>
                <w:highlight w:val="none"/>
              </w:rPr>
              <w:t>扣除沙尘天气后，2020年</w:t>
            </w:r>
            <w:r>
              <w:rPr>
                <w:rFonts w:hint="eastAsia" w:ascii="宋体" w:hAnsi="宋体" w:cs="宋体"/>
                <w:color w:val="auto"/>
                <w:sz w:val="24"/>
                <w:highlight w:val="none"/>
              </w:rPr>
              <w:t>同心县</w:t>
            </w:r>
            <w:r>
              <w:rPr>
                <w:rFonts w:hint="eastAsia"/>
                <w:color w:val="auto"/>
                <w:kern w:val="0"/>
                <w:sz w:val="24"/>
                <w:highlight w:val="none"/>
              </w:rPr>
              <w:t>各项基本因子均满足</w:t>
            </w:r>
            <w:r>
              <w:rPr>
                <w:rFonts w:hint="eastAsia"/>
                <w:color w:val="auto"/>
                <w:sz w:val="24"/>
                <w:highlight w:val="none"/>
              </w:rPr>
              <w:t>《环境空气质量标准》（GB3095-2012）及修改单中二级标准要求</w:t>
            </w:r>
            <w:r>
              <w:rPr>
                <w:rFonts w:hint="eastAsia"/>
                <w:color w:val="auto"/>
                <w:kern w:val="0"/>
                <w:sz w:val="24"/>
                <w:highlight w:val="none"/>
              </w:rPr>
              <w:t>，</w:t>
            </w:r>
            <w:r>
              <w:rPr>
                <w:rFonts w:ascii="宋体" w:hAnsi="宋体" w:cs="宋体"/>
                <w:color w:val="auto"/>
                <w:sz w:val="24"/>
                <w:highlight w:val="none"/>
              </w:rPr>
              <w:t>按照《环境影响评价技术导则</w:t>
            </w:r>
            <w:r>
              <w:rPr>
                <w:rFonts w:hint="eastAsia" w:ascii="宋体" w:hAnsi="宋体" w:cs="宋体"/>
                <w:color w:val="auto"/>
                <w:sz w:val="24"/>
                <w:highlight w:val="none"/>
              </w:rPr>
              <w:t xml:space="preserve"> </w:t>
            </w:r>
            <w:r>
              <w:rPr>
                <w:rFonts w:ascii="宋体" w:hAnsi="宋体" w:cs="宋体"/>
                <w:color w:val="auto"/>
                <w:sz w:val="24"/>
                <w:highlight w:val="none"/>
              </w:rPr>
              <w:t>大气环</w:t>
            </w:r>
            <w:r>
              <w:rPr>
                <w:rFonts w:hint="eastAsia"/>
                <w:color w:val="auto"/>
                <w:sz w:val="24"/>
                <w:highlight w:val="none"/>
              </w:rPr>
              <w:t>境》（HJ2.2-2018）判定</w:t>
            </w:r>
            <w:r>
              <w:rPr>
                <w:rFonts w:ascii="宋体" w:hAnsi="宋体" w:cs="宋体"/>
                <w:color w:val="auto"/>
                <w:sz w:val="24"/>
                <w:highlight w:val="none"/>
              </w:rPr>
              <w:t>，</w:t>
            </w:r>
            <w:r>
              <w:rPr>
                <w:rFonts w:hint="eastAsia" w:ascii="宋体" w:hAnsi="宋体" w:cs="宋体"/>
                <w:color w:val="auto"/>
                <w:sz w:val="24"/>
                <w:highlight w:val="none"/>
              </w:rPr>
              <w:t>项目所在区</w:t>
            </w:r>
            <w:r>
              <w:rPr>
                <w:rFonts w:hint="eastAsia"/>
                <w:color w:val="auto"/>
                <w:kern w:val="0"/>
                <w:sz w:val="24"/>
                <w:highlight w:val="none"/>
              </w:rPr>
              <w:t>属于达标区。</w:t>
            </w: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②地表水环境</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本项目所在区域地表水体为</w:t>
            </w:r>
            <w:r>
              <w:rPr>
                <w:rFonts w:hint="eastAsia"/>
                <w:bCs/>
                <w:color w:val="auto"/>
                <w:sz w:val="24"/>
                <w:highlight w:val="none"/>
                <w:lang w:eastAsia="zh-CN"/>
              </w:rPr>
              <w:t>清水河</w:t>
            </w:r>
            <w:r>
              <w:rPr>
                <w:rFonts w:hint="eastAsia"/>
                <w:bCs/>
                <w:color w:val="auto"/>
                <w:sz w:val="24"/>
                <w:highlight w:val="none"/>
              </w:rPr>
              <w:t>，</w:t>
            </w:r>
            <w:r>
              <w:rPr>
                <w:color w:val="auto"/>
                <w:sz w:val="24"/>
                <w:highlight w:val="none"/>
              </w:rPr>
              <w:t>2019年</w:t>
            </w:r>
            <w:r>
              <w:rPr>
                <w:rFonts w:hint="eastAsia"/>
                <w:b w:val="0"/>
                <w:bCs/>
                <w:color w:val="auto"/>
                <w:sz w:val="24"/>
                <w:highlight w:val="none"/>
                <w:lang w:eastAsia="zh-CN"/>
              </w:rPr>
              <w:t>清水河石炭沟</w:t>
            </w:r>
            <w:r>
              <w:rPr>
                <w:rFonts w:hint="eastAsia"/>
                <w:b w:val="0"/>
                <w:bCs/>
                <w:color w:val="auto"/>
                <w:sz w:val="24"/>
                <w:highlight w:val="none"/>
              </w:rPr>
              <w:t>断面影响水质类别的主要指标为</w:t>
            </w:r>
            <w:r>
              <w:rPr>
                <w:rFonts w:hint="eastAsia"/>
                <w:b w:val="0"/>
                <w:bCs/>
                <w:color w:val="auto"/>
                <w:sz w:val="24"/>
                <w:highlight w:val="none"/>
                <w:lang w:eastAsia="zh-CN"/>
              </w:rPr>
              <w:t>总氮、总磷、</w:t>
            </w:r>
            <w:r>
              <w:rPr>
                <w:rFonts w:hint="eastAsia"/>
                <w:b w:val="0"/>
                <w:bCs/>
                <w:color w:val="auto"/>
                <w:sz w:val="24"/>
                <w:highlight w:val="none"/>
              </w:rPr>
              <w:t>氟化物，</w:t>
            </w:r>
            <w:r>
              <w:rPr>
                <w:rFonts w:hint="eastAsia"/>
                <w:b w:val="0"/>
                <w:bCs/>
                <w:color w:val="auto"/>
                <w:sz w:val="24"/>
                <w:highlight w:val="none"/>
                <w:lang w:eastAsia="zh-CN"/>
              </w:rPr>
              <w:t>最大</w:t>
            </w:r>
            <w:r>
              <w:rPr>
                <w:rFonts w:hint="eastAsia"/>
                <w:b w:val="0"/>
                <w:bCs/>
                <w:color w:val="auto"/>
                <w:sz w:val="24"/>
                <w:highlight w:val="none"/>
              </w:rPr>
              <w:t>浓度值为</w:t>
            </w:r>
            <w:r>
              <w:rPr>
                <w:rFonts w:hint="eastAsia"/>
                <w:b w:val="0"/>
                <w:bCs/>
                <w:color w:val="auto"/>
                <w:sz w:val="24"/>
                <w:highlight w:val="none"/>
                <w:lang w:val="en-US" w:eastAsia="zh-CN"/>
              </w:rPr>
              <w:t>32.60</w:t>
            </w:r>
            <w:r>
              <w:rPr>
                <w:rFonts w:hint="eastAsia"/>
                <w:b w:val="0"/>
                <w:bCs/>
                <w:color w:val="auto"/>
                <w:sz w:val="24"/>
                <w:highlight w:val="none"/>
              </w:rPr>
              <w:t>mg/L</w:t>
            </w:r>
            <w:r>
              <w:rPr>
                <w:rFonts w:hint="eastAsia"/>
                <w:b w:val="0"/>
                <w:bCs/>
                <w:color w:val="auto"/>
                <w:sz w:val="24"/>
                <w:highlight w:val="none"/>
                <w:lang w:eastAsia="zh-CN"/>
              </w:rPr>
              <w:t>、</w:t>
            </w:r>
            <w:r>
              <w:rPr>
                <w:rFonts w:hint="eastAsia"/>
                <w:b w:val="0"/>
                <w:bCs/>
                <w:color w:val="auto"/>
                <w:sz w:val="24"/>
                <w:highlight w:val="none"/>
                <w:lang w:val="en-US" w:eastAsia="zh-CN"/>
              </w:rPr>
              <w:t>0.360</w:t>
            </w:r>
            <w:r>
              <w:rPr>
                <w:rFonts w:hint="eastAsia"/>
                <w:b w:val="0"/>
                <w:bCs/>
                <w:color w:val="auto"/>
                <w:sz w:val="24"/>
                <w:highlight w:val="none"/>
              </w:rPr>
              <w:t>mg/L</w:t>
            </w:r>
            <w:r>
              <w:rPr>
                <w:rFonts w:hint="eastAsia"/>
                <w:b w:val="0"/>
                <w:bCs/>
                <w:color w:val="auto"/>
                <w:sz w:val="24"/>
                <w:highlight w:val="none"/>
                <w:lang w:eastAsia="zh-CN"/>
              </w:rPr>
              <w:t>、</w:t>
            </w:r>
            <w:r>
              <w:rPr>
                <w:rFonts w:hint="eastAsia"/>
                <w:b w:val="0"/>
                <w:bCs/>
                <w:color w:val="auto"/>
                <w:sz w:val="24"/>
                <w:highlight w:val="none"/>
                <w:lang w:val="en-US" w:eastAsia="zh-CN"/>
              </w:rPr>
              <w:t>2.73</w:t>
            </w:r>
            <w:r>
              <w:rPr>
                <w:rFonts w:hint="eastAsia"/>
                <w:b w:val="0"/>
                <w:bCs/>
                <w:color w:val="auto"/>
                <w:sz w:val="24"/>
                <w:highlight w:val="none"/>
              </w:rPr>
              <w:t>mg/L，超过地表水Ⅳ类标准的倍数</w:t>
            </w:r>
            <w:r>
              <w:rPr>
                <w:rFonts w:hint="eastAsia"/>
                <w:b w:val="0"/>
                <w:bCs/>
                <w:color w:val="auto"/>
                <w:sz w:val="24"/>
                <w:highlight w:val="none"/>
                <w:lang w:eastAsia="zh-CN"/>
              </w:rPr>
              <w:t>分别</w:t>
            </w:r>
            <w:r>
              <w:rPr>
                <w:rFonts w:hint="eastAsia"/>
                <w:b w:val="0"/>
                <w:bCs/>
                <w:color w:val="auto"/>
                <w:sz w:val="24"/>
                <w:highlight w:val="none"/>
              </w:rPr>
              <w:t>为</w:t>
            </w:r>
            <w:r>
              <w:rPr>
                <w:rFonts w:hint="eastAsia"/>
                <w:b w:val="0"/>
                <w:bCs/>
                <w:color w:val="auto"/>
                <w:sz w:val="24"/>
                <w:highlight w:val="none"/>
                <w:lang w:val="en-US" w:eastAsia="zh-CN"/>
              </w:rPr>
              <w:t>21.7、1.2、1.8</w:t>
            </w:r>
            <w:r>
              <w:rPr>
                <w:rFonts w:hint="eastAsia"/>
                <w:b w:val="0"/>
                <w:bCs/>
                <w:color w:val="auto"/>
                <w:sz w:val="24"/>
                <w:highlight w:val="none"/>
                <w:lang w:eastAsia="zh-CN"/>
              </w:rPr>
              <w:t>，</w:t>
            </w:r>
            <w:r>
              <w:rPr>
                <w:color w:val="auto"/>
                <w:sz w:val="24"/>
                <w:highlight w:val="none"/>
              </w:rPr>
              <w:t>主要是由于当地自然因素和地质因素造成超标。</w:t>
            </w:r>
          </w:p>
          <w:p>
            <w:pPr>
              <w:autoSpaceDE w:val="0"/>
              <w:autoSpaceDN w:val="0"/>
              <w:spacing w:line="360" w:lineRule="auto"/>
              <w:ind w:firstLine="480" w:firstLineChars="200"/>
              <w:rPr>
                <w:rFonts w:hint="default" w:eastAsia="宋体"/>
                <w:bCs/>
                <w:color w:val="auto"/>
                <w:sz w:val="24"/>
                <w:highlight w:val="none"/>
                <w:lang w:val="en-US" w:eastAsia="zh-CN"/>
              </w:rPr>
            </w:pPr>
            <w:r>
              <w:rPr>
                <w:rFonts w:hint="eastAsia"/>
                <w:bCs/>
                <w:color w:val="auto"/>
                <w:sz w:val="24"/>
                <w:highlight w:val="none"/>
              </w:rPr>
              <w:t>③</w:t>
            </w:r>
            <w:r>
              <w:rPr>
                <w:rFonts w:hint="eastAsia"/>
                <w:bCs/>
                <w:color w:val="auto"/>
                <w:sz w:val="24"/>
                <w:highlight w:val="none"/>
                <w:lang w:val="en-US" w:eastAsia="zh-CN"/>
              </w:rPr>
              <w:t>土壤</w:t>
            </w:r>
            <w:r>
              <w:rPr>
                <w:rFonts w:hint="eastAsia"/>
                <w:bCs/>
                <w:color w:val="auto"/>
                <w:sz w:val="24"/>
                <w:highlight w:val="none"/>
              </w:rPr>
              <w:t>环境</w:t>
            </w:r>
          </w:p>
          <w:p>
            <w:pPr>
              <w:autoSpaceDE w:val="0"/>
              <w:autoSpaceDN w:val="0"/>
              <w:spacing w:line="360" w:lineRule="auto"/>
              <w:ind w:firstLine="480" w:firstLineChars="200"/>
              <w:rPr>
                <w:bCs/>
                <w:color w:val="auto"/>
                <w:sz w:val="24"/>
                <w:highlight w:val="none"/>
              </w:rPr>
            </w:pPr>
            <w:r>
              <w:rPr>
                <w:rFonts w:hint="eastAsia"/>
                <w:bCs/>
                <w:color w:val="auto"/>
                <w:sz w:val="24"/>
                <w:highlight w:val="none"/>
                <w:lang w:val="en-US" w:eastAsia="zh-CN"/>
              </w:rPr>
              <w:t>本项目运行期不</w:t>
            </w:r>
            <w:r>
              <w:rPr>
                <w:bCs/>
                <w:color w:val="auto"/>
                <w:sz w:val="24"/>
                <w:highlight w:val="none"/>
              </w:rPr>
              <w:t>产生废气、废水</w:t>
            </w:r>
            <w:r>
              <w:rPr>
                <w:rFonts w:hint="eastAsia"/>
                <w:bCs/>
                <w:color w:val="auto"/>
                <w:sz w:val="24"/>
                <w:highlight w:val="none"/>
              </w:rPr>
              <w:t>、固体废物</w:t>
            </w:r>
            <w:r>
              <w:rPr>
                <w:rFonts w:hint="eastAsia"/>
                <w:bCs/>
                <w:color w:val="auto"/>
                <w:sz w:val="24"/>
                <w:highlight w:val="none"/>
                <w:lang w:eastAsia="zh-CN"/>
              </w:rPr>
              <w:t>，</w:t>
            </w:r>
            <w:r>
              <w:rPr>
                <w:rFonts w:hint="eastAsia"/>
                <w:bCs/>
                <w:color w:val="auto"/>
                <w:sz w:val="24"/>
                <w:highlight w:val="none"/>
                <w:lang w:val="en-US" w:eastAsia="zh-CN"/>
              </w:rPr>
              <w:t>不会对土壤环境产生影响</w:t>
            </w:r>
            <w:r>
              <w:rPr>
                <w:rFonts w:hint="eastAsia"/>
                <w:bCs/>
                <w:color w:val="auto"/>
                <w:sz w:val="24"/>
                <w:highlight w:val="none"/>
              </w:rPr>
              <w:t>。</w:t>
            </w:r>
            <w:r>
              <w:rPr>
                <w:bCs/>
                <w:color w:val="auto"/>
                <w:sz w:val="24"/>
                <w:highlight w:val="none"/>
              </w:rPr>
              <w:t xml:space="preserve"> </w:t>
            </w:r>
          </w:p>
          <w:p>
            <w:pPr>
              <w:autoSpaceDE w:val="0"/>
              <w:autoSpaceDN w:val="0"/>
              <w:spacing w:line="360" w:lineRule="auto"/>
              <w:ind w:firstLine="480" w:firstLineChars="200"/>
              <w:rPr>
                <w:bCs/>
                <w:color w:val="auto"/>
                <w:sz w:val="24"/>
                <w:highlight w:val="none"/>
              </w:rPr>
            </w:pPr>
            <w:r>
              <w:rPr>
                <w:bCs/>
                <w:color w:val="auto"/>
                <w:sz w:val="24"/>
                <w:highlight w:val="none"/>
              </w:rPr>
              <w:t>本项目在运行期间不会产生废气、废水</w:t>
            </w:r>
            <w:r>
              <w:rPr>
                <w:rFonts w:hint="eastAsia"/>
                <w:bCs/>
                <w:color w:val="auto"/>
                <w:sz w:val="24"/>
                <w:highlight w:val="none"/>
              </w:rPr>
              <w:t>、固体废物、噪声</w:t>
            </w:r>
            <w:r>
              <w:rPr>
                <w:bCs/>
                <w:color w:val="auto"/>
                <w:sz w:val="24"/>
                <w:highlight w:val="none"/>
              </w:rPr>
              <w:t>等污染物。因此，本项目符合环境质量底线要求。</w:t>
            </w:r>
          </w:p>
          <w:p>
            <w:pPr>
              <w:autoSpaceDE w:val="0"/>
              <w:autoSpaceDN w:val="0"/>
              <w:spacing w:line="360" w:lineRule="auto"/>
              <w:ind w:firstLine="480" w:firstLineChars="200"/>
              <w:rPr>
                <w:bCs/>
                <w:color w:val="auto"/>
                <w:sz w:val="24"/>
                <w:highlight w:val="none"/>
              </w:rPr>
            </w:pPr>
            <w:r>
              <w:rPr>
                <w:bCs/>
                <w:color w:val="auto"/>
                <w:sz w:val="24"/>
                <w:highlight w:val="none"/>
              </w:rPr>
              <w:t>（3）资源利用上线</w:t>
            </w:r>
          </w:p>
          <w:p>
            <w:pPr>
              <w:spacing w:line="360" w:lineRule="auto"/>
              <w:ind w:firstLine="480" w:firstLineChars="200"/>
              <w:jc w:val="left"/>
              <w:rPr>
                <w:color w:val="auto"/>
                <w:sz w:val="24"/>
                <w:highlight w:val="none"/>
              </w:rPr>
            </w:pPr>
            <w:r>
              <w:rPr>
                <w:color w:val="auto"/>
                <w:sz w:val="24"/>
                <w:highlight w:val="none"/>
              </w:rPr>
              <w:t>土地资源：本项目</w:t>
            </w:r>
            <w:r>
              <w:rPr>
                <w:rFonts w:hint="eastAsia"/>
                <w:color w:val="auto"/>
                <w:sz w:val="24"/>
                <w:highlight w:val="none"/>
              </w:rPr>
              <w:t>为防洪水利设施，</w:t>
            </w:r>
            <w:r>
              <w:rPr>
                <w:color w:val="auto"/>
                <w:sz w:val="24"/>
                <w:highlight w:val="none"/>
              </w:rPr>
              <w:t>占地类型</w:t>
            </w:r>
            <w:r>
              <w:rPr>
                <w:rFonts w:hint="eastAsia"/>
                <w:color w:val="auto"/>
                <w:sz w:val="24"/>
                <w:highlight w:val="none"/>
              </w:rPr>
              <w:t>主要为草地、泄洪沟，占地面积较小，</w:t>
            </w:r>
            <w:r>
              <w:rPr>
                <w:color w:val="auto"/>
                <w:sz w:val="24"/>
                <w:highlight w:val="none"/>
              </w:rPr>
              <w:t>项目的建设，不影响区域土地资源总量。</w:t>
            </w:r>
          </w:p>
          <w:p>
            <w:pPr>
              <w:spacing w:line="360" w:lineRule="auto"/>
              <w:ind w:firstLine="480" w:firstLineChars="200"/>
              <w:jc w:val="left"/>
              <w:rPr>
                <w:color w:val="auto"/>
                <w:sz w:val="24"/>
                <w:highlight w:val="none"/>
              </w:rPr>
            </w:pPr>
            <w:r>
              <w:rPr>
                <w:color w:val="auto"/>
                <w:sz w:val="24"/>
                <w:highlight w:val="none"/>
              </w:rPr>
              <w:t>水资源：本项目</w:t>
            </w:r>
            <w:r>
              <w:rPr>
                <w:rFonts w:hint="eastAsia"/>
                <w:color w:val="auto"/>
                <w:sz w:val="24"/>
                <w:highlight w:val="none"/>
              </w:rPr>
              <w:t>为淤地坝工程，</w:t>
            </w:r>
            <w:r>
              <w:rPr>
                <w:color w:val="auto"/>
                <w:sz w:val="24"/>
                <w:highlight w:val="none"/>
              </w:rPr>
              <w:t>运行期</w:t>
            </w:r>
            <w:r>
              <w:rPr>
                <w:rFonts w:hint="eastAsia"/>
                <w:color w:val="auto"/>
                <w:sz w:val="24"/>
                <w:highlight w:val="none"/>
              </w:rPr>
              <w:t>不消耗水资源，</w:t>
            </w:r>
            <w:r>
              <w:rPr>
                <w:color w:val="auto"/>
                <w:sz w:val="24"/>
                <w:highlight w:val="none"/>
              </w:rPr>
              <w:t>无废水产生。因此，项目对区域水资源总量影响很小。</w:t>
            </w:r>
          </w:p>
          <w:p>
            <w:pPr>
              <w:autoSpaceDE w:val="0"/>
              <w:autoSpaceDN w:val="0"/>
              <w:spacing w:line="360" w:lineRule="auto"/>
              <w:ind w:firstLine="480" w:firstLineChars="200"/>
              <w:rPr>
                <w:color w:val="auto"/>
                <w:sz w:val="24"/>
                <w:highlight w:val="none"/>
              </w:rPr>
            </w:pPr>
            <w:r>
              <w:rPr>
                <w:color w:val="auto"/>
                <w:sz w:val="24"/>
                <w:highlight w:val="none"/>
              </w:rPr>
              <w:t>因此，本项目符合资源利用上线要求。</w:t>
            </w:r>
          </w:p>
          <w:p>
            <w:pPr>
              <w:autoSpaceDE w:val="0"/>
              <w:autoSpaceDN w:val="0"/>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生态</w:t>
            </w:r>
            <w:r>
              <w:rPr>
                <w:color w:val="auto"/>
                <w:sz w:val="24"/>
                <w:highlight w:val="none"/>
              </w:rPr>
              <w:t>环境准入清单</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根据2021年7月吴忠市人民政府下发的《吴忠市生态环境准入清单》，本项目属于ZH64032410003同心县河西镇生态空间优先保护单元；该管控单元的主体功能定位为中部荒漠草原防沙治沙区、国家级重点生态功能区；空间布局约束为不得开展《宁夏回族自治区国家重点生态功能区产业准入</w:t>
            </w:r>
            <w:r>
              <w:rPr>
                <w:rFonts w:hint="eastAsia"/>
                <w:bCs/>
                <w:color w:val="auto"/>
                <w:sz w:val="24"/>
                <w:highlight w:val="none"/>
                <w:lang w:val="en-US" w:eastAsia="zh-CN"/>
              </w:rPr>
              <w:t>负面</w:t>
            </w:r>
            <w:r>
              <w:rPr>
                <w:rFonts w:hint="eastAsia"/>
                <w:bCs/>
                <w:color w:val="auto"/>
                <w:sz w:val="24"/>
                <w:highlight w:val="none"/>
              </w:rPr>
              <w:t>清单》中同心县的产业准入清单外的产业项目活动；区域内划入永久基本农田的优先保护类耕地，除法律规定的重点建设项目选址确实无法避让外，不得擅自占用。</w:t>
            </w:r>
          </w:p>
          <w:p>
            <w:pPr>
              <w:tabs>
                <w:tab w:val="left" w:pos="384"/>
              </w:tabs>
              <w:autoSpaceDE w:val="0"/>
              <w:autoSpaceDN w:val="0"/>
              <w:spacing w:line="360" w:lineRule="auto"/>
              <w:ind w:firstLine="480" w:firstLineChars="200"/>
              <w:rPr>
                <w:color w:val="auto"/>
                <w:kern w:val="0"/>
                <w:sz w:val="24"/>
                <w:highlight w:val="none"/>
              </w:rPr>
            </w:pPr>
            <w:r>
              <w:rPr>
                <w:rFonts w:hint="eastAsia"/>
                <w:bCs/>
                <w:color w:val="auto"/>
                <w:sz w:val="24"/>
                <w:highlight w:val="none"/>
              </w:rPr>
              <w:t>本项目建设内容为</w:t>
            </w:r>
            <w:r>
              <w:rPr>
                <w:rFonts w:hint="eastAsia"/>
                <w:color w:val="auto"/>
                <w:sz w:val="24"/>
                <w:highlight w:val="none"/>
              </w:rPr>
              <w:t>淤地坝</w:t>
            </w:r>
            <w:r>
              <w:rPr>
                <w:rFonts w:hint="eastAsia"/>
                <w:bCs/>
                <w:color w:val="auto"/>
                <w:sz w:val="24"/>
                <w:highlight w:val="none"/>
              </w:rPr>
              <w:t>，根据《宁夏回族自治区同心县国家重点生态功能区产业准入</w:t>
            </w:r>
            <w:r>
              <w:rPr>
                <w:rFonts w:hint="eastAsia"/>
                <w:bCs/>
                <w:color w:val="auto"/>
                <w:sz w:val="24"/>
                <w:highlight w:val="none"/>
                <w:lang w:val="en-US" w:eastAsia="zh-CN"/>
              </w:rPr>
              <w:t>负面</w:t>
            </w:r>
            <w:r>
              <w:rPr>
                <w:rFonts w:hint="eastAsia"/>
                <w:bCs/>
                <w:color w:val="auto"/>
                <w:sz w:val="24"/>
                <w:highlight w:val="none"/>
              </w:rPr>
              <w:t>清单》，本项目不属于限制类和禁止类</w:t>
            </w:r>
            <w:r>
              <w:rPr>
                <w:rFonts w:hint="eastAsia"/>
                <w:bCs/>
                <w:color w:val="auto"/>
                <w:sz w:val="24"/>
                <w:highlight w:val="none"/>
                <w:lang w:eastAsia="zh-CN"/>
              </w:rPr>
              <w:t>；项目不占用基本农田</w:t>
            </w:r>
            <w:r>
              <w:rPr>
                <w:rFonts w:hint="eastAsia"/>
                <w:bCs/>
                <w:color w:val="auto"/>
                <w:sz w:val="24"/>
                <w:highlight w:val="none"/>
              </w:rPr>
              <w:t>。因此，本项目符合《吴忠市生态环境准入清单》。</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 xml:space="preserve">（5）“三线一单”生态环境分区管控分析 </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根据2021年7月吴忠市人民政府下发的《吴忠市人民政府关于实施“三线一单”生态环境分区管控的意见》（吴政规发[2021]2号），吴忠市共划定环境管控单元48个，其中优先保护单元25个，优先保护单元面积为7145.06km</w:t>
            </w:r>
            <w:r>
              <w:rPr>
                <w:rFonts w:hint="eastAsia"/>
                <w:bCs/>
                <w:color w:val="auto"/>
                <w:sz w:val="24"/>
                <w:highlight w:val="none"/>
                <w:vertAlign w:val="superscript"/>
              </w:rPr>
              <w:t>2</w:t>
            </w:r>
            <w:r>
              <w:rPr>
                <w:rFonts w:hint="eastAsia"/>
                <w:bCs/>
                <w:color w:val="auto"/>
                <w:sz w:val="24"/>
                <w:highlight w:val="none"/>
              </w:rPr>
              <w:t>，其面积占全市总面积的42.62%；重点管控单元11个，重点管控单元面积为2709.70km</w:t>
            </w:r>
            <w:r>
              <w:rPr>
                <w:rFonts w:hint="eastAsia"/>
                <w:bCs/>
                <w:color w:val="auto"/>
                <w:sz w:val="24"/>
                <w:highlight w:val="none"/>
                <w:vertAlign w:val="superscript"/>
              </w:rPr>
              <w:t>2</w:t>
            </w:r>
            <w:r>
              <w:rPr>
                <w:rFonts w:hint="eastAsia"/>
                <w:bCs/>
                <w:color w:val="auto"/>
                <w:sz w:val="24"/>
                <w:highlight w:val="none"/>
              </w:rPr>
              <w:t>，其面积占全市总面积的16.16%；一般管控单元12个，一般管控单元面积为6911.28km</w:t>
            </w:r>
            <w:r>
              <w:rPr>
                <w:rFonts w:hint="eastAsia"/>
                <w:bCs/>
                <w:color w:val="auto"/>
                <w:sz w:val="24"/>
                <w:highlight w:val="none"/>
                <w:vertAlign w:val="superscript"/>
              </w:rPr>
              <w:t>2</w:t>
            </w:r>
            <w:r>
              <w:rPr>
                <w:rFonts w:hint="eastAsia"/>
                <w:bCs/>
                <w:color w:val="auto"/>
                <w:sz w:val="24"/>
                <w:highlight w:val="none"/>
              </w:rPr>
              <w:t>，其面积占全市总面积的41.24%。</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①优先保护单元：为生态保护红线、一般生态空间、水环境优先保护区、大气环境优先保护区的并集。优先保护单元以严格保护生态环境、严格限制产业发展为导向，禁止或限制大规模的工业开发和城镇建设。</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 xml:space="preserve">②重点管控单元：在扣除优先保护单元的基础上，将水环境重点管控区、大气环境重点管控区、禁燃区、地下水开采等重点管控区等与乡镇行政边界、工业园区等进行空间叠加拟合，形成重点管控单元。重点管控单元总体上以守住环境质量底线、积极发展社会经济为导向，实施环境治理修复和差异的环境准入。 </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③一般管控单元：除优先保护单元和重点管控单元之外的其他区域 全部纳入一般管控单元。一般管控单元以适度发展社会经济、避免大规模高强度开发为导向，执行区域生态环境保护的基本要求。</w:t>
            </w:r>
          </w:p>
          <w:p>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ascii="Times New Roman" w:hAnsi="Times New Roman" w:eastAsia="宋体" w:cs="Times New Roman"/>
                <w:bCs/>
                <w:color w:val="auto"/>
                <w:sz w:val="24"/>
                <w:szCs w:val="24"/>
                <w:highlight w:val="none"/>
                <w:lang w:val="en-US"/>
              </w:rPr>
            </w:pPr>
            <w:r>
              <w:rPr>
                <w:rFonts w:hint="eastAsia" w:ascii="Times New Roman" w:hAnsi="Times New Roman" w:eastAsia="宋体" w:cs="宋体"/>
                <w:bCs/>
                <w:color w:val="auto"/>
                <w:kern w:val="2"/>
                <w:sz w:val="24"/>
                <w:szCs w:val="24"/>
                <w:highlight w:val="none"/>
                <w:lang w:val="en-US" w:eastAsia="zh-CN" w:bidi="ar"/>
              </w:rPr>
              <w:t>本项目与吴忠市</w:t>
            </w:r>
            <w:r>
              <w:rPr>
                <w:rFonts w:hint="eastAsia" w:ascii="宋体" w:hAnsi="宋体" w:eastAsia="宋体" w:cs="宋体"/>
                <w:bCs/>
                <w:color w:val="auto"/>
                <w:kern w:val="2"/>
                <w:sz w:val="24"/>
                <w:szCs w:val="24"/>
                <w:highlight w:val="none"/>
                <w:lang w:val="en-US" w:eastAsia="zh-CN" w:bidi="ar"/>
              </w:rPr>
              <w:t>“三线一单”</w:t>
            </w:r>
            <w:r>
              <w:rPr>
                <w:rFonts w:hint="eastAsia" w:ascii="Times New Roman" w:hAnsi="Times New Roman" w:eastAsia="宋体" w:cs="宋体"/>
                <w:bCs/>
                <w:color w:val="auto"/>
                <w:kern w:val="2"/>
                <w:sz w:val="24"/>
                <w:szCs w:val="24"/>
                <w:highlight w:val="none"/>
                <w:lang w:val="en-US" w:eastAsia="zh-CN" w:bidi="ar"/>
              </w:rPr>
              <w:t>符合性分析见表</w:t>
            </w:r>
            <w:r>
              <w:rPr>
                <w:rFonts w:hint="default" w:ascii="Times New Roman" w:hAnsi="Times New Roman" w:eastAsia="宋体" w:cs="Times New Roman"/>
                <w:bCs/>
                <w:color w:val="auto"/>
                <w:kern w:val="2"/>
                <w:sz w:val="24"/>
                <w:szCs w:val="24"/>
                <w:highlight w:val="none"/>
                <w:lang w:val="en-US" w:eastAsia="zh-CN" w:bidi="ar"/>
              </w:rPr>
              <w:t>1-1</w:t>
            </w:r>
            <w:r>
              <w:rPr>
                <w:rFonts w:hint="eastAsia" w:ascii="Times New Roman" w:hAnsi="Times New Roman" w:eastAsia="宋体" w:cs="宋体"/>
                <w:bCs/>
                <w:color w:val="auto"/>
                <w:kern w:val="2"/>
                <w:sz w:val="24"/>
                <w:szCs w:val="24"/>
                <w:highlight w:val="none"/>
                <w:lang w:val="en-US" w:eastAsia="zh-CN" w:bidi="ar"/>
              </w:rPr>
              <w:t>。</w:t>
            </w:r>
          </w:p>
          <w:p>
            <w:pPr>
              <w:keepNext w:val="0"/>
              <w:keepLines w:val="0"/>
              <w:widowControl w:val="0"/>
              <w:suppressLineNumbers w:val="0"/>
              <w:spacing w:before="0" w:beforeAutospacing="0" w:after="0" w:afterAutospacing="0" w:line="360" w:lineRule="auto"/>
              <w:ind w:left="0" w:right="0"/>
              <w:jc w:val="center"/>
              <w:rPr>
                <w:rFonts w:ascii="Times New Roman" w:hAnsi="Times New Roman" w:eastAsia="黑体" w:cs="Times New Roman"/>
                <w:b/>
                <w:bCs/>
                <w:color w:val="auto"/>
                <w:sz w:val="24"/>
                <w:szCs w:val="24"/>
                <w:highlight w:val="none"/>
                <w:lang w:val="en-US"/>
              </w:rPr>
            </w:pPr>
            <w:r>
              <w:rPr>
                <w:rFonts w:hint="eastAsia" w:ascii="Times New Roman" w:hAnsi="Times New Roman" w:eastAsia="黑体" w:cs="黑体"/>
                <w:b/>
                <w:bCs/>
                <w:color w:val="auto"/>
                <w:kern w:val="2"/>
                <w:sz w:val="24"/>
                <w:szCs w:val="24"/>
                <w:highlight w:val="none"/>
                <w:lang w:val="en-US" w:eastAsia="zh-CN" w:bidi="ar"/>
              </w:rPr>
              <w:t>表</w:t>
            </w:r>
            <w:r>
              <w:rPr>
                <w:rFonts w:hint="default" w:ascii="Times New Roman" w:hAnsi="Times New Roman" w:eastAsia="黑体" w:cs="Times New Roman"/>
                <w:b/>
                <w:bCs/>
                <w:color w:val="auto"/>
                <w:kern w:val="2"/>
                <w:sz w:val="24"/>
                <w:szCs w:val="24"/>
                <w:highlight w:val="none"/>
                <w:lang w:val="en-US" w:eastAsia="zh-CN" w:bidi="ar"/>
              </w:rPr>
              <w:t xml:space="preserve">1-1  </w:t>
            </w:r>
            <w:r>
              <w:rPr>
                <w:rFonts w:hint="eastAsia" w:ascii="Times New Roman" w:hAnsi="Times New Roman" w:eastAsia="黑体" w:cs="黑体"/>
                <w:b/>
                <w:bCs/>
                <w:color w:val="auto"/>
                <w:kern w:val="2"/>
                <w:sz w:val="24"/>
                <w:szCs w:val="24"/>
                <w:highlight w:val="none"/>
                <w:lang w:val="en-US" w:eastAsia="zh-CN" w:bidi="ar"/>
              </w:rPr>
              <w:t>项目与吴忠市</w:t>
            </w:r>
            <w:r>
              <w:rPr>
                <w:rFonts w:hint="default" w:ascii="Times New Roman" w:hAnsi="Times New Roman" w:eastAsia="黑体" w:cs="Times New Roman"/>
                <w:b/>
                <w:bCs/>
                <w:color w:val="auto"/>
                <w:kern w:val="2"/>
                <w:sz w:val="24"/>
                <w:szCs w:val="24"/>
                <w:highlight w:val="none"/>
                <w:lang w:val="en-US" w:eastAsia="zh-CN" w:bidi="ar"/>
              </w:rPr>
              <w:t>“</w:t>
            </w:r>
            <w:r>
              <w:rPr>
                <w:rFonts w:hint="eastAsia" w:ascii="Times New Roman" w:hAnsi="Times New Roman" w:eastAsia="黑体" w:cs="黑体"/>
                <w:b/>
                <w:bCs/>
                <w:color w:val="auto"/>
                <w:kern w:val="2"/>
                <w:sz w:val="24"/>
                <w:szCs w:val="24"/>
                <w:highlight w:val="none"/>
                <w:lang w:val="en-US" w:eastAsia="zh-CN" w:bidi="ar"/>
              </w:rPr>
              <w:t>三线一单</w:t>
            </w:r>
            <w:r>
              <w:rPr>
                <w:rFonts w:hint="default" w:ascii="Times New Roman" w:hAnsi="Times New Roman" w:eastAsia="黑体" w:cs="Times New Roman"/>
                <w:b/>
                <w:bCs/>
                <w:color w:val="auto"/>
                <w:kern w:val="2"/>
                <w:sz w:val="24"/>
                <w:szCs w:val="24"/>
                <w:highlight w:val="none"/>
                <w:lang w:val="en-US" w:eastAsia="zh-CN" w:bidi="ar"/>
              </w:rPr>
              <w:t>”</w:t>
            </w:r>
            <w:r>
              <w:rPr>
                <w:rFonts w:hint="eastAsia" w:ascii="Times New Roman" w:hAnsi="Times New Roman" w:eastAsia="黑体" w:cs="黑体"/>
                <w:b/>
                <w:bCs/>
                <w:color w:val="auto"/>
                <w:kern w:val="2"/>
                <w:sz w:val="24"/>
                <w:szCs w:val="24"/>
                <w:highlight w:val="none"/>
                <w:lang w:val="en-US" w:eastAsia="zh-CN" w:bidi="ar"/>
              </w:rPr>
              <w:t>生态环境分区管控符合性分析一览表</w:t>
            </w:r>
          </w:p>
          <w:tbl>
            <w:tblPr>
              <w:tblStyle w:val="24"/>
              <w:tblW w:w="794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498"/>
              <w:gridCol w:w="1773"/>
              <w:gridCol w:w="6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三线一单要求</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本项目情况</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生态保护红线及生态分区管控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leftChars="0" w:right="0" w:firstLine="420" w:firstLineChars="200"/>
                    <w:jc w:val="left"/>
                    <w:rPr>
                      <w:rFonts w:ascii="宋体" w:hAnsi="宋体" w:eastAsia="宋体" w:cs="Times New Roman"/>
                      <w:color w:val="auto"/>
                      <w:kern w:val="0"/>
                      <w:sz w:val="24"/>
                      <w:szCs w:val="24"/>
                      <w:highlight w:val="none"/>
                      <w:lang w:val="en-US" w:eastAsia="zh-CN" w:bidi="ar-SA"/>
                    </w:rPr>
                  </w:pPr>
                  <w:r>
                    <w:rPr>
                      <w:rFonts w:hint="eastAsia" w:ascii="Times New Roman" w:hAnsi="Times New Roman" w:eastAsia="宋体" w:cs="宋体"/>
                      <w:bCs/>
                      <w:color w:val="auto"/>
                      <w:kern w:val="2"/>
                      <w:sz w:val="21"/>
                      <w:szCs w:val="21"/>
                      <w:highlight w:val="none"/>
                      <w:lang w:val="en-US" w:eastAsia="zh-CN" w:bidi="ar"/>
                    </w:rPr>
                    <w:t>吴忠市生态保护红线目前是衔接落实宁夏回族自治区人民政府</w:t>
                  </w:r>
                  <w:r>
                    <w:rPr>
                      <w:rFonts w:hint="default" w:ascii="Times New Roman" w:hAnsi="Times New Roman" w:eastAsia="宋体" w:cs="Times New Roman"/>
                      <w:bCs/>
                      <w:color w:val="auto"/>
                      <w:kern w:val="2"/>
                      <w:sz w:val="21"/>
                      <w:szCs w:val="21"/>
                      <w:highlight w:val="none"/>
                      <w:lang w:val="en-US" w:eastAsia="zh-CN" w:bidi="ar"/>
                    </w:rPr>
                    <w:t>2018</w:t>
                  </w:r>
                  <w:r>
                    <w:rPr>
                      <w:rFonts w:hint="eastAsia" w:ascii="Times New Roman" w:hAnsi="Times New Roman" w:eastAsia="宋体" w:cs="宋体"/>
                      <w:bCs/>
                      <w:color w:val="auto"/>
                      <w:kern w:val="2"/>
                      <w:sz w:val="21"/>
                      <w:szCs w:val="21"/>
                      <w:highlight w:val="none"/>
                      <w:lang w:val="en-US" w:eastAsia="zh-CN" w:bidi="ar"/>
                    </w:rPr>
                    <w:t>年</w:t>
                  </w:r>
                  <w:r>
                    <w:rPr>
                      <w:rFonts w:hint="default" w:ascii="Times New Roman" w:hAnsi="Times New Roman" w:eastAsia="宋体" w:cs="Times New Roman"/>
                      <w:bCs/>
                      <w:color w:val="auto"/>
                      <w:kern w:val="2"/>
                      <w:sz w:val="21"/>
                      <w:szCs w:val="21"/>
                      <w:highlight w:val="none"/>
                      <w:lang w:val="en-US" w:eastAsia="zh-CN" w:bidi="ar"/>
                    </w:rPr>
                    <w:t xml:space="preserve"> 6</w:t>
                  </w:r>
                  <w:r>
                    <w:rPr>
                      <w:rFonts w:hint="eastAsia" w:ascii="Times New Roman" w:hAnsi="Times New Roman" w:eastAsia="宋体" w:cs="宋体"/>
                      <w:bCs/>
                      <w:color w:val="auto"/>
                      <w:kern w:val="2"/>
                      <w:sz w:val="21"/>
                      <w:szCs w:val="21"/>
                      <w:highlight w:val="none"/>
                      <w:lang w:val="en-US" w:eastAsia="zh-CN" w:bidi="ar"/>
                    </w:rPr>
                    <w:t>月发布的《宁夏回族自治区生态保护红线》（宁政发〔</w:t>
                  </w:r>
                  <w:r>
                    <w:rPr>
                      <w:rFonts w:hint="default" w:ascii="Times New Roman" w:hAnsi="Times New Roman" w:eastAsia="宋体" w:cs="Times New Roman"/>
                      <w:bCs/>
                      <w:color w:val="auto"/>
                      <w:kern w:val="2"/>
                      <w:sz w:val="21"/>
                      <w:szCs w:val="21"/>
                      <w:highlight w:val="none"/>
                      <w:lang w:val="en-US" w:eastAsia="zh-CN" w:bidi="ar"/>
                    </w:rPr>
                    <w:t>2018</w:t>
                  </w:r>
                  <w:r>
                    <w:rPr>
                      <w:rFonts w:hint="eastAsia" w:ascii="Times New Roman" w:hAnsi="Times New Roman" w:eastAsia="宋体" w:cs="宋体"/>
                      <w:bCs/>
                      <w:color w:val="auto"/>
                      <w:kern w:val="2"/>
                      <w:sz w:val="21"/>
                      <w:szCs w:val="21"/>
                      <w:highlight w:val="none"/>
                      <w:lang w:val="en-US" w:eastAsia="zh-CN" w:bidi="ar"/>
                    </w:rPr>
                    <w:t>〕</w:t>
                  </w:r>
                  <w:r>
                    <w:rPr>
                      <w:rFonts w:hint="default" w:ascii="Times New Roman" w:hAnsi="Times New Roman" w:eastAsia="宋体" w:cs="Times New Roman"/>
                      <w:bCs/>
                      <w:color w:val="auto"/>
                      <w:kern w:val="2"/>
                      <w:sz w:val="21"/>
                      <w:szCs w:val="21"/>
                      <w:highlight w:val="none"/>
                      <w:lang w:val="en-US" w:eastAsia="zh-CN" w:bidi="ar"/>
                    </w:rPr>
                    <w:t>23</w:t>
                  </w:r>
                  <w:r>
                    <w:rPr>
                      <w:rFonts w:hint="eastAsia" w:ascii="Times New Roman" w:hAnsi="Times New Roman" w:eastAsia="宋体" w:cs="宋体"/>
                      <w:bCs/>
                      <w:color w:val="auto"/>
                      <w:kern w:val="2"/>
                      <w:sz w:val="21"/>
                      <w:szCs w:val="21"/>
                      <w:highlight w:val="none"/>
                      <w:lang w:val="en-US" w:eastAsia="zh-CN" w:bidi="ar"/>
                    </w:rPr>
                    <w:t>号），基于生态保护红线划定评估工作，以自治区生态系统功能极重要区和重要区，生态环境极敏感区和敏感区为重点，衔接自治区级及以上自然保护区，县级及以上饮用水水源地，自治区级及以上湿地公园，自治区级及以上风景名胜区，自治区级及以上森林公园，自治区级及以上地质公园，国家级水产种资资源保护区，国家级生态公益林，黄河干流岸线等各类自然保护地，衔接相关规划及经济社会发展需求，综合统计吴忠生态空间总面积</w:t>
                  </w:r>
                  <w:r>
                    <w:rPr>
                      <w:rFonts w:hint="default" w:ascii="Times New Roman" w:hAnsi="Times New Roman" w:eastAsia="宋体" w:cs="Times New Roman"/>
                      <w:bCs/>
                      <w:color w:val="auto"/>
                      <w:kern w:val="2"/>
                      <w:sz w:val="21"/>
                      <w:szCs w:val="21"/>
                      <w:highlight w:val="none"/>
                      <w:lang w:val="en-US" w:eastAsia="zh-CN" w:bidi="ar"/>
                    </w:rPr>
                    <w:t>6318.24</w:t>
                  </w:r>
                  <w:r>
                    <w:rPr>
                      <w:rFonts w:hint="eastAsia" w:ascii="Times New Roman" w:hAnsi="Times New Roman" w:eastAsia="宋体" w:cs="宋体"/>
                      <w:bCs/>
                      <w:color w:val="auto"/>
                      <w:kern w:val="2"/>
                      <w:sz w:val="21"/>
                      <w:szCs w:val="21"/>
                      <w:highlight w:val="none"/>
                      <w:lang w:val="en-US" w:eastAsia="zh-CN" w:bidi="ar"/>
                    </w:rPr>
                    <w:t>平方公里，占全市国土总面积的</w:t>
                  </w:r>
                  <w:r>
                    <w:rPr>
                      <w:rFonts w:hint="default" w:ascii="Times New Roman" w:hAnsi="Times New Roman" w:eastAsia="宋体" w:cs="Times New Roman"/>
                      <w:bCs/>
                      <w:color w:val="auto"/>
                      <w:kern w:val="2"/>
                      <w:sz w:val="21"/>
                      <w:szCs w:val="21"/>
                      <w:highlight w:val="none"/>
                      <w:lang w:val="en-US" w:eastAsia="zh-CN" w:bidi="ar"/>
                    </w:rPr>
                    <w:t>37.68%</w:t>
                  </w:r>
                  <w:r>
                    <w:rPr>
                      <w:rFonts w:hint="eastAsia" w:ascii="Times New Roman" w:hAnsi="Times New Roman" w:eastAsia="宋体" w:cs="宋体"/>
                      <w:bCs/>
                      <w:color w:val="auto"/>
                      <w:kern w:val="2"/>
                      <w:sz w:val="21"/>
                      <w:szCs w:val="21"/>
                      <w:highlight w:val="none"/>
                      <w:lang w:val="en-US" w:eastAsia="zh-CN" w:bidi="ar"/>
                    </w:rPr>
                    <w:t>。其中生态保护红线面积约为</w:t>
                  </w:r>
                  <w:r>
                    <w:rPr>
                      <w:rFonts w:hint="default" w:ascii="Times New Roman" w:hAnsi="Times New Roman" w:eastAsia="宋体" w:cs="Times New Roman"/>
                      <w:bCs/>
                      <w:color w:val="auto"/>
                      <w:kern w:val="2"/>
                      <w:sz w:val="21"/>
                      <w:szCs w:val="21"/>
                      <w:highlight w:val="none"/>
                      <w:lang w:val="en-US" w:eastAsia="zh-CN" w:bidi="ar"/>
                    </w:rPr>
                    <w:t>3234.37</w:t>
                  </w:r>
                  <w:r>
                    <w:rPr>
                      <w:rFonts w:hint="eastAsia" w:ascii="Times New Roman" w:hAnsi="Times New Roman" w:eastAsia="宋体" w:cs="宋体"/>
                      <w:bCs/>
                      <w:color w:val="auto"/>
                      <w:kern w:val="2"/>
                      <w:sz w:val="21"/>
                      <w:szCs w:val="21"/>
                      <w:highlight w:val="none"/>
                      <w:lang w:val="en-US" w:eastAsia="zh-CN" w:bidi="ar"/>
                    </w:rPr>
                    <w:t>平方公里，占全市国土总面积的</w:t>
                  </w:r>
                  <w:r>
                    <w:rPr>
                      <w:rFonts w:hint="default" w:ascii="Times New Roman" w:hAnsi="Times New Roman" w:eastAsia="宋体" w:cs="Times New Roman"/>
                      <w:bCs/>
                      <w:color w:val="auto"/>
                      <w:kern w:val="2"/>
                      <w:sz w:val="21"/>
                      <w:szCs w:val="21"/>
                      <w:highlight w:val="none"/>
                      <w:lang w:val="en-US" w:eastAsia="zh-CN" w:bidi="ar"/>
                    </w:rPr>
                    <w:t>19.29%</w:t>
                  </w:r>
                  <w:r>
                    <w:rPr>
                      <w:rFonts w:hint="eastAsia" w:ascii="Times New Roman" w:hAnsi="Times New Roman" w:eastAsia="宋体" w:cs="宋体"/>
                      <w:bCs/>
                      <w:color w:val="auto"/>
                      <w:kern w:val="2"/>
                      <w:sz w:val="21"/>
                      <w:szCs w:val="21"/>
                      <w:highlight w:val="none"/>
                      <w:lang w:val="en-US" w:eastAsia="zh-CN" w:bidi="ar"/>
                    </w:rPr>
                    <w:t>。除生态保护红线以外的一般生态空间面积</w:t>
                  </w:r>
                  <w:r>
                    <w:rPr>
                      <w:rFonts w:hint="default" w:ascii="Times New Roman" w:hAnsi="Times New Roman" w:eastAsia="宋体" w:cs="Times New Roman"/>
                      <w:bCs/>
                      <w:color w:val="auto"/>
                      <w:kern w:val="2"/>
                      <w:sz w:val="21"/>
                      <w:szCs w:val="21"/>
                      <w:highlight w:val="none"/>
                      <w:lang w:val="en-US" w:eastAsia="zh-CN" w:bidi="ar"/>
                    </w:rPr>
                    <w:t>3083.87</w:t>
                  </w:r>
                  <w:r>
                    <w:rPr>
                      <w:rFonts w:hint="eastAsia" w:ascii="Times New Roman" w:hAnsi="Times New Roman" w:eastAsia="宋体" w:cs="宋体"/>
                      <w:bCs/>
                      <w:color w:val="auto"/>
                      <w:kern w:val="2"/>
                      <w:sz w:val="21"/>
                      <w:szCs w:val="21"/>
                      <w:highlight w:val="none"/>
                      <w:lang w:val="en-US" w:eastAsia="zh-CN" w:bidi="ar"/>
                    </w:rPr>
                    <w:t>平方公里，占全区国土面积</w:t>
                  </w:r>
                  <w:r>
                    <w:rPr>
                      <w:rFonts w:hint="default" w:ascii="Times New Roman" w:hAnsi="Times New Roman" w:eastAsia="宋体" w:cs="Times New Roman"/>
                      <w:bCs/>
                      <w:color w:val="auto"/>
                      <w:kern w:val="2"/>
                      <w:sz w:val="21"/>
                      <w:szCs w:val="21"/>
                      <w:highlight w:val="none"/>
                      <w:lang w:val="en-US" w:eastAsia="zh-CN" w:bidi="ar"/>
                    </w:rPr>
                    <w:t>18.39%</w:t>
                  </w:r>
                  <w:r>
                    <w:rPr>
                      <w:rFonts w:hint="eastAsia" w:ascii="Times New Roman" w:hAnsi="Times New Roman" w:eastAsia="宋体" w:cs="宋体"/>
                      <w:bCs/>
                      <w:color w:val="auto"/>
                      <w:kern w:val="2"/>
                      <w:sz w:val="21"/>
                      <w:szCs w:val="21"/>
                      <w:highlight w:val="none"/>
                      <w:lang w:val="en-US" w:eastAsia="zh-CN" w:bidi="ar"/>
                    </w:rPr>
                    <w:t>。</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项目位于吴忠市同心县河西镇，根据《吴忠市生态保护红线图》，项目不在生态保护红线范围内，符合生态保护红线的要求。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吴忠市环境管控单元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吴忠市共划定环境管控单元</w:t>
                  </w:r>
                  <w:r>
                    <w:rPr>
                      <w:rFonts w:hint="default" w:ascii="Times New Roman" w:hAnsi="Times New Roman" w:eastAsia="宋体" w:cs="Times New Roman"/>
                      <w:bCs/>
                      <w:color w:val="auto"/>
                      <w:kern w:val="2"/>
                      <w:sz w:val="21"/>
                      <w:szCs w:val="21"/>
                      <w:highlight w:val="none"/>
                      <w:lang w:val="en-US" w:eastAsia="zh-CN" w:bidi="ar"/>
                    </w:rPr>
                    <w:t>48</w:t>
                  </w:r>
                  <w:r>
                    <w:rPr>
                      <w:rFonts w:hint="eastAsia" w:ascii="Times New Roman" w:hAnsi="Times New Roman" w:eastAsia="宋体" w:cs="宋体"/>
                      <w:bCs/>
                      <w:color w:val="auto"/>
                      <w:kern w:val="2"/>
                      <w:sz w:val="21"/>
                      <w:szCs w:val="21"/>
                      <w:highlight w:val="none"/>
                      <w:lang w:val="en-US" w:eastAsia="zh-CN" w:bidi="ar"/>
                    </w:rPr>
                    <w:t>个，其中优先保护单元</w:t>
                  </w:r>
                  <w:r>
                    <w:rPr>
                      <w:rFonts w:hint="default" w:ascii="Times New Roman" w:hAnsi="Times New Roman" w:eastAsia="宋体" w:cs="Times New Roman"/>
                      <w:bCs/>
                      <w:color w:val="auto"/>
                      <w:kern w:val="2"/>
                      <w:sz w:val="21"/>
                      <w:szCs w:val="21"/>
                      <w:highlight w:val="none"/>
                      <w:lang w:val="en-US" w:eastAsia="zh-CN" w:bidi="ar"/>
                    </w:rPr>
                    <w:t>25</w:t>
                  </w:r>
                  <w:r>
                    <w:rPr>
                      <w:rFonts w:hint="eastAsia" w:ascii="Times New Roman" w:hAnsi="Times New Roman" w:eastAsia="宋体" w:cs="宋体"/>
                      <w:bCs/>
                      <w:color w:val="auto"/>
                      <w:kern w:val="2"/>
                      <w:sz w:val="21"/>
                      <w:szCs w:val="21"/>
                      <w:highlight w:val="none"/>
                      <w:lang w:val="en-US" w:eastAsia="zh-CN" w:bidi="ar"/>
                    </w:rPr>
                    <w:t>个，优先保护单元面积为</w:t>
                  </w:r>
                  <w:r>
                    <w:rPr>
                      <w:rFonts w:hint="default" w:ascii="Times New Roman" w:hAnsi="Times New Roman" w:eastAsia="宋体" w:cs="Times New Roman"/>
                      <w:bCs/>
                      <w:color w:val="auto"/>
                      <w:kern w:val="2"/>
                      <w:sz w:val="21"/>
                      <w:szCs w:val="21"/>
                      <w:highlight w:val="none"/>
                      <w:lang w:val="en-US" w:eastAsia="zh-CN" w:bidi="ar"/>
                    </w:rPr>
                    <w:t>7145.06km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，其面积占全市总面积的</w:t>
                  </w:r>
                  <w:r>
                    <w:rPr>
                      <w:rFonts w:hint="default" w:ascii="Times New Roman" w:hAnsi="Times New Roman" w:eastAsia="宋体" w:cs="Times New Roman"/>
                      <w:bCs/>
                      <w:color w:val="auto"/>
                      <w:kern w:val="2"/>
                      <w:sz w:val="21"/>
                      <w:szCs w:val="21"/>
                      <w:highlight w:val="none"/>
                      <w:lang w:val="en-US" w:eastAsia="zh-CN" w:bidi="ar"/>
                    </w:rPr>
                    <w:t>42.62%</w:t>
                  </w:r>
                  <w:r>
                    <w:rPr>
                      <w:rFonts w:hint="eastAsia" w:ascii="Times New Roman" w:hAnsi="Times New Roman" w:eastAsia="宋体" w:cs="宋体"/>
                      <w:bCs/>
                      <w:color w:val="auto"/>
                      <w:kern w:val="2"/>
                      <w:sz w:val="21"/>
                      <w:szCs w:val="21"/>
                      <w:highlight w:val="none"/>
                      <w:lang w:val="en-US" w:eastAsia="zh-CN" w:bidi="ar"/>
                    </w:rPr>
                    <w:t>。重点管控单元个数为</w:t>
                  </w:r>
                  <w:r>
                    <w:rPr>
                      <w:rFonts w:hint="default" w:ascii="Times New Roman" w:hAnsi="Times New Roman" w:eastAsia="宋体" w:cs="Times New Roman"/>
                      <w:bCs/>
                      <w:color w:val="auto"/>
                      <w:kern w:val="2"/>
                      <w:sz w:val="21"/>
                      <w:szCs w:val="21"/>
                      <w:highlight w:val="none"/>
                      <w:lang w:val="en-US" w:eastAsia="zh-CN" w:bidi="ar"/>
                    </w:rPr>
                    <w:t>11</w:t>
                  </w:r>
                  <w:r>
                    <w:rPr>
                      <w:rFonts w:hint="eastAsia" w:ascii="Times New Roman" w:hAnsi="Times New Roman" w:eastAsia="宋体" w:cs="宋体"/>
                      <w:bCs/>
                      <w:color w:val="auto"/>
                      <w:kern w:val="2"/>
                      <w:sz w:val="21"/>
                      <w:szCs w:val="21"/>
                      <w:highlight w:val="none"/>
                      <w:lang w:val="en-US" w:eastAsia="zh-CN" w:bidi="ar"/>
                    </w:rPr>
                    <w:t>个，重点管控单元面积为</w:t>
                  </w:r>
                  <w:r>
                    <w:rPr>
                      <w:rFonts w:hint="default" w:ascii="Times New Roman" w:hAnsi="Times New Roman" w:eastAsia="宋体" w:cs="Times New Roman"/>
                      <w:bCs/>
                      <w:color w:val="auto"/>
                      <w:kern w:val="2"/>
                      <w:sz w:val="21"/>
                      <w:szCs w:val="21"/>
                      <w:highlight w:val="none"/>
                      <w:lang w:val="en-US" w:eastAsia="zh-CN" w:bidi="ar"/>
                    </w:rPr>
                    <w:t>2709.70km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，占全市总面积的</w:t>
                  </w:r>
                  <w:r>
                    <w:rPr>
                      <w:rFonts w:hint="default" w:ascii="Times New Roman" w:hAnsi="Times New Roman" w:eastAsia="宋体" w:cs="Times New Roman"/>
                      <w:bCs/>
                      <w:color w:val="auto"/>
                      <w:kern w:val="2"/>
                      <w:sz w:val="21"/>
                      <w:szCs w:val="21"/>
                      <w:highlight w:val="none"/>
                      <w:lang w:val="en-US" w:eastAsia="zh-CN" w:bidi="ar"/>
                    </w:rPr>
                    <w:t>16.16%</w:t>
                  </w:r>
                  <w:r>
                    <w:rPr>
                      <w:rFonts w:hint="eastAsia" w:ascii="Times New Roman" w:hAnsi="Times New Roman" w:eastAsia="宋体" w:cs="宋体"/>
                      <w:bCs/>
                      <w:color w:val="auto"/>
                      <w:kern w:val="2"/>
                      <w:sz w:val="21"/>
                      <w:szCs w:val="21"/>
                      <w:highlight w:val="none"/>
                      <w:lang w:val="en-US" w:eastAsia="zh-CN" w:bidi="ar"/>
                    </w:rPr>
                    <w:t>。一般管控单元个数为</w:t>
                  </w:r>
                  <w:r>
                    <w:rPr>
                      <w:rFonts w:hint="default" w:ascii="Times New Roman" w:hAnsi="Times New Roman" w:eastAsia="宋体" w:cs="Times New Roman"/>
                      <w:bCs/>
                      <w:color w:val="auto"/>
                      <w:kern w:val="2"/>
                      <w:sz w:val="21"/>
                      <w:szCs w:val="21"/>
                      <w:highlight w:val="none"/>
                      <w:lang w:val="en-US" w:eastAsia="zh-CN" w:bidi="ar"/>
                    </w:rPr>
                    <w:t>12</w:t>
                  </w:r>
                  <w:r>
                    <w:rPr>
                      <w:rFonts w:hint="eastAsia" w:ascii="Times New Roman" w:hAnsi="Times New Roman" w:eastAsia="宋体" w:cs="宋体"/>
                      <w:bCs/>
                      <w:color w:val="auto"/>
                      <w:kern w:val="2"/>
                      <w:sz w:val="21"/>
                      <w:szCs w:val="21"/>
                      <w:highlight w:val="none"/>
                      <w:lang w:val="en-US" w:eastAsia="zh-CN" w:bidi="ar"/>
                    </w:rPr>
                    <w:t>个，其面积为</w:t>
                  </w:r>
                  <w:r>
                    <w:rPr>
                      <w:rFonts w:hint="default" w:ascii="Times New Roman" w:hAnsi="Times New Roman" w:eastAsia="宋体" w:cs="Times New Roman"/>
                      <w:bCs/>
                      <w:color w:val="auto"/>
                      <w:kern w:val="2"/>
                      <w:sz w:val="21"/>
                      <w:szCs w:val="21"/>
                      <w:highlight w:val="none"/>
                      <w:lang w:val="en-US" w:eastAsia="zh-CN" w:bidi="ar"/>
                    </w:rPr>
                    <w:t>6911.28km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，占全市总面积的</w:t>
                  </w:r>
                  <w:r>
                    <w:rPr>
                      <w:rFonts w:hint="default" w:ascii="Times New Roman" w:hAnsi="Times New Roman" w:eastAsia="宋体" w:cs="Times New Roman"/>
                      <w:bCs/>
                      <w:color w:val="auto"/>
                      <w:kern w:val="2"/>
                      <w:sz w:val="21"/>
                      <w:szCs w:val="21"/>
                      <w:highlight w:val="none"/>
                      <w:lang w:val="en-US" w:eastAsia="zh-CN" w:bidi="ar"/>
                    </w:rPr>
                    <w:t>41.24%</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优先保护单元：为生态保护红线、一般生态空间、水环境优先保护区、大气环境优先保护区的并集。优先保护单元以严格保护生态环境、严格限制产业发展为导向，禁止或限制大规模的工业开发和城镇建设。</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重点管控单元：在扣除优先保护单元的基础上，将水环境重点管控区、大气环境重点管控区、禁燃区、地下水开采等重点管控区等与乡镇行政边界、工业园区等进行空间叠加拟合，形成重点管控单元。重点管控单元总体上以守住环境质量底线、积极发展社会经济为导向，实施环境治理修复和差异的环境准入。</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一般管控单元：除优先保护单元和重点管控单元之外的其他区域全部纳入一般管控单元。一般管控单元以适度发展社会经济、避免大规模高强度开发为导向，执行区域生态环境保护的基本要求。</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本项目位于一般管控单元，项目运行期无废水、废气、固体废物产生，对周围环境影响较小，因此符合一般管控单元的要求。</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本项目与吴忠市环境管控单元位置关系示意图见附图2。</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环境质量底线及分区管控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color w:val="auto"/>
                      <w:highlight w:val="none"/>
                      <w:lang w:val="en-US"/>
                    </w:rPr>
                  </w:pPr>
                  <w:r>
                    <w:rPr>
                      <w:rFonts w:hint="eastAsia" w:ascii="Times New Roman" w:hAnsi="Times New Roman" w:eastAsia="宋体" w:cs="宋体"/>
                      <w:color w:val="auto"/>
                      <w:kern w:val="2"/>
                      <w:sz w:val="21"/>
                      <w:szCs w:val="24"/>
                      <w:highlight w:val="none"/>
                      <w:lang w:val="en-US" w:eastAsia="zh-CN" w:bidi="ar"/>
                    </w:rPr>
                    <w:t>吴忠市水环境管控分区共分为三大类：水环境优先保护区、水环境重点管控区（包含工业污染源重点管控区、农业污染源重点管控区）和水环境一般管控区水环境优先保护区：全市城镇集中式饮用水水源地保护区、水产种质资源保护区、源头水、湿地公园及河湖湿地等高功能水体划定为水环境优先保护区。</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水环境优先保护区：将全市城镇集中式饮用水水源地保护区、水产种质资源保护区、源头水、湿地公园及河湖湿地等高功能水体划定为水环境优先保护区。共划定水环境优先保护区</w:t>
                  </w:r>
                  <w:r>
                    <w:rPr>
                      <w:rFonts w:hint="default" w:ascii="Times New Roman" w:hAnsi="Times New Roman" w:eastAsia="宋体" w:cs="Times New Roman"/>
                      <w:color w:val="auto"/>
                      <w:kern w:val="2"/>
                      <w:sz w:val="21"/>
                      <w:szCs w:val="24"/>
                      <w:highlight w:val="none"/>
                      <w:lang w:val="en-US" w:eastAsia="zh-CN" w:bidi="ar"/>
                    </w:rPr>
                    <w:t>22</w:t>
                  </w:r>
                  <w:r>
                    <w:rPr>
                      <w:rFonts w:hint="eastAsia" w:ascii="Times New Roman" w:hAnsi="Times New Roman" w:eastAsia="宋体" w:cs="宋体"/>
                      <w:color w:val="auto"/>
                      <w:kern w:val="2"/>
                      <w:sz w:val="21"/>
                      <w:szCs w:val="24"/>
                      <w:highlight w:val="none"/>
                      <w:lang w:val="en-US" w:eastAsia="zh-CN" w:bidi="ar"/>
                    </w:rPr>
                    <w:t>个，共划定面积为</w:t>
                  </w:r>
                  <w:r>
                    <w:rPr>
                      <w:rFonts w:hint="default" w:ascii="Times New Roman" w:hAnsi="Times New Roman" w:eastAsia="宋体" w:cs="Times New Roman"/>
                      <w:color w:val="auto"/>
                      <w:kern w:val="2"/>
                      <w:sz w:val="21"/>
                      <w:szCs w:val="24"/>
                      <w:highlight w:val="none"/>
                      <w:lang w:val="en-US" w:eastAsia="zh-CN" w:bidi="ar"/>
                    </w:rPr>
                    <w:t>1612.96</w:t>
                  </w:r>
                  <w:r>
                    <w:rPr>
                      <w:rFonts w:hint="eastAsia" w:ascii="Times New Roman" w:hAnsi="Times New Roman" w:eastAsia="宋体" w:cs="宋体"/>
                      <w:color w:val="auto"/>
                      <w:kern w:val="2"/>
                      <w:sz w:val="21"/>
                      <w:szCs w:val="24"/>
                      <w:highlight w:val="none"/>
                      <w:lang w:val="en-US" w:eastAsia="zh-CN" w:bidi="ar"/>
                    </w:rPr>
                    <w:t>方公里，占全市总面积的</w:t>
                  </w:r>
                  <w:r>
                    <w:rPr>
                      <w:rFonts w:hint="default" w:ascii="Times New Roman" w:hAnsi="Times New Roman" w:eastAsia="宋体" w:cs="Times New Roman"/>
                      <w:color w:val="auto"/>
                      <w:kern w:val="2"/>
                      <w:sz w:val="21"/>
                      <w:szCs w:val="24"/>
                      <w:highlight w:val="none"/>
                      <w:lang w:val="en-US" w:eastAsia="zh-CN" w:bidi="ar"/>
                    </w:rPr>
                    <w:t>3.10%</w:t>
                  </w:r>
                  <w:r>
                    <w:rPr>
                      <w:rFonts w:hint="eastAsia" w:ascii="Times New Roman" w:hAnsi="Times New Roman" w:eastAsia="宋体" w:cs="宋体"/>
                      <w:color w:val="auto"/>
                      <w:kern w:val="2"/>
                      <w:sz w:val="21"/>
                      <w:szCs w:val="24"/>
                      <w:highlight w:val="none"/>
                      <w:lang w:val="en-US" w:eastAsia="zh-CN" w:bidi="ar"/>
                    </w:rPr>
                    <w:t>。</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重点管控区：将工业园区所在控制单元作为水环境工业污染源重点管控区。将水质超标（存有黑臭水体）的控制单元作为重点管控区，其中结合控制单元污染负荷情况将单元划分为水环境农业污染重点管控区。共划定</w:t>
                  </w:r>
                  <w:r>
                    <w:rPr>
                      <w:rFonts w:hint="default" w:ascii="Times New Roman" w:hAnsi="Times New Roman" w:eastAsia="宋体" w:cs="Times New Roman"/>
                      <w:color w:val="auto"/>
                      <w:kern w:val="2"/>
                      <w:sz w:val="21"/>
                      <w:szCs w:val="24"/>
                      <w:highlight w:val="none"/>
                      <w:lang w:val="en-US" w:eastAsia="zh-CN" w:bidi="ar"/>
                    </w:rPr>
                    <w:t>12</w:t>
                  </w:r>
                  <w:r>
                    <w:rPr>
                      <w:rFonts w:hint="eastAsia" w:ascii="Times New Roman" w:hAnsi="Times New Roman" w:eastAsia="宋体" w:cs="宋体"/>
                      <w:color w:val="auto"/>
                      <w:kern w:val="2"/>
                      <w:sz w:val="21"/>
                      <w:szCs w:val="24"/>
                      <w:highlight w:val="none"/>
                      <w:lang w:val="en-US" w:eastAsia="zh-CN" w:bidi="ar"/>
                    </w:rPr>
                    <w:t>个重点管控区，划定面积为</w:t>
                  </w:r>
                  <w:r>
                    <w:rPr>
                      <w:rFonts w:hint="default" w:ascii="Times New Roman" w:hAnsi="Times New Roman" w:eastAsia="宋体" w:cs="Times New Roman"/>
                      <w:color w:val="auto"/>
                      <w:kern w:val="2"/>
                      <w:sz w:val="21"/>
                      <w:szCs w:val="24"/>
                      <w:highlight w:val="none"/>
                      <w:lang w:val="en-US" w:eastAsia="zh-CN" w:bidi="ar"/>
                    </w:rPr>
                    <w:t>347.08</w:t>
                  </w:r>
                  <w:r>
                    <w:rPr>
                      <w:rFonts w:hint="eastAsia" w:ascii="Times New Roman" w:hAnsi="Times New Roman" w:eastAsia="宋体" w:cs="宋体"/>
                      <w:color w:val="auto"/>
                      <w:kern w:val="2"/>
                      <w:sz w:val="21"/>
                      <w:szCs w:val="24"/>
                      <w:highlight w:val="none"/>
                      <w:lang w:val="en-US" w:eastAsia="zh-CN" w:bidi="ar"/>
                    </w:rPr>
                    <w:t>平方公里，占国土面积的</w:t>
                  </w:r>
                  <w:r>
                    <w:rPr>
                      <w:rFonts w:hint="default" w:ascii="Times New Roman" w:hAnsi="Times New Roman" w:eastAsia="宋体" w:cs="Times New Roman"/>
                      <w:color w:val="auto"/>
                      <w:kern w:val="2"/>
                      <w:sz w:val="21"/>
                      <w:szCs w:val="24"/>
                      <w:highlight w:val="none"/>
                      <w:lang w:val="en-US" w:eastAsia="zh-CN" w:bidi="ar"/>
                    </w:rPr>
                    <w:t>0.67%</w:t>
                  </w:r>
                  <w:r>
                    <w:rPr>
                      <w:rFonts w:hint="eastAsia" w:ascii="Times New Roman" w:hAnsi="Times New Roman" w:eastAsia="宋体" w:cs="宋体"/>
                      <w:color w:val="auto"/>
                      <w:kern w:val="2"/>
                      <w:sz w:val="21"/>
                      <w:szCs w:val="24"/>
                      <w:highlight w:val="none"/>
                      <w:lang w:val="en-US" w:eastAsia="zh-CN" w:bidi="ar"/>
                    </w:rPr>
                    <w:t>。</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水环境一般管控区：将除水环境优先保护区、水环境重点管控区之外的其它区域作为水环境一般管控区，共划定一般管控区</w:t>
                  </w:r>
                  <w:r>
                    <w:rPr>
                      <w:rFonts w:hint="default" w:ascii="Times New Roman" w:hAnsi="Times New Roman" w:eastAsia="宋体" w:cs="Times New Roman"/>
                      <w:color w:val="auto"/>
                      <w:kern w:val="2"/>
                      <w:sz w:val="21"/>
                      <w:szCs w:val="24"/>
                      <w:highlight w:val="none"/>
                      <w:lang w:val="en-US" w:eastAsia="zh-CN" w:bidi="ar"/>
                    </w:rPr>
                    <w:t>29</w:t>
                  </w:r>
                  <w:r>
                    <w:rPr>
                      <w:rFonts w:hint="eastAsia" w:ascii="Times New Roman" w:hAnsi="Times New Roman" w:eastAsia="宋体" w:cs="宋体"/>
                      <w:color w:val="auto"/>
                      <w:kern w:val="2"/>
                      <w:sz w:val="21"/>
                      <w:szCs w:val="24"/>
                      <w:highlight w:val="none"/>
                      <w:lang w:val="en-US" w:eastAsia="zh-CN" w:bidi="ar"/>
                    </w:rPr>
                    <w:t>个，划定面积为</w:t>
                  </w:r>
                  <w:r>
                    <w:rPr>
                      <w:rFonts w:hint="default" w:ascii="Times New Roman" w:hAnsi="Times New Roman" w:eastAsia="宋体" w:cs="Times New Roman"/>
                      <w:color w:val="auto"/>
                      <w:kern w:val="2"/>
                      <w:sz w:val="21"/>
                      <w:szCs w:val="24"/>
                      <w:highlight w:val="none"/>
                      <w:lang w:val="en-US" w:eastAsia="zh-CN" w:bidi="ar"/>
                    </w:rPr>
                    <w:t>14805.99</w:t>
                  </w:r>
                  <w:r>
                    <w:rPr>
                      <w:rFonts w:hint="eastAsia" w:ascii="Times New Roman" w:hAnsi="Times New Roman" w:eastAsia="宋体" w:cs="宋体"/>
                      <w:color w:val="auto"/>
                      <w:kern w:val="2"/>
                      <w:sz w:val="21"/>
                      <w:szCs w:val="24"/>
                      <w:highlight w:val="none"/>
                      <w:lang w:val="en-US" w:eastAsia="zh-CN" w:bidi="ar"/>
                    </w:rPr>
                    <w:t>平方公里，占全市国土面积的</w:t>
                  </w:r>
                  <w:r>
                    <w:rPr>
                      <w:rFonts w:hint="default" w:ascii="Times New Roman" w:hAnsi="Times New Roman" w:eastAsia="宋体" w:cs="Times New Roman"/>
                      <w:color w:val="auto"/>
                      <w:kern w:val="2"/>
                      <w:sz w:val="21"/>
                      <w:szCs w:val="24"/>
                      <w:highlight w:val="none"/>
                      <w:lang w:val="en-US" w:eastAsia="zh-CN" w:bidi="ar"/>
                    </w:rPr>
                    <w:t>28.49%</w:t>
                  </w:r>
                  <w:r>
                    <w:rPr>
                      <w:rFonts w:hint="eastAsia" w:ascii="Times New Roman" w:hAnsi="Times New Roman" w:eastAsia="宋体" w:cs="宋体"/>
                      <w:color w:val="auto"/>
                      <w:kern w:val="2"/>
                      <w:sz w:val="21"/>
                      <w:szCs w:val="24"/>
                      <w:highlight w:val="none"/>
                      <w:lang w:val="en-US" w:eastAsia="zh-CN" w:bidi="ar"/>
                    </w:rPr>
                    <w:t>。</w:t>
                  </w:r>
                </w:p>
                <w:p>
                  <w:pPr>
                    <w:keepNext w:val="0"/>
                    <w:keepLines w:val="0"/>
                    <w:widowControl w:val="0"/>
                    <w:suppressLineNumbers w:val="0"/>
                    <w:spacing w:before="0" w:beforeAutospacing="0" w:after="120" w:afterAutospacing="0"/>
                    <w:ind w:left="0" w:leftChars="0" w:right="0" w:firstLine="0" w:firstLineChars="0"/>
                    <w:jc w:val="both"/>
                    <w:rPr>
                      <w:rFonts w:ascii="宋体" w:hAnsi="宋体" w:eastAsia="宋体" w:cs="Times New Roman"/>
                      <w:color w:val="auto"/>
                      <w:kern w:val="0"/>
                      <w:sz w:val="24"/>
                      <w:szCs w:val="24"/>
                      <w:highlight w:val="none"/>
                      <w:lang w:val="en-US" w:eastAsia="zh-CN" w:bidi="ar-SA"/>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对水环境问题相对较少，对区域影响程度较轻的一般控制单元，落实普适性治理要求，加强污染预防。</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水环境一般管控区。本项目运行期无废水产生，对区域环境水质量影响较小。因此，本项目的建设符合水环境一般管控区中的要求。本项目与吴忠市水环境分区管控位置关系图见附图</w:t>
                  </w:r>
                  <w:r>
                    <w:rPr>
                      <w:rFonts w:hint="eastAsia" w:ascii="Times New Roman" w:hAnsi="Times New Roman" w:eastAsia="宋体" w:cs="Times New Roman"/>
                      <w:bCs/>
                      <w:color w:val="auto"/>
                      <w:kern w:val="2"/>
                      <w:sz w:val="21"/>
                      <w:szCs w:val="21"/>
                      <w:highlight w:val="none"/>
                      <w:lang w:val="en-US" w:eastAsia="zh-CN" w:bidi="ar"/>
                    </w:rPr>
                    <w:t>3</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基于大气环境脆弱性、敏感性、重要性评价结果，考虑大气污染传输规律和城市用地特征，识别网格单元主导属性，将吴忠市划分为大气环境优先保护区、大气环境重点管控区和大气环境一般管控区，实施分类管理</w:t>
                  </w:r>
                </w:p>
                <w:p>
                  <w:pPr>
                    <w:keepNext w:val="0"/>
                    <w:keepLines w:val="0"/>
                    <w:widowControl w:val="0"/>
                    <w:numPr>
                      <w:ilvl w:val="0"/>
                      <w:numId w:val="2"/>
                    </w:numPr>
                    <w:suppressLineNumbers w:val="0"/>
                    <w:spacing w:before="0" w:beforeAutospacing="0" w:after="0" w:afterAutospacing="0"/>
                    <w:ind w:left="0" w:right="0" w:firstLine="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大气环境优先保护区：将全市范围内的自然保护区、风景名胜区、森林公园等环境空气质量功能区一类区识别为大气环境优先保护区，总面积</w:t>
                  </w:r>
                  <w:r>
                    <w:rPr>
                      <w:rFonts w:hint="default" w:ascii="Times New Roman" w:hAnsi="Times New Roman" w:eastAsia="宋体" w:cs="Times New Roman"/>
                      <w:bCs/>
                      <w:color w:val="auto"/>
                      <w:kern w:val="2"/>
                      <w:sz w:val="21"/>
                      <w:szCs w:val="21"/>
                      <w:highlight w:val="none"/>
                      <w:lang w:val="en-US" w:eastAsia="zh-CN" w:bidi="ar"/>
                    </w:rPr>
                    <w:t>1412.52</w:t>
                  </w:r>
                  <w:r>
                    <w:rPr>
                      <w:rFonts w:hint="eastAsia" w:ascii="Times New Roman" w:hAnsi="Times New Roman" w:eastAsia="宋体" w:cs="宋体"/>
                      <w:bCs/>
                      <w:color w:val="auto"/>
                      <w:kern w:val="2"/>
                      <w:sz w:val="21"/>
                      <w:szCs w:val="21"/>
                      <w:highlight w:val="none"/>
                      <w:lang w:val="en-US" w:eastAsia="zh-CN" w:bidi="ar"/>
                    </w:rPr>
                    <w:t>平方公里，单元个数为</w:t>
                  </w:r>
                  <w:r>
                    <w:rPr>
                      <w:rFonts w:hint="default" w:ascii="Times New Roman" w:hAnsi="Times New Roman" w:eastAsia="宋体" w:cs="Times New Roman"/>
                      <w:bCs/>
                      <w:color w:val="auto"/>
                      <w:kern w:val="2"/>
                      <w:sz w:val="21"/>
                      <w:szCs w:val="21"/>
                      <w:highlight w:val="none"/>
                      <w:lang w:val="en-US" w:eastAsia="zh-CN" w:bidi="ar"/>
                    </w:rPr>
                    <w:t>7</w:t>
                  </w:r>
                  <w:r>
                    <w:rPr>
                      <w:rFonts w:hint="eastAsia" w:ascii="Times New Roman" w:hAnsi="Times New Roman" w:eastAsia="宋体" w:cs="宋体"/>
                      <w:bCs/>
                      <w:color w:val="auto"/>
                      <w:kern w:val="2"/>
                      <w:sz w:val="21"/>
                      <w:szCs w:val="21"/>
                      <w:highlight w:val="none"/>
                      <w:lang w:val="en-US" w:eastAsia="zh-CN" w:bidi="ar"/>
                    </w:rPr>
                    <w:t>个，占全市面积的</w:t>
                  </w:r>
                  <w:r>
                    <w:rPr>
                      <w:rFonts w:hint="default" w:ascii="Times New Roman" w:hAnsi="Times New Roman" w:eastAsia="宋体" w:cs="Times New Roman"/>
                      <w:bCs/>
                      <w:color w:val="auto"/>
                      <w:kern w:val="2"/>
                      <w:sz w:val="21"/>
                      <w:szCs w:val="21"/>
                      <w:highlight w:val="none"/>
                      <w:lang w:val="en-US" w:eastAsia="zh-CN" w:bidi="ar"/>
                    </w:rPr>
                    <w:t>8.41%</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numPr>
                      <w:ilvl w:val="0"/>
                      <w:numId w:val="2"/>
                    </w:numPr>
                    <w:suppressLineNumbers w:val="0"/>
                    <w:spacing w:before="0" w:beforeAutospacing="0" w:after="0" w:afterAutospacing="0"/>
                    <w:ind w:left="0" w:right="0" w:firstLine="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大气环境重点管控区：将工业园区等大气污染物高排放区域，上风向、扩散通道、环流通道等影响空气质量的布局敏感区域，静风或风速较小的弱扩散区域，人群密集的受体敏感区域，识别为大气环境重点管控区，重点管控单元个数为</w:t>
                  </w:r>
                  <w:r>
                    <w:rPr>
                      <w:rFonts w:hint="default" w:ascii="Times New Roman" w:hAnsi="Times New Roman" w:eastAsia="宋体" w:cs="Times New Roman"/>
                      <w:bCs/>
                      <w:color w:val="auto"/>
                      <w:kern w:val="2"/>
                      <w:sz w:val="21"/>
                      <w:szCs w:val="21"/>
                      <w:highlight w:val="none"/>
                      <w:lang w:val="en-US" w:eastAsia="zh-CN" w:bidi="ar"/>
                    </w:rPr>
                    <w:t>32</w:t>
                  </w:r>
                  <w:r>
                    <w:rPr>
                      <w:rFonts w:hint="eastAsia" w:ascii="Times New Roman" w:hAnsi="Times New Roman" w:eastAsia="宋体" w:cs="宋体"/>
                      <w:bCs/>
                      <w:color w:val="auto"/>
                      <w:kern w:val="2"/>
                      <w:sz w:val="21"/>
                      <w:szCs w:val="21"/>
                      <w:highlight w:val="none"/>
                      <w:lang w:val="en-US" w:eastAsia="zh-CN" w:bidi="ar"/>
                    </w:rPr>
                    <w:t>个，总面积</w:t>
                  </w:r>
                  <w:r>
                    <w:rPr>
                      <w:rFonts w:hint="default" w:ascii="Times New Roman" w:hAnsi="Times New Roman" w:eastAsia="宋体" w:cs="Times New Roman"/>
                      <w:bCs/>
                      <w:color w:val="auto"/>
                      <w:kern w:val="2"/>
                      <w:sz w:val="21"/>
                      <w:szCs w:val="21"/>
                      <w:highlight w:val="none"/>
                      <w:lang w:val="en-US" w:eastAsia="zh-CN" w:bidi="ar"/>
                    </w:rPr>
                    <w:t>2774.55</w:t>
                  </w:r>
                  <w:r>
                    <w:rPr>
                      <w:rFonts w:hint="eastAsia" w:ascii="Times New Roman" w:hAnsi="Times New Roman" w:eastAsia="宋体" w:cs="宋体"/>
                      <w:bCs/>
                      <w:color w:val="auto"/>
                      <w:kern w:val="2"/>
                      <w:sz w:val="21"/>
                      <w:szCs w:val="21"/>
                      <w:highlight w:val="none"/>
                      <w:lang w:val="en-US" w:eastAsia="zh-CN" w:bidi="ar"/>
                    </w:rPr>
                    <w:t>平方公里，占全市面积的</w:t>
                  </w:r>
                  <w:r>
                    <w:rPr>
                      <w:rFonts w:hint="default" w:ascii="Times New Roman" w:hAnsi="Times New Roman" w:eastAsia="宋体" w:cs="Times New Roman"/>
                      <w:bCs/>
                      <w:color w:val="auto"/>
                      <w:kern w:val="2"/>
                      <w:sz w:val="21"/>
                      <w:szCs w:val="21"/>
                      <w:highlight w:val="none"/>
                      <w:lang w:val="en-US" w:eastAsia="zh-CN" w:bidi="ar"/>
                    </w:rPr>
                    <w:t>16.52%</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default" w:ascii="Times New Roman" w:hAnsi="Times New Roman" w:eastAsia="宋体" w:cs="Times New Roman"/>
                      <w:bCs/>
                      <w:color w:val="auto"/>
                      <w:kern w:val="2"/>
                      <w:sz w:val="21"/>
                      <w:szCs w:val="21"/>
                      <w:highlight w:val="none"/>
                      <w:lang w:val="en-US" w:eastAsia="zh-CN" w:bidi="ar"/>
                    </w:rPr>
                    <w:t>3</w:t>
                  </w:r>
                  <w:r>
                    <w:rPr>
                      <w:rFonts w:hint="eastAsia" w:ascii="Times New Roman" w:hAnsi="Times New Roman" w:eastAsia="宋体" w:cs="宋体"/>
                      <w:bCs/>
                      <w:color w:val="auto"/>
                      <w:kern w:val="2"/>
                      <w:sz w:val="21"/>
                      <w:szCs w:val="21"/>
                      <w:highlight w:val="none"/>
                      <w:lang w:val="en-US" w:eastAsia="zh-CN" w:bidi="ar"/>
                    </w:rPr>
                    <w:t>、大气环境一般管控区：将大气环境优先保护区、重点管控区外的其他区域纳入大气环境一般管控区，单元个数为</w:t>
                  </w:r>
                  <w:r>
                    <w:rPr>
                      <w:rFonts w:hint="default" w:ascii="Times New Roman" w:hAnsi="Times New Roman" w:eastAsia="宋体" w:cs="Times New Roman"/>
                      <w:bCs/>
                      <w:color w:val="auto"/>
                      <w:kern w:val="2"/>
                      <w:sz w:val="21"/>
                      <w:szCs w:val="21"/>
                      <w:highlight w:val="none"/>
                      <w:lang w:val="en-US" w:eastAsia="zh-CN" w:bidi="ar"/>
                    </w:rPr>
                    <w:t>43</w:t>
                  </w:r>
                  <w:r>
                    <w:rPr>
                      <w:rFonts w:hint="eastAsia" w:ascii="Times New Roman" w:hAnsi="Times New Roman" w:eastAsia="宋体" w:cs="宋体"/>
                      <w:bCs/>
                      <w:color w:val="auto"/>
                      <w:kern w:val="2"/>
                      <w:sz w:val="21"/>
                      <w:szCs w:val="21"/>
                      <w:highlight w:val="none"/>
                      <w:lang w:val="en-US" w:eastAsia="zh-CN" w:bidi="ar"/>
                    </w:rPr>
                    <w:t>个，总面积</w:t>
                  </w:r>
                  <w:r>
                    <w:rPr>
                      <w:rFonts w:hint="default" w:ascii="Times New Roman" w:hAnsi="Times New Roman" w:eastAsia="宋体" w:cs="Times New Roman"/>
                      <w:bCs/>
                      <w:color w:val="auto"/>
                      <w:kern w:val="2"/>
                      <w:sz w:val="21"/>
                      <w:szCs w:val="21"/>
                      <w:highlight w:val="none"/>
                      <w:lang w:val="en-US" w:eastAsia="zh-CN" w:bidi="ar"/>
                    </w:rPr>
                    <w:t>12603.43</w:t>
                  </w:r>
                  <w:r>
                    <w:rPr>
                      <w:rFonts w:hint="eastAsia" w:ascii="Times New Roman" w:hAnsi="Times New Roman" w:eastAsia="宋体" w:cs="宋体"/>
                      <w:bCs/>
                      <w:color w:val="auto"/>
                      <w:kern w:val="2"/>
                      <w:sz w:val="21"/>
                      <w:szCs w:val="21"/>
                      <w:highlight w:val="none"/>
                      <w:lang w:val="en-US" w:eastAsia="zh-CN" w:bidi="ar"/>
                    </w:rPr>
                    <w:t>平方公里，占全市面积的</w:t>
                  </w:r>
                  <w:r>
                    <w:rPr>
                      <w:rFonts w:hint="default" w:ascii="Times New Roman" w:hAnsi="Times New Roman" w:eastAsia="宋体" w:cs="Times New Roman"/>
                      <w:bCs/>
                      <w:color w:val="auto"/>
                      <w:kern w:val="2"/>
                      <w:sz w:val="21"/>
                      <w:szCs w:val="21"/>
                      <w:highlight w:val="none"/>
                      <w:lang w:val="en-US" w:eastAsia="zh-CN" w:bidi="ar"/>
                    </w:rPr>
                    <w:t>75.06%</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项目位于吴忠市同心县河西镇，属于大气环境一般管控区。本项目运行期无废气产生，对区域环境空气质量影响较小。因此，本项目的建设符合大气环境一般管控区中的要求。</w:t>
                  </w:r>
                </w:p>
                <w:p>
                  <w:pPr>
                    <w:keepNext w:val="0"/>
                    <w:keepLines w:val="0"/>
                    <w:widowControl w:val="0"/>
                    <w:suppressLineNumbers w:val="0"/>
                    <w:spacing w:before="0" w:beforeAutospacing="0" w:after="0" w:afterAutospacing="0"/>
                    <w:ind w:left="0" w:right="0"/>
                    <w:jc w:val="both"/>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本项目与吴忠市大气环境分区管控位置关系图见附图</w:t>
                  </w:r>
                  <w:r>
                    <w:rPr>
                      <w:rFonts w:hint="eastAsia" w:ascii="Times New Roman" w:hAnsi="Times New Roman" w:eastAsia="宋体" w:cs="Times New Roman"/>
                      <w:bCs/>
                      <w:color w:val="auto"/>
                      <w:kern w:val="2"/>
                      <w:sz w:val="21"/>
                      <w:szCs w:val="21"/>
                      <w:highlight w:val="none"/>
                      <w:lang w:val="en-US" w:eastAsia="zh-CN" w:bidi="ar"/>
                    </w:rPr>
                    <w:t>4</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eastAsia" w:ascii="Times New Roman" w:hAnsi="Times New Roman" w:eastAsia="宋体" w:cs="Times New Roman"/>
                      <w:bCs/>
                      <w:color w:val="auto"/>
                      <w:szCs w:val="21"/>
                      <w:highlight w:val="none"/>
                      <w:lang w:val="en-US" w:eastAsia="zh-CN"/>
                    </w:rPr>
                  </w:pPr>
                  <w:r>
                    <w:rPr>
                      <w:rFonts w:hint="eastAsia" w:ascii="Times New Roman" w:hAnsi="Times New Roman" w:eastAsia="宋体" w:cs="Times New Roman"/>
                      <w:bCs/>
                      <w:color w:val="auto"/>
                      <w:szCs w:val="21"/>
                      <w:highlight w:val="no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根据自治区土壤污染状况详查结果，将吴忠土壤污染风险管控分区分为农用地优先保护区、建设用地土壤污染风险重点管控区和一般管控区。</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农用地优先保护区：根据农用地土壤污染状况详查结果，将永久基本农田作为农用地优先保护区。由于全市农用地土壤环境质量总体良好，暂不划分农用地污染风险重点管控区。</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建设用地污染风险重点管控区：以</w:t>
                  </w:r>
                  <w:r>
                    <w:rPr>
                      <w:rFonts w:hint="default" w:ascii="Times New Roman" w:hAnsi="Times New Roman" w:eastAsia="宋体" w:cs="Times New Roman"/>
                      <w:bCs/>
                      <w:color w:val="auto"/>
                      <w:kern w:val="2"/>
                      <w:sz w:val="21"/>
                      <w:szCs w:val="21"/>
                      <w:highlight w:val="none"/>
                      <w:lang w:val="en-US" w:eastAsia="zh-CN" w:bidi="ar"/>
                    </w:rPr>
                    <w:t>①</w:t>
                  </w:r>
                  <w:r>
                    <w:rPr>
                      <w:rFonts w:hint="eastAsia" w:ascii="Times New Roman" w:hAnsi="Times New Roman" w:eastAsia="宋体" w:cs="宋体"/>
                      <w:bCs/>
                      <w:color w:val="auto"/>
                      <w:kern w:val="2"/>
                      <w:sz w:val="21"/>
                      <w:szCs w:val="21"/>
                      <w:highlight w:val="none"/>
                      <w:lang w:val="en-US" w:eastAsia="zh-CN" w:bidi="ar"/>
                    </w:rPr>
                    <w:t>土壤环境重点监管企业、疑似污染地块、涉重金属行业企业、重点行业企业用地调查初筛分数较高地块相对集中的乡镇；</w:t>
                  </w:r>
                  <w:r>
                    <w:rPr>
                      <w:rFonts w:hint="default" w:ascii="Times New Roman" w:hAnsi="Times New Roman" w:eastAsia="宋体" w:cs="Times New Roman"/>
                      <w:bCs/>
                      <w:color w:val="auto"/>
                      <w:kern w:val="2"/>
                      <w:sz w:val="21"/>
                      <w:szCs w:val="21"/>
                      <w:highlight w:val="none"/>
                      <w:lang w:val="en-US" w:eastAsia="zh-CN" w:bidi="ar"/>
                    </w:rPr>
                    <w:t>②</w:t>
                  </w:r>
                  <w:r>
                    <w:rPr>
                      <w:rFonts w:hint="eastAsia" w:ascii="Times New Roman" w:hAnsi="Times New Roman" w:eastAsia="宋体" w:cs="宋体"/>
                      <w:bCs/>
                      <w:color w:val="auto"/>
                      <w:kern w:val="2"/>
                      <w:sz w:val="21"/>
                      <w:szCs w:val="21"/>
                      <w:highlight w:val="none"/>
                      <w:lang w:val="en-US" w:eastAsia="zh-CN" w:bidi="ar"/>
                    </w:rPr>
                    <w:t>上述企业和地块分布相对集中且主导产业（依据宁党办</w:t>
                  </w:r>
                  <w:r>
                    <w:rPr>
                      <w:rFonts w:hint="default" w:ascii="Times New Roman" w:hAnsi="Times New Roman" w:eastAsia="宋体" w:cs="Times New Roman"/>
                      <w:bCs/>
                      <w:color w:val="auto"/>
                      <w:kern w:val="2"/>
                      <w:sz w:val="21"/>
                      <w:szCs w:val="21"/>
                      <w:highlight w:val="none"/>
                      <w:lang w:val="en-US" w:eastAsia="zh-CN" w:bidi="ar"/>
                    </w:rPr>
                    <w:t>[2018]82</w:t>
                  </w:r>
                  <w:r>
                    <w:rPr>
                      <w:rFonts w:hint="eastAsia" w:ascii="Times New Roman" w:hAnsi="Times New Roman" w:eastAsia="宋体" w:cs="宋体"/>
                      <w:bCs/>
                      <w:color w:val="auto"/>
                      <w:kern w:val="2"/>
                      <w:sz w:val="21"/>
                      <w:szCs w:val="21"/>
                      <w:highlight w:val="none"/>
                      <w:lang w:val="en-US" w:eastAsia="zh-CN" w:bidi="ar"/>
                    </w:rPr>
                    <w:t>号文确定）包含土壤环境污染防控重</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点行业的开发区；</w:t>
                  </w:r>
                  <w:r>
                    <w:rPr>
                      <w:rFonts w:hint="default" w:ascii="Times New Roman" w:hAnsi="Times New Roman" w:eastAsia="宋体" w:cs="Times New Roman"/>
                      <w:bCs/>
                      <w:color w:val="auto"/>
                      <w:kern w:val="2"/>
                      <w:sz w:val="21"/>
                      <w:szCs w:val="21"/>
                      <w:highlight w:val="none"/>
                      <w:lang w:val="en-US" w:eastAsia="zh-CN" w:bidi="ar"/>
                    </w:rPr>
                    <w:t>③</w:t>
                  </w:r>
                  <w:r>
                    <w:rPr>
                      <w:rFonts w:hint="eastAsia" w:ascii="Times New Roman" w:hAnsi="Times New Roman" w:eastAsia="宋体" w:cs="宋体"/>
                      <w:bCs/>
                      <w:color w:val="auto"/>
                      <w:kern w:val="2"/>
                      <w:sz w:val="21"/>
                      <w:szCs w:val="21"/>
                      <w:highlight w:val="none"/>
                      <w:lang w:val="en-US" w:eastAsia="zh-CN" w:bidi="ar"/>
                    </w:rPr>
                    <w:t>重金属污染防控重点区域，上述区域作为建设用地污染风险重点管控区。最后，吴忠市建设用地污染风险重点管控区主要包括吴忠太阳山开发区和盐池县高沙窝镇和花马池镇、青铜峡市青铜峡镇、利通区金积镇。</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一般管控区：除农用地优先保护区及农用地、建设用地污染风险重点管控区之外的其他区域。</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项目位于吴忠市同心县河西镇，属于一般管控区。运行期不存在土壤污染情况，对区域土壤环境质量无影响。因此，本项目的建设符合一般管控区要求。</w:t>
                  </w:r>
                </w:p>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本项目与吴忠市土壤污染风险分区管控关系图见附图</w:t>
                  </w:r>
                  <w:r>
                    <w:rPr>
                      <w:rFonts w:hint="eastAsia" w:ascii="Times New Roman" w:hAnsi="Times New Roman" w:eastAsia="宋体" w:cs="Times New Roman"/>
                      <w:bCs/>
                      <w:color w:val="auto"/>
                      <w:kern w:val="2"/>
                      <w:sz w:val="21"/>
                      <w:szCs w:val="21"/>
                      <w:highlight w:val="none"/>
                      <w:lang w:val="en-US" w:eastAsia="zh-CN" w:bidi="ar"/>
                    </w:rPr>
                    <w:t>5</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资源利用上线及分区管控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水资源利用上线及分区管控：</w:t>
                  </w:r>
                </w:p>
                <w:p>
                  <w:pPr>
                    <w:keepNext w:val="0"/>
                    <w:keepLines w:val="0"/>
                    <w:widowControl w:val="0"/>
                    <w:suppressLineNumbers w:val="0"/>
                    <w:spacing w:before="0" w:beforeAutospacing="0" w:after="0" w:afterAutospacing="0"/>
                    <w:ind w:left="0" w:leftChars="0" w:right="0" w:firstLine="0" w:firstLineChars="0"/>
                    <w:jc w:val="both"/>
                    <w:rPr>
                      <w:rFonts w:ascii="宋体" w:hAnsi="宋体" w:eastAsia="宋体" w:cs="Times New Roman"/>
                      <w:color w:val="auto"/>
                      <w:kern w:val="0"/>
                      <w:sz w:val="24"/>
                      <w:szCs w:val="24"/>
                      <w:highlight w:val="none"/>
                      <w:lang w:val="en-US" w:eastAsia="zh-CN" w:bidi="ar-SA"/>
                    </w:rPr>
                  </w:pPr>
                  <w:r>
                    <w:rPr>
                      <w:rFonts w:hint="eastAsia" w:ascii="Times New Roman" w:hAnsi="Times New Roman" w:eastAsia="宋体" w:cs="宋体"/>
                      <w:color w:val="auto"/>
                      <w:kern w:val="2"/>
                      <w:sz w:val="21"/>
                      <w:szCs w:val="24"/>
                      <w:highlight w:val="none"/>
                      <w:lang w:val="en-US" w:eastAsia="zh-CN" w:bidi="ar"/>
                    </w:rPr>
                    <w:t>将吴忠市及县级行政区用水总量及强度未达标的区域（利通区、青铜峡市、同心县、红寺堡），作为水资源利用上线重点管控区，其它区域划为一般管控区。重点管控区要求：优化灌溉方式，加强农业节水。加快产业技术升级，开展工业节水。加大宣传力度，推进城市生活节水。强化水资源承载能力刚性约束。</w:t>
                  </w:r>
                </w:p>
                <w:p>
                  <w:pPr>
                    <w:keepNext w:val="0"/>
                    <w:keepLines w:val="0"/>
                    <w:widowControl w:val="0"/>
                    <w:suppressLineNumbers w:val="0"/>
                    <w:spacing w:before="0" w:beforeAutospacing="0" w:after="0" w:afterAutospacing="0"/>
                    <w:ind w:left="0" w:leftChars="0" w:right="0" w:firstLine="0" w:firstLineChars="0"/>
                    <w:jc w:val="both"/>
                    <w:rPr>
                      <w:rFonts w:ascii="宋体" w:hAnsi="宋体" w:eastAsia="宋体" w:cs="Times New Roman"/>
                      <w:color w:val="auto"/>
                      <w:kern w:val="0"/>
                      <w:sz w:val="24"/>
                      <w:szCs w:val="24"/>
                      <w:highlight w:val="none"/>
                      <w:lang w:val="en-US" w:eastAsia="zh-CN" w:bidi="ar-SA"/>
                    </w:rPr>
                  </w:pPr>
                  <w:r>
                    <w:rPr>
                      <w:rFonts w:hint="eastAsia" w:ascii="Times New Roman" w:hAnsi="Times New Roman" w:eastAsia="宋体" w:cs="宋体"/>
                      <w:color w:val="auto"/>
                      <w:kern w:val="2"/>
                      <w:sz w:val="21"/>
                      <w:szCs w:val="24"/>
                      <w:highlight w:val="none"/>
                      <w:lang w:val="en-US" w:eastAsia="zh-CN" w:bidi="ar"/>
                    </w:rPr>
                    <w:t>土地资源利用上线及分区管控：</w:t>
                  </w:r>
                </w:p>
                <w:p>
                  <w:pPr>
                    <w:keepNext w:val="0"/>
                    <w:keepLines w:val="0"/>
                    <w:widowControl w:val="0"/>
                    <w:suppressLineNumbers w:val="0"/>
                    <w:spacing w:before="0" w:beforeAutospacing="0" w:after="0" w:afterAutospacing="0"/>
                    <w:ind w:left="0" w:leftChars="0" w:right="0" w:firstLine="0" w:firstLineChars="0"/>
                    <w:jc w:val="both"/>
                    <w:rPr>
                      <w:rFonts w:ascii="宋体" w:hAnsi="宋体" w:eastAsia="宋体" w:cs="Times New Roman"/>
                      <w:bCs/>
                      <w:color w:val="auto"/>
                      <w:kern w:val="0"/>
                      <w:sz w:val="24"/>
                      <w:szCs w:val="21"/>
                      <w:highlight w:val="none"/>
                      <w:lang w:val="en-US" w:eastAsia="zh-CN" w:bidi="ar-SA"/>
                    </w:rPr>
                  </w:pPr>
                  <w:r>
                    <w:rPr>
                      <w:rFonts w:hint="eastAsia" w:ascii="Times New Roman" w:hAnsi="Times New Roman" w:eastAsia="宋体" w:cs="宋体"/>
                      <w:bCs/>
                      <w:color w:val="auto"/>
                      <w:kern w:val="2"/>
                      <w:sz w:val="21"/>
                      <w:szCs w:val="21"/>
                      <w:highlight w:val="none"/>
                      <w:lang w:val="en-US" w:eastAsia="zh-CN" w:bidi="ar"/>
                    </w:rPr>
                    <w:t>根据</w:t>
                  </w:r>
                  <w:r>
                    <w:rPr>
                      <w:rFonts w:hint="default" w:ascii="Times New Roman" w:hAnsi="Times New Roman" w:eastAsia="宋体" w:cs="Times New Roman"/>
                      <w:bCs/>
                      <w:color w:val="auto"/>
                      <w:kern w:val="2"/>
                      <w:sz w:val="21"/>
                      <w:szCs w:val="21"/>
                      <w:highlight w:val="none"/>
                      <w:lang w:val="en-US" w:eastAsia="zh-CN" w:bidi="ar"/>
                    </w:rPr>
                    <w:t>“</w:t>
                  </w:r>
                  <w:r>
                    <w:rPr>
                      <w:rFonts w:hint="eastAsia" w:ascii="Times New Roman" w:hAnsi="Times New Roman" w:eastAsia="宋体" w:cs="宋体"/>
                      <w:bCs/>
                      <w:color w:val="auto"/>
                      <w:kern w:val="2"/>
                      <w:sz w:val="21"/>
                      <w:szCs w:val="21"/>
                      <w:highlight w:val="none"/>
                      <w:lang w:val="en-US" w:eastAsia="zh-CN" w:bidi="ar"/>
                    </w:rPr>
                    <w:t>三线一单</w:t>
                  </w:r>
                  <w:r>
                    <w:rPr>
                      <w:rFonts w:hint="default" w:ascii="Times New Roman" w:hAnsi="Times New Roman" w:eastAsia="宋体" w:cs="Times New Roman"/>
                      <w:bCs/>
                      <w:color w:val="auto"/>
                      <w:kern w:val="2"/>
                      <w:sz w:val="21"/>
                      <w:szCs w:val="21"/>
                      <w:highlight w:val="none"/>
                      <w:lang w:val="en-US" w:eastAsia="zh-CN" w:bidi="ar"/>
                    </w:rPr>
                    <w:t>”</w:t>
                  </w:r>
                  <w:r>
                    <w:rPr>
                      <w:rFonts w:hint="eastAsia" w:ascii="Times New Roman" w:hAnsi="Times New Roman" w:eastAsia="宋体" w:cs="宋体"/>
                      <w:bCs/>
                      <w:color w:val="auto"/>
                      <w:kern w:val="2"/>
                      <w:sz w:val="21"/>
                      <w:szCs w:val="21"/>
                      <w:highlight w:val="none"/>
                      <w:lang w:val="en-US" w:eastAsia="zh-CN" w:bidi="ar"/>
                    </w:rPr>
                    <w:t>技术指南研究分析，吴忠市暂无土地资源利用重点管控区。</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水资源利用上线重点管控区、土地资源一般管控区。项目占地类型为其他草地，未占用基本农田，因此，符合土地资源一般管控区；本项目以拦泥防洪为主，兼顾生产交通和生态，可有效减少水土流失。因此，本项目的实施符合资源利用上线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吴忠市生态环境准入清单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08"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rFonts w:ascii="Times New Roman" w:hAnsi="Times New Roman" w:eastAsia="宋体" w:cs="Times New Roman"/>
                      <w:color w:val="auto"/>
                      <w:highlight w:val="none"/>
                      <w:lang w:val="en-US"/>
                    </w:rPr>
                  </w:pPr>
                  <w:r>
                    <w:rPr>
                      <w:rFonts w:hint="eastAsia" w:ascii="Times New Roman" w:hAnsi="Times New Roman" w:eastAsia="宋体" w:cs="宋体"/>
                      <w:bCs/>
                      <w:color w:val="auto"/>
                      <w:kern w:val="2"/>
                      <w:sz w:val="21"/>
                      <w:szCs w:val="21"/>
                      <w:highlight w:val="none"/>
                      <w:lang w:val="en-US" w:eastAsia="zh-CN" w:bidi="ar"/>
                    </w:rPr>
                    <w:t>吴忠市生态环境准入清单</w:t>
                  </w:r>
                  <w:r>
                    <w:rPr>
                      <w:rFonts w:hint="default" w:ascii="Times New Roman" w:hAnsi="Times New Roman" w:eastAsia="宋体" w:cs="Times New Roman"/>
                      <w:bCs/>
                      <w:color w:val="auto"/>
                      <w:kern w:val="2"/>
                      <w:sz w:val="21"/>
                      <w:szCs w:val="21"/>
                      <w:highlight w:val="none"/>
                      <w:lang w:val="en-US" w:eastAsia="zh-CN" w:bidi="ar"/>
                    </w:rPr>
                    <w:t>—ZH64032410003同心县河西镇生态空间优先保护单元；该管控单元的主体功能定位为中部荒漠草原防沙治沙区、国家级重点生态功能区；空间布局约束为不得开展《宁夏回族自治区国家重点生态功能区产业准入清单》中同心县的产业准入清单外的产业项目活动</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本项目建设内容为</w:t>
                  </w:r>
                  <w:r>
                    <w:rPr>
                      <w:rFonts w:hint="eastAsia" w:cs="宋体"/>
                      <w:bCs/>
                      <w:color w:val="auto"/>
                      <w:kern w:val="2"/>
                      <w:sz w:val="21"/>
                      <w:szCs w:val="21"/>
                      <w:highlight w:val="none"/>
                      <w:lang w:val="en-US" w:eastAsia="zh-CN" w:bidi="ar"/>
                    </w:rPr>
                    <w:t>淤地坝工程</w:t>
                  </w:r>
                  <w:r>
                    <w:rPr>
                      <w:rFonts w:hint="eastAsia" w:ascii="Times New Roman" w:hAnsi="Times New Roman" w:eastAsia="宋体" w:cs="宋体"/>
                      <w:bCs/>
                      <w:color w:val="auto"/>
                      <w:kern w:val="2"/>
                      <w:sz w:val="21"/>
                      <w:szCs w:val="21"/>
                      <w:highlight w:val="none"/>
                      <w:lang w:val="en-US" w:eastAsia="zh-CN" w:bidi="ar"/>
                    </w:rPr>
                    <w:t>，根据《宁夏回族自治区同心县国家重点生态功能区产业准入负面清单》，本项目不属于限制类和禁止类，项目未占用基本农田，符合该区域重点管控单元的相关要求。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ascii="Times New Roman" w:hAnsi="Times New Roman" w:eastAsia="宋体" w:cs="Times New Roman"/>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bl>
          <w:p>
            <w:pPr>
              <w:autoSpaceDE w:val="0"/>
              <w:autoSpaceDN w:val="0"/>
              <w:spacing w:line="360" w:lineRule="auto"/>
              <w:ind w:firstLine="480" w:firstLineChars="200"/>
              <w:rPr>
                <w:rFonts w:hint="eastAsia"/>
                <w:bCs/>
                <w:color w:val="auto"/>
                <w:sz w:val="24"/>
                <w:highlight w:val="none"/>
              </w:rPr>
            </w:pP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本项目建设地点位于吴忠市同心县河西镇，根据《吴忠市人民政府关于实施“三线一单”生态环境分区管控的意见》，项目位于</w:t>
            </w:r>
            <w:r>
              <w:rPr>
                <w:rFonts w:hint="eastAsia"/>
                <w:bCs/>
                <w:color w:val="auto"/>
                <w:sz w:val="24"/>
                <w:highlight w:val="none"/>
                <w:lang w:val="en-US" w:eastAsia="zh-CN"/>
              </w:rPr>
              <w:t>优先保护单元，</w:t>
            </w:r>
            <w:r>
              <w:rPr>
                <w:rFonts w:hint="eastAsia"/>
                <w:bCs/>
                <w:color w:val="auto"/>
                <w:sz w:val="24"/>
                <w:highlight w:val="none"/>
              </w:rPr>
              <w:t>该管控单元的主体功能定位为中部荒漠草原防沙治沙区、国家级重点生态功能区；空间布局约束为不得开展《宁夏回族自治区国家重点生态功能区产业准入</w:t>
            </w:r>
            <w:r>
              <w:rPr>
                <w:rFonts w:hint="eastAsia"/>
                <w:bCs/>
                <w:color w:val="auto"/>
                <w:sz w:val="24"/>
                <w:highlight w:val="none"/>
                <w:lang w:val="en-US" w:eastAsia="zh-CN"/>
              </w:rPr>
              <w:t>负面</w:t>
            </w:r>
            <w:r>
              <w:rPr>
                <w:rFonts w:hint="eastAsia"/>
                <w:bCs/>
                <w:color w:val="auto"/>
                <w:sz w:val="24"/>
                <w:highlight w:val="none"/>
              </w:rPr>
              <w:t>清单》中同心县的产业准入清单外的产业项目活动；区域内划入永久基本农田的优先保护类耕地，除法律规定的重点建设项目选址确实无法避让外，不得擅自占用。本项目建设内容为</w:t>
            </w:r>
            <w:r>
              <w:rPr>
                <w:rFonts w:hint="eastAsia"/>
                <w:color w:val="auto"/>
                <w:sz w:val="24"/>
                <w:highlight w:val="none"/>
              </w:rPr>
              <w:t>淤地坝</w:t>
            </w:r>
            <w:r>
              <w:rPr>
                <w:rFonts w:hint="eastAsia"/>
                <w:bCs/>
                <w:color w:val="auto"/>
                <w:sz w:val="24"/>
                <w:highlight w:val="none"/>
              </w:rPr>
              <w:t>，根据《宁夏回族自治区同心县国家重点生态功能区产业准入</w:t>
            </w:r>
            <w:r>
              <w:rPr>
                <w:rFonts w:hint="eastAsia"/>
                <w:bCs/>
                <w:color w:val="auto"/>
                <w:sz w:val="24"/>
                <w:highlight w:val="none"/>
                <w:lang w:val="en-US" w:eastAsia="zh-CN"/>
              </w:rPr>
              <w:t>负面</w:t>
            </w:r>
            <w:r>
              <w:rPr>
                <w:rFonts w:hint="eastAsia"/>
                <w:bCs/>
                <w:color w:val="auto"/>
                <w:sz w:val="24"/>
                <w:highlight w:val="none"/>
              </w:rPr>
              <w:t>清单》，本项目不属于限制类和禁止类</w:t>
            </w:r>
            <w:r>
              <w:rPr>
                <w:rFonts w:hint="eastAsia"/>
                <w:bCs/>
                <w:color w:val="auto"/>
                <w:sz w:val="24"/>
                <w:highlight w:val="none"/>
                <w:lang w:eastAsia="zh-CN"/>
              </w:rPr>
              <w:t>；项目不占用基本农田</w:t>
            </w:r>
            <w:r>
              <w:rPr>
                <w:rFonts w:hint="eastAsia"/>
                <w:bCs/>
                <w:color w:val="auto"/>
                <w:sz w:val="24"/>
                <w:highlight w:val="none"/>
              </w:rPr>
              <w:t>。因此，本项目符合</w:t>
            </w:r>
            <w:r>
              <w:rPr>
                <w:rFonts w:hint="eastAsia"/>
                <w:bCs/>
                <w:color w:val="auto"/>
                <w:sz w:val="24"/>
                <w:highlight w:val="none"/>
                <w:lang w:val="en-US" w:eastAsia="zh-CN"/>
              </w:rPr>
              <w:t>优先保护单元管控要求</w:t>
            </w:r>
            <w:r>
              <w:rPr>
                <w:rFonts w:hint="eastAsia"/>
                <w:bCs/>
                <w:color w:val="auto"/>
                <w:sz w:val="24"/>
                <w:highlight w:val="none"/>
              </w:rPr>
              <w:t>。</w:t>
            </w:r>
          </w:p>
          <w:p>
            <w:pPr>
              <w:autoSpaceDE w:val="0"/>
              <w:autoSpaceDN w:val="0"/>
              <w:spacing w:line="360" w:lineRule="auto"/>
              <w:ind w:firstLine="480" w:firstLineChars="200"/>
              <w:rPr>
                <w:bCs/>
                <w:color w:val="auto"/>
                <w:sz w:val="24"/>
                <w:highlight w:val="none"/>
              </w:rPr>
            </w:pPr>
            <w:r>
              <w:rPr>
                <w:rFonts w:hint="eastAsia"/>
                <w:bCs/>
                <w:color w:val="auto"/>
                <w:sz w:val="24"/>
                <w:highlight w:val="none"/>
                <w:lang w:val="en-US" w:eastAsia="zh-CN"/>
              </w:rPr>
              <w:t>本项目</w:t>
            </w:r>
            <w:r>
              <w:rPr>
                <w:rFonts w:hint="eastAsia"/>
                <w:bCs/>
                <w:color w:val="auto"/>
                <w:sz w:val="24"/>
                <w:highlight w:val="none"/>
              </w:rPr>
              <w:t>建设符合《吴忠市人民政府关于实施“三线一单”生态环境分区管控的意见》要求。</w:t>
            </w:r>
          </w:p>
          <w:p>
            <w:pPr>
              <w:autoSpaceDE w:val="0"/>
              <w:autoSpaceDN w:val="0"/>
              <w:spacing w:line="360" w:lineRule="auto"/>
              <w:ind w:firstLine="482" w:firstLineChars="200"/>
              <w:rPr>
                <w:bCs/>
                <w:color w:val="auto"/>
                <w:sz w:val="24"/>
                <w:highlight w:val="none"/>
              </w:rPr>
            </w:pPr>
            <w:r>
              <w:rPr>
                <w:rFonts w:hint="eastAsia"/>
                <w:b/>
                <w:color w:val="auto"/>
                <w:sz w:val="24"/>
                <w:highlight w:val="none"/>
                <w:lang w:val="en-US" w:eastAsia="zh-CN"/>
              </w:rPr>
              <w:t>4</w:t>
            </w:r>
            <w:r>
              <w:rPr>
                <w:rFonts w:hint="eastAsia"/>
                <w:b/>
                <w:color w:val="auto"/>
                <w:sz w:val="24"/>
                <w:highlight w:val="none"/>
              </w:rPr>
              <w:t>、产业政策符合性分析</w:t>
            </w:r>
            <w:r>
              <w:rPr>
                <w:rFonts w:hint="eastAsia"/>
                <w:bCs/>
                <w:color w:val="auto"/>
                <w:sz w:val="24"/>
                <w:highlight w:val="none"/>
              </w:rPr>
              <w:t xml:space="preserve"> </w:t>
            </w:r>
          </w:p>
          <w:p>
            <w:pPr>
              <w:autoSpaceDE w:val="0"/>
              <w:autoSpaceDN w:val="0"/>
              <w:spacing w:line="360" w:lineRule="auto"/>
              <w:ind w:firstLine="480" w:firstLineChars="200"/>
              <w:rPr>
                <w:bCs/>
                <w:color w:val="auto"/>
                <w:highlight w:val="none"/>
              </w:rPr>
            </w:pPr>
            <w:r>
              <w:rPr>
                <w:rFonts w:hint="eastAsia"/>
                <w:bCs/>
                <w:color w:val="auto"/>
                <w:sz w:val="24"/>
                <w:highlight w:val="none"/>
              </w:rPr>
              <w:t>根据《产业结构调整指导目录（2019年本）》，本项目为鼓励类“第二、水利”中的“淤地坝工程”，属于“鼓励类”项目。</w:t>
            </w:r>
          </w:p>
        </w:tc>
      </w:tr>
    </w:tbl>
    <w:p>
      <w:pPr>
        <w:spacing w:line="360" w:lineRule="auto"/>
        <w:outlineLvl w:val="0"/>
        <w:rPr>
          <w:rFonts w:eastAsia="黑体"/>
          <w:color w:val="auto"/>
          <w:sz w:val="30"/>
          <w:highlight w:val="none"/>
        </w:rPr>
        <w:sectPr>
          <w:footerReference r:id="rId6"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1"/>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二、建设内容</w:t>
      </w:r>
    </w:p>
    <w:tbl>
      <w:tblPr>
        <w:tblStyle w:val="24"/>
        <w:tblW w:w="956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885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地理位置</w:t>
            </w:r>
          </w:p>
        </w:tc>
        <w:tc>
          <w:tcPr>
            <w:tcW w:w="8859" w:type="dxa"/>
            <w:vAlign w:val="center"/>
          </w:tcPr>
          <w:p>
            <w:pPr>
              <w:spacing w:line="360" w:lineRule="auto"/>
              <w:ind w:firstLine="480" w:firstLineChars="200"/>
              <w:rPr>
                <w:color w:val="auto"/>
                <w:sz w:val="24"/>
                <w:highlight w:val="none"/>
              </w:rPr>
            </w:pPr>
            <w:r>
              <w:rPr>
                <w:color w:val="auto"/>
                <w:sz w:val="24"/>
                <w:highlight w:val="none"/>
              </w:rPr>
              <w:t>本项目</w:t>
            </w:r>
            <w:r>
              <w:rPr>
                <w:rFonts w:hint="eastAsia"/>
                <w:color w:val="auto"/>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河西镇菊花台村北侧</w:t>
            </w:r>
            <w:r>
              <w:rPr>
                <w:rFonts w:hint="eastAsia"/>
                <w:color w:val="auto"/>
                <w:sz w:val="24"/>
                <w:highlight w:val="none"/>
                <w:lang w:val="en-US" w:eastAsia="zh-CN"/>
              </w:rPr>
              <w:t>约300m</w:t>
            </w:r>
            <w:r>
              <w:rPr>
                <w:rFonts w:hint="eastAsia"/>
                <w:color w:val="auto"/>
                <w:sz w:val="24"/>
                <w:highlight w:val="none"/>
              </w:rPr>
              <w:t>，</w:t>
            </w:r>
            <w:r>
              <w:rPr>
                <w:rFonts w:hint="eastAsia"/>
                <w:color w:val="auto"/>
                <w:sz w:val="24"/>
                <w:highlight w:val="none"/>
                <w:lang w:val="en-US" w:eastAsia="zh-CN"/>
              </w:rPr>
              <w:t>位于清水河流域、清水河</w:t>
            </w:r>
            <w:r>
              <w:rPr>
                <w:rFonts w:hint="eastAsia"/>
                <w:color w:val="auto"/>
                <w:sz w:val="24"/>
                <w:highlight w:val="none"/>
              </w:rPr>
              <w:t>右岸一级支沟三道沟</w:t>
            </w:r>
            <w:r>
              <w:rPr>
                <w:rFonts w:hint="eastAsia"/>
                <w:color w:val="auto"/>
                <w:sz w:val="24"/>
                <w:highlight w:val="none"/>
                <w:lang w:val="en-US" w:eastAsia="zh-CN"/>
              </w:rPr>
              <w:t>上，地理位置东经10</w:t>
            </w:r>
            <w:r>
              <w:rPr>
                <w:rFonts w:hint="default" w:ascii="Times New Roman" w:hAnsi="Times New Roman" w:cs="Times New Roman"/>
                <w:color w:val="auto"/>
                <w:sz w:val="24"/>
                <w:highlight w:val="none"/>
                <w:lang w:val="en-US" w:eastAsia="zh-CN"/>
              </w:rPr>
              <w:t>5°</w:t>
            </w:r>
            <w:r>
              <w:rPr>
                <w:rFonts w:hint="eastAsia" w:cs="Times New Roman"/>
                <w:color w:val="auto"/>
                <w:sz w:val="24"/>
                <w:highlight w:val="none"/>
                <w:lang w:val="en-US" w:eastAsia="zh-CN"/>
              </w:rPr>
              <w:t>54</w:t>
            </w:r>
            <w:r>
              <w:rPr>
                <w:rFonts w:hint="default" w:ascii="Times New Roman" w:hAnsi="Times New Roman" w:cs="Times New Roman"/>
                <w:color w:val="auto"/>
                <w:sz w:val="24"/>
                <w:highlight w:val="none"/>
                <w:lang w:val="en-US" w:eastAsia="zh-CN"/>
              </w:rPr>
              <w:t>′4</w:t>
            </w:r>
            <w:r>
              <w:rPr>
                <w:rFonts w:hint="eastAsia" w:cs="Times New Roman"/>
                <w:color w:val="auto"/>
                <w:sz w:val="24"/>
                <w:highlight w:val="none"/>
                <w:lang w:val="en-US" w:eastAsia="zh-CN"/>
              </w:rPr>
              <w:t>40.563</w:t>
            </w:r>
            <w:r>
              <w:rPr>
                <w:rFonts w:hint="default" w:ascii="Times New Roman" w:hAnsi="Times New Roman" w:cs="Times New Roman"/>
                <w:color w:val="auto"/>
                <w:sz w:val="24"/>
                <w:highlight w:val="none"/>
                <w:lang w:val="en-US" w:eastAsia="zh-CN"/>
              </w:rPr>
              <w:t>″，北纬37°</w:t>
            </w:r>
            <w:r>
              <w:rPr>
                <w:rFonts w:hint="eastAsia" w:cs="Times New Roman"/>
                <w:color w:val="auto"/>
                <w:sz w:val="24"/>
                <w:highlight w:val="none"/>
                <w:lang w:val="en-US" w:eastAsia="zh-CN"/>
              </w:rPr>
              <w:t>5</w:t>
            </w:r>
            <w:r>
              <w:rPr>
                <w:rFonts w:hint="default" w:ascii="Times New Roman" w:hAnsi="Times New Roman" w:cs="Times New Roman"/>
                <w:color w:val="auto"/>
                <w:sz w:val="24"/>
                <w:highlight w:val="none"/>
                <w:lang w:val="en-US" w:eastAsia="zh-CN"/>
              </w:rPr>
              <w:t>′</w:t>
            </w:r>
            <w:r>
              <w:rPr>
                <w:rFonts w:hint="eastAsia" w:cs="Times New Roman"/>
                <w:color w:val="auto"/>
                <w:sz w:val="24"/>
                <w:highlight w:val="none"/>
                <w:lang w:val="en-US" w:eastAsia="zh-CN"/>
              </w:rPr>
              <w:t>38.924</w:t>
            </w:r>
            <w:r>
              <w:rPr>
                <w:rFonts w:hint="default" w:ascii="Times New Roman" w:hAnsi="Times New Roman" w:cs="Times New Roman"/>
                <w:color w:val="auto"/>
                <w:sz w:val="24"/>
                <w:highlight w:val="none"/>
                <w:lang w:val="en-US" w:eastAsia="zh-CN"/>
              </w:rPr>
              <w:t>″</w:t>
            </w:r>
            <w:r>
              <w:rPr>
                <w:rFonts w:hint="eastAsia"/>
                <w:color w:val="auto"/>
                <w:sz w:val="24"/>
                <w:highlight w:val="none"/>
                <w:lang w:val="en-US" w:eastAsia="zh-CN"/>
              </w:rPr>
              <w:t>，</w:t>
            </w:r>
            <w:r>
              <w:rPr>
                <w:rFonts w:hint="eastAsia" w:ascii="宋体" w:hAnsi="宋体"/>
                <w:color w:val="auto"/>
                <w:kern w:val="0"/>
                <w:sz w:val="24"/>
                <w:highlight w:val="none"/>
              </w:rPr>
              <w:t>距离同心县城</w:t>
            </w:r>
            <w:r>
              <w:rPr>
                <w:rFonts w:hint="default" w:ascii="Times New Roman" w:hAnsi="Times New Roman" w:cs="Times New Roman"/>
                <w:color w:val="auto"/>
                <w:kern w:val="0"/>
                <w:sz w:val="24"/>
                <w:highlight w:val="none"/>
              </w:rPr>
              <w:t>约17.0km</w:t>
            </w:r>
            <w:r>
              <w:rPr>
                <w:rFonts w:hint="eastAsia"/>
                <w:color w:val="auto"/>
                <w:sz w:val="24"/>
                <w:highlight w:val="none"/>
              </w:rPr>
              <w:t>。</w:t>
            </w:r>
          </w:p>
          <w:p>
            <w:pPr>
              <w:spacing w:line="360" w:lineRule="auto"/>
              <w:ind w:firstLine="480" w:firstLineChars="200"/>
              <w:rPr>
                <w:color w:val="auto"/>
                <w:kern w:val="0"/>
                <w:szCs w:val="21"/>
                <w:highlight w:val="none"/>
              </w:rPr>
            </w:pPr>
            <w:r>
              <w:rPr>
                <w:color w:val="auto"/>
                <w:sz w:val="24"/>
                <w:highlight w:val="none"/>
              </w:rPr>
              <w:t>项目地理位置详见</w:t>
            </w:r>
            <w:r>
              <w:rPr>
                <w:b w:val="0"/>
                <w:bCs w:val="0"/>
                <w:color w:val="auto"/>
                <w:sz w:val="24"/>
                <w:highlight w:val="none"/>
              </w:rPr>
              <w:t>附图</w:t>
            </w:r>
            <w:r>
              <w:rPr>
                <w:rFonts w:hint="eastAsia"/>
                <w:b w:val="0"/>
                <w:bCs w:val="0"/>
                <w:color w:val="auto"/>
                <w:sz w:val="24"/>
                <w:highlight w:val="none"/>
                <w:lang w:val="en-US" w:eastAsia="zh-CN"/>
              </w:rPr>
              <w:t>6</w:t>
            </w:r>
            <w:r>
              <w:rPr>
                <w:bCs/>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4"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项目组成及规模</w:t>
            </w:r>
          </w:p>
        </w:tc>
        <w:tc>
          <w:tcPr>
            <w:tcW w:w="8859" w:type="dxa"/>
            <w:vAlign w:val="center"/>
          </w:tcPr>
          <w:p>
            <w:pPr>
              <w:spacing w:line="360" w:lineRule="auto"/>
              <w:rPr>
                <w:b/>
                <w:bCs/>
                <w:color w:val="auto"/>
                <w:sz w:val="24"/>
                <w:highlight w:val="none"/>
              </w:rPr>
            </w:pPr>
            <w:r>
              <w:rPr>
                <w:b/>
                <w:bCs/>
                <w:color w:val="auto"/>
                <w:sz w:val="24"/>
                <w:highlight w:val="none"/>
              </w:rPr>
              <w:t>1、</w:t>
            </w:r>
            <w:r>
              <w:rPr>
                <w:rFonts w:hint="eastAsia"/>
                <w:b/>
                <w:bCs/>
                <w:color w:val="auto"/>
                <w:sz w:val="24"/>
                <w:highlight w:val="none"/>
              </w:rPr>
              <w:t>项目由来</w:t>
            </w:r>
          </w:p>
          <w:p>
            <w:pPr>
              <w:spacing w:line="360" w:lineRule="auto"/>
              <w:ind w:firstLine="480" w:firstLineChars="200"/>
              <w:rPr>
                <w:color w:val="auto"/>
                <w:sz w:val="24"/>
                <w:highlight w:val="none"/>
              </w:rPr>
            </w:pPr>
            <w:r>
              <w:rPr>
                <w:rFonts w:hint="eastAsia"/>
                <w:color w:val="auto"/>
                <w:sz w:val="24"/>
                <w:highlight w:val="none"/>
              </w:rPr>
              <w:t>苦水沟大型淤地坝地处同心县河西镇东，属南部山区黄土丘陵沟壑区第三副区。由于当地干旱少雨且年内分配不均，土壤疏松，植被稀少，梁峁沟壑纵横，地表受流水切割破碎，水土流失较为严重，影响当地群众正常生产生活。本次在清水河右岸一级支沟三道沟上新建苦水沟大型淤地坝工程，以拦泥防洪为主，兼顾生产交通和生态，可有效减少水土流失，提高沟道治理能力，对改善群众生产生活条件和周边环境具有重要作用。</w:t>
            </w:r>
          </w:p>
          <w:p>
            <w:pPr>
              <w:spacing w:line="360" w:lineRule="auto"/>
              <w:ind w:firstLine="480" w:firstLineChars="200"/>
              <w:rPr>
                <w:color w:val="auto"/>
                <w:sz w:val="24"/>
                <w:highlight w:val="none"/>
              </w:rPr>
            </w:pPr>
            <w:r>
              <w:rPr>
                <w:rFonts w:hint="eastAsia"/>
                <w:color w:val="auto"/>
                <w:sz w:val="24"/>
                <w:highlight w:val="none"/>
              </w:rPr>
              <w:t>根据《水利水电工程等级划分及洪水标准》(SL252-2017)，本工程属IV等小(1)型工程，主要建筑物坝体为4级建筑物，次要建筑物为5级建筑物。</w:t>
            </w:r>
          </w:p>
          <w:p>
            <w:pPr>
              <w:spacing w:line="360" w:lineRule="auto"/>
              <w:rPr>
                <w:b/>
                <w:bCs/>
                <w:color w:val="auto"/>
                <w:sz w:val="24"/>
                <w:highlight w:val="none"/>
              </w:rPr>
            </w:pPr>
            <w:r>
              <w:rPr>
                <w:rFonts w:hint="eastAsia"/>
                <w:b/>
                <w:bCs/>
                <w:color w:val="auto"/>
                <w:sz w:val="24"/>
                <w:highlight w:val="none"/>
              </w:rPr>
              <w:t>2、项目规模及构成</w:t>
            </w:r>
          </w:p>
          <w:p>
            <w:pPr>
              <w:spacing w:line="360" w:lineRule="auto"/>
              <w:ind w:firstLine="480" w:firstLineChars="200"/>
              <w:rPr>
                <w:color w:val="auto"/>
                <w:sz w:val="24"/>
                <w:highlight w:val="none"/>
              </w:rPr>
            </w:pPr>
            <w:r>
              <w:rPr>
                <w:rFonts w:hint="eastAsia"/>
                <w:color w:val="auto"/>
                <w:sz w:val="24"/>
                <w:highlight w:val="none"/>
              </w:rPr>
              <w:t>苦水沟淤地坝由坝体、放水建筑物和溢洪道三部分组成。淤地坝位于清水河右岸一级支沟苦水沟上，坝体垂直沟道布置，放水建筑物布置于右坝肩桩号0＋440处，溢洪道布置于右坝肩桩号0＋479.0处。</w:t>
            </w:r>
          </w:p>
          <w:p>
            <w:pPr>
              <w:spacing w:line="360" w:lineRule="auto"/>
              <w:ind w:firstLine="480" w:firstLineChars="200"/>
              <w:rPr>
                <w:color w:val="auto"/>
                <w:sz w:val="24"/>
                <w:highlight w:val="none"/>
              </w:rPr>
            </w:pPr>
            <w:r>
              <w:rPr>
                <w:rFonts w:hint="eastAsia"/>
                <w:color w:val="auto"/>
                <w:sz w:val="24"/>
                <w:highlight w:val="none"/>
              </w:rPr>
              <w:t>苦水沟淤地坝为大（1）型淤地坝，工程等别</w:t>
            </w:r>
            <w:r>
              <w:rPr>
                <w:color w:val="auto"/>
                <w:sz w:val="24"/>
                <w:highlight w:val="none"/>
              </w:rPr>
              <w:t>为Ⅳ</w:t>
            </w:r>
            <w:r>
              <w:rPr>
                <w:rFonts w:hint="eastAsia"/>
                <w:color w:val="auto"/>
                <w:sz w:val="24"/>
                <w:highlight w:val="none"/>
              </w:rPr>
              <w:t>等，设计洪水标准为30年一遇，设计淤积年限20年。</w:t>
            </w:r>
          </w:p>
          <w:p>
            <w:pPr>
              <w:spacing w:line="360" w:lineRule="auto"/>
              <w:rPr>
                <w:b/>
                <w:bCs/>
                <w:color w:val="auto"/>
                <w:sz w:val="24"/>
                <w:highlight w:val="none"/>
              </w:rPr>
            </w:pPr>
            <w:r>
              <w:rPr>
                <w:rFonts w:hint="eastAsia"/>
                <w:b/>
                <w:bCs/>
                <w:color w:val="auto"/>
                <w:sz w:val="24"/>
                <w:highlight w:val="none"/>
              </w:rPr>
              <w:t>3</w:t>
            </w:r>
            <w:r>
              <w:rPr>
                <w:b/>
                <w:bCs/>
                <w:color w:val="auto"/>
                <w:sz w:val="24"/>
                <w:highlight w:val="none"/>
              </w:rPr>
              <w:t>、项目</w:t>
            </w:r>
            <w:r>
              <w:rPr>
                <w:rFonts w:hint="eastAsia"/>
                <w:b/>
                <w:bCs/>
                <w:color w:val="auto"/>
                <w:sz w:val="24"/>
                <w:highlight w:val="none"/>
              </w:rPr>
              <w:t>组成</w:t>
            </w:r>
          </w:p>
          <w:p>
            <w:pPr>
              <w:spacing w:line="360" w:lineRule="auto"/>
              <w:ind w:firstLine="480" w:firstLineChars="200"/>
              <w:rPr>
                <w:color w:val="auto"/>
                <w:sz w:val="24"/>
                <w:szCs w:val="20"/>
                <w:highlight w:val="none"/>
              </w:rPr>
            </w:pPr>
            <w:r>
              <w:rPr>
                <w:color w:val="auto"/>
                <w:sz w:val="24"/>
                <w:highlight w:val="none"/>
              </w:rPr>
              <w:t>本项目</w:t>
            </w:r>
            <w:r>
              <w:rPr>
                <w:rFonts w:hint="eastAsia"/>
                <w:color w:val="auto"/>
                <w:sz w:val="24"/>
                <w:highlight w:val="none"/>
              </w:rPr>
              <w:t>主要由主体工程、辅助工程、临时工程、公用工程、环保工程等组成</w:t>
            </w:r>
            <w:r>
              <w:rPr>
                <w:color w:val="auto"/>
                <w:sz w:val="24"/>
                <w:szCs w:val="20"/>
                <w:highlight w:val="none"/>
              </w:rPr>
              <w:t>。</w:t>
            </w:r>
          </w:p>
          <w:p>
            <w:pPr>
              <w:spacing w:line="360" w:lineRule="auto"/>
              <w:ind w:firstLine="480" w:firstLineChars="200"/>
              <w:rPr>
                <w:b/>
                <w:color w:val="auto"/>
                <w:sz w:val="24"/>
                <w:szCs w:val="20"/>
                <w:highlight w:val="none"/>
              </w:rPr>
            </w:pPr>
            <w:r>
              <w:rPr>
                <w:color w:val="auto"/>
                <w:sz w:val="24"/>
                <w:szCs w:val="20"/>
                <w:highlight w:val="none"/>
              </w:rPr>
              <w:t>项目工程组成表见表2-1。</w:t>
            </w:r>
          </w:p>
          <w:p>
            <w:pPr>
              <w:ind w:firstLine="2600" w:firstLineChars="1079"/>
              <w:rPr>
                <w:b/>
                <w:color w:val="auto"/>
                <w:kern w:val="0"/>
                <w:sz w:val="24"/>
                <w:highlight w:val="none"/>
              </w:rPr>
            </w:pPr>
            <w:r>
              <w:rPr>
                <w:rFonts w:hint="default" w:ascii="Times New Roman" w:hAnsi="Times New Roman" w:eastAsia="黑体" w:cs="Times New Roman"/>
                <w:b/>
                <w:color w:val="auto"/>
                <w:kern w:val="0"/>
                <w:sz w:val="24"/>
                <w:highlight w:val="none"/>
              </w:rPr>
              <w:t>表2-1      项目组成及主要建设内容</w:t>
            </w:r>
          </w:p>
          <w:tbl>
            <w:tblPr>
              <w:tblStyle w:val="24"/>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481"/>
              <w:gridCol w:w="1141"/>
              <w:gridCol w:w="62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6" w:type="pct"/>
                  <w:shd w:val="clear" w:color="auto" w:fill="auto"/>
                  <w:vAlign w:val="center"/>
                </w:tcPr>
                <w:p>
                  <w:pPr>
                    <w:adjustRightInd w:val="0"/>
                    <w:snapToGrid w:val="0"/>
                    <w:jc w:val="center"/>
                    <w:rPr>
                      <w:color w:val="auto"/>
                      <w:kern w:val="0"/>
                      <w:szCs w:val="21"/>
                      <w:highlight w:val="none"/>
                    </w:rPr>
                  </w:pPr>
                  <w:r>
                    <w:rPr>
                      <w:color w:val="auto"/>
                      <w:kern w:val="0"/>
                      <w:szCs w:val="21"/>
                      <w:highlight w:val="none"/>
                    </w:rPr>
                    <w:t>工程</w:t>
                  </w:r>
                </w:p>
                <w:p>
                  <w:pPr>
                    <w:adjustRightInd w:val="0"/>
                    <w:snapToGrid w:val="0"/>
                    <w:jc w:val="center"/>
                    <w:rPr>
                      <w:color w:val="auto"/>
                      <w:kern w:val="0"/>
                      <w:szCs w:val="21"/>
                      <w:highlight w:val="none"/>
                    </w:rPr>
                  </w:pPr>
                  <w:r>
                    <w:rPr>
                      <w:color w:val="auto"/>
                      <w:kern w:val="0"/>
                      <w:szCs w:val="21"/>
                      <w:highlight w:val="none"/>
                    </w:rPr>
                    <w:t>规模</w:t>
                  </w: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本期规模</w:t>
                  </w:r>
                </w:p>
              </w:tc>
              <w:tc>
                <w:tcPr>
                  <w:tcW w:w="3621" w:type="pct"/>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具体内容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6" w:type="pct"/>
                  <w:vMerge w:val="restart"/>
                  <w:shd w:val="clear" w:color="auto" w:fill="auto"/>
                  <w:vAlign w:val="center"/>
                </w:tcPr>
                <w:p>
                  <w:pPr>
                    <w:adjustRightInd w:val="0"/>
                    <w:snapToGrid w:val="0"/>
                    <w:ind w:left="80" w:leftChars="38"/>
                    <w:rPr>
                      <w:color w:val="auto"/>
                      <w:kern w:val="0"/>
                      <w:szCs w:val="21"/>
                      <w:highlight w:val="none"/>
                    </w:rPr>
                  </w:pPr>
                  <w:r>
                    <w:rPr>
                      <w:color w:val="auto"/>
                      <w:kern w:val="0"/>
                      <w:szCs w:val="21"/>
                      <w:highlight w:val="none"/>
                    </w:rPr>
                    <w:t>主体</w:t>
                  </w:r>
                </w:p>
                <w:p>
                  <w:pPr>
                    <w:adjustRightInd w:val="0"/>
                    <w:snapToGrid w:val="0"/>
                    <w:ind w:left="80" w:leftChars="38"/>
                    <w:rPr>
                      <w:color w:val="auto"/>
                      <w:kern w:val="0"/>
                      <w:szCs w:val="21"/>
                      <w:highlight w:val="none"/>
                    </w:rPr>
                  </w:pPr>
                  <w:r>
                    <w:rPr>
                      <w:color w:val="auto"/>
                      <w:kern w:val="0"/>
                      <w:szCs w:val="21"/>
                      <w:highlight w:val="none"/>
                    </w:rPr>
                    <w:t>工程</w:t>
                  </w: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szCs w:val="21"/>
                      <w:highlight w:val="none"/>
                    </w:rPr>
                    <w:t>坝体工程</w:t>
                  </w:r>
                </w:p>
              </w:tc>
              <w:tc>
                <w:tcPr>
                  <w:tcW w:w="3621" w:type="pct"/>
                  <w:shd w:val="clear" w:color="auto" w:fill="auto"/>
                  <w:vAlign w:val="center"/>
                </w:tcPr>
                <w:p>
                  <w:pPr>
                    <w:tabs>
                      <w:tab w:val="left" w:pos="480"/>
                    </w:tabs>
                    <w:adjustRightInd w:val="0"/>
                    <w:snapToGrid w:val="0"/>
                    <w:ind w:right="76" w:rightChars="36"/>
                    <w:rPr>
                      <w:color w:val="auto"/>
                      <w:szCs w:val="21"/>
                      <w:highlight w:val="none"/>
                    </w:rPr>
                  </w:pPr>
                  <w:r>
                    <w:rPr>
                      <w:color w:val="auto"/>
                      <w:szCs w:val="21"/>
                      <w:highlight w:val="none"/>
                    </w:rPr>
                    <w:t>坝体为碾压式均质土坝，坝高为20.5米，坝顶高程为1405.00米，坝轴线长495米，坝顶宽4.0米。上游坝坡坡比为1：2.25，下游坝坡坡比为1：2.0，上下游坝坡均采用植物护坡。安装预警系统和监测设施1套。设计总库容175.38万立方米，拦泥库容89.87万立方米，滞洪库容85.51万立方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6" w:type="pct"/>
                  <w:vMerge w:val="continue"/>
                  <w:shd w:val="clear" w:color="auto" w:fill="auto"/>
                  <w:vAlign w:val="center"/>
                </w:tcPr>
                <w:p>
                  <w:pPr>
                    <w:adjustRightInd w:val="0"/>
                    <w:snapToGrid w:val="0"/>
                    <w:ind w:firstLine="105" w:firstLineChars="50"/>
                    <w:jc w:val="center"/>
                    <w:rPr>
                      <w:color w:val="auto"/>
                      <w:kern w:val="0"/>
                      <w:szCs w:val="21"/>
                      <w:highlight w:val="none"/>
                    </w:rPr>
                  </w:pP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放水建筑物工程</w:t>
                  </w:r>
                </w:p>
              </w:tc>
              <w:tc>
                <w:tcPr>
                  <w:tcW w:w="3621" w:type="pct"/>
                  <w:shd w:val="clear" w:color="auto" w:fill="auto"/>
                  <w:vAlign w:val="center"/>
                </w:tcPr>
                <w:p>
                  <w:pPr>
                    <w:tabs>
                      <w:tab w:val="left" w:pos="480"/>
                    </w:tabs>
                    <w:adjustRightInd w:val="0"/>
                    <w:snapToGrid w:val="0"/>
                    <w:ind w:right="76" w:rightChars="36"/>
                    <w:rPr>
                      <w:color w:val="auto"/>
                      <w:kern w:val="0"/>
                      <w:szCs w:val="21"/>
                      <w:highlight w:val="none"/>
                    </w:rPr>
                  </w:pPr>
                  <w:r>
                    <w:rPr>
                      <w:color w:val="auto"/>
                      <w:kern w:val="0"/>
                      <w:szCs w:val="21"/>
                      <w:highlight w:val="none"/>
                    </w:rPr>
                    <w:t>由卧管、消力池、坝下涵洞、明渠段组成。其中：卧管总高11.6米，水平长36.0米；消力池为箱形钢筋砼结构，长4.0米，深2.0米；涵洞水平长90.0米，采用钢筋砼箱涵结构，尺寸1.0×1.4米。涵洞基础采用2：8水泥土处理。明渠段长5.0米，采用钢筋砼矩形结构。</w:t>
                  </w:r>
                  <w:r>
                    <w:rPr>
                      <w:color w:val="auto"/>
                      <w:szCs w:val="21"/>
                      <w:highlight w:val="none"/>
                    </w:rPr>
                    <w:t>设计流量为1.48立方米每秒。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6" w:type="pct"/>
                  <w:vMerge w:val="continue"/>
                  <w:shd w:val="clear" w:color="auto" w:fill="auto"/>
                  <w:vAlign w:val="center"/>
                </w:tcPr>
                <w:p>
                  <w:pPr>
                    <w:adjustRightInd w:val="0"/>
                    <w:snapToGrid w:val="0"/>
                    <w:ind w:firstLine="105" w:firstLineChars="50"/>
                    <w:jc w:val="center"/>
                    <w:rPr>
                      <w:color w:val="auto"/>
                      <w:kern w:val="0"/>
                      <w:szCs w:val="21"/>
                      <w:highlight w:val="none"/>
                    </w:rPr>
                  </w:pP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泄水建筑物工程</w:t>
                  </w:r>
                </w:p>
              </w:tc>
              <w:tc>
                <w:tcPr>
                  <w:tcW w:w="3621" w:type="pct"/>
                  <w:shd w:val="clear" w:color="auto" w:fill="auto"/>
                  <w:vAlign w:val="center"/>
                </w:tcPr>
                <w:p>
                  <w:pPr>
                    <w:tabs>
                      <w:tab w:val="left" w:pos="480"/>
                    </w:tabs>
                    <w:adjustRightInd w:val="0"/>
                    <w:snapToGrid w:val="0"/>
                    <w:ind w:right="76" w:rightChars="36"/>
                    <w:rPr>
                      <w:color w:val="auto"/>
                      <w:kern w:val="0"/>
                      <w:szCs w:val="21"/>
                      <w:highlight w:val="none"/>
                    </w:rPr>
                  </w:pPr>
                  <w:r>
                    <w:rPr>
                      <w:color w:val="auto"/>
                      <w:kern w:val="0"/>
                      <w:szCs w:val="21"/>
                      <w:highlight w:val="none"/>
                    </w:rPr>
                    <w:t>由进口段、控制段、明渠段、陡坡段、消能段和海漫段组成，设计泄量为54.02m</w:t>
                  </w:r>
                  <w:r>
                    <w:rPr>
                      <w:color w:val="auto"/>
                      <w:kern w:val="0"/>
                      <w:szCs w:val="21"/>
                      <w:highlight w:val="none"/>
                      <w:vertAlign w:val="superscript"/>
                    </w:rPr>
                    <w:t>3</w:t>
                  </w:r>
                  <w:r>
                    <w:rPr>
                      <w:rFonts w:hint="eastAsia"/>
                      <w:color w:val="auto"/>
                      <w:kern w:val="0"/>
                      <w:szCs w:val="21"/>
                      <w:highlight w:val="none"/>
                    </w:rPr>
                    <w:t>/</w:t>
                  </w:r>
                  <w:r>
                    <w:rPr>
                      <w:color w:val="auto"/>
                      <w:kern w:val="0"/>
                      <w:szCs w:val="21"/>
                      <w:highlight w:val="none"/>
                    </w:rPr>
                    <w:t>s，总长91.0米。进口段长12米，为八字墙钢筋砼结构，底宽8.0～3.0米，高2.0～6.43米；控制段长5.0米，采用钢筋砼箱涵结构，孔口尺寸3.0米×6.43米。明渠段、陡坡段和消能段总长74.0米，为钢筋砼矩形断面，底宽3.0米，高3.0～1.8米。进口段、控制段、陡坡段、明渠段地基采用2：8水泥土和素土翻夯处理，消能段地基采用块石挤密处理。海漫段长8米，宽9.8米，采用浆砌石结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6" w:type="pc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辅助工程</w:t>
                  </w: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道路工程</w:t>
                  </w:r>
                </w:p>
              </w:tc>
              <w:tc>
                <w:tcPr>
                  <w:tcW w:w="3621" w:type="pct"/>
                  <w:shd w:val="clear" w:color="auto" w:fill="auto"/>
                  <w:vAlign w:val="center"/>
                </w:tcPr>
                <w:p>
                  <w:pPr>
                    <w:tabs>
                      <w:tab w:val="left" w:pos="480"/>
                    </w:tabs>
                    <w:adjustRightInd w:val="0"/>
                    <w:snapToGrid w:val="0"/>
                    <w:ind w:right="76" w:rightChars="36"/>
                    <w:rPr>
                      <w:color w:val="auto"/>
                      <w:kern w:val="0"/>
                      <w:szCs w:val="21"/>
                      <w:highlight w:val="none"/>
                    </w:rPr>
                  </w:pPr>
                  <w:r>
                    <w:rPr>
                      <w:color w:val="auto"/>
                      <w:kern w:val="0"/>
                      <w:szCs w:val="21"/>
                      <w:highlight w:val="none"/>
                    </w:rPr>
                    <w:t>新建砂砾石上坝道路长130米，路面宽4.0米。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6" w:type="pct"/>
                  <w:vMerge w:val="restar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临时</w:t>
                  </w:r>
                  <w:r>
                    <w:rPr>
                      <w:color w:val="auto"/>
                      <w:kern w:val="0"/>
                      <w:szCs w:val="21"/>
                      <w:highlight w:val="none"/>
                    </w:rPr>
                    <w:t>工程</w:t>
                  </w:r>
                </w:p>
              </w:tc>
              <w:tc>
                <w:tcPr>
                  <w:tcW w:w="941" w:type="pct"/>
                  <w:gridSpan w:val="2"/>
                  <w:shd w:val="clear" w:color="auto" w:fill="auto"/>
                  <w:vAlign w:val="center"/>
                </w:tcPr>
                <w:p>
                  <w:pPr>
                    <w:jc w:val="center"/>
                    <w:rPr>
                      <w:bCs/>
                      <w:color w:val="auto"/>
                      <w:szCs w:val="21"/>
                      <w:highlight w:val="none"/>
                    </w:rPr>
                  </w:pPr>
                  <w:r>
                    <w:rPr>
                      <w:rFonts w:hint="eastAsia"/>
                      <w:bCs/>
                      <w:color w:val="auto"/>
                      <w:szCs w:val="21"/>
                      <w:highlight w:val="none"/>
                    </w:rPr>
                    <w:t>建筑材料</w:t>
                  </w:r>
                </w:p>
              </w:tc>
              <w:tc>
                <w:tcPr>
                  <w:tcW w:w="3621" w:type="pct"/>
                  <w:shd w:val="clear" w:color="auto" w:fill="auto"/>
                  <w:vAlign w:val="center"/>
                </w:tcPr>
                <w:p>
                  <w:pPr>
                    <w:rPr>
                      <w:color w:val="auto"/>
                      <w:szCs w:val="21"/>
                      <w:highlight w:val="none"/>
                    </w:rPr>
                  </w:pPr>
                  <w:r>
                    <w:rPr>
                      <w:color w:val="auto"/>
                      <w:szCs w:val="21"/>
                      <w:highlight w:val="none"/>
                    </w:rPr>
                    <w:t>工程所需砂石料均采取外购方式，</w:t>
                  </w:r>
                  <w:r>
                    <w:rPr>
                      <w:rFonts w:hint="eastAsia"/>
                      <w:color w:val="auto"/>
                      <w:szCs w:val="21"/>
                      <w:highlight w:val="none"/>
                    </w:rPr>
                    <w:t>就近从周边村镇、县市拉运</w:t>
                  </w:r>
                  <w:r>
                    <w:rPr>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6"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bCs/>
                      <w:color w:val="auto"/>
                      <w:szCs w:val="21"/>
                      <w:highlight w:val="none"/>
                    </w:rPr>
                  </w:pPr>
                  <w:r>
                    <w:rPr>
                      <w:color w:val="auto"/>
                      <w:szCs w:val="21"/>
                      <w:highlight w:val="none"/>
                    </w:rPr>
                    <w:t>施工临时道路</w:t>
                  </w:r>
                </w:p>
              </w:tc>
              <w:tc>
                <w:tcPr>
                  <w:tcW w:w="3621" w:type="pct"/>
                  <w:shd w:val="clear" w:color="auto" w:fill="auto"/>
                  <w:vAlign w:val="center"/>
                </w:tcPr>
                <w:p>
                  <w:pPr>
                    <w:rPr>
                      <w:color w:val="auto"/>
                      <w:szCs w:val="21"/>
                      <w:highlight w:val="none"/>
                    </w:rPr>
                  </w:pPr>
                  <w:r>
                    <w:rPr>
                      <w:rFonts w:hint="eastAsia"/>
                      <w:color w:val="auto"/>
                      <w:szCs w:val="21"/>
                      <w:highlight w:val="none"/>
                    </w:rPr>
                    <w:t>主要利用现有道路，</w:t>
                  </w:r>
                  <w:r>
                    <w:rPr>
                      <w:color w:val="auto"/>
                      <w:highlight w:val="none"/>
                    </w:rPr>
                    <w:t>修整、新建临时施工道路总布置约</w:t>
                  </w:r>
                  <w:r>
                    <w:rPr>
                      <w:rFonts w:hint="eastAsia"/>
                      <w:color w:val="auto"/>
                      <w:highlight w:val="none"/>
                    </w:rPr>
                    <w:t>1</w:t>
                  </w:r>
                  <w:r>
                    <w:rPr>
                      <w:color w:val="auto"/>
                      <w:highlight w:val="none"/>
                    </w:rPr>
                    <w:t>km</w:t>
                  </w:r>
                  <w:r>
                    <w:rPr>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6"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施工营地</w:t>
                  </w:r>
                </w:p>
              </w:tc>
              <w:tc>
                <w:tcPr>
                  <w:tcW w:w="3621" w:type="pct"/>
                  <w:shd w:val="clear" w:color="auto" w:fill="auto"/>
                  <w:vAlign w:val="center"/>
                </w:tcPr>
                <w:p>
                  <w:pPr>
                    <w:rPr>
                      <w:color w:val="auto"/>
                      <w:szCs w:val="21"/>
                      <w:highlight w:val="none"/>
                    </w:rPr>
                  </w:pPr>
                  <w:r>
                    <w:rPr>
                      <w:rFonts w:hint="eastAsia"/>
                      <w:color w:val="auto"/>
                      <w:highlight w:val="none"/>
                    </w:rPr>
                    <w:t>本项目设置1处施工营地，布置工厂区、生活区，工厂区内布置有机械停放场、综合加工厂等。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6"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取土场</w:t>
                  </w:r>
                </w:p>
              </w:tc>
              <w:tc>
                <w:tcPr>
                  <w:tcW w:w="3621" w:type="pct"/>
                  <w:shd w:val="clear" w:color="auto" w:fill="auto"/>
                  <w:vAlign w:val="center"/>
                </w:tcPr>
                <w:p>
                  <w:pPr>
                    <w:rPr>
                      <w:rFonts w:hint="default" w:eastAsia="宋体"/>
                      <w:color w:val="auto"/>
                      <w:szCs w:val="21"/>
                      <w:highlight w:val="none"/>
                      <w:lang w:val="en-US" w:eastAsia="zh-CN"/>
                    </w:rPr>
                  </w:pPr>
                  <w:r>
                    <w:rPr>
                      <w:rFonts w:hint="eastAsia"/>
                      <w:color w:val="auto"/>
                      <w:szCs w:val="21"/>
                      <w:highlight w:val="none"/>
                    </w:rPr>
                    <w:t>项目设置取土场1处，位于库区右岸坝址上游，平均运距150m。</w:t>
                  </w:r>
                  <w:r>
                    <w:rPr>
                      <w:rFonts w:hint="eastAsia"/>
                      <w:color w:val="auto"/>
                      <w:highlight w:val="none"/>
                    </w:rPr>
                    <w:t>料场壤土厚度大于10m。土料场储量</w:t>
                  </w:r>
                  <w:r>
                    <w:rPr>
                      <w:rFonts w:hint="eastAsia"/>
                      <w:color w:val="auto"/>
                      <w:highlight w:val="none"/>
                      <w:lang w:val="en-US" w:eastAsia="zh-CN"/>
                    </w:rPr>
                    <w:t>约</w:t>
                  </w:r>
                  <w:r>
                    <w:rPr>
                      <w:rFonts w:hint="eastAsia"/>
                      <w:color w:val="auto"/>
                      <w:highlight w:val="none"/>
                    </w:rPr>
                    <w:t>20万m</w:t>
                  </w:r>
                  <w:r>
                    <w:rPr>
                      <w:rFonts w:hint="eastAsia"/>
                      <w:color w:val="auto"/>
                      <w:highlight w:val="none"/>
                      <w:vertAlign w:val="superscript"/>
                    </w:rPr>
                    <w:t>3</w:t>
                  </w:r>
                  <w:r>
                    <w:rPr>
                      <w:rFonts w:hint="eastAsia"/>
                      <w:color w:val="auto"/>
                      <w:highlight w:val="none"/>
                    </w:rPr>
                    <w:t>，满足需用储量要求。</w:t>
                  </w:r>
                  <w:r>
                    <w:rPr>
                      <w:rFonts w:hint="eastAsia"/>
                      <w:color w:val="auto"/>
                      <w:highlight w:val="none"/>
                      <w:lang w:val="en-US" w:eastAsia="zh-CN"/>
                    </w:rPr>
                    <w:t>取土场占地面积约7000m</w:t>
                  </w:r>
                  <w:r>
                    <w:rPr>
                      <w:rFonts w:hint="eastAsia"/>
                      <w:color w:val="auto"/>
                      <w:highlight w:val="none"/>
                      <w:vertAlign w:val="superscript"/>
                      <w:lang w:val="en-US" w:eastAsia="zh-CN"/>
                    </w:rPr>
                    <w:t>2</w:t>
                  </w:r>
                  <w:r>
                    <w:rPr>
                      <w:rFonts w:hint="eastAsia"/>
                      <w:color w:val="auto"/>
                      <w:highlight w:val="none"/>
                      <w:lang w:val="en-US" w:eastAsia="zh-CN"/>
                    </w:rPr>
                    <w:t>，取土深度2.3m，占地类型为其他草地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6"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弃土场</w:t>
                  </w:r>
                </w:p>
              </w:tc>
              <w:tc>
                <w:tcPr>
                  <w:tcW w:w="3621" w:type="pct"/>
                  <w:shd w:val="clear" w:color="auto" w:fill="auto"/>
                  <w:vAlign w:val="center"/>
                </w:tcPr>
                <w:p>
                  <w:pPr>
                    <w:rPr>
                      <w:color w:val="auto"/>
                      <w:szCs w:val="21"/>
                      <w:highlight w:val="none"/>
                    </w:rPr>
                  </w:pPr>
                  <w:r>
                    <w:rPr>
                      <w:color w:val="auto"/>
                      <w:szCs w:val="21"/>
                      <w:highlight w:val="none"/>
                    </w:rPr>
                    <w:t>项目土方全部综合利用，无弃土产生，不设</w:t>
                  </w:r>
                  <w:r>
                    <w:rPr>
                      <w:rFonts w:hint="eastAsia"/>
                      <w:color w:val="auto"/>
                      <w:szCs w:val="21"/>
                      <w:highlight w:val="none"/>
                    </w:rPr>
                    <w:t>置</w:t>
                  </w:r>
                  <w:r>
                    <w:rPr>
                      <w:color w:val="auto"/>
                      <w:szCs w:val="21"/>
                      <w:highlight w:val="none"/>
                    </w:rPr>
                    <w:t>弃土场。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6" w:type="pct"/>
                  <w:vMerge w:val="restart"/>
                  <w:shd w:val="clear" w:color="auto" w:fill="auto"/>
                  <w:vAlign w:val="center"/>
                </w:tcPr>
                <w:p>
                  <w:pPr>
                    <w:adjustRightInd w:val="0"/>
                    <w:snapToGrid w:val="0"/>
                    <w:spacing w:line="360" w:lineRule="exact"/>
                    <w:ind w:left="80" w:leftChars="38"/>
                    <w:rPr>
                      <w:color w:val="auto"/>
                      <w:kern w:val="0"/>
                      <w:szCs w:val="21"/>
                      <w:highlight w:val="none"/>
                    </w:rPr>
                  </w:pPr>
                  <w:r>
                    <w:rPr>
                      <w:color w:val="auto"/>
                      <w:kern w:val="0"/>
                      <w:szCs w:val="21"/>
                      <w:highlight w:val="none"/>
                    </w:rPr>
                    <w:t>公用工程</w:t>
                  </w:r>
                </w:p>
              </w:tc>
              <w:tc>
                <w:tcPr>
                  <w:tcW w:w="941" w:type="pct"/>
                  <w:gridSpan w:val="2"/>
                  <w:shd w:val="clear" w:color="auto" w:fill="auto"/>
                  <w:vAlign w:val="center"/>
                </w:tcPr>
                <w:p>
                  <w:pPr>
                    <w:adjustRightInd w:val="0"/>
                    <w:snapToGrid w:val="0"/>
                    <w:spacing w:line="360" w:lineRule="exact"/>
                    <w:jc w:val="center"/>
                    <w:rPr>
                      <w:color w:val="auto"/>
                      <w:kern w:val="0"/>
                      <w:szCs w:val="21"/>
                      <w:highlight w:val="none"/>
                    </w:rPr>
                  </w:pPr>
                  <w:r>
                    <w:rPr>
                      <w:color w:val="auto"/>
                      <w:kern w:val="0"/>
                      <w:szCs w:val="21"/>
                      <w:highlight w:val="none"/>
                    </w:rPr>
                    <w:t>供水</w:t>
                  </w:r>
                </w:p>
              </w:tc>
              <w:tc>
                <w:tcPr>
                  <w:tcW w:w="3621" w:type="pct"/>
                  <w:shd w:val="clear" w:color="auto" w:fill="auto"/>
                  <w:vAlign w:val="center"/>
                </w:tcPr>
                <w:p>
                  <w:pPr>
                    <w:adjustRightInd w:val="0"/>
                    <w:snapToGrid w:val="0"/>
                    <w:rPr>
                      <w:color w:val="auto"/>
                      <w:kern w:val="0"/>
                      <w:szCs w:val="21"/>
                      <w:highlight w:val="none"/>
                    </w:rPr>
                  </w:pPr>
                  <w:r>
                    <w:rPr>
                      <w:color w:val="auto"/>
                      <w:kern w:val="0"/>
                      <w:szCs w:val="21"/>
                      <w:highlight w:val="none"/>
                      <w:lang w:bidi="zh-CN"/>
                    </w:rPr>
                    <w:t>施工用水可就近在村镇水源地拉用。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6" w:type="pct"/>
                  <w:vMerge w:val="continue"/>
                  <w:shd w:val="clear" w:color="auto" w:fill="auto"/>
                  <w:vAlign w:val="center"/>
                </w:tcPr>
                <w:p>
                  <w:pPr>
                    <w:adjustRightInd w:val="0"/>
                    <w:snapToGrid w:val="0"/>
                    <w:spacing w:line="360" w:lineRule="exact"/>
                    <w:ind w:left="80" w:leftChars="38"/>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排水</w:t>
                  </w:r>
                </w:p>
              </w:tc>
              <w:tc>
                <w:tcPr>
                  <w:tcW w:w="3621" w:type="pct"/>
                  <w:shd w:val="clear" w:color="auto" w:fill="auto"/>
                  <w:vAlign w:val="center"/>
                </w:tcPr>
                <w:p>
                  <w:pPr>
                    <w:rPr>
                      <w:color w:val="auto"/>
                      <w:szCs w:val="21"/>
                      <w:highlight w:val="none"/>
                    </w:rPr>
                  </w:pPr>
                  <w:r>
                    <w:rPr>
                      <w:rFonts w:hint="eastAsia"/>
                      <w:color w:val="auto"/>
                      <w:szCs w:val="21"/>
                      <w:highlight w:val="none"/>
                    </w:rPr>
                    <w:t>施工废水经临时沉淀池沉淀后洒水降尘；施工人员租住附近村庄民房，生活盥洗水用于施工场地、道路洒水降尘。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6" w:type="pct"/>
                  <w:vMerge w:val="continue"/>
                  <w:shd w:val="clear" w:color="auto" w:fill="auto"/>
                  <w:vAlign w:val="center"/>
                </w:tcPr>
                <w:p>
                  <w:pPr>
                    <w:adjustRightInd w:val="0"/>
                    <w:snapToGrid w:val="0"/>
                    <w:spacing w:line="360" w:lineRule="exact"/>
                    <w:ind w:left="80" w:leftChars="38"/>
                    <w:rPr>
                      <w:color w:val="auto"/>
                      <w:kern w:val="0"/>
                      <w:szCs w:val="21"/>
                      <w:highlight w:val="none"/>
                    </w:rPr>
                  </w:pPr>
                </w:p>
              </w:tc>
              <w:tc>
                <w:tcPr>
                  <w:tcW w:w="941" w:type="pct"/>
                  <w:gridSpan w:val="2"/>
                  <w:shd w:val="clear" w:color="auto" w:fill="auto"/>
                  <w:vAlign w:val="center"/>
                </w:tcPr>
                <w:p>
                  <w:pPr>
                    <w:adjustRightInd w:val="0"/>
                    <w:snapToGrid w:val="0"/>
                    <w:jc w:val="center"/>
                    <w:rPr>
                      <w:color w:val="auto"/>
                      <w:kern w:val="0"/>
                      <w:szCs w:val="21"/>
                      <w:highlight w:val="none"/>
                    </w:rPr>
                  </w:pPr>
                  <w:r>
                    <w:rPr>
                      <w:color w:val="auto"/>
                      <w:kern w:val="0"/>
                      <w:szCs w:val="21"/>
                      <w:highlight w:val="none"/>
                    </w:rPr>
                    <w:t>供电</w:t>
                  </w:r>
                </w:p>
              </w:tc>
              <w:tc>
                <w:tcPr>
                  <w:tcW w:w="3621" w:type="pct"/>
                  <w:shd w:val="clear" w:color="auto" w:fill="auto"/>
                  <w:vAlign w:val="center"/>
                </w:tcPr>
                <w:p>
                  <w:pPr>
                    <w:adjustRightInd w:val="0"/>
                    <w:snapToGrid w:val="0"/>
                    <w:rPr>
                      <w:color w:val="auto"/>
                      <w:kern w:val="0"/>
                      <w:sz w:val="21"/>
                      <w:szCs w:val="21"/>
                      <w:highlight w:val="none"/>
                    </w:rPr>
                  </w:pPr>
                  <w:r>
                    <w:rPr>
                      <w:color w:val="auto"/>
                      <w:sz w:val="21"/>
                      <w:szCs w:val="21"/>
                      <w:highlight w:val="none"/>
                    </w:rPr>
                    <w:t>施工沿线</w:t>
                  </w:r>
                  <w:r>
                    <w:rPr>
                      <w:rFonts w:hint="eastAsia" w:ascii="宋体" w:hAnsi="宋体" w:cs="宋体"/>
                      <w:color w:val="auto"/>
                      <w:kern w:val="0"/>
                      <w:sz w:val="21"/>
                      <w:szCs w:val="21"/>
                      <w:highlight w:val="none"/>
                    </w:rPr>
                    <w:t>农村电网电力充足</w:t>
                  </w:r>
                  <w:r>
                    <w:rPr>
                      <w:color w:val="auto"/>
                      <w:sz w:val="21"/>
                      <w:szCs w:val="21"/>
                      <w:highlight w:val="none"/>
                    </w:rPr>
                    <w:t>，</w:t>
                  </w:r>
                  <w:r>
                    <w:rPr>
                      <w:rFonts w:hint="eastAsia" w:ascii="宋体" w:hAnsi="宋体" w:cs="宋体"/>
                      <w:color w:val="auto"/>
                      <w:kern w:val="0"/>
                      <w:sz w:val="21"/>
                      <w:szCs w:val="21"/>
                      <w:highlight w:val="none"/>
                    </w:rPr>
                    <w:t>可满足施工和项目后期正常运行的要求</w:t>
                  </w:r>
                  <w:r>
                    <w:rPr>
                      <w:rFonts w:hint="eastAsia"/>
                      <w:color w:val="auto"/>
                      <w:sz w:val="21"/>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restart"/>
                  <w:shd w:val="clear" w:color="auto" w:fill="auto"/>
                  <w:vAlign w:val="center"/>
                </w:tcPr>
                <w:p>
                  <w:pPr>
                    <w:adjustRightInd w:val="0"/>
                    <w:snapToGrid w:val="0"/>
                    <w:spacing w:line="360" w:lineRule="exact"/>
                    <w:jc w:val="center"/>
                    <w:rPr>
                      <w:color w:val="auto"/>
                      <w:kern w:val="0"/>
                      <w:szCs w:val="21"/>
                      <w:highlight w:val="none"/>
                    </w:rPr>
                  </w:pPr>
                  <w:r>
                    <w:rPr>
                      <w:color w:val="auto"/>
                      <w:kern w:val="0"/>
                      <w:szCs w:val="21"/>
                      <w:highlight w:val="none"/>
                    </w:rPr>
                    <w:t>环</w:t>
                  </w:r>
                </w:p>
                <w:p>
                  <w:pPr>
                    <w:adjustRightInd w:val="0"/>
                    <w:snapToGrid w:val="0"/>
                    <w:spacing w:line="360" w:lineRule="exact"/>
                    <w:jc w:val="center"/>
                    <w:rPr>
                      <w:color w:val="auto"/>
                      <w:kern w:val="0"/>
                      <w:szCs w:val="21"/>
                      <w:highlight w:val="none"/>
                    </w:rPr>
                  </w:pPr>
                  <w:r>
                    <w:rPr>
                      <w:color w:val="auto"/>
                      <w:kern w:val="0"/>
                      <w:szCs w:val="21"/>
                      <w:highlight w:val="none"/>
                    </w:rPr>
                    <w:t>保</w:t>
                  </w:r>
                </w:p>
                <w:p>
                  <w:pPr>
                    <w:adjustRightInd w:val="0"/>
                    <w:snapToGrid w:val="0"/>
                    <w:spacing w:line="360" w:lineRule="exact"/>
                    <w:jc w:val="center"/>
                    <w:rPr>
                      <w:color w:val="auto"/>
                      <w:kern w:val="0"/>
                      <w:szCs w:val="21"/>
                      <w:highlight w:val="none"/>
                    </w:rPr>
                  </w:pPr>
                  <w:r>
                    <w:rPr>
                      <w:color w:val="auto"/>
                      <w:kern w:val="0"/>
                      <w:szCs w:val="21"/>
                      <w:highlight w:val="none"/>
                    </w:rPr>
                    <w:t>工</w:t>
                  </w:r>
                </w:p>
                <w:p>
                  <w:pPr>
                    <w:adjustRightInd w:val="0"/>
                    <w:snapToGrid w:val="0"/>
                    <w:spacing w:line="360" w:lineRule="exact"/>
                    <w:jc w:val="center"/>
                    <w:rPr>
                      <w:color w:val="auto"/>
                      <w:kern w:val="0"/>
                      <w:szCs w:val="21"/>
                      <w:highlight w:val="none"/>
                    </w:rPr>
                  </w:pPr>
                  <w:r>
                    <w:rPr>
                      <w:color w:val="auto"/>
                      <w:kern w:val="0"/>
                      <w:szCs w:val="21"/>
                      <w:highlight w:val="none"/>
                    </w:rPr>
                    <w:t>程</w:t>
                  </w:r>
                </w:p>
              </w:tc>
              <w:tc>
                <w:tcPr>
                  <w:tcW w:w="279" w:type="pct"/>
                  <w:vMerge w:val="restar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施工期</w:t>
                  </w:r>
                </w:p>
              </w:tc>
              <w:tc>
                <w:tcPr>
                  <w:tcW w:w="662" w:type="pct"/>
                  <w:shd w:val="clear" w:color="auto" w:fill="auto"/>
                  <w:vAlign w:val="center"/>
                </w:tcPr>
                <w:p>
                  <w:pPr>
                    <w:jc w:val="center"/>
                    <w:rPr>
                      <w:color w:val="auto"/>
                      <w:szCs w:val="21"/>
                      <w:highlight w:val="none"/>
                    </w:rPr>
                  </w:pPr>
                  <w:r>
                    <w:rPr>
                      <w:rFonts w:hint="eastAsia"/>
                      <w:color w:val="auto"/>
                      <w:szCs w:val="21"/>
                      <w:highlight w:val="none"/>
                    </w:rPr>
                    <w:t>生态保护</w:t>
                  </w:r>
                </w:p>
              </w:tc>
              <w:tc>
                <w:tcPr>
                  <w:tcW w:w="3621" w:type="pct"/>
                  <w:shd w:val="clear" w:color="auto" w:fill="auto"/>
                  <w:vAlign w:val="center"/>
                </w:tcPr>
                <w:p>
                  <w:pPr>
                    <w:pStyle w:val="2"/>
                    <w:rPr>
                      <w:rFonts w:hint="eastAsia"/>
                      <w:color w:val="auto"/>
                      <w:sz w:val="21"/>
                      <w:szCs w:val="21"/>
                      <w:highlight w:val="none"/>
                    </w:rPr>
                  </w:pPr>
                  <w:r>
                    <w:rPr>
                      <w:color w:val="auto"/>
                      <w:sz w:val="21"/>
                      <w:szCs w:val="21"/>
                      <w:highlight w:val="none"/>
                    </w:rPr>
                    <w:t>严格控制施工作业范围，加强施工管理工作，避免对作业范围以外区域进行扰动；剥离表土妥善保存，用于后期</w:t>
                  </w:r>
                  <w:r>
                    <w:rPr>
                      <w:rFonts w:hint="eastAsia"/>
                      <w:color w:val="auto"/>
                      <w:sz w:val="21"/>
                      <w:szCs w:val="21"/>
                      <w:highlight w:val="none"/>
                    </w:rPr>
                    <w:t>土地复耕或植被恢复</w:t>
                  </w:r>
                  <w:r>
                    <w:rPr>
                      <w:color w:val="auto"/>
                      <w:sz w:val="21"/>
                      <w:szCs w:val="21"/>
                      <w:highlight w:val="none"/>
                    </w:rPr>
                    <w:t>。临时施工场地内施工活动完全停止后，及时进行场地清理，进行临时用地</w:t>
                  </w:r>
                  <w:r>
                    <w:rPr>
                      <w:rFonts w:hint="eastAsia"/>
                      <w:color w:val="auto"/>
                      <w:sz w:val="21"/>
                      <w:szCs w:val="21"/>
                      <w:highlight w:val="none"/>
                    </w:rPr>
                    <w:t>恢复；</w:t>
                  </w:r>
                  <w:r>
                    <w:rPr>
                      <w:rFonts w:hint="eastAsia" w:ascii="Times New Roman" w:hAnsi="Times New Roman" w:cs="Times New Roman"/>
                      <w:color w:val="auto"/>
                      <w:sz w:val="21"/>
                      <w:szCs w:val="21"/>
                      <w:highlight w:val="none"/>
                      <w:lang w:val="en-US" w:eastAsia="zh-CN"/>
                    </w:rPr>
                    <w:t>取土场</w:t>
                  </w:r>
                  <w:r>
                    <w:rPr>
                      <w:rFonts w:hint="eastAsia" w:cs="Times New Roman"/>
                      <w:color w:val="auto"/>
                      <w:sz w:val="21"/>
                      <w:szCs w:val="21"/>
                      <w:highlight w:val="none"/>
                      <w:lang w:val="en-US" w:eastAsia="zh-CN"/>
                    </w:rPr>
                    <w:t>取土前</w:t>
                  </w:r>
                  <w:r>
                    <w:rPr>
                      <w:rFonts w:hint="eastAsia" w:ascii="Times New Roman" w:hAnsi="Times New Roman" w:cs="Times New Roman"/>
                      <w:color w:val="auto"/>
                      <w:sz w:val="21"/>
                      <w:szCs w:val="21"/>
                      <w:highlight w:val="none"/>
                      <w:lang w:val="en-US" w:eastAsia="zh-CN"/>
                    </w:rPr>
                    <w:t>进行表土剥离</w:t>
                  </w:r>
                  <w:r>
                    <w:rPr>
                      <w:rFonts w:hint="eastAsia" w:cs="Times New Roman"/>
                      <w:color w:val="auto"/>
                      <w:sz w:val="21"/>
                      <w:szCs w:val="21"/>
                      <w:highlight w:val="none"/>
                      <w:lang w:val="en-US" w:eastAsia="zh-CN"/>
                    </w:rPr>
                    <w:t>单独堆放</w:t>
                  </w:r>
                  <w:r>
                    <w:rPr>
                      <w:rFonts w:hint="eastAsia" w:ascii="Times New Roman" w:hAnsi="Times New Roman" w:cs="Times New Roman"/>
                      <w:color w:val="auto"/>
                      <w:sz w:val="21"/>
                      <w:szCs w:val="21"/>
                      <w:highlight w:val="none"/>
                      <w:lang w:val="en-US" w:eastAsia="zh-CN"/>
                    </w:rPr>
                    <w:t>，施工结束后进行平整、回覆表土和植被恢复</w:t>
                  </w:r>
                  <w:r>
                    <w:rPr>
                      <w:rFonts w:hint="eastAsia"/>
                      <w:color w:val="auto"/>
                      <w:sz w:val="21"/>
                      <w:szCs w:val="21"/>
                      <w:highlight w:val="none"/>
                    </w:rPr>
                    <w:t>；坝坡植物防护。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大气污染防治</w:t>
                  </w:r>
                </w:p>
              </w:tc>
              <w:tc>
                <w:tcPr>
                  <w:tcW w:w="3621" w:type="pct"/>
                  <w:shd w:val="clear" w:color="auto" w:fill="auto"/>
                  <w:vAlign w:val="center"/>
                </w:tcPr>
                <w:p>
                  <w:pPr>
                    <w:rPr>
                      <w:color w:val="auto"/>
                      <w:sz w:val="21"/>
                      <w:szCs w:val="21"/>
                      <w:highlight w:val="none"/>
                    </w:rPr>
                  </w:pPr>
                  <w:r>
                    <w:rPr>
                      <w:color w:val="auto"/>
                      <w:sz w:val="21"/>
                      <w:szCs w:val="21"/>
                      <w:highlight w:val="none"/>
                    </w:rPr>
                    <w:t>避免大风天气施工；运输车辆限速、限时；洒水、篷布遮盖等。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水污染防治</w:t>
                  </w:r>
                </w:p>
              </w:tc>
              <w:tc>
                <w:tcPr>
                  <w:tcW w:w="3621" w:type="pct"/>
                  <w:shd w:val="clear" w:color="auto" w:fill="auto"/>
                  <w:vAlign w:val="center"/>
                </w:tcPr>
                <w:p>
                  <w:pPr>
                    <w:rPr>
                      <w:color w:val="auto"/>
                      <w:sz w:val="21"/>
                      <w:szCs w:val="21"/>
                      <w:highlight w:val="none"/>
                    </w:rPr>
                  </w:pPr>
                  <w:r>
                    <w:rPr>
                      <w:color w:val="auto"/>
                      <w:sz w:val="21"/>
                      <w:szCs w:val="21"/>
                      <w:highlight w:val="none"/>
                    </w:rPr>
                    <w:t>施工废水经临时沉淀池沉淀后回用，施工人员租住附近村庄民房，生活盥洗水用于施工场地、道路洒水降尘</w:t>
                  </w:r>
                  <w:r>
                    <w:rPr>
                      <w:rFonts w:hint="eastAsia"/>
                      <w:color w:val="auto"/>
                      <w:sz w:val="21"/>
                      <w:szCs w:val="21"/>
                      <w:highlight w:val="none"/>
                    </w:rPr>
                    <w:t>。</w:t>
                  </w:r>
                  <w:r>
                    <w:rPr>
                      <w:color w:val="auto"/>
                      <w:sz w:val="21"/>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噪声防治</w:t>
                  </w:r>
                </w:p>
              </w:tc>
              <w:tc>
                <w:tcPr>
                  <w:tcW w:w="3621" w:type="pct"/>
                  <w:shd w:val="clear" w:color="auto" w:fill="auto"/>
                  <w:vAlign w:val="center"/>
                </w:tcPr>
                <w:p>
                  <w:pPr>
                    <w:rPr>
                      <w:color w:val="auto"/>
                      <w:sz w:val="21"/>
                      <w:szCs w:val="21"/>
                      <w:highlight w:val="none"/>
                    </w:rPr>
                  </w:pPr>
                  <w:r>
                    <w:rPr>
                      <w:color w:val="auto"/>
                      <w:sz w:val="21"/>
                      <w:szCs w:val="21"/>
                      <w:highlight w:val="none"/>
                    </w:rPr>
                    <w:t>选用低噪声设备，合理安排施工时序，避免夜间及午间施工，加强运输车辆管理。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固体废物</w:t>
                  </w:r>
                  <w:r>
                    <w:rPr>
                      <w:rFonts w:hint="eastAsia"/>
                      <w:color w:val="auto"/>
                      <w:szCs w:val="21"/>
                      <w:highlight w:val="none"/>
                    </w:rPr>
                    <w:t>处置</w:t>
                  </w:r>
                </w:p>
              </w:tc>
              <w:tc>
                <w:tcPr>
                  <w:tcW w:w="3621" w:type="pct"/>
                  <w:shd w:val="clear" w:color="auto" w:fill="auto"/>
                  <w:vAlign w:val="center"/>
                </w:tcPr>
                <w:p>
                  <w:pPr>
                    <w:rPr>
                      <w:color w:val="auto"/>
                      <w:sz w:val="21"/>
                      <w:szCs w:val="21"/>
                      <w:highlight w:val="none"/>
                    </w:rPr>
                  </w:pPr>
                  <w:r>
                    <w:rPr>
                      <w:color w:val="auto"/>
                      <w:sz w:val="21"/>
                      <w:szCs w:val="21"/>
                      <w:highlight w:val="none"/>
                    </w:rPr>
                    <w:t>土方工程产生的</w:t>
                  </w:r>
                  <w:r>
                    <w:rPr>
                      <w:rFonts w:hint="eastAsia"/>
                      <w:color w:val="auto"/>
                      <w:sz w:val="21"/>
                      <w:szCs w:val="21"/>
                      <w:highlight w:val="none"/>
                    </w:rPr>
                    <w:t>余方</w:t>
                  </w:r>
                  <w:r>
                    <w:rPr>
                      <w:color w:val="auto"/>
                      <w:sz w:val="21"/>
                      <w:szCs w:val="21"/>
                      <w:highlight w:val="none"/>
                    </w:rPr>
                    <w:t>全部用于工程土地平整；建筑垃圾中可回收利用的回收利用，不能回收利用的运送至政府指定地点进行处置；施工人员生活垃圾经统一收集后由当地环卫部门统一清运处置</w:t>
                  </w:r>
                  <w:r>
                    <w:rPr>
                      <w:rFonts w:hint="eastAsia"/>
                      <w:color w:val="auto"/>
                      <w:sz w:val="21"/>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6"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运营期</w:t>
                  </w:r>
                </w:p>
              </w:tc>
              <w:tc>
                <w:tcPr>
                  <w:tcW w:w="662" w:type="pct"/>
                  <w:shd w:val="clear" w:color="auto" w:fill="auto"/>
                  <w:vAlign w:val="center"/>
                </w:tcPr>
                <w:p>
                  <w:pPr>
                    <w:jc w:val="center"/>
                    <w:rPr>
                      <w:color w:val="auto"/>
                      <w:szCs w:val="21"/>
                      <w:highlight w:val="none"/>
                    </w:rPr>
                  </w:pPr>
                  <w:r>
                    <w:rPr>
                      <w:rFonts w:hint="eastAsia"/>
                      <w:color w:val="auto"/>
                      <w:szCs w:val="21"/>
                      <w:highlight w:val="none"/>
                    </w:rPr>
                    <w:t>生态保护</w:t>
                  </w:r>
                </w:p>
              </w:tc>
              <w:tc>
                <w:tcPr>
                  <w:tcW w:w="3621" w:type="pct"/>
                  <w:shd w:val="clear" w:color="auto" w:fill="auto"/>
                  <w:vAlign w:val="center"/>
                </w:tcPr>
                <w:p>
                  <w:pPr>
                    <w:rPr>
                      <w:color w:val="auto"/>
                      <w:sz w:val="21"/>
                      <w:szCs w:val="21"/>
                      <w:highlight w:val="none"/>
                    </w:rPr>
                  </w:pPr>
                  <w:r>
                    <w:rPr>
                      <w:rFonts w:hint="eastAsia"/>
                      <w:color w:val="auto"/>
                      <w:sz w:val="21"/>
                      <w:szCs w:val="21"/>
                      <w:highlight w:val="none"/>
                    </w:rPr>
                    <w:t>施工结束后</w:t>
                  </w:r>
                  <w:r>
                    <w:rPr>
                      <w:rFonts w:hint="eastAsia"/>
                      <w:color w:val="auto"/>
                      <w:sz w:val="21"/>
                      <w:szCs w:val="21"/>
                      <w:highlight w:val="none"/>
                      <w:lang w:val="en-US" w:eastAsia="zh-CN"/>
                    </w:rPr>
                    <w:t>施工区进行清理平整，剥离</w:t>
                  </w:r>
                  <w:r>
                    <w:rPr>
                      <w:rFonts w:hint="eastAsia"/>
                      <w:color w:val="auto"/>
                      <w:sz w:val="21"/>
                      <w:szCs w:val="21"/>
                      <w:highlight w:val="none"/>
                    </w:rPr>
                    <w:t>表土</w:t>
                  </w:r>
                  <w:r>
                    <w:rPr>
                      <w:rFonts w:hint="eastAsia"/>
                      <w:color w:val="auto"/>
                      <w:sz w:val="21"/>
                      <w:szCs w:val="21"/>
                      <w:highlight w:val="none"/>
                      <w:lang w:val="en-US" w:eastAsia="zh-CN"/>
                    </w:rPr>
                    <w:t>进行</w:t>
                  </w:r>
                  <w:r>
                    <w:rPr>
                      <w:rFonts w:hint="eastAsia"/>
                      <w:color w:val="auto"/>
                      <w:sz w:val="21"/>
                      <w:szCs w:val="21"/>
                      <w:highlight w:val="none"/>
                    </w:rPr>
                    <w:t>回填、绿化或复耕，恢复原有用地功能</w:t>
                  </w:r>
                  <w:r>
                    <w:rPr>
                      <w:rFonts w:hint="eastAsia"/>
                      <w:color w:val="auto"/>
                      <w:sz w:val="21"/>
                      <w:szCs w:val="21"/>
                      <w:highlight w:val="none"/>
                      <w:lang w:eastAsia="zh-CN"/>
                    </w:rPr>
                    <w:t>；</w:t>
                  </w:r>
                  <w:r>
                    <w:rPr>
                      <w:rFonts w:hint="eastAsia"/>
                      <w:color w:val="auto"/>
                      <w:sz w:val="21"/>
                      <w:szCs w:val="21"/>
                      <w:highlight w:val="none"/>
                      <w:lang w:val="en-US" w:eastAsia="zh-CN"/>
                    </w:rPr>
                    <w:t>取土场进行平整、</w:t>
                  </w:r>
                  <w:r>
                    <w:rPr>
                      <w:rFonts w:hint="eastAsia" w:ascii="Times New Roman" w:hAnsi="Times New Roman" w:cs="Times New Roman"/>
                      <w:color w:val="auto"/>
                      <w:sz w:val="21"/>
                      <w:szCs w:val="21"/>
                      <w:highlight w:val="none"/>
                      <w:lang w:val="en-US" w:eastAsia="zh-CN"/>
                    </w:rPr>
                    <w:t>回覆</w:t>
                  </w:r>
                  <w:r>
                    <w:rPr>
                      <w:rFonts w:hint="eastAsia" w:cs="Times New Roman"/>
                      <w:color w:val="auto"/>
                      <w:sz w:val="21"/>
                      <w:szCs w:val="21"/>
                      <w:highlight w:val="none"/>
                      <w:lang w:val="en-US" w:eastAsia="zh-CN"/>
                    </w:rPr>
                    <w:t>剥离</w:t>
                  </w:r>
                  <w:r>
                    <w:rPr>
                      <w:rFonts w:hint="eastAsia" w:ascii="Times New Roman" w:hAnsi="Times New Roman" w:cs="Times New Roman"/>
                      <w:color w:val="auto"/>
                      <w:sz w:val="21"/>
                      <w:szCs w:val="21"/>
                      <w:highlight w:val="none"/>
                      <w:lang w:val="en-US" w:eastAsia="zh-CN"/>
                    </w:rPr>
                    <w:t>表土</w:t>
                  </w:r>
                  <w:r>
                    <w:rPr>
                      <w:rFonts w:hint="eastAsia" w:cs="Times New Roman"/>
                      <w:color w:val="auto"/>
                      <w:sz w:val="21"/>
                      <w:szCs w:val="21"/>
                      <w:highlight w:val="none"/>
                      <w:lang w:val="en-US" w:eastAsia="zh-CN"/>
                    </w:rPr>
                    <w:t>并进行</w:t>
                  </w:r>
                  <w:r>
                    <w:rPr>
                      <w:rFonts w:hint="eastAsia" w:ascii="Times New Roman" w:hAnsi="Times New Roman" w:cs="Times New Roman"/>
                      <w:color w:val="auto"/>
                      <w:sz w:val="21"/>
                      <w:szCs w:val="21"/>
                      <w:highlight w:val="none"/>
                      <w:lang w:val="en-US" w:eastAsia="zh-CN"/>
                    </w:rPr>
                    <w:t>植被恢复</w:t>
                  </w:r>
                  <w:r>
                    <w:rPr>
                      <w:rFonts w:hint="eastAsia"/>
                      <w:color w:val="auto"/>
                      <w:sz w:val="21"/>
                      <w:szCs w:val="21"/>
                      <w:highlight w:val="none"/>
                    </w:rPr>
                    <w:t>。</w:t>
                  </w:r>
                </w:p>
              </w:tc>
            </w:tr>
          </w:tbl>
          <w:p>
            <w:pPr>
              <w:widowControl/>
              <w:adjustRightInd w:val="0"/>
              <w:snapToGrid w:val="0"/>
              <w:spacing w:line="360" w:lineRule="auto"/>
              <w:ind w:firstLine="600" w:firstLineChars="250"/>
              <w:jc w:val="left"/>
              <w:rPr>
                <w:color w:val="auto"/>
                <w:sz w:val="24"/>
                <w:highlight w:val="none"/>
              </w:rPr>
            </w:pP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（1）坝体工程</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坝体为碾压式均质土坝，坝高为20.5米，坝顶高程为1405.00米，坝轴线长495米，坝顶宽4.0米。上游坝坡坡比为1：2.25，下游坝坡坡比为1：2.0，上下游坝坡均采用植物护坡。安装预警系统和监测设施1套。</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坝顶顶面铺设15cm厚砂砾石。坝顶两侧沿坝长设缘石，缘石为C20砼预制块，预制块顶宽0.3 m，高0.15m。一侧垂直，一侧顺坝坡，缘石铺设总长度990m。</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上、下游坝坡均采用植物护坡，护坡范围为全部坝坡。护坡面积为2.62hm</w:t>
            </w:r>
            <w:r>
              <w:rPr>
                <w:rFonts w:hint="eastAsia"/>
                <w:color w:val="auto"/>
                <w:sz w:val="24"/>
                <w:highlight w:val="none"/>
                <w:vertAlign w:val="superscript"/>
              </w:rPr>
              <w:t>2</w:t>
            </w:r>
            <w:r>
              <w:rPr>
                <w:rFonts w:hint="eastAsia"/>
                <w:color w:val="auto"/>
                <w:sz w:val="24"/>
                <w:highlight w:val="none"/>
              </w:rPr>
              <w:t>，其中：上游坝坡1.38hm</w:t>
            </w:r>
            <w:r>
              <w:rPr>
                <w:rFonts w:hint="eastAsia"/>
                <w:color w:val="auto"/>
                <w:sz w:val="24"/>
                <w:highlight w:val="none"/>
                <w:vertAlign w:val="superscript"/>
              </w:rPr>
              <w:t>2</w:t>
            </w:r>
            <w:r>
              <w:rPr>
                <w:rFonts w:hint="eastAsia"/>
                <w:color w:val="auto"/>
                <w:sz w:val="24"/>
                <w:highlight w:val="none"/>
              </w:rPr>
              <w:t>，下游坝坡1.24hm</w:t>
            </w:r>
            <w:r>
              <w:rPr>
                <w:rFonts w:hint="eastAsia"/>
                <w:color w:val="auto"/>
                <w:sz w:val="24"/>
                <w:highlight w:val="none"/>
                <w:vertAlign w:val="superscript"/>
              </w:rPr>
              <w:t>2</w:t>
            </w:r>
            <w:r>
              <w:rPr>
                <w:rFonts w:hint="eastAsia"/>
                <w:color w:val="auto"/>
                <w:sz w:val="24"/>
                <w:highlight w:val="none"/>
              </w:rPr>
              <w:t>。在下游坝坡1395.0m处设一马道，马道宽2.0m，内侧设矩型排水沟。</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上下游坝坡与岸坡结合处均设排水沟，下游坝坡在马道内侧设横向排水沟。横向排水沟与岸坡排水沟纵横相通，横向排水沟坡降1：500，由中间向两边降低。纵向排水沟和横向排水沟均为矩型现浇混凝土结构，尺寸为底宽0.4m，高0.3m，混凝土标号：C25，排水沟总长415m。排水沟每10m设一道伸缩缝，缝宽30mm，用改性沥青油膏填塞。</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（2）放水建筑物工程</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 xml:space="preserve">由卧管、消力池、坝下涵洞、明渠段组成。其中：卧管总高11.6米，水平长36.0米；消力池为箱形钢筋砼结构，长4.0米，深2.0米；涵洞水平长90.0米，采用钢筋砼箱涵结构，尺寸1.0×1.4米。涵洞基础采用2：8水泥土处理。明渠段长5.0米，采用钢筋砼矩形结构。 </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（3）泄水建筑物工程</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由进口段、控制段、明渠段、陡坡段、消能段和海漫段组成，设计泄量为54.02m</w:t>
            </w:r>
            <w:r>
              <w:rPr>
                <w:rFonts w:hint="eastAsia"/>
                <w:color w:val="auto"/>
                <w:sz w:val="24"/>
                <w:highlight w:val="none"/>
                <w:vertAlign w:val="superscript"/>
              </w:rPr>
              <w:t>3</w:t>
            </w:r>
            <w:r>
              <w:rPr>
                <w:rFonts w:hint="eastAsia"/>
                <w:color w:val="auto"/>
                <w:sz w:val="24"/>
                <w:highlight w:val="none"/>
              </w:rPr>
              <w:t>/s，总长91.0米。</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进口段长12米，为八字墙钢筋砼结构，底宽8.0～3.0米，高2.0～6.43米，为矩形断面，挡土墙钢筋砼结构，顶宽0.3m，最大高度6.43m，内侧垂直，外侧边坡比1:0.1，底板厚0.5m。</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控制段长5.0米，采用钢筋砼箱涵结构，进口底板高程1398.17m，单孔，净宽3.0m，净高6.43m，侧墙顶宽0.4m，外边坡1:0.2，顶板厚度0.4m，顶板设计荷载为公路Ⅱ级。交通桥两侧布设钢筋砼防撞栏，矩形断面，宽0.3m，高为1.2m，与桥面连接处设0.2×0.2m的抹角。</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控制段后接明渠水平长14.0m，矩形断面底宽3.0m，墙高由6.43m渐变为3.0m，外侧边坡垂直，比降为1/100；</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陡坡水平长42.0m，进口高程1398.03m，底宽为3.0m，前段10m边墙高为3.0m-1.8m，后段边墙高为1.8m，比降为1/3.0，陡坡出口高程1384.03m，跌差14.0m，末端接消力池。</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消力池水平长10.0m，矩形断面底宽3.0m，边墙高2.0m，边墙顶部宽0.4m，底板厚0.5m。</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消力池出口接海漫，干砌石海漫长8.0m，厚度0.5m，宽9.8m。海漫出口两侧各设3.0m长的浆砌石挡土墙，墙高2.0m，挡土墙基础深2.0m，墙顶宽0.4m，外边坡1:0.3。</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（4）道路工程</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color w:val="auto"/>
                <w:sz w:val="24"/>
                <w:highlight w:val="none"/>
              </w:rPr>
            </w:pPr>
            <w:r>
              <w:rPr>
                <w:rFonts w:hint="eastAsia"/>
                <w:color w:val="auto"/>
                <w:sz w:val="24"/>
                <w:highlight w:val="none"/>
              </w:rPr>
              <w:t>新建砂砾石上坝道路长130米，路面宽4.0米，铺设砂砾石15cm。</w:t>
            </w:r>
          </w:p>
          <w:p>
            <w:pPr>
              <w:spacing w:line="360" w:lineRule="auto"/>
              <w:rPr>
                <w:rFonts w:hint="eastAsia"/>
                <w:b/>
                <w:bCs/>
                <w:color w:val="auto"/>
                <w:sz w:val="24"/>
                <w:highlight w:val="none"/>
              </w:rPr>
            </w:pPr>
            <w:r>
              <w:rPr>
                <w:rFonts w:hint="eastAsia"/>
                <w:b/>
                <w:bCs/>
                <w:color w:val="auto"/>
                <w:sz w:val="24"/>
                <w:highlight w:val="none"/>
              </w:rPr>
              <w:t>4、工程占地</w:t>
            </w:r>
          </w:p>
          <w:p>
            <w:pPr>
              <w:keepNext w:val="0"/>
              <w:keepLines w:val="0"/>
              <w:pageBreakBefore w:val="0"/>
              <w:kinsoku/>
              <w:wordWrap/>
              <w:overflowPunct/>
              <w:topLinePunct w:val="0"/>
              <w:autoSpaceDE/>
              <w:autoSpaceDN/>
              <w:bidi w:val="0"/>
              <w:snapToGrid w:val="0"/>
              <w:spacing w:line="360" w:lineRule="auto"/>
              <w:ind w:firstLine="544" w:firstLineChars="227"/>
              <w:textAlignment w:val="auto"/>
              <w:rPr>
                <w:color w:val="auto"/>
                <w:sz w:val="24"/>
                <w:szCs w:val="20"/>
                <w:highlight w:val="none"/>
              </w:rPr>
            </w:pPr>
            <w:r>
              <w:rPr>
                <w:color w:val="auto"/>
                <w:sz w:val="24"/>
                <w:szCs w:val="20"/>
                <w:highlight w:val="none"/>
              </w:rPr>
              <w:t>本项目总占地面积约</w:t>
            </w:r>
            <w:r>
              <w:rPr>
                <w:rFonts w:hint="eastAsia"/>
                <w:color w:val="auto"/>
                <w:sz w:val="24"/>
                <w:szCs w:val="20"/>
                <w:highlight w:val="none"/>
              </w:rPr>
              <w:t>3.8公顷（57亩），其中</w:t>
            </w:r>
            <w:r>
              <w:rPr>
                <w:color w:val="auto"/>
                <w:sz w:val="24"/>
                <w:szCs w:val="20"/>
                <w:highlight w:val="none"/>
              </w:rPr>
              <w:t>永久占地面积约</w:t>
            </w:r>
            <w:r>
              <w:rPr>
                <w:rFonts w:hint="eastAsia"/>
                <w:color w:val="auto"/>
                <w:sz w:val="24"/>
                <w:szCs w:val="20"/>
                <w:highlight w:val="none"/>
              </w:rPr>
              <w:t>2.8公顷（42亩）</w:t>
            </w:r>
            <w:r>
              <w:rPr>
                <w:color w:val="auto"/>
                <w:sz w:val="24"/>
                <w:szCs w:val="20"/>
                <w:highlight w:val="none"/>
              </w:rPr>
              <w:t>；临时占地总占地面积约</w:t>
            </w:r>
            <w:r>
              <w:rPr>
                <w:rFonts w:hint="eastAsia"/>
                <w:color w:val="auto"/>
                <w:sz w:val="24"/>
                <w:szCs w:val="20"/>
                <w:highlight w:val="none"/>
              </w:rPr>
              <w:t>1公顷（15亩）</w:t>
            </w:r>
            <w:r>
              <w:rPr>
                <w:color w:val="auto"/>
                <w:sz w:val="24"/>
                <w:szCs w:val="20"/>
                <w:highlight w:val="none"/>
              </w:rPr>
              <w:t>。</w:t>
            </w:r>
          </w:p>
          <w:p>
            <w:pPr>
              <w:keepNext w:val="0"/>
              <w:keepLines w:val="0"/>
              <w:pageBreakBefore w:val="0"/>
              <w:kinsoku/>
              <w:wordWrap/>
              <w:overflowPunct/>
              <w:topLinePunct w:val="0"/>
              <w:autoSpaceDE/>
              <w:autoSpaceDN/>
              <w:bidi w:val="0"/>
              <w:snapToGrid w:val="0"/>
              <w:spacing w:line="360" w:lineRule="auto"/>
              <w:ind w:firstLine="480" w:firstLineChars="200"/>
              <w:textAlignment w:val="auto"/>
              <w:rPr>
                <w:color w:val="auto"/>
                <w:sz w:val="24"/>
                <w:szCs w:val="20"/>
                <w:highlight w:val="none"/>
              </w:rPr>
            </w:pPr>
            <w:r>
              <w:rPr>
                <w:color w:val="auto"/>
                <w:sz w:val="24"/>
                <w:szCs w:val="20"/>
                <w:highlight w:val="none"/>
              </w:rPr>
              <w:t>本项目工程占地情况见表2-</w:t>
            </w:r>
            <w:r>
              <w:rPr>
                <w:rFonts w:hint="eastAsia"/>
                <w:color w:val="auto"/>
                <w:sz w:val="24"/>
                <w:szCs w:val="20"/>
                <w:highlight w:val="none"/>
                <w:lang w:val="en-US" w:eastAsia="zh-CN"/>
              </w:rPr>
              <w:t>2</w:t>
            </w:r>
            <w:r>
              <w:rPr>
                <w:color w:val="auto"/>
                <w:sz w:val="24"/>
                <w:szCs w:val="20"/>
                <w:highlight w:val="none"/>
              </w:rPr>
              <w:t>。</w:t>
            </w:r>
          </w:p>
          <w:p>
            <w:pPr>
              <w:spacing w:line="240" w:lineRule="auto"/>
              <w:ind w:firstLine="3197" w:firstLineChars="1327"/>
              <w:rPr>
                <w:b/>
                <w:color w:val="auto"/>
                <w:kern w:val="0"/>
                <w:sz w:val="24"/>
                <w:szCs w:val="20"/>
                <w:highlight w:val="none"/>
                <w:vertAlign w:val="superscript"/>
              </w:rPr>
            </w:pPr>
            <w:r>
              <w:rPr>
                <w:rFonts w:hint="default" w:ascii="Times New Roman" w:hAnsi="Times New Roman" w:eastAsia="黑体" w:cs="Times New Roman"/>
                <w:b/>
                <w:color w:val="auto"/>
                <w:kern w:val="0"/>
                <w:sz w:val="24"/>
                <w:szCs w:val="20"/>
                <w:highlight w:val="none"/>
              </w:rPr>
              <w:t>表2-</w:t>
            </w:r>
            <w:r>
              <w:rPr>
                <w:rFonts w:hint="default" w:ascii="Times New Roman" w:hAnsi="Times New Roman" w:eastAsia="黑体" w:cs="Times New Roman"/>
                <w:b/>
                <w:color w:val="auto"/>
                <w:kern w:val="0"/>
                <w:sz w:val="24"/>
                <w:szCs w:val="20"/>
                <w:highlight w:val="none"/>
                <w:lang w:val="en-US" w:eastAsia="zh-CN"/>
              </w:rPr>
              <w:t xml:space="preserve">2  </w:t>
            </w:r>
            <w:r>
              <w:rPr>
                <w:rFonts w:hint="default" w:ascii="Times New Roman" w:hAnsi="Times New Roman" w:eastAsia="黑体" w:cs="Times New Roman"/>
                <w:b/>
                <w:color w:val="auto"/>
                <w:kern w:val="0"/>
                <w:sz w:val="24"/>
                <w:szCs w:val="20"/>
                <w:highlight w:val="none"/>
              </w:rPr>
              <w:t>工程占地情况</w:t>
            </w:r>
            <w:r>
              <w:rPr>
                <w:rFonts w:hint="eastAsia" w:ascii="黑体" w:hAnsi="黑体" w:eastAsia="黑体" w:cs="黑体"/>
                <w:b/>
                <w:color w:val="auto"/>
                <w:kern w:val="0"/>
                <w:sz w:val="24"/>
                <w:szCs w:val="20"/>
                <w:highlight w:val="none"/>
              </w:rPr>
              <w:t>表</w:t>
            </w:r>
            <w:r>
              <w:rPr>
                <w:rFonts w:hint="eastAsia"/>
                <w:b/>
                <w:color w:val="auto"/>
                <w:kern w:val="0"/>
                <w:sz w:val="24"/>
                <w:szCs w:val="20"/>
                <w:highlight w:val="none"/>
              </w:rPr>
              <w:t xml:space="preserve">            </w:t>
            </w:r>
            <w:r>
              <w:rPr>
                <w:rFonts w:hint="eastAsia"/>
                <w:b/>
                <w:color w:val="auto"/>
                <w:kern w:val="0"/>
                <w:szCs w:val="21"/>
                <w:highlight w:val="none"/>
              </w:rPr>
              <w:t>单位：</w:t>
            </w:r>
            <w:r>
              <w:rPr>
                <w:color w:val="auto"/>
                <w:szCs w:val="21"/>
                <w:highlight w:val="none"/>
              </w:rPr>
              <w:t>hm</w:t>
            </w:r>
            <w:r>
              <w:rPr>
                <w:color w:val="auto"/>
                <w:szCs w:val="21"/>
                <w:highlight w:val="none"/>
                <w:vertAlign w:val="superscript"/>
              </w:rPr>
              <w:t>2</w:t>
            </w:r>
          </w:p>
          <w:tbl>
            <w:tblPr>
              <w:tblStyle w:val="24"/>
              <w:tblW w:w="4998"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197"/>
              <w:gridCol w:w="4294"/>
              <w:gridCol w:w="2221"/>
              <w:gridCol w:w="89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3188" w:type="pct"/>
                  <w:gridSpan w:val="2"/>
                  <w:vMerge w:val="restart"/>
                  <w:tcBorders>
                    <w:tl2br w:val="nil"/>
                    <w:tr2bl w:val="nil"/>
                  </w:tcBorders>
                  <w:vAlign w:val="center"/>
                </w:tcPr>
                <w:p>
                  <w:pPr>
                    <w:jc w:val="center"/>
                    <w:rPr>
                      <w:b/>
                      <w:bCs/>
                      <w:color w:val="auto"/>
                      <w:szCs w:val="21"/>
                      <w:highlight w:val="none"/>
                    </w:rPr>
                  </w:pPr>
                  <w:r>
                    <w:rPr>
                      <w:b/>
                      <w:bCs/>
                      <w:color w:val="auto"/>
                      <w:szCs w:val="21"/>
                      <w:highlight w:val="none"/>
                    </w:rPr>
                    <w:t>项目</w:t>
                  </w:r>
                  <w:r>
                    <w:rPr>
                      <w:rFonts w:hint="eastAsia"/>
                      <w:b/>
                      <w:bCs/>
                      <w:color w:val="auto"/>
                      <w:szCs w:val="21"/>
                      <w:highlight w:val="none"/>
                    </w:rPr>
                    <w:t>组成</w:t>
                  </w:r>
                </w:p>
              </w:tc>
              <w:tc>
                <w:tcPr>
                  <w:tcW w:w="1289" w:type="pct"/>
                  <w:tcBorders>
                    <w:tl2br w:val="nil"/>
                    <w:tr2bl w:val="nil"/>
                  </w:tcBorders>
                  <w:vAlign w:val="center"/>
                </w:tcPr>
                <w:p>
                  <w:pPr>
                    <w:jc w:val="center"/>
                    <w:rPr>
                      <w:b/>
                      <w:bCs/>
                      <w:color w:val="auto"/>
                      <w:szCs w:val="21"/>
                      <w:highlight w:val="none"/>
                    </w:rPr>
                  </w:pPr>
                  <w:r>
                    <w:rPr>
                      <w:rFonts w:hint="eastAsia"/>
                      <w:b/>
                      <w:bCs/>
                      <w:color w:val="auto"/>
                      <w:szCs w:val="21"/>
                      <w:highlight w:val="none"/>
                    </w:rPr>
                    <w:t>占地类型及占地</w:t>
                  </w:r>
                  <w:r>
                    <w:rPr>
                      <w:b/>
                      <w:bCs/>
                      <w:color w:val="auto"/>
                      <w:szCs w:val="21"/>
                      <w:highlight w:val="none"/>
                    </w:rPr>
                    <w:t>面积</w:t>
                  </w:r>
                </w:p>
              </w:tc>
              <w:tc>
                <w:tcPr>
                  <w:tcW w:w="521" w:type="pct"/>
                  <w:vMerge w:val="restart"/>
                  <w:tcBorders>
                    <w:tl2br w:val="nil"/>
                    <w:tr2bl w:val="nil"/>
                  </w:tcBorders>
                  <w:vAlign w:val="center"/>
                </w:tcPr>
                <w:p>
                  <w:pPr>
                    <w:jc w:val="center"/>
                    <w:rPr>
                      <w:b/>
                      <w:bCs/>
                      <w:color w:val="auto"/>
                      <w:szCs w:val="21"/>
                      <w:highlight w:val="none"/>
                    </w:rPr>
                  </w:pPr>
                  <w:r>
                    <w:rPr>
                      <w:rFonts w:hint="eastAsia"/>
                      <w:b/>
                      <w:bCs/>
                      <w:color w:val="auto"/>
                      <w:szCs w:val="21"/>
                      <w:highlight w:val="none"/>
                    </w:rPr>
                    <w:t>合计</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3188" w:type="pct"/>
                  <w:gridSpan w:val="2"/>
                  <w:vMerge w:val="continue"/>
                  <w:tcBorders>
                    <w:tl2br w:val="nil"/>
                    <w:tr2bl w:val="nil"/>
                  </w:tcBorders>
                  <w:vAlign w:val="center"/>
                </w:tcPr>
                <w:p>
                  <w:pPr>
                    <w:spacing w:line="300" w:lineRule="exact"/>
                    <w:rPr>
                      <w:b/>
                      <w:bCs/>
                      <w:color w:val="auto"/>
                      <w:szCs w:val="21"/>
                      <w:highlight w:val="none"/>
                    </w:rPr>
                  </w:pPr>
                </w:p>
              </w:tc>
              <w:tc>
                <w:tcPr>
                  <w:tcW w:w="1289" w:type="pct"/>
                  <w:tcBorders>
                    <w:tl2br w:val="nil"/>
                    <w:tr2bl w:val="nil"/>
                  </w:tcBorders>
                  <w:vAlign w:val="center"/>
                </w:tcPr>
                <w:p>
                  <w:pPr>
                    <w:spacing w:line="300" w:lineRule="exact"/>
                    <w:jc w:val="center"/>
                    <w:rPr>
                      <w:b/>
                      <w:bCs/>
                      <w:color w:val="auto"/>
                      <w:szCs w:val="21"/>
                      <w:highlight w:val="none"/>
                    </w:rPr>
                  </w:pPr>
                  <w:r>
                    <w:rPr>
                      <w:rFonts w:hint="eastAsia"/>
                      <w:b/>
                      <w:bCs/>
                      <w:color w:val="auto"/>
                      <w:szCs w:val="21"/>
                      <w:highlight w:val="none"/>
                      <w:lang w:val="en-US" w:eastAsia="zh-CN"/>
                    </w:rPr>
                    <w:t>其他</w:t>
                  </w:r>
                  <w:r>
                    <w:rPr>
                      <w:rFonts w:hint="eastAsia"/>
                      <w:b/>
                      <w:bCs/>
                      <w:color w:val="auto"/>
                      <w:szCs w:val="21"/>
                      <w:highlight w:val="none"/>
                    </w:rPr>
                    <w:t>草地</w:t>
                  </w:r>
                </w:p>
              </w:tc>
              <w:tc>
                <w:tcPr>
                  <w:tcW w:w="521" w:type="pct"/>
                  <w:vMerge w:val="continue"/>
                  <w:tcBorders>
                    <w:tl2br w:val="nil"/>
                    <w:tr2bl w:val="nil"/>
                  </w:tcBorders>
                  <w:vAlign w:val="center"/>
                </w:tcPr>
                <w:p>
                  <w:pPr>
                    <w:spacing w:line="300" w:lineRule="exact"/>
                    <w:jc w:val="center"/>
                    <w:rPr>
                      <w:b/>
                      <w:bCs/>
                      <w:color w:val="auto"/>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695"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永久占地</w:t>
                  </w:r>
                </w:p>
              </w:tc>
              <w:tc>
                <w:tcPr>
                  <w:tcW w:w="2493" w:type="pct"/>
                  <w:tcBorders>
                    <w:tl2br w:val="nil"/>
                    <w:tr2bl w:val="nil"/>
                  </w:tcBorders>
                  <w:vAlign w:val="center"/>
                </w:tcPr>
                <w:p>
                  <w:pPr>
                    <w:spacing w:line="300" w:lineRule="exact"/>
                    <w:jc w:val="center"/>
                    <w:rPr>
                      <w:color w:val="auto"/>
                      <w:szCs w:val="21"/>
                      <w:highlight w:val="none"/>
                    </w:rPr>
                  </w:pPr>
                  <w:r>
                    <w:rPr>
                      <w:rFonts w:hint="eastAsia"/>
                      <w:color w:val="auto"/>
                      <w:kern w:val="0"/>
                      <w:szCs w:val="21"/>
                      <w:highlight w:val="none"/>
                    </w:rPr>
                    <w:t>坝体、放水建筑物、泄水建筑物、道路</w:t>
                  </w:r>
                </w:p>
              </w:tc>
              <w:tc>
                <w:tcPr>
                  <w:tcW w:w="1289"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2.8</w:t>
                  </w:r>
                </w:p>
              </w:tc>
              <w:tc>
                <w:tcPr>
                  <w:tcW w:w="521"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2.8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695" w:type="pct"/>
                  <w:vMerge w:val="restar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临时占地</w:t>
                  </w:r>
                </w:p>
              </w:tc>
              <w:tc>
                <w:tcPr>
                  <w:tcW w:w="2493" w:type="pct"/>
                  <w:tcBorders>
                    <w:tl2br w:val="nil"/>
                    <w:tr2bl w:val="nil"/>
                  </w:tcBorders>
                  <w:vAlign w:val="center"/>
                </w:tcPr>
                <w:p>
                  <w:pPr>
                    <w:spacing w:line="300" w:lineRule="exact"/>
                    <w:jc w:val="center"/>
                    <w:rPr>
                      <w:b/>
                      <w:color w:val="auto"/>
                      <w:szCs w:val="21"/>
                      <w:highlight w:val="none"/>
                    </w:rPr>
                  </w:pPr>
                  <w:r>
                    <w:rPr>
                      <w:rFonts w:hint="eastAsia"/>
                      <w:color w:val="auto"/>
                      <w:szCs w:val="21"/>
                      <w:highlight w:val="none"/>
                    </w:rPr>
                    <w:t>施工道路</w:t>
                  </w:r>
                </w:p>
              </w:tc>
              <w:tc>
                <w:tcPr>
                  <w:tcW w:w="1289"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0.2</w:t>
                  </w:r>
                </w:p>
              </w:tc>
              <w:tc>
                <w:tcPr>
                  <w:tcW w:w="521"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695" w:type="pct"/>
                  <w:vMerge w:val="continue"/>
                  <w:tcBorders>
                    <w:tl2br w:val="nil"/>
                    <w:tr2bl w:val="nil"/>
                  </w:tcBorders>
                  <w:vAlign w:val="center"/>
                </w:tcPr>
                <w:p>
                  <w:pPr>
                    <w:spacing w:line="300" w:lineRule="exact"/>
                    <w:jc w:val="center"/>
                    <w:rPr>
                      <w:color w:val="auto"/>
                      <w:szCs w:val="21"/>
                      <w:highlight w:val="none"/>
                    </w:rPr>
                  </w:pPr>
                </w:p>
              </w:tc>
              <w:tc>
                <w:tcPr>
                  <w:tcW w:w="2493"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施工营地</w:t>
                  </w:r>
                </w:p>
              </w:tc>
              <w:tc>
                <w:tcPr>
                  <w:tcW w:w="1289"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0.1</w:t>
                  </w:r>
                </w:p>
              </w:tc>
              <w:tc>
                <w:tcPr>
                  <w:tcW w:w="521"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695" w:type="pct"/>
                  <w:vMerge w:val="continue"/>
                  <w:tcBorders>
                    <w:tl2br w:val="nil"/>
                    <w:tr2bl w:val="nil"/>
                  </w:tcBorders>
                  <w:vAlign w:val="center"/>
                </w:tcPr>
                <w:p>
                  <w:pPr>
                    <w:spacing w:line="300" w:lineRule="exact"/>
                    <w:jc w:val="center"/>
                    <w:rPr>
                      <w:color w:val="auto"/>
                      <w:szCs w:val="21"/>
                      <w:highlight w:val="none"/>
                    </w:rPr>
                  </w:pPr>
                </w:p>
              </w:tc>
              <w:tc>
                <w:tcPr>
                  <w:tcW w:w="2493"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取土场</w:t>
                  </w:r>
                </w:p>
              </w:tc>
              <w:tc>
                <w:tcPr>
                  <w:tcW w:w="1289"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0.7</w:t>
                  </w:r>
                </w:p>
              </w:tc>
              <w:tc>
                <w:tcPr>
                  <w:tcW w:w="521"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0.7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695" w:type="pct"/>
                  <w:vMerge w:val="continue"/>
                  <w:tcBorders>
                    <w:tl2br w:val="nil"/>
                    <w:tr2bl w:val="nil"/>
                  </w:tcBorders>
                  <w:vAlign w:val="center"/>
                </w:tcPr>
                <w:p>
                  <w:pPr>
                    <w:spacing w:line="300" w:lineRule="exact"/>
                    <w:jc w:val="center"/>
                    <w:rPr>
                      <w:color w:val="auto"/>
                      <w:szCs w:val="21"/>
                      <w:highlight w:val="none"/>
                    </w:rPr>
                  </w:pPr>
                </w:p>
              </w:tc>
              <w:tc>
                <w:tcPr>
                  <w:tcW w:w="2493"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小</w:t>
                  </w:r>
                  <w:r>
                    <w:rPr>
                      <w:color w:val="auto"/>
                      <w:szCs w:val="21"/>
                      <w:highlight w:val="none"/>
                    </w:rPr>
                    <w:t>计</w:t>
                  </w:r>
                </w:p>
              </w:tc>
              <w:tc>
                <w:tcPr>
                  <w:tcW w:w="1289" w:type="pct"/>
                  <w:tcBorders>
                    <w:tl2br w:val="nil"/>
                    <w:tr2bl w:val="nil"/>
                  </w:tcBorders>
                  <w:vAlign w:val="center"/>
                </w:tcPr>
                <w:p>
                  <w:pPr>
                    <w:widowControl/>
                    <w:jc w:val="center"/>
                    <w:textAlignment w:val="center"/>
                    <w:rPr>
                      <w:color w:val="auto"/>
                      <w:szCs w:val="21"/>
                      <w:highlight w:val="none"/>
                    </w:rPr>
                  </w:pPr>
                  <w:r>
                    <w:rPr>
                      <w:rFonts w:hint="eastAsia"/>
                      <w:color w:val="auto"/>
                      <w:kern w:val="0"/>
                      <w:szCs w:val="21"/>
                      <w:highlight w:val="none"/>
                      <w:lang w:bidi="ar"/>
                    </w:rPr>
                    <w:t>1</w:t>
                  </w:r>
                </w:p>
              </w:tc>
              <w:tc>
                <w:tcPr>
                  <w:tcW w:w="521" w:type="pct"/>
                  <w:tcBorders>
                    <w:tl2br w:val="nil"/>
                    <w:tr2bl w:val="nil"/>
                  </w:tcBorders>
                  <w:vAlign w:val="center"/>
                </w:tcPr>
                <w:p>
                  <w:pPr>
                    <w:widowControl/>
                    <w:jc w:val="center"/>
                    <w:textAlignment w:val="center"/>
                    <w:rPr>
                      <w:color w:val="auto"/>
                      <w:szCs w:val="21"/>
                      <w:highlight w:val="none"/>
                    </w:rPr>
                  </w:pPr>
                  <w:r>
                    <w:rPr>
                      <w:rFonts w:hint="eastAsia"/>
                      <w:color w:val="auto"/>
                      <w:kern w:val="0"/>
                      <w:szCs w:val="21"/>
                      <w:highlight w:val="none"/>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2" w:hRule="atLeast"/>
                <w:jc w:val="center"/>
              </w:trPr>
              <w:tc>
                <w:tcPr>
                  <w:tcW w:w="3188" w:type="pct"/>
                  <w:gridSpan w:val="2"/>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合计</w:t>
                  </w:r>
                </w:p>
              </w:tc>
              <w:tc>
                <w:tcPr>
                  <w:tcW w:w="1289" w:type="pct"/>
                  <w:tcBorders>
                    <w:tl2br w:val="nil"/>
                    <w:tr2bl w:val="nil"/>
                  </w:tcBorders>
                  <w:vAlign w:val="center"/>
                </w:tcPr>
                <w:p>
                  <w:pPr>
                    <w:widowControl/>
                    <w:jc w:val="center"/>
                    <w:textAlignment w:val="center"/>
                    <w:rPr>
                      <w:color w:val="auto"/>
                      <w:szCs w:val="21"/>
                      <w:highlight w:val="none"/>
                    </w:rPr>
                  </w:pPr>
                  <w:r>
                    <w:rPr>
                      <w:rFonts w:hint="eastAsia"/>
                      <w:color w:val="auto"/>
                      <w:szCs w:val="21"/>
                      <w:highlight w:val="none"/>
                    </w:rPr>
                    <w:t>3.8</w:t>
                  </w:r>
                </w:p>
              </w:tc>
              <w:tc>
                <w:tcPr>
                  <w:tcW w:w="521" w:type="pct"/>
                  <w:tcBorders>
                    <w:tl2br w:val="nil"/>
                    <w:tr2bl w:val="nil"/>
                  </w:tcBorders>
                  <w:vAlign w:val="center"/>
                </w:tcPr>
                <w:p>
                  <w:pPr>
                    <w:spacing w:line="300" w:lineRule="exact"/>
                    <w:jc w:val="center"/>
                    <w:rPr>
                      <w:color w:val="auto"/>
                      <w:szCs w:val="21"/>
                      <w:highlight w:val="none"/>
                    </w:rPr>
                  </w:pPr>
                  <w:r>
                    <w:rPr>
                      <w:rFonts w:hint="eastAsia"/>
                      <w:color w:val="auto"/>
                      <w:szCs w:val="21"/>
                      <w:highlight w:val="none"/>
                    </w:rPr>
                    <w:t>3.8</w:t>
                  </w:r>
                </w:p>
              </w:tc>
            </w:tr>
          </w:tbl>
          <w:p>
            <w:pPr>
              <w:pStyle w:val="2"/>
              <w:rPr>
                <w:b/>
                <w:color w:val="auto"/>
                <w:kern w:val="0"/>
                <w:sz w:val="24"/>
                <w:highlight w:val="none"/>
              </w:rPr>
            </w:pPr>
          </w:p>
          <w:p>
            <w:pPr>
              <w:spacing w:line="360" w:lineRule="auto"/>
              <w:rPr>
                <w:rFonts w:hint="eastAsia"/>
                <w:b/>
                <w:bCs/>
                <w:color w:val="auto"/>
                <w:sz w:val="24"/>
                <w:highlight w:val="none"/>
              </w:rPr>
            </w:pPr>
            <w:r>
              <w:rPr>
                <w:rFonts w:hint="eastAsia"/>
                <w:b/>
                <w:bCs/>
                <w:color w:val="auto"/>
                <w:sz w:val="24"/>
                <w:highlight w:val="none"/>
              </w:rPr>
              <w:t>5、土石方</w:t>
            </w:r>
          </w:p>
          <w:p>
            <w:pPr>
              <w:spacing w:line="360" w:lineRule="auto"/>
              <w:ind w:firstLine="480" w:firstLineChars="200"/>
              <w:jc w:val="left"/>
              <w:outlineLvl w:val="0"/>
              <w:rPr>
                <w:color w:val="auto"/>
                <w:sz w:val="24"/>
                <w:highlight w:val="none"/>
              </w:rPr>
            </w:pPr>
            <w:r>
              <w:rPr>
                <w:color w:val="auto"/>
                <w:sz w:val="24"/>
                <w:highlight w:val="none"/>
              </w:rPr>
              <w:t>根据</w:t>
            </w:r>
            <w:r>
              <w:rPr>
                <w:rFonts w:hint="eastAsia"/>
                <w:color w:val="auto"/>
                <w:sz w:val="24"/>
                <w:highlight w:val="none"/>
              </w:rPr>
              <w:t>本</w:t>
            </w:r>
            <w:r>
              <w:rPr>
                <w:color w:val="auto"/>
                <w:sz w:val="24"/>
                <w:highlight w:val="none"/>
              </w:rPr>
              <w:t>项目初步设计</w:t>
            </w:r>
            <w:r>
              <w:rPr>
                <w:rFonts w:hint="eastAsia"/>
                <w:color w:val="auto"/>
                <w:sz w:val="24"/>
                <w:highlight w:val="none"/>
              </w:rPr>
              <w:t>报告</w:t>
            </w:r>
            <w:r>
              <w:rPr>
                <w:color w:val="auto"/>
                <w:sz w:val="24"/>
                <w:highlight w:val="none"/>
              </w:rPr>
              <w:t>可知，</w:t>
            </w:r>
            <w:r>
              <w:rPr>
                <w:rFonts w:hint="eastAsia"/>
                <w:color w:val="auto"/>
                <w:sz w:val="24"/>
                <w:highlight w:val="none"/>
              </w:rPr>
              <w:t>项目施工</w:t>
            </w:r>
            <w:r>
              <w:rPr>
                <w:color w:val="auto"/>
                <w:sz w:val="24"/>
                <w:highlight w:val="none"/>
              </w:rPr>
              <w:t>期土方总挖方</w:t>
            </w:r>
            <w:r>
              <w:rPr>
                <w:rFonts w:hint="eastAsia"/>
                <w:color w:val="auto"/>
                <w:sz w:val="24"/>
                <w:highlight w:val="none"/>
              </w:rPr>
              <w:t>15.25万</w:t>
            </w:r>
            <w:r>
              <w:rPr>
                <w:color w:val="auto"/>
                <w:sz w:val="24"/>
                <w:highlight w:val="none"/>
              </w:rPr>
              <w:t>m</w:t>
            </w:r>
            <w:r>
              <w:rPr>
                <w:color w:val="auto"/>
                <w:sz w:val="24"/>
                <w:highlight w:val="none"/>
                <w:vertAlign w:val="superscript"/>
              </w:rPr>
              <w:t>3</w:t>
            </w:r>
            <w:r>
              <w:rPr>
                <w:color w:val="auto"/>
                <w:sz w:val="24"/>
                <w:highlight w:val="none"/>
              </w:rPr>
              <w:t>，总填方</w:t>
            </w:r>
            <w:r>
              <w:rPr>
                <w:rFonts w:hint="eastAsia"/>
                <w:color w:val="auto"/>
                <w:sz w:val="24"/>
                <w:highlight w:val="none"/>
              </w:rPr>
              <w:t>14.05万</w:t>
            </w:r>
            <w:r>
              <w:rPr>
                <w:color w:val="auto"/>
                <w:sz w:val="24"/>
                <w:highlight w:val="none"/>
              </w:rPr>
              <w:t>m</w:t>
            </w:r>
            <w:r>
              <w:rPr>
                <w:color w:val="auto"/>
                <w:sz w:val="24"/>
                <w:highlight w:val="none"/>
                <w:vertAlign w:val="superscript"/>
              </w:rPr>
              <w:t>3</w:t>
            </w:r>
            <w:r>
              <w:rPr>
                <w:color w:val="auto"/>
                <w:sz w:val="24"/>
                <w:highlight w:val="none"/>
              </w:rPr>
              <w:t>，</w:t>
            </w:r>
            <w:r>
              <w:rPr>
                <w:rFonts w:hint="eastAsia"/>
                <w:color w:val="auto"/>
                <w:sz w:val="24"/>
                <w:highlight w:val="none"/>
              </w:rPr>
              <w:t>借方1.59万</w:t>
            </w:r>
            <w:r>
              <w:rPr>
                <w:color w:val="auto"/>
                <w:kern w:val="0"/>
                <w:sz w:val="24"/>
                <w:highlight w:val="none"/>
              </w:rPr>
              <w:t>m</w:t>
            </w:r>
            <w:r>
              <w:rPr>
                <w:color w:val="auto"/>
                <w:kern w:val="0"/>
                <w:sz w:val="24"/>
                <w:highlight w:val="none"/>
                <w:vertAlign w:val="superscript"/>
              </w:rPr>
              <w:t>3</w:t>
            </w:r>
            <w:r>
              <w:rPr>
                <w:rFonts w:hint="eastAsia"/>
                <w:color w:val="auto"/>
                <w:sz w:val="24"/>
                <w:highlight w:val="none"/>
              </w:rPr>
              <w:t>，</w:t>
            </w:r>
            <w:r>
              <w:rPr>
                <w:rFonts w:hint="eastAsia"/>
                <w:color w:val="auto"/>
                <w:sz w:val="24"/>
                <w:highlight w:val="none"/>
                <w:lang w:val="en-US" w:eastAsia="zh-CN"/>
              </w:rPr>
              <w:t>弃方</w:t>
            </w:r>
            <w:r>
              <w:rPr>
                <w:rFonts w:hint="eastAsia"/>
                <w:color w:val="auto"/>
                <w:kern w:val="0"/>
                <w:sz w:val="24"/>
                <w:highlight w:val="none"/>
              </w:rPr>
              <w:t>1.2</w:t>
            </w:r>
            <w:r>
              <w:rPr>
                <w:rFonts w:hint="eastAsia"/>
                <w:color w:val="auto"/>
                <w:sz w:val="24"/>
                <w:highlight w:val="none"/>
              </w:rPr>
              <w:t>万</w:t>
            </w:r>
            <w:r>
              <w:rPr>
                <w:color w:val="auto"/>
                <w:kern w:val="0"/>
                <w:sz w:val="24"/>
                <w:highlight w:val="none"/>
              </w:rPr>
              <w:t>m</w:t>
            </w:r>
            <w:r>
              <w:rPr>
                <w:color w:val="auto"/>
                <w:kern w:val="0"/>
                <w:sz w:val="24"/>
                <w:highlight w:val="none"/>
                <w:vertAlign w:val="superscript"/>
              </w:rPr>
              <w:t>3</w:t>
            </w:r>
            <w:r>
              <w:rPr>
                <w:rFonts w:hint="eastAsia"/>
                <w:color w:val="auto"/>
                <w:kern w:val="0"/>
                <w:sz w:val="24"/>
                <w:highlight w:val="none"/>
              </w:rPr>
              <w:t>，</w:t>
            </w:r>
            <w:r>
              <w:rPr>
                <w:rFonts w:hint="eastAsia"/>
                <w:color w:val="auto"/>
                <w:sz w:val="24"/>
                <w:highlight w:val="none"/>
                <w:lang w:val="en-US" w:eastAsia="zh-CN"/>
              </w:rPr>
              <w:t>弃方</w:t>
            </w:r>
            <w:r>
              <w:rPr>
                <w:rFonts w:hint="eastAsia"/>
                <w:color w:val="auto"/>
                <w:kern w:val="0"/>
                <w:sz w:val="24"/>
                <w:highlight w:val="none"/>
              </w:rPr>
              <w:t>全部用于取土场平整，不</w:t>
            </w:r>
            <w:r>
              <w:rPr>
                <w:rFonts w:hint="eastAsia"/>
                <w:color w:val="auto"/>
                <w:kern w:val="0"/>
                <w:sz w:val="24"/>
                <w:highlight w:val="none"/>
                <w:lang w:val="en-US" w:eastAsia="zh-CN"/>
              </w:rPr>
              <w:t>另</w:t>
            </w:r>
            <w:r>
              <w:rPr>
                <w:rFonts w:hint="eastAsia"/>
                <w:color w:val="auto"/>
                <w:kern w:val="0"/>
                <w:sz w:val="24"/>
                <w:highlight w:val="none"/>
              </w:rPr>
              <w:t>设弃土场</w:t>
            </w:r>
            <w:r>
              <w:rPr>
                <w:rFonts w:hint="eastAsia"/>
                <w:color w:val="auto"/>
                <w:sz w:val="24"/>
                <w:highlight w:val="none"/>
              </w:rPr>
              <w:t>。</w:t>
            </w:r>
            <w:r>
              <w:rPr>
                <w:color w:val="auto"/>
                <w:sz w:val="24"/>
                <w:highlight w:val="none"/>
              </w:rPr>
              <w:t>项目土石方情况见</w:t>
            </w:r>
            <w:r>
              <w:rPr>
                <w:b/>
                <w:bCs/>
                <w:color w:val="auto"/>
                <w:sz w:val="24"/>
                <w:highlight w:val="none"/>
              </w:rPr>
              <w:t>表2-</w:t>
            </w:r>
            <w:r>
              <w:rPr>
                <w:rFonts w:hint="eastAsia"/>
                <w:b/>
                <w:bCs/>
                <w:color w:val="auto"/>
                <w:sz w:val="24"/>
                <w:highlight w:val="none"/>
                <w:lang w:val="en-US" w:eastAsia="zh-CN"/>
              </w:rPr>
              <w:t>3</w:t>
            </w:r>
            <w:r>
              <w:rPr>
                <w:color w:val="auto"/>
                <w:sz w:val="24"/>
                <w:highlight w:val="none"/>
              </w:rPr>
              <w:t>。</w:t>
            </w:r>
          </w:p>
          <w:p>
            <w:pPr>
              <w:spacing w:line="240" w:lineRule="auto"/>
              <w:ind w:firstLine="482" w:firstLineChars="200"/>
              <w:jc w:val="center"/>
              <w:outlineLvl w:val="0"/>
              <w:rPr>
                <w:color w:val="auto"/>
                <w:sz w:val="24"/>
                <w:highlight w:val="none"/>
              </w:rPr>
            </w:pPr>
            <w:r>
              <w:rPr>
                <w:rFonts w:eastAsia="黑体"/>
                <w:b/>
                <w:color w:val="auto"/>
                <w:sz w:val="24"/>
                <w:highlight w:val="none"/>
              </w:rPr>
              <w:t xml:space="preserve">           </w:t>
            </w:r>
            <w:r>
              <w:rPr>
                <w:rFonts w:hint="eastAsia" w:eastAsia="黑体"/>
                <w:b/>
                <w:color w:val="auto"/>
                <w:sz w:val="24"/>
                <w:highlight w:val="none"/>
              </w:rPr>
              <w:t xml:space="preserve">    </w:t>
            </w:r>
            <w:r>
              <w:rPr>
                <w:rFonts w:eastAsia="黑体"/>
                <w:b/>
                <w:color w:val="auto"/>
                <w:sz w:val="24"/>
                <w:highlight w:val="none"/>
              </w:rPr>
              <w:t>表2-</w:t>
            </w:r>
            <w:r>
              <w:rPr>
                <w:rFonts w:hint="eastAsia" w:eastAsia="黑体"/>
                <w:b/>
                <w:color w:val="auto"/>
                <w:sz w:val="24"/>
                <w:highlight w:val="none"/>
                <w:lang w:val="en-US" w:eastAsia="zh-CN"/>
              </w:rPr>
              <w:t>3</w:t>
            </w:r>
            <w:r>
              <w:rPr>
                <w:rFonts w:eastAsia="黑体"/>
                <w:b/>
                <w:color w:val="auto"/>
                <w:sz w:val="24"/>
                <w:highlight w:val="none"/>
              </w:rPr>
              <w:t xml:space="preserve">  本项目土石方情况一览表   </w:t>
            </w:r>
            <w:r>
              <w:rPr>
                <w:rFonts w:hint="eastAsia" w:eastAsia="黑体"/>
                <w:b/>
                <w:color w:val="auto"/>
                <w:sz w:val="24"/>
                <w:highlight w:val="none"/>
              </w:rPr>
              <w:t xml:space="preserve">  </w:t>
            </w:r>
            <w:r>
              <w:rPr>
                <w:rFonts w:eastAsia="黑体"/>
                <w:b/>
                <w:color w:val="auto"/>
                <w:sz w:val="24"/>
                <w:highlight w:val="none"/>
              </w:rPr>
              <w:t xml:space="preserve">     </w:t>
            </w:r>
            <w:r>
              <w:rPr>
                <w:rFonts w:eastAsia="黑体"/>
                <w:bCs/>
                <w:color w:val="auto"/>
                <w:sz w:val="24"/>
                <w:highlight w:val="none"/>
              </w:rPr>
              <w:t>单位：</w:t>
            </w:r>
            <w:r>
              <w:rPr>
                <w:rFonts w:hint="eastAsia" w:eastAsia="黑体"/>
                <w:bCs/>
                <w:color w:val="auto"/>
                <w:sz w:val="24"/>
                <w:highlight w:val="none"/>
              </w:rPr>
              <w:t>万</w:t>
            </w:r>
            <w:r>
              <w:rPr>
                <w:rFonts w:eastAsia="黑体"/>
                <w:bCs/>
                <w:color w:val="auto"/>
                <w:sz w:val="24"/>
                <w:highlight w:val="none"/>
              </w:rPr>
              <w:t>m</w:t>
            </w:r>
            <w:r>
              <w:rPr>
                <w:rFonts w:eastAsia="黑体"/>
                <w:bCs/>
                <w:color w:val="auto"/>
                <w:sz w:val="24"/>
                <w:highlight w:val="none"/>
                <w:vertAlign w:val="superscript"/>
              </w:rPr>
              <w:t>3</w:t>
            </w:r>
          </w:p>
          <w:tbl>
            <w:tblPr>
              <w:tblStyle w:val="24"/>
              <w:tblW w:w="4875"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45"/>
              <w:gridCol w:w="803"/>
              <w:gridCol w:w="840"/>
              <w:gridCol w:w="679"/>
              <w:gridCol w:w="733"/>
              <w:gridCol w:w="731"/>
              <w:gridCol w:w="697"/>
              <w:gridCol w:w="679"/>
              <w:gridCol w:w="785"/>
              <w:gridCol w:w="711"/>
              <w:gridCol w:w="7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63" w:type="pct"/>
                  <w:vMerge w:val="restart"/>
                  <w:tcBorders>
                    <w:tl2br w:val="nil"/>
                    <w:tr2bl w:val="nil"/>
                  </w:tcBorders>
                  <w:vAlign w:val="center"/>
                </w:tcPr>
                <w:p>
                  <w:pPr>
                    <w:spacing w:line="240" w:lineRule="atLeast"/>
                    <w:jc w:val="center"/>
                    <w:rPr>
                      <w:b/>
                      <w:bCs/>
                      <w:color w:val="auto"/>
                      <w:sz w:val="21"/>
                      <w:szCs w:val="21"/>
                      <w:highlight w:val="none"/>
                    </w:rPr>
                  </w:pPr>
                  <w:r>
                    <w:rPr>
                      <w:b/>
                      <w:bCs/>
                      <w:color w:val="auto"/>
                      <w:sz w:val="21"/>
                      <w:szCs w:val="21"/>
                      <w:highlight w:val="none"/>
                    </w:rPr>
                    <w:t>项目组成</w:t>
                  </w:r>
                </w:p>
              </w:tc>
              <w:tc>
                <w:tcPr>
                  <w:tcW w:w="478" w:type="pct"/>
                  <w:vMerge w:val="restart"/>
                  <w:tcBorders>
                    <w:tl2br w:val="nil"/>
                    <w:tr2bl w:val="nil"/>
                  </w:tcBorders>
                  <w:vAlign w:val="center"/>
                </w:tcPr>
                <w:p>
                  <w:pPr>
                    <w:spacing w:line="240" w:lineRule="atLeast"/>
                    <w:jc w:val="center"/>
                    <w:rPr>
                      <w:b/>
                      <w:bCs/>
                      <w:color w:val="auto"/>
                      <w:sz w:val="21"/>
                      <w:szCs w:val="21"/>
                      <w:highlight w:val="none"/>
                    </w:rPr>
                  </w:pPr>
                  <w:r>
                    <w:rPr>
                      <w:b/>
                      <w:bCs/>
                      <w:color w:val="auto"/>
                      <w:sz w:val="21"/>
                      <w:szCs w:val="21"/>
                      <w:highlight w:val="none"/>
                    </w:rPr>
                    <w:t>挖方</w:t>
                  </w:r>
                </w:p>
              </w:tc>
              <w:tc>
                <w:tcPr>
                  <w:tcW w:w="500" w:type="pct"/>
                  <w:vMerge w:val="restart"/>
                  <w:tcBorders>
                    <w:tl2br w:val="nil"/>
                    <w:tr2bl w:val="nil"/>
                  </w:tcBorders>
                  <w:vAlign w:val="center"/>
                </w:tcPr>
                <w:p>
                  <w:pPr>
                    <w:spacing w:line="240" w:lineRule="atLeast"/>
                    <w:jc w:val="center"/>
                    <w:rPr>
                      <w:b/>
                      <w:bCs/>
                      <w:color w:val="auto"/>
                      <w:sz w:val="21"/>
                      <w:szCs w:val="21"/>
                      <w:highlight w:val="none"/>
                    </w:rPr>
                  </w:pPr>
                  <w:r>
                    <w:rPr>
                      <w:b/>
                      <w:bCs/>
                      <w:color w:val="auto"/>
                      <w:sz w:val="21"/>
                      <w:szCs w:val="21"/>
                      <w:highlight w:val="none"/>
                    </w:rPr>
                    <w:t>填方</w:t>
                  </w:r>
                </w:p>
              </w:tc>
              <w:tc>
                <w:tcPr>
                  <w:tcW w:w="840" w:type="pct"/>
                  <w:gridSpan w:val="2"/>
                  <w:tcBorders>
                    <w:tl2br w:val="nil"/>
                    <w:tr2bl w:val="nil"/>
                  </w:tcBorders>
                  <w:vAlign w:val="center"/>
                </w:tcPr>
                <w:p>
                  <w:pPr>
                    <w:spacing w:line="240" w:lineRule="atLeast"/>
                    <w:jc w:val="center"/>
                    <w:rPr>
                      <w:rFonts w:hint="eastAsia"/>
                      <w:b/>
                      <w:bCs/>
                      <w:color w:val="auto"/>
                      <w:sz w:val="21"/>
                      <w:szCs w:val="21"/>
                      <w:highlight w:val="none"/>
                      <w:lang w:eastAsia="zh-CN"/>
                    </w:rPr>
                  </w:pPr>
                  <w:r>
                    <w:rPr>
                      <w:rFonts w:hint="eastAsia"/>
                      <w:b/>
                      <w:bCs/>
                      <w:color w:val="auto"/>
                      <w:sz w:val="21"/>
                      <w:szCs w:val="21"/>
                      <w:highlight w:val="none"/>
                      <w:lang w:eastAsia="zh-CN"/>
                    </w:rPr>
                    <w:t>调出</w:t>
                  </w:r>
                  <w:r>
                    <w:rPr>
                      <w:rFonts w:hint="eastAsia"/>
                      <w:b/>
                      <w:bCs/>
                      <w:color w:val="auto"/>
                      <w:sz w:val="21"/>
                      <w:szCs w:val="21"/>
                      <w:highlight w:val="none"/>
                      <w:lang w:val="en-US" w:eastAsia="zh-CN"/>
                    </w:rPr>
                    <w:t>方</w:t>
                  </w:r>
                </w:p>
              </w:tc>
              <w:tc>
                <w:tcPr>
                  <w:tcW w:w="850" w:type="pct"/>
                  <w:gridSpan w:val="2"/>
                  <w:tcBorders>
                    <w:tl2br w:val="nil"/>
                    <w:tr2bl w:val="nil"/>
                  </w:tcBorders>
                  <w:vAlign w:val="center"/>
                </w:tcPr>
                <w:p>
                  <w:pPr>
                    <w:spacing w:line="240" w:lineRule="atLeast"/>
                    <w:jc w:val="center"/>
                    <w:rPr>
                      <w:rFonts w:hint="eastAsia"/>
                      <w:b/>
                      <w:bCs/>
                      <w:color w:val="auto"/>
                      <w:sz w:val="21"/>
                      <w:szCs w:val="21"/>
                      <w:highlight w:val="none"/>
                    </w:rPr>
                  </w:pPr>
                  <w:r>
                    <w:rPr>
                      <w:rFonts w:hint="eastAsia"/>
                      <w:b/>
                      <w:bCs/>
                      <w:color w:val="auto"/>
                      <w:sz w:val="21"/>
                      <w:szCs w:val="21"/>
                      <w:highlight w:val="none"/>
                      <w:lang w:eastAsia="zh-CN"/>
                    </w:rPr>
                    <w:t>调入</w:t>
                  </w:r>
                  <w:r>
                    <w:rPr>
                      <w:rFonts w:hint="eastAsia"/>
                      <w:b/>
                      <w:bCs/>
                      <w:color w:val="auto"/>
                      <w:sz w:val="21"/>
                      <w:szCs w:val="21"/>
                      <w:highlight w:val="none"/>
                      <w:lang w:val="en-US" w:eastAsia="zh-CN"/>
                    </w:rPr>
                    <w:t>方</w:t>
                  </w:r>
                </w:p>
              </w:tc>
              <w:tc>
                <w:tcPr>
                  <w:tcW w:w="871" w:type="pct"/>
                  <w:gridSpan w:val="2"/>
                  <w:tcBorders>
                    <w:tl2br w:val="nil"/>
                    <w:tr2bl w:val="nil"/>
                  </w:tcBorders>
                  <w:vAlign w:val="center"/>
                </w:tcPr>
                <w:p>
                  <w:pPr>
                    <w:spacing w:line="240" w:lineRule="atLeast"/>
                    <w:jc w:val="center"/>
                    <w:rPr>
                      <w:rFonts w:hint="eastAsia"/>
                      <w:b/>
                      <w:bCs/>
                      <w:color w:val="auto"/>
                      <w:sz w:val="21"/>
                      <w:szCs w:val="21"/>
                      <w:highlight w:val="none"/>
                      <w:lang w:val="en-US" w:eastAsia="zh-CN"/>
                    </w:rPr>
                  </w:pPr>
                  <w:r>
                    <w:rPr>
                      <w:rFonts w:hint="eastAsia"/>
                      <w:b/>
                      <w:bCs/>
                      <w:color w:val="auto"/>
                      <w:sz w:val="21"/>
                      <w:szCs w:val="21"/>
                      <w:highlight w:val="none"/>
                      <w:lang w:val="en-US" w:eastAsia="zh-CN"/>
                    </w:rPr>
                    <w:t>借方</w:t>
                  </w:r>
                </w:p>
              </w:tc>
              <w:tc>
                <w:tcPr>
                  <w:tcW w:w="896" w:type="pct"/>
                  <w:gridSpan w:val="2"/>
                  <w:tcBorders>
                    <w:tl2br w:val="nil"/>
                    <w:tr2bl w:val="nil"/>
                  </w:tcBorders>
                  <w:vAlign w:val="center"/>
                </w:tcPr>
                <w:p>
                  <w:pPr>
                    <w:spacing w:line="240" w:lineRule="atLeast"/>
                    <w:jc w:val="center"/>
                    <w:rPr>
                      <w:rFonts w:hint="eastAsia"/>
                      <w:b/>
                      <w:bCs/>
                      <w:color w:val="auto"/>
                      <w:sz w:val="21"/>
                      <w:szCs w:val="21"/>
                      <w:highlight w:val="none"/>
                      <w:lang w:val="en-US" w:eastAsia="zh-CN"/>
                    </w:rPr>
                  </w:pPr>
                  <w:r>
                    <w:rPr>
                      <w:rFonts w:hint="eastAsia"/>
                      <w:b/>
                      <w:bCs/>
                      <w:color w:val="auto"/>
                      <w:sz w:val="21"/>
                      <w:szCs w:val="21"/>
                      <w:highlight w:val="none"/>
                      <w:lang w:val="en-US" w:eastAsia="zh-CN"/>
                    </w:rPr>
                    <w:t>弃方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63" w:type="pct"/>
                  <w:vMerge w:val="continue"/>
                  <w:tcBorders>
                    <w:tl2br w:val="nil"/>
                    <w:tr2bl w:val="nil"/>
                  </w:tcBorders>
                  <w:vAlign w:val="center"/>
                </w:tcPr>
                <w:p>
                  <w:pPr>
                    <w:spacing w:line="240" w:lineRule="atLeast"/>
                    <w:jc w:val="center"/>
                    <w:rPr>
                      <w:b/>
                      <w:bCs/>
                      <w:color w:val="auto"/>
                      <w:sz w:val="21"/>
                      <w:szCs w:val="21"/>
                      <w:highlight w:val="none"/>
                    </w:rPr>
                  </w:pPr>
                </w:p>
              </w:tc>
              <w:tc>
                <w:tcPr>
                  <w:tcW w:w="478" w:type="pct"/>
                  <w:vMerge w:val="continue"/>
                  <w:tcBorders>
                    <w:tl2br w:val="nil"/>
                    <w:tr2bl w:val="nil"/>
                  </w:tcBorders>
                  <w:vAlign w:val="center"/>
                </w:tcPr>
                <w:p>
                  <w:pPr>
                    <w:spacing w:line="240" w:lineRule="atLeast"/>
                    <w:jc w:val="center"/>
                    <w:rPr>
                      <w:b/>
                      <w:bCs/>
                      <w:color w:val="auto"/>
                      <w:sz w:val="21"/>
                      <w:szCs w:val="21"/>
                      <w:highlight w:val="none"/>
                    </w:rPr>
                  </w:pPr>
                </w:p>
              </w:tc>
              <w:tc>
                <w:tcPr>
                  <w:tcW w:w="500" w:type="pct"/>
                  <w:vMerge w:val="continue"/>
                  <w:tcBorders>
                    <w:tl2br w:val="nil"/>
                    <w:tr2bl w:val="nil"/>
                  </w:tcBorders>
                  <w:vAlign w:val="center"/>
                </w:tcPr>
                <w:p>
                  <w:pPr>
                    <w:spacing w:line="240" w:lineRule="atLeast"/>
                    <w:jc w:val="center"/>
                    <w:rPr>
                      <w:b/>
                      <w:bCs/>
                      <w:color w:val="auto"/>
                      <w:sz w:val="21"/>
                      <w:szCs w:val="21"/>
                      <w:highlight w:val="none"/>
                    </w:rPr>
                  </w:pPr>
                </w:p>
              </w:tc>
              <w:tc>
                <w:tcPr>
                  <w:tcW w:w="404" w:type="pct"/>
                  <w:tcBorders>
                    <w:tl2br w:val="nil"/>
                    <w:tr2bl w:val="nil"/>
                  </w:tcBorders>
                  <w:vAlign w:val="center"/>
                </w:tcPr>
                <w:p>
                  <w:pPr>
                    <w:spacing w:line="240" w:lineRule="atLeast"/>
                    <w:jc w:val="center"/>
                    <w:rPr>
                      <w:rFonts w:hint="eastAsia"/>
                      <w:b/>
                      <w:bCs/>
                      <w:color w:val="auto"/>
                      <w:sz w:val="21"/>
                      <w:szCs w:val="21"/>
                      <w:highlight w:val="none"/>
                      <w:lang w:eastAsia="zh-CN"/>
                    </w:rPr>
                  </w:pPr>
                  <w:r>
                    <w:rPr>
                      <w:rFonts w:hint="eastAsia"/>
                      <w:b/>
                      <w:bCs/>
                      <w:color w:val="auto"/>
                      <w:sz w:val="21"/>
                      <w:szCs w:val="21"/>
                      <w:highlight w:val="none"/>
                      <w:lang w:eastAsia="zh-CN"/>
                    </w:rPr>
                    <w:t>数量</w:t>
                  </w:r>
                </w:p>
              </w:tc>
              <w:tc>
                <w:tcPr>
                  <w:tcW w:w="436" w:type="pct"/>
                  <w:tcBorders>
                    <w:tl2br w:val="nil"/>
                    <w:tr2bl w:val="nil"/>
                  </w:tcBorders>
                  <w:vAlign w:val="center"/>
                </w:tcPr>
                <w:p>
                  <w:pPr>
                    <w:spacing w:line="240" w:lineRule="atLeast"/>
                    <w:jc w:val="center"/>
                    <w:rPr>
                      <w:rFonts w:hint="eastAsia"/>
                      <w:b/>
                      <w:bCs/>
                      <w:color w:val="auto"/>
                      <w:sz w:val="21"/>
                      <w:szCs w:val="21"/>
                      <w:highlight w:val="none"/>
                      <w:lang w:eastAsia="zh-CN"/>
                    </w:rPr>
                  </w:pPr>
                  <w:r>
                    <w:rPr>
                      <w:rFonts w:hint="eastAsia"/>
                      <w:b/>
                      <w:bCs/>
                      <w:color w:val="auto"/>
                      <w:sz w:val="21"/>
                      <w:szCs w:val="21"/>
                      <w:highlight w:val="none"/>
                      <w:lang w:eastAsia="zh-CN"/>
                    </w:rPr>
                    <w:t>去向</w:t>
                  </w:r>
                </w:p>
              </w:tc>
              <w:tc>
                <w:tcPr>
                  <w:tcW w:w="435" w:type="pct"/>
                  <w:tcBorders>
                    <w:tl2br w:val="nil"/>
                    <w:tr2bl w:val="nil"/>
                  </w:tcBorders>
                  <w:vAlign w:val="center"/>
                </w:tcPr>
                <w:p>
                  <w:pPr>
                    <w:spacing w:line="240" w:lineRule="atLeast"/>
                    <w:jc w:val="center"/>
                    <w:rPr>
                      <w:rFonts w:hint="eastAsia"/>
                      <w:b/>
                      <w:bCs/>
                      <w:color w:val="auto"/>
                      <w:sz w:val="21"/>
                      <w:szCs w:val="21"/>
                      <w:highlight w:val="none"/>
                      <w:lang w:eastAsia="zh-CN"/>
                    </w:rPr>
                  </w:pPr>
                  <w:r>
                    <w:rPr>
                      <w:rFonts w:hint="eastAsia"/>
                      <w:b/>
                      <w:bCs/>
                      <w:color w:val="auto"/>
                      <w:sz w:val="21"/>
                      <w:szCs w:val="21"/>
                      <w:highlight w:val="none"/>
                      <w:lang w:eastAsia="zh-CN"/>
                    </w:rPr>
                    <w:t>数量</w:t>
                  </w:r>
                </w:p>
              </w:tc>
              <w:tc>
                <w:tcPr>
                  <w:tcW w:w="414" w:type="pct"/>
                  <w:tcBorders>
                    <w:tl2br w:val="nil"/>
                    <w:tr2bl w:val="nil"/>
                  </w:tcBorders>
                  <w:vAlign w:val="center"/>
                </w:tcPr>
                <w:p>
                  <w:pPr>
                    <w:spacing w:line="240" w:lineRule="atLeast"/>
                    <w:jc w:val="center"/>
                    <w:rPr>
                      <w:rFonts w:hint="eastAsia" w:eastAsia="宋体"/>
                      <w:b/>
                      <w:bCs/>
                      <w:color w:val="auto"/>
                      <w:sz w:val="21"/>
                      <w:szCs w:val="21"/>
                      <w:highlight w:val="none"/>
                      <w:lang w:eastAsia="zh-CN"/>
                    </w:rPr>
                  </w:pPr>
                  <w:r>
                    <w:rPr>
                      <w:rFonts w:hint="eastAsia"/>
                      <w:b/>
                      <w:bCs/>
                      <w:color w:val="auto"/>
                      <w:sz w:val="21"/>
                      <w:szCs w:val="21"/>
                      <w:highlight w:val="none"/>
                      <w:lang w:eastAsia="zh-CN"/>
                    </w:rPr>
                    <w:t>来源</w:t>
                  </w:r>
                </w:p>
              </w:tc>
              <w:tc>
                <w:tcPr>
                  <w:tcW w:w="404"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 w:val="21"/>
                      <w:szCs w:val="21"/>
                      <w:highlight w:val="none"/>
                      <w:lang w:eastAsia="zh-CN"/>
                    </w:rPr>
                    <w:t>数量</w:t>
                  </w:r>
                </w:p>
              </w:tc>
              <w:tc>
                <w:tcPr>
                  <w:tcW w:w="467"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 w:val="21"/>
                      <w:szCs w:val="21"/>
                      <w:highlight w:val="none"/>
                      <w:lang w:eastAsia="zh-CN"/>
                    </w:rPr>
                    <w:t>来源</w:t>
                  </w:r>
                </w:p>
              </w:tc>
              <w:tc>
                <w:tcPr>
                  <w:tcW w:w="423"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 w:val="21"/>
                      <w:szCs w:val="21"/>
                      <w:highlight w:val="none"/>
                      <w:lang w:eastAsia="zh-CN"/>
                    </w:rPr>
                    <w:t>数量</w:t>
                  </w:r>
                </w:p>
              </w:tc>
              <w:tc>
                <w:tcPr>
                  <w:tcW w:w="472"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 w:val="21"/>
                      <w:szCs w:val="21"/>
                      <w:highlight w:val="none"/>
                      <w:lang w:eastAsia="zh-CN"/>
                    </w:rPr>
                    <w:t>去向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63"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淤地坝</w:t>
                  </w:r>
                </w:p>
              </w:tc>
              <w:tc>
                <w:tcPr>
                  <w:tcW w:w="478"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15.25</w:t>
                  </w:r>
                </w:p>
              </w:tc>
              <w:tc>
                <w:tcPr>
                  <w:tcW w:w="500"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14.05</w:t>
                  </w:r>
                </w:p>
              </w:tc>
              <w:tc>
                <w:tcPr>
                  <w:tcW w:w="404"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c>
                <w:tcPr>
                  <w:tcW w:w="436"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c>
                <w:tcPr>
                  <w:tcW w:w="435"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c>
                <w:tcPr>
                  <w:tcW w:w="414"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c>
                <w:tcPr>
                  <w:tcW w:w="404"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1.59</w:t>
                  </w:r>
                </w:p>
              </w:tc>
              <w:tc>
                <w:tcPr>
                  <w:tcW w:w="467"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取土场</w:t>
                  </w:r>
                </w:p>
              </w:tc>
              <w:tc>
                <w:tcPr>
                  <w:tcW w:w="423"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1.2</w:t>
                  </w:r>
                </w:p>
              </w:tc>
              <w:tc>
                <w:tcPr>
                  <w:tcW w:w="472"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取土场</w:t>
                  </w:r>
                </w:p>
              </w:tc>
            </w:tr>
          </w:tbl>
          <w:p>
            <w:pPr>
              <w:pStyle w:val="2"/>
              <w:rPr>
                <w:b/>
                <w:color w:val="auto"/>
                <w:kern w:val="0"/>
                <w:sz w:val="24"/>
                <w:highlight w:val="none"/>
              </w:rPr>
            </w:pPr>
          </w:p>
          <w:p>
            <w:pPr>
              <w:spacing w:line="360" w:lineRule="auto"/>
              <w:rPr>
                <w:rFonts w:hint="eastAsia"/>
                <w:b/>
                <w:bCs/>
                <w:color w:val="auto"/>
                <w:sz w:val="24"/>
                <w:highlight w:val="none"/>
              </w:rPr>
            </w:pPr>
            <w:r>
              <w:rPr>
                <w:rFonts w:hint="eastAsia"/>
                <w:b/>
                <w:bCs/>
                <w:color w:val="auto"/>
                <w:sz w:val="24"/>
                <w:highlight w:val="none"/>
              </w:rPr>
              <w:t>6、公用工程</w:t>
            </w:r>
          </w:p>
          <w:p>
            <w:pPr>
              <w:widowControl/>
              <w:adjustRightInd w:val="0"/>
              <w:snapToGrid w:val="0"/>
              <w:spacing w:line="360" w:lineRule="auto"/>
              <w:ind w:firstLine="479" w:firstLineChars="199"/>
              <w:jc w:val="left"/>
              <w:rPr>
                <w:color w:val="auto"/>
                <w:sz w:val="24"/>
                <w:highlight w:val="none"/>
              </w:rPr>
            </w:pPr>
            <w:r>
              <w:rPr>
                <w:rFonts w:hint="eastAsia"/>
                <w:b/>
                <w:color w:val="auto"/>
                <w:sz w:val="24"/>
                <w:highlight w:val="none"/>
              </w:rPr>
              <w:t>（1）</w:t>
            </w:r>
            <w:r>
              <w:rPr>
                <w:b/>
                <w:color w:val="auto"/>
                <w:sz w:val="24"/>
                <w:highlight w:val="none"/>
              </w:rPr>
              <w:t>给水</w:t>
            </w:r>
          </w:p>
          <w:p>
            <w:pPr>
              <w:adjustRightInd w:val="0"/>
              <w:snapToGrid w:val="0"/>
              <w:spacing w:line="360" w:lineRule="auto"/>
              <w:ind w:firstLine="480" w:firstLineChars="200"/>
              <w:rPr>
                <w:color w:val="auto"/>
                <w:sz w:val="24"/>
                <w:highlight w:val="none"/>
              </w:rPr>
            </w:pPr>
            <w:r>
              <w:rPr>
                <w:color w:val="auto"/>
                <w:sz w:val="24"/>
                <w:highlight w:val="none"/>
              </w:rPr>
              <w:t>施工用水可就近在村镇水源地拉用。</w:t>
            </w:r>
          </w:p>
          <w:p>
            <w:pPr>
              <w:widowControl/>
              <w:adjustRightInd w:val="0"/>
              <w:snapToGrid w:val="0"/>
              <w:spacing w:line="360" w:lineRule="auto"/>
              <w:ind w:left="359" w:leftChars="171" w:firstLine="118" w:firstLineChars="49"/>
              <w:jc w:val="left"/>
              <w:rPr>
                <w:b/>
                <w:color w:val="auto"/>
                <w:sz w:val="24"/>
                <w:highlight w:val="none"/>
              </w:rPr>
            </w:pPr>
            <w:r>
              <w:rPr>
                <w:rFonts w:hint="eastAsia"/>
                <w:b/>
                <w:color w:val="auto"/>
                <w:sz w:val="24"/>
                <w:highlight w:val="none"/>
              </w:rPr>
              <w:t>（2）</w:t>
            </w:r>
            <w:r>
              <w:rPr>
                <w:b/>
                <w:color w:val="auto"/>
                <w:sz w:val="24"/>
                <w:highlight w:val="none"/>
              </w:rPr>
              <w:t>排水</w:t>
            </w:r>
          </w:p>
          <w:p>
            <w:pPr>
              <w:adjustRightInd w:val="0"/>
              <w:snapToGrid w:val="0"/>
              <w:spacing w:line="360" w:lineRule="auto"/>
              <w:ind w:firstLine="480" w:firstLineChars="200"/>
              <w:rPr>
                <w:color w:val="auto"/>
                <w:sz w:val="24"/>
                <w:highlight w:val="none"/>
              </w:rPr>
            </w:pPr>
            <w:r>
              <w:rPr>
                <w:rFonts w:hint="eastAsia"/>
                <w:color w:val="auto"/>
                <w:sz w:val="24"/>
                <w:highlight w:val="none"/>
              </w:rPr>
              <w:t>施工废水经临时沉淀池沉淀后洒水降尘；施工人员租住附近村庄民房，生活盥洗水用于施工场地、道路洒水降尘。</w:t>
            </w:r>
          </w:p>
          <w:p>
            <w:pPr>
              <w:spacing w:line="360" w:lineRule="auto"/>
              <w:rPr>
                <w:rFonts w:hint="eastAsia"/>
                <w:b/>
                <w:bCs/>
                <w:color w:val="auto"/>
                <w:sz w:val="24"/>
                <w:highlight w:val="none"/>
              </w:rPr>
            </w:pPr>
            <w:r>
              <w:rPr>
                <w:rFonts w:hint="eastAsia"/>
                <w:b/>
                <w:bCs/>
                <w:color w:val="auto"/>
                <w:sz w:val="24"/>
                <w:highlight w:val="none"/>
                <w:lang w:val="en-US" w:eastAsia="zh-CN"/>
              </w:rPr>
              <w:t>7</w:t>
            </w:r>
            <w:r>
              <w:rPr>
                <w:rFonts w:hint="eastAsia"/>
                <w:b/>
                <w:bCs/>
                <w:color w:val="auto"/>
                <w:sz w:val="24"/>
                <w:highlight w:val="none"/>
              </w:rPr>
              <w:t>、供配电</w:t>
            </w:r>
          </w:p>
          <w:p>
            <w:pPr>
              <w:adjustRightInd w:val="0"/>
              <w:snapToGrid w:val="0"/>
              <w:spacing w:line="360" w:lineRule="auto"/>
              <w:ind w:firstLine="480" w:firstLineChars="200"/>
              <w:rPr>
                <w:color w:val="auto"/>
                <w:sz w:val="24"/>
                <w:highlight w:val="none"/>
              </w:rPr>
            </w:pPr>
            <w:r>
              <w:rPr>
                <w:color w:val="auto"/>
                <w:sz w:val="24"/>
                <w:highlight w:val="none"/>
              </w:rPr>
              <w:t>施工沿线</w:t>
            </w:r>
            <w:r>
              <w:rPr>
                <w:rFonts w:hint="eastAsia" w:ascii="宋体" w:hAnsi="宋体" w:cs="宋体"/>
                <w:color w:val="auto"/>
                <w:kern w:val="0"/>
                <w:sz w:val="24"/>
                <w:highlight w:val="none"/>
              </w:rPr>
              <w:t>农村电网电力充足</w:t>
            </w:r>
            <w:r>
              <w:rPr>
                <w:color w:val="auto"/>
                <w:sz w:val="24"/>
                <w:highlight w:val="none"/>
              </w:rPr>
              <w:t>，</w:t>
            </w:r>
            <w:r>
              <w:rPr>
                <w:rFonts w:hint="eastAsia" w:ascii="宋体" w:hAnsi="宋体" w:cs="宋体"/>
                <w:color w:val="auto"/>
                <w:kern w:val="0"/>
                <w:sz w:val="24"/>
                <w:highlight w:val="none"/>
              </w:rPr>
              <w:t>可满足施工和项目后期正常运行的要求</w:t>
            </w:r>
            <w:r>
              <w:rPr>
                <w:rFonts w:hint="eastAsia"/>
                <w:color w:val="auto"/>
                <w:sz w:val="24"/>
                <w:highlight w:val="none"/>
              </w:rPr>
              <w:t>。</w:t>
            </w:r>
          </w:p>
          <w:p>
            <w:pPr>
              <w:adjustRightInd w:val="0"/>
              <w:snapToGrid w:val="0"/>
              <w:spacing w:line="360" w:lineRule="auto"/>
              <w:ind w:firstLine="420" w:firstLineChars="200"/>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tcBorders>
              <w:bottom w:val="single" w:color="auto" w:sz="4" w:space="0"/>
            </w:tcBorders>
            <w:vAlign w:val="center"/>
          </w:tcPr>
          <w:p>
            <w:pPr>
              <w:adjustRightInd w:val="0"/>
              <w:snapToGrid w:val="0"/>
              <w:jc w:val="center"/>
              <w:rPr>
                <w:color w:val="auto"/>
                <w:kern w:val="0"/>
                <w:sz w:val="24"/>
                <w:highlight w:val="none"/>
              </w:rPr>
            </w:pPr>
            <w:r>
              <w:rPr>
                <w:color w:val="auto"/>
                <w:kern w:val="0"/>
                <w:sz w:val="24"/>
                <w:highlight w:val="none"/>
              </w:rPr>
              <w:t>总平面及现场布置</w:t>
            </w:r>
          </w:p>
        </w:tc>
        <w:tc>
          <w:tcPr>
            <w:tcW w:w="8859" w:type="dxa"/>
            <w:tcBorders>
              <w:bottom w:val="single" w:color="auto" w:sz="4" w:space="0"/>
            </w:tcBorders>
            <w:vAlign w:val="center"/>
          </w:tcPr>
          <w:p>
            <w:pPr>
              <w:pStyle w:val="14"/>
              <w:numPr>
                <w:ilvl w:val="0"/>
                <w:numId w:val="3"/>
              </w:numPr>
              <w:spacing w:after="0" w:line="360" w:lineRule="auto"/>
              <w:ind w:left="0" w:leftChars="0" w:firstLine="0"/>
              <w:jc w:val="left"/>
              <w:rPr>
                <w:b/>
                <w:bCs/>
                <w:color w:val="auto"/>
                <w:sz w:val="24"/>
                <w:highlight w:val="none"/>
              </w:rPr>
            </w:pPr>
            <w:r>
              <w:rPr>
                <w:b/>
                <w:bCs/>
                <w:color w:val="auto"/>
                <w:sz w:val="24"/>
                <w:highlight w:val="none"/>
              </w:rPr>
              <w:t>项目布局情况</w:t>
            </w:r>
          </w:p>
          <w:p>
            <w:pPr>
              <w:spacing w:line="360" w:lineRule="auto"/>
              <w:ind w:firstLine="480" w:firstLineChars="200"/>
              <w:rPr>
                <w:color w:val="auto"/>
                <w:sz w:val="24"/>
                <w:highlight w:val="none"/>
              </w:rPr>
            </w:pPr>
            <w:r>
              <w:rPr>
                <w:rFonts w:hint="eastAsia"/>
                <w:color w:val="auto"/>
                <w:sz w:val="24"/>
                <w:highlight w:val="none"/>
              </w:rPr>
              <w:t>苦水沟淤地坝由坝体、放水建筑物和溢洪道三部分组成。淤地坝位于清水河右岸一级支沟苦水沟上，坝体垂直沟道布置，放水建筑物布置于右坝肩桩号0＋440处，溢洪道布置于右坝肩桩号0＋479.0处。</w:t>
            </w:r>
          </w:p>
          <w:p>
            <w:pPr>
              <w:spacing w:line="360" w:lineRule="auto"/>
              <w:ind w:firstLine="480" w:firstLineChars="200"/>
              <w:rPr>
                <w:color w:val="auto"/>
                <w:sz w:val="24"/>
                <w:highlight w:val="none"/>
              </w:rPr>
            </w:pPr>
            <w:r>
              <w:rPr>
                <w:rFonts w:hint="eastAsia"/>
                <w:color w:val="auto"/>
                <w:sz w:val="24"/>
                <w:highlight w:val="none"/>
              </w:rPr>
              <w:t>项目</w:t>
            </w:r>
            <w:r>
              <w:rPr>
                <w:color w:val="auto"/>
                <w:sz w:val="24"/>
                <w:highlight w:val="none"/>
              </w:rPr>
              <w:t>平面布置见附图</w:t>
            </w:r>
            <w:r>
              <w:rPr>
                <w:rFonts w:hint="eastAsia"/>
                <w:color w:val="auto"/>
                <w:sz w:val="24"/>
                <w:highlight w:val="none"/>
                <w:lang w:val="en-US" w:eastAsia="zh-CN"/>
              </w:rPr>
              <w:t>7</w:t>
            </w:r>
            <w:r>
              <w:rPr>
                <w:color w:val="auto"/>
                <w:sz w:val="24"/>
                <w:highlight w:val="none"/>
              </w:rPr>
              <w:t>。</w:t>
            </w:r>
          </w:p>
          <w:p>
            <w:pPr>
              <w:numPr>
                <w:ilvl w:val="0"/>
                <w:numId w:val="3"/>
              </w:numPr>
              <w:spacing w:line="360" w:lineRule="auto"/>
              <w:rPr>
                <w:b/>
                <w:bCs/>
                <w:color w:val="auto"/>
                <w:sz w:val="24"/>
                <w:highlight w:val="none"/>
              </w:rPr>
            </w:pPr>
            <w:r>
              <w:rPr>
                <w:b/>
                <w:bCs/>
                <w:color w:val="auto"/>
                <w:sz w:val="24"/>
                <w:highlight w:val="none"/>
              </w:rPr>
              <w:t>施工布置情况</w:t>
            </w:r>
          </w:p>
          <w:p>
            <w:pPr>
              <w:spacing w:line="360" w:lineRule="auto"/>
              <w:ind w:firstLine="480"/>
              <w:rPr>
                <w:color w:val="auto"/>
                <w:sz w:val="23"/>
                <w:highlight w:val="none"/>
              </w:rPr>
            </w:pPr>
            <w:r>
              <w:rPr>
                <w:rFonts w:ascii="宋体" w:hAnsi="宋体"/>
                <w:color w:val="auto"/>
                <w:sz w:val="24"/>
                <w:highlight w:val="none"/>
              </w:rPr>
              <w:t>工程位于宁夏同心县河西镇，距离同心县城</w:t>
            </w:r>
            <w:r>
              <w:rPr>
                <w:color w:val="auto"/>
                <w:sz w:val="24"/>
                <w:highlight w:val="none"/>
              </w:rPr>
              <w:t>约9km，淤地坝距离同海公路3.5km之间为乡村生产土路，工程材料运输较为方便，需要拓宽路基，施工用需配置柴油发电机，施工用水、生活用水均从村庄机井抽取运距1.2</w:t>
            </w:r>
            <w:r>
              <w:rPr>
                <w:rFonts w:hint="eastAsia"/>
                <w:color w:val="auto"/>
                <w:sz w:val="24"/>
                <w:highlight w:val="none"/>
              </w:rPr>
              <w:t>k</w:t>
            </w:r>
            <w:r>
              <w:rPr>
                <w:color w:val="auto"/>
                <w:sz w:val="24"/>
                <w:highlight w:val="none"/>
              </w:rPr>
              <w:t>m。</w:t>
            </w:r>
          </w:p>
          <w:p>
            <w:pPr>
              <w:pStyle w:val="14"/>
              <w:spacing w:after="0" w:line="360" w:lineRule="auto"/>
              <w:ind w:left="0" w:leftChars="0" w:firstLine="480" w:firstLineChars="200"/>
              <w:jc w:val="left"/>
              <w:rPr>
                <w:color w:val="auto"/>
                <w:sz w:val="24"/>
                <w:highlight w:val="none"/>
              </w:rPr>
            </w:pPr>
            <w:r>
              <w:rPr>
                <w:color w:val="auto"/>
                <w:sz w:val="24"/>
                <w:highlight w:val="none"/>
              </w:rPr>
              <w:t>本工程主体工程为</w:t>
            </w:r>
            <w:r>
              <w:rPr>
                <w:rFonts w:hint="eastAsia"/>
                <w:color w:val="auto"/>
                <w:sz w:val="24"/>
                <w:highlight w:val="none"/>
              </w:rPr>
              <w:t>淤地坝工程，由坝体、放水建筑物和溢洪道三部分组成</w:t>
            </w:r>
            <w:r>
              <w:rPr>
                <w:color w:val="auto"/>
                <w:sz w:val="24"/>
                <w:highlight w:val="none"/>
              </w:rPr>
              <w:t>。施工内容主要包括</w:t>
            </w:r>
            <w:r>
              <w:rPr>
                <w:rFonts w:hint="eastAsia"/>
                <w:color w:val="auto"/>
                <w:sz w:val="24"/>
                <w:highlight w:val="none"/>
              </w:rPr>
              <w:t>基槽</w:t>
            </w:r>
            <w:r>
              <w:rPr>
                <w:color w:val="auto"/>
                <w:sz w:val="24"/>
                <w:highlight w:val="none"/>
              </w:rPr>
              <w:t>开挖、</w:t>
            </w:r>
            <w:r>
              <w:rPr>
                <w:rFonts w:hint="eastAsia"/>
                <w:color w:val="auto"/>
                <w:sz w:val="24"/>
                <w:highlight w:val="none"/>
              </w:rPr>
              <w:t>土方回填</w:t>
            </w:r>
            <w:r>
              <w:rPr>
                <w:color w:val="auto"/>
                <w:sz w:val="24"/>
                <w:highlight w:val="none"/>
              </w:rPr>
              <w:t xml:space="preserve">、配套建筑物施工等。严格按照相关规范要求进行施工。 </w:t>
            </w:r>
          </w:p>
          <w:p>
            <w:pPr>
              <w:pStyle w:val="14"/>
              <w:spacing w:after="0" w:line="360" w:lineRule="auto"/>
              <w:ind w:left="0" w:leftChars="0" w:firstLine="480" w:firstLineChars="200"/>
              <w:jc w:val="left"/>
              <w:rPr>
                <w:color w:val="auto"/>
                <w:sz w:val="24"/>
                <w:highlight w:val="none"/>
              </w:rPr>
            </w:pPr>
            <w:r>
              <w:rPr>
                <w:color w:val="auto"/>
                <w:sz w:val="24"/>
                <w:highlight w:val="none"/>
              </w:rPr>
              <w:t>本工程施工工厂设施和施工营地采用集中布置的方式，本次施工工区根据总布置原则、工程施工强度，结合工程区地形和交通条件等方面分析，共计考虑1个工区集中布置。本阶段共计布设1个施工工区，区内布置工厂区、生活区，每个施工工厂区内布置有机械停放场、</w:t>
            </w:r>
            <w:r>
              <w:rPr>
                <w:rFonts w:hint="eastAsia"/>
                <w:color w:val="auto"/>
                <w:sz w:val="24"/>
                <w:highlight w:val="none"/>
                <w:lang w:val="en-US" w:eastAsia="zh-CN"/>
              </w:rPr>
              <w:t>钢筋</w:t>
            </w:r>
            <w:r>
              <w:rPr>
                <w:color w:val="auto"/>
                <w:sz w:val="24"/>
                <w:highlight w:val="none"/>
              </w:rPr>
              <w:t>加工厂、施工仓库等。</w:t>
            </w:r>
            <w:r>
              <w:rPr>
                <w:rFonts w:hint="eastAsia"/>
                <w:color w:val="auto"/>
                <w:sz w:val="24"/>
                <w:highlight w:val="none"/>
                <w:lang w:eastAsia="zh-CN"/>
              </w:rPr>
              <w:t>施工工区占地面积</w:t>
            </w:r>
            <w:r>
              <w:rPr>
                <w:rFonts w:hint="eastAsia"/>
                <w:color w:val="auto"/>
                <w:sz w:val="24"/>
                <w:highlight w:val="none"/>
                <w:lang w:val="en-US" w:eastAsia="zh-CN"/>
              </w:rPr>
              <w:t>1000m</w:t>
            </w:r>
            <w:r>
              <w:rPr>
                <w:rFonts w:hint="eastAsia"/>
                <w:color w:val="auto"/>
                <w:sz w:val="24"/>
                <w:highlight w:val="none"/>
                <w:vertAlign w:val="superscript"/>
                <w:lang w:val="en-US" w:eastAsia="zh-CN"/>
              </w:rPr>
              <w:t>2</w:t>
            </w:r>
            <w:r>
              <w:rPr>
                <w:rFonts w:hint="eastAsia"/>
                <w:color w:val="auto"/>
                <w:sz w:val="24"/>
                <w:highlight w:val="none"/>
                <w:lang w:val="en-US" w:eastAsia="zh-CN"/>
              </w:rPr>
              <w:t>。</w:t>
            </w:r>
          </w:p>
          <w:p>
            <w:pPr>
              <w:pStyle w:val="14"/>
              <w:spacing w:after="0" w:line="360" w:lineRule="auto"/>
              <w:ind w:left="0" w:leftChars="0" w:firstLine="480" w:firstLineChars="200"/>
              <w:jc w:val="left"/>
              <w:rPr>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10" w:type="dxa"/>
            <w:tcBorders>
              <w:top w:val="single" w:color="auto" w:sz="4" w:space="0"/>
              <w:left w:val="single" w:color="auto" w:sz="4" w:space="0"/>
            </w:tcBorders>
            <w:vAlign w:val="center"/>
          </w:tcPr>
          <w:p>
            <w:pPr>
              <w:adjustRightInd w:val="0"/>
              <w:snapToGrid w:val="0"/>
              <w:jc w:val="center"/>
              <w:rPr>
                <w:color w:val="auto"/>
                <w:kern w:val="0"/>
                <w:szCs w:val="21"/>
                <w:highlight w:val="none"/>
              </w:rPr>
            </w:pPr>
            <w:r>
              <w:rPr>
                <w:color w:val="auto"/>
                <w:kern w:val="0"/>
                <w:sz w:val="24"/>
                <w:highlight w:val="none"/>
              </w:rPr>
              <w:t>施工方案</w:t>
            </w:r>
          </w:p>
        </w:tc>
        <w:tc>
          <w:tcPr>
            <w:tcW w:w="8859" w:type="dxa"/>
            <w:tcBorders>
              <w:top w:val="single" w:color="auto" w:sz="4" w:space="0"/>
              <w:right w:val="single" w:color="auto" w:sz="4" w:space="0"/>
            </w:tcBorders>
            <w:vAlign w:val="center"/>
          </w:tcPr>
          <w:p>
            <w:pPr>
              <w:spacing w:line="360" w:lineRule="auto"/>
              <w:rPr>
                <w:b/>
                <w:bCs/>
                <w:color w:val="auto"/>
                <w:sz w:val="24"/>
                <w:highlight w:val="none"/>
              </w:rPr>
            </w:pPr>
            <w:r>
              <w:rPr>
                <w:b/>
                <w:bCs/>
                <w:color w:val="auto"/>
                <w:sz w:val="24"/>
                <w:highlight w:val="none"/>
              </w:rPr>
              <w:t>1、施工工艺</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本项目特点是工程施工基本为土方工程，混凝土用量较少，项目施工过程以土方开挖、土方回填为主。</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工艺流程详见</w:t>
            </w:r>
            <w:r>
              <w:rPr>
                <w:rFonts w:hint="eastAsia"/>
                <w:b w:val="0"/>
                <w:bCs w:val="0"/>
                <w:color w:val="auto"/>
                <w:kern w:val="0"/>
                <w:sz w:val="24"/>
                <w:highlight w:val="none"/>
              </w:rPr>
              <w:t>图2-</w:t>
            </w:r>
            <w:r>
              <w:rPr>
                <w:rFonts w:hint="eastAsia"/>
                <w:b w:val="0"/>
                <w:bCs w:val="0"/>
                <w:color w:val="auto"/>
                <w:kern w:val="0"/>
                <w:sz w:val="24"/>
                <w:highlight w:val="none"/>
                <w:lang w:val="en-US" w:eastAsia="zh-CN"/>
              </w:rPr>
              <w:t>1</w:t>
            </w:r>
            <w:r>
              <w:rPr>
                <w:rFonts w:hint="eastAsia"/>
                <w:color w:val="auto"/>
                <w:kern w:val="0"/>
                <w:sz w:val="24"/>
                <w:highlight w:val="none"/>
              </w:rPr>
              <w:t>。</w:t>
            </w:r>
          </w:p>
          <w:p>
            <w:pPr>
              <w:pStyle w:val="2"/>
              <w:rPr>
                <w:color w:val="auto"/>
                <w:highlight w:val="none"/>
              </w:rPr>
            </w:pPr>
            <w:r>
              <w:rPr>
                <w:color w:val="auto"/>
                <w:sz w:val="24"/>
                <w:highlight w:val="none"/>
              </w:rPr>
              <w:pict>
                <v:group id="画布 683" o:spid="_x0000_s1026" o:spt="203" style="height:244.45pt;width:432.05pt;" coordorigin="1774,1700" coordsize="8640,4889" editas="canvas">
                  <o:lock v:ext="edit"/>
                  <v:shape id="画布 683" o:spid="_x0000_s3266" o:spt="75" type="#_x0000_t75" style="position:absolute;left:1774;top:1700;height:4889;width:8640;" filled="f" stroked="f" coordsize="21600,21600">
                    <v:path/>
                    <v:fill on="f" focussize="0,0"/>
                    <v:stroke on="f"/>
                    <v:imagedata o:title=""/>
                    <o:lock v:ext="edit" rotation="t" text="t" aspectratio="t"/>
                  </v:shape>
                  <v:line id="直线 685" o:spid="_x0000_s3267" o:spt="20" style="position:absolute;left:4306;top:3633;height:2;width:774;" filled="f" stroked="t" coordsize="21600,21600">
                    <v:path arrowok="t"/>
                    <v:fill on="f" focussize="0,0"/>
                    <v:stroke color="#000000" dashstyle="dash" endarrow="block" endarrowwidth="narrow"/>
                    <v:imagedata o:title=""/>
                    <o:lock v:ext="edit" aspectratio="f"/>
                  </v:line>
                  <v:shape id="文本框 686" o:spid="_x0000_s3268" o:spt="202" type="#_x0000_t202" style="position:absolute;left:5056;top:3452;height:408;width:5229;" fillcolor="#FFFFFF" filled="t" stroked="f" coordsize="21600,21600">
                    <v:path/>
                    <v:fill on="t" color2="#FFFFFF" focussize="0,0"/>
                    <v:stroke on="f"/>
                    <v:imagedata o:title=""/>
                    <o:lock v:ext="edit" aspectratio="f"/>
                    <v:textbox inset="0.5mm,0.3mm,0.5mm,0.3mm">
                      <w:txbxContent>
                        <w:p>
                          <w:pPr>
                            <w:rPr>
                              <w:rFonts w:ascii="宋体" w:hAnsi="宋体"/>
                              <w:color w:val="auto"/>
                              <w:szCs w:val="21"/>
                            </w:rPr>
                          </w:pPr>
                          <w:r>
                            <w:rPr>
                              <w:rFonts w:hint="eastAsia" w:ascii="宋体" w:hAnsi="宋体"/>
                              <w:color w:val="auto"/>
                              <w:szCs w:val="21"/>
                            </w:rPr>
                            <w:t>噪声、扬尘、</w:t>
                          </w:r>
                          <w:r>
                            <w:rPr>
                              <w:rFonts w:hint="eastAsia" w:ascii="宋体" w:hAnsi="宋体"/>
                              <w:color w:val="auto"/>
                              <w:szCs w:val="21"/>
                              <w:lang w:val="en-US" w:eastAsia="zh-CN"/>
                            </w:rPr>
                            <w:t>废水、</w:t>
                          </w:r>
                          <w:r>
                            <w:rPr>
                              <w:rFonts w:hint="eastAsia" w:ascii="宋体" w:hAnsi="宋体"/>
                              <w:color w:val="auto"/>
                              <w:szCs w:val="21"/>
                            </w:rPr>
                            <w:t>固体废物、汽车尾气、生态破坏</w:t>
                          </w:r>
                        </w:p>
                      </w:txbxContent>
                    </v:textbox>
                  </v:shape>
                  <v:shape id="文本框 690" o:spid="_x0000_s3271" o:spt="202" type="#_x0000_t202" style="position:absolute;left:2951;top:1844;height:350;width:1407;" fillcolor="#FFFFFF" filled="t" stroked="t" coordsize="21600,21600">
                    <v:path/>
                    <v:fill on="t" color2="#FFFFFF" focussize="0,0"/>
                    <v:stroke color="#000000" joinstyle="miter"/>
                    <v:imagedata o:title=""/>
                    <o:lock v:ext="edit" aspectratio="f"/>
                    <v:textbox inset="0.5mm,0.3mm,0.5mm,0.3mm">
                      <w:txbxContent>
                        <w:p>
                          <w:pPr>
                            <w:jc w:val="center"/>
                            <w:rPr>
                              <w:rFonts w:ascii="宋体" w:hAnsi="宋体"/>
                              <w:sz w:val="24"/>
                            </w:rPr>
                          </w:pPr>
                          <w:r>
                            <w:rPr>
                              <w:rFonts w:hint="eastAsia" w:ascii="宋体" w:hAnsi="宋体"/>
                              <w:sz w:val="24"/>
                            </w:rPr>
                            <w:t>方案设计</w:t>
                          </w:r>
                        </w:p>
                      </w:txbxContent>
                    </v:textbox>
                  </v:shape>
                  <v:shape id="文本框 691" o:spid="_x0000_s3272" o:spt="202" type="#_x0000_t202" style="position:absolute;left:2929;top:2652;height:351;width:1421;" fillcolor="#FFFFFF" filled="t" stroked="t" coordsize="21600,21600">
                    <v:path/>
                    <v:fill on="t" color2="#FFFFFF"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工程设计</w:t>
                          </w:r>
                        </w:p>
                      </w:txbxContent>
                    </v:textbox>
                  </v:shape>
                  <v:shape id="文本框 692" o:spid="_x0000_s3273" o:spt="202" type="#_x0000_t202" style="position:absolute;left:2681;top:3272;height:736;width:1902;" fillcolor="#FFFFFF" filled="t" stroked="t" coordsize="21600,21600">
                    <v:path/>
                    <v:fill on="t" color2="#FFFFFF"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主体工程坝体、放水、泄水构筑物</w:t>
                          </w:r>
                        </w:p>
                      </w:txbxContent>
                    </v:textbox>
                  </v:shape>
                  <v:shape id="文本框 694" o:spid="_x0000_s3275" o:spt="202" type="#_x0000_t202" style="position:absolute;left:2934;top:5120;height:351;width:1470;" fillcolor="#FFFFFF" filled="t" stroked="t" coordsize="21600,21600">
                    <v:path/>
                    <v:fill on="t" color2="#FFFFFF"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竣工验收</w:t>
                          </w:r>
                        </w:p>
                      </w:txbxContent>
                    </v:textbox>
                  </v:shape>
                  <v:shape id="文本框 695" o:spid="_x0000_s3276" o:spt="202" type="#_x0000_t202" style="position:absolute;left:2931;top:5971;height:351;width:1470;" fillcolor="#FFFFFF" filled="t" stroked="t" coordsize="21600,21600">
                    <v:path/>
                    <v:fill on="t" color2="#FFFFFF"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投入营运</w:t>
                          </w:r>
                        </w:p>
                      </w:txbxContent>
                    </v:textbox>
                  </v:shape>
                  <v:line id="直线 696" o:spid="_x0000_s3277" o:spt="20" style="position:absolute;left:3643;top:2186;height:468;width:1;" filled="f" stroked="t" coordsize="21600,21600">
                    <v:path arrowok="t"/>
                    <v:fill on="f" focussize="0,0"/>
                    <v:stroke color="#000000" endarrow="block"/>
                    <v:imagedata o:title=""/>
                    <o:lock v:ext="edit" aspectratio="f"/>
                  </v:line>
                  <v:line id="直线 697" o:spid="_x0000_s3278" o:spt="20" style="position:absolute;left:3654;top:3002;height:298;width:1;" filled="f" stroked="t" coordsize="21600,21600">
                    <v:path arrowok="t"/>
                    <v:fill on="f" focussize="0,0"/>
                    <v:stroke color="#000000" endarrow="block"/>
                    <v:imagedata o:title=""/>
                    <o:lock v:ext="edit" aspectratio="f"/>
                  </v:line>
                  <v:line id="直线 699" o:spid="_x0000_s3280" o:spt="20" style="position:absolute;left:3655;top:3999;height:278;width:1;" filled="f" stroked="t" coordsize="21600,21600">
                    <v:path arrowok="t"/>
                    <v:fill on="f" focussize="0,0"/>
                    <v:stroke color="#000000" endarrow="block"/>
                    <v:imagedata o:title=""/>
                    <o:lock v:ext="edit" aspectratio="f"/>
                  </v:line>
                  <v:line id="直线 700" o:spid="_x0000_s3281" o:spt="20" style="position:absolute;left:3668;top:5482;height:468;width:1;" filled="f" stroked="t" coordsize="21600,21600">
                    <v:path arrowok="t"/>
                    <v:fill on="f" focussize="0,0"/>
                    <v:stroke color="#000000" endarrow="block"/>
                    <v:imagedata o:title=""/>
                    <o:lock v:ext="edit" aspectratio="f"/>
                  </v:line>
                  <v:line id="直线 702" o:spid="_x0000_s3282" o:spt="20" style="position:absolute;left:4319;top:4446;height:2;width:774;" filled="f" stroked="t" coordsize="21600,21600">
                    <v:path arrowok="t"/>
                    <v:fill on="f" focussize="0,0"/>
                    <v:stroke color="#000000" dashstyle="dash" endarrow="block" endarrowwidth="narrow"/>
                    <v:imagedata o:title=""/>
                    <o:lock v:ext="edit" aspectratio="f"/>
                  </v:line>
                  <v:shape id="文本框 703" o:spid="_x0000_s3283" o:spt="202" type="#_x0000_t202" style="position:absolute;left:5098;top:4265;height:408;width:4210;" fillcolor="#FFFFFF" filled="t" stroked="f" coordsize="21600,21600">
                    <v:path/>
                    <v:fill on="t" color2="#FFFFFF" focussize="0,0"/>
                    <v:stroke on="f"/>
                    <v:imagedata o:title=""/>
                    <o:lock v:ext="edit" aspectratio="f"/>
                    <v:textbox inset="0.5mm,0.3mm,0.5mm,0.3mm">
                      <w:txbxContent>
                        <w:p>
                          <w:pPr>
                            <w:rPr>
                              <w:rFonts w:ascii="宋体" w:hAnsi="宋体"/>
                              <w:szCs w:val="21"/>
                            </w:rPr>
                          </w:pPr>
                          <w:r>
                            <w:rPr>
                              <w:rFonts w:hint="eastAsia" w:ascii="宋体" w:hAnsi="宋体"/>
                              <w:szCs w:val="21"/>
                            </w:rPr>
                            <w:t>噪声、扬尘、固体废物、汽车尾气、生态破坏</w:t>
                          </w:r>
                        </w:p>
                        <w:p>
                          <w:pPr>
                            <w:rPr>
                              <w:rFonts w:ascii="宋体" w:hAnsi="宋体"/>
                              <w:szCs w:val="21"/>
                            </w:rPr>
                          </w:pPr>
                        </w:p>
                      </w:txbxContent>
                    </v:textbox>
                  </v:shape>
                  <v:shape id="文本框 704" o:spid="_x0000_s3284" o:spt="202" type="#_x0000_t202" style="position:absolute;left:2794;top:4277;height:351;width:1702;" fillcolor="#FFFFFF" filled="t" stroked="t" coordsize="21600,21600">
                    <v:path/>
                    <v:fill on="t" color2="#FFFFFF"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道路建设</w:t>
                          </w:r>
                        </w:p>
                      </w:txbxContent>
                    </v:textbox>
                  </v:shape>
                  <v:line id="直线 705" o:spid="_x0000_s3285" o:spt="20" style="position:absolute;left:3668;top:4622;height:468;width:1;" filled="f" stroked="t" coordsize="21600,21600">
                    <v:path arrowok="t"/>
                    <v:fill on="f" focussize="0,0"/>
                    <v:stroke color="#000000" endarrow="block"/>
                    <v:imagedata o:title=""/>
                    <o:lock v:ext="edit" aspectratio="f"/>
                  </v:line>
                  <w10:wrap type="none"/>
                  <w10:anchorlock/>
                </v:group>
              </w:pict>
            </w:r>
          </w:p>
          <w:p>
            <w:pPr>
              <w:adjustRightInd w:val="0"/>
              <w:snapToGrid w:val="0"/>
              <w:spacing w:line="360" w:lineRule="auto"/>
              <w:jc w:val="center"/>
              <w:rPr>
                <w:b/>
                <w:bCs/>
                <w:color w:val="auto"/>
                <w:sz w:val="24"/>
                <w:highlight w:val="none"/>
              </w:rPr>
            </w:pPr>
            <w:r>
              <w:rPr>
                <w:rFonts w:eastAsia="黑体"/>
                <w:b/>
                <w:bCs/>
                <w:color w:val="auto"/>
                <w:kern w:val="0"/>
                <w:sz w:val="24"/>
                <w:highlight w:val="none"/>
              </w:rPr>
              <w:t>图</w:t>
            </w:r>
            <w:r>
              <w:rPr>
                <w:rFonts w:hint="eastAsia" w:eastAsia="黑体"/>
                <w:b/>
                <w:bCs/>
                <w:color w:val="auto"/>
                <w:kern w:val="0"/>
                <w:sz w:val="24"/>
                <w:highlight w:val="none"/>
              </w:rPr>
              <w:t>2-</w:t>
            </w:r>
            <w:r>
              <w:rPr>
                <w:rFonts w:hint="eastAsia" w:eastAsia="黑体"/>
                <w:b/>
                <w:bCs/>
                <w:color w:val="auto"/>
                <w:kern w:val="0"/>
                <w:sz w:val="24"/>
                <w:highlight w:val="none"/>
                <w:lang w:val="en-US" w:eastAsia="zh-CN"/>
              </w:rPr>
              <w:t>1</w:t>
            </w:r>
            <w:r>
              <w:rPr>
                <w:rFonts w:eastAsia="黑体"/>
                <w:b/>
                <w:bCs/>
                <w:color w:val="auto"/>
                <w:kern w:val="0"/>
                <w:sz w:val="24"/>
                <w:highlight w:val="none"/>
              </w:rPr>
              <w:t xml:space="preserve">  工程施工工艺流程图</w:t>
            </w:r>
          </w:p>
          <w:p>
            <w:pPr>
              <w:spacing w:line="360" w:lineRule="auto"/>
              <w:ind w:firstLine="482" w:firstLineChars="200"/>
              <w:rPr>
                <w:b/>
                <w:bCs/>
                <w:color w:val="auto"/>
                <w:sz w:val="24"/>
                <w:highlight w:val="none"/>
              </w:rPr>
            </w:pPr>
            <w:r>
              <w:rPr>
                <w:rFonts w:hint="eastAsia"/>
                <w:b/>
                <w:bCs/>
                <w:color w:val="auto"/>
                <w:sz w:val="24"/>
                <w:highlight w:val="none"/>
              </w:rPr>
              <w:t>（1）施工导截流</w:t>
            </w:r>
          </w:p>
          <w:p>
            <w:pPr>
              <w:spacing w:line="360" w:lineRule="auto"/>
              <w:ind w:firstLine="480" w:firstLineChars="200"/>
              <w:rPr>
                <w:color w:val="auto"/>
                <w:sz w:val="24"/>
                <w:highlight w:val="none"/>
              </w:rPr>
            </w:pPr>
            <w:r>
              <w:rPr>
                <w:rFonts w:hint="eastAsia"/>
                <w:color w:val="auto"/>
                <w:sz w:val="24"/>
                <w:highlight w:val="none"/>
              </w:rPr>
              <w:t>苦水沟大型淤地坝属大（1）型淤地坝工程。土坝、主要建筑物为4级、次要建筑物为5级，临时建筑物为5级，施工导流建筑物级别为5级，其洪水标准为5年。</w:t>
            </w:r>
          </w:p>
          <w:p>
            <w:pPr>
              <w:spacing w:line="360" w:lineRule="auto"/>
              <w:ind w:firstLine="480" w:firstLineChars="200"/>
              <w:rPr>
                <w:color w:val="auto"/>
                <w:sz w:val="24"/>
                <w:highlight w:val="none"/>
              </w:rPr>
            </w:pPr>
            <w:r>
              <w:rPr>
                <w:rFonts w:hint="eastAsia"/>
                <w:color w:val="auto"/>
                <w:sz w:val="24"/>
                <w:highlight w:val="none"/>
              </w:rPr>
              <w:t>本工程施工导流方案：20年一遇（P=20%）洪水总量为62.9万m</w:t>
            </w:r>
            <w:r>
              <w:rPr>
                <w:rFonts w:hint="eastAsia"/>
                <w:color w:val="auto"/>
                <w:sz w:val="24"/>
                <w:highlight w:val="none"/>
                <w:vertAlign w:val="superscript"/>
              </w:rPr>
              <w:t>3</w:t>
            </w:r>
            <w:r>
              <w:rPr>
                <w:rFonts w:hint="eastAsia"/>
                <w:color w:val="auto"/>
                <w:sz w:val="24"/>
                <w:highlight w:val="none"/>
              </w:rPr>
              <w:t>，死库容62.9万m</w:t>
            </w:r>
            <w:r>
              <w:rPr>
                <w:rFonts w:hint="eastAsia"/>
                <w:color w:val="auto"/>
                <w:sz w:val="24"/>
                <w:highlight w:val="none"/>
                <w:vertAlign w:val="superscript"/>
              </w:rPr>
              <w:t>3</w:t>
            </w:r>
            <w:r>
              <w:rPr>
                <w:rFonts w:hint="eastAsia"/>
                <w:color w:val="auto"/>
                <w:sz w:val="24"/>
                <w:highlight w:val="none"/>
              </w:rPr>
              <w:t>，20年洪水全部拦蓄高程1396.44m，所以本工程1396.44m以下坝体</w:t>
            </w:r>
            <w:bookmarkStart w:id="4" w:name="_Toc419814278"/>
            <w:r>
              <w:rPr>
                <w:rFonts w:hint="eastAsia"/>
                <w:color w:val="auto"/>
                <w:sz w:val="24"/>
                <w:highlight w:val="none"/>
              </w:rPr>
              <w:t>安排在枯水期先进施工回填，汛期利用坝体挡水。</w:t>
            </w:r>
            <w:bookmarkEnd w:id="4"/>
          </w:p>
          <w:p>
            <w:pPr>
              <w:spacing w:line="360" w:lineRule="auto"/>
              <w:ind w:firstLine="482" w:firstLineChars="200"/>
              <w:rPr>
                <w:b/>
                <w:bCs/>
                <w:color w:val="auto"/>
                <w:sz w:val="24"/>
                <w:highlight w:val="none"/>
              </w:rPr>
            </w:pPr>
            <w:r>
              <w:rPr>
                <w:rFonts w:hint="eastAsia"/>
                <w:b/>
                <w:bCs/>
                <w:color w:val="auto"/>
                <w:sz w:val="24"/>
                <w:highlight w:val="none"/>
              </w:rPr>
              <w:t>（2）基础处理、土方开挖</w:t>
            </w:r>
          </w:p>
          <w:p>
            <w:pPr>
              <w:spacing w:line="360" w:lineRule="auto"/>
              <w:ind w:firstLine="480" w:firstLineChars="200"/>
              <w:rPr>
                <w:color w:val="auto"/>
                <w:sz w:val="24"/>
                <w:highlight w:val="none"/>
              </w:rPr>
            </w:pPr>
            <w:r>
              <w:rPr>
                <w:rFonts w:hint="eastAsia"/>
                <w:color w:val="auto"/>
                <w:sz w:val="24"/>
                <w:highlight w:val="none"/>
              </w:rPr>
              <w:t>苦水沟大型淤地坝施工要严格执行《碾压式土石坝施工技术规范》执行。清基厚度0.5m，河漫滩壤土（Q</w:t>
            </w:r>
            <w:r>
              <w:rPr>
                <w:rFonts w:hint="eastAsia"/>
                <w:color w:val="auto"/>
                <w:sz w:val="24"/>
                <w:highlight w:val="none"/>
                <w:vertAlign w:val="subscript"/>
              </w:rPr>
              <w:t>4</w:t>
            </w:r>
            <w:r>
              <w:rPr>
                <w:rFonts w:hint="eastAsia"/>
                <w:color w:val="auto"/>
                <w:sz w:val="24"/>
                <w:highlight w:val="none"/>
                <w:vertAlign w:val="superscript"/>
              </w:rPr>
              <w:t>2apl</w:t>
            </w:r>
            <w:r>
              <w:rPr>
                <w:rFonts w:hint="eastAsia"/>
                <w:color w:val="auto"/>
                <w:sz w:val="24"/>
                <w:highlight w:val="none"/>
              </w:rPr>
              <w:t>）主要分布于沟底上部，厚约2.8m，需对坝基回填区域内河漫滩壤土全部挖除。两岸结合部清除坡面崩塌物及松散物且削坡至1：1.5。</w:t>
            </w:r>
          </w:p>
          <w:p>
            <w:pPr>
              <w:spacing w:line="360" w:lineRule="auto"/>
              <w:ind w:firstLine="480" w:firstLineChars="200"/>
              <w:rPr>
                <w:color w:val="auto"/>
                <w:sz w:val="24"/>
                <w:highlight w:val="none"/>
              </w:rPr>
            </w:pPr>
            <w:r>
              <w:rPr>
                <w:rFonts w:hint="eastAsia"/>
                <w:color w:val="auto"/>
                <w:sz w:val="24"/>
                <w:highlight w:val="none"/>
              </w:rPr>
              <w:t>基坑（槽）的开挖或回填应连续进行，施工中应防止地面水流入坑（槽）内，以免边坡塌方或基地遭到破坏。开挖基坑（槽）不得超过基地标高，如个别地方超挖时，应用与基地相同的土料填补，并夯实至要求的密实度，或用碎石类土填补并夯实。</w:t>
            </w:r>
          </w:p>
          <w:p>
            <w:pPr>
              <w:spacing w:line="360" w:lineRule="auto"/>
              <w:ind w:firstLine="480" w:firstLineChars="200"/>
              <w:rPr>
                <w:color w:val="auto"/>
                <w:sz w:val="24"/>
                <w:highlight w:val="none"/>
              </w:rPr>
            </w:pPr>
            <w:r>
              <w:rPr>
                <w:rFonts w:hint="eastAsia"/>
                <w:color w:val="auto"/>
                <w:sz w:val="24"/>
                <w:highlight w:val="none"/>
              </w:rPr>
              <w:t>基坑（槽）回填前应清除沟槽内的积水、杂物，基础的砼应达到一定强度，不致因填土而受损伤时方可回填。要求夯填厚度为200mm，压实系数大于0.98。基坑（槽）回填应在相对两侧或四周同时进行。</w:t>
            </w:r>
          </w:p>
          <w:p>
            <w:pPr>
              <w:spacing w:line="360" w:lineRule="auto"/>
              <w:ind w:firstLine="480" w:firstLineChars="200"/>
              <w:rPr>
                <w:color w:val="auto"/>
                <w:sz w:val="24"/>
                <w:highlight w:val="none"/>
              </w:rPr>
            </w:pPr>
            <w:r>
              <w:rPr>
                <w:rFonts w:hint="eastAsia"/>
                <w:color w:val="auto"/>
                <w:sz w:val="24"/>
                <w:highlight w:val="none"/>
              </w:rPr>
              <w:t>土方开挖以挖掘机为主，人工为辅，拉运采用5t自卸汽车。土方工程施工应进行土方平衡计算，按照土方运距最短、运程合理和各个工程的施工顺序做好调配，减少重复搬运。土方开挖时应防止附近已有建筑物、道路等发生下沉和变形，必要时应采取可行的防护措施。土方工程施工中应经常测量和校核其平面位置、水平标高和边坡坡度是否符合设计要求，平面控制桩和水准点也应定期复查和检查是否正确。防止土方超挖或欠挖，危险地段应设明显标志。采用机械施工时，必要的边坡修正和场地边角、小型沟槽的开挖等，可采用人工或小型机具配合进行。</w:t>
            </w:r>
          </w:p>
          <w:p>
            <w:pPr>
              <w:spacing w:line="360" w:lineRule="auto"/>
              <w:ind w:firstLine="480" w:firstLineChars="200"/>
              <w:rPr>
                <w:color w:val="auto"/>
                <w:sz w:val="24"/>
                <w:highlight w:val="none"/>
              </w:rPr>
            </w:pPr>
            <w:r>
              <w:rPr>
                <w:rFonts w:hint="eastAsia"/>
                <w:color w:val="auto"/>
                <w:sz w:val="24"/>
                <w:highlight w:val="none"/>
              </w:rPr>
              <w:t>永久性挖土边坡应符合设计要求，使用较长的临时性挖方坡度，应根据工程地质结合当地同类土体的稳定值确定，一般硬塑性土边坡坡度为：1：1～1：1.25，充填坚硬的碎石类土边坡坡度为：1：0.5～1：1。挖方经过不同类别的土（岩）层或深度超过3.0m时其边坡可做成台阶形。</w:t>
            </w:r>
          </w:p>
          <w:p>
            <w:pPr>
              <w:spacing w:line="360" w:lineRule="auto"/>
              <w:ind w:firstLine="482" w:firstLineChars="200"/>
              <w:rPr>
                <w:color w:val="auto"/>
                <w:sz w:val="24"/>
                <w:highlight w:val="none"/>
              </w:rPr>
            </w:pPr>
            <w:r>
              <w:rPr>
                <w:rFonts w:hint="eastAsia"/>
                <w:b/>
                <w:bCs/>
                <w:color w:val="auto"/>
                <w:sz w:val="24"/>
                <w:highlight w:val="none"/>
              </w:rPr>
              <w:t xml:space="preserve">（3）土方回填、土坝碾压 </w:t>
            </w:r>
          </w:p>
          <w:p>
            <w:pPr>
              <w:spacing w:line="360" w:lineRule="auto"/>
              <w:ind w:firstLine="480" w:firstLineChars="200"/>
              <w:rPr>
                <w:color w:val="auto"/>
                <w:sz w:val="24"/>
                <w:highlight w:val="none"/>
              </w:rPr>
            </w:pPr>
            <w:r>
              <w:rPr>
                <w:rFonts w:hint="eastAsia"/>
                <w:color w:val="auto"/>
                <w:sz w:val="24"/>
                <w:highlight w:val="none"/>
              </w:rPr>
              <w:t>淤地坝工程主沟道位置土坝填土高、荷载大，地基的强度不能满足快速填筑的要求，工程上都采用分期施工、控制上坝速度的方法，即采用不超过天然地基承载力的分级加荷方式，以确保地基的稳定性。</w:t>
            </w:r>
          </w:p>
          <w:p>
            <w:pPr>
              <w:spacing w:line="360" w:lineRule="auto"/>
              <w:ind w:firstLine="480" w:firstLineChars="200"/>
              <w:rPr>
                <w:color w:val="auto"/>
                <w:sz w:val="24"/>
                <w:highlight w:val="none"/>
              </w:rPr>
            </w:pPr>
            <w:r>
              <w:rPr>
                <w:rFonts w:hint="eastAsia"/>
                <w:color w:val="auto"/>
                <w:sz w:val="24"/>
                <w:highlight w:val="none"/>
              </w:rPr>
              <w:t>设计将坝体施工分四个阶段完成。</w:t>
            </w:r>
          </w:p>
          <w:p>
            <w:pPr>
              <w:spacing w:line="360" w:lineRule="auto"/>
              <w:ind w:firstLine="480" w:firstLineChars="200"/>
              <w:rPr>
                <w:color w:val="auto"/>
                <w:sz w:val="24"/>
                <w:highlight w:val="none"/>
              </w:rPr>
            </w:pPr>
            <w:r>
              <w:rPr>
                <w:rFonts w:hint="eastAsia"/>
                <w:color w:val="auto"/>
                <w:sz w:val="24"/>
                <w:highlight w:val="none"/>
              </w:rPr>
              <w:t>第一阶段：填筑高程范围：1384.5m～1389.5m，高度5.0m，填筑速率按0.3m～0.5m/d控制，间歇20d左右。</w:t>
            </w:r>
          </w:p>
          <w:p>
            <w:pPr>
              <w:spacing w:line="360" w:lineRule="auto"/>
              <w:ind w:firstLine="480" w:firstLineChars="200"/>
              <w:rPr>
                <w:color w:val="auto"/>
                <w:sz w:val="24"/>
                <w:highlight w:val="none"/>
              </w:rPr>
            </w:pPr>
            <w:r>
              <w:rPr>
                <w:rFonts w:hint="eastAsia"/>
                <w:color w:val="auto"/>
                <w:sz w:val="24"/>
                <w:highlight w:val="none"/>
              </w:rPr>
              <w:t>第二阶段：填筑高程范围：1389.5m～1394.5m，高度5.0m，填筑速率按0.3m～0.5m/d控制，间歇10d左右。</w:t>
            </w:r>
          </w:p>
          <w:p>
            <w:pPr>
              <w:spacing w:line="360" w:lineRule="auto"/>
              <w:ind w:firstLine="480" w:firstLineChars="200"/>
              <w:rPr>
                <w:color w:val="auto"/>
                <w:sz w:val="24"/>
                <w:highlight w:val="none"/>
              </w:rPr>
            </w:pPr>
            <w:r>
              <w:rPr>
                <w:rFonts w:hint="eastAsia"/>
                <w:color w:val="auto"/>
                <w:sz w:val="24"/>
                <w:highlight w:val="none"/>
              </w:rPr>
              <w:t>第三阶段：1394.5m～1399.5m，高度5.0m，加高速率不变，间歇10d左右。</w:t>
            </w:r>
          </w:p>
          <w:p>
            <w:pPr>
              <w:spacing w:line="360" w:lineRule="auto"/>
              <w:ind w:firstLine="480" w:firstLineChars="200"/>
              <w:rPr>
                <w:color w:val="auto"/>
                <w:sz w:val="24"/>
                <w:highlight w:val="none"/>
              </w:rPr>
            </w:pPr>
            <w:r>
              <w:rPr>
                <w:rFonts w:hint="eastAsia"/>
                <w:color w:val="auto"/>
                <w:sz w:val="24"/>
                <w:highlight w:val="none"/>
              </w:rPr>
              <w:t>第四阶段：1399.5m～1405.0m，高度5.5m，加高速率不变，一次性完成。</w:t>
            </w:r>
          </w:p>
          <w:p>
            <w:pPr>
              <w:spacing w:line="360" w:lineRule="auto"/>
              <w:ind w:firstLine="480" w:firstLineChars="200"/>
              <w:rPr>
                <w:color w:val="auto"/>
                <w:sz w:val="24"/>
                <w:highlight w:val="none"/>
              </w:rPr>
            </w:pPr>
            <w:r>
              <w:rPr>
                <w:rFonts w:hint="eastAsia"/>
                <w:color w:val="auto"/>
                <w:sz w:val="24"/>
                <w:highlight w:val="none"/>
              </w:rPr>
              <w:t>施工间歇时间段内，应设置观测桩，每天观测沉降量，当沉降量小于1cm/d时为宜。</w:t>
            </w:r>
          </w:p>
          <w:p>
            <w:pPr>
              <w:spacing w:line="360" w:lineRule="auto"/>
              <w:ind w:firstLine="480" w:firstLineChars="200"/>
              <w:rPr>
                <w:color w:val="auto"/>
                <w:sz w:val="24"/>
                <w:highlight w:val="none"/>
              </w:rPr>
            </w:pPr>
            <w:r>
              <w:rPr>
                <w:rFonts w:hint="eastAsia"/>
                <w:color w:val="auto"/>
                <w:sz w:val="24"/>
                <w:highlight w:val="none"/>
              </w:rPr>
              <w:t>回填、夯填土方前，应对填方基地和已完隐蔽工程进行检查和中间验收。</w:t>
            </w:r>
          </w:p>
          <w:p>
            <w:pPr>
              <w:spacing w:line="360" w:lineRule="auto"/>
              <w:ind w:firstLine="480" w:firstLineChars="200"/>
              <w:rPr>
                <w:color w:val="auto"/>
                <w:sz w:val="24"/>
                <w:highlight w:val="none"/>
              </w:rPr>
            </w:pPr>
            <w:r>
              <w:rPr>
                <w:rFonts w:hint="eastAsia"/>
                <w:color w:val="auto"/>
                <w:sz w:val="24"/>
                <w:highlight w:val="none"/>
              </w:rPr>
              <w:t>填方施工前，应根据工程特点、填料种类，进行碾压试验设计压实系数、施工条件等合理选择压实机具，并根据碾压实验确定含水量范围、铺土厚度及压实遍数等。填土前应检验含水量是否在控制范围内,如含水量偏高,可采用翻松、晾晒、均匀掺入干土等措施；如含水量偏低,可采用预先洒水湿润、增加压实遍数或使用大功率压实机械等措施，碾压时轮（夯）迹应相互塔接，防止漏压。填方每层土厚度：平碾200～300mm，碾压6～8遍；羊足碾200～350mm，碾压8～16遍；蛙式打夯机200～250mm，碾压3～4；人工打夯不大于200mm，碾压3～4遍；土块粒径不大于5cm。</w:t>
            </w:r>
          </w:p>
          <w:p>
            <w:pPr>
              <w:spacing w:line="360" w:lineRule="auto"/>
              <w:ind w:firstLine="480" w:firstLineChars="200"/>
              <w:rPr>
                <w:color w:val="auto"/>
                <w:sz w:val="24"/>
                <w:highlight w:val="none"/>
              </w:rPr>
            </w:pPr>
            <w:r>
              <w:rPr>
                <w:rFonts w:hint="eastAsia"/>
                <w:color w:val="auto"/>
                <w:sz w:val="24"/>
                <w:highlight w:val="none"/>
              </w:rPr>
              <w:t>分段填筑时，每层接缝处应做成斜坡形，碾迹重叠0.5～1.0m，上下层接缝应错开不小于1.0m，填方可根据工程性质、填方高度、填料种类、压实系数和地基情况预留沉降量，沉降量一般不超过高度的3％。填方取土应在填方体坡脚线30m以外取料，取土坑的坡度应根据土质而定。</w:t>
            </w:r>
          </w:p>
          <w:p>
            <w:pPr>
              <w:spacing w:line="360" w:lineRule="auto"/>
              <w:ind w:firstLine="480" w:firstLineChars="200"/>
              <w:rPr>
                <w:color w:val="auto"/>
                <w:sz w:val="24"/>
                <w:highlight w:val="none"/>
              </w:rPr>
            </w:pPr>
            <w:r>
              <w:rPr>
                <w:rFonts w:hint="eastAsia"/>
                <w:color w:val="auto"/>
                <w:sz w:val="24"/>
                <w:highlight w:val="none"/>
              </w:rPr>
              <w:t>土坝的填筑土料选用黄土及壤土，填筑机械采用20～30t压路机碾压，要求分层碾压。铺土层厚20～30cm，碾压遍数6～7遍，最优含水量12.5％～13.4%，压实度不小于0.96。</w:t>
            </w:r>
          </w:p>
          <w:p>
            <w:pPr>
              <w:spacing w:line="360" w:lineRule="auto"/>
              <w:ind w:firstLine="480" w:firstLineChars="200"/>
              <w:rPr>
                <w:color w:val="auto"/>
                <w:sz w:val="24"/>
                <w:highlight w:val="none"/>
              </w:rPr>
            </w:pPr>
            <w:r>
              <w:rPr>
                <w:rFonts w:hint="eastAsia"/>
                <w:color w:val="auto"/>
                <w:sz w:val="24"/>
                <w:highlight w:val="none"/>
              </w:rPr>
              <w:t>施工时必须要保证其回填质量，尤其对坝体与建筑物接触的部位，需用人工或小型机具夯实，此时铺土厚度应控制在15cm以内。施工中应避免出现压不到的死角，人工夯实时，应采用连环套打夯实法，夯压夯1/3，行压行1/3；采用机械碾压时，碾压机具的行走方向应平行坝轴线，不宜垂直坝轴线。</w:t>
            </w:r>
          </w:p>
          <w:p>
            <w:pPr>
              <w:spacing w:line="360" w:lineRule="auto"/>
              <w:ind w:firstLine="480" w:firstLineChars="200"/>
              <w:rPr>
                <w:color w:val="auto"/>
                <w:highlight w:val="none"/>
              </w:rPr>
            </w:pPr>
            <w:r>
              <w:rPr>
                <w:rFonts w:hint="eastAsia"/>
                <w:color w:val="auto"/>
                <w:sz w:val="24"/>
                <w:highlight w:val="none"/>
              </w:rPr>
              <w:t>施工时要求回填的2：8水泥土及素土压实系数大于等于0.98，施工单位应根据此压实系数乘以回填土料的击实试验最大干密度得出压实土料的控制干密度用以控制施工质量；施工单位在拌制2：8水泥土时，要求在施工场地以外按照试验得出的控制最优含水量进行洒水拌制，待充分拌合均匀后再运至施工现场施工，严禁在施工现场边拌制边碾压的现象出现，2：8水泥土及素土的控制含水量分别为各自最优含水量的±2%，严禁超标。</w:t>
            </w:r>
          </w:p>
          <w:p>
            <w:pPr>
              <w:spacing w:line="360" w:lineRule="auto"/>
              <w:ind w:firstLine="482" w:firstLineChars="200"/>
              <w:rPr>
                <w:b/>
                <w:bCs/>
                <w:color w:val="auto"/>
                <w:sz w:val="24"/>
                <w:highlight w:val="none"/>
              </w:rPr>
            </w:pPr>
            <w:r>
              <w:rPr>
                <w:rFonts w:hint="eastAsia"/>
                <w:b/>
                <w:bCs/>
                <w:color w:val="auto"/>
                <w:sz w:val="24"/>
                <w:highlight w:val="none"/>
              </w:rPr>
              <w:t>（4）</w:t>
            </w:r>
            <w:bookmarkStart w:id="5" w:name="_Toc419814283"/>
            <w:bookmarkStart w:id="6" w:name="_Toc73059925"/>
            <w:bookmarkStart w:id="7" w:name="_Toc422388317"/>
            <w:r>
              <w:rPr>
                <w:rFonts w:hint="eastAsia"/>
                <w:b/>
                <w:bCs/>
                <w:color w:val="auto"/>
                <w:sz w:val="24"/>
                <w:highlight w:val="none"/>
              </w:rPr>
              <w:t>建筑物施工</w:t>
            </w:r>
            <w:bookmarkEnd w:id="5"/>
            <w:bookmarkEnd w:id="6"/>
            <w:bookmarkEnd w:id="7"/>
            <w:r>
              <w:rPr>
                <w:rFonts w:hint="eastAsia"/>
                <w:b/>
                <w:bCs/>
                <w:color w:val="auto"/>
                <w:sz w:val="24"/>
                <w:highlight w:val="none"/>
              </w:rPr>
              <w:t xml:space="preserve"> </w:t>
            </w:r>
          </w:p>
          <w:p>
            <w:pPr>
              <w:spacing w:line="360" w:lineRule="auto"/>
              <w:ind w:firstLine="480" w:firstLineChars="200"/>
              <w:rPr>
                <w:color w:val="auto"/>
                <w:sz w:val="24"/>
                <w:highlight w:val="none"/>
              </w:rPr>
            </w:pPr>
            <w:r>
              <w:rPr>
                <w:rFonts w:hint="eastAsia"/>
                <w:color w:val="auto"/>
                <w:sz w:val="24"/>
                <w:highlight w:val="none"/>
              </w:rPr>
              <w:t>建筑物施工时应严格执行施工技术规范，开挖断面边坡不应陡于1：1。建筑物回填土料压实度不小于0.96，坝体与建筑物结合部位处理，严格按照施工技术要求进行。</w:t>
            </w:r>
          </w:p>
          <w:p>
            <w:pPr>
              <w:spacing w:line="360" w:lineRule="auto"/>
              <w:ind w:firstLine="480" w:firstLineChars="200"/>
              <w:rPr>
                <w:color w:val="auto"/>
                <w:sz w:val="24"/>
                <w:highlight w:val="none"/>
              </w:rPr>
            </w:pPr>
            <w:r>
              <w:rPr>
                <w:rFonts w:hint="eastAsia"/>
                <w:color w:val="auto"/>
                <w:sz w:val="24"/>
                <w:highlight w:val="none"/>
              </w:rPr>
              <w:t>凡是要与坝体接触的建筑物表面，待回填坝体时应先对建筑物表面采用风枪吹扫干净，同时洒水湿润，并边涂刷红粘土浆、边铺土、边夯实。泥浆涂刷高度必须与铺土厚度一致，并与下部涂层衔接，严禁泥浆干固后铺土和压实。泥浆的重量比可为1：2.5～3.0（土：水），涂层厚度3～5mm。混凝土齿墙周围及顶部0.5m范围内填土，必须采用小型机具压实，但须满足控制干容重的要求。</w:t>
            </w:r>
          </w:p>
          <w:p>
            <w:pPr>
              <w:spacing w:line="360" w:lineRule="auto"/>
              <w:ind w:firstLine="480" w:firstLineChars="200"/>
              <w:rPr>
                <w:color w:val="auto"/>
                <w:sz w:val="24"/>
                <w:highlight w:val="none"/>
              </w:rPr>
            </w:pPr>
            <w:r>
              <w:rPr>
                <w:rFonts w:hint="eastAsia"/>
                <w:color w:val="auto"/>
                <w:sz w:val="24"/>
                <w:highlight w:val="none"/>
              </w:rPr>
              <w:t>进口段浆砌石及混凝土挡土墙后壁、水塔与坝体接触面、泄洪洞与坝体接触面、混凝土齿墙周围及顶部在回填时，均须采用小型机具或人工夯实碾压，因此铺土厚度要严格控制，一般要求10～15cm。施工中应避免出现压不到的死角，人工夯实时，应采用连环套打夯实法，夯压夯1/3，行压行1/3；采用机械碾压时，碾压机具的行走方向应平行坝轴线，不宜垂直坝轴线。</w:t>
            </w:r>
          </w:p>
          <w:p>
            <w:pPr>
              <w:spacing w:line="360" w:lineRule="auto"/>
              <w:ind w:firstLine="480" w:firstLineChars="200"/>
              <w:rPr>
                <w:color w:val="auto"/>
                <w:sz w:val="24"/>
                <w:highlight w:val="none"/>
              </w:rPr>
            </w:pPr>
            <w:r>
              <w:rPr>
                <w:rFonts w:hint="eastAsia"/>
                <w:color w:val="auto"/>
                <w:sz w:val="24"/>
                <w:highlight w:val="none"/>
              </w:rPr>
              <w:t>浆砌石施工：石料要求石质均匀，质地坚硬、不易风化、无裂纹、无尖角薄片、黄皮等；砌筑采用Mu30块石M7.5砂浆，要求严格按试验室提供的配合比配制，所用水泥、砂、水材料质量标准应符合工程相应材料质量标准，砂子为中细砂，最大料经不大于5mm，砂浆全部采用机械拌和，时间为3～5min，随拌随用，一般应在2h内用完。</w:t>
            </w:r>
          </w:p>
          <w:p>
            <w:pPr>
              <w:spacing w:line="360" w:lineRule="auto"/>
              <w:ind w:firstLine="480" w:firstLineChars="200"/>
              <w:rPr>
                <w:color w:val="auto"/>
                <w:sz w:val="24"/>
                <w:highlight w:val="none"/>
              </w:rPr>
            </w:pPr>
            <w:r>
              <w:rPr>
                <w:rFonts w:hint="eastAsia"/>
                <w:color w:val="auto"/>
                <w:sz w:val="24"/>
                <w:highlight w:val="none"/>
              </w:rPr>
              <w:t>混凝土在浇注过程中，在混凝土硬化之前，不应使其表面经受水流作用。混凝土浇注应按一定厚度、次序、方向，分层进行。混凝土浇注作业应保持连续性，如因故中断且超过允许间歇时间，则应按工作缝处理，若能重塑者，仍可继续浇注。混凝土浇注完毕后，应及时洒水养护，以保证混凝土表面经常湿润，底流态混凝土浇注完毕后，应加强养护，并延长养护时间。混凝土浇注完毕后，早期应避免太阳光暴晒，混凝土表面应遮盖。</w:t>
            </w:r>
          </w:p>
          <w:p>
            <w:pPr>
              <w:spacing w:line="360" w:lineRule="auto"/>
              <w:rPr>
                <w:b/>
                <w:bCs/>
                <w:color w:val="auto"/>
                <w:sz w:val="24"/>
                <w:highlight w:val="none"/>
              </w:rPr>
            </w:pPr>
            <w:r>
              <w:rPr>
                <w:b/>
                <w:bCs/>
                <w:color w:val="auto"/>
                <w:sz w:val="24"/>
                <w:highlight w:val="none"/>
              </w:rPr>
              <w:t>2、施工时序</w:t>
            </w:r>
          </w:p>
          <w:p>
            <w:pPr>
              <w:pStyle w:val="11"/>
              <w:spacing w:before="0" w:after="0" w:line="360" w:lineRule="auto"/>
              <w:ind w:right="0" w:firstLine="480" w:firstLineChars="200"/>
              <w:rPr>
                <w:color w:val="auto"/>
                <w:sz w:val="24"/>
                <w:szCs w:val="24"/>
                <w:highlight w:val="none"/>
              </w:rPr>
            </w:pPr>
            <w:r>
              <w:rPr>
                <w:rFonts w:hint="eastAsia"/>
                <w:color w:val="auto"/>
                <w:sz w:val="24"/>
                <w:highlight w:val="none"/>
              </w:rPr>
              <w:t xml:space="preserve">本项目计划6个月内实施完成，主体工程施工4个月，坝顶砌护及排水沟工期1个月，并进行工程验收。 </w:t>
            </w:r>
          </w:p>
          <w:p>
            <w:pPr>
              <w:spacing w:line="360" w:lineRule="auto"/>
              <w:rPr>
                <w:b/>
                <w:bCs/>
                <w:color w:val="auto"/>
                <w:sz w:val="24"/>
                <w:highlight w:val="none"/>
              </w:rPr>
            </w:pPr>
            <w:r>
              <w:rPr>
                <w:b/>
                <w:bCs/>
                <w:color w:val="auto"/>
                <w:sz w:val="24"/>
                <w:highlight w:val="none"/>
              </w:rPr>
              <w:t>3、建设周期</w:t>
            </w:r>
          </w:p>
          <w:p>
            <w:pPr>
              <w:spacing w:line="360" w:lineRule="auto"/>
              <w:ind w:firstLine="480" w:firstLineChars="200"/>
              <w:rPr>
                <w:color w:val="auto"/>
                <w:highlight w:val="none"/>
              </w:rPr>
            </w:pPr>
            <w:r>
              <w:rPr>
                <w:color w:val="auto"/>
                <w:sz w:val="24"/>
                <w:highlight w:val="none"/>
              </w:rPr>
              <w:t>根据本项目项目特点、自然条件，本项目计划202</w:t>
            </w:r>
            <w:r>
              <w:rPr>
                <w:rFonts w:hint="eastAsia"/>
                <w:color w:val="auto"/>
                <w:sz w:val="24"/>
                <w:highlight w:val="none"/>
                <w:lang w:val="en-US" w:eastAsia="zh-CN"/>
              </w:rPr>
              <w:t>3</w:t>
            </w:r>
            <w:r>
              <w:rPr>
                <w:color w:val="auto"/>
                <w:sz w:val="24"/>
                <w:highlight w:val="none"/>
              </w:rPr>
              <w:t>年</w:t>
            </w:r>
            <w:r>
              <w:rPr>
                <w:rFonts w:hint="eastAsia"/>
                <w:color w:val="auto"/>
                <w:sz w:val="24"/>
                <w:highlight w:val="none"/>
                <w:lang w:val="en-US" w:eastAsia="zh-CN"/>
              </w:rPr>
              <w:t>4</w:t>
            </w:r>
            <w:r>
              <w:rPr>
                <w:color w:val="auto"/>
                <w:sz w:val="24"/>
                <w:highlight w:val="none"/>
              </w:rPr>
              <w:t>月施工，202</w:t>
            </w:r>
            <w:r>
              <w:rPr>
                <w:rFonts w:hint="eastAsia"/>
                <w:color w:val="auto"/>
                <w:sz w:val="24"/>
                <w:highlight w:val="none"/>
              </w:rPr>
              <w:t>3</w:t>
            </w:r>
            <w:r>
              <w:rPr>
                <w:color w:val="auto"/>
                <w:sz w:val="24"/>
                <w:highlight w:val="none"/>
              </w:rPr>
              <w:t>年</w:t>
            </w:r>
            <w:r>
              <w:rPr>
                <w:rFonts w:hint="eastAsia"/>
                <w:color w:val="auto"/>
                <w:sz w:val="24"/>
                <w:highlight w:val="none"/>
                <w:lang w:val="en-US" w:eastAsia="zh-CN"/>
              </w:rPr>
              <w:t>10</w:t>
            </w:r>
            <w:r>
              <w:rPr>
                <w:color w:val="auto"/>
                <w:sz w:val="24"/>
                <w:highlight w:val="none"/>
              </w:rPr>
              <w:t>完工，预计施工时间为</w:t>
            </w:r>
            <w:r>
              <w:rPr>
                <w:rFonts w:hint="eastAsia"/>
                <w:color w:val="auto"/>
                <w:sz w:val="24"/>
                <w:highlight w:val="none"/>
              </w:rPr>
              <w:t>6</w:t>
            </w:r>
            <w:r>
              <w:rPr>
                <w:color w:val="auto"/>
                <w:sz w:val="24"/>
                <w:highlight w:val="none"/>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其他</w:t>
            </w:r>
          </w:p>
        </w:tc>
        <w:tc>
          <w:tcPr>
            <w:tcW w:w="8859" w:type="dxa"/>
            <w:vAlign w:val="center"/>
          </w:tcPr>
          <w:p>
            <w:pPr>
              <w:widowControl/>
              <w:spacing w:line="360" w:lineRule="auto"/>
              <w:rPr>
                <w:color w:val="auto"/>
                <w:kern w:val="0"/>
                <w:szCs w:val="21"/>
                <w:highlight w:val="none"/>
              </w:rPr>
            </w:pPr>
            <w:r>
              <w:rPr>
                <w:rFonts w:hint="eastAsia"/>
                <w:color w:val="auto"/>
                <w:sz w:val="24"/>
                <w:highlight w:val="none"/>
              </w:rPr>
              <w:t>无</w:t>
            </w:r>
          </w:p>
        </w:tc>
      </w:tr>
    </w:tbl>
    <w:p>
      <w:pPr>
        <w:pStyle w:val="21"/>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仿宋_GB2312"/>
          <w:b/>
          <w:bCs/>
          <w:color w:val="auto"/>
          <w:highlight w:val="none"/>
        </w:rPr>
        <w:br w:type="page"/>
      </w:r>
      <w:r>
        <w:rPr>
          <w:rFonts w:ascii="Times New Roman" w:hAnsi="Times New Roman" w:eastAsia="黑体"/>
          <w:snapToGrid w:val="0"/>
          <w:color w:val="auto"/>
          <w:sz w:val="30"/>
          <w:szCs w:val="30"/>
          <w:highlight w:val="none"/>
        </w:rPr>
        <w:t>三、生态环境现状、保护目标及评价标准</w:t>
      </w:r>
    </w:p>
    <w:tbl>
      <w:tblPr>
        <w:tblStyle w:val="24"/>
        <w:tblW w:w="935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858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12" w:hRule="atLeast"/>
          <w:jc w:val="center"/>
        </w:trPr>
        <w:tc>
          <w:tcPr>
            <w:tcW w:w="768" w:type="dxa"/>
            <w:vAlign w:val="center"/>
          </w:tcPr>
          <w:p>
            <w:pPr>
              <w:adjustRightInd w:val="0"/>
              <w:snapToGrid w:val="0"/>
              <w:jc w:val="center"/>
              <w:rPr>
                <w:color w:val="auto"/>
                <w:kern w:val="0"/>
                <w:szCs w:val="21"/>
                <w:highlight w:val="none"/>
              </w:rPr>
            </w:pPr>
            <w:r>
              <w:rPr>
                <w:color w:val="auto"/>
                <w:kern w:val="0"/>
                <w:sz w:val="24"/>
                <w:highlight w:val="none"/>
              </w:rPr>
              <w:t>生态环境现状</w:t>
            </w:r>
          </w:p>
        </w:tc>
        <w:tc>
          <w:tcPr>
            <w:tcW w:w="8585" w:type="dxa"/>
            <w:vAlign w:val="center"/>
          </w:tcPr>
          <w:p>
            <w:pPr>
              <w:tabs>
                <w:tab w:val="left" w:pos="614"/>
              </w:tabs>
              <w:spacing w:line="360" w:lineRule="auto"/>
              <w:jc w:val="left"/>
              <w:rPr>
                <w:b/>
                <w:bCs/>
                <w:color w:val="auto"/>
                <w:kern w:val="0"/>
                <w:sz w:val="24"/>
                <w:highlight w:val="none"/>
              </w:rPr>
            </w:pPr>
            <w:r>
              <w:rPr>
                <w:rFonts w:hint="eastAsia"/>
                <w:b/>
                <w:bCs/>
                <w:color w:val="auto"/>
                <w:kern w:val="0"/>
                <w:sz w:val="24"/>
                <w:highlight w:val="none"/>
              </w:rPr>
              <w:t>1、</w:t>
            </w:r>
            <w:r>
              <w:rPr>
                <w:b/>
                <w:bCs/>
                <w:color w:val="auto"/>
                <w:kern w:val="0"/>
                <w:sz w:val="24"/>
                <w:highlight w:val="none"/>
              </w:rPr>
              <w:t>主体功能</w:t>
            </w:r>
            <w:r>
              <w:rPr>
                <w:rFonts w:hint="eastAsia"/>
                <w:b/>
                <w:bCs/>
                <w:color w:val="auto"/>
                <w:kern w:val="0"/>
                <w:sz w:val="24"/>
                <w:highlight w:val="none"/>
              </w:rPr>
              <w:t>区划</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根据《自治区人民政府关于印发宁夏回族自治区主体功能区</w:t>
            </w:r>
            <w:r>
              <w:rPr>
                <w:rFonts w:hint="eastAsia"/>
                <w:color w:val="auto"/>
                <w:kern w:val="0"/>
                <w:sz w:val="24"/>
                <w:highlight w:val="none"/>
              </w:rPr>
              <w:t xml:space="preserve">规划的通知》（宁政发[2014]53号），自治区范围内主要功能区包括重点开发区域、限制开发区域（农产品主产区）、限制开发区域（重点生态功能区）和禁止开发区域四类。本规划中优化开发、重点开发、限制开发、禁止开发的“开发”，特指大规模高强度的工业化、城镇化开发。限制开发，特指限制大规模高强度的工业化、城镇化开发，并不是限制所有开发活动。对农产品主产区，要限制大规模高强度的工业化、城镇化开发，但仍要鼓励农业开发；对重点生态功能区，要限制大规模高强度的工业化、城镇化开发，但仍允许一定程度的能源和矿产资源开发。将一些区域确定为限制开发区域，并不是限制发展，而是为了更好地保护这类区域的农业生产力和生态产品生产力，实现科学发展。 </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本项目</w:t>
            </w:r>
            <w:r>
              <w:rPr>
                <w:rFonts w:hint="eastAsia"/>
                <w:color w:val="auto"/>
                <w:kern w:val="0"/>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w:t>
            </w:r>
            <w:r>
              <w:rPr>
                <w:rFonts w:hint="eastAsia"/>
                <w:color w:val="auto"/>
                <w:kern w:val="0"/>
                <w:sz w:val="24"/>
                <w:highlight w:val="none"/>
              </w:rPr>
              <w:t>，</w:t>
            </w:r>
            <w:r>
              <w:rPr>
                <w:rFonts w:hint="eastAsia"/>
                <w:color w:val="auto"/>
                <w:sz w:val="24"/>
                <w:highlight w:val="none"/>
              </w:rPr>
              <w:t>根据《宁夏回族自治区主体功能区规划》，</w:t>
            </w:r>
            <w:r>
              <w:rPr>
                <w:rFonts w:hint="eastAsia"/>
                <w:color w:val="auto"/>
                <w:kern w:val="0"/>
                <w:sz w:val="24"/>
                <w:highlight w:val="none"/>
              </w:rPr>
              <w:t>属于</w:t>
            </w:r>
            <w:r>
              <w:rPr>
                <w:color w:val="auto"/>
                <w:kern w:val="0"/>
                <w:sz w:val="24"/>
                <w:highlight w:val="none"/>
              </w:rPr>
              <w:t>“国家限制开发区域（国家</w:t>
            </w:r>
            <w:r>
              <w:rPr>
                <w:rFonts w:hint="eastAsia"/>
                <w:color w:val="auto"/>
                <w:kern w:val="0"/>
                <w:sz w:val="24"/>
                <w:highlight w:val="none"/>
              </w:rPr>
              <w:t>重点生态功能</w:t>
            </w:r>
            <w:r>
              <w:rPr>
                <w:color w:val="auto"/>
                <w:kern w:val="0"/>
                <w:sz w:val="24"/>
                <w:highlight w:val="none"/>
              </w:rPr>
              <w:t>区）”</w:t>
            </w:r>
            <w:r>
              <w:rPr>
                <w:rFonts w:hint="eastAsia"/>
                <w:color w:val="auto"/>
                <w:kern w:val="0"/>
                <w:sz w:val="24"/>
                <w:highlight w:val="none"/>
              </w:rPr>
              <w:t>。</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功能定位</w:t>
            </w:r>
            <w:r>
              <w:rPr>
                <w:rFonts w:hint="eastAsia"/>
                <w:color w:val="auto"/>
                <w:kern w:val="0"/>
                <w:sz w:val="24"/>
                <w:highlight w:val="none"/>
              </w:rPr>
              <w:t>：保障国家生态安全的重要区域，西北重要的生态功能区，人与自然和谐相处的示范区。</w:t>
            </w:r>
          </w:p>
          <w:p>
            <w:pPr>
              <w:adjustRightInd w:val="0"/>
              <w:snapToGrid w:val="0"/>
              <w:spacing w:line="360" w:lineRule="auto"/>
              <w:ind w:firstLine="480" w:firstLineChars="200"/>
              <w:rPr>
                <w:color w:val="auto"/>
                <w:kern w:val="0"/>
                <w:sz w:val="24"/>
                <w:highlight w:val="none"/>
              </w:rPr>
            </w:pPr>
            <w:r>
              <w:rPr>
                <w:color w:val="auto"/>
                <w:kern w:val="0"/>
                <w:sz w:val="24"/>
                <w:highlight w:val="none"/>
              </w:rPr>
              <w:t>发展方向：水土保持型</w:t>
            </w:r>
            <w:r>
              <w:rPr>
                <w:rFonts w:hint="eastAsia"/>
                <w:color w:val="auto"/>
                <w:kern w:val="0"/>
                <w:sz w:val="24"/>
                <w:highlight w:val="none"/>
              </w:rPr>
              <w:t>---</w:t>
            </w:r>
            <w:r>
              <w:rPr>
                <w:color w:val="auto"/>
                <w:kern w:val="0"/>
                <w:sz w:val="24"/>
                <w:highlight w:val="none"/>
              </w:rPr>
              <w:t>大力推行节水灌溉，发展旱作节水农业。禁止陡坡垦殖。加强小流域综合治理，恢复退化植被。严格对资源开发和建设项目的监管，加大矿山环境整治修复力度，控制人为因素对土壤的侵蚀。大力发展草畜产业、马铃薯产业、林果产业、中药材产业等适合当地资源环境的特色农业和加工业，拓宽农民增收渠道，解决农民长远生计，巩固退耕还林成果。</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本项目为</w:t>
            </w:r>
            <w:r>
              <w:rPr>
                <w:rFonts w:hint="eastAsia"/>
                <w:color w:val="auto"/>
                <w:kern w:val="0"/>
                <w:sz w:val="24"/>
                <w:highlight w:val="none"/>
              </w:rPr>
              <w:t>淤地坝</w:t>
            </w:r>
            <w:r>
              <w:rPr>
                <w:color w:val="auto"/>
                <w:kern w:val="0"/>
                <w:sz w:val="24"/>
                <w:highlight w:val="none"/>
              </w:rPr>
              <w:t>工程</w:t>
            </w:r>
            <w:r>
              <w:rPr>
                <w:rFonts w:hint="eastAsia"/>
                <w:color w:val="auto"/>
                <w:kern w:val="0"/>
                <w:sz w:val="24"/>
                <w:highlight w:val="none"/>
              </w:rPr>
              <w:t>，项目实施后可拦泥89.87万m</w:t>
            </w:r>
            <w:r>
              <w:rPr>
                <w:rFonts w:hint="eastAsia"/>
                <w:color w:val="auto"/>
                <w:kern w:val="0"/>
                <w:sz w:val="24"/>
                <w:highlight w:val="none"/>
                <w:vertAlign w:val="superscript"/>
              </w:rPr>
              <w:t>3</w:t>
            </w:r>
            <w:r>
              <w:rPr>
                <w:rFonts w:hint="eastAsia"/>
                <w:color w:val="auto"/>
                <w:kern w:val="0"/>
                <w:sz w:val="24"/>
                <w:highlight w:val="none"/>
              </w:rPr>
              <w:t>，还可淤地230.9亩，解决沟道左右交通要求，可治理水土流失，可提高防洪减灾能力，增加农民收入，兼顾改善沟道周边生态环境，保障区域防洪安全，减少洪涝灾害损失。因此，项目的建设符合</w:t>
            </w:r>
            <w:r>
              <w:rPr>
                <w:color w:val="auto"/>
                <w:kern w:val="0"/>
                <w:sz w:val="24"/>
                <w:highlight w:val="none"/>
              </w:rPr>
              <w:t>国家</w:t>
            </w:r>
            <w:r>
              <w:rPr>
                <w:rFonts w:hint="eastAsia"/>
                <w:color w:val="auto"/>
                <w:kern w:val="0"/>
                <w:sz w:val="24"/>
                <w:highlight w:val="none"/>
              </w:rPr>
              <w:t>重点生态功能</w:t>
            </w:r>
            <w:r>
              <w:rPr>
                <w:color w:val="auto"/>
                <w:kern w:val="0"/>
                <w:sz w:val="24"/>
                <w:highlight w:val="none"/>
              </w:rPr>
              <w:t>区</w:t>
            </w:r>
            <w:r>
              <w:rPr>
                <w:rFonts w:hint="eastAsia"/>
                <w:color w:val="auto"/>
                <w:sz w:val="24"/>
                <w:highlight w:val="none"/>
              </w:rPr>
              <w:t>的功能定位和发展方向</w:t>
            </w:r>
            <w:r>
              <w:rPr>
                <w:rFonts w:hint="eastAsia"/>
                <w:color w:val="auto"/>
                <w:kern w:val="0"/>
                <w:sz w:val="24"/>
                <w:highlight w:val="none"/>
              </w:rPr>
              <w:t>。</w:t>
            </w:r>
          </w:p>
          <w:p>
            <w:pPr>
              <w:adjustRightInd w:val="0"/>
              <w:snapToGrid w:val="0"/>
              <w:spacing w:line="360" w:lineRule="auto"/>
              <w:ind w:firstLine="480" w:firstLineChars="200"/>
              <w:jc w:val="left"/>
              <w:rPr>
                <w:b/>
                <w:bCs/>
                <w:color w:val="auto"/>
                <w:kern w:val="0"/>
                <w:sz w:val="24"/>
                <w:highlight w:val="none"/>
              </w:rPr>
            </w:pPr>
            <w:r>
              <w:rPr>
                <w:rFonts w:hint="eastAsia"/>
                <w:color w:val="auto"/>
                <w:kern w:val="0"/>
                <w:sz w:val="24"/>
                <w:highlight w:val="none"/>
              </w:rPr>
              <w:t>本项目与宁夏回族自治区主体功能区规划的相对位置关系见</w:t>
            </w:r>
            <w:r>
              <w:rPr>
                <w:rFonts w:hint="eastAsia"/>
                <w:b w:val="0"/>
                <w:bCs w:val="0"/>
                <w:color w:val="auto"/>
                <w:kern w:val="0"/>
                <w:sz w:val="24"/>
                <w:highlight w:val="none"/>
              </w:rPr>
              <w:t>附图</w:t>
            </w:r>
            <w:r>
              <w:rPr>
                <w:rFonts w:hint="eastAsia"/>
                <w:b w:val="0"/>
                <w:bCs w:val="0"/>
                <w:color w:val="auto"/>
                <w:kern w:val="0"/>
                <w:sz w:val="24"/>
                <w:highlight w:val="none"/>
                <w:lang w:val="en-US" w:eastAsia="zh-CN"/>
              </w:rPr>
              <w:t>8</w:t>
            </w:r>
            <w:r>
              <w:rPr>
                <w:rFonts w:hint="eastAsia"/>
                <w:color w:val="auto"/>
                <w:kern w:val="0"/>
                <w:sz w:val="24"/>
                <w:highlight w:val="none"/>
              </w:rPr>
              <w:t>。</w:t>
            </w:r>
          </w:p>
          <w:p>
            <w:pPr>
              <w:adjustRightInd w:val="0"/>
              <w:snapToGrid w:val="0"/>
              <w:spacing w:line="360" w:lineRule="auto"/>
              <w:ind w:firstLine="482" w:firstLineChars="200"/>
              <w:jc w:val="left"/>
              <w:rPr>
                <w:b/>
                <w:bCs/>
                <w:color w:val="auto"/>
                <w:kern w:val="0"/>
                <w:sz w:val="24"/>
                <w:highlight w:val="none"/>
              </w:rPr>
            </w:pPr>
            <w:r>
              <w:rPr>
                <w:rFonts w:hint="eastAsia"/>
                <w:b/>
                <w:bCs/>
                <w:color w:val="auto"/>
                <w:kern w:val="0"/>
                <w:sz w:val="24"/>
                <w:highlight w:val="none"/>
              </w:rPr>
              <w:t>2、</w:t>
            </w:r>
            <w:r>
              <w:rPr>
                <w:b/>
                <w:bCs/>
                <w:color w:val="auto"/>
                <w:kern w:val="0"/>
                <w:sz w:val="24"/>
                <w:highlight w:val="none"/>
              </w:rPr>
              <w:t>生态功能</w:t>
            </w:r>
            <w:r>
              <w:rPr>
                <w:rFonts w:hint="eastAsia"/>
                <w:b/>
                <w:bCs/>
                <w:color w:val="auto"/>
                <w:kern w:val="0"/>
                <w:sz w:val="24"/>
                <w:highlight w:val="none"/>
              </w:rPr>
              <w:t>区划</w:t>
            </w:r>
          </w:p>
          <w:p>
            <w:pPr>
              <w:spacing w:line="360" w:lineRule="auto"/>
              <w:ind w:firstLine="480" w:firstLineChars="200"/>
              <w:jc w:val="left"/>
              <w:rPr>
                <w:color w:val="auto"/>
                <w:kern w:val="0"/>
                <w:sz w:val="24"/>
                <w:highlight w:val="none"/>
              </w:rPr>
            </w:pPr>
            <w:r>
              <w:rPr>
                <w:rFonts w:hint="eastAsia"/>
                <w:color w:val="auto"/>
                <w:kern w:val="0"/>
                <w:sz w:val="24"/>
                <w:highlight w:val="none"/>
              </w:rPr>
              <w:t>根据《宁夏生态功能区划》（2003.12），宁夏生态功能区划共划分3个一级区、10个二级区、37个三级区。</w:t>
            </w:r>
            <w:r>
              <w:rPr>
                <w:color w:val="auto"/>
                <w:kern w:val="0"/>
                <w:sz w:val="24"/>
                <w:highlight w:val="none"/>
              </w:rPr>
              <w:t>本项目</w:t>
            </w:r>
            <w:r>
              <w:rPr>
                <w:rFonts w:hint="eastAsia"/>
                <w:color w:val="auto"/>
                <w:kern w:val="0"/>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w:t>
            </w:r>
            <w:r>
              <w:rPr>
                <w:rFonts w:hint="eastAsia"/>
                <w:color w:val="auto"/>
                <w:kern w:val="0"/>
                <w:sz w:val="24"/>
                <w:highlight w:val="none"/>
              </w:rPr>
              <w:t>，</w:t>
            </w:r>
            <w:r>
              <w:rPr>
                <w:rFonts w:hint="eastAsia"/>
                <w:color w:val="auto"/>
                <w:sz w:val="24"/>
                <w:highlight w:val="none"/>
              </w:rPr>
              <w:t>根据《宁夏生态功能区划》，</w:t>
            </w:r>
            <w:r>
              <w:rPr>
                <w:rFonts w:hint="eastAsia"/>
                <w:color w:val="auto"/>
                <w:kern w:val="0"/>
                <w:sz w:val="24"/>
                <w:highlight w:val="none"/>
              </w:rPr>
              <w:t>属于</w:t>
            </w:r>
            <w:r>
              <w:rPr>
                <w:color w:val="auto"/>
                <w:kern w:val="0"/>
                <w:sz w:val="24"/>
                <w:highlight w:val="none"/>
              </w:rPr>
              <w:t>“</w:t>
            </w:r>
            <w:r>
              <w:rPr>
                <w:rFonts w:hint="eastAsia"/>
                <w:color w:val="auto"/>
                <w:kern w:val="0"/>
                <w:sz w:val="24"/>
                <w:highlight w:val="none"/>
              </w:rPr>
              <w:t>宁夏中部半干旱台地、山地、平原、干旱风沙生态区-中部低山、丘陵、平原水旱混合农业开发生态亚区-清水河下游平原、南山台子台地扬黄节灌农田生态功能区</w:t>
            </w:r>
            <w:r>
              <w:rPr>
                <w:color w:val="auto"/>
                <w:kern w:val="0"/>
                <w:sz w:val="24"/>
                <w:highlight w:val="none"/>
              </w:rPr>
              <w:t>”</w:t>
            </w:r>
            <w:r>
              <w:rPr>
                <w:rFonts w:hint="eastAsia"/>
                <w:color w:val="auto"/>
                <w:kern w:val="0"/>
                <w:sz w:val="24"/>
                <w:highlight w:val="none"/>
              </w:rPr>
              <w:t>。该</w:t>
            </w:r>
            <w:r>
              <w:rPr>
                <w:color w:val="auto"/>
                <w:kern w:val="0"/>
                <w:sz w:val="24"/>
                <w:highlight w:val="none"/>
              </w:rPr>
              <w:t>功能区</w:t>
            </w:r>
            <w:r>
              <w:rPr>
                <w:rFonts w:hint="eastAsia"/>
                <w:color w:val="auto"/>
                <w:kern w:val="0"/>
                <w:sz w:val="24"/>
                <w:highlight w:val="none"/>
              </w:rPr>
              <w:t>的主要生态环境问题是土壤沙化、水土流失和土壤盐渍化，未开发地区还存在草场退化。</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本项目为</w:t>
            </w:r>
            <w:r>
              <w:rPr>
                <w:rFonts w:hint="eastAsia"/>
                <w:color w:val="auto"/>
                <w:kern w:val="0"/>
                <w:sz w:val="24"/>
                <w:highlight w:val="none"/>
              </w:rPr>
              <w:t>淤地坝</w:t>
            </w:r>
            <w:r>
              <w:rPr>
                <w:color w:val="auto"/>
                <w:kern w:val="0"/>
                <w:sz w:val="24"/>
                <w:highlight w:val="none"/>
              </w:rPr>
              <w:t>工程</w:t>
            </w:r>
            <w:r>
              <w:rPr>
                <w:rFonts w:hint="eastAsia"/>
                <w:color w:val="auto"/>
                <w:kern w:val="0"/>
                <w:sz w:val="24"/>
                <w:highlight w:val="none"/>
              </w:rPr>
              <w:t>，</w:t>
            </w:r>
            <w:r>
              <w:rPr>
                <w:color w:val="auto"/>
                <w:kern w:val="0"/>
                <w:sz w:val="24"/>
                <w:highlight w:val="none"/>
              </w:rPr>
              <w:t>项目实施后</w:t>
            </w:r>
            <w:r>
              <w:rPr>
                <w:rFonts w:hint="eastAsia"/>
                <w:color w:val="auto"/>
                <w:kern w:val="0"/>
                <w:sz w:val="24"/>
                <w:highlight w:val="none"/>
              </w:rPr>
              <w:t>项目实施后可拦泥89.87万m</w:t>
            </w:r>
            <w:r>
              <w:rPr>
                <w:rFonts w:hint="eastAsia"/>
                <w:color w:val="auto"/>
                <w:kern w:val="0"/>
                <w:sz w:val="24"/>
                <w:highlight w:val="none"/>
                <w:vertAlign w:val="superscript"/>
              </w:rPr>
              <w:t>3</w:t>
            </w:r>
            <w:r>
              <w:rPr>
                <w:rFonts w:hint="eastAsia"/>
                <w:color w:val="auto"/>
                <w:kern w:val="0"/>
                <w:sz w:val="24"/>
                <w:highlight w:val="none"/>
              </w:rPr>
              <w:t>，还可淤地230.9亩，解决沟道左右交通要求，可治理水土流失，可提高防洪减灾能力，增加农民收入，兼顾改善沟道周边生态环境，保障区域防洪安全，减少洪涝灾害损失。项目施工期因临时占地及工程土石方开挖造成的水土流失，通过采取封闭性施工、地表开挖尽量避开暴雨季节、合理选择施工工序、剥离的表层土采取临时覆盖等防护措施后，可减轻水土流失的影响，因此，项目的建设满足宁夏生态功能区划的保护要求。</w:t>
            </w:r>
          </w:p>
          <w:p>
            <w:pPr>
              <w:adjustRightInd w:val="0"/>
              <w:snapToGrid w:val="0"/>
              <w:spacing w:line="360" w:lineRule="auto"/>
              <w:ind w:firstLine="480" w:firstLineChars="200"/>
              <w:jc w:val="left"/>
              <w:rPr>
                <w:b/>
                <w:bCs/>
                <w:color w:val="auto"/>
                <w:kern w:val="0"/>
                <w:sz w:val="24"/>
                <w:highlight w:val="none"/>
              </w:rPr>
            </w:pPr>
            <w:r>
              <w:rPr>
                <w:rFonts w:hint="eastAsia"/>
                <w:color w:val="auto"/>
                <w:kern w:val="0"/>
                <w:sz w:val="24"/>
                <w:highlight w:val="none"/>
              </w:rPr>
              <w:t>本项目与宁夏生态功能区划的相对位置关系见</w:t>
            </w:r>
            <w:r>
              <w:rPr>
                <w:rFonts w:hint="eastAsia"/>
                <w:b w:val="0"/>
                <w:bCs w:val="0"/>
                <w:color w:val="auto"/>
                <w:kern w:val="0"/>
                <w:sz w:val="24"/>
                <w:highlight w:val="none"/>
              </w:rPr>
              <w:t>附图</w:t>
            </w:r>
            <w:r>
              <w:rPr>
                <w:rFonts w:hint="eastAsia"/>
                <w:b w:val="0"/>
                <w:bCs w:val="0"/>
                <w:color w:val="auto"/>
                <w:kern w:val="0"/>
                <w:sz w:val="24"/>
                <w:highlight w:val="none"/>
                <w:lang w:val="en-US" w:eastAsia="zh-CN"/>
              </w:rPr>
              <w:t>9</w:t>
            </w:r>
            <w:r>
              <w:rPr>
                <w:rFonts w:hint="eastAsia"/>
                <w:color w:val="auto"/>
                <w:kern w:val="0"/>
                <w:sz w:val="24"/>
                <w:highlight w:val="none"/>
              </w:rPr>
              <w:t>。</w:t>
            </w:r>
          </w:p>
          <w:p>
            <w:pPr>
              <w:spacing w:line="360" w:lineRule="auto"/>
              <w:ind w:firstLine="482" w:firstLineChars="200"/>
              <w:jc w:val="left"/>
              <w:rPr>
                <w:b/>
                <w:bCs/>
                <w:color w:val="auto"/>
                <w:kern w:val="0"/>
                <w:sz w:val="24"/>
                <w:highlight w:val="none"/>
              </w:rPr>
            </w:pPr>
            <w:r>
              <w:rPr>
                <w:rFonts w:hint="eastAsia"/>
                <w:b/>
                <w:bCs/>
                <w:color w:val="auto"/>
                <w:kern w:val="0"/>
                <w:sz w:val="24"/>
                <w:highlight w:val="none"/>
              </w:rPr>
              <w:t>3</w:t>
            </w:r>
            <w:r>
              <w:rPr>
                <w:b/>
                <w:bCs/>
                <w:color w:val="auto"/>
                <w:kern w:val="0"/>
                <w:sz w:val="24"/>
                <w:highlight w:val="none"/>
              </w:rPr>
              <w:t>、生态环境现状</w:t>
            </w:r>
          </w:p>
          <w:p>
            <w:pPr>
              <w:adjustRightInd w:val="0"/>
              <w:snapToGrid w:val="0"/>
              <w:spacing w:line="360" w:lineRule="auto"/>
              <w:ind w:firstLine="482" w:firstLineChars="200"/>
              <w:rPr>
                <w:b/>
                <w:bCs/>
                <w:color w:val="auto"/>
                <w:kern w:val="0"/>
                <w:sz w:val="24"/>
                <w:highlight w:val="none"/>
              </w:rPr>
            </w:pPr>
            <w:r>
              <w:rPr>
                <w:rFonts w:hint="eastAsia"/>
                <w:b/>
                <w:bCs/>
                <w:color w:val="auto"/>
                <w:kern w:val="0"/>
                <w:sz w:val="24"/>
                <w:highlight w:val="none"/>
              </w:rPr>
              <w:t>（1）陆生生态现状</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①土地利用类型</w:t>
            </w:r>
          </w:p>
          <w:p>
            <w:pPr>
              <w:spacing w:line="360" w:lineRule="auto"/>
              <w:ind w:firstLine="480" w:firstLineChars="200"/>
              <w:jc w:val="left"/>
              <w:rPr>
                <w:color w:val="auto"/>
                <w:sz w:val="24"/>
                <w:highlight w:val="none"/>
              </w:rPr>
            </w:pPr>
            <w:r>
              <w:rPr>
                <w:color w:val="auto"/>
                <w:sz w:val="24"/>
                <w:highlight w:val="none"/>
              </w:rPr>
              <w:t>根据</w:t>
            </w:r>
            <w:r>
              <w:rPr>
                <w:rFonts w:hint="eastAsia"/>
                <w:color w:val="auto"/>
                <w:sz w:val="24"/>
                <w:highlight w:val="none"/>
              </w:rPr>
              <w:t>本</w:t>
            </w:r>
            <w:r>
              <w:rPr>
                <w:color w:val="auto"/>
                <w:sz w:val="24"/>
                <w:highlight w:val="none"/>
              </w:rPr>
              <w:t>项目初步设计</w:t>
            </w:r>
            <w:r>
              <w:rPr>
                <w:rFonts w:hint="eastAsia"/>
                <w:color w:val="auto"/>
                <w:sz w:val="24"/>
                <w:highlight w:val="none"/>
              </w:rPr>
              <w:t>报告</w:t>
            </w:r>
            <w:r>
              <w:rPr>
                <w:color w:val="auto"/>
                <w:sz w:val="24"/>
                <w:highlight w:val="none"/>
              </w:rPr>
              <w:t>可知，项目总占地面积共计</w:t>
            </w:r>
            <w:r>
              <w:rPr>
                <w:rFonts w:hint="eastAsia"/>
                <w:color w:val="auto"/>
                <w:sz w:val="24"/>
                <w:szCs w:val="20"/>
                <w:highlight w:val="none"/>
              </w:rPr>
              <w:t>3.8公顷（57亩），其中</w:t>
            </w:r>
            <w:r>
              <w:rPr>
                <w:color w:val="auto"/>
                <w:sz w:val="24"/>
                <w:szCs w:val="20"/>
                <w:highlight w:val="none"/>
              </w:rPr>
              <w:t>永久占地面积约</w:t>
            </w:r>
            <w:r>
              <w:rPr>
                <w:rFonts w:hint="eastAsia"/>
                <w:color w:val="auto"/>
                <w:sz w:val="24"/>
                <w:szCs w:val="20"/>
                <w:highlight w:val="none"/>
              </w:rPr>
              <w:t>2.8公顷（42亩），</w:t>
            </w:r>
            <w:r>
              <w:rPr>
                <w:color w:val="auto"/>
                <w:sz w:val="24"/>
                <w:highlight w:val="none"/>
              </w:rPr>
              <w:t>占地类型为</w:t>
            </w:r>
            <w:r>
              <w:rPr>
                <w:rFonts w:hint="eastAsia"/>
                <w:color w:val="auto"/>
                <w:sz w:val="24"/>
                <w:highlight w:val="none"/>
                <w:lang w:val="en-US" w:eastAsia="zh-CN"/>
              </w:rPr>
              <w:t>其他</w:t>
            </w:r>
            <w:r>
              <w:rPr>
                <w:rFonts w:hint="eastAsia"/>
                <w:color w:val="auto"/>
                <w:sz w:val="24"/>
                <w:highlight w:val="none"/>
              </w:rPr>
              <w:t>草地</w:t>
            </w:r>
            <w:r>
              <w:rPr>
                <w:color w:val="auto"/>
                <w:sz w:val="24"/>
                <w:highlight w:val="none"/>
              </w:rPr>
              <w:t>；</w:t>
            </w:r>
            <w:r>
              <w:rPr>
                <w:rFonts w:hint="eastAsia"/>
                <w:color w:val="auto"/>
                <w:sz w:val="24"/>
                <w:highlight w:val="none"/>
              </w:rPr>
              <w:t>临时占地面积约1</w:t>
            </w:r>
            <w:r>
              <w:rPr>
                <w:rFonts w:hint="eastAsia"/>
                <w:color w:val="auto"/>
                <w:sz w:val="24"/>
                <w:szCs w:val="20"/>
                <w:highlight w:val="none"/>
              </w:rPr>
              <w:t>公顷（15亩）</w:t>
            </w:r>
            <w:r>
              <w:rPr>
                <w:color w:val="auto"/>
                <w:sz w:val="24"/>
                <w:highlight w:val="none"/>
              </w:rPr>
              <w:t>，占地类型为</w:t>
            </w:r>
            <w:r>
              <w:rPr>
                <w:rFonts w:hint="eastAsia"/>
                <w:color w:val="auto"/>
                <w:sz w:val="24"/>
                <w:highlight w:val="none"/>
                <w:lang w:val="en-US" w:eastAsia="zh-CN"/>
              </w:rPr>
              <w:t>其他</w:t>
            </w:r>
            <w:r>
              <w:rPr>
                <w:rFonts w:hint="eastAsia"/>
                <w:color w:val="auto"/>
                <w:sz w:val="24"/>
                <w:highlight w:val="none"/>
              </w:rPr>
              <w:t>草地</w:t>
            </w:r>
            <w:r>
              <w:rPr>
                <w:color w:val="auto"/>
                <w:sz w:val="24"/>
                <w:highlight w:val="none"/>
              </w:rPr>
              <w:t>。</w:t>
            </w:r>
          </w:p>
          <w:p>
            <w:pPr>
              <w:spacing w:line="360" w:lineRule="auto"/>
              <w:ind w:firstLine="480" w:firstLineChars="200"/>
              <w:jc w:val="left"/>
              <w:rPr>
                <w:color w:val="auto"/>
                <w:sz w:val="24"/>
                <w:highlight w:val="none"/>
              </w:rPr>
            </w:pPr>
            <w:r>
              <w:rPr>
                <w:rFonts w:hint="eastAsia"/>
                <w:color w:val="auto"/>
                <w:sz w:val="24"/>
                <w:highlight w:val="none"/>
              </w:rPr>
              <w:t>本项目土地利用现状见</w:t>
            </w:r>
            <w:r>
              <w:rPr>
                <w:rFonts w:hint="eastAsia"/>
                <w:b w:val="0"/>
                <w:bCs w:val="0"/>
                <w:color w:val="auto"/>
                <w:sz w:val="24"/>
                <w:highlight w:val="none"/>
              </w:rPr>
              <w:t>附图</w:t>
            </w:r>
            <w:r>
              <w:rPr>
                <w:rFonts w:hint="eastAsia"/>
                <w:b w:val="0"/>
                <w:bCs w:val="0"/>
                <w:color w:val="auto"/>
                <w:sz w:val="24"/>
                <w:highlight w:val="none"/>
                <w:lang w:val="en-US" w:eastAsia="zh-CN"/>
              </w:rPr>
              <w:t>10</w:t>
            </w:r>
            <w:r>
              <w:rPr>
                <w:rFonts w:hint="eastAsia"/>
                <w:color w:val="auto"/>
                <w:sz w:val="24"/>
                <w:highlight w:val="none"/>
              </w:rPr>
              <w:t>。</w:t>
            </w:r>
          </w:p>
          <w:p>
            <w:pPr>
              <w:spacing w:line="360" w:lineRule="auto"/>
              <w:ind w:firstLine="480" w:firstLineChars="200"/>
              <w:jc w:val="left"/>
              <w:rPr>
                <w:color w:val="auto"/>
                <w:sz w:val="24"/>
                <w:highlight w:val="none"/>
              </w:rPr>
            </w:pPr>
            <w:r>
              <w:rPr>
                <w:rFonts w:hint="eastAsia"/>
                <w:color w:val="auto"/>
                <w:sz w:val="24"/>
                <w:highlight w:val="none"/>
              </w:rPr>
              <w:t>②土壤类型</w:t>
            </w:r>
          </w:p>
          <w:p>
            <w:pPr>
              <w:spacing w:line="360" w:lineRule="auto"/>
              <w:ind w:firstLine="480" w:firstLineChars="200"/>
              <w:jc w:val="left"/>
              <w:rPr>
                <w:color w:val="auto"/>
                <w:sz w:val="24"/>
                <w:highlight w:val="none"/>
              </w:rPr>
            </w:pPr>
            <w:r>
              <w:rPr>
                <w:rFonts w:hint="eastAsia"/>
                <w:color w:val="auto"/>
                <w:sz w:val="24"/>
                <w:highlight w:val="none"/>
              </w:rPr>
              <w:t>区域土壤类型主要有黄土、灰钙土、黑垆土。灰钙土是在干旱气候和荒漠草原植被下形成的地带性土壤，腐殖质积累很低，有机质含量不足1%，钙化强烈，土壤中碳酸钙以斑块状沉积形成钙积层。</w:t>
            </w:r>
          </w:p>
          <w:p>
            <w:pPr>
              <w:spacing w:line="360" w:lineRule="auto"/>
              <w:ind w:firstLine="480" w:firstLineChars="200"/>
              <w:jc w:val="left"/>
              <w:rPr>
                <w:color w:val="auto"/>
                <w:sz w:val="24"/>
                <w:highlight w:val="none"/>
              </w:rPr>
            </w:pPr>
            <w:r>
              <w:rPr>
                <w:rFonts w:hint="eastAsia"/>
                <w:color w:val="auto"/>
                <w:kern w:val="0"/>
                <w:sz w:val="24"/>
                <w:highlight w:val="none"/>
              </w:rPr>
              <w:t>③土壤侵蚀现状</w:t>
            </w:r>
          </w:p>
          <w:p>
            <w:pPr>
              <w:spacing w:line="360" w:lineRule="auto"/>
              <w:ind w:firstLine="480" w:firstLineChars="200"/>
              <w:jc w:val="left"/>
              <w:rPr>
                <w:color w:val="auto"/>
                <w:sz w:val="24"/>
                <w:highlight w:val="none"/>
              </w:rPr>
            </w:pPr>
            <w:r>
              <w:rPr>
                <w:rFonts w:hint="eastAsia"/>
                <w:color w:val="auto"/>
                <w:sz w:val="24"/>
                <w:highlight w:val="none"/>
              </w:rPr>
              <w:t>根据《宁夏回族自治区土壤侵蚀图》和《土壤侵蚀分类分级标准》（SL190-96），项目区土壤侵蚀以中度风力侵蚀为主，原地貌土壤侵蚀模数为3000t/km</w:t>
            </w:r>
            <w:r>
              <w:rPr>
                <w:rFonts w:hint="eastAsia"/>
                <w:color w:val="auto"/>
                <w:sz w:val="24"/>
                <w:highlight w:val="none"/>
                <w:vertAlign w:val="superscript"/>
              </w:rPr>
              <w:t>2</w:t>
            </w:r>
            <w:r>
              <w:rPr>
                <w:rFonts w:hint="eastAsia"/>
                <w:color w:val="auto"/>
                <w:kern w:val="0"/>
                <w:sz w:val="24"/>
                <w:highlight w:val="none"/>
              </w:rPr>
              <w:t>·a</w:t>
            </w:r>
            <w:r>
              <w:rPr>
                <w:rFonts w:hint="eastAsia"/>
                <w:color w:val="auto"/>
                <w:sz w:val="24"/>
                <w:highlight w:val="none"/>
              </w:rPr>
              <w:t>，土壤容许流失量为1000t/km</w:t>
            </w:r>
            <w:r>
              <w:rPr>
                <w:rFonts w:hint="eastAsia"/>
                <w:color w:val="auto"/>
                <w:sz w:val="24"/>
                <w:highlight w:val="none"/>
                <w:vertAlign w:val="superscript"/>
              </w:rPr>
              <w:t>2</w:t>
            </w:r>
            <w:r>
              <w:rPr>
                <w:rFonts w:hint="eastAsia"/>
                <w:color w:val="auto"/>
                <w:kern w:val="0"/>
                <w:sz w:val="24"/>
                <w:highlight w:val="none"/>
              </w:rPr>
              <w:t>·a</w:t>
            </w:r>
            <w:r>
              <w:rPr>
                <w:rFonts w:hint="eastAsia"/>
                <w:color w:val="auto"/>
                <w:sz w:val="24"/>
                <w:highlight w:val="none"/>
              </w:rPr>
              <w:t>。</w:t>
            </w:r>
          </w:p>
          <w:p>
            <w:pPr>
              <w:spacing w:line="360" w:lineRule="auto"/>
              <w:ind w:firstLine="480" w:firstLineChars="200"/>
              <w:jc w:val="left"/>
              <w:rPr>
                <w:color w:val="auto"/>
                <w:sz w:val="24"/>
                <w:highlight w:val="none"/>
              </w:rPr>
            </w:pPr>
            <w:r>
              <w:rPr>
                <w:rFonts w:hint="eastAsia"/>
                <w:color w:val="auto"/>
                <w:sz w:val="24"/>
                <w:highlight w:val="none"/>
              </w:rPr>
              <w:t>根据《中华人民共和国水利部公告（2006年第2号）（关于划分国家级水土流失重点防治区的公告）以及《宁夏回族自治区人民政府关于划分水土流失重点防治区和限期退耕陡坡耕地的公告》（宁夏回族自治区人民政府，1999.5），项目区所在地不属国家级水土流失重点防治区，属省级水土流失重点治理区。</w:t>
            </w:r>
          </w:p>
          <w:p>
            <w:pPr>
              <w:spacing w:line="360" w:lineRule="auto"/>
              <w:ind w:firstLine="480" w:firstLineChars="200"/>
              <w:jc w:val="left"/>
              <w:rPr>
                <w:color w:val="auto"/>
                <w:sz w:val="24"/>
                <w:highlight w:val="none"/>
              </w:rPr>
            </w:pPr>
            <w:r>
              <w:rPr>
                <w:rFonts w:hint="eastAsia"/>
                <w:color w:val="auto"/>
                <w:sz w:val="24"/>
                <w:highlight w:val="none"/>
              </w:rPr>
              <w:t>④动植物类型</w:t>
            </w:r>
          </w:p>
          <w:p>
            <w:pPr>
              <w:spacing w:line="360" w:lineRule="auto"/>
              <w:ind w:firstLine="480" w:firstLineChars="200"/>
              <w:jc w:val="left"/>
              <w:rPr>
                <w:color w:val="auto"/>
                <w:sz w:val="24"/>
                <w:highlight w:val="none"/>
              </w:rPr>
            </w:pPr>
            <w:r>
              <w:rPr>
                <w:rFonts w:hint="eastAsia"/>
                <w:color w:val="auto"/>
                <w:sz w:val="24"/>
                <w:highlight w:val="none"/>
              </w:rPr>
              <w:t>项目所在位置属吴忠市同心县河西镇，人类活动较集中区，区域内动物多为当地常见种，主要有杂食性的鸟类和小型啮齿类野生动物鼠类、蜥蜴类、蛙、蟾蜍等，无大型野生动物，且在现场踏勘及走访过程中未见珍稀、濒危及国家级和自治区级保护动物的栖息地及繁殖地。</w:t>
            </w:r>
          </w:p>
          <w:p>
            <w:pPr>
              <w:spacing w:line="360" w:lineRule="auto"/>
              <w:ind w:firstLine="480" w:firstLineChars="200"/>
              <w:jc w:val="left"/>
              <w:rPr>
                <w:rFonts w:hint="eastAsia"/>
                <w:color w:val="auto"/>
                <w:sz w:val="24"/>
                <w:highlight w:val="none"/>
              </w:rPr>
            </w:pPr>
            <w:r>
              <w:rPr>
                <w:rFonts w:hint="eastAsia"/>
                <w:color w:val="auto"/>
                <w:sz w:val="24"/>
                <w:highlight w:val="none"/>
              </w:rPr>
              <w:t>区域植被主要为</w:t>
            </w:r>
            <w:r>
              <w:rPr>
                <w:rFonts w:hint="eastAsia"/>
                <w:color w:val="auto"/>
                <w:sz w:val="24"/>
                <w:highlight w:val="none"/>
                <w:lang w:val="en-US" w:eastAsia="zh-CN"/>
              </w:rPr>
              <w:t>猫头刺等野生植物，白杨</w:t>
            </w:r>
            <w:r>
              <w:rPr>
                <w:rFonts w:hint="eastAsia"/>
                <w:color w:val="auto"/>
                <w:sz w:val="24"/>
                <w:highlight w:val="none"/>
              </w:rPr>
              <w:t>等人工植被</w:t>
            </w:r>
            <w:r>
              <w:rPr>
                <w:rFonts w:hint="eastAsia"/>
                <w:color w:val="auto"/>
                <w:sz w:val="24"/>
                <w:highlight w:val="none"/>
                <w:lang w:eastAsia="zh-CN"/>
              </w:rPr>
              <w:t>，</w:t>
            </w:r>
            <w:r>
              <w:rPr>
                <w:rFonts w:hint="eastAsia"/>
                <w:color w:val="auto"/>
                <w:sz w:val="24"/>
                <w:highlight w:val="none"/>
                <w:lang w:val="en-US" w:eastAsia="zh-CN"/>
              </w:rPr>
              <w:t>以</w:t>
            </w:r>
            <w:r>
              <w:rPr>
                <w:rFonts w:hint="eastAsia"/>
                <w:color w:val="auto"/>
                <w:sz w:val="24"/>
                <w:highlight w:val="none"/>
              </w:rPr>
              <w:t>及农作物，未见珍稀濒危或国家、自治区级保护植物物种。</w:t>
            </w:r>
          </w:p>
          <w:p>
            <w:pPr>
              <w:spacing w:line="360" w:lineRule="auto"/>
              <w:ind w:firstLine="480" w:firstLineChars="200"/>
              <w:jc w:val="left"/>
              <w:rPr>
                <w:rFonts w:hint="eastAsia"/>
                <w:color w:val="auto"/>
                <w:sz w:val="24"/>
                <w:highlight w:val="none"/>
              </w:rPr>
            </w:pPr>
            <w:r>
              <w:rPr>
                <w:rFonts w:hint="eastAsia"/>
                <w:color w:val="auto"/>
                <w:sz w:val="24"/>
                <w:highlight w:val="none"/>
              </w:rPr>
              <w:t>本项目</w:t>
            </w:r>
            <w:r>
              <w:rPr>
                <w:rFonts w:hint="eastAsia"/>
                <w:color w:val="auto"/>
                <w:sz w:val="24"/>
                <w:highlight w:val="none"/>
                <w:lang w:val="en-US" w:eastAsia="zh-CN"/>
              </w:rPr>
              <w:t>植被类型图</w:t>
            </w:r>
            <w:r>
              <w:rPr>
                <w:rFonts w:hint="eastAsia"/>
                <w:color w:val="auto"/>
                <w:sz w:val="24"/>
                <w:highlight w:val="none"/>
              </w:rPr>
              <w:t>见附图</w:t>
            </w:r>
            <w:r>
              <w:rPr>
                <w:rFonts w:hint="eastAsia"/>
                <w:color w:val="auto"/>
                <w:sz w:val="24"/>
                <w:highlight w:val="none"/>
                <w:lang w:val="en-US" w:eastAsia="zh-CN"/>
              </w:rPr>
              <w:t>11</w:t>
            </w:r>
            <w:r>
              <w:rPr>
                <w:rFonts w:hint="eastAsia"/>
                <w:color w:val="auto"/>
                <w:sz w:val="24"/>
                <w:highlight w:val="none"/>
              </w:rPr>
              <w:t>。</w:t>
            </w:r>
          </w:p>
          <w:p>
            <w:pPr>
              <w:spacing w:line="360" w:lineRule="auto"/>
              <w:ind w:firstLine="482" w:firstLineChars="200"/>
              <w:jc w:val="left"/>
              <w:rPr>
                <w:color w:val="auto"/>
                <w:kern w:val="0"/>
                <w:sz w:val="24"/>
                <w:highlight w:val="none"/>
              </w:rPr>
            </w:pPr>
            <w:r>
              <w:rPr>
                <w:rFonts w:hint="eastAsia"/>
                <w:b/>
                <w:bCs/>
                <w:color w:val="auto"/>
                <w:sz w:val="24"/>
                <w:highlight w:val="none"/>
              </w:rPr>
              <w:t>（2）</w:t>
            </w:r>
            <w:r>
              <w:rPr>
                <w:rFonts w:hint="eastAsia"/>
                <w:b/>
                <w:bCs/>
                <w:color w:val="auto"/>
                <w:kern w:val="0"/>
                <w:sz w:val="24"/>
                <w:highlight w:val="none"/>
              </w:rPr>
              <w:t>水生生态现状</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 xml:space="preserve">①流域概况 </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清水河是黄河的一级支流，发源于六盘山东麓固原市原州区开城镇境内的黑刺沟脑，向北流经原州区、海原县、同心县、中宁县等县，在中宁的泉眼山西侧注入黄河，长320公里，流域面积14481平方公里。 </w:t>
            </w:r>
          </w:p>
          <w:p>
            <w:pPr>
              <w:adjustRightInd w:val="0"/>
              <w:snapToGrid w:val="0"/>
              <w:spacing w:line="360" w:lineRule="auto"/>
              <w:ind w:firstLine="480" w:firstLineChars="200"/>
              <w:jc w:val="left"/>
              <w:rPr>
                <w:rFonts w:hint="eastAsia"/>
                <w:color w:val="auto"/>
                <w:kern w:val="0"/>
                <w:sz w:val="24"/>
                <w:highlight w:val="none"/>
              </w:rPr>
            </w:pPr>
            <w:r>
              <w:rPr>
                <w:rFonts w:hint="eastAsia"/>
                <w:color w:val="auto"/>
                <w:kern w:val="0"/>
                <w:sz w:val="24"/>
                <w:highlight w:val="none"/>
              </w:rPr>
              <w:t>清水河是宁夏境内流入黄河的流域面积最大、最长的支流。受到温带大陆性气候的影响，清水河表现出典型的干旱半干旱河流的特征。干支流大部分流经含盐量高的第三系红层或石膏地层，导致河水矿化度极高，并且呈现出愈到下游，河水愈苦涩的水况。既不能饮用，又难以灌溉的苦涩之河。</w:t>
            </w:r>
          </w:p>
          <w:p>
            <w:pPr>
              <w:adjustRightInd w:val="0"/>
              <w:snapToGrid w:val="0"/>
              <w:spacing w:line="360" w:lineRule="auto"/>
              <w:ind w:firstLine="480" w:firstLineChars="200"/>
              <w:jc w:val="left"/>
              <w:rPr>
                <w:rFonts w:hint="eastAsia"/>
                <w:color w:val="auto"/>
                <w:kern w:val="0"/>
                <w:sz w:val="24"/>
                <w:highlight w:val="none"/>
                <w:lang w:val="en-US" w:eastAsia="zh-CN"/>
              </w:rPr>
            </w:pPr>
            <w:r>
              <w:rPr>
                <w:rFonts w:hint="eastAsia" w:ascii="Times New Roman" w:eastAsia="宋体"/>
                <w:color w:val="auto"/>
                <w:kern w:val="0"/>
                <w:sz w:val="24"/>
                <w:highlight w:val="none"/>
                <w:lang w:val="en-US" w:eastAsia="zh-CN"/>
              </w:rPr>
              <w:t>拟建的苦水沟大型淤地坝位于清水河右岸一级支沟三道沟。坝址以上流域面积27.5km</w:t>
            </w:r>
            <w:r>
              <w:rPr>
                <w:rFonts w:hint="eastAsia" w:ascii="Times New Roman" w:eastAsia="宋体"/>
                <w:color w:val="auto"/>
                <w:kern w:val="0"/>
                <w:sz w:val="24"/>
                <w:highlight w:val="none"/>
                <w:vertAlign w:val="superscript"/>
                <w:lang w:val="en-US" w:eastAsia="zh-CN"/>
              </w:rPr>
              <w:t>2</w:t>
            </w:r>
            <w:r>
              <w:rPr>
                <w:rFonts w:hint="eastAsia" w:ascii="Times New Roman" w:eastAsia="宋体"/>
                <w:color w:val="auto"/>
                <w:kern w:val="0"/>
                <w:sz w:val="24"/>
                <w:highlight w:val="none"/>
                <w:lang w:val="en-US" w:eastAsia="zh-CN"/>
              </w:rPr>
              <w:t>。淤地坝及坝址位置见图2-1。</w:t>
            </w:r>
            <w:r>
              <w:rPr>
                <w:rFonts w:hint="eastAsia"/>
                <w:color w:val="auto"/>
                <w:sz w:val="24"/>
                <w:highlight w:val="none"/>
              </w:rPr>
              <w:t>本项目</w:t>
            </w:r>
            <w:r>
              <w:rPr>
                <w:rFonts w:hint="eastAsia"/>
                <w:color w:val="auto"/>
                <w:sz w:val="24"/>
                <w:highlight w:val="none"/>
                <w:lang w:eastAsia="zh-CN"/>
              </w:rPr>
              <w:t>水系图</w:t>
            </w:r>
            <w:r>
              <w:rPr>
                <w:rFonts w:hint="eastAsia"/>
                <w:color w:val="auto"/>
                <w:sz w:val="24"/>
                <w:highlight w:val="none"/>
              </w:rPr>
              <w:t>见</w:t>
            </w:r>
            <w:r>
              <w:rPr>
                <w:rFonts w:hint="eastAsia"/>
                <w:b w:val="0"/>
                <w:bCs w:val="0"/>
                <w:color w:val="auto"/>
                <w:sz w:val="24"/>
                <w:highlight w:val="none"/>
              </w:rPr>
              <w:t>附图</w:t>
            </w:r>
            <w:r>
              <w:rPr>
                <w:rFonts w:hint="eastAsia"/>
                <w:b w:val="0"/>
                <w:bCs w:val="0"/>
                <w:color w:val="auto"/>
                <w:sz w:val="24"/>
                <w:highlight w:val="none"/>
                <w:lang w:val="en-US" w:eastAsia="zh-CN"/>
              </w:rPr>
              <w:t>12</w:t>
            </w:r>
            <w:r>
              <w:rPr>
                <w:rFonts w:hint="eastAsia"/>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color w:val="auto"/>
                <w:kern w:val="0"/>
                <w:sz w:val="24"/>
                <w:highlight w:val="none"/>
                <w:lang w:val="en-US" w:eastAsia="zh-CN"/>
              </w:rPr>
            </w:pPr>
            <w:r>
              <w:rPr>
                <w:rFonts w:hint="eastAsia"/>
                <w:color w:val="auto"/>
                <w:kern w:val="0"/>
                <w:sz w:val="24"/>
                <w:highlight w:val="none"/>
                <w:lang w:val="en-US" w:eastAsia="zh-CN"/>
              </w:rPr>
              <w:pict>
                <v:shape id="_x0000_i1025" o:spt="75" alt="图片1" type="#_x0000_t75" style="height:179.1pt;width:406.2pt;" filled="f" o:preferrelative="t" stroked="f" coordsize="21600,21600">
                  <v:path/>
                  <v:fill on="f" focussize="0,0"/>
                  <v:stroke on="f"/>
                  <v:imagedata r:id="rId9" o:title="图片1"/>
                  <o:lock v:ext="edit" aspectratio="t"/>
                  <w10:wrap type="none"/>
                  <w10:anchorlock/>
                </v:shape>
              </w:pic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eastAsia="黑体"/>
                <w:b/>
                <w:bCs/>
                <w:color w:val="auto"/>
                <w:kern w:val="0"/>
                <w:sz w:val="24"/>
                <w:highlight w:val="none"/>
              </w:rPr>
            </w:pPr>
            <w:r>
              <w:rPr>
                <w:rFonts w:hint="eastAsia" w:eastAsia="黑体"/>
                <w:b/>
                <w:bCs/>
                <w:color w:val="auto"/>
                <w:kern w:val="0"/>
                <w:sz w:val="24"/>
                <w:highlight w:val="none"/>
                <w:lang w:val="en-US" w:eastAsia="zh-CN"/>
              </w:rPr>
              <w:t>图3-1  苦水沟大型淤地坝流域位置图</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②径流 </w:t>
            </w:r>
          </w:p>
          <w:p>
            <w:pPr>
              <w:adjustRightInd w:val="0"/>
              <w:snapToGrid w:val="0"/>
              <w:spacing w:line="360" w:lineRule="auto"/>
              <w:ind w:firstLine="480" w:firstLineChars="200"/>
              <w:jc w:val="left"/>
              <w:rPr>
                <w:rFonts w:hint="eastAsia"/>
                <w:color w:val="auto"/>
                <w:kern w:val="0"/>
                <w:sz w:val="24"/>
                <w:highlight w:val="none"/>
              </w:rPr>
            </w:pPr>
            <w:r>
              <w:rPr>
                <w:rFonts w:hint="eastAsia"/>
                <w:color w:val="auto"/>
                <w:kern w:val="0"/>
                <w:sz w:val="24"/>
                <w:highlight w:val="none"/>
              </w:rPr>
              <w:t>清水河属典型的非季节性山区河流。根据水文站年实测资料，清水河流域多年平均实测径流量2.02亿立方米，多年平均径流深14毫米，平均产水模数为1.4万立方米/平方公里。</w:t>
            </w:r>
          </w:p>
          <w:p>
            <w:pPr>
              <w:widowControl w:val="0"/>
              <w:spacing w:line="360" w:lineRule="auto"/>
              <w:ind w:firstLine="480" w:firstLineChars="200"/>
              <w:jc w:val="both"/>
              <w:rPr>
                <w:rFonts w:hint="eastAsia" w:ascii="Times New Roman" w:hAnsi="Times New Roman" w:eastAsia="宋体" w:cs="Times New Roman"/>
                <w:color w:val="auto"/>
                <w:kern w:val="0"/>
                <w:sz w:val="24"/>
                <w:szCs w:val="24"/>
                <w:highlight w:val="none"/>
                <w:lang w:val="en-US" w:eastAsia="zh-CN" w:bidi="ar-SA"/>
              </w:rPr>
            </w:pPr>
            <w:r>
              <w:rPr>
                <w:rFonts w:hint="eastAsia" w:ascii="Times New Roman" w:hAnsi="Times New Roman" w:eastAsia="宋体" w:cs="Times New Roman"/>
                <w:color w:val="auto"/>
                <w:kern w:val="0"/>
                <w:sz w:val="24"/>
                <w:szCs w:val="24"/>
                <w:highlight w:val="none"/>
                <w:lang w:val="en-US" w:eastAsia="zh-CN" w:bidi="ar-SA"/>
              </w:rPr>
              <w:t>根据《宁夏水文手册（2020版）》径流深等值线图上查得苦水沟水库流域多年平均径流深为5.8mm，Cv=0.7，Cs=2Cv，流域面积为27.5km</w:t>
            </w:r>
            <w:r>
              <w:rPr>
                <w:rFonts w:hint="eastAsia" w:ascii="Times New Roman" w:hAnsi="Times New Roman" w:eastAsia="宋体" w:cs="Times New Roman"/>
                <w:color w:val="auto"/>
                <w:kern w:val="0"/>
                <w:sz w:val="24"/>
                <w:szCs w:val="24"/>
                <w:highlight w:val="none"/>
                <w:vertAlign w:val="superscript"/>
                <w:lang w:val="en-US" w:eastAsia="zh-CN" w:bidi="ar-SA"/>
              </w:rPr>
              <w:t>2</w:t>
            </w:r>
            <w:r>
              <w:rPr>
                <w:rFonts w:hint="eastAsia" w:ascii="Times New Roman" w:hAnsi="Times New Roman" w:eastAsia="宋体" w:cs="Times New Roman"/>
                <w:color w:val="auto"/>
                <w:kern w:val="0"/>
                <w:sz w:val="24"/>
                <w:szCs w:val="24"/>
                <w:highlight w:val="none"/>
                <w:lang w:val="en-US" w:eastAsia="zh-CN" w:bidi="ar-SA"/>
              </w:rPr>
              <w:t>，多年平均径流量为16.0万m</w:t>
            </w:r>
            <w:r>
              <w:rPr>
                <w:rFonts w:hint="eastAsia" w:ascii="Times New Roman" w:hAnsi="Times New Roman" w:eastAsia="宋体" w:cs="Times New Roman"/>
                <w:color w:val="auto"/>
                <w:kern w:val="0"/>
                <w:sz w:val="24"/>
                <w:szCs w:val="24"/>
                <w:highlight w:val="none"/>
                <w:vertAlign w:val="superscript"/>
                <w:lang w:val="en-US" w:eastAsia="zh-CN" w:bidi="ar-SA"/>
              </w:rPr>
              <w:t>3</w:t>
            </w:r>
            <w:r>
              <w:rPr>
                <w:rFonts w:hint="eastAsia" w:ascii="Times New Roman" w:hAnsi="Times New Roman" w:eastAsia="宋体" w:cs="Times New Roman"/>
                <w:color w:val="auto"/>
                <w:kern w:val="0"/>
                <w:sz w:val="24"/>
                <w:szCs w:val="24"/>
                <w:highlight w:val="none"/>
                <w:lang w:val="en-US" w:eastAsia="zh-CN" w:bidi="ar-SA"/>
              </w:rPr>
              <w:t>。50%、75%、85%、95%年径流量分别为14.0万m</w:t>
            </w:r>
            <w:r>
              <w:rPr>
                <w:rFonts w:hint="eastAsia" w:ascii="Times New Roman" w:hAnsi="Times New Roman" w:eastAsia="宋体" w:cs="Times New Roman"/>
                <w:color w:val="auto"/>
                <w:kern w:val="0"/>
                <w:sz w:val="24"/>
                <w:szCs w:val="24"/>
                <w:highlight w:val="none"/>
                <w:vertAlign w:val="superscript"/>
                <w:lang w:val="en-US" w:eastAsia="zh-CN" w:bidi="ar-SA"/>
              </w:rPr>
              <w:t>3</w:t>
            </w:r>
            <w:r>
              <w:rPr>
                <w:rFonts w:hint="eastAsia" w:ascii="Times New Roman" w:hAnsi="Times New Roman" w:eastAsia="宋体" w:cs="Times New Roman"/>
                <w:color w:val="auto"/>
                <w:kern w:val="0"/>
                <w:sz w:val="24"/>
                <w:szCs w:val="24"/>
                <w:highlight w:val="none"/>
                <w:lang w:val="en-US" w:eastAsia="zh-CN" w:bidi="ar-SA"/>
              </w:rPr>
              <w:t>、8.0万m</w:t>
            </w:r>
            <w:r>
              <w:rPr>
                <w:rFonts w:hint="eastAsia" w:ascii="Times New Roman" w:hAnsi="Times New Roman" w:eastAsia="宋体" w:cs="Times New Roman"/>
                <w:color w:val="auto"/>
                <w:kern w:val="0"/>
                <w:sz w:val="24"/>
                <w:szCs w:val="24"/>
                <w:highlight w:val="none"/>
                <w:vertAlign w:val="superscript"/>
                <w:lang w:val="en-US" w:eastAsia="zh-CN" w:bidi="ar-SA"/>
              </w:rPr>
              <w:t>3</w:t>
            </w:r>
            <w:r>
              <w:rPr>
                <w:rFonts w:hint="eastAsia" w:ascii="Times New Roman" w:hAnsi="Times New Roman" w:eastAsia="宋体" w:cs="Times New Roman"/>
                <w:color w:val="auto"/>
                <w:kern w:val="0"/>
                <w:sz w:val="24"/>
                <w:szCs w:val="24"/>
                <w:highlight w:val="none"/>
                <w:lang w:val="en-US" w:eastAsia="zh-CN" w:bidi="ar-SA"/>
              </w:rPr>
              <w:t>、6.0万m</w:t>
            </w:r>
            <w:r>
              <w:rPr>
                <w:rFonts w:hint="eastAsia" w:ascii="Times New Roman" w:hAnsi="Times New Roman" w:eastAsia="宋体" w:cs="Times New Roman"/>
                <w:color w:val="auto"/>
                <w:kern w:val="0"/>
                <w:sz w:val="24"/>
                <w:szCs w:val="24"/>
                <w:highlight w:val="none"/>
                <w:vertAlign w:val="superscript"/>
                <w:lang w:val="en-US" w:eastAsia="zh-CN" w:bidi="ar-SA"/>
              </w:rPr>
              <w:t>3</w:t>
            </w:r>
            <w:r>
              <w:rPr>
                <w:rFonts w:hint="eastAsia" w:ascii="Times New Roman" w:hAnsi="Times New Roman" w:eastAsia="宋体" w:cs="Times New Roman"/>
                <w:color w:val="auto"/>
                <w:kern w:val="0"/>
                <w:sz w:val="24"/>
                <w:szCs w:val="24"/>
                <w:highlight w:val="none"/>
                <w:lang w:val="en-US" w:eastAsia="zh-CN" w:bidi="ar-SA"/>
              </w:rPr>
              <w:t>、3.0万m</w:t>
            </w:r>
            <w:r>
              <w:rPr>
                <w:rFonts w:hint="eastAsia" w:ascii="Times New Roman" w:hAnsi="Times New Roman" w:eastAsia="宋体" w:cs="Times New Roman"/>
                <w:color w:val="auto"/>
                <w:kern w:val="0"/>
                <w:sz w:val="24"/>
                <w:szCs w:val="24"/>
                <w:highlight w:val="none"/>
                <w:vertAlign w:val="superscript"/>
                <w:lang w:val="en-US" w:eastAsia="zh-CN" w:bidi="ar-SA"/>
              </w:rPr>
              <w:t>3</w:t>
            </w:r>
            <w:r>
              <w:rPr>
                <w:rFonts w:hint="eastAsia" w:ascii="Times New Roman" w:hAnsi="Times New Roman" w:eastAsia="宋体" w:cs="Times New Roman"/>
                <w:color w:val="auto"/>
                <w:kern w:val="0"/>
                <w:sz w:val="24"/>
                <w:szCs w:val="24"/>
                <w:highlight w:val="none"/>
                <w:lang w:val="en-US" w:eastAsia="zh-CN" w:bidi="ar-SA"/>
              </w:rPr>
              <w:t>。多年平均及各保证率年径流量月分配见表2.4-3。</w:t>
            </w:r>
          </w:p>
          <w:p>
            <w:pPr>
              <w:widowControl w:val="0"/>
              <w:spacing w:line="240" w:lineRule="auto"/>
              <w:ind w:left="0" w:leftChars="0" w:firstLine="1484" w:firstLineChars="616"/>
              <w:jc w:val="center"/>
              <w:rPr>
                <w:rFonts w:ascii="宋体" w:hAnsi="宋体" w:eastAsia="宋体" w:cs="Times New Roman"/>
                <w:b/>
                <w:color w:val="auto"/>
                <w:kern w:val="2"/>
                <w:sz w:val="24"/>
                <w:szCs w:val="24"/>
                <w:highlight w:val="none"/>
                <w:lang w:val="en-US" w:eastAsia="zh-CN" w:bidi="ar-SA"/>
              </w:rPr>
            </w:pPr>
            <w:r>
              <w:rPr>
                <w:rFonts w:hint="eastAsia" w:ascii="Times New Roman" w:hAnsi="Times New Roman" w:eastAsia="宋体" w:cs="Times New Roman"/>
                <w:b/>
                <w:color w:val="auto"/>
                <w:kern w:val="0"/>
                <w:sz w:val="24"/>
                <w:szCs w:val="20"/>
                <w:highlight w:val="none"/>
                <w:lang w:val="en-US" w:eastAsia="zh-CN" w:bidi="ar-SA"/>
              </w:rPr>
              <w:t xml:space="preserve">表3-1  苦水沟大型淤地坝逐月径流量表         </w:t>
            </w:r>
            <w:r>
              <w:rPr>
                <w:rFonts w:hint="default" w:ascii="Times New Roman" w:hAnsi="Times New Roman" w:eastAsia="宋体" w:cs="Times New Roman"/>
                <w:b/>
                <w:color w:val="auto"/>
                <w:kern w:val="2"/>
                <w:sz w:val="21"/>
                <w:szCs w:val="21"/>
                <w:highlight w:val="none"/>
                <w:lang w:val="zh-CN" w:eastAsia="zh-CN" w:bidi="ar-SA"/>
              </w:rPr>
              <w:t>单位：万m</w:t>
            </w:r>
            <w:r>
              <w:rPr>
                <w:rFonts w:hint="default" w:ascii="Times New Roman" w:hAnsi="Times New Roman" w:eastAsia="宋体" w:cs="Times New Roman"/>
                <w:b/>
                <w:color w:val="auto"/>
                <w:kern w:val="2"/>
                <w:sz w:val="21"/>
                <w:szCs w:val="21"/>
                <w:highlight w:val="none"/>
                <w:vertAlign w:val="superscript"/>
                <w:lang w:val="zh-CN" w:eastAsia="zh-CN" w:bidi="ar-SA"/>
              </w:rPr>
              <w:t>3</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96"/>
              <w:gridCol w:w="542"/>
              <w:gridCol w:w="542"/>
              <w:gridCol w:w="542"/>
              <w:gridCol w:w="542"/>
              <w:gridCol w:w="570"/>
              <w:gridCol w:w="572"/>
              <w:gridCol w:w="572"/>
              <w:gridCol w:w="572"/>
              <w:gridCol w:w="572"/>
              <w:gridCol w:w="599"/>
              <w:gridCol w:w="591"/>
              <w:gridCol w:w="599"/>
              <w:gridCol w:w="62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月份</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1月</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2月</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3月</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4月</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5月</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6月</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7月</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8月</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9月</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10月</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11月</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12月</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全年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多年平均</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0.90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1.50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3.70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6.00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1.90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14.00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P=50%</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0.94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2.06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3.24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1.11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0.65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8.00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P=75%</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0.08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0.57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1.69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3.04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0.63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6.00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P=90%</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0.32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0.29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0.97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0.21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1.21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3.00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514"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P=95%</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30"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7"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0.90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1.50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3.70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6.00 </w:t>
                  </w:r>
                </w:p>
              </w:tc>
              <w:tc>
                <w:tcPr>
                  <w:tcW w:w="348"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1.90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5"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49"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0.00 </w:t>
                  </w:r>
                </w:p>
              </w:tc>
              <w:tc>
                <w:tcPr>
                  <w:tcW w:w="382" w:type="pct"/>
                  <w:noWrap/>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color w:val="auto"/>
                      <w:spacing w:val="-20"/>
                      <w:sz w:val="21"/>
                      <w:szCs w:val="21"/>
                      <w:highlight w:val="none"/>
                    </w:rPr>
                  </w:pPr>
                  <w:r>
                    <w:rPr>
                      <w:rFonts w:hint="default" w:ascii="Times New Roman" w:hAnsi="Times New Roman" w:eastAsia="宋体" w:cs="Times New Roman"/>
                      <w:color w:val="auto"/>
                      <w:spacing w:val="-20"/>
                      <w:sz w:val="21"/>
                      <w:szCs w:val="21"/>
                      <w:highlight w:val="none"/>
                    </w:rPr>
                    <w:t xml:space="preserve">14.00 </w:t>
                  </w:r>
                </w:p>
              </w:tc>
            </w:tr>
          </w:tbl>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③泥沙 </w:t>
            </w:r>
          </w:p>
          <w:p>
            <w:pPr>
              <w:adjustRightInd w:val="0"/>
              <w:snapToGrid w:val="0"/>
              <w:spacing w:line="360" w:lineRule="auto"/>
              <w:ind w:firstLine="480" w:firstLineChars="200"/>
              <w:jc w:val="left"/>
              <w:rPr>
                <w:rFonts w:hint="eastAsia"/>
                <w:color w:val="auto"/>
                <w:kern w:val="0"/>
                <w:sz w:val="24"/>
                <w:highlight w:val="none"/>
              </w:rPr>
            </w:pPr>
            <w:r>
              <w:rPr>
                <w:rFonts w:hint="eastAsia"/>
                <w:color w:val="auto"/>
                <w:kern w:val="0"/>
                <w:sz w:val="24"/>
                <w:highlight w:val="none"/>
              </w:rPr>
              <w:t>清水河为多泥沙河流，多年平均含沙量216公斤/米，流域平均输沙模数3160吨/公里，最小5.85吨/公里。</w:t>
            </w:r>
          </w:p>
          <w:p>
            <w:pPr>
              <w:widowControl w:val="0"/>
              <w:spacing w:line="360" w:lineRule="auto"/>
              <w:ind w:firstLine="480" w:firstLineChars="200"/>
              <w:jc w:val="both"/>
              <w:rPr>
                <w:color w:val="auto"/>
                <w:highlight w:val="none"/>
              </w:rPr>
            </w:pPr>
            <w:r>
              <w:rPr>
                <w:rFonts w:hint="eastAsia"/>
                <w:color w:val="auto"/>
                <w:sz w:val="24"/>
                <w:szCs w:val="24"/>
                <w:highlight w:val="none"/>
                <w:lang w:val="en-US" w:eastAsia="zh-CN"/>
              </w:rPr>
              <w:t>苦水沟</w:t>
            </w:r>
            <w:r>
              <w:rPr>
                <w:rFonts w:hint="eastAsia"/>
                <w:color w:val="auto"/>
                <w:sz w:val="24"/>
                <w:szCs w:val="24"/>
                <w:highlight w:val="none"/>
              </w:rPr>
              <w:t>流域植被稀少，表层为黄土覆盖，地质松软，山坡为水平梯田，易冲刷，水流侵蚀较大，根据《宁夏水文手册（2020版）》输沙模数分区图上查得苦水沟流域多年平均输沙模数为2100t/km</w:t>
            </w:r>
            <w:r>
              <w:rPr>
                <w:rFonts w:hint="eastAsia"/>
                <w:color w:val="auto"/>
                <w:sz w:val="24"/>
                <w:szCs w:val="24"/>
                <w:highlight w:val="none"/>
                <w:vertAlign w:val="superscript"/>
              </w:rPr>
              <w:t>2</w:t>
            </w:r>
            <w:r>
              <w:rPr>
                <w:rFonts w:hint="eastAsia"/>
                <w:color w:val="auto"/>
                <w:sz w:val="24"/>
                <w:szCs w:val="24"/>
                <w:highlight w:val="none"/>
              </w:rPr>
              <w:t>。</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⑤洪水  </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清水河暴雨洪水年年都发生，洪水多发生在6~9月，其中洪水发生在7~8月的次数可占90%以上，4、10月份也偶然出现较大洪水。洪水一般具有含沙量大、洪水历时长、峰高量大等特点，峰型一般为单峰，复式峰也时有出现。洪水过程一般持续长持续一周。洪水主要来自流域上中游地区，干、支流洪水遭遇时有发生。</w:t>
            </w:r>
          </w:p>
          <w:p>
            <w:pPr>
              <w:adjustRightInd w:val="0"/>
              <w:snapToGrid w:val="0"/>
              <w:spacing w:line="360" w:lineRule="auto"/>
              <w:ind w:firstLine="480" w:firstLineChars="200"/>
              <w:jc w:val="left"/>
              <w:rPr>
                <w:rFonts w:hint="default" w:ascii="Times New Roman" w:hAnsi="Times New Roman" w:cs="Times New Roman"/>
                <w:color w:val="auto"/>
                <w:kern w:val="0"/>
                <w:sz w:val="24"/>
                <w:szCs w:val="24"/>
                <w:highlight w:val="none"/>
                <w:lang w:val="en-US" w:eastAsia="zh-CN"/>
              </w:rPr>
            </w:pPr>
            <w:r>
              <w:rPr>
                <w:rFonts w:hint="eastAsia" w:cs="Times New Roman"/>
                <w:color w:val="auto"/>
                <w:kern w:val="0"/>
                <w:sz w:val="24"/>
                <w:szCs w:val="24"/>
                <w:highlight w:val="none"/>
                <w:lang w:val="en-US" w:eastAsia="zh-CN"/>
              </w:rPr>
              <w:t>⑥</w:t>
            </w:r>
            <w:r>
              <w:rPr>
                <w:rFonts w:hint="default" w:ascii="Times New Roman" w:hAnsi="Times New Roman" w:cs="Times New Roman"/>
                <w:color w:val="auto"/>
                <w:kern w:val="0"/>
                <w:sz w:val="24"/>
                <w:szCs w:val="24"/>
                <w:highlight w:val="none"/>
                <w:lang w:val="en-US" w:eastAsia="zh-CN"/>
              </w:rPr>
              <w:t>水生生物现状</w:t>
            </w:r>
          </w:p>
          <w:p>
            <w:pPr>
              <w:adjustRightInd w:val="0"/>
              <w:snapToGrid w:val="0"/>
              <w:spacing w:line="360" w:lineRule="auto"/>
              <w:ind w:firstLine="480" w:firstLineChars="200"/>
              <w:jc w:val="left"/>
              <w:rPr>
                <w:color w:val="auto"/>
                <w:highlight w:val="none"/>
              </w:rPr>
            </w:pPr>
            <w:r>
              <w:rPr>
                <w:rFonts w:hint="eastAsia"/>
                <w:b w:val="0"/>
                <w:bCs w:val="0"/>
                <w:color w:val="auto"/>
                <w:kern w:val="0"/>
                <w:sz w:val="24"/>
                <w:highlight w:val="none"/>
                <w:lang w:val="en-US" w:eastAsia="zh-CN"/>
              </w:rPr>
              <w:t>本项目涉及的三道沟，</w:t>
            </w:r>
            <w:r>
              <w:rPr>
                <w:rFonts w:hint="eastAsia"/>
                <w:color w:val="auto"/>
                <w:sz w:val="24"/>
                <w:highlight w:val="none"/>
              </w:rPr>
              <w:t>属季节性河流</w:t>
            </w:r>
            <w:r>
              <w:rPr>
                <w:rFonts w:hint="eastAsia"/>
                <w:b w:val="0"/>
                <w:bCs w:val="0"/>
                <w:color w:val="auto"/>
                <w:kern w:val="0"/>
                <w:sz w:val="24"/>
                <w:highlight w:val="none"/>
                <w:lang w:val="en-US" w:eastAsia="zh-CN"/>
              </w:rPr>
              <w:t>，</w:t>
            </w:r>
            <w:r>
              <w:rPr>
                <w:rFonts w:hint="eastAsia"/>
                <w:b w:val="0"/>
                <w:bCs w:val="0"/>
                <w:color w:val="auto"/>
                <w:sz w:val="24"/>
                <w:highlight w:val="none"/>
                <w:lang w:val="en-US" w:eastAsia="zh-CN"/>
              </w:rPr>
              <w:t>汛期</w:t>
            </w:r>
            <w:r>
              <w:rPr>
                <w:rFonts w:hint="eastAsia"/>
                <w:b w:val="0"/>
                <w:bCs w:val="0"/>
                <w:color w:val="auto"/>
                <w:kern w:val="0"/>
                <w:sz w:val="24"/>
                <w:highlight w:val="none"/>
                <w:lang w:val="en-US" w:eastAsia="zh-CN"/>
              </w:rPr>
              <w:t>有水时，主要有藻类等水生植物和蛙类等两栖动物。</w:t>
            </w:r>
          </w:p>
          <w:p>
            <w:pPr>
              <w:adjustRightInd w:val="0"/>
              <w:snapToGrid w:val="0"/>
              <w:spacing w:line="360" w:lineRule="auto"/>
              <w:ind w:firstLine="482" w:firstLineChars="200"/>
              <w:jc w:val="left"/>
              <w:rPr>
                <w:b/>
                <w:bCs/>
                <w:color w:val="auto"/>
                <w:kern w:val="0"/>
                <w:sz w:val="24"/>
                <w:highlight w:val="none"/>
              </w:rPr>
            </w:pPr>
            <w:r>
              <w:rPr>
                <w:rFonts w:hint="eastAsia"/>
                <w:b/>
                <w:bCs/>
                <w:color w:val="auto"/>
                <w:kern w:val="0"/>
                <w:sz w:val="24"/>
                <w:highlight w:val="none"/>
              </w:rPr>
              <w:t>4</w:t>
            </w:r>
            <w:r>
              <w:rPr>
                <w:b/>
                <w:bCs/>
                <w:color w:val="auto"/>
                <w:kern w:val="0"/>
                <w:sz w:val="24"/>
                <w:highlight w:val="none"/>
              </w:rPr>
              <w:t>、环境质量现状</w:t>
            </w:r>
          </w:p>
          <w:p>
            <w:pPr>
              <w:spacing w:line="360" w:lineRule="auto"/>
              <w:ind w:firstLine="482" w:firstLineChars="200"/>
              <w:rPr>
                <w:b/>
                <w:color w:val="auto"/>
                <w:sz w:val="24"/>
                <w:highlight w:val="none"/>
              </w:rPr>
            </w:pPr>
            <w:r>
              <w:rPr>
                <w:b/>
                <w:color w:val="auto"/>
                <w:sz w:val="24"/>
                <w:highlight w:val="none"/>
              </w:rPr>
              <w:t>（1）环境</w:t>
            </w:r>
            <w:r>
              <w:rPr>
                <w:rFonts w:hint="eastAsia"/>
                <w:b/>
                <w:color w:val="auto"/>
                <w:sz w:val="24"/>
                <w:highlight w:val="none"/>
              </w:rPr>
              <w:t>空气</w:t>
            </w:r>
          </w:p>
          <w:p>
            <w:pPr>
              <w:spacing w:line="360" w:lineRule="auto"/>
              <w:ind w:firstLine="480" w:firstLineChars="200"/>
              <w:jc w:val="left"/>
              <w:rPr>
                <w:color w:val="auto"/>
                <w:sz w:val="24"/>
                <w:highlight w:val="none"/>
              </w:rPr>
            </w:pPr>
            <w:r>
              <w:rPr>
                <w:rFonts w:hint="eastAsia"/>
                <w:color w:val="auto"/>
                <w:sz w:val="24"/>
                <w:highlight w:val="none"/>
              </w:rPr>
              <w:t>本项目位于吴忠市同心县河西镇，本项目所在区域环境空气质量现状数据引用《2020年宁夏生态环境质量状况》中同心县的监测数据，扣除沙尘天气后2020年区域环境空气质量现状监测结果见</w:t>
            </w:r>
            <w:r>
              <w:rPr>
                <w:rFonts w:hint="eastAsia"/>
                <w:b/>
                <w:bCs/>
                <w:color w:val="auto"/>
                <w:sz w:val="24"/>
                <w:highlight w:val="none"/>
              </w:rPr>
              <w:t>表3-</w:t>
            </w:r>
            <w:r>
              <w:rPr>
                <w:rFonts w:hint="eastAsia"/>
                <w:b/>
                <w:bCs/>
                <w:color w:val="auto"/>
                <w:sz w:val="24"/>
                <w:highlight w:val="none"/>
                <w:lang w:val="en-US" w:eastAsia="zh-CN"/>
              </w:rPr>
              <w:t>2</w:t>
            </w:r>
            <w:r>
              <w:rPr>
                <w:rFonts w:hint="eastAsia"/>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2</w:t>
            </w:r>
            <w:r>
              <w:rPr>
                <w:rFonts w:eastAsia="黑体"/>
                <w:b/>
                <w:color w:val="auto"/>
                <w:sz w:val="24"/>
                <w:highlight w:val="none"/>
              </w:rPr>
              <w:t xml:space="preserve">  </w:t>
            </w:r>
            <w:r>
              <w:rPr>
                <w:rFonts w:hint="eastAsia" w:eastAsia="黑体"/>
                <w:b/>
                <w:color w:val="auto"/>
                <w:sz w:val="24"/>
                <w:highlight w:val="none"/>
              </w:rPr>
              <w:t xml:space="preserve"> 区域环境空气质量现状评价</w:t>
            </w:r>
            <w:r>
              <w:rPr>
                <w:rFonts w:eastAsia="黑体"/>
                <w:b/>
                <w:color w:val="auto"/>
                <w:sz w:val="24"/>
                <w:highlight w:val="none"/>
              </w:rPr>
              <w:t>一览表</w:t>
            </w:r>
          </w:p>
          <w:tbl>
            <w:tblPr>
              <w:tblStyle w:val="24"/>
              <w:tblW w:w="82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36"/>
              <w:gridCol w:w="1686"/>
              <w:gridCol w:w="1410"/>
              <w:gridCol w:w="1650"/>
              <w:gridCol w:w="1359"/>
              <w:gridCol w:w="10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1036"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污染物</w:t>
                  </w:r>
                </w:p>
              </w:tc>
              <w:tc>
                <w:tcPr>
                  <w:tcW w:w="1686"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年评价指标</w:t>
                  </w:r>
                </w:p>
              </w:tc>
              <w:tc>
                <w:tcPr>
                  <w:tcW w:w="1410"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浓度</w:t>
                  </w:r>
                  <w:r>
                    <w:rPr>
                      <w:b/>
                      <w:color w:val="auto"/>
                      <w:szCs w:val="21"/>
                      <w:highlight w:val="none"/>
                    </w:rPr>
                    <w:t>（μg/m</w:t>
                  </w:r>
                  <w:r>
                    <w:rPr>
                      <w:b/>
                      <w:color w:val="auto"/>
                      <w:szCs w:val="21"/>
                      <w:highlight w:val="none"/>
                      <w:vertAlign w:val="superscript"/>
                    </w:rPr>
                    <w:t>3</w:t>
                  </w:r>
                  <w:r>
                    <w:rPr>
                      <w:b/>
                      <w:color w:val="auto"/>
                      <w:szCs w:val="21"/>
                      <w:highlight w:val="none"/>
                    </w:rPr>
                    <w:t>）</w:t>
                  </w:r>
                </w:p>
              </w:tc>
              <w:tc>
                <w:tcPr>
                  <w:tcW w:w="1650"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标准值</w:t>
                  </w:r>
                  <w:r>
                    <w:rPr>
                      <w:b/>
                      <w:color w:val="auto"/>
                      <w:szCs w:val="21"/>
                      <w:highlight w:val="none"/>
                    </w:rPr>
                    <w:t>（μg/m</w:t>
                  </w:r>
                  <w:r>
                    <w:rPr>
                      <w:b/>
                      <w:color w:val="auto"/>
                      <w:szCs w:val="21"/>
                      <w:highlight w:val="none"/>
                      <w:vertAlign w:val="superscript"/>
                    </w:rPr>
                    <w:t>3</w:t>
                  </w:r>
                  <w:r>
                    <w:rPr>
                      <w:b/>
                      <w:color w:val="auto"/>
                      <w:szCs w:val="21"/>
                      <w:highlight w:val="none"/>
                    </w:rPr>
                    <w:t>）</w:t>
                  </w:r>
                </w:p>
              </w:tc>
              <w:tc>
                <w:tcPr>
                  <w:tcW w:w="1359"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占标率</w:t>
                  </w:r>
                  <w:r>
                    <w:rPr>
                      <w:b/>
                      <w:color w:val="auto"/>
                      <w:szCs w:val="21"/>
                      <w:highlight w:val="none"/>
                    </w:rPr>
                    <w:t>（%）</w:t>
                  </w:r>
                </w:p>
              </w:tc>
              <w:tc>
                <w:tcPr>
                  <w:tcW w:w="1065"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PM</w:t>
                  </w:r>
                  <w:r>
                    <w:rPr>
                      <w:rFonts w:hint="eastAsia"/>
                      <w:bCs/>
                      <w:color w:val="auto"/>
                      <w:szCs w:val="21"/>
                      <w:highlight w:val="none"/>
                      <w:vertAlign w:val="subscript"/>
                    </w:rPr>
                    <w:t>10</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68</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70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97.14</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PM</w:t>
                  </w:r>
                  <w:r>
                    <w:rPr>
                      <w:rFonts w:hint="eastAsia"/>
                      <w:bCs/>
                      <w:color w:val="auto"/>
                      <w:szCs w:val="21"/>
                      <w:highlight w:val="none"/>
                      <w:vertAlign w:val="subscript"/>
                    </w:rPr>
                    <w:t>2.5</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34</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35</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97.14</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SO</w:t>
                  </w:r>
                  <w:r>
                    <w:rPr>
                      <w:rFonts w:hint="eastAsia"/>
                      <w:bCs/>
                      <w:color w:val="auto"/>
                      <w:szCs w:val="21"/>
                      <w:highlight w:val="none"/>
                      <w:vertAlign w:val="subscript"/>
                    </w:rPr>
                    <w:t>2</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11</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18.33</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NO</w:t>
                  </w:r>
                  <w:r>
                    <w:rPr>
                      <w:rFonts w:hint="eastAsia"/>
                      <w:bCs/>
                      <w:color w:val="auto"/>
                      <w:szCs w:val="21"/>
                      <w:highlight w:val="none"/>
                      <w:vertAlign w:val="subscript"/>
                    </w:rPr>
                    <w:t>2</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26</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65.00</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CO</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24小时平均第95百分位数</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1.2m</w:t>
                  </w:r>
                  <w:r>
                    <w:rPr>
                      <w:bCs/>
                      <w:color w:val="auto"/>
                      <w:szCs w:val="21"/>
                      <w:highlight w:val="none"/>
                    </w:rPr>
                    <w:t>g/m</w:t>
                  </w:r>
                  <w:r>
                    <w:rPr>
                      <w:bCs/>
                      <w:color w:val="auto"/>
                      <w:szCs w:val="21"/>
                      <w:highlight w:val="none"/>
                      <w:vertAlign w:val="superscript"/>
                    </w:rPr>
                    <w:t>3</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4m</w:t>
                  </w:r>
                  <w:r>
                    <w:rPr>
                      <w:bCs/>
                      <w:color w:val="auto"/>
                      <w:szCs w:val="21"/>
                      <w:highlight w:val="none"/>
                    </w:rPr>
                    <w:t>g/m</w:t>
                  </w:r>
                  <w:r>
                    <w:rPr>
                      <w:bCs/>
                      <w:color w:val="auto"/>
                      <w:szCs w:val="21"/>
                      <w:highlight w:val="none"/>
                      <w:vertAlign w:val="superscript"/>
                    </w:rPr>
                    <w:t>3</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30.00</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O</w:t>
                  </w:r>
                  <w:r>
                    <w:rPr>
                      <w:rFonts w:hint="eastAsia"/>
                      <w:bCs/>
                      <w:color w:val="auto"/>
                      <w:szCs w:val="21"/>
                      <w:highlight w:val="none"/>
                      <w:vertAlign w:val="subscript"/>
                    </w:rPr>
                    <w:t>3</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日最大8小时第90百分位数</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126</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160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78.75</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bl>
          <w:p>
            <w:pPr>
              <w:spacing w:line="360" w:lineRule="auto"/>
              <w:jc w:val="center"/>
              <w:rPr>
                <w:color w:val="auto"/>
                <w:sz w:val="24"/>
                <w:highlight w:val="none"/>
              </w:rPr>
            </w:pPr>
          </w:p>
          <w:p>
            <w:pPr>
              <w:spacing w:line="360" w:lineRule="auto"/>
              <w:ind w:firstLine="470" w:firstLineChars="196"/>
              <w:jc w:val="left"/>
              <w:rPr>
                <w:color w:val="auto"/>
                <w:sz w:val="24"/>
                <w:highlight w:val="none"/>
              </w:rPr>
            </w:pPr>
            <w:r>
              <w:rPr>
                <w:rFonts w:hint="eastAsia"/>
                <w:color w:val="auto"/>
                <w:sz w:val="24"/>
                <w:highlight w:val="none"/>
              </w:rPr>
              <w:t>由上表可知，扣除沙尘天气后，2020年同心县环境空气质量6项基本因子 PM</w:t>
            </w:r>
            <w:r>
              <w:rPr>
                <w:rFonts w:hint="eastAsia"/>
                <w:color w:val="auto"/>
                <w:sz w:val="24"/>
                <w:highlight w:val="none"/>
                <w:vertAlign w:val="subscript"/>
              </w:rPr>
              <w:t>10</w:t>
            </w:r>
            <w:r>
              <w:rPr>
                <w:rFonts w:hint="eastAsia"/>
                <w:color w:val="auto"/>
                <w:sz w:val="24"/>
                <w:highlight w:val="none"/>
              </w:rPr>
              <w:t>、PM</w:t>
            </w:r>
            <w:r>
              <w:rPr>
                <w:rFonts w:hint="eastAsia"/>
                <w:color w:val="auto"/>
                <w:sz w:val="24"/>
                <w:highlight w:val="none"/>
                <w:vertAlign w:val="subscript"/>
              </w:rPr>
              <w:t>2.5</w:t>
            </w:r>
            <w:r>
              <w:rPr>
                <w:rFonts w:hint="eastAsia"/>
                <w:color w:val="auto"/>
                <w:sz w:val="24"/>
                <w:highlight w:val="none"/>
              </w:rPr>
              <w:t>、SO</w:t>
            </w:r>
            <w:r>
              <w:rPr>
                <w:rFonts w:hint="eastAsia"/>
                <w:color w:val="auto"/>
                <w:sz w:val="24"/>
                <w:highlight w:val="none"/>
                <w:vertAlign w:val="subscript"/>
              </w:rPr>
              <w:t>2</w:t>
            </w:r>
            <w:r>
              <w:rPr>
                <w:rFonts w:hint="eastAsia"/>
                <w:color w:val="auto"/>
                <w:sz w:val="24"/>
                <w:highlight w:val="none"/>
              </w:rPr>
              <w:t>、NO</w:t>
            </w:r>
            <w:r>
              <w:rPr>
                <w:rFonts w:hint="eastAsia"/>
                <w:color w:val="auto"/>
                <w:sz w:val="24"/>
                <w:highlight w:val="none"/>
                <w:vertAlign w:val="subscript"/>
              </w:rPr>
              <w:t>2</w:t>
            </w:r>
            <w:r>
              <w:rPr>
                <w:rFonts w:hint="eastAsia"/>
                <w:color w:val="auto"/>
                <w:sz w:val="24"/>
                <w:highlight w:val="none"/>
              </w:rPr>
              <w:t>、CO、O</w:t>
            </w:r>
            <w:r>
              <w:rPr>
                <w:rFonts w:hint="eastAsia"/>
                <w:color w:val="auto"/>
                <w:sz w:val="24"/>
                <w:highlight w:val="none"/>
                <w:vertAlign w:val="subscript"/>
              </w:rPr>
              <w:t>3</w:t>
            </w:r>
            <w:r>
              <w:rPr>
                <w:rFonts w:hint="eastAsia"/>
                <w:color w:val="auto"/>
                <w:sz w:val="24"/>
                <w:highlight w:val="none"/>
              </w:rPr>
              <w:t>均达到《环境空气质量标准》（GB3095-2012）及修改单中二级标准要求。</w:t>
            </w:r>
            <w:r>
              <w:rPr>
                <w:rFonts w:ascii="宋体" w:hAnsi="宋体" w:cs="宋体"/>
                <w:color w:val="auto"/>
                <w:sz w:val="24"/>
                <w:highlight w:val="none"/>
              </w:rPr>
              <w:t>按照《环境影响评价技术导则</w:t>
            </w:r>
            <w:r>
              <w:rPr>
                <w:rFonts w:hint="eastAsia" w:ascii="宋体" w:hAnsi="宋体" w:cs="宋体"/>
                <w:color w:val="auto"/>
                <w:sz w:val="24"/>
                <w:highlight w:val="none"/>
              </w:rPr>
              <w:t xml:space="preserve"> </w:t>
            </w:r>
            <w:r>
              <w:rPr>
                <w:rFonts w:ascii="宋体" w:hAnsi="宋体" w:cs="宋体"/>
                <w:color w:val="auto"/>
                <w:sz w:val="24"/>
                <w:highlight w:val="none"/>
              </w:rPr>
              <w:t>大气环</w:t>
            </w:r>
            <w:r>
              <w:rPr>
                <w:rFonts w:hint="eastAsia"/>
                <w:color w:val="auto"/>
                <w:sz w:val="24"/>
                <w:highlight w:val="none"/>
              </w:rPr>
              <w:t>境》（HJ2.2-2018）判定</w:t>
            </w:r>
            <w:r>
              <w:rPr>
                <w:rFonts w:ascii="宋体" w:hAnsi="宋体" w:cs="宋体"/>
                <w:color w:val="auto"/>
                <w:sz w:val="24"/>
                <w:highlight w:val="none"/>
              </w:rPr>
              <w:t>，</w:t>
            </w:r>
            <w:r>
              <w:rPr>
                <w:rFonts w:hint="eastAsia" w:ascii="宋体" w:hAnsi="宋体" w:cs="宋体"/>
                <w:color w:val="auto"/>
                <w:sz w:val="24"/>
                <w:highlight w:val="none"/>
              </w:rPr>
              <w:t>项目所在区</w:t>
            </w:r>
            <w:r>
              <w:rPr>
                <w:rFonts w:hint="eastAsia"/>
                <w:color w:val="auto"/>
                <w:kern w:val="0"/>
                <w:sz w:val="24"/>
                <w:highlight w:val="none"/>
              </w:rPr>
              <w:t>属于达标区。</w:t>
            </w:r>
          </w:p>
          <w:p>
            <w:pPr>
              <w:spacing w:line="360" w:lineRule="auto"/>
              <w:ind w:firstLine="472" w:firstLineChars="196"/>
              <w:rPr>
                <w:b/>
                <w:color w:val="auto"/>
                <w:sz w:val="24"/>
                <w:highlight w:val="none"/>
              </w:rPr>
            </w:pPr>
            <w:r>
              <w:rPr>
                <w:rFonts w:hint="eastAsia"/>
                <w:b/>
                <w:color w:val="auto"/>
                <w:sz w:val="24"/>
                <w:highlight w:val="none"/>
              </w:rPr>
              <w:t>（2）地表水环境</w:t>
            </w:r>
          </w:p>
          <w:p>
            <w:pPr>
              <w:tabs>
                <w:tab w:val="left" w:pos="2700"/>
              </w:tabs>
              <w:autoSpaceDE w:val="0"/>
              <w:autoSpaceDN w:val="0"/>
              <w:adjustRightInd w:val="0"/>
              <w:snapToGrid w:val="0"/>
              <w:spacing w:line="360" w:lineRule="auto"/>
              <w:ind w:firstLine="480" w:firstLineChars="200"/>
              <w:rPr>
                <w:color w:val="auto"/>
                <w:sz w:val="24"/>
                <w:highlight w:val="none"/>
              </w:rPr>
            </w:pPr>
            <w:r>
              <w:rPr>
                <w:color w:val="auto"/>
                <w:sz w:val="24"/>
                <w:highlight w:val="none"/>
              </w:rPr>
              <w:t>本项目所在地的主要地表水体为清水河，位于本项目西侧</w:t>
            </w:r>
            <w:r>
              <w:rPr>
                <w:rFonts w:hint="eastAsia"/>
                <w:color w:val="auto"/>
                <w:sz w:val="24"/>
                <w:highlight w:val="none"/>
                <w:lang w:val="en-US" w:eastAsia="zh-CN"/>
              </w:rPr>
              <w:t>4.8</w:t>
            </w:r>
            <w:r>
              <w:rPr>
                <w:color w:val="auto"/>
                <w:sz w:val="24"/>
                <w:highlight w:val="none"/>
              </w:rPr>
              <w:t>km处。因此，本次评价采用《2019年宁夏回族自治区生态环境质量报告书》中2019年</w:t>
            </w:r>
            <w:r>
              <w:rPr>
                <w:rFonts w:hint="eastAsia"/>
                <w:color w:val="auto"/>
                <w:sz w:val="24"/>
                <w:highlight w:val="none"/>
                <w:lang w:eastAsia="zh-CN"/>
              </w:rPr>
              <w:t>石炭沟</w:t>
            </w:r>
            <w:r>
              <w:rPr>
                <w:color w:val="auto"/>
                <w:sz w:val="24"/>
                <w:highlight w:val="none"/>
              </w:rPr>
              <w:t>面水质的监测数据对清水河水质现状进行评价，水质监测结果见下表3-</w:t>
            </w:r>
            <w:r>
              <w:rPr>
                <w:rFonts w:hint="eastAsia"/>
                <w:color w:val="auto"/>
                <w:sz w:val="24"/>
                <w:highlight w:val="none"/>
                <w:lang w:val="en-US" w:eastAsia="zh-CN"/>
              </w:rPr>
              <w:t>3</w:t>
            </w:r>
            <w:r>
              <w:rPr>
                <w:color w:val="auto"/>
                <w:sz w:val="24"/>
                <w:highlight w:val="none"/>
              </w:rPr>
              <w:t>。</w:t>
            </w:r>
          </w:p>
          <w:p>
            <w:pPr>
              <w:adjustRightInd w:val="0"/>
              <w:snapToGrid w:val="0"/>
              <w:jc w:val="center"/>
              <w:outlineLvl w:val="0"/>
              <w:rPr>
                <w:b/>
                <w:bCs/>
                <w:color w:val="auto"/>
                <w:szCs w:val="21"/>
                <w:highlight w:val="none"/>
              </w:rPr>
            </w:pPr>
            <w:r>
              <w:rPr>
                <w:color w:val="auto"/>
                <w:sz w:val="24"/>
                <w:highlight w:val="none"/>
              </w:rPr>
              <w:t xml:space="preserve">          </w:t>
            </w:r>
            <w:r>
              <w:rPr>
                <w:b/>
                <w:bCs/>
                <w:color w:val="auto"/>
                <w:sz w:val="24"/>
                <w:highlight w:val="none"/>
              </w:rPr>
              <w:t xml:space="preserve"> </w:t>
            </w:r>
            <w:r>
              <w:rPr>
                <w:rFonts w:eastAsia="黑体"/>
                <w:b/>
                <w:color w:val="auto"/>
                <w:sz w:val="24"/>
                <w:highlight w:val="none"/>
              </w:rPr>
              <w:t>表3-</w:t>
            </w:r>
            <w:r>
              <w:rPr>
                <w:rFonts w:hint="eastAsia" w:eastAsia="黑体"/>
                <w:b/>
                <w:color w:val="auto"/>
                <w:sz w:val="24"/>
                <w:highlight w:val="none"/>
                <w:lang w:val="en-US" w:eastAsia="zh-CN"/>
              </w:rPr>
              <w:t>3</w:t>
            </w:r>
            <w:r>
              <w:rPr>
                <w:rFonts w:eastAsia="黑体"/>
                <w:b/>
                <w:color w:val="auto"/>
                <w:sz w:val="24"/>
                <w:highlight w:val="none"/>
              </w:rPr>
              <w:t xml:space="preserve">  地表水环境质量现状资料统计表    </w:t>
            </w:r>
            <w:r>
              <w:rPr>
                <w:b/>
                <w:bCs/>
                <w:color w:val="auto"/>
                <w:szCs w:val="21"/>
                <w:highlight w:val="none"/>
              </w:rPr>
              <w:t>单位：mg/L（pH无量纲）</w:t>
            </w:r>
          </w:p>
          <w:tbl>
            <w:tblPr>
              <w:tblStyle w:val="25"/>
              <w:tblW w:w="81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323"/>
              <w:gridCol w:w="812"/>
              <w:gridCol w:w="1157"/>
              <w:gridCol w:w="899"/>
              <w:gridCol w:w="899"/>
              <w:gridCol w:w="899"/>
              <w:gridCol w:w="1077"/>
              <w:gridCol w:w="111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项目</w:t>
                  </w:r>
                </w:p>
              </w:tc>
              <w:tc>
                <w:tcPr>
                  <w:tcW w:w="6855" w:type="dxa"/>
                  <w:gridSpan w:val="7"/>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清水河</w:t>
                  </w:r>
                  <w:r>
                    <w:rPr>
                      <w:rFonts w:hint="eastAsia"/>
                      <w:color w:val="auto"/>
                      <w:sz w:val="21"/>
                      <w:szCs w:val="21"/>
                      <w:highlight w:val="none"/>
                      <w:lang w:eastAsia="zh-CN"/>
                    </w:rPr>
                    <w:t>石炭沟</w:t>
                  </w:r>
                  <w:r>
                    <w:rPr>
                      <w:rFonts w:hint="eastAsia"/>
                      <w:color w:val="auto"/>
                      <w:sz w:val="21"/>
                      <w:szCs w:val="21"/>
                      <w:highlight w:val="none"/>
                    </w:rPr>
                    <w:t>断面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vMerge w:val="continue"/>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Ⅳ标准</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样本个数（个）</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最大值</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最小值</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平均值</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超标率（%）</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最大超标倍数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水温</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25.2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1.8</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13.8</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pH</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6~9</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8.3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6.7</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7.8</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电导率</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1070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1083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808.8</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溶解氧</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≥3</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6.8</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9.2</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高锰酸盐指数</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≤10</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3.5</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生化需氧量</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≤6</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1.8</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氨氮</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≤1.5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0.63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0.15</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石油类</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0.01</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0.01</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挥发酚</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≤0.01</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0.0024</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0.0007</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汞</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≤0.001</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0.00004</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0.00003</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铅</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0.0010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0.0011</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化学需氧量</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≤30</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30.0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16.2</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bCs/>
                      <w:color w:val="auto"/>
                      <w:sz w:val="21"/>
                      <w:szCs w:val="21"/>
                      <w:highlight w:val="none"/>
                    </w:rPr>
                  </w:pPr>
                  <w:r>
                    <w:rPr>
                      <w:rFonts w:hint="eastAsia"/>
                      <w:b/>
                      <w:bCs/>
                      <w:color w:val="auto"/>
                      <w:sz w:val="21"/>
                      <w:szCs w:val="21"/>
                      <w:highlight w:val="none"/>
                    </w:rPr>
                    <w:t>总氮</w:t>
                  </w:r>
                </w:p>
              </w:tc>
              <w:tc>
                <w:tcPr>
                  <w:tcW w:w="8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≤1.5</w:t>
                  </w:r>
                </w:p>
              </w:tc>
              <w:tc>
                <w:tcPr>
                  <w:tcW w:w="115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32.60</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11.10</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21.28</w:t>
                  </w:r>
                </w:p>
              </w:tc>
              <w:tc>
                <w:tcPr>
                  <w:tcW w:w="107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100.0</w:t>
                  </w:r>
                </w:p>
              </w:tc>
              <w:tc>
                <w:tcPr>
                  <w:tcW w:w="11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21.7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总磷</w:t>
                  </w:r>
                </w:p>
              </w:tc>
              <w:tc>
                <w:tcPr>
                  <w:tcW w:w="8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≤0.3</w:t>
                  </w:r>
                </w:p>
              </w:tc>
              <w:tc>
                <w:tcPr>
                  <w:tcW w:w="115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0.360</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0.030</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0.124</w:t>
                  </w:r>
                </w:p>
              </w:tc>
              <w:tc>
                <w:tcPr>
                  <w:tcW w:w="107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8.2</w:t>
                  </w:r>
                </w:p>
              </w:tc>
              <w:tc>
                <w:tcPr>
                  <w:tcW w:w="11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铜</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≤1.0</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0.0005</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0.006</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锌</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≤2.0</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氟化物</w:t>
                  </w:r>
                </w:p>
              </w:tc>
              <w:tc>
                <w:tcPr>
                  <w:tcW w:w="8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≤1.5</w:t>
                  </w:r>
                </w:p>
              </w:tc>
              <w:tc>
                <w:tcPr>
                  <w:tcW w:w="115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2.73</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0.42</w:t>
                  </w:r>
                </w:p>
              </w:tc>
              <w:tc>
                <w:tcPr>
                  <w:tcW w:w="899"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1.51</w:t>
                  </w:r>
                </w:p>
              </w:tc>
              <w:tc>
                <w:tcPr>
                  <w:tcW w:w="1077"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58.3</w:t>
                  </w:r>
                </w:p>
              </w:tc>
              <w:tc>
                <w:tcPr>
                  <w:tcW w:w="1112" w:type="dxa"/>
                  <w:tcBorders>
                    <w:tl2br w:val="nil"/>
                    <w:tr2bl w:val="nil"/>
                  </w:tcBorders>
                  <w:shd w:val="clear" w:color="auto" w:fill="auto"/>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硒</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≤0.02</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0.0163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0.0062</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砷</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≤0.1</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0.0104</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0.0010</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0.0043</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镉</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0.0005</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0.0001</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0.0001</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六价铬</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0.008</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氰化物</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≤0.2</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阴离子表面活性剂</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≤0.3</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0.16</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硫化物</w:t>
                  </w:r>
                </w:p>
              </w:tc>
              <w:tc>
                <w:tcPr>
                  <w:tcW w:w="8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≤0.5</w:t>
                  </w:r>
                </w:p>
              </w:tc>
              <w:tc>
                <w:tcPr>
                  <w:tcW w:w="115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0.012</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0.003</w:t>
                  </w:r>
                </w:p>
              </w:tc>
              <w:tc>
                <w:tcPr>
                  <w:tcW w:w="899"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0.004</w:t>
                  </w:r>
                </w:p>
              </w:tc>
              <w:tc>
                <w:tcPr>
                  <w:tcW w:w="1077"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bl>
          <w:p>
            <w:pPr>
              <w:spacing w:line="360" w:lineRule="auto"/>
              <w:ind w:firstLine="470" w:firstLineChars="196"/>
              <w:rPr>
                <w:color w:val="auto"/>
                <w:sz w:val="24"/>
                <w:highlight w:val="none"/>
              </w:rPr>
            </w:pPr>
          </w:p>
          <w:p>
            <w:pPr>
              <w:spacing w:line="360" w:lineRule="auto"/>
              <w:ind w:firstLine="470" w:firstLineChars="196"/>
              <w:rPr>
                <w:b/>
                <w:color w:val="auto"/>
                <w:sz w:val="24"/>
                <w:highlight w:val="none"/>
              </w:rPr>
            </w:pPr>
            <w:r>
              <w:rPr>
                <w:rFonts w:hint="eastAsia"/>
                <w:b w:val="0"/>
                <w:bCs/>
                <w:color w:val="auto"/>
                <w:sz w:val="24"/>
                <w:highlight w:val="none"/>
              </w:rPr>
              <w:t>根据《2019年宁夏回族自治区生态环境质量报告书》中</w:t>
            </w:r>
            <w:r>
              <w:rPr>
                <w:rFonts w:hint="eastAsia" w:eastAsia="宋体"/>
                <w:b w:val="0"/>
                <w:bCs/>
                <w:color w:val="auto"/>
                <w:sz w:val="24"/>
                <w:highlight w:val="none"/>
                <w:lang w:eastAsia="zh-CN"/>
              </w:rPr>
              <w:t>清水河石炭沟</w:t>
            </w:r>
            <w:r>
              <w:rPr>
                <w:rFonts w:hint="eastAsia"/>
                <w:b w:val="0"/>
                <w:bCs/>
                <w:color w:val="auto"/>
                <w:sz w:val="24"/>
                <w:highlight w:val="none"/>
              </w:rPr>
              <w:t>断面的结论知，影响水质类别的主要指标为</w:t>
            </w:r>
            <w:r>
              <w:rPr>
                <w:rFonts w:hint="eastAsia" w:eastAsia="宋体"/>
                <w:b w:val="0"/>
                <w:bCs/>
                <w:color w:val="auto"/>
                <w:sz w:val="24"/>
                <w:highlight w:val="none"/>
                <w:lang w:eastAsia="zh-CN"/>
              </w:rPr>
              <w:t>总氮、总磷、</w:t>
            </w:r>
            <w:r>
              <w:rPr>
                <w:rFonts w:hint="eastAsia"/>
                <w:b w:val="0"/>
                <w:bCs/>
                <w:color w:val="auto"/>
                <w:sz w:val="24"/>
                <w:highlight w:val="none"/>
              </w:rPr>
              <w:t>氟化物，</w:t>
            </w:r>
            <w:r>
              <w:rPr>
                <w:rFonts w:hint="eastAsia" w:eastAsia="宋体"/>
                <w:b w:val="0"/>
                <w:bCs/>
                <w:color w:val="auto"/>
                <w:sz w:val="24"/>
                <w:highlight w:val="none"/>
                <w:lang w:eastAsia="zh-CN"/>
              </w:rPr>
              <w:t>最大</w:t>
            </w:r>
            <w:r>
              <w:rPr>
                <w:rFonts w:hint="eastAsia"/>
                <w:b w:val="0"/>
                <w:bCs/>
                <w:color w:val="auto"/>
                <w:sz w:val="24"/>
                <w:highlight w:val="none"/>
              </w:rPr>
              <w:t>浓度值为</w:t>
            </w:r>
            <w:r>
              <w:rPr>
                <w:rFonts w:hint="eastAsia" w:ascii="Times New Roman" w:eastAsia="宋体"/>
                <w:b w:val="0"/>
                <w:bCs/>
                <w:color w:val="auto"/>
                <w:sz w:val="24"/>
                <w:highlight w:val="none"/>
                <w:lang w:val="en-US" w:eastAsia="zh-CN"/>
              </w:rPr>
              <w:t>32.60</w:t>
            </w:r>
            <w:r>
              <w:rPr>
                <w:rFonts w:hint="eastAsia"/>
                <w:b w:val="0"/>
                <w:bCs/>
                <w:color w:val="auto"/>
                <w:sz w:val="24"/>
                <w:highlight w:val="none"/>
              </w:rPr>
              <w:t>mg/L</w:t>
            </w:r>
            <w:r>
              <w:rPr>
                <w:rFonts w:hint="eastAsia" w:eastAsia="宋体"/>
                <w:b w:val="0"/>
                <w:bCs/>
                <w:color w:val="auto"/>
                <w:sz w:val="24"/>
                <w:highlight w:val="none"/>
                <w:lang w:eastAsia="zh-CN"/>
              </w:rPr>
              <w:t>、</w:t>
            </w:r>
            <w:r>
              <w:rPr>
                <w:rFonts w:hint="eastAsia" w:ascii="Times New Roman" w:eastAsia="宋体"/>
                <w:b w:val="0"/>
                <w:bCs/>
                <w:color w:val="auto"/>
                <w:sz w:val="24"/>
                <w:highlight w:val="none"/>
                <w:lang w:val="en-US" w:eastAsia="zh-CN"/>
              </w:rPr>
              <w:t>0.360</w:t>
            </w:r>
            <w:r>
              <w:rPr>
                <w:rFonts w:hint="eastAsia"/>
                <w:b w:val="0"/>
                <w:bCs/>
                <w:color w:val="auto"/>
                <w:sz w:val="24"/>
                <w:highlight w:val="none"/>
              </w:rPr>
              <w:t>mg/L</w:t>
            </w:r>
            <w:r>
              <w:rPr>
                <w:rFonts w:hint="eastAsia" w:eastAsia="宋体"/>
                <w:b w:val="0"/>
                <w:bCs/>
                <w:color w:val="auto"/>
                <w:sz w:val="24"/>
                <w:highlight w:val="none"/>
                <w:lang w:eastAsia="zh-CN"/>
              </w:rPr>
              <w:t>、</w:t>
            </w:r>
            <w:r>
              <w:rPr>
                <w:rFonts w:hint="eastAsia" w:ascii="Times New Roman" w:eastAsia="宋体"/>
                <w:b w:val="0"/>
                <w:bCs/>
                <w:color w:val="auto"/>
                <w:sz w:val="24"/>
                <w:highlight w:val="none"/>
                <w:lang w:val="en-US" w:eastAsia="zh-CN"/>
              </w:rPr>
              <w:t>2.73</w:t>
            </w:r>
            <w:r>
              <w:rPr>
                <w:rFonts w:hint="eastAsia"/>
                <w:b w:val="0"/>
                <w:bCs/>
                <w:color w:val="auto"/>
                <w:sz w:val="24"/>
                <w:highlight w:val="none"/>
              </w:rPr>
              <w:t>mg/L，超过地表水Ⅳ类标准的倍数</w:t>
            </w:r>
            <w:r>
              <w:rPr>
                <w:rFonts w:hint="eastAsia" w:eastAsia="宋体"/>
                <w:b w:val="0"/>
                <w:bCs/>
                <w:color w:val="auto"/>
                <w:sz w:val="24"/>
                <w:highlight w:val="none"/>
                <w:lang w:eastAsia="zh-CN"/>
              </w:rPr>
              <w:t>分别</w:t>
            </w:r>
            <w:r>
              <w:rPr>
                <w:rFonts w:hint="eastAsia"/>
                <w:b w:val="0"/>
                <w:bCs/>
                <w:color w:val="auto"/>
                <w:sz w:val="24"/>
                <w:highlight w:val="none"/>
              </w:rPr>
              <w:t>为</w:t>
            </w:r>
            <w:r>
              <w:rPr>
                <w:rFonts w:hint="eastAsia" w:ascii="Times New Roman" w:eastAsia="宋体"/>
                <w:b w:val="0"/>
                <w:bCs/>
                <w:color w:val="auto"/>
                <w:sz w:val="24"/>
                <w:highlight w:val="none"/>
                <w:lang w:val="en-US" w:eastAsia="zh-CN"/>
              </w:rPr>
              <w:t>21.7、1.2、1.8</w:t>
            </w:r>
            <w:r>
              <w:rPr>
                <w:rFonts w:hint="eastAsia"/>
                <w:b w:val="0"/>
                <w:bCs/>
                <w:color w:val="auto"/>
                <w:sz w:val="24"/>
                <w:highlight w:val="none"/>
              </w:rPr>
              <w:t>。</w:t>
            </w:r>
            <w:r>
              <w:rPr>
                <w:rFonts w:hint="eastAsia" w:eastAsia="宋体"/>
                <w:b w:val="0"/>
                <w:bCs/>
                <w:color w:val="auto"/>
                <w:sz w:val="24"/>
                <w:highlight w:val="none"/>
                <w:lang w:eastAsia="zh-CN"/>
              </w:rPr>
              <w:t>超标原因为</w:t>
            </w:r>
            <w:r>
              <w:rPr>
                <w:rFonts w:hint="eastAsia"/>
                <w:b w:val="0"/>
                <w:bCs/>
                <w:color w:val="auto"/>
                <w:sz w:val="24"/>
                <w:highlight w:val="none"/>
              </w:rPr>
              <w:t>清水河流域下白垩统乃家河组发育一套完整的陆相硫酸盐—氯化物盐湖沉积，下部硫酸盐期沉积石膏、钙芒硝、芒硝，以及碳酸质泥岩、石灰岩等，上部氯化物期沉积石盐、含石盐泥岩等，构成一套完整的沉积旋回。此外，流域内分布有古近系清水营组，主要发育泥质岩、砂岩和石膏岩等。这些可溶岩石矿物溶解，形成高浓度的TDS并提高地表水的离子强度，促进氟离子进入水中，使氟离子有显著增加的趋势。氟元素含量高的岩层，在大气降水下渗入地下水的作用过程中，逐步淋滤溶解进入到区域地下水</w:t>
            </w:r>
            <w:r>
              <w:rPr>
                <w:rFonts w:hint="eastAsia" w:eastAsia="宋体"/>
                <w:b w:val="0"/>
                <w:bCs/>
                <w:color w:val="auto"/>
                <w:sz w:val="24"/>
                <w:highlight w:val="none"/>
                <w:lang w:eastAsia="zh-CN"/>
              </w:rPr>
              <w:t>，</w:t>
            </w:r>
            <w:r>
              <w:rPr>
                <w:rFonts w:hint="eastAsia" w:ascii="Times New Roman" w:eastAsia="宋体"/>
                <w:b w:val="0"/>
                <w:bCs/>
                <w:color w:val="auto"/>
                <w:sz w:val="24"/>
                <w:highlight w:val="none"/>
                <w:lang w:val="en-US" w:eastAsia="zh-CN"/>
              </w:rPr>
              <w:t>2018年以前，清水河长时间受到农业化肥等诸多因素污染，总氮超出标准限值要求</w:t>
            </w:r>
            <w:r>
              <w:rPr>
                <w:rFonts w:hint="eastAsia" w:eastAsia="宋体"/>
                <w:b w:val="0"/>
                <w:bCs/>
                <w:color w:val="auto"/>
                <w:sz w:val="24"/>
                <w:highlight w:val="none"/>
                <w:lang w:eastAsia="zh-CN"/>
              </w:rPr>
              <w:t>。自</w:t>
            </w:r>
            <w:r>
              <w:rPr>
                <w:rFonts w:hint="eastAsia" w:ascii="Times New Roman" w:eastAsia="宋体"/>
                <w:b w:val="0"/>
                <w:bCs/>
                <w:color w:val="auto"/>
                <w:sz w:val="24"/>
                <w:highlight w:val="none"/>
                <w:lang w:val="en-US" w:eastAsia="zh-CN"/>
              </w:rPr>
              <w:t>2018年以来，自治区政府在黄河支流宁夏流域范围实施了水环境综合整治工程，2019年黄河干流、支流水质保持稳定，主要指标监测浓度同比呈下降趋势。</w:t>
            </w:r>
          </w:p>
          <w:p>
            <w:pPr>
              <w:spacing w:line="360" w:lineRule="auto"/>
              <w:ind w:firstLine="472" w:firstLineChars="196"/>
              <w:rPr>
                <w:b/>
                <w:color w:val="auto"/>
                <w:sz w:val="24"/>
                <w:highlight w:val="none"/>
              </w:rPr>
            </w:pPr>
            <w:r>
              <w:rPr>
                <w:b/>
                <w:color w:val="auto"/>
                <w:sz w:val="24"/>
                <w:highlight w:val="none"/>
              </w:rPr>
              <w:t>（</w:t>
            </w:r>
            <w:r>
              <w:rPr>
                <w:rFonts w:hint="eastAsia"/>
                <w:b/>
                <w:color w:val="auto"/>
                <w:sz w:val="24"/>
                <w:highlight w:val="none"/>
              </w:rPr>
              <w:t>3</w:t>
            </w:r>
            <w:r>
              <w:rPr>
                <w:b/>
                <w:color w:val="auto"/>
                <w:sz w:val="24"/>
                <w:highlight w:val="none"/>
              </w:rPr>
              <w:t>）声环境</w:t>
            </w:r>
          </w:p>
          <w:p>
            <w:pPr>
              <w:spacing w:line="360" w:lineRule="auto"/>
              <w:ind w:firstLine="480" w:firstLineChars="200"/>
              <w:rPr>
                <w:b/>
                <w:color w:val="auto"/>
                <w:sz w:val="24"/>
                <w:highlight w:val="none"/>
              </w:rPr>
            </w:pPr>
            <w:r>
              <w:rPr>
                <w:color w:val="auto"/>
                <w:sz w:val="24"/>
                <w:highlight w:val="none"/>
              </w:rPr>
              <w:t>为了解本项目</w:t>
            </w:r>
            <w:r>
              <w:rPr>
                <w:rFonts w:hint="eastAsia"/>
                <w:color w:val="auto"/>
                <w:sz w:val="24"/>
                <w:highlight w:val="none"/>
              </w:rPr>
              <w:t>周围</w:t>
            </w:r>
            <w:r>
              <w:rPr>
                <w:color w:val="auto"/>
                <w:sz w:val="24"/>
                <w:highlight w:val="none"/>
              </w:rPr>
              <w:t>声环境质量现状，我单位委托宁夏盛世蓝天环保技术有限公司于202</w:t>
            </w:r>
            <w:r>
              <w:rPr>
                <w:rFonts w:hint="eastAsia"/>
                <w:color w:val="auto"/>
                <w:sz w:val="24"/>
                <w:highlight w:val="none"/>
              </w:rPr>
              <w:t>2</w:t>
            </w:r>
            <w:r>
              <w:rPr>
                <w:color w:val="auto"/>
                <w:sz w:val="24"/>
                <w:highlight w:val="none"/>
              </w:rPr>
              <w:t>年</w:t>
            </w:r>
            <w:r>
              <w:rPr>
                <w:rFonts w:hint="eastAsia"/>
                <w:color w:val="auto"/>
                <w:sz w:val="24"/>
                <w:highlight w:val="none"/>
              </w:rPr>
              <w:t>7</w:t>
            </w:r>
            <w:r>
              <w:rPr>
                <w:color w:val="auto"/>
                <w:sz w:val="24"/>
                <w:highlight w:val="none"/>
              </w:rPr>
              <w:t>月</w:t>
            </w:r>
            <w:r>
              <w:rPr>
                <w:rFonts w:hint="eastAsia"/>
                <w:color w:val="auto"/>
                <w:sz w:val="24"/>
                <w:highlight w:val="none"/>
              </w:rPr>
              <w:t>26日~27</w:t>
            </w:r>
            <w:r>
              <w:rPr>
                <w:color w:val="auto"/>
                <w:sz w:val="24"/>
                <w:highlight w:val="none"/>
              </w:rPr>
              <w:t>日对</w:t>
            </w:r>
            <w:r>
              <w:rPr>
                <w:rFonts w:hint="eastAsia"/>
                <w:color w:val="auto"/>
                <w:sz w:val="24"/>
                <w:highlight w:val="none"/>
              </w:rPr>
              <w:t>本</w:t>
            </w:r>
            <w:r>
              <w:rPr>
                <w:color w:val="auto"/>
                <w:sz w:val="24"/>
                <w:highlight w:val="none"/>
              </w:rPr>
              <w:t>项目的声环境</w:t>
            </w:r>
            <w:r>
              <w:rPr>
                <w:rFonts w:hint="eastAsia"/>
                <w:color w:val="auto"/>
                <w:sz w:val="24"/>
                <w:highlight w:val="none"/>
              </w:rPr>
              <w:t>质量</w:t>
            </w:r>
            <w:r>
              <w:rPr>
                <w:color w:val="auto"/>
                <w:sz w:val="24"/>
                <w:highlight w:val="none"/>
              </w:rPr>
              <w:t>进行了现状监测。</w:t>
            </w:r>
          </w:p>
          <w:p>
            <w:pPr>
              <w:spacing w:line="360" w:lineRule="auto"/>
              <w:ind w:firstLine="480" w:firstLineChars="200"/>
              <w:rPr>
                <w:color w:val="auto"/>
                <w:sz w:val="24"/>
                <w:szCs w:val="22"/>
                <w:highlight w:val="none"/>
              </w:rPr>
            </w:pPr>
            <w:r>
              <w:rPr>
                <w:rFonts w:hint="eastAsia"/>
                <w:color w:val="auto"/>
                <w:sz w:val="24"/>
                <w:highlight w:val="none"/>
              </w:rPr>
              <w:t>①</w:t>
            </w:r>
            <w:r>
              <w:rPr>
                <w:color w:val="auto"/>
                <w:sz w:val="24"/>
                <w:highlight w:val="none"/>
              </w:rPr>
              <w:t>监测项目</w:t>
            </w:r>
          </w:p>
          <w:p>
            <w:pPr>
              <w:spacing w:line="360" w:lineRule="auto"/>
              <w:ind w:firstLine="470" w:firstLineChars="196"/>
              <w:rPr>
                <w:bCs/>
                <w:color w:val="auto"/>
                <w:sz w:val="24"/>
                <w:highlight w:val="none"/>
              </w:rPr>
            </w:pPr>
            <w:r>
              <w:rPr>
                <w:bCs/>
                <w:color w:val="auto"/>
                <w:sz w:val="24"/>
                <w:highlight w:val="none"/>
              </w:rPr>
              <w:t>测量离地1.5m高度处的噪声。</w:t>
            </w:r>
          </w:p>
          <w:p>
            <w:pPr>
              <w:spacing w:line="360" w:lineRule="auto"/>
              <w:ind w:firstLine="480" w:firstLineChars="200"/>
              <w:rPr>
                <w:color w:val="auto"/>
                <w:sz w:val="24"/>
                <w:highlight w:val="none"/>
              </w:rPr>
            </w:pPr>
            <w:r>
              <w:rPr>
                <w:rFonts w:hint="eastAsia"/>
                <w:color w:val="auto"/>
                <w:sz w:val="24"/>
                <w:highlight w:val="none"/>
              </w:rPr>
              <w:t>②</w:t>
            </w:r>
            <w:r>
              <w:rPr>
                <w:color w:val="auto"/>
                <w:sz w:val="24"/>
                <w:highlight w:val="none"/>
              </w:rPr>
              <w:t>监测频次</w:t>
            </w:r>
          </w:p>
          <w:p>
            <w:pPr>
              <w:spacing w:line="360" w:lineRule="auto"/>
              <w:ind w:firstLine="480" w:firstLineChars="200"/>
              <w:rPr>
                <w:color w:val="auto"/>
                <w:sz w:val="24"/>
                <w:highlight w:val="none"/>
              </w:rPr>
            </w:pPr>
            <w:r>
              <w:rPr>
                <w:color w:val="auto"/>
                <w:sz w:val="24"/>
                <w:highlight w:val="none"/>
              </w:rPr>
              <w:t>每天监测2次，昼夜各1次，监测</w:t>
            </w:r>
            <w:r>
              <w:rPr>
                <w:rFonts w:hint="eastAsia"/>
                <w:color w:val="auto"/>
                <w:sz w:val="24"/>
                <w:highlight w:val="none"/>
              </w:rPr>
              <w:t>2</w:t>
            </w:r>
            <w:r>
              <w:rPr>
                <w:color w:val="auto"/>
                <w:sz w:val="24"/>
                <w:highlight w:val="none"/>
              </w:rPr>
              <w:t>天。</w:t>
            </w:r>
          </w:p>
          <w:p>
            <w:pPr>
              <w:spacing w:line="360" w:lineRule="auto"/>
              <w:ind w:firstLine="470" w:firstLineChars="196"/>
              <w:rPr>
                <w:color w:val="auto"/>
                <w:sz w:val="24"/>
                <w:highlight w:val="none"/>
              </w:rPr>
            </w:pPr>
            <w:r>
              <w:rPr>
                <w:rFonts w:hint="eastAsia"/>
                <w:color w:val="auto"/>
                <w:sz w:val="24"/>
                <w:highlight w:val="none"/>
              </w:rPr>
              <w:t>③</w:t>
            </w:r>
            <w:r>
              <w:rPr>
                <w:color w:val="auto"/>
                <w:sz w:val="24"/>
                <w:highlight w:val="none"/>
              </w:rPr>
              <w:t>监测方法</w:t>
            </w:r>
          </w:p>
          <w:p>
            <w:pPr>
              <w:spacing w:line="360" w:lineRule="auto"/>
              <w:ind w:firstLine="470" w:firstLineChars="196"/>
              <w:rPr>
                <w:color w:val="auto"/>
                <w:sz w:val="24"/>
                <w:highlight w:val="none"/>
              </w:rPr>
            </w:pPr>
            <w:r>
              <w:rPr>
                <w:color w:val="auto"/>
                <w:sz w:val="24"/>
                <w:highlight w:val="none"/>
              </w:rPr>
              <w:t>严格按照《声环境质量标准》（GB3096-2008）进行监测。</w:t>
            </w:r>
          </w:p>
          <w:p>
            <w:pPr>
              <w:spacing w:line="360" w:lineRule="auto"/>
              <w:ind w:firstLine="480" w:firstLineChars="200"/>
              <w:rPr>
                <w:bCs/>
                <w:color w:val="auto"/>
                <w:sz w:val="24"/>
                <w:szCs w:val="22"/>
                <w:highlight w:val="none"/>
              </w:rPr>
            </w:pPr>
            <w:r>
              <w:rPr>
                <w:rFonts w:hint="eastAsia"/>
                <w:bCs/>
                <w:color w:val="auto"/>
                <w:sz w:val="24"/>
                <w:highlight w:val="none"/>
              </w:rPr>
              <w:t>④</w:t>
            </w:r>
            <w:r>
              <w:rPr>
                <w:bCs/>
                <w:color w:val="auto"/>
                <w:sz w:val="24"/>
                <w:highlight w:val="none"/>
              </w:rPr>
              <w:t>监测布点</w:t>
            </w:r>
          </w:p>
          <w:p>
            <w:pPr>
              <w:spacing w:line="360" w:lineRule="auto"/>
              <w:ind w:firstLine="480" w:firstLineChars="200"/>
              <w:rPr>
                <w:color w:val="auto"/>
                <w:sz w:val="24"/>
                <w:highlight w:val="none"/>
              </w:rPr>
            </w:pPr>
            <w:r>
              <w:rPr>
                <w:color w:val="auto"/>
                <w:sz w:val="24"/>
                <w:highlight w:val="none"/>
              </w:rPr>
              <w:t>按照《</w:t>
            </w:r>
            <w:r>
              <w:rPr>
                <w:rFonts w:hint="eastAsia"/>
                <w:color w:val="auto"/>
                <w:sz w:val="24"/>
                <w:highlight w:val="none"/>
                <w:lang w:val="en-US" w:eastAsia="zh-CN"/>
              </w:rPr>
              <w:t>建设项目环境影响报告表编制技术指南（污染影响类）（试行）</w:t>
            </w:r>
            <w:r>
              <w:rPr>
                <w:color w:val="auto"/>
                <w:sz w:val="24"/>
                <w:highlight w:val="none"/>
              </w:rPr>
              <w:t>》布点。</w:t>
            </w:r>
          </w:p>
          <w:p>
            <w:pPr>
              <w:spacing w:line="360" w:lineRule="auto"/>
              <w:ind w:firstLine="480" w:firstLineChars="200"/>
              <w:rPr>
                <w:color w:val="auto"/>
                <w:sz w:val="24"/>
                <w:highlight w:val="none"/>
              </w:rPr>
            </w:pPr>
            <w:r>
              <w:rPr>
                <w:color w:val="auto"/>
                <w:sz w:val="24"/>
                <w:highlight w:val="none"/>
              </w:rPr>
              <w:t>监测点布在</w:t>
            </w:r>
            <w:r>
              <w:rPr>
                <w:rFonts w:hint="eastAsia"/>
                <w:color w:val="auto"/>
                <w:sz w:val="24"/>
                <w:highlight w:val="none"/>
                <w:lang w:val="en-US" w:eastAsia="zh-CN"/>
              </w:rPr>
              <w:t>坝址处</w:t>
            </w:r>
            <w:r>
              <w:rPr>
                <w:rFonts w:hint="eastAsia"/>
                <w:color w:val="auto"/>
                <w:sz w:val="24"/>
                <w:highlight w:val="none"/>
              </w:rPr>
              <w:t>，</w:t>
            </w:r>
            <w:r>
              <w:rPr>
                <w:color w:val="auto"/>
                <w:sz w:val="24"/>
                <w:highlight w:val="none"/>
              </w:rPr>
              <w:t>项目监测点位</w:t>
            </w:r>
            <w:r>
              <w:rPr>
                <w:rFonts w:hint="eastAsia"/>
                <w:color w:val="auto"/>
                <w:sz w:val="24"/>
                <w:highlight w:val="none"/>
              </w:rPr>
              <w:t>详</w:t>
            </w:r>
            <w:r>
              <w:rPr>
                <w:color w:val="auto"/>
                <w:sz w:val="24"/>
                <w:highlight w:val="none"/>
              </w:rPr>
              <w:t>见</w:t>
            </w:r>
            <w:r>
              <w:rPr>
                <w:b w:val="0"/>
                <w:bCs w:val="0"/>
                <w:color w:val="auto"/>
                <w:sz w:val="24"/>
                <w:highlight w:val="none"/>
              </w:rPr>
              <w:t>图</w:t>
            </w:r>
            <w:r>
              <w:rPr>
                <w:rFonts w:hint="eastAsia"/>
                <w:b w:val="0"/>
                <w:bCs w:val="0"/>
                <w:color w:val="auto"/>
                <w:sz w:val="24"/>
                <w:highlight w:val="none"/>
              </w:rPr>
              <w:t>3-</w:t>
            </w:r>
            <w:r>
              <w:rPr>
                <w:rFonts w:hint="eastAsia"/>
                <w:b w:val="0"/>
                <w:bCs w:val="0"/>
                <w:color w:val="auto"/>
                <w:sz w:val="24"/>
                <w:highlight w:val="none"/>
                <w:lang w:val="en-US" w:eastAsia="zh-CN"/>
              </w:rPr>
              <w:t>2</w:t>
            </w:r>
            <w:r>
              <w:rPr>
                <w:color w:val="auto"/>
                <w:sz w:val="24"/>
                <w:highlight w:val="none"/>
              </w:rPr>
              <w:t>。</w:t>
            </w:r>
          </w:p>
          <w:p>
            <w:pPr>
              <w:pStyle w:val="54"/>
              <w:rPr>
                <w:rFonts w:hint="eastAsia" w:eastAsia="宋体"/>
                <w:color w:val="auto"/>
                <w:highlight w:val="none"/>
                <w:lang w:eastAsia="zh-CN"/>
              </w:rPr>
            </w:pPr>
            <w:r>
              <w:rPr>
                <w:color w:val="auto"/>
                <w:highlight w:val="none"/>
              </w:rPr>
              <w:pict>
                <v:shape id="_x0000_i1026" o:spt="75" type="#_x0000_t75" style="height:335.95pt;width:418.15pt;" filled="f" o:preferrelative="t" stroked="f" coordsize="21600,21600">
                  <v:path/>
                  <v:fill on="f" focussize="0,0"/>
                  <v:stroke on="f"/>
                  <v:imagedata r:id="rId10" o:title=""/>
                  <o:lock v:ext="edit" aspectratio="t"/>
                  <w10:wrap type="none"/>
                  <w10:anchorlock/>
                </v:shape>
              </w:pict>
            </w:r>
            <w:r>
              <w:rPr>
                <w:color w:val="auto"/>
                <w:sz w:val="24"/>
                <w:highlight w:val="none"/>
              </w:rPr>
              <w:pict>
                <v:shape id="_x0000_s3286" o:spid="_x0000_s3286" o:spt="202" type="#_x0000_t202" style="position:absolute;left:0pt;margin-left:197.9pt;margin-top:138.35pt;height:26.4pt;width:32.7pt;z-index:251660288;mso-width-relative:page;mso-height-relative:page;" filled="f" stroked="f" coordsize="21600,21600">
                  <v:path/>
                  <v:fill on="f" focussize="0,0"/>
                  <v:stroke on="f"/>
                  <v:imagedata o:title=""/>
                  <o:lock v:ext="edit" aspectratio="f"/>
                  <v:textbox>
                    <w:txbxContent>
                      <w:p>
                        <w:pPr>
                          <w:rPr>
                            <w:rFonts w:hint="eastAsia" w:eastAsia="宋体"/>
                            <w:color w:val="FF0000"/>
                            <w:sz w:val="32"/>
                            <w:szCs w:val="32"/>
                            <w:lang w:val="en-US" w:eastAsia="zh-CN"/>
                          </w:rPr>
                        </w:pPr>
                        <w:r>
                          <w:rPr>
                            <w:rFonts w:hint="eastAsia"/>
                            <w:color w:val="FF0000"/>
                            <w:sz w:val="32"/>
                            <w:szCs w:val="32"/>
                            <w:lang w:val="en-US" w:eastAsia="zh-CN"/>
                          </w:rPr>
                          <w:t>▲</w:t>
                        </w:r>
                      </w:p>
                    </w:txbxContent>
                  </v:textbox>
                </v:shape>
              </w:pict>
            </w:r>
            <w:r>
              <w:rPr>
                <w:color w:val="auto"/>
                <w:sz w:val="24"/>
                <w:highlight w:val="none"/>
              </w:rPr>
              <w:pict>
                <v:shape id="_x0000_s3287" o:spid="_x0000_s3287" o:spt="202" type="#_x0000_t202" style="position:absolute;left:0pt;margin-left:27.15pt;margin-top:271.65pt;height:24.8pt;width:102.05pt;z-index:251662336;mso-width-relative:page;mso-height-relative:page;" fillcolor="#FFFFFF" filled="t" stroked="t" coordsize="21600,21600">
                  <v:path/>
                  <v:fill on="t" color2="#FFFFFF" focussize="0,0"/>
                  <v:stroke color="#000000" joinstyle="miter"/>
                  <v:imagedata o:title=""/>
                  <o:lock v:ext="edit" aspectratio="f"/>
                  <v:textbox>
                    <w:txbxContent>
                      <w:p>
                        <w:pPr>
                          <w:rPr>
                            <w:rFonts w:hint="default" w:eastAsia="宋体"/>
                            <w:color w:val="000000" w:themeColor="text1"/>
                            <w:sz w:val="24"/>
                            <w:szCs w:val="24"/>
                            <w:lang w:val="en-US" w:eastAsia="zh-CN"/>
                          </w:rPr>
                        </w:pPr>
                        <w:r>
                          <w:rPr>
                            <w:rFonts w:hint="eastAsia"/>
                            <w:color w:val="FF0000"/>
                            <w:sz w:val="24"/>
                            <w:szCs w:val="24"/>
                            <w:lang w:val="en-US" w:eastAsia="zh-CN"/>
                          </w:rPr>
                          <w:t>▲</w:t>
                        </w:r>
                        <w:r>
                          <w:rPr>
                            <w:rFonts w:hint="eastAsia"/>
                            <w:color w:val="000000" w:themeColor="text1"/>
                            <w:sz w:val="24"/>
                            <w:szCs w:val="24"/>
                            <w:lang w:val="en-US" w:eastAsia="zh-CN"/>
                          </w:rPr>
                          <w:t>噪声监测点位</w:t>
                        </w:r>
                      </w:p>
                    </w:txbxContent>
                  </v:textbox>
                </v:shape>
              </w:pict>
            </w:r>
          </w:p>
          <w:p>
            <w:pPr>
              <w:spacing w:line="360" w:lineRule="auto"/>
              <w:ind w:firstLine="482" w:firstLineChars="200"/>
              <w:jc w:val="center"/>
              <w:rPr>
                <w:color w:val="auto"/>
                <w:sz w:val="24"/>
                <w:highlight w:val="none"/>
              </w:rPr>
            </w:pPr>
            <w:r>
              <w:rPr>
                <w:rFonts w:hint="eastAsia" w:ascii="Times New Roman" w:hAnsi="Times New Roman" w:eastAsia="宋体" w:cs="Times New Roman"/>
                <w:b/>
                <w:bCs/>
                <w:color w:val="auto"/>
                <w:kern w:val="2"/>
                <w:sz w:val="24"/>
                <w:szCs w:val="24"/>
                <w:highlight w:val="none"/>
                <w:lang w:val="en-US" w:eastAsia="zh-CN" w:bidi="ar-SA"/>
              </w:rPr>
              <w:t>图3-</w:t>
            </w:r>
            <w:r>
              <w:rPr>
                <w:rFonts w:hint="eastAsia" w:cs="Times New Roman"/>
                <w:b/>
                <w:bCs/>
                <w:color w:val="auto"/>
                <w:kern w:val="2"/>
                <w:sz w:val="24"/>
                <w:szCs w:val="24"/>
                <w:highlight w:val="none"/>
                <w:lang w:val="en-US" w:eastAsia="zh-CN" w:bidi="ar-SA"/>
              </w:rPr>
              <w:t>2</w:t>
            </w:r>
            <w:r>
              <w:rPr>
                <w:rFonts w:hint="eastAsia" w:ascii="Times New Roman" w:hAnsi="Times New Roman" w:eastAsia="宋体" w:cs="Times New Roman"/>
                <w:b/>
                <w:bCs/>
                <w:color w:val="auto"/>
                <w:kern w:val="2"/>
                <w:sz w:val="24"/>
                <w:szCs w:val="24"/>
                <w:highlight w:val="none"/>
                <w:lang w:val="en-US" w:eastAsia="zh-CN" w:bidi="ar-SA"/>
              </w:rPr>
              <w:t xml:space="preserve"> 项目监测布点图</w:t>
            </w:r>
          </w:p>
          <w:p>
            <w:pPr>
              <w:spacing w:line="360" w:lineRule="auto"/>
              <w:ind w:firstLine="480" w:firstLineChars="200"/>
              <w:rPr>
                <w:color w:val="auto"/>
                <w:sz w:val="24"/>
                <w:highlight w:val="none"/>
              </w:rPr>
            </w:pPr>
            <w:r>
              <w:rPr>
                <w:rFonts w:hint="eastAsia"/>
                <w:color w:val="auto"/>
                <w:sz w:val="24"/>
                <w:highlight w:val="none"/>
              </w:rPr>
              <w:t>⑤</w:t>
            </w:r>
            <w:r>
              <w:rPr>
                <w:color w:val="auto"/>
                <w:sz w:val="24"/>
                <w:highlight w:val="none"/>
              </w:rPr>
              <w:t>监测仪器</w:t>
            </w:r>
          </w:p>
          <w:p>
            <w:pPr>
              <w:spacing w:line="360" w:lineRule="auto"/>
              <w:ind w:firstLine="465"/>
              <w:rPr>
                <w:bCs/>
                <w:color w:val="auto"/>
                <w:sz w:val="24"/>
                <w:highlight w:val="none"/>
              </w:rPr>
            </w:pPr>
            <w:r>
              <w:rPr>
                <w:bCs/>
                <w:color w:val="auto"/>
                <w:sz w:val="24"/>
                <w:highlight w:val="none"/>
              </w:rPr>
              <w:t>噪声监测仪器见</w:t>
            </w:r>
            <w:r>
              <w:rPr>
                <w:b/>
                <w:color w:val="auto"/>
                <w:sz w:val="24"/>
                <w:highlight w:val="none"/>
              </w:rPr>
              <w:t>表3-</w:t>
            </w:r>
            <w:r>
              <w:rPr>
                <w:rFonts w:hint="eastAsia"/>
                <w:b/>
                <w:color w:val="auto"/>
                <w:sz w:val="24"/>
                <w:highlight w:val="none"/>
                <w:lang w:val="en-US" w:eastAsia="zh-CN"/>
              </w:rPr>
              <w:t>4</w:t>
            </w:r>
            <w:r>
              <w:rPr>
                <w:bCs/>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4</w:t>
            </w:r>
            <w:r>
              <w:rPr>
                <w:rFonts w:eastAsia="黑体"/>
                <w:b/>
                <w:color w:val="auto"/>
                <w:sz w:val="24"/>
                <w:highlight w:val="none"/>
              </w:rPr>
              <w:t xml:space="preserve">  监测仪器一览表</w:t>
            </w:r>
          </w:p>
          <w:tbl>
            <w:tblPr>
              <w:tblStyle w:val="24"/>
              <w:tblW w:w="827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1746"/>
              <w:gridCol w:w="1500"/>
              <w:gridCol w:w="1142"/>
              <w:gridCol w:w="31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09"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项目</w:t>
                  </w:r>
                </w:p>
              </w:tc>
              <w:tc>
                <w:tcPr>
                  <w:tcW w:w="7561" w:type="dxa"/>
                  <w:gridSpan w:val="4"/>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噪声及气象参数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restart"/>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宁夏盛世蓝天环保技术有限公司</w:t>
                  </w:r>
                </w:p>
              </w:tc>
              <w:tc>
                <w:tcPr>
                  <w:tcW w:w="1746"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仪器名称及型号</w:t>
                  </w:r>
                </w:p>
              </w:tc>
              <w:tc>
                <w:tcPr>
                  <w:tcW w:w="1500"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测量范围</w:t>
                  </w:r>
                </w:p>
              </w:tc>
              <w:tc>
                <w:tcPr>
                  <w:tcW w:w="1142"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生产厂家</w:t>
                  </w:r>
                </w:p>
              </w:tc>
              <w:tc>
                <w:tcPr>
                  <w:tcW w:w="3173"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检定与校准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continue"/>
                  <w:tcBorders>
                    <w:tl2br w:val="nil"/>
                    <w:tr2bl w:val="nil"/>
                  </w:tcBorders>
                  <w:vAlign w:val="center"/>
                </w:tcPr>
                <w:p>
                  <w:pPr>
                    <w:spacing w:line="240" w:lineRule="atLeast"/>
                    <w:rPr>
                      <w:color w:val="auto"/>
                      <w:szCs w:val="21"/>
                      <w:highlight w:val="none"/>
                    </w:rPr>
                  </w:pPr>
                </w:p>
              </w:tc>
              <w:tc>
                <w:tcPr>
                  <w:tcW w:w="1746" w:type="dxa"/>
                  <w:tcBorders>
                    <w:tl2br w:val="nil"/>
                    <w:tr2bl w:val="nil"/>
                  </w:tcBorders>
                  <w:vAlign w:val="center"/>
                </w:tcPr>
                <w:p>
                  <w:pPr>
                    <w:spacing w:line="240" w:lineRule="atLeast"/>
                    <w:jc w:val="center"/>
                    <w:rPr>
                      <w:color w:val="auto"/>
                      <w:szCs w:val="21"/>
                      <w:highlight w:val="none"/>
                    </w:rPr>
                  </w:pPr>
                  <w:r>
                    <w:rPr>
                      <w:color w:val="auto"/>
                      <w:szCs w:val="21"/>
                      <w:highlight w:val="none"/>
                    </w:rPr>
                    <w:t>AWA5688</w:t>
                  </w:r>
                </w:p>
                <w:p>
                  <w:pPr>
                    <w:spacing w:line="240" w:lineRule="atLeast"/>
                    <w:jc w:val="center"/>
                    <w:rPr>
                      <w:color w:val="auto"/>
                      <w:szCs w:val="21"/>
                      <w:highlight w:val="none"/>
                    </w:rPr>
                  </w:pPr>
                  <w:r>
                    <w:rPr>
                      <w:color w:val="auto"/>
                      <w:szCs w:val="21"/>
                      <w:highlight w:val="none"/>
                    </w:rPr>
                    <w:t>多功能声级计</w:t>
                  </w:r>
                </w:p>
              </w:tc>
              <w:tc>
                <w:tcPr>
                  <w:tcW w:w="1500" w:type="dxa"/>
                  <w:tcBorders>
                    <w:tl2br w:val="nil"/>
                    <w:tr2bl w:val="nil"/>
                  </w:tcBorders>
                  <w:vAlign w:val="center"/>
                </w:tcPr>
                <w:p>
                  <w:pPr>
                    <w:spacing w:line="240" w:lineRule="atLeast"/>
                    <w:jc w:val="center"/>
                    <w:rPr>
                      <w:color w:val="auto"/>
                      <w:szCs w:val="21"/>
                      <w:highlight w:val="none"/>
                    </w:rPr>
                  </w:pPr>
                  <w:r>
                    <w:rPr>
                      <w:color w:val="auto"/>
                      <w:szCs w:val="21"/>
                      <w:highlight w:val="none"/>
                    </w:rPr>
                    <w:t>30dB～130dB</w:t>
                  </w:r>
                </w:p>
              </w:tc>
              <w:tc>
                <w:tcPr>
                  <w:tcW w:w="1142" w:type="dxa"/>
                  <w:tcBorders>
                    <w:tl2br w:val="nil"/>
                    <w:tr2bl w:val="nil"/>
                  </w:tcBorders>
                  <w:vAlign w:val="center"/>
                </w:tcPr>
                <w:p>
                  <w:pPr>
                    <w:spacing w:line="240" w:lineRule="atLeast"/>
                    <w:jc w:val="center"/>
                    <w:rPr>
                      <w:color w:val="auto"/>
                      <w:szCs w:val="21"/>
                      <w:highlight w:val="none"/>
                    </w:rPr>
                  </w:pPr>
                  <w:r>
                    <w:rPr>
                      <w:color w:val="auto"/>
                      <w:szCs w:val="21"/>
                      <w:highlight w:val="none"/>
                    </w:rPr>
                    <w:t>杭州爱华仪器有限公司</w:t>
                  </w:r>
                </w:p>
              </w:tc>
              <w:tc>
                <w:tcPr>
                  <w:tcW w:w="3173" w:type="dxa"/>
                  <w:tcBorders>
                    <w:tl2br w:val="nil"/>
                    <w:tr2bl w:val="nil"/>
                  </w:tcBorders>
                  <w:vAlign w:val="center"/>
                </w:tcPr>
                <w:p>
                  <w:pPr>
                    <w:spacing w:line="240" w:lineRule="atLeast"/>
                    <w:jc w:val="left"/>
                    <w:rPr>
                      <w:color w:val="auto"/>
                      <w:szCs w:val="21"/>
                      <w:highlight w:val="none"/>
                    </w:rPr>
                  </w:pPr>
                  <w:r>
                    <w:rPr>
                      <w:color w:val="auto"/>
                      <w:szCs w:val="21"/>
                      <w:highlight w:val="none"/>
                    </w:rPr>
                    <w:t>出厂编号：10329747</w:t>
                  </w:r>
                </w:p>
                <w:p>
                  <w:pPr>
                    <w:spacing w:line="240" w:lineRule="atLeast"/>
                    <w:jc w:val="left"/>
                    <w:rPr>
                      <w:color w:val="auto"/>
                      <w:szCs w:val="21"/>
                      <w:highlight w:val="none"/>
                    </w:rPr>
                  </w:pPr>
                  <w:r>
                    <w:rPr>
                      <w:color w:val="auto"/>
                      <w:szCs w:val="21"/>
                      <w:highlight w:val="none"/>
                    </w:rPr>
                    <w:t>设备编号：LT-03</w:t>
                  </w:r>
                </w:p>
                <w:p>
                  <w:pPr>
                    <w:spacing w:line="240" w:lineRule="atLeast"/>
                    <w:jc w:val="left"/>
                    <w:rPr>
                      <w:color w:val="auto"/>
                      <w:szCs w:val="21"/>
                      <w:highlight w:val="none"/>
                    </w:rPr>
                  </w:pPr>
                  <w:r>
                    <w:rPr>
                      <w:color w:val="auto"/>
                      <w:szCs w:val="21"/>
                      <w:highlight w:val="none"/>
                    </w:rPr>
                    <w:t>检定单位：</w:t>
                  </w:r>
                  <w:r>
                    <w:rPr>
                      <w:rFonts w:hint="eastAsia"/>
                      <w:color w:val="auto"/>
                      <w:szCs w:val="21"/>
                      <w:highlight w:val="none"/>
                    </w:rPr>
                    <w:t>宁夏计量质量检验检测研究院</w:t>
                  </w:r>
                </w:p>
                <w:p>
                  <w:pPr>
                    <w:spacing w:line="240" w:lineRule="atLeast"/>
                    <w:jc w:val="left"/>
                    <w:rPr>
                      <w:color w:val="auto"/>
                      <w:szCs w:val="21"/>
                      <w:highlight w:val="none"/>
                    </w:rPr>
                  </w:pPr>
                  <w:r>
                    <w:rPr>
                      <w:color w:val="auto"/>
                      <w:szCs w:val="21"/>
                      <w:highlight w:val="none"/>
                    </w:rPr>
                    <w:t>检定证书号：</w:t>
                  </w:r>
                  <w:r>
                    <w:rPr>
                      <w:rFonts w:hint="eastAsia"/>
                      <w:color w:val="auto"/>
                      <w:szCs w:val="21"/>
                      <w:highlight w:val="none"/>
                    </w:rPr>
                    <w:t>22006662-001</w:t>
                  </w:r>
                </w:p>
                <w:p>
                  <w:pPr>
                    <w:spacing w:line="240" w:lineRule="atLeast"/>
                    <w:jc w:val="left"/>
                    <w:rPr>
                      <w:color w:val="auto"/>
                      <w:szCs w:val="21"/>
                      <w:highlight w:val="none"/>
                    </w:rPr>
                  </w:pPr>
                  <w:r>
                    <w:rPr>
                      <w:color w:val="auto"/>
                      <w:szCs w:val="21"/>
                      <w:highlight w:val="none"/>
                    </w:rPr>
                    <w:t>有效期：202</w:t>
                  </w:r>
                  <w:r>
                    <w:rPr>
                      <w:rFonts w:hint="eastAsia"/>
                      <w:color w:val="auto"/>
                      <w:szCs w:val="21"/>
                      <w:highlight w:val="none"/>
                    </w:rPr>
                    <w:t>2.3.24-2023.3.23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continue"/>
                  <w:tcBorders>
                    <w:tl2br w:val="nil"/>
                    <w:tr2bl w:val="nil"/>
                  </w:tcBorders>
                  <w:vAlign w:val="center"/>
                </w:tcPr>
                <w:p>
                  <w:pPr>
                    <w:spacing w:line="240" w:lineRule="atLeast"/>
                    <w:rPr>
                      <w:color w:val="auto"/>
                      <w:szCs w:val="21"/>
                      <w:highlight w:val="none"/>
                    </w:rPr>
                  </w:pPr>
                </w:p>
              </w:tc>
              <w:tc>
                <w:tcPr>
                  <w:tcW w:w="1746" w:type="dxa"/>
                  <w:tcBorders>
                    <w:tl2br w:val="nil"/>
                    <w:tr2bl w:val="nil"/>
                  </w:tcBorders>
                  <w:vAlign w:val="center"/>
                </w:tcPr>
                <w:p>
                  <w:pPr>
                    <w:spacing w:line="240" w:lineRule="atLeast"/>
                    <w:jc w:val="center"/>
                    <w:rPr>
                      <w:color w:val="auto"/>
                      <w:szCs w:val="21"/>
                      <w:highlight w:val="none"/>
                    </w:rPr>
                  </w:pPr>
                  <w:r>
                    <w:rPr>
                      <w:color w:val="auto"/>
                      <w:szCs w:val="21"/>
                      <w:highlight w:val="none"/>
                    </w:rPr>
                    <w:t>AWA6221A</w:t>
                  </w:r>
                </w:p>
                <w:p>
                  <w:pPr>
                    <w:spacing w:line="240" w:lineRule="atLeast"/>
                    <w:jc w:val="center"/>
                    <w:rPr>
                      <w:color w:val="auto"/>
                      <w:szCs w:val="21"/>
                      <w:highlight w:val="none"/>
                    </w:rPr>
                  </w:pPr>
                  <w:r>
                    <w:rPr>
                      <w:color w:val="auto"/>
                      <w:szCs w:val="21"/>
                      <w:highlight w:val="none"/>
                    </w:rPr>
                    <w:t>声校准器</w:t>
                  </w:r>
                </w:p>
              </w:tc>
              <w:tc>
                <w:tcPr>
                  <w:tcW w:w="1500" w:type="dxa"/>
                  <w:tcBorders>
                    <w:tl2br w:val="nil"/>
                    <w:tr2bl w:val="nil"/>
                  </w:tcBorders>
                  <w:vAlign w:val="center"/>
                </w:tcPr>
                <w:p>
                  <w:pPr>
                    <w:spacing w:line="240" w:lineRule="atLeast"/>
                    <w:jc w:val="center"/>
                    <w:rPr>
                      <w:color w:val="auto"/>
                      <w:szCs w:val="21"/>
                      <w:highlight w:val="none"/>
                    </w:rPr>
                  </w:pPr>
                  <w:r>
                    <w:rPr>
                      <w:color w:val="auto"/>
                      <w:szCs w:val="21"/>
                      <w:highlight w:val="none"/>
                    </w:rPr>
                    <w:t>标准声压级：94.0dB</w:t>
                  </w:r>
                </w:p>
              </w:tc>
              <w:tc>
                <w:tcPr>
                  <w:tcW w:w="1142" w:type="dxa"/>
                  <w:tcBorders>
                    <w:tl2br w:val="nil"/>
                    <w:tr2bl w:val="nil"/>
                  </w:tcBorders>
                  <w:vAlign w:val="center"/>
                </w:tcPr>
                <w:p>
                  <w:pPr>
                    <w:spacing w:line="240" w:lineRule="atLeast"/>
                    <w:jc w:val="center"/>
                    <w:rPr>
                      <w:color w:val="auto"/>
                      <w:szCs w:val="21"/>
                      <w:highlight w:val="none"/>
                    </w:rPr>
                  </w:pPr>
                  <w:r>
                    <w:rPr>
                      <w:color w:val="auto"/>
                      <w:szCs w:val="21"/>
                      <w:highlight w:val="none"/>
                    </w:rPr>
                    <w:t>杭州爱华仪器有限公司</w:t>
                  </w:r>
                </w:p>
              </w:tc>
              <w:tc>
                <w:tcPr>
                  <w:tcW w:w="3173" w:type="dxa"/>
                  <w:tcBorders>
                    <w:tl2br w:val="nil"/>
                    <w:tr2bl w:val="nil"/>
                  </w:tcBorders>
                  <w:vAlign w:val="center"/>
                </w:tcPr>
                <w:p>
                  <w:pPr>
                    <w:spacing w:line="240" w:lineRule="atLeast"/>
                    <w:jc w:val="left"/>
                    <w:rPr>
                      <w:color w:val="auto"/>
                      <w:szCs w:val="21"/>
                      <w:highlight w:val="none"/>
                    </w:rPr>
                  </w:pPr>
                  <w:r>
                    <w:rPr>
                      <w:color w:val="auto"/>
                      <w:szCs w:val="21"/>
                      <w:highlight w:val="none"/>
                    </w:rPr>
                    <w:t>出厂编号：1007026</w:t>
                  </w:r>
                </w:p>
                <w:p>
                  <w:pPr>
                    <w:spacing w:line="240" w:lineRule="atLeast"/>
                    <w:jc w:val="left"/>
                    <w:rPr>
                      <w:color w:val="auto"/>
                      <w:szCs w:val="21"/>
                      <w:highlight w:val="none"/>
                    </w:rPr>
                  </w:pPr>
                  <w:r>
                    <w:rPr>
                      <w:color w:val="auto"/>
                      <w:szCs w:val="21"/>
                      <w:highlight w:val="none"/>
                    </w:rPr>
                    <w:t>设备编号：LT-03-1</w:t>
                  </w:r>
                </w:p>
                <w:p>
                  <w:pPr>
                    <w:spacing w:line="240" w:lineRule="atLeast"/>
                    <w:jc w:val="left"/>
                    <w:rPr>
                      <w:color w:val="auto"/>
                      <w:szCs w:val="21"/>
                      <w:highlight w:val="none"/>
                    </w:rPr>
                  </w:pPr>
                  <w:r>
                    <w:rPr>
                      <w:color w:val="auto"/>
                      <w:szCs w:val="21"/>
                      <w:highlight w:val="none"/>
                    </w:rPr>
                    <w:t>检定单位：深圳天溯计量检测股份有限公司</w:t>
                  </w:r>
                </w:p>
                <w:p>
                  <w:pPr>
                    <w:spacing w:line="240" w:lineRule="atLeast"/>
                    <w:jc w:val="left"/>
                    <w:rPr>
                      <w:color w:val="auto"/>
                      <w:szCs w:val="21"/>
                      <w:highlight w:val="none"/>
                    </w:rPr>
                  </w:pPr>
                  <w:r>
                    <w:rPr>
                      <w:color w:val="auto"/>
                      <w:szCs w:val="21"/>
                      <w:highlight w:val="none"/>
                    </w:rPr>
                    <w:t>检定证书号：Z202</w:t>
                  </w:r>
                  <w:r>
                    <w:rPr>
                      <w:rFonts w:hint="eastAsia"/>
                      <w:color w:val="auto"/>
                      <w:szCs w:val="21"/>
                      <w:highlight w:val="none"/>
                    </w:rPr>
                    <w:t>23</w:t>
                  </w:r>
                  <w:r>
                    <w:rPr>
                      <w:color w:val="auto"/>
                      <w:szCs w:val="21"/>
                      <w:highlight w:val="none"/>
                    </w:rPr>
                    <w:t>-D001</w:t>
                  </w:r>
                  <w:r>
                    <w:rPr>
                      <w:rFonts w:hint="eastAsia"/>
                      <w:color w:val="auto"/>
                      <w:szCs w:val="21"/>
                      <w:highlight w:val="none"/>
                    </w:rPr>
                    <w:t>052</w:t>
                  </w:r>
                </w:p>
                <w:p>
                  <w:pPr>
                    <w:spacing w:line="240" w:lineRule="atLeast"/>
                    <w:jc w:val="left"/>
                    <w:rPr>
                      <w:color w:val="auto"/>
                      <w:szCs w:val="21"/>
                      <w:highlight w:val="none"/>
                    </w:rPr>
                  </w:pPr>
                  <w:r>
                    <w:rPr>
                      <w:color w:val="auto"/>
                      <w:szCs w:val="21"/>
                      <w:highlight w:val="none"/>
                    </w:rPr>
                    <w:t>有效期：202</w:t>
                  </w:r>
                  <w:r>
                    <w:rPr>
                      <w:rFonts w:hint="eastAsia"/>
                      <w:color w:val="auto"/>
                      <w:szCs w:val="21"/>
                      <w:highlight w:val="none"/>
                    </w:rPr>
                    <w:t>2.3.25-2023.3.24</w:t>
                  </w:r>
                </w:p>
              </w:tc>
            </w:tr>
          </w:tbl>
          <w:p>
            <w:pPr>
              <w:spacing w:line="360" w:lineRule="auto"/>
              <w:ind w:firstLine="480" w:firstLineChars="200"/>
              <w:rPr>
                <w:color w:val="auto"/>
                <w:sz w:val="24"/>
                <w:highlight w:val="none"/>
              </w:rPr>
            </w:pPr>
          </w:p>
          <w:p>
            <w:pPr>
              <w:spacing w:line="360" w:lineRule="auto"/>
              <w:ind w:firstLine="480" w:firstLineChars="200"/>
              <w:rPr>
                <w:color w:val="auto"/>
                <w:sz w:val="24"/>
                <w:highlight w:val="none"/>
              </w:rPr>
            </w:pPr>
            <w:r>
              <w:rPr>
                <w:rFonts w:hint="eastAsia"/>
                <w:color w:val="auto"/>
                <w:sz w:val="24"/>
                <w:highlight w:val="none"/>
              </w:rPr>
              <w:t>⑥</w:t>
            </w:r>
            <w:r>
              <w:rPr>
                <w:color w:val="auto"/>
                <w:sz w:val="24"/>
                <w:highlight w:val="none"/>
              </w:rPr>
              <w:t>监测条件</w:t>
            </w:r>
          </w:p>
          <w:p>
            <w:pPr>
              <w:spacing w:line="360" w:lineRule="auto"/>
              <w:ind w:firstLine="480" w:firstLineChars="200"/>
              <w:rPr>
                <w:color w:val="auto"/>
                <w:sz w:val="24"/>
                <w:highlight w:val="none"/>
              </w:rPr>
            </w:pPr>
            <w:r>
              <w:rPr>
                <w:color w:val="auto"/>
                <w:sz w:val="24"/>
                <w:highlight w:val="none"/>
              </w:rPr>
              <w:t>本项目监测期间气象参数见</w:t>
            </w:r>
            <w:r>
              <w:rPr>
                <w:b/>
                <w:bCs/>
                <w:color w:val="auto"/>
                <w:sz w:val="24"/>
                <w:highlight w:val="none"/>
              </w:rPr>
              <w:t>表3-</w:t>
            </w:r>
            <w:r>
              <w:rPr>
                <w:rFonts w:hint="eastAsia"/>
                <w:b/>
                <w:bCs/>
                <w:color w:val="auto"/>
                <w:sz w:val="24"/>
                <w:highlight w:val="none"/>
                <w:lang w:val="en-US" w:eastAsia="zh-CN"/>
              </w:rPr>
              <w:t>5</w:t>
            </w:r>
            <w:r>
              <w:rPr>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5</w:t>
            </w:r>
            <w:r>
              <w:rPr>
                <w:rFonts w:eastAsia="黑体"/>
                <w:b/>
                <w:color w:val="auto"/>
                <w:sz w:val="24"/>
                <w:highlight w:val="none"/>
              </w:rPr>
              <w:t xml:space="preserve">  气象参数一览表</w:t>
            </w:r>
          </w:p>
          <w:tbl>
            <w:tblPr>
              <w:tblStyle w:val="24"/>
              <w:tblW w:w="830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331"/>
              <w:gridCol w:w="945"/>
              <w:gridCol w:w="1245"/>
              <w:gridCol w:w="1170"/>
              <w:gridCol w:w="1065"/>
              <w:gridCol w:w="15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331"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监测日期</w:t>
                  </w:r>
                </w:p>
              </w:tc>
              <w:tc>
                <w:tcPr>
                  <w:tcW w:w="94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天气</w:t>
                  </w:r>
                </w:p>
              </w:tc>
              <w:tc>
                <w:tcPr>
                  <w:tcW w:w="124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环境温度</w:t>
                  </w:r>
                </w:p>
                <w:p>
                  <w:pPr>
                    <w:adjustRightInd w:val="0"/>
                    <w:snapToGrid w:val="0"/>
                    <w:jc w:val="center"/>
                    <w:rPr>
                      <w:b/>
                      <w:color w:val="auto"/>
                      <w:szCs w:val="21"/>
                      <w:highlight w:val="none"/>
                    </w:rPr>
                  </w:pPr>
                  <w:r>
                    <w:rPr>
                      <w:b/>
                      <w:color w:val="auto"/>
                      <w:szCs w:val="21"/>
                      <w:highlight w:val="none"/>
                    </w:rPr>
                    <w:t>（</w:t>
                  </w:r>
                  <w:r>
                    <w:rPr>
                      <w:rFonts w:hint="eastAsia" w:ascii="宋体" w:hAnsi="宋体" w:cs="宋体"/>
                      <w:b/>
                      <w:color w:val="auto"/>
                      <w:szCs w:val="21"/>
                      <w:highlight w:val="none"/>
                    </w:rPr>
                    <w:t>℃</w:t>
                  </w:r>
                  <w:r>
                    <w:rPr>
                      <w:b/>
                      <w:color w:val="auto"/>
                      <w:szCs w:val="21"/>
                      <w:highlight w:val="none"/>
                    </w:rPr>
                    <w:t>）</w:t>
                  </w:r>
                </w:p>
              </w:tc>
              <w:tc>
                <w:tcPr>
                  <w:tcW w:w="1170"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湿度</w:t>
                  </w:r>
                </w:p>
                <w:p>
                  <w:pPr>
                    <w:adjustRightInd w:val="0"/>
                    <w:snapToGrid w:val="0"/>
                    <w:jc w:val="center"/>
                    <w:rPr>
                      <w:b/>
                      <w:color w:val="auto"/>
                      <w:szCs w:val="21"/>
                      <w:highlight w:val="none"/>
                    </w:rPr>
                  </w:pPr>
                  <w:r>
                    <w:rPr>
                      <w:b/>
                      <w:color w:val="auto"/>
                      <w:szCs w:val="21"/>
                      <w:highlight w:val="none"/>
                    </w:rPr>
                    <w:t>（%）</w:t>
                  </w:r>
                </w:p>
              </w:tc>
              <w:tc>
                <w:tcPr>
                  <w:tcW w:w="106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风速</w:t>
                  </w:r>
                </w:p>
                <w:p>
                  <w:pPr>
                    <w:adjustRightInd w:val="0"/>
                    <w:snapToGrid w:val="0"/>
                    <w:jc w:val="center"/>
                    <w:rPr>
                      <w:b/>
                      <w:color w:val="auto"/>
                      <w:szCs w:val="21"/>
                      <w:highlight w:val="none"/>
                    </w:rPr>
                  </w:pPr>
                  <w:r>
                    <w:rPr>
                      <w:b/>
                      <w:color w:val="auto"/>
                      <w:szCs w:val="21"/>
                      <w:highlight w:val="none"/>
                    </w:rPr>
                    <w:t>（m/s）</w:t>
                  </w:r>
                </w:p>
              </w:tc>
              <w:tc>
                <w:tcPr>
                  <w:tcW w:w="1544"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大气压</w:t>
                  </w:r>
                </w:p>
                <w:p>
                  <w:pPr>
                    <w:adjustRightInd w:val="0"/>
                    <w:snapToGrid w:val="0"/>
                    <w:jc w:val="center"/>
                    <w:rPr>
                      <w:b/>
                      <w:color w:val="auto"/>
                      <w:szCs w:val="21"/>
                      <w:highlight w:val="none"/>
                    </w:rPr>
                  </w:pPr>
                  <w:r>
                    <w:rPr>
                      <w:b/>
                      <w:color w:val="auto"/>
                      <w:szCs w:val="21"/>
                      <w:highlight w:val="none"/>
                    </w:rPr>
                    <w:t>（hPa）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331" w:type="dxa"/>
                  <w:tcBorders>
                    <w:tl2br w:val="nil"/>
                    <w:tr2bl w:val="nil"/>
                  </w:tcBorders>
                  <w:vAlign w:val="center"/>
                </w:tcPr>
                <w:p>
                  <w:pPr>
                    <w:adjustRightInd w:val="0"/>
                    <w:jc w:val="center"/>
                    <w:rPr>
                      <w:color w:val="auto"/>
                      <w:szCs w:val="21"/>
                      <w:highlight w:val="none"/>
                    </w:rPr>
                  </w:pPr>
                  <w:r>
                    <w:rPr>
                      <w:color w:val="auto"/>
                      <w:szCs w:val="21"/>
                      <w:highlight w:val="none"/>
                    </w:rPr>
                    <w:t>202</w:t>
                  </w:r>
                  <w:r>
                    <w:rPr>
                      <w:rFonts w:hint="eastAsia"/>
                      <w:color w:val="auto"/>
                      <w:szCs w:val="21"/>
                      <w:highlight w:val="none"/>
                    </w:rPr>
                    <w:t>2.7.26-7.27</w:t>
                  </w:r>
                </w:p>
              </w:tc>
              <w:tc>
                <w:tcPr>
                  <w:tcW w:w="945" w:type="dxa"/>
                  <w:tcBorders>
                    <w:tl2br w:val="nil"/>
                    <w:tr2bl w:val="nil"/>
                  </w:tcBorders>
                  <w:vAlign w:val="center"/>
                </w:tcPr>
                <w:p>
                  <w:pPr>
                    <w:adjustRightInd w:val="0"/>
                    <w:jc w:val="center"/>
                    <w:rPr>
                      <w:b/>
                      <w:color w:val="auto"/>
                      <w:szCs w:val="21"/>
                      <w:highlight w:val="none"/>
                    </w:rPr>
                  </w:pPr>
                  <w:r>
                    <w:rPr>
                      <w:color w:val="auto"/>
                      <w:szCs w:val="21"/>
                      <w:highlight w:val="none"/>
                    </w:rPr>
                    <w:t>晴</w:t>
                  </w:r>
                </w:p>
              </w:tc>
              <w:tc>
                <w:tcPr>
                  <w:tcW w:w="1245"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22.3</w:t>
                  </w:r>
                  <w:r>
                    <w:rPr>
                      <w:bCs/>
                      <w:color w:val="auto"/>
                      <w:szCs w:val="21"/>
                      <w:highlight w:val="none"/>
                    </w:rPr>
                    <w:t>~</w:t>
                  </w:r>
                  <w:r>
                    <w:rPr>
                      <w:rFonts w:hint="eastAsia"/>
                      <w:bCs/>
                      <w:color w:val="auto"/>
                      <w:szCs w:val="21"/>
                      <w:highlight w:val="none"/>
                    </w:rPr>
                    <w:t>31.1</w:t>
                  </w:r>
                </w:p>
              </w:tc>
              <w:tc>
                <w:tcPr>
                  <w:tcW w:w="1170"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33.1~37.2</w:t>
                  </w:r>
                </w:p>
              </w:tc>
              <w:tc>
                <w:tcPr>
                  <w:tcW w:w="1065"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1.2~2.0</w:t>
                  </w:r>
                </w:p>
              </w:tc>
              <w:tc>
                <w:tcPr>
                  <w:tcW w:w="1544" w:type="dxa"/>
                  <w:tcBorders>
                    <w:tl2br w:val="nil"/>
                    <w:tr2bl w:val="nil"/>
                  </w:tcBorders>
                  <w:vAlign w:val="center"/>
                </w:tcPr>
                <w:p>
                  <w:pPr>
                    <w:jc w:val="center"/>
                    <w:rPr>
                      <w:bCs/>
                      <w:color w:val="auto"/>
                      <w:szCs w:val="21"/>
                      <w:highlight w:val="none"/>
                    </w:rPr>
                  </w:pPr>
                  <w:r>
                    <w:rPr>
                      <w:rFonts w:hint="eastAsia"/>
                      <w:bCs/>
                      <w:color w:val="auto"/>
                      <w:szCs w:val="21"/>
                      <w:highlight w:val="none"/>
                    </w:rPr>
                    <w:t>886.2~895.7</w:t>
                  </w:r>
                </w:p>
              </w:tc>
            </w:tr>
          </w:tbl>
          <w:p>
            <w:pPr>
              <w:spacing w:line="360" w:lineRule="auto"/>
              <w:ind w:firstLine="480" w:firstLineChars="200"/>
              <w:rPr>
                <w:color w:val="auto"/>
                <w:sz w:val="24"/>
                <w:highlight w:val="none"/>
              </w:rPr>
            </w:pPr>
          </w:p>
          <w:p>
            <w:pPr>
              <w:spacing w:line="360" w:lineRule="auto"/>
              <w:ind w:firstLine="480" w:firstLineChars="200"/>
              <w:rPr>
                <w:color w:val="auto"/>
                <w:sz w:val="24"/>
                <w:highlight w:val="none"/>
              </w:rPr>
            </w:pPr>
            <w:r>
              <w:rPr>
                <w:rFonts w:hint="eastAsia"/>
                <w:color w:val="auto"/>
                <w:sz w:val="24"/>
                <w:highlight w:val="none"/>
              </w:rPr>
              <w:t>⑦</w:t>
            </w:r>
            <w:r>
              <w:rPr>
                <w:color w:val="auto"/>
                <w:sz w:val="24"/>
                <w:highlight w:val="none"/>
              </w:rPr>
              <w:t>质量控制</w:t>
            </w:r>
          </w:p>
          <w:p>
            <w:pPr>
              <w:spacing w:line="360" w:lineRule="auto"/>
              <w:ind w:firstLine="480" w:firstLineChars="200"/>
              <w:rPr>
                <w:color w:val="auto"/>
                <w:sz w:val="24"/>
                <w:highlight w:val="none"/>
              </w:rPr>
            </w:pPr>
            <w:r>
              <w:rPr>
                <w:color w:val="auto"/>
                <w:sz w:val="24"/>
                <w:highlight w:val="none"/>
              </w:rPr>
              <w:t>噪声测量仪器性能必须符合《声级计电声性能及测量方法》（GB/T3785-2010）规定，并在测量前后进行校准。</w:t>
            </w:r>
          </w:p>
          <w:p>
            <w:pPr>
              <w:spacing w:line="360" w:lineRule="auto"/>
              <w:ind w:firstLine="470" w:firstLineChars="196"/>
              <w:rPr>
                <w:color w:val="auto"/>
                <w:sz w:val="24"/>
                <w:highlight w:val="none"/>
              </w:rPr>
            </w:pPr>
            <w:r>
              <w:rPr>
                <w:rFonts w:hint="eastAsia"/>
                <w:color w:val="auto"/>
                <w:sz w:val="24"/>
                <w:highlight w:val="none"/>
              </w:rPr>
              <w:t>⑧</w:t>
            </w:r>
            <w:r>
              <w:rPr>
                <w:color w:val="auto"/>
                <w:sz w:val="24"/>
                <w:highlight w:val="none"/>
              </w:rPr>
              <w:t>评价标准</w:t>
            </w:r>
          </w:p>
          <w:p>
            <w:pPr>
              <w:spacing w:line="360" w:lineRule="auto"/>
              <w:ind w:firstLine="470" w:firstLineChars="196"/>
              <w:jc w:val="left"/>
              <w:rPr>
                <w:color w:val="auto"/>
                <w:sz w:val="24"/>
                <w:highlight w:val="none"/>
              </w:rPr>
            </w:pPr>
            <w:r>
              <w:rPr>
                <w:color w:val="auto"/>
                <w:sz w:val="24"/>
                <w:highlight w:val="none"/>
              </w:rPr>
              <w:t>本项目所在区域执行《声环境质量标准》（GB3096-2008）</w:t>
            </w:r>
            <w:r>
              <w:rPr>
                <w:rFonts w:hint="eastAsia"/>
                <w:color w:val="auto"/>
                <w:sz w:val="24"/>
                <w:highlight w:val="none"/>
              </w:rPr>
              <w:t>1</w:t>
            </w:r>
            <w:r>
              <w:rPr>
                <w:color w:val="auto"/>
                <w:sz w:val="24"/>
                <w:highlight w:val="none"/>
              </w:rPr>
              <w:t>类标准</w:t>
            </w:r>
            <w:r>
              <w:rPr>
                <w:rFonts w:hint="eastAsia"/>
                <w:color w:val="auto"/>
                <w:sz w:val="24"/>
                <w:highlight w:val="none"/>
              </w:rPr>
              <w:t>。</w:t>
            </w:r>
          </w:p>
          <w:p>
            <w:pPr>
              <w:spacing w:line="360" w:lineRule="auto"/>
              <w:ind w:firstLine="470" w:firstLineChars="196"/>
              <w:rPr>
                <w:color w:val="auto"/>
                <w:sz w:val="24"/>
                <w:highlight w:val="none"/>
              </w:rPr>
            </w:pPr>
            <w:r>
              <w:rPr>
                <w:rFonts w:hint="eastAsia"/>
                <w:color w:val="auto"/>
                <w:sz w:val="24"/>
                <w:highlight w:val="none"/>
              </w:rPr>
              <w:t>⑨</w:t>
            </w:r>
            <w:r>
              <w:rPr>
                <w:color w:val="auto"/>
                <w:sz w:val="24"/>
                <w:highlight w:val="none"/>
              </w:rPr>
              <w:t>监测结果</w:t>
            </w:r>
          </w:p>
          <w:p>
            <w:pPr>
              <w:spacing w:line="360" w:lineRule="auto"/>
              <w:ind w:firstLine="465"/>
              <w:rPr>
                <w:color w:val="auto"/>
                <w:sz w:val="24"/>
                <w:highlight w:val="none"/>
              </w:rPr>
            </w:pPr>
            <w:r>
              <w:rPr>
                <w:color w:val="auto"/>
                <w:sz w:val="24"/>
                <w:highlight w:val="none"/>
              </w:rPr>
              <w:t>本项目声环境现状监测结果见</w:t>
            </w:r>
            <w:r>
              <w:rPr>
                <w:b/>
                <w:bCs/>
                <w:color w:val="auto"/>
                <w:sz w:val="24"/>
                <w:highlight w:val="none"/>
              </w:rPr>
              <w:t>表3-</w:t>
            </w:r>
            <w:r>
              <w:rPr>
                <w:rFonts w:hint="eastAsia"/>
                <w:b/>
                <w:bCs/>
                <w:color w:val="auto"/>
                <w:sz w:val="24"/>
                <w:highlight w:val="none"/>
                <w:lang w:val="en-US" w:eastAsia="zh-CN"/>
              </w:rPr>
              <w:t>6</w:t>
            </w:r>
            <w:r>
              <w:rPr>
                <w:color w:val="auto"/>
                <w:sz w:val="24"/>
                <w:highlight w:val="none"/>
              </w:rPr>
              <w:t>。</w:t>
            </w:r>
          </w:p>
          <w:p>
            <w:pPr>
              <w:pStyle w:val="14"/>
              <w:ind w:left="0" w:leftChars="0" w:firstLine="0"/>
              <w:jc w:val="center"/>
              <w:rPr>
                <w:color w:val="auto"/>
                <w:highlight w:val="none"/>
              </w:rPr>
            </w:pPr>
            <w:r>
              <w:rPr>
                <w:rFonts w:eastAsia="黑体"/>
                <w:b/>
                <w:color w:val="auto"/>
                <w:sz w:val="24"/>
                <w:highlight w:val="none"/>
              </w:rPr>
              <w:t>表3-</w:t>
            </w:r>
            <w:r>
              <w:rPr>
                <w:rFonts w:hint="eastAsia" w:eastAsia="黑体"/>
                <w:b/>
                <w:color w:val="auto"/>
                <w:sz w:val="24"/>
                <w:highlight w:val="none"/>
                <w:lang w:val="en-US" w:eastAsia="zh-CN"/>
              </w:rPr>
              <w:t>6</w:t>
            </w:r>
            <w:r>
              <w:rPr>
                <w:rFonts w:eastAsia="黑体"/>
                <w:b/>
                <w:color w:val="auto"/>
                <w:sz w:val="24"/>
                <w:highlight w:val="none"/>
              </w:rPr>
              <w:t xml:space="preserve">  本项目声环境现状监测结果统计表</w:t>
            </w:r>
          </w:p>
          <w:tbl>
            <w:tblPr>
              <w:tblStyle w:val="24"/>
              <w:tblW w:w="815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1"/>
              <w:gridCol w:w="1898"/>
              <w:gridCol w:w="1119"/>
              <w:gridCol w:w="1122"/>
              <w:gridCol w:w="1123"/>
              <w:gridCol w:w="1122"/>
              <w:gridCol w:w="11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2" w:hRule="atLeast"/>
                <w:tblHeader/>
                <w:jc w:val="center"/>
              </w:trPr>
              <w:tc>
                <w:tcPr>
                  <w:tcW w:w="651" w:type="dxa"/>
                  <w:vMerge w:val="restart"/>
                  <w:tcBorders>
                    <w:tl2br w:val="nil"/>
                    <w:tr2bl w:val="nil"/>
                  </w:tcBorders>
                  <w:vAlign w:val="center"/>
                </w:tcPr>
                <w:p>
                  <w:pPr>
                    <w:jc w:val="center"/>
                    <w:rPr>
                      <w:b/>
                      <w:bCs/>
                      <w:color w:val="auto"/>
                      <w:highlight w:val="none"/>
                    </w:rPr>
                  </w:pPr>
                  <w:r>
                    <w:rPr>
                      <w:b/>
                      <w:bCs/>
                      <w:color w:val="auto"/>
                      <w:highlight w:val="none"/>
                    </w:rPr>
                    <w:t>序号</w:t>
                  </w:r>
                </w:p>
              </w:tc>
              <w:tc>
                <w:tcPr>
                  <w:tcW w:w="1898" w:type="dxa"/>
                  <w:vMerge w:val="restart"/>
                  <w:tcBorders>
                    <w:tl2br w:val="nil"/>
                    <w:tr2bl w:val="nil"/>
                  </w:tcBorders>
                  <w:vAlign w:val="center"/>
                </w:tcPr>
                <w:p>
                  <w:pPr>
                    <w:jc w:val="center"/>
                    <w:rPr>
                      <w:b/>
                      <w:bCs/>
                      <w:color w:val="auto"/>
                      <w:highlight w:val="none"/>
                    </w:rPr>
                  </w:pPr>
                  <w:r>
                    <w:rPr>
                      <w:b/>
                      <w:bCs/>
                      <w:color w:val="auto"/>
                      <w:highlight w:val="none"/>
                    </w:rPr>
                    <w:t>点位描述</w:t>
                  </w:r>
                </w:p>
              </w:tc>
              <w:tc>
                <w:tcPr>
                  <w:tcW w:w="1119" w:type="dxa"/>
                  <w:vMerge w:val="restart"/>
                  <w:tcBorders>
                    <w:tl2br w:val="nil"/>
                    <w:tr2bl w:val="nil"/>
                  </w:tcBorders>
                  <w:vAlign w:val="center"/>
                </w:tcPr>
                <w:p>
                  <w:pPr>
                    <w:jc w:val="center"/>
                    <w:rPr>
                      <w:rStyle w:val="65"/>
                      <w:b/>
                      <w:bCs/>
                      <w:color w:val="auto"/>
                      <w:highlight w:val="none"/>
                    </w:rPr>
                  </w:pPr>
                  <w:r>
                    <w:rPr>
                      <w:rStyle w:val="65"/>
                      <w:b/>
                      <w:bCs/>
                      <w:color w:val="auto"/>
                      <w:highlight w:val="none"/>
                    </w:rPr>
                    <w:t>测量高度</w:t>
                  </w:r>
                </w:p>
                <w:p>
                  <w:pPr>
                    <w:jc w:val="center"/>
                    <w:rPr>
                      <w:b/>
                      <w:bCs/>
                      <w:color w:val="auto"/>
                      <w:highlight w:val="none"/>
                    </w:rPr>
                  </w:pPr>
                  <w:r>
                    <w:rPr>
                      <w:rStyle w:val="65"/>
                      <w:b/>
                      <w:bCs/>
                      <w:color w:val="auto"/>
                      <w:highlight w:val="none"/>
                    </w:rPr>
                    <w:t>（m）</w:t>
                  </w:r>
                </w:p>
              </w:tc>
              <w:tc>
                <w:tcPr>
                  <w:tcW w:w="2245"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6</w:t>
                  </w:r>
                  <w:r>
                    <w:rPr>
                      <w:rFonts w:hint="eastAsia"/>
                      <w:b/>
                      <w:bCs/>
                      <w:color w:val="auto"/>
                      <w:highlight w:val="none"/>
                    </w:rPr>
                    <w:t>日</w:t>
                  </w:r>
                </w:p>
              </w:tc>
              <w:tc>
                <w:tcPr>
                  <w:tcW w:w="2245"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7</w:t>
                  </w:r>
                  <w:r>
                    <w:rPr>
                      <w:rFonts w:hint="eastAsia"/>
                      <w:b/>
                      <w:bCs/>
                      <w:color w:val="auto"/>
                      <w:highlight w:val="none"/>
                    </w:rPr>
                    <w:t>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2" w:hRule="atLeast"/>
                <w:tblHeader/>
                <w:jc w:val="center"/>
              </w:trPr>
              <w:tc>
                <w:tcPr>
                  <w:tcW w:w="651" w:type="dxa"/>
                  <w:vMerge w:val="continue"/>
                  <w:tcBorders>
                    <w:tl2br w:val="nil"/>
                    <w:tr2bl w:val="nil"/>
                  </w:tcBorders>
                  <w:vAlign w:val="center"/>
                </w:tcPr>
                <w:p>
                  <w:pPr>
                    <w:jc w:val="center"/>
                    <w:rPr>
                      <w:b/>
                      <w:bCs/>
                      <w:color w:val="auto"/>
                      <w:highlight w:val="none"/>
                    </w:rPr>
                  </w:pPr>
                </w:p>
              </w:tc>
              <w:tc>
                <w:tcPr>
                  <w:tcW w:w="1898" w:type="dxa"/>
                  <w:vMerge w:val="continue"/>
                  <w:tcBorders>
                    <w:tl2br w:val="nil"/>
                    <w:tr2bl w:val="nil"/>
                  </w:tcBorders>
                  <w:vAlign w:val="center"/>
                </w:tcPr>
                <w:p>
                  <w:pPr>
                    <w:jc w:val="center"/>
                    <w:rPr>
                      <w:b/>
                      <w:bCs/>
                      <w:color w:val="auto"/>
                      <w:highlight w:val="none"/>
                    </w:rPr>
                  </w:pPr>
                </w:p>
              </w:tc>
              <w:tc>
                <w:tcPr>
                  <w:tcW w:w="1119" w:type="dxa"/>
                  <w:vMerge w:val="continue"/>
                  <w:tcBorders>
                    <w:tl2br w:val="nil"/>
                    <w:tr2bl w:val="nil"/>
                  </w:tcBorders>
                  <w:vAlign w:val="center"/>
                </w:tcPr>
                <w:p>
                  <w:pPr>
                    <w:jc w:val="center"/>
                    <w:rPr>
                      <w:rStyle w:val="65"/>
                      <w:b/>
                      <w:bCs/>
                      <w:color w:val="auto"/>
                      <w:highlight w:val="none"/>
                    </w:rPr>
                  </w:pPr>
                </w:p>
              </w:tc>
              <w:tc>
                <w:tcPr>
                  <w:tcW w:w="1122" w:type="dxa"/>
                  <w:tcBorders>
                    <w:tl2br w:val="nil"/>
                    <w:tr2bl w:val="nil"/>
                  </w:tcBorders>
                  <w:vAlign w:val="center"/>
                </w:tcPr>
                <w:p>
                  <w:pPr>
                    <w:jc w:val="center"/>
                    <w:rPr>
                      <w:rStyle w:val="65"/>
                      <w:b/>
                      <w:bCs/>
                      <w:color w:val="auto"/>
                      <w:highlight w:val="none"/>
                    </w:rPr>
                  </w:pPr>
                  <w:r>
                    <w:rPr>
                      <w:rStyle w:val="65"/>
                      <w:b/>
                      <w:bCs/>
                      <w:color w:val="auto"/>
                      <w:highlight w:val="none"/>
                    </w:rPr>
                    <w:t>昼间</w:t>
                  </w:r>
                </w:p>
                <w:p>
                  <w:pPr>
                    <w:jc w:val="center"/>
                    <w:rPr>
                      <w:rStyle w:val="65"/>
                      <w:b/>
                      <w:bCs/>
                      <w:color w:val="auto"/>
                      <w:highlight w:val="none"/>
                    </w:rPr>
                  </w:pPr>
                  <w:r>
                    <w:rPr>
                      <w:rStyle w:val="65"/>
                      <w:b/>
                      <w:bCs/>
                      <w:color w:val="auto"/>
                      <w:highlight w:val="none"/>
                    </w:rPr>
                    <w:t>dB(A)</w:t>
                  </w:r>
                </w:p>
              </w:tc>
              <w:tc>
                <w:tcPr>
                  <w:tcW w:w="1123" w:type="dxa"/>
                  <w:tcBorders>
                    <w:tl2br w:val="nil"/>
                    <w:tr2bl w:val="nil"/>
                  </w:tcBorders>
                  <w:vAlign w:val="center"/>
                </w:tcPr>
                <w:p>
                  <w:pPr>
                    <w:jc w:val="center"/>
                    <w:rPr>
                      <w:rStyle w:val="65"/>
                      <w:b/>
                      <w:bCs/>
                      <w:color w:val="auto"/>
                      <w:highlight w:val="none"/>
                    </w:rPr>
                  </w:pPr>
                  <w:r>
                    <w:rPr>
                      <w:rStyle w:val="65"/>
                      <w:b/>
                      <w:bCs/>
                      <w:color w:val="auto"/>
                      <w:highlight w:val="none"/>
                    </w:rPr>
                    <w:t>夜间</w:t>
                  </w:r>
                </w:p>
                <w:p>
                  <w:pPr>
                    <w:jc w:val="center"/>
                    <w:rPr>
                      <w:rStyle w:val="65"/>
                      <w:b/>
                      <w:bCs/>
                      <w:color w:val="auto"/>
                      <w:highlight w:val="none"/>
                    </w:rPr>
                  </w:pPr>
                  <w:r>
                    <w:rPr>
                      <w:rStyle w:val="65"/>
                      <w:b/>
                      <w:bCs/>
                      <w:color w:val="auto"/>
                      <w:highlight w:val="none"/>
                    </w:rPr>
                    <w:t>dB(A)</w:t>
                  </w:r>
                </w:p>
              </w:tc>
              <w:tc>
                <w:tcPr>
                  <w:tcW w:w="1122" w:type="dxa"/>
                  <w:tcBorders>
                    <w:tl2br w:val="nil"/>
                    <w:tr2bl w:val="nil"/>
                  </w:tcBorders>
                  <w:vAlign w:val="center"/>
                </w:tcPr>
                <w:p>
                  <w:pPr>
                    <w:jc w:val="center"/>
                    <w:rPr>
                      <w:rStyle w:val="65"/>
                      <w:b/>
                      <w:bCs/>
                      <w:color w:val="auto"/>
                      <w:highlight w:val="none"/>
                    </w:rPr>
                  </w:pPr>
                  <w:r>
                    <w:rPr>
                      <w:rStyle w:val="65"/>
                      <w:b/>
                      <w:bCs/>
                      <w:color w:val="auto"/>
                      <w:highlight w:val="none"/>
                    </w:rPr>
                    <w:t>昼间</w:t>
                  </w:r>
                </w:p>
                <w:p>
                  <w:pPr>
                    <w:jc w:val="center"/>
                    <w:rPr>
                      <w:rStyle w:val="65"/>
                      <w:b/>
                      <w:bCs/>
                      <w:color w:val="auto"/>
                      <w:highlight w:val="none"/>
                    </w:rPr>
                  </w:pPr>
                  <w:r>
                    <w:rPr>
                      <w:rStyle w:val="65"/>
                      <w:b/>
                      <w:bCs/>
                      <w:color w:val="auto"/>
                      <w:highlight w:val="none"/>
                    </w:rPr>
                    <w:t>dB(A)</w:t>
                  </w:r>
                </w:p>
              </w:tc>
              <w:tc>
                <w:tcPr>
                  <w:tcW w:w="1123" w:type="dxa"/>
                  <w:tcBorders>
                    <w:tl2br w:val="nil"/>
                    <w:tr2bl w:val="nil"/>
                  </w:tcBorders>
                  <w:vAlign w:val="center"/>
                </w:tcPr>
                <w:p>
                  <w:pPr>
                    <w:jc w:val="center"/>
                    <w:rPr>
                      <w:rStyle w:val="65"/>
                      <w:b/>
                      <w:bCs/>
                      <w:color w:val="auto"/>
                      <w:highlight w:val="none"/>
                    </w:rPr>
                  </w:pPr>
                  <w:r>
                    <w:rPr>
                      <w:rStyle w:val="65"/>
                      <w:b/>
                      <w:bCs/>
                      <w:color w:val="auto"/>
                      <w:highlight w:val="none"/>
                    </w:rPr>
                    <w:t>夜间</w:t>
                  </w:r>
                </w:p>
                <w:p>
                  <w:pPr>
                    <w:jc w:val="center"/>
                    <w:rPr>
                      <w:rStyle w:val="65"/>
                      <w:b/>
                      <w:bCs/>
                      <w:color w:val="auto"/>
                      <w:highlight w:val="none"/>
                    </w:rPr>
                  </w:pPr>
                  <w:r>
                    <w:rPr>
                      <w:rStyle w:val="65"/>
                      <w:b/>
                      <w:bCs/>
                      <w:color w:val="auto"/>
                      <w:highlight w:val="none"/>
                    </w:rPr>
                    <w:t>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651" w:type="dxa"/>
                  <w:tcBorders>
                    <w:tl2br w:val="nil"/>
                    <w:tr2bl w:val="nil"/>
                  </w:tcBorders>
                  <w:vAlign w:val="center"/>
                </w:tcPr>
                <w:p>
                  <w:pPr>
                    <w:jc w:val="center"/>
                    <w:rPr>
                      <w:color w:val="auto"/>
                      <w:highlight w:val="none"/>
                    </w:rPr>
                  </w:pPr>
                  <w:r>
                    <w:rPr>
                      <w:rFonts w:hint="eastAsia"/>
                      <w:color w:val="auto"/>
                      <w:highlight w:val="none"/>
                    </w:rPr>
                    <w:t>1</w:t>
                  </w:r>
                </w:p>
              </w:tc>
              <w:tc>
                <w:tcPr>
                  <w:tcW w:w="1898" w:type="dxa"/>
                  <w:tcBorders>
                    <w:tl2br w:val="nil"/>
                    <w:tr2bl w:val="nil"/>
                  </w:tcBorders>
                  <w:vAlign w:val="center"/>
                </w:tcPr>
                <w:p>
                  <w:pPr>
                    <w:jc w:val="center"/>
                    <w:rPr>
                      <w:color w:val="auto"/>
                      <w:highlight w:val="none"/>
                    </w:rPr>
                  </w:pPr>
                  <w:r>
                    <w:rPr>
                      <w:rFonts w:hint="eastAsia"/>
                      <w:color w:val="auto"/>
                      <w:highlight w:val="none"/>
                    </w:rPr>
                    <w:t>坝址</w:t>
                  </w:r>
                </w:p>
              </w:tc>
              <w:tc>
                <w:tcPr>
                  <w:tcW w:w="1119" w:type="dxa"/>
                  <w:tcBorders>
                    <w:tl2br w:val="nil"/>
                    <w:tr2bl w:val="nil"/>
                  </w:tcBorders>
                  <w:vAlign w:val="center"/>
                </w:tcPr>
                <w:p>
                  <w:pPr>
                    <w:jc w:val="center"/>
                    <w:rPr>
                      <w:color w:val="auto"/>
                      <w:highlight w:val="none"/>
                    </w:rPr>
                  </w:pPr>
                  <w:r>
                    <w:rPr>
                      <w:rFonts w:hint="eastAsia"/>
                      <w:color w:val="auto"/>
                      <w:highlight w:val="none"/>
                    </w:rPr>
                    <w:t>1.5</w:t>
                  </w:r>
                </w:p>
              </w:tc>
              <w:tc>
                <w:tcPr>
                  <w:tcW w:w="1122" w:type="dxa"/>
                  <w:tcBorders>
                    <w:tl2br w:val="nil"/>
                    <w:tr2bl w:val="nil"/>
                  </w:tcBorders>
                  <w:vAlign w:val="center"/>
                </w:tcPr>
                <w:p>
                  <w:pPr>
                    <w:jc w:val="center"/>
                    <w:rPr>
                      <w:color w:val="auto"/>
                      <w:highlight w:val="none"/>
                    </w:rPr>
                  </w:pPr>
                  <w:r>
                    <w:rPr>
                      <w:rFonts w:hint="eastAsia"/>
                      <w:color w:val="auto"/>
                      <w:highlight w:val="none"/>
                    </w:rPr>
                    <w:t>46.0</w:t>
                  </w:r>
                </w:p>
              </w:tc>
              <w:tc>
                <w:tcPr>
                  <w:tcW w:w="1123" w:type="dxa"/>
                  <w:tcBorders>
                    <w:tl2br w:val="nil"/>
                    <w:tr2bl w:val="nil"/>
                  </w:tcBorders>
                  <w:vAlign w:val="center"/>
                </w:tcPr>
                <w:p>
                  <w:pPr>
                    <w:jc w:val="center"/>
                    <w:rPr>
                      <w:color w:val="auto"/>
                      <w:highlight w:val="none"/>
                    </w:rPr>
                  </w:pPr>
                  <w:r>
                    <w:rPr>
                      <w:rFonts w:hint="eastAsia"/>
                      <w:color w:val="auto"/>
                      <w:highlight w:val="none"/>
                    </w:rPr>
                    <w:t>40.2</w:t>
                  </w:r>
                </w:p>
              </w:tc>
              <w:tc>
                <w:tcPr>
                  <w:tcW w:w="1122" w:type="dxa"/>
                  <w:tcBorders>
                    <w:tl2br w:val="nil"/>
                    <w:tr2bl w:val="nil"/>
                  </w:tcBorders>
                  <w:vAlign w:val="center"/>
                </w:tcPr>
                <w:p>
                  <w:pPr>
                    <w:jc w:val="center"/>
                    <w:rPr>
                      <w:color w:val="auto"/>
                      <w:highlight w:val="none"/>
                    </w:rPr>
                  </w:pPr>
                  <w:r>
                    <w:rPr>
                      <w:rFonts w:hint="eastAsia"/>
                      <w:color w:val="auto"/>
                      <w:highlight w:val="none"/>
                    </w:rPr>
                    <w:t>45.4</w:t>
                  </w:r>
                </w:p>
              </w:tc>
              <w:tc>
                <w:tcPr>
                  <w:tcW w:w="1123" w:type="dxa"/>
                  <w:tcBorders>
                    <w:tl2br w:val="nil"/>
                    <w:tr2bl w:val="nil"/>
                  </w:tcBorders>
                  <w:vAlign w:val="center"/>
                </w:tcPr>
                <w:p>
                  <w:pPr>
                    <w:jc w:val="center"/>
                    <w:rPr>
                      <w:color w:val="auto"/>
                      <w:highlight w:val="none"/>
                    </w:rPr>
                  </w:pPr>
                  <w:r>
                    <w:rPr>
                      <w:rFonts w:hint="eastAsia"/>
                      <w:color w:val="auto"/>
                      <w:highlight w:val="none"/>
                    </w:rPr>
                    <w:t>39.7</w:t>
                  </w:r>
                </w:p>
              </w:tc>
            </w:tr>
          </w:tbl>
          <w:p>
            <w:pPr>
              <w:pStyle w:val="7"/>
              <w:rPr>
                <w:color w:val="auto"/>
                <w:highlight w:val="none"/>
              </w:rPr>
            </w:pPr>
          </w:p>
          <w:p>
            <w:pPr>
              <w:tabs>
                <w:tab w:val="left" w:pos="407"/>
              </w:tabs>
              <w:spacing w:line="360" w:lineRule="auto"/>
              <w:ind w:firstLine="480" w:firstLineChars="200"/>
              <w:rPr>
                <w:color w:val="auto"/>
                <w:sz w:val="24"/>
                <w:szCs w:val="22"/>
                <w:highlight w:val="none"/>
              </w:rPr>
            </w:pPr>
            <w:r>
              <w:rPr>
                <w:rFonts w:hint="eastAsia"/>
                <w:color w:val="auto"/>
                <w:sz w:val="24"/>
                <w:highlight w:val="none"/>
              </w:rPr>
              <w:t>⑩</w:t>
            </w:r>
            <w:r>
              <w:rPr>
                <w:color w:val="auto"/>
                <w:sz w:val="24"/>
                <w:highlight w:val="none"/>
              </w:rPr>
              <w:t>监测结果分析</w:t>
            </w:r>
          </w:p>
          <w:p>
            <w:pPr>
              <w:widowControl/>
              <w:spacing w:line="360" w:lineRule="auto"/>
              <w:ind w:firstLine="480" w:firstLineChars="200"/>
              <w:jc w:val="left"/>
              <w:rPr>
                <w:color w:val="auto"/>
                <w:sz w:val="24"/>
                <w:highlight w:val="none"/>
              </w:rPr>
            </w:pPr>
            <w:r>
              <w:rPr>
                <w:color w:val="auto"/>
                <w:sz w:val="24"/>
                <w:highlight w:val="none"/>
              </w:rPr>
              <w:t>根据现状监测结果可知：</w:t>
            </w:r>
            <w:r>
              <w:rPr>
                <w:rFonts w:hint="eastAsia"/>
                <w:color w:val="auto"/>
                <w:sz w:val="24"/>
                <w:highlight w:val="none"/>
              </w:rPr>
              <w:t>本项目</w:t>
            </w:r>
            <w:r>
              <w:rPr>
                <w:rFonts w:hint="eastAsia"/>
                <w:color w:val="auto"/>
                <w:sz w:val="24"/>
                <w:highlight w:val="none"/>
                <w:lang w:val="en-US" w:eastAsia="zh-CN"/>
              </w:rPr>
              <w:t>坝址</w:t>
            </w:r>
            <w:r>
              <w:rPr>
                <w:color w:val="auto"/>
                <w:sz w:val="24"/>
                <w:highlight w:val="none"/>
              </w:rPr>
              <w:t>监测的噪声值昼间</w:t>
            </w:r>
            <w:r>
              <w:rPr>
                <w:rFonts w:hint="eastAsia"/>
                <w:color w:val="auto"/>
                <w:sz w:val="24"/>
                <w:highlight w:val="none"/>
              </w:rPr>
              <w:t>45.4~46.0d</w:t>
            </w:r>
            <w:r>
              <w:rPr>
                <w:color w:val="auto"/>
                <w:sz w:val="24"/>
                <w:highlight w:val="none"/>
              </w:rPr>
              <w:t>B(A)、夜间</w:t>
            </w:r>
            <w:r>
              <w:rPr>
                <w:rFonts w:hint="eastAsia"/>
                <w:color w:val="auto"/>
                <w:sz w:val="24"/>
                <w:highlight w:val="none"/>
              </w:rPr>
              <w:t>39.7~40.2</w:t>
            </w:r>
            <w:r>
              <w:rPr>
                <w:color w:val="auto"/>
                <w:sz w:val="24"/>
                <w:highlight w:val="none"/>
              </w:rPr>
              <w:t>dB(A)，均低于《声环境质量标准》（GB3096-2008）</w:t>
            </w:r>
            <w:r>
              <w:rPr>
                <w:rFonts w:hint="eastAsia"/>
                <w:color w:val="auto"/>
                <w:sz w:val="24"/>
                <w:highlight w:val="none"/>
              </w:rPr>
              <w:t>1</w:t>
            </w:r>
            <w:r>
              <w:rPr>
                <w:color w:val="auto"/>
                <w:sz w:val="24"/>
                <w:highlight w:val="none"/>
              </w:rPr>
              <w:t>类标准，即：昼间</w:t>
            </w:r>
            <w:r>
              <w:rPr>
                <w:rFonts w:hint="eastAsia"/>
                <w:color w:val="auto"/>
                <w:sz w:val="24"/>
                <w:highlight w:val="none"/>
              </w:rPr>
              <w:t>55</w:t>
            </w:r>
            <w:r>
              <w:rPr>
                <w:color w:val="auto"/>
                <w:sz w:val="24"/>
                <w:highlight w:val="none"/>
              </w:rPr>
              <w:t>dB(A)、夜间</w:t>
            </w:r>
            <w:r>
              <w:rPr>
                <w:rFonts w:hint="eastAsia"/>
                <w:color w:val="auto"/>
                <w:sz w:val="24"/>
                <w:highlight w:val="none"/>
              </w:rPr>
              <w:t>45</w:t>
            </w:r>
            <w:r>
              <w:rPr>
                <w:color w:val="auto"/>
                <w:sz w:val="24"/>
                <w:highlight w:val="none"/>
              </w:rPr>
              <w:t>dB(A)。</w:t>
            </w:r>
          </w:p>
          <w:p>
            <w:pPr>
              <w:spacing w:line="360" w:lineRule="auto"/>
              <w:ind w:firstLine="480" w:firstLineChars="200"/>
              <w:rPr>
                <w:color w:val="auto"/>
                <w:kern w:val="0"/>
                <w:sz w:val="24"/>
                <w:highlight w:val="none"/>
              </w:rPr>
            </w:pPr>
            <w:r>
              <w:rPr>
                <w:color w:val="auto"/>
                <w:sz w:val="24"/>
                <w:highlight w:val="none"/>
              </w:rPr>
              <w:t xml:space="preserve">综上分析，本项目所在区域声环境现状良好。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68" w:type="dxa"/>
            <w:vAlign w:val="center"/>
          </w:tcPr>
          <w:p>
            <w:pPr>
              <w:adjustRightInd w:val="0"/>
              <w:snapToGrid w:val="0"/>
              <w:jc w:val="center"/>
              <w:rPr>
                <w:color w:val="auto"/>
                <w:kern w:val="0"/>
                <w:szCs w:val="21"/>
                <w:highlight w:val="none"/>
              </w:rPr>
            </w:pPr>
            <w:r>
              <w:rPr>
                <w:bCs/>
                <w:color w:val="auto"/>
                <w:spacing w:val="-11"/>
                <w:sz w:val="24"/>
                <w:highlight w:val="none"/>
              </w:rPr>
              <w:t>与项目有关的原有环境污染和生态破坏问题</w:t>
            </w:r>
          </w:p>
        </w:tc>
        <w:tc>
          <w:tcPr>
            <w:tcW w:w="8585" w:type="dxa"/>
            <w:vAlign w:val="center"/>
          </w:tcPr>
          <w:p>
            <w:pPr>
              <w:spacing w:line="360" w:lineRule="auto"/>
              <w:ind w:firstLine="480" w:firstLineChars="200"/>
              <w:rPr>
                <w:color w:val="auto"/>
                <w:highlight w:val="none"/>
              </w:rPr>
            </w:pPr>
            <w:r>
              <w:rPr>
                <w:bCs/>
                <w:color w:val="auto"/>
                <w:sz w:val="24"/>
                <w:highlight w:val="none"/>
              </w:rPr>
              <w:t>苦水沟淤地坝下游为菊花台村、固扩五干渠及上周家河湾村农田。流域地势南高北低，海拔高度1685～1640m，属黄土丘陵区，土壤疏松，植被稀少，地表受流水切割破碎，水土流失严重。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69" w:hRule="atLeast"/>
          <w:jc w:val="center"/>
        </w:trPr>
        <w:tc>
          <w:tcPr>
            <w:tcW w:w="768" w:type="dxa"/>
            <w:vAlign w:val="center"/>
          </w:tcPr>
          <w:p>
            <w:pPr>
              <w:adjustRightInd w:val="0"/>
              <w:snapToGrid w:val="0"/>
              <w:jc w:val="center"/>
              <w:rPr>
                <w:color w:val="auto"/>
                <w:kern w:val="0"/>
                <w:szCs w:val="21"/>
                <w:highlight w:val="none"/>
              </w:rPr>
            </w:pPr>
            <w:r>
              <w:rPr>
                <w:color w:val="auto"/>
                <w:kern w:val="0"/>
                <w:sz w:val="24"/>
                <w:highlight w:val="none"/>
              </w:rPr>
              <w:t>生态环境敏感目标</w:t>
            </w:r>
          </w:p>
        </w:tc>
        <w:tc>
          <w:tcPr>
            <w:tcW w:w="8585" w:type="dxa"/>
            <w:vAlign w:val="center"/>
          </w:tcPr>
          <w:p>
            <w:pPr>
              <w:spacing w:line="360" w:lineRule="auto"/>
              <w:ind w:firstLine="480" w:firstLineChars="200"/>
              <w:rPr>
                <w:color w:val="auto"/>
                <w:highlight w:val="none"/>
              </w:rPr>
            </w:pPr>
            <w:r>
              <w:rPr>
                <w:bCs/>
                <w:color w:val="auto"/>
                <w:sz w:val="24"/>
                <w:highlight w:val="none"/>
              </w:rPr>
              <w:t>根据现场踏勘</w:t>
            </w:r>
            <w:r>
              <w:rPr>
                <w:rFonts w:hint="eastAsia"/>
                <w:bCs/>
                <w:color w:val="auto"/>
                <w:sz w:val="24"/>
                <w:highlight w:val="none"/>
              </w:rPr>
              <w:t>情况</w:t>
            </w:r>
            <w:r>
              <w:rPr>
                <w:rFonts w:hint="eastAsia"/>
                <w:color w:val="auto"/>
                <w:kern w:val="0"/>
                <w:sz w:val="24"/>
                <w:highlight w:val="none"/>
              </w:rPr>
              <w:t>可知</w:t>
            </w:r>
            <w:r>
              <w:rPr>
                <w:bCs/>
                <w:color w:val="auto"/>
                <w:sz w:val="24"/>
                <w:highlight w:val="none"/>
              </w:rPr>
              <w:t>，</w:t>
            </w:r>
            <w:r>
              <w:rPr>
                <w:color w:val="auto"/>
                <w:sz w:val="24"/>
                <w:highlight w:val="none"/>
              </w:rPr>
              <w:t>本项目评价范围内不涉及国家公园、</w:t>
            </w:r>
            <w:r>
              <w:rPr>
                <w:rFonts w:hint="eastAsia"/>
                <w:color w:val="auto"/>
                <w:sz w:val="24"/>
                <w:highlight w:val="none"/>
              </w:rPr>
              <w:t>自然保护区、</w:t>
            </w:r>
            <w:r>
              <w:rPr>
                <w:color w:val="auto"/>
                <w:sz w:val="24"/>
                <w:highlight w:val="none"/>
              </w:rPr>
              <w:t>风景名胜区、世界文化和自然遗产地等</w:t>
            </w:r>
            <w:r>
              <w:rPr>
                <w:rFonts w:hint="eastAsia"/>
                <w:color w:val="auto"/>
                <w:sz w:val="24"/>
                <w:highlight w:val="none"/>
              </w:rPr>
              <w:t>生态</w:t>
            </w:r>
            <w:r>
              <w:rPr>
                <w:color w:val="auto"/>
                <w:sz w:val="24"/>
                <w:highlight w:val="none"/>
              </w:rPr>
              <w:t>环境敏感</w:t>
            </w:r>
            <w:r>
              <w:rPr>
                <w:rFonts w:hint="eastAsia"/>
                <w:color w:val="auto"/>
                <w:sz w:val="24"/>
                <w:highlight w:val="none"/>
              </w:rPr>
              <w:t>区，也不涉及生态保护红线；</w:t>
            </w:r>
            <w:r>
              <w:rPr>
                <w:color w:val="auto"/>
                <w:sz w:val="24"/>
                <w:highlight w:val="none"/>
              </w:rPr>
              <w:t>项目</w:t>
            </w:r>
            <w:r>
              <w:rPr>
                <w:rFonts w:hint="eastAsia"/>
                <w:color w:val="auto"/>
                <w:sz w:val="24"/>
                <w:highlight w:val="none"/>
              </w:rPr>
              <w:t>评价</w:t>
            </w:r>
            <w:r>
              <w:rPr>
                <w:color w:val="auto"/>
                <w:sz w:val="24"/>
                <w:highlight w:val="none"/>
              </w:rPr>
              <w:t>范围内</w:t>
            </w:r>
            <w:r>
              <w:rPr>
                <w:rFonts w:hint="eastAsia"/>
                <w:color w:val="auto"/>
                <w:sz w:val="24"/>
                <w:highlight w:val="none"/>
              </w:rPr>
              <w:t>没有大气环境及</w:t>
            </w:r>
            <w:r>
              <w:rPr>
                <w:color w:val="auto"/>
                <w:sz w:val="24"/>
                <w:highlight w:val="none"/>
              </w:rPr>
              <w:t>声环境</w:t>
            </w:r>
            <w:r>
              <w:rPr>
                <w:rFonts w:hint="eastAsia"/>
                <w:color w:val="auto"/>
                <w:sz w:val="24"/>
                <w:highlight w:val="none"/>
              </w:rPr>
              <w:t>保护</w:t>
            </w:r>
            <w:r>
              <w:rPr>
                <w:color w:val="auto"/>
                <w:sz w:val="24"/>
                <w:highlight w:val="none"/>
              </w:rPr>
              <w:t>目标</w:t>
            </w:r>
            <w:r>
              <w:rPr>
                <w:rFonts w:hint="eastAsia"/>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68" w:type="dxa"/>
            <w:vAlign w:val="center"/>
          </w:tcPr>
          <w:p>
            <w:pPr>
              <w:adjustRightInd w:val="0"/>
              <w:snapToGrid w:val="0"/>
              <w:jc w:val="center"/>
              <w:rPr>
                <w:color w:val="auto"/>
                <w:kern w:val="0"/>
                <w:sz w:val="24"/>
                <w:highlight w:val="none"/>
              </w:rPr>
            </w:pPr>
            <w:r>
              <w:rPr>
                <w:color w:val="auto"/>
                <w:kern w:val="0"/>
                <w:sz w:val="24"/>
                <w:highlight w:val="none"/>
              </w:rPr>
              <w:t>评价</w:t>
            </w:r>
          </w:p>
          <w:p>
            <w:pPr>
              <w:adjustRightInd w:val="0"/>
              <w:snapToGrid w:val="0"/>
              <w:jc w:val="center"/>
              <w:rPr>
                <w:color w:val="auto"/>
                <w:kern w:val="0"/>
                <w:szCs w:val="21"/>
                <w:highlight w:val="none"/>
              </w:rPr>
            </w:pPr>
            <w:r>
              <w:rPr>
                <w:color w:val="auto"/>
                <w:kern w:val="0"/>
                <w:sz w:val="24"/>
                <w:highlight w:val="none"/>
              </w:rPr>
              <w:t>标准</w:t>
            </w:r>
          </w:p>
        </w:tc>
        <w:tc>
          <w:tcPr>
            <w:tcW w:w="8585" w:type="dxa"/>
            <w:vAlign w:val="center"/>
          </w:tcPr>
          <w:p>
            <w:pPr>
              <w:spacing w:line="360" w:lineRule="auto"/>
              <w:ind w:firstLine="482" w:firstLineChars="200"/>
              <w:rPr>
                <w:b/>
                <w:bCs/>
                <w:color w:val="auto"/>
                <w:sz w:val="24"/>
                <w:highlight w:val="none"/>
              </w:rPr>
            </w:pPr>
            <w:r>
              <w:rPr>
                <w:b/>
                <w:bCs/>
                <w:color w:val="auto"/>
                <w:sz w:val="24"/>
                <w:highlight w:val="none"/>
              </w:rPr>
              <w:t>1、环境质量标准</w:t>
            </w:r>
          </w:p>
          <w:p>
            <w:pPr>
              <w:pStyle w:val="11"/>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color w:val="auto"/>
                <w:sz w:val="24"/>
                <w:highlight w:val="none"/>
              </w:rPr>
            </w:pPr>
            <w:r>
              <w:rPr>
                <w:color w:val="auto"/>
                <w:sz w:val="24"/>
                <w:highlight w:val="none"/>
              </w:rPr>
              <w:t>（1）声环境质量标准：</w:t>
            </w:r>
          </w:p>
          <w:p>
            <w:pPr>
              <w:spacing w:line="360" w:lineRule="auto"/>
              <w:ind w:firstLine="480" w:firstLineChars="200"/>
              <w:rPr>
                <w:color w:val="auto"/>
                <w:sz w:val="24"/>
                <w:highlight w:val="none"/>
              </w:rPr>
            </w:pPr>
            <w:r>
              <w:rPr>
                <w:rFonts w:hint="eastAsia"/>
                <w:color w:val="auto"/>
                <w:sz w:val="24"/>
                <w:highlight w:val="none"/>
              </w:rPr>
              <w:t>本项目</w:t>
            </w:r>
            <w:r>
              <w:rPr>
                <w:color w:val="auto"/>
                <w:sz w:val="24"/>
                <w:highlight w:val="none"/>
              </w:rPr>
              <w:t>声环境执行《声环境质量标准》（GB3096-2008）</w:t>
            </w:r>
            <w:r>
              <w:rPr>
                <w:rFonts w:hint="eastAsia"/>
                <w:color w:val="auto"/>
                <w:sz w:val="24"/>
                <w:highlight w:val="none"/>
              </w:rPr>
              <w:t>1</w:t>
            </w:r>
            <w:r>
              <w:rPr>
                <w:color w:val="auto"/>
                <w:sz w:val="24"/>
                <w:highlight w:val="none"/>
              </w:rPr>
              <w:t>类标准，即昼间</w:t>
            </w:r>
            <w:r>
              <w:rPr>
                <w:rFonts w:hint="eastAsia"/>
                <w:color w:val="auto"/>
                <w:sz w:val="24"/>
                <w:highlight w:val="none"/>
                <w:lang w:val="en-US" w:eastAsia="zh-CN"/>
              </w:rPr>
              <w:t>55</w:t>
            </w:r>
            <w:r>
              <w:rPr>
                <w:color w:val="auto"/>
                <w:sz w:val="24"/>
                <w:highlight w:val="none"/>
              </w:rPr>
              <w:t>dB(A)、夜间</w:t>
            </w:r>
            <w:r>
              <w:rPr>
                <w:rFonts w:hint="eastAsia"/>
                <w:color w:val="auto"/>
                <w:sz w:val="24"/>
                <w:highlight w:val="none"/>
                <w:lang w:val="en-US" w:eastAsia="zh-CN"/>
              </w:rPr>
              <w:t>45</w:t>
            </w:r>
            <w:r>
              <w:rPr>
                <w:color w:val="auto"/>
                <w:sz w:val="24"/>
                <w:highlight w:val="none"/>
              </w:rPr>
              <w:t>dB(A)，具体情况见表</w:t>
            </w:r>
            <w:r>
              <w:rPr>
                <w:rFonts w:hint="eastAsia"/>
                <w:color w:val="auto"/>
                <w:sz w:val="24"/>
                <w:highlight w:val="none"/>
              </w:rPr>
              <w:t>3-</w:t>
            </w:r>
            <w:r>
              <w:rPr>
                <w:rFonts w:hint="eastAsia"/>
                <w:color w:val="auto"/>
                <w:sz w:val="24"/>
                <w:highlight w:val="none"/>
                <w:lang w:val="en-US" w:eastAsia="zh-CN"/>
              </w:rPr>
              <w:t>7</w:t>
            </w:r>
            <w:r>
              <w:rPr>
                <w:color w:val="auto"/>
                <w:sz w:val="24"/>
                <w:highlight w:val="none"/>
              </w:rPr>
              <w:t>。</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黑体"/>
                <w:b/>
                <w:color w:val="auto"/>
                <w:sz w:val="24"/>
                <w:highlight w:val="none"/>
              </w:rPr>
            </w:pPr>
            <w:r>
              <w:rPr>
                <w:rFonts w:eastAsia="黑体"/>
                <w:b/>
                <w:color w:val="auto"/>
                <w:sz w:val="24"/>
                <w:highlight w:val="none"/>
              </w:rPr>
              <w:t>表</w:t>
            </w:r>
            <w:r>
              <w:rPr>
                <w:rFonts w:hint="eastAsia" w:eastAsia="黑体"/>
                <w:b/>
                <w:color w:val="auto"/>
                <w:sz w:val="24"/>
                <w:highlight w:val="none"/>
              </w:rPr>
              <w:t>3</w:t>
            </w:r>
            <w:r>
              <w:rPr>
                <w:rFonts w:eastAsia="黑体"/>
                <w:b/>
                <w:color w:val="auto"/>
                <w:sz w:val="24"/>
                <w:highlight w:val="none"/>
              </w:rPr>
              <w:t>-</w:t>
            </w:r>
            <w:r>
              <w:rPr>
                <w:rFonts w:hint="eastAsia" w:eastAsia="黑体"/>
                <w:b/>
                <w:color w:val="auto"/>
                <w:sz w:val="24"/>
                <w:highlight w:val="none"/>
                <w:lang w:val="en-US" w:eastAsia="zh-CN"/>
              </w:rPr>
              <w:t>7</w:t>
            </w:r>
            <w:r>
              <w:rPr>
                <w:rFonts w:eastAsia="黑体"/>
                <w:b/>
                <w:color w:val="auto"/>
                <w:sz w:val="24"/>
                <w:highlight w:val="none"/>
              </w:rPr>
              <w:t xml:space="preserve">  </w:t>
            </w:r>
            <w:r>
              <w:rPr>
                <w:rFonts w:hint="eastAsia" w:eastAsia="黑体"/>
                <w:b/>
                <w:color w:val="auto"/>
                <w:sz w:val="24"/>
                <w:highlight w:val="none"/>
              </w:rPr>
              <w:t>本项目</w:t>
            </w:r>
            <w:r>
              <w:rPr>
                <w:rFonts w:eastAsia="黑体"/>
                <w:b/>
                <w:color w:val="auto"/>
                <w:sz w:val="24"/>
                <w:highlight w:val="none"/>
              </w:rPr>
              <w:t>具体执行的声环境质量标准</w:t>
            </w:r>
          </w:p>
          <w:tbl>
            <w:tblPr>
              <w:tblStyle w:val="24"/>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805"/>
              <w:gridCol w:w="2145"/>
              <w:gridCol w:w="2098"/>
              <w:gridCol w:w="22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82" w:type="pct"/>
                  <w:tcBorders>
                    <w:tl2br w:val="nil"/>
                    <w:tr2bl w:val="nil"/>
                  </w:tcBorders>
                  <w:vAlign w:val="center"/>
                </w:tcPr>
                <w:p>
                  <w:pPr>
                    <w:adjustRightInd w:val="0"/>
                    <w:snapToGrid w:val="0"/>
                    <w:jc w:val="center"/>
                    <w:rPr>
                      <w:color w:val="auto"/>
                      <w:szCs w:val="21"/>
                      <w:highlight w:val="none"/>
                    </w:rPr>
                  </w:pPr>
                  <w:r>
                    <w:rPr>
                      <w:color w:val="auto"/>
                      <w:szCs w:val="21"/>
                      <w:highlight w:val="none"/>
                    </w:rPr>
                    <w:t>污染物名称</w:t>
                  </w:r>
                </w:p>
              </w:tc>
              <w:tc>
                <w:tcPr>
                  <w:tcW w:w="1286" w:type="pct"/>
                  <w:tcBorders>
                    <w:tl2br w:val="nil"/>
                    <w:tr2bl w:val="nil"/>
                  </w:tcBorders>
                  <w:vAlign w:val="center"/>
                </w:tcPr>
                <w:p>
                  <w:pPr>
                    <w:adjustRightInd w:val="0"/>
                    <w:snapToGrid w:val="0"/>
                    <w:jc w:val="center"/>
                    <w:rPr>
                      <w:color w:val="auto"/>
                      <w:szCs w:val="21"/>
                      <w:highlight w:val="none"/>
                    </w:rPr>
                  </w:pPr>
                  <w:r>
                    <w:rPr>
                      <w:color w:val="auto"/>
                      <w:szCs w:val="21"/>
                      <w:highlight w:val="none"/>
                    </w:rPr>
                    <w:t>类别</w:t>
                  </w:r>
                </w:p>
              </w:tc>
              <w:tc>
                <w:tcPr>
                  <w:tcW w:w="1258" w:type="pct"/>
                  <w:tcBorders>
                    <w:tl2br w:val="nil"/>
                    <w:tr2bl w:val="nil"/>
                  </w:tcBorders>
                  <w:vAlign w:val="center"/>
                </w:tcPr>
                <w:p>
                  <w:pPr>
                    <w:adjustRightInd w:val="0"/>
                    <w:snapToGrid w:val="0"/>
                    <w:jc w:val="center"/>
                    <w:rPr>
                      <w:color w:val="auto"/>
                      <w:szCs w:val="21"/>
                      <w:highlight w:val="none"/>
                    </w:rPr>
                  </w:pPr>
                  <w:r>
                    <w:rPr>
                      <w:color w:val="auto"/>
                      <w:szCs w:val="21"/>
                      <w:highlight w:val="none"/>
                    </w:rPr>
                    <w:t>昼间</w:t>
                  </w:r>
                </w:p>
              </w:tc>
              <w:tc>
                <w:tcPr>
                  <w:tcW w:w="1372" w:type="pct"/>
                  <w:tcBorders>
                    <w:tl2br w:val="nil"/>
                    <w:tr2bl w:val="nil"/>
                  </w:tcBorders>
                  <w:vAlign w:val="center"/>
                </w:tcPr>
                <w:p>
                  <w:pPr>
                    <w:adjustRightInd w:val="0"/>
                    <w:snapToGrid w:val="0"/>
                    <w:jc w:val="center"/>
                    <w:rPr>
                      <w:color w:val="auto"/>
                      <w:szCs w:val="21"/>
                      <w:highlight w:val="none"/>
                    </w:rPr>
                  </w:pPr>
                  <w:r>
                    <w:rPr>
                      <w:color w:val="auto"/>
                      <w:szCs w:val="21"/>
                      <w:highlight w:val="none"/>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82" w:type="pct"/>
                  <w:tcBorders>
                    <w:tl2br w:val="nil"/>
                    <w:tr2bl w:val="nil"/>
                  </w:tcBorders>
                  <w:vAlign w:val="center"/>
                </w:tcPr>
                <w:p>
                  <w:pPr>
                    <w:jc w:val="center"/>
                    <w:rPr>
                      <w:color w:val="auto"/>
                      <w:szCs w:val="21"/>
                      <w:highlight w:val="none"/>
                    </w:rPr>
                  </w:pPr>
                  <w:r>
                    <w:rPr>
                      <w:rFonts w:hint="eastAsia"/>
                      <w:color w:val="auto"/>
                      <w:szCs w:val="21"/>
                      <w:highlight w:val="none"/>
                    </w:rPr>
                    <w:t>噪声</w:t>
                  </w:r>
                </w:p>
              </w:tc>
              <w:tc>
                <w:tcPr>
                  <w:tcW w:w="1286" w:type="pct"/>
                  <w:tcBorders>
                    <w:tl2br w:val="nil"/>
                    <w:tr2bl w:val="nil"/>
                  </w:tcBorders>
                  <w:vAlign w:val="center"/>
                </w:tcPr>
                <w:p>
                  <w:pPr>
                    <w:adjustRightInd w:val="0"/>
                    <w:snapToGrid w:val="0"/>
                    <w:jc w:val="center"/>
                    <w:rPr>
                      <w:color w:val="auto"/>
                      <w:szCs w:val="21"/>
                      <w:highlight w:val="none"/>
                    </w:rPr>
                  </w:pPr>
                  <w:r>
                    <w:rPr>
                      <w:rFonts w:hint="eastAsia"/>
                      <w:color w:val="auto"/>
                      <w:szCs w:val="21"/>
                      <w:highlight w:val="none"/>
                    </w:rPr>
                    <w:t>1</w:t>
                  </w:r>
                  <w:r>
                    <w:rPr>
                      <w:color w:val="auto"/>
                      <w:szCs w:val="21"/>
                      <w:highlight w:val="none"/>
                    </w:rPr>
                    <w:t>类</w:t>
                  </w:r>
                </w:p>
              </w:tc>
              <w:tc>
                <w:tcPr>
                  <w:tcW w:w="1258" w:type="pct"/>
                  <w:tcBorders>
                    <w:tl2br w:val="nil"/>
                    <w:tr2bl w:val="nil"/>
                  </w:tcBorders>
                  <w:vAlign w:val="center"/>
                </w:tcPr>
                <w:p>
                  <w:pPr>
                    <w:adjustRightInd w:val="0"/>
                    <w:snapToGrid w:val="0"/>
                    <w:jc w:val="center"/>
                    <w:rPr>
                      <w:color w:val="auto"/>
                      <w:szCs w:val="21"/>
                      <w:highlight w:val="none"/>
                    </w:rPr>
                  </w:pPr>
                  <w:r>
                    <w:rPr>
                      <w:rFonts w:hint="eastAsia"/>
                      <w:color w:val="auto"/>
                      <w:szCs w:val="21"/>
                      <w:highlight w:val="none"/>
                    </w:rPr>
                    <w:t>55</w:t>
                  </w:r>
                  <w:r>
                    <w:rPr>
                      <w:color w:val="auto"/>
                      <w:szCs w:val="21"/>
                      <w:highlight w:val="none"/>
                    </w:rPr>
                    <w:t>dB(A)</w:t>
                  </w:r>
                </w:p>
              </w:tc>
              <w:tc>
                <w:tcPr>
                  <w:tcW w:w="1372" w:type="pct"/>
                  <w:tcBorders>
                    <w:tl2br w:val="nil"/>
                    <w:tr2bl w:val="nil"/>
                  </w:tcBorders>
                  <w:vAlign w:val="center"/>
                </w:tcPr>
                <w:p>
                  <w:pPr>
                    <w:adjustRightInd w:val="0"/>
                    <w:snapToGrid w:val="0"/>
                    <w:jc w:val="center"/>
                    <w:rPr>
                      <w:color w:val="auto"/>
                      <w:szCs w:val="21"/>
                      <w:highlight w:val="none"/>
                    </w:rPr>
                  </w:pPr>
                  <w:r>
                    <w:rPr>
                      <w:rFonts w:hint="eastAsia"/>
                      <w:color w:val="auto"/>
                      <w:szCs w:val="21"/>
                      <w:highlight w:val="none"/>
                    </w:rPr>
                    <w:t>45</w:t>
                  </w:r>
                  <w:r>
                    <w:rPr>
                      <w:color w:val="auto"/>
                      <w:szCs w:val="21"/>
                      <w:highlight w:val="none"/>
                    </w:rPr>
                    <w:t>dB(A)</w:t>
                  </w:r>
                </w:p>
              </w:tc>
            </w:tr>
          </w:tbl>
          <w:p>
            <w:pPr>
              <w:pStyle w:val="11"/>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color w:val="auto"/>
                <w:sz w:val="24"/>
                <w:highlight w:val="none"/>
              </w:rPr>
            </w:pPr>
            <w:r>
              <w:rPr>
                <w:color w:val="auto"/>
                <w:sz w:val="24"/>
                <w:highlight w:val="none"/>
              </w:rPr>
              <w:t>（2）环境空气质量执行《环境空气质量标准》（GB3095-2012）</w:t>
            </w:r>
            <w:r>
              <w:rPr>
                <w:rFonts w:hint="eastAsia"/>
                <w:color w:val="auto"/>
                <w:sz w:val="24"/>
                <w:highlight w:val="none"/>
              </w:rPr>
              <w:t>及修改单中</w:t>
            </w:r>
            <w:r>
              <w:rPr>
                <w:color w:val="auto"/>
                <w:sz w:val="24"/>
                <w:highlight w:val="none"/>
              </w:rPr>
              <w:t>二级标准</w:t>
            </w:r>
            <w:r>
              <w:rPr>
                <w:rFonts w:hint="eastAsia" w:ascii="Times New Roman" w:hAnsi="Times New Roman" w:cs="Times New Roman"/>
                <w:color w:val="auto"/>
                <w:sz w:val="24"/>
                <w:highlight w:val="none"/>
                <w:lang w:val="en-US" w:eastAsia="zh-CN"/>
              </w:rPr>
              <w:t>，</w:t>
            </w:r>
            <w:r>
              <w:rPr>
                <w:rFonts w:ascii="宋体" w:hAnsi="宋体" w:eastAsia="宋体" w:cs="宋体"/>
                <w:snapToGrid w:val="0"/>
                <w:color w:val="auto"/>
                <w:kern w:val="0"/>
                <w:sz w:val="24"/>
                <w:szCs w:val="24"/>
                <w:highlight w:val="none"/>
                <w:lang w:val="zh-CN" w:bidi="zh-CN"/>
              </w:rPr>
              <w:t>具体标准值见表</w:t>
            </w:r>
            <w:r>
              <w:rPr>
                <w:rFonts w:hint="eastAsia" w:ascii="Times New Roman" w:hAnsi="Times New Roman" w:eastAsia="Times New Roman" w:cs="宋体"/>
                <w:snapToGrid w:val="0"/>
                <w:color w:val="auto"/>
                <w:kern w:val="0"/>
                <w:sz w:val="24"/>
                <w:szCs w:val="24"/>
                <w:highlight w:val="none"/>
                <w:lang w:val="en-US" w:bidi="zh-CN"/>
              </w:rPr>
              <w:t>3-</w:t>
            </w:r>
            <w:r>
              <w:rPr>
                <w:rFonts w:hint="eastAsia" w:eastAsia="Times New Roman" w:cs="宋体"/>
                <w:snapToGrid w:val="0"/>
                <w:color w:val="auto"/>
                <w:kern w:val="0"/>
                <w:sz w:val="24"/>
                <w:szCs w:val="24"/>
                <w:highlight w:val="none"/>
                <w:lang w:val="en-US" w:bidi="zh-CN"/>
              </w:rPr>
              <w:t>8</w:t>
            </w:r>
            <w:r>
              <w:rPr>
                <w:rFonts w:hint="eastAsia"/>
                <w:color w:val="auto"/>
                <w:sz w:val="24"/>
                <w:highlight w:val="none"/>
              </w:rPr>
              <w:t>；</w:t>
            </w:r>
          </w:p>
          <w:p>
            <w:pPr>
              <w:keepNext w:val="0"/>
              <w:keepLines w:val="0"/>
              <w:pageBreakBefore w:val="0"/>
              <w:widowControl w:val="0"/>
              <w:tabs>
                <w:tab w:val="left" w:pos="3971"/>
                <w:tab w:val="left" w:pos="6940"/>
              </w:tabs>
              <w:kinsoku/>
              <w:wordWrap/>
              <w:overflowPunct/>
              <w:topLinePunct w:val="0"/>
              <w:autoSpaceDE/>
              <w:autoSpaceDN/>
              <w:bidi w:val="0"/>
              <w:adjustRightInd/>
              <w:snapToGrid/>
              <w:ind w:left="0" w:leftChars="0" w:firstLine="1715" w:firstLineChars="712"/>
              <w:jc w:val="center"/>
              <w:textAlignment w:val="auto"/>
              <w:rPr>
                <w:rFonts w:ascii="Times New Roman" w:hAnsi="Times New Roman" w:eastAsia="Times New Roman"/>
                <w:b/>
                <w:snapToGrid w:val="0"/>
                <w:color w:val="auto"/>
                <w:sz w:val="21"/>
                <w:highlight w:val="none"/>
              </w:rPr>
            </w:pPr>
            <w:r>
              <w:rPr>
                <w:rFonts w:eastAsia="黑体"/>
                <w:b/>
                <w:color w:val="auto"/>
                <w:sz w:val="24"/>
                <w:highlight w:val="none"/>
                <w:lang w:val="zh-CN"/>
              </w:rPr>
              <w:t>表</w:t>
            </w:r>
            <w:r>
              <w:rPr>
                <w:rFonts w:hint="eastAsia" w:eastAsia="黑体"/>
                <w:b/>
                <w:color w:val="auto"/>
                <w:sz w:val="24"/>
                <w:highlight w:val="none"/>
                <w:lang w:val="en-US" w:eastAsia="zh-CN"/>
              </w:rPr>
              <w:t>3-8</w:t>
            </w:r>
            <w:r>
              <w:rPr>
                <w:rFonts w:eastAsia="黑体"/>
                <w:b/>
                <w:color w:val="auto"/>
                <w:sz w:val="24"/>
                <w:highlight w:val="none"/>
                <w:lang w:val="zh-CN"/>
              </w:rPr>
              <w:t xml:space="preserve">  环境空气质量二级标准限值</w:t>
            </w:r>
            <w:r>
              <w:rPr>
                <w:b/>
                <w:snapToGrid w:val="0"/>
                <w:color w:val="auto"/>
                <w:sz w:val="21"/>
                <w:highlight w:val="none"/>
              </w:rPr>
              <w:tab/>
            </w:r>
            <w:r>
              <w:rPr>
                <w:b/>
                <w:snapToGrid w:val="0"/>
                <w:color w:val="auto"/>
                <w:sz w:val="21"/>
                <w:highlight w:val="none"/>
              </w:rPr>
              <w:t>单位：</w:t>
            </w:r>
            <w:r>
              <w:rPr>
                <w:rFonts w:ascii="Times New Roman" w:hAnsi="Times New Roman" w:eastAsia="Times New Roman"/>
                <w:b/>
                <w:snapToGrid w:val="0"/>
                <w:color w:val="auto"/>
                <w:sz w:val="21"/>
                <w:highlight w:val="none"/>
              </w:rPr>
              <w:t>μg/m</w:t>
            </w:r>
            <w:r>
              <w:rPr>
                <w:rFonts w:ascii="Times New Roman" w:hAnsi="Times New Roman" w:eastAsia="Times New Roman"/>
                <w:b/>
                <w:snapToGrid w:val="0"/>
                <w:color w:val="auto"/>
                <w:sz w:val="21"/>
                <w:highlight w:val="none"/>
                <w:vertAlign w:val="superscript"/>
              </w:rPr>
              <w:t>3</w:t>
            </w:r>
          </w:p>
          <w:tbl>
            <w:tblPr>
              <w:tblStyle w:val="24"/>
              <w:tblW w:w="4997"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1388"/>
              <w:gridCol w:w="584"/>
              <w:gridCol w:w="619"/>
              <w:gridCol w:w="1560"/>
              <w:gridCol w:w="2768"/>
              <w:gridCol w:w="691"/>
              <w:gridCol w:w="724"/>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7"/>
                    <w:spacing w:line="240" w:lineRule="atLeast"/>
                    <w:jc w:val="center"/>
                    <w:rPr>
                      <w:b/>
                      <w:snapToGrid w:val="0"/>
                      <w:color w:val="auto"/>
                      <w:sz w:val="21"/>
                      <w:highlight w:val="none"/>
                    </w:rPr>
                  </w:pPr>
                  <w:r>
                    <w:rPr>
                      <w:b/>
                      <w:snapToGrid w:val="0"/>
                      <w:color w:val="auto"/>
                      <w:sz w:val="21"/>
                      <w:highlight w:val="none"/>
                    </w:rPr>
                    <w:t>指标名称</w:t>
                  </w:r>
                </w:p>
              </w:tc>
              <w:tc>
                <w:tcPr>
                  <w:tcW w:w="350" w:type="pct"/>
                  <w:tcBorders>
                    <w:tl2br w:val="nil"/>
                    <w:tr2bl w:val="nil"/>
                  </w:tcBorders>
                  <w:tcMar>
                    <w:left w:w="28" w:type="dxa"/>
                    <w:right w:w="28" w:type="dxa"/>
                  </w:tcMar>
                  <w:vAlign w:val="center"/>
                </w:tcPr>
                <w:p>
                  <w:pPr>
                    <w:pStyle w:val="67"/>
                    <w:spacing w:line="240" w:lineRule="atLeast"/>
                    <w:jc w:val="center"/>
                    <w:rPr>
                      <w:rFonts w:ascii="Times New Roman"/>
                      <w:b/>
                      <w:snapToGrid w:val="0"/>
                      <w:color w:val="auto"/>
                      <w:sz w:val="21"/>
                      <w:highlight w:val="none"/>
                    </w:rPr>
                  </w:pPr>
                  <w:r>
                    <w:rPr>
                      <w:rFonts w:ascii="Times New Roman"/>
                      <w:b/>
                      <w:snapToGrid w:val="0"/>
                      <w:color w:val="auto"/>
                      <w:sz w:val="21"/>
                      <w:highlight w:val="none"/>
                    </w:rPr>
                    <w:t>SO</w:t>
                  </w:r>
                  <w:r>
                    <w:rPr>
                      <w:rFonts w:ascii="Times New Roman"/>
                      <w:b/>
                      <w:snapToGrid w:val="0"/>
                      <w:color w:val="auto"/>
                      <w:sz w:val="21"/>
                      <w:highlight w:val="none"/>
                      <w:vertAlign w:val="subscript"/>
                    </w:rPr>
                    <w:t>2</w:t>
                  </w:r>
                </w:p>
              </w:tc>
              <w:tc>
                <w:tcPr>
                  <w:tcW w:w="371" w:type="pct"/>
                  <w:tcBorders>
                    <w:tl2br w:val="nil"/>
                    <w:tr2bl w:val="nil"/>
                  </w:tcBorders>
                  <w:tcMar>
                    <w:left w:w="28" w:type="dxa"/>
                    <w:right w:w="28" w:type="dxa"/>
                  </w:tcMar>
                  <w:vAlign w:val="center"/>
                </w:tcPr>
                <w:p>
                  <w:pPr>
                    <w:pStyle w:val="67"/>
                    <w:spacing w:line="240" w:lineRule="atLeast"/>
                    <w:jc w:val="center"/>
                    <w:rPr>
                      <w:rFonts w:ascii="Times New Roman"/>
                      <w:b/>
                      <w:snapToGrid w:val="0"/>
                      <w:color w:val="auto"/>
                      <w:sz w:val="21"/>
                      <w:highlight w:val="none"/>
                    </w:rPr>
                  </w:pPr>
                  <w:r>
                    <w:rPr>
                      <w:rFonts w:ascii="Times New Roman"/>
                      <w:b/>
                      <w:snapToGrid w:val="0"/>
                      <w:color w:val="auto"/>
                      <w:sz w:val="21"/>
                      <w:highlight w:val="none"/>
                    </w:rPr>
                    <w:t>NO</w:t>
                  </w:r>
                  <w:r>
                    <w:rPr>
                      <w:rFonts w:ascii="Times New Roman"/>
                      <w:b/>
                      <w:snapToGrid w:val="0"/>
                      <w:color w:val="auto"/>
                      <w:sz w:val="21"/>
                      <w:highlight w:val="none"/>
                      <w:vertAlign w:val="subscript"/>
                    </w:rPr>
                    <w:t>2</w:t>
                  </w:r>
                </w:p>
              </w:tc>
              <w:tc>
                <w:tcPr>
                  <w:tcW w:w="935" w:type="pct"/>
                  <w:tcBorders>
                    <w:tl2br w:val="nil"/>
                    <w:tr2bl w:val="nil"/>
                  </w:tcBorders>
                  <w:tcMar>
                    <w:left w:w="28" w:type="dxa"/>
                    <w:right w:w="28" w:type="dxa"/>
                  </w:tcMar>
                  <w:vAlign w:val="center"/>
                </w:tcPr>
                <w:p>
                  <w:pPr>
                    <w:pStyle w:val="67"/>
                    <w:spacing w:line="240" w:lineRule="atLeast"/>
                    <w:jc w:val="center"/>
                    <w:rPr>
                      <w:b/>
                      <w:snapToGrid w:val="0"/>
                      <w:color w:val="auto"/>
                      <w:sz w:val="21"/>
                      <w:highlight w:val="none"/>
                    </w:rPr>
                  </w:pPr>
                  <w:r>
                    <w:rPr>
                      <w:rFonts w:ascii="Times New Roman" w:eastAsia="Times New Roman"/>
                      <w:b/>
                      <w:snapToGrid w:val="0"/>
                      <w:color w:val="auto"/>
                      <w:sz w:val="21"/>
                      <w:highlight w:val="none"/>
                    </w:rPr>
                    <w:t>CO</w:t>
                  </w:r>
                  <w:r>
                    <w:rPr>
                      <w:b/>
                      <w:snapToGrid w:val="0"/>
                      <w:color w:val="auto"/>
                      <w:sz w:val="21"/>
                      <w:highlight w:val="none"/>
                    </w:rPr>
                    <w:t>（</w:t>
                  </w:r>
                  <w:r>
                    <w:rPr>
                      <w:rFonts w:ascii="Times New Roman" w:eastAsia="Times New Roman"/>
                      <w:b/>
                      <w:snapToGrid w:val="0"/>
                      <w:color w:val="auto"/>
                      <w:sz w:val="21"/>
                      <w:highlight w:val="none"/>
                    </w:rPr>
                    <w:t>mg/m</w:t>
                  </w:r>
                  <w:r>
                    <w:rPr>
                      <w:rFonts w:ascii="Times New Roman" w:eastAsia="Times New Roman"/>
                      <w:b/>
                      <w:snapToGrid w:val="0"/>
                      <w:color w:val="auto"/>
                      <w:sz w:val="21"/>
                      <w:highlight w:val="none"/>
                      <w:vertAlign w:val="superscript"/>
                    </w:rPr>
                    <w:t>3</w:t>
                  </w:r>
                  <w:r>
                    <w:rPr>
                      <w:b/>
                      <w:snapToGrid w:val="0"/>
                      <w:color w:val="auto"/>
                      <w:sz w:val="21"/>
                      <w:highlight w:val="none"/>
                    </w:rPr>
                    <w:t>）</w:t>
                  </w:r>
                </w:p>
              </w:tc>
              <w:tc>
                <w:tcPr>
                  <w:tcW w:w="1659" w:type="pct"/>
                  <w:tcBorders>
                    <w:tl2br w:val="nil"/>
                    <w:tr2bl w:val="nil"/>
                  </w:tcBorders>
                  <w:tcMar>
                    <w:left w:w="28" w:type="dxa"/>
                    <w:right w:w="28" w:type="dxa"/>
                  </w:tcMar>
                  <w:vAlign w:val="center"/>
                </w:tcPr>
                <w:p>
                  <w:pPr>
                    <w:pStyle w:val="67"/>
                    <w:spacing w:line="240" w:lineRule="atLeast"/>
                    <w:jc w:val="center"/>
                    <w:rPr>
                      <w:rFonts w:ascii="Times New Roman"/>
                      <w:b/>
                      <w:snapToGrid w:val="0"/>
                      <w:color w:val="auto"/>
                      <w:sz w:val="21"/>
                      <w:highlight w:val="none"/>
                    </w:rPr>
                  </w:pPr>
                  <w:r>
                    <w:rPr>
                      <w:rFonts w:ascii="Times New Roman"/>
                      <w:b/>
                      <w:snapToGrid w:val="0"/>
                      <w:color w:val="auto"/>
                      <w:sz w:val="21"/>
                      <w:highlight w:val="none"/>
                    </w:rPr>
                    <w:t>O</w:t>
                  </w:r>
                  <w:r>
                    <w:rPr>
                      <w:rFonts w:ascii="Times New Roman"/>
                      <w:b/>
                      <w:snapToGrid w:val="0"/>
                      <w:color w:val="auto"/>
                      <w:sz w:val="21"/>
                      <w:highlight w:val="none"/>
                      <w:vertAlign w:val="subscript"/>
                    </w:rPr>
                    <w:t>3</w:t>
                  </w:r>
                </w:p>
              </w:tc>
              <w:tc>
                <w:tcPr>
                  <w:tcW w:w="414" w:type="pct"/>
                  <w:tcBorders>
                    <w:tl2br w:val="nil"/>
                    <w:tr2bl w:val="nil"/>
                  </w:tcBorders>
                  <w:tcMar>
                    <w:left w:w="28" w:type="dxa"/>
                    <w:right w:w="28" w:type="dxa"/>
                  </w:tcMar>
                  <w:vAlign w:val="center"/>
                </w:tcPr>
                <w:p>
                  <w:pPr>
                    <w:pStyle w:val="67"/>
                    <w:spacing w:line="240" w:lineRule="atLeast"/>
                    <w:jc w:val="center"/>
                    <w:rPr>
                      <w:rFonts w:ascii="Times New Roman"/>
                      <w:b/>
                      <w:snapToGrid w:val="0"/>
                      <w:color w:val="auto"/>
                      <w:sz w:val="21"/>
                      <w:highlight w:val="none"/>
                    </w:rPr>
                  </w:pPr>
                  <w:r>
                    <w:rPr>
                      <w:rFonts w:ascii="Times New Roman"/>
                      <w:b/>
                      <w:snapToGrid w:val="0"/>
                      <w:color w:val="auto"/>
                      <w:sz w:val="21"/>
                      <w:highlight w:val="none"/>
                    </w:rPr>
                    <w:t>PM</w:t>
                  </w:r>
                  <w:r>
                    <w:rPr>
                      <w:rFonts w:ascii="Times New Roman"/>
                      <w:b/>
                      <w:snapToGrid w:val="0"/>
                      <w:color w:val="auto"/>
                      <w:sz w:val="21"/>
                      <w:highlight w:val="none"/>
                      <w:vertAlign w:val="subscript"/>
                    </w:rPr>
                    <w:t>10</w:t>
                  </w:r>
                </w:p>
              </w:tc>
              <w:tc>
                <w:tcPr>
                  <w:tcW w:w="434" w:type="pct"/>
                  <w:tcBorders>
                    <w:tl2br w:val="nil"/>
                    <w:tr2bl w:val="nil"/>
                  </w:tcBorders>
                  <w:tcMar>
                    <w:left w:w="28" w:type="dxa"/>
                    <w:right w:w="28" w:type="dxa"/>
                  </w:tcMar>
                  <w:vAlign w:val="center"/>
                </w:tcPr>
                <w:p>
                  <w:pPr>
                    <w:pStyle w:val="67"/>
                    <w:spacing w:line="240" w:lineRule="atLeast"/>
                    <w:jc w:val="center"/>
                    <w:rPr>
                      <w:rFonts w:ascii="Times New Roman"/>
                      <w:b/>
                      <w:snapToGrid w:val="0"/>
                      <w:color w:val="auto"/>
                      <w:sz w:val="14"/>
                      <w:highlight w:val="none"/>
                    </w:rPr>
                  </w:pPr>
                  <w:r>
                    <w:rPr>
                      <w:rFonts w:ascii="Times New Roman"/>
                      <w:b/>
                      <w:snapToGrid w:val="0"/>
                      <w:color w:val="auto"/>
                      <w:sz w:val="21"/>
                      <w:highlight w:val="none"/>
                    </w:rPr>
                    <w:t>PM</w:t>
                  </w:r>
                  <w:r>
                    <w:rPr>
                      <w:rFonts w:ascii="Times New Roman"/>
                      <w:b/>
                      <w:snapToGrid w:val="0"/>
                      <w:color w:val="auto"/>
                      <w:sz w:val="14"/>
                      <w:highlight w:val="none"/>
                    </w:rPr>
                    <w:t>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7"/>
                    <w:spacing w:line="240" w:lineRule="atLeast"/>
                    <w:jc w:val="center"/>
                    <w:rPr>
                      <w:snapToGrid w:val="0"/>
                      <w:color w:val="auto"/>
                      <w:sz w:val="21"/>
                      <w:highlight w:val="none"/>
                    </w:rPr>
                  </w:pPr>
                  <w:r>
                    <w:rPr>
                      <w:snapToGrid w:val="0"/>
                      <w:color w:val="auto"/>
                      <w:sz w:val="21"/>
                      <w:highlight w:val="none"/>
                    </w:rPr>
                    <w:t>年平均</w:t>
                  </w:r>
                </w:p>
              </w:tc>
              <w:tc>
                <w:tcPr>
                  <w:tcW w:w="350"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60</w:t>
                  </w:r>
                </w:p>
              </w:tc>
              <w:tc>
                <w:tcPr>
                  <w:tcW w:w="371"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40</w:t>
                  </w:r>
                </w:p>
              </w:tc>
              <w:tc>
                <w:tcPr>
                  <w:tcW w:w="935"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1659"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41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70</w:t>
                  </w:r>
                </w:p>
              </w:tc>
              <w:tc>
                <w:tcPr>
                  <w:tcW w:w="43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35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7"/>
                    <w:spacing w:line="240" w:lineRule="atLeast"/>
                    <w:jc w:val="center"/>
                    <w:rPr>
                      <w:snapToGrid w:val="0"/>
                      <w:color w:val="auto"/>
                      <w:sz w:val="21"/>
                      <w:highlight w:val="none"/>
                    </w:rPr>
                  </w:pPr>
                  <w:r>
                    <w:rPr>
                      <w:rFonts w:ascii="Times New Roman" w:eastAsia="Times New Roman"/>
                      <w:snapToGrid w:val="0"/>
                      <w:color w:val="auto"/>
                      <w:sz w:val="21"/>
                      <w:highlight w:val="none"/>
                    </w:rPr>
                    <w:t>24</w:t>
                  </w:r>
                  <w:r>
                    <w:rPr>
                      <w:snapToGrid w:val="0"/>
                      <w:color w:val="auto"/>
                      <w:sz w:val="21"/>
                      <w:highlight w:val="none"/>
                    </w:rPr>
                    <w:t>小时平均</w:t>
                  </w:r>
                </w:p>
              </w:tc>
              <w:tc>
                <w:tcPr>
                  <w:tcW w:w="350"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150</w:t>
                  </w:r>
                </w:p>
              </w:tc>
              <w:tc>
                <w:tcPr>
                  <w:tcW w:w="371"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80</w:t>
                  </w:r>
                </w:p>
              </w:tc>
              <w:tc>
                <w:tcPr>
                  <w:tcW w:w="935"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4</w:t>
                  </w:r>
                </w:p>
              </w:tc>
              <w:tc>
                <w:tcPr>
                  <w:tcW w:w="1659" w:type="pct"/>
                  <w:tcBorders>
                    <w:tl2br w:val="nil"/>
                    <w:tr2bl w:val="nil"/>
                  </w:tcBorders>
                  <w:tcMar>
                    <w:left w:w="28" w:type="dxa"/>
                    <w:right w:w="28" w:type="dxa"/>
                  </w:tcMar>
                  <w:vAlign w:val="center"/>
                </w:tcPr>
                <w:p>
                  <w:pPr>
                    <w:pStyle w:val="67"/>
                    <w:spacing w:line="240" w:lineRule="atLeast"/>
                    <w:jc w:val="center"/>
                    <w:rPr>
                      <w:snapToGrid w:val="0"/>
                      <w:color w:val="auto"/>
                      <w:sz w:val="21"/>
                      <w:highlight w:val="none"/>
                    </w:rPr>
                  </w:pPr>
                  <w:r>
                    <w:rPr>
                      <w:rFonts w:ascii="Times New Roman" w:eastAsia="Times New Roman"/>
                      <w:snapToGrid w:val="0"/>
                      <w:color w:val="auto"/>
                      <w:sz w:val="21"/>
                      <w:highlight w:val="none"/>
                    </w:rPr>
                    <w:t>160</w:t>
                  </w:r>
                  <w:r>
                    <w:rPr>
                      <w:snapToGrid w:val="0"/>
                      <w:color w:val="auto"/>
                      <w:sz w:val="21"/>
                      <w:highlight w:val="none"/>
                    </w:rPr>
                    <w:t>（日最大</w:t>
                  </w:r>
                  <w:r>
                    <w:rPr>
                      <w:rFonts w:ascii="Times New Roman" w:eastAsia="Times New Roman"/>
                      <w:snapToGrid w:val="0"/>
                      <w:color w:val="auto"/>
                      <w:sz w:val="21"/>
                      <w:highlight w:val="none"/>
                    </w:rPr>
                    <w:t>8</w:t>
                  </w:r>
                  <w:r>
                    <w:rPr>
                      <w:snapToGrid w:val="0"/>
                      <w:color w:val="auto"/>
                      <w:sz w:val="21"/>
                      <w:highlight w:val="none"/>
                    </w:rPr>
                    <w:t>小时平均）</w:t>
                  </w:r>
                </w:p>
              </w:tc>
              <w:tc>
                <w:tcPr>
                  <w:tcW w:w="41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150</w:t>
                  </w:r>
                </w:p>
              </w:tc>
              <w:tc>
                <w:tcPr>
                  <w:tcW w:w="43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75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832" w:type="pct"/>
                  <w:tcBorders>
                    <w:tl2br w:val="nil"/>
                    <w:tr2bl w:val="nil"/>
                  </w:tcBorders>
                  <w:tcMar>
                    <w:left w:w="28" w:type="dxa"/>
                    <w:right w:w="28" w:type="dxa"/>
                  </w:tcMar>
                  <w:vAlign w:val="center"/>
                </w:tcPr>
                <w:p>
                  <w:pPr>
                    <w:pStyle w:val="67"/>
                    <w:spacing w:line="240" w:lineRule="atLeast"/>
                    <w:jc w:val="center"/>
                    <w:rPr>
                      <w:snapToGrid w:val="0"/>
                      <w:color w:val="auto"/>
                      <w:sz w:val="21"/>
                      <w:highlight w:val="none"/>
                    </w:rPr>
                  </w:pPr>
                  <w:r>
                    <w:rPr>
                      <w:rFonts w:ascii="Times New Roman" w:eastAsia="Times New Roman"/>
                      <w:snapToGrid w:val="0"/>
                      <w:color w:val="auto"/>
                      <w:sz w:val="21"/>
                      <w:highlight w:val="none"/>
                    </w:rPr>
                    <w:t>1</w:t>
                  </w:r>
                  <w:r>
                    <w:rPr>
                      <w:snapToGrid w:val="0"/>
                      <w:color w:val="auto"/>
                      <w:sz w:val="21"/>
                      <w:highlight w:val="none"/>
                    </w:rPr>
                    <w:t>小时平均</w:t>
                  </w:r>
                </w:p>
              </w:tc>
              <w:tc>
                <w:tcPr>
                  <w:tcW w:w="350"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500</w:t>
                  </w:r>
                </w:p>
              </w:tc>
              <w:tc>
                <w:tcPr>
                  <w:tcW w:w="371"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200</w:t>
                  </w:r>
                </w:p>
              </w:tc>
              <w:tc>
                <w:tcPr>
                  <w:tcW w:w="935"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10</w:t>
                  </w:r>
                </w:p>
              </w:tc>
              <w:tc>
                <w:tcPr>
                  <w:tcW w:w="1659"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200</w:t>
                  </w:r>
                </w:p>
              </w:tc>
              <w:tc>
                <w:tcPr>
                  <w:tcW w:w="41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434" w:type="pct"/>
                  <w:tcBorders>
                    <w:tl2br w:val="nil"/>
                    <w:tr2bl w:val="nil"/>
                  </w:tcBorders>
                  <w:tcMar>
                    <w:left w:w="28" w:type="dxa"/>
                    <w:right w:w="28" w:type="dxa"/>
                  </w:tcMar>
                  <w:vAlign w:val="center"/>
                </w:tcPr>
                <w:p>
                  <w:pPr>
                    <w:pStyle w:val="67"/>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r>
          </w:tbl>
          <w:p>
            <w:pPr>
              <w:pStyle w:val="2"/>
              <w:widowControl w:val="0"/>
              <w:numPr>
                <w:ilvl w:val="0"/>
                <w:numId w:val="0"/>
              </w:numPr>
              <w:snapToGrid w:val="0"/>
              <w:jc w:val="left"/>
              <w:rPr>
                <w:color w:val="auto"/>
                <w:highlight w:val="none"/>
              </w:rPr>
            </w:pPr>
          </w:p>
          <w:p>
            <w:pPr>
              <w:pStyle w:val="11"/>
              <w:widowControl w:val="0"/>
              <w:autoSpaceDE w:val="0"/>
              <w:autoSpaceDN w:val="0"/>
              <w:snapToGrid/>
              <w:spacing w:before="181" w:after="0" w:line="360" w:lineRule="auto"/>
              <w:ind w:right="0" w:firstLine="480" w:firstLineChars="200"/>
              <w:jc w:val="both"/>
              <w:rPr>
                <w:rFonts w:ascii="宋体" w:hAnsi="宋体" w:eastAsia="宋体" w:cs="宋体"/>
                <w:snapToGrid w:val="0"/>
                <w:color w:val="auto"/>
                <w:kern w:val="0"/>
                <w:sz w:val="24"/>
                <w:szCs w:val="24"/>
                <w:highlight w:val="none"/>
                <w:lang w:val="zh-CN" w:bidi="zh-CN"/>
              </w:rPr>
            </w:pPr>
            <w:r>
              <w:rPr>
                <w:rFonts w:hint="eastAsia" w:ascii="Times New Roman" w:hAnsi="Times New Roman" w:cs="Times New Roman"/>
                <w:color w:val="auto"/>
                <w:sz w:val="24"/>
                <w:highlight w:val="none"/>
                <w:lang w:eastAsia="zh-CN"/>
              </w:rPr>
              <w:t>（</w:t>
            </w:r>
            <w:r>
              <w:rPr>
                <w:rFonts w:hint="eastAsia" w:ascii="Times New Roman" w:hAnsi="Times New Roman" w:cs="Times New Roman"/>
                <w:color w:val="auto"/>
                <w:sz w:val="24"/>
                <w:highlight w:val="none"/>
                <w:lang w:val="en-US" w:eastAsia="zh-CN"/>
              </w:rPr>
              <w:t>3）地表水环境质量执行《地表水环境质量标准》（GB3838-2002）IV类标准，</w:t>
            </w:r>
            <w:r>
              <w:rPr>
                <w:rFonts w:ascii="宋体" w:hAnsi="宋体" w:eastAsia="宋体" w:cs="宋体"/>
                <w:snapToGrid w:val="0"/>
                <w:color w:val="auto"/>
                <w:kern w:val="0"/>
                <w:sz w:val="24"/>
                <w:szCs w:val="24"/>
                <w:highlight w:val="none"/>
                <w:lang w:val="zh-CN" w:bidi="zh-CN"/>
              </w:rPr>
              <w:t>具体标准值见表</w:t>
            </w:r>
            <w:r>
              <w:rPr>
                <w:rFonts w:hint="eastAsia" w:ascii="Times New Roman" w:hAnsi="Times New Roman" w:eastAsia="Times New Roman" w:cs="宋体"/>
                <w:snapToGrid w:val="0"/>
                <w:color w:val="auto"/>
                <w:kern w:val="0"/>
                <w:sz w:val="24"/>
                <w:szCs w:val="24"/>
                <w:highlight w:val="none"/>
                <w:lang w:val="en-US" w:bidi="zh-CN"/>
              </w:rPr>
              <w:t>3-</w:t>
            </w:r>
            <w:r>
              <w:rPr>
                <w:rFonts w:hint="eastAsia" w:eastAsia="Times New Roman" w:cs="宋体"/>
                <w:snapToGrid w:val="0"/>
                <w:color w:val="auto"/>
                <w:kern w:val="0"/>
                <w:sz w:val="24"/>
                <w:szCs w:val="24"/>
                <w:highlight w:val="none"/>
                <w:lang w:val="en-US" w:bidi="zh-CN"/>
              </w:rPr>
              <w:t>9</w:t>
            </w:r>
            <w:r>
              <w:rPr>
                <w:rFonts w:ascii="宋体" w:hAnsi="宋体" w:eastAsia="宋体" w:cs="宋体"/>
                <w:snapToGrid w:val="0"/>
                <w:color w:val="auto"/>
                <w:kern w:val="0"/>
                <w:sz w:val="24"/>
                <w:szCs w:val="24"/>
                <w:highlight w:val="none"/>
                <w:lang w:val="zh-CN" w:bidi="zh-CN"/>
              </w:rPr>
              <w:t>。</w:t>
            </w:r>
          </w:p>
          <w:p>
            <w:pPr>
              <w:tabs>
                <w:tab w:val="left" w:pos="3580"/>
                <w:tab w:val="left" w:pos="7140"/>
              </w:tabs>
              <w:autoSpaceDE w:val="0"/>
              <w:autoSpaceDN w:val="0"/>
              <w:spacing w:before="152"/>
              <w:ind w:left="0" w:leftChars="0" w:firstLine="2749" w:firstLineChars="1141"/>
              <w:jc w:val="both"/>
              <w:rPr>
                <w:rFonts w:ascii="Times New Roman" w:hAnsi="宋体" w:eastAsia="宋体" w:cs="宋体"/>
                <w:b/>
                <w:snapToGrid w:val="0"/>
                <w:color w:val="auto"/>
                <w:kern w:val="0"/>
                <w:sz w:val="10"/>
                <w:szCs w:val="22"/>
                <w:highlight w:val="none"/>
                <w:lang w:val="zh-CN" w:bidi="zh-CN"/>
              </w:rPr>
            </w:pPr>
            <w:r>
              <w:rPr>
                <w:rFonts w:eastAsia="黑体"/>
                <w:b/>
                <w:color w:val="auto"/>
                <w:sz w:val="24"/>
                <w:highlight w:val="none"/>
                <w:lang w:val="zh-CN"/>
              </w:rPr>
              <w:t>表</w:t>
            </w:r>
            <w:r>
              <w:rPr>
                <w:rFonts w:hint="eastAsia" w:eastAsia="黑体"/>
                <w:b/>
                <w:color w:val="auto"/>
                <w:sz w:val="24"/>
                <w:highlight w:val="none"/>
                <w:lang w:val="en-US" w:eastAsia="zh-CN"/>
              </w:rPr>
              <w:t>3-9</w:t>
            </w:r>
            <w:r>
              <w:rPr>
                <w:rFonts w:eastAsia="黑体"/>
                <w:b/>
                <w:color w:val="auto"/>
                <w:sz w:val="24"/>
                <w:highlight w:val="none"/>
                <w:lang w:val="zh-CN"/>
              </w:rPr>
              <w:t xml:space="preserve">  地表水环境质量标准限值</w:t>
            </w:r>
            <w:r>
              <w:rPr>
                <w:rFonts w:ascii="宋体" w:hAnsi="宋体" w:eastAsia="宋体" w:cs="宋体"/>
                <w:b/>
                <w:snapToGrid w:val="0"/>
                <w:color w:val="auto"/>
                <w:kern w:val="0"/>
                <w:sz w:val="21"/>
                <w:szCs w:val="22"/>
                <w:highlight w:val="none"/>
                <w:lang w:val="zh-CN" w:bidi="zh-CN"/>
              </w:rPr>
              <w:tab/>
            </w:r>
            <w:r>
              <w:rPr>
                <w:rFonts w:ascii="宋体" w:hAnsi="宋体" w:eastAsia="宋体" w:cs="宋体"/>
                <w:b/>
                <w:snapToGrid w:val="0"/>
                <w:color w:val="auto"/>
                <w:kern w:val="0"/>
                <w:sz w:val="21"/>
                <w:szCs w:val="22"/>
                <w:highlight w:val="none"/>
                <w:lang w:val="zh-CN" w:bidi="zh-CN"/>
              </w:rPr>
              <w:t>单位：</w:t>
            </w:r>
            <w:r>
              <w:rPr>
                <w:rFonts w:ascii="Times New Roman" w:hAnsi="宋体" w:eastAsia="Times New Roman" w:cs="宋体"/>
                <w:b/>
                <w:snapToGrid w:val="0"/>
                <w:color w:val="auto"/>
                <w:kern w:val="0"/>
                <w:sz w:val="21"/>
                <w:szCs w:val="22"/>
                <w:highlight w:val="none"/>
                <w:lang w:val="zh-CN" w:bidi="zh-CN"/>
              </w:rPr>
              <w:t>mg/L</w:t>
            </w:r>
          </w:p>
          <w:tbl>
            <w:tblPr>
              <w:tblStyle w:val="24"/>
              <w:tblW w:w="4995"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28" w:type="dxa"/>
                <w:bottom w:w="0" w:type="dxa"/>
                <w:right w:w="28" w:type="dxa"/>
              </w:tblCellMar>
            </w:tblPr>
            <w:tblGrid>
              <w:gridCol w:w="1182"/>
              <w:gridCol w:w="622"/>
              <w:gridCol w:w="904"/>
              <w:gridCol w:w="684"/>
              <w:gridCol w:w="867"/>
              <w:gridCol w:w="692"/>
              <w:gridCol w:w="745"/>
              <w:gridCol w:w="901"/>
              <w:gridCol w:w="1734"/>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426" w:hRule="atLeast"/>
                <w:jc w:val="center"/>
              </w:trPr>
              <w:tc>
                <w:tcPr>
                  <w:tcW w:w="70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指标名称</w:t>
                  </w:r>
                </w:p>
              </w:tc>
              <w:tc>
                <w:tcPr>
                  <w:tcW w:w="373"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en-US" w:eastAsia="zh-CN" w:bidi="zh-CN"/>
                    </w:rPr>
                  </w:pPr>
                  <w:r>
                    <w:rPr>
                      <w:rFonts w:ascii="Times New Roman" w:hAnsi="Times New Roman" w:eastAsia="宋体" w:cs="Times New Roman"/>
                      <w:b/>
                      <w:snapToGrid w:val="0"/>
                      <w:color w:val="auto"/>
                      <w:sz w:val="21"/>
                      <w:szCs w:val="21"/>
                      <w:highlight w:val="none"/>
                      <w:lang w:val="en-US" w:eastAsia="zh-CN" w:bidi="zh-CN"/>
                    </w:rPr>
                    <w:t>pH</w:t>
                  </w:r>
                </w:p>
              </w:tc>
              <w:tc>
                <w:tcPr>
                  <w:tcW w:w="542"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en-US" w:eastAsia="zh-CN" w:bidi="zh-CN"/>
                    </w:rPr>
                  </w:pPr>
                  <w:r>
                    <w:rPr>
                      <w:rFonts w:ascii="Times New Roman" w:hAnsi="Times New Roman" w:eastAsia="宋体" w:cs="Times New Roman"/>
                      <w:b/>
                      <w:snapToGrid w:val="0"/>
                      <w:color w:val="auto"/>
                      <w:sz w:val="21"/>
                      <w:szCs w:val="21"/>
                      <w:highlight w:val="none"/>
                      <w:lang w:val="en-US" w:eastAsia="zh-CN" w:bidi="zh-CN"/>
                    </w:rPr>
                    <w:t>溶解氧</w:t>
                  </w:r>
                </w:p>
              </w:tc>
              <w:tc>
                <w:tcPr>
                  <w:tcW w:w="41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COD</w:t>
                  </w:r>
                </w:p>
              </w:tc>
              <w:tc>
                <w:tcPr>
                  <w:tcW w:w="52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NH</w:t>
                  </w:r>
                  <w:r>
                    <w:rPr>
                      <w:rFonts w:ascii="Times New Roman" w:hAnsi="Times New Roman" w:eastAsia="宋体" w:cs="Times New Roman"/>
                      <w:b/>
                      <w:snapToGrid w:val="0"/>
                      <w:color w:val="auto"/>
                      <w:sz w:val="21"/>
                      <w:szCs w:val="21"/>
                      <w:highlight w:val="none"/>
                      <w:vertAlign w:val="subscript"/>
                      <w:lang w:val="zh-CN" w:eastAsia="zh-CN" w:bidi="zh-CN"/>
                    </w:rPr>
                    <w:t>3</w:t>
                  </w:r>
                  <w:r>
                    <w:rPr>
                      <w:rFonts w:ascii="Times New Roman" w:hAnsi="Times New Roman" w:eastAsia="宋体" w:cs="Times New Roman"/>
                      <w:b/>
                      <w:snapToGrid w:val="0"/>
                      <w:color w:val="auto"/>
                      <w:sz w:val="21"/>
                      <w:szCs w:val="21"/>
                      <w:highlight w:val="none"/>
                      <w:lang w:val="zh-CN" w:eastAsia="zh-CN" w:bidi="zh-CN"/>
                    </w:rPr>
                    <w:t>-N</w:t>
                  </w:r>
                </w:p>
              </w:tc>
              <w:tc>
                <w:tcPr>
                  <w:tcW w:w="415"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总磷</w:t>
                  </w:r>
                </w:p>
              </w:tc>
              <w:tc>
                <w:tcPr>
                  <w:tcW w:w="447"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Times New Roman" w:cs="Times New Roman"/>
                      <w:snapToGrid w:val="0"/>
                      <w:color w:val="auto"/>
                      <w:sz w:val="21"/>
                      <w:szCs w:val="21"/>
                      <w:highlight w:val="none"/>
                      <w:lang w:val="zh-CN" w:eastAsia="zh-CN" w:bidi="zh-CN"/>
                    </w:rPr>
                    <w:t>BOD</w:t>
                  </w:r>
                  <w:r>
                    <w:rPr>
                      <w:rFonts w:ascii="Times New Roman" w:hAnsi="Times New Roman" w:eastAsia="Times New Roman" w:cs="Times New Roman"/>
                      <w:snapToGrid w:val="0"/>
                      <w:color w:val="auto"/>
                      <w:sz w:val="21"/>
                      <w:szCs w:val="21"/>
                      <w:highlight w:val="none"/>
                      <w:vertAlign w:val="subscript"/>
                      <w:lang w:val="zh-CN" w:eastAsia="zh-CN" w:bidi="zh-CN"/>
                    </w:rPr>
                    <w:t>5</w:t>
                  </w:r>
                </w:p>
              </w:tc>
              <w:tc>
                <w:tcPr>
                  <w:tcW w:w="5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en-US" w:eastAsia="zh-CN" w:bidi="zh-CN"/>
                    </w:rPr>
                    <w:t>石油类</w:t>
                  </w:r>
                </w:p>
              </w:tc>
              <w:tc>
                <w:tcPr>
                  <w:tcW w:w="10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zh-CN" w:eastAsia="zh-CN" w:bidi="zh-CN"/>
                    </w:rPr>
                    <w:t>粪大肠菌群数</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452" w:hRule="atLeast"/>
                <w:jc w:val="center"/>
              </w:trPr>
              <w:tc>
                <w:tcPr>
                  <w:tcW w:w="70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zh-CN" w:eastAsia="zh-CN" w:bidi="zh-CN"/>
                    </w:rPr>
                    <w:t>标准限值</w:t>
                  </w:r>
                </w:p>
              </w:tc>
              <w:tc>
                <w:tcPr>
                  <w:tcW w:w="373"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ascii="Times New Roman" w:hAnsi="Times New Roman" w:eastAsia="宋体" w:cs="Times New Roman"/>
                      <w:snapToGrid w:val="0"/>
                      <w:color w:val="auto"/>
                      <w:sz w:val="21"/>
                      <w:szCs w:val="21"/>
                      <w:highlight w:val="none"/>
                      <w:lang w:val="en-US" w:eastAsia="zh-CN" w:bidi="zh-CN"/>
                    </w:rPr>
                    <w:t>6～9</w:t>
                  </w:r>
                </w:p>
              </w:tc>
              <w:tc>
                <w:tcPr>
                  <w:tcW w:w="542"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en-US" w:eastAsia="zh-CN" w:bidi="zh-CN"/>
                    </w:rPr>
                    <w:t>≥</w:t>
                  </w:r>
                  <w:r>
                    <w:rPr>
                      <w:rFonts w:hint="eastAsia" w:ascii="Times New Roman" w:hAnsi="Times New Roman" w:eastAsia="宋体" w:cs="Times New Roman"/>
                      <w:snapToGrid w:val="0"/>
                      <w:color w:val="auto"/>
                      <w:sz w:val="21"/>
                      <w:szCs w:val="21"/>
                      <w:highlight w:val="none"/>
                      <w:lang w:val="en-US" w:eastAsia="zh-CN" w:bidi="zh-CN"/>
                    </w:rPr>
                    <w:t>3</w:t>
                  </w:r>
                </w:p>
              </w:tc>
              <w:tc>
                <w:tcPr>
                  <w:tcW w:w="41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3</w:t>
                  </w:r>
                  <w:r>
                    <w:rPr>
                      <w:rFonts w:ascii="Times New Roman" w:hAnsi="Times New Roman" w:eastAsia="宋体" w:cs="Times New Roman"/>
                      <w:snapToGrid w:val="0"/>
                      <w:color w:val="auto"/>
                      <w:sz w:val="21"/>
                      <w:szCs w:val="21"/>
                      <w:highlight w:val="none"/>
                      <w:lang w:val="en-US" w:eastAsia="zh-CN" w:bidi="zh-CN"/>
                    </w:rPr>
                    <w:t>0</w:t>
                  </w:r>
                </w:p>
              </w:tc>
              <w:tc>
                <w:tcPr>
                  <w:tcW w:w="520" w:type="pct"/>
                  <w:tcBorders>
                    <w:tl2br w:val="nil"/>
                    <w:tr2bl w:val="nil"/>
                  </w:tcBorders>
                  <w:tcMar>
                    <w:left w:w="28" w:type="dxa"/>
                    <w:right w:w="28" w:type="dxa"/>
                  </w:tcMar>
                  <w:vAlign w:val="center"/>
                </w:tcPr>
                <w:p>
                  <w:pPr>
                    <w:widowControl w:val="0"/>
                    <w:autoSpaceDE w:val="0"/>
                    <w:autoSpaceDN w:val="0"/>
                    <w:spacing w:line="240" w:lineRule="atLeast"/>
                    <w:jc w:val="center"/>
                    <w:rPr>
                      <w:rFonts w:hint="default"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en-US" w:eastAsia="zh-CN" w:bidi="zh-CN"/>
                    </w:rPr>
                    <w:t>1.</w:t>
                  </w:r>
                  <w:r>
                    <w:rPr>
                      <w:rFonts w:hint="eastAsia" w:ascii="Times New Roman" w:hAnsi="Times New Roman" w:eastAsia="宋体" w:cs="Times New Roman"/>
                      <w:snapToGrid w:val="0"/>
                      <w:color w:val="auto"/>
                      <w:sz w:val="21"/>
                      <w:szCs w:val="21"/>
                      <w:highlight w:val="none"/>
                      <w:lang w:val="en-US" w:eastAsia="zh-CN" w:bidi="zh-CN"/>
                    </w:rPr>
                    <w:t>5</w:t>
                  </w:r>
                </w:p>
              </w:tc>
              <w:tc>
                <w:tcPr>
                  <w:tcW w:w="415"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zh-CN"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zh-CN" w:eastAsia="zh-CN" w:bidi="zh-CN"/>
                    </w:rPr>
                    <w:t>0.</w:t>
                  </w:r>
                  <w:r>
                    <w:rPr>
                      <w:rFonts w:hint="eastAsia" w:ascii="Times New Roman" w:hAnsi="Times New Roman" w:eastAsia="宋体" w:cs="Times New Roman"/>
                      <w:snapToGrid w:val="0"/>
                      <w:color w:val="auto"/>
                      <w:sz w:val="21"/>
                      <w:szCs w:val="21"/>
                      <w:highlight w:val="none"/>
                      <w:lang w:val="en-US" w:eastAsia="zh-CN" w:bidi="zh-CN"/>
                    </w:rPr>
                    <w:t>3</w:t>
                  </w:r>
                </w:p>
              </w:tc>
              <w:tc>
                <w:tcPr>
                  <w:tcW w:w="447"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6</w:t>
                  </w:r>
                </w:p>
              </w:tc>
              <w:tc>
                <w:tcPr>
                  <w:tcW w:w="5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en-US" w:eastAsia="zh-CN" w:bidi="zh-CN"/>
                    </w:rPr>
                    <w:t>0.5</w:t>
                  </w:r>
                </w:p>
              </w:tc>
              <w:tc>
                <w:tcPr>
                  <w:tcW w:w="10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2</w:t>
                  </w:r>
                  <w:r>
                    <w:rPr>
                      <w:rFonts w:ascii="Times New Roman" w:hAnsi="Times New Roman" w:eastAsia="宋体" w:cs="Times New Roman"/>
                      <w:snapToGrid w:val="0"/>
                      <w:color w:val="auto"/>
                      <w:sz w:val="21"/>
                      <w:szCs w:val="21"/>
                      <w:highlight w:val="none"/>
                      <w:lang w:val="en-US" w:eastAsia="zh-CN" w:bidi="zh-CN"/>
                    </w:rPr>
                    <w:t>0000个/L</w:t>
                  </w:r>
                </w:p>
              </w:tc>
            </w:tr>
          </w:tbl>
          <w:p>
            <w:pPr>
              <w:spacing w:line="360" w:lineRule="auto"/>
              <w:rPr>
                <w:color w:val="auto"/>
                <w:highlight w:val="none"/>
              </w:rPr>
            </w:pPr>
          </w:p>
          <w:p>
            <w:pPr>
              <w:spacing w:line="360" w:lineRule="auto"/>
              <w:ind w:firstLine="482" w:firstLineChars="200"/>
              <w:rPr>
                <w:b/>
                <w:bCs/>
                <w:color w:val="auto"/>
                <w:sz w:val="24"/>
                <w:highlight w:val="none"/>
              </w:rPr>
            </w:pPr>
            <w:r>
              <w:rPr>
                <w:b/>
                <w:bCs/>
                <w:color w:val="auto"/>
                <w:sz w:val="24"/>
                <w:highlight w:val="none"/>
              </w:rPr>
              <w:t>2</w:t>
            </w:r>
            <w:r>
              <w:rPr>
                <w:rFonts w:hint="eastAsia"/>
                <w:b/>
                <w:bCs/>
                <w:color w:val="auto"/>
                <w:sz w:val="24"/>
                <w:highlight w:val="none"/>
                <w:lang w:eastAsia="zh-CN"/>
              </w:rPr>
              <w:t>、</w:t>
            </w:r>
            <w:r>
              <w:rPr>
                <w:b/>
                <w:bCs/>
                <w:color w:val="auto"/>
                <w:sz w:val="24"/>
                <w:highlight w:val="none"/>
              </w:rPr>
              <w:t>污染物排放标准</w:t>
            </w:r>
          </w:p>
          <w:p>
            <w:pPr>
              <w:spacing w:line="360" w:lineRule="auto"/>
              <w:ind w:firstLine="480" w:firstLineChars="200"/>
              <w:rPr>
                <w:color w:val="auto"/>
                <w:sz w:val="24"/>
                <w:highlight w:val="none"/>
              </w:rPr>
            </w:pPr>
            <w:r>
              <w:rPr>
                <w:color w:val="auto"/>
                <w:sz w:val="24"/>
                <w:highlight w:val="none"/>
              </w:rPr>
              <w:t>（1）环境空气：</w:t>
            </w:r>
          </w:p>
          <w:p>
            <w:pPr>
              <w:spacing w:line="360" w:lineRule="auto"/>
              <w:ind w:firstLine="480" w:firstLineChars="200"/>
              <w:rPr>
                <w:color w:val="auto"/>
                <w:sz w:val="24"/>
                <w:highlight w:val="none"/>
              </w:rPr>
            </w:pPr>
            <w:r>
              <w:rPr>
                <w:color w:val="auto"/>
                <w:sz w:val="24"/>
                <w:highlight w:val="none"/>
              </w:rPr>
              <w:t>施工期扬尘执行《大气污染物综合排放标准》（GB16297-1996）中其他颗粒物的无组织排放监控浓度限值，具体见表3-</w:t>
            </w:r>
            <w:r>
              <w:rPr>
                <w:rFonts w:hint="eastAsia"/>
                <w:color w:val="auto"/>
                <w:sz w:val="24"/>
                <w:highlight w:val="none"/>
                <w:lang w:val="en-US" w:eastAsia="zh-CN"/>
              </w:rPr>
              <w:t>10</w:t>
            </w:r>
            <w:r>
              <w:rPr>
                <w:color w:val="auto"/>
                <w:sz w:val="24"/>
                <w:highlight w:val="none"/>
              </w:rPr>
              <w:t>。</w:t>
            </w:r>
          </w:p>
          <w:p>
            <w:pPr>
              <w:adjustRightInd w:val="0"/>
              <w:snapToGrid w:val="0"/>
              <w:jc w:val="center"/>
              <w:rPr>
                <w:b/>
                <w:bCs/>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10</w:t>
            </w:r>
            <w:r>
              <w:rPr>
                <w:rFonts w:eastAsia="黑体"/>
                <w:b/>
                <w:color w:val="auto"/>
                <w:sz w:val="24"/>
                <w:highlight w:val="none"/>
              </w:rPr>
              <w:t xml:space="preserve">  施工扬尘排放限值</w:t>
            </w:r>
          </w:p>
          <w:tbl>
            <w:tblPr>
              <w:tblStyle w:val="24"/>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068"/>
              <w:gridCol w:w="2688"/>
              <w:gridCol w:w="25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40" w:type="pct"/>
                  <w:tcBorders>
                    <w:tl2br w:val="nil"/>
                    <w:tr2bl w:val="nil"/>
                  </w:tcBorders>
                  <w:vAlign w:val="center"/>
                </w:tcPr>
                <w:p>
                  <w:pPr>
                    <w:adjustRightInd w:val="0"/>
                    <w:snapToGrid w:val="0"/>
                    <w:jc w:val="center"/>
                    <w:rPr>
                      <w:color w:val="auto"/>
                      <w:szCs w:val="21"/>
                      <w:highlight w:val="none"/>
                    </w:rPr>
                  </w:pPr>
                  <w:r>
                    <w:rPr>
                      <w:color w:val="auto"/>
                      <w:szCs w:val="21"/>
                      <w:highlight w:val="none"/>
                    </w:rPr>
                    <w:t>污染物</w:t>
                  </w:r>
                </w:p>
              </w:tc>
              <w:tc>
                <w:tcPr>
                  <w:tcW w:w="1612" w:type="pct"/>
                  <w:tcBorders>
                    <w:tl2br w:val="nil"/>
                    <w:tr2bl w:val="nil"/>
                  </w:tcBorders>
                  <w:vAlign w:val="center"/>
                </w:tcPr>
                <w:p>
                  <w:pPr>
                    <w:adjustRightInd w:val="0"/>
                    <w:snapToGrid w:val="0"/>
                    <w:jc w:val="center"/>
                    <w:rPr>
                      <w:color w:val="auto"/>
                      <w:szCs w:val="21"/>
                      <w:highlight w:val="none"/>
                    </w:rPr>
                  </w:pPr>
                  <w:r>
                    <w:rPr>
                      <w:color w:val="auto"/>
                      <w:szCs w:val="21"/>
                      <w:highlight w:val="none"/>
                    </w:rPr>
                    <w:t>监控点</w:t>
                  </w:r>
                </w:p>
              </w:tc>
              <w:tc>
                <w:tcPr>
                  <w:tcW w:w="1547" w:type="pct"/>
                  <w:tcBorders>
                    <w:tl2br w:val="nil"/>
                    <w:tr2bl w:val="nil"/>
                  </w:tcBorders>
                  <w:vAlign w:val="center"/>
                </w:tcPr>
                <w:p>
                  <w:pPr>
                    <w:adjustRightInd w:val="0"/>
                    <w:snapToGrid w:val="0"/>
                    <w:jc w:val="center"/>
                    <w:rPr>
                      <w:color w:val="auto"/>
                      <w:szCs w:val="21"/>
                      <w:highlight w:val="none"/>
                    </w:rPr>
                  </w:pPr>
                  <w:r>
                    <w:rPr>
                      <w:color w:val="auto"/>
                      <w:szCs w:val="21"/>
                      <w:highlight w:val="none"/>
                    </w:rPr>
                    <w:t>浓度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40" w:type="pct"/>
                  <w:tcBorders>
                    <w:tl2br w:val="nil"/>
                    <w:tr2bl w:val="nil"/>
                  </w:tcBorders>
                  <w:vAlign w:val="center"/>
                </w:tcPr>
                <w:p>
                  <w:pPr>
                    <w:adjustRightInd w:val="0"/>
                    <w:snapToGrid w:val="0"/>
                    <w:jc w:val="center"/>
                    <w:rPr>
                      <w:color w:val="auto"/>
                      <w:szCs w:val="21"/>
                      <w:highlight w:val="none"/>
                    </w:rPr>
                  </w:pPr>
                  <w:r>
                    <w:rPr>
                      <w:color w:val="auto"/>
                      <w:szCs w:val="21"/>
                      <w:highlight w:val="none"/>
                    </w:rPr>
                    <w:t>其他颗粒物</w:t>
                  </w:r>
                </w:p>
              </w:tc>
              <w:tc>
                <w:tcPr>
                  <w:tcW w:w="1612" w:type="pct"/>
                  <w:tcBorders>
                    <w:tl2br w:val="nil"/>
                    <w:tr2bl w:val="nil"/>
                  </w:tcBorders>
                  <w:vAlign w:val="center"/>
                </w:tcPr>
                <w:p>
                  <w:pPr>
                    <w:adjustRightInd w:val="0"/>
                    <w:snapToGrid w:val="0"/>
                    <w:jc w:val="center"/>
                    <w:rPr>
                      <w:color w:val="auto"/>
                      <w:szCs w:val="21"/>
                      <w:highlight w:val="none"/>
                    </w:rPr>
                  </w:pPr>
                  <w:r>
                    <w:rPr>
                      <w:color w:val="auto"/>
                      <w:szCs w:val="21"/>
                      <w:highlight w:val="none"/>
                    </w:rPr>
                    <w:t>周界外浓度最高点</w:t>
                  </w:r>
                </w:p>
              </w:tc>
              <w:tc>
                <w:tcPr>
                  <w:tcW w:w="1547" w:type="pct"/>
                  <w:tcBorders>
                    <w:tl2br w:val="nil"/>
                    <w:tr2bl w:val="nil"/>
                  </w:tcBorders>
                  <w:vAlign w:val="center"/>
                </w:tcPr>
                <w:p>
                  <w:pPr>
                    <w:adjustRightInd w:val="0"/>
                    <w:snapToGrid w:val="0"/>
                    <w:jc w:val="center"/>
                    <w:rPr>
                      <w:color w:val="auto"/>
                      <w:szCs w:val="21"/>
                      <w:highlight w:val="none"/>
                    </w:rPr>
                  </w:pPr>
                  <w:r>
                    <w:rPr>
                      <w:color w:val="auto"/>
                      <w:szCs w:val="21"/>
                      <w:highlight w:val="none"/>
                    </w:rPr>
                    <w:t>1.0mg/m</w:t>
                  </w:r>
                  <w:r>
                    <w:rPr>
                      <w:color w:val="auto"/>
                      <w:szCs w:val="21"/>
                      <w:highlight w:val="none"/>
                      <w:vertAlign w:val="superscript"/>
                    </w:rPr>
                    <w:t>3</w:t>
                  </w:r>
                </w:p>
              </w:tc>
            </w:tr>
          </w:tbl>
          <w:p>
            <w:pPr>
              <w:spacing w:line="360" w:lineRule="auto"/>
              <w:ind w:firstLine="480" w:firstLineChars="200"/>
              <w:rPr>
                <w:color w:val="auto"/>
                <w:sz w:val="24"/>
                <w:highlight w:val="none"/>
              </w:rPr>
            </w:pPr>
            <w:r>
              <w:rPr>
                <w:color w:val="auto"/>
                <w:sz w:val="24"/>
                <w:highlight w:val="none"/>
              </w:rPr>
              <w:t>（2）声环境：</w:t>
            </w:r>
          </w:p>
          <w:p>
            <w:pPr>
              <w:spacing w:line="360" w:lineRule="auto"/>
              <w:ind w:firstLine="480" w:firstLineChars="200"/>
              <w:rPr>
                <w:color w:val="auto"/>
                <w:sz w:val="24"/>
                <w:highlight w:val="none"/>
              </w:rPr>
            </w:pPr>
            <w:r>
              <w:rPr>
                <w:color w:val="auto"/>
                <w:sz w:val="24"/>
                <w:highlight w:val="none"/>
              </w:rPr>
              <w:t>施工期噪声执行《建筑施工场界环境噪声排放标准》（GB12523-2011），具体见表3-</w:t>
            </w:r>
            <w:r>
              <w:rPr>
                <w:rFonts w:hint="eastAsia"/>
                <w:color w:val="auto"/>
                <w:sz w:val="24"/>
                <w:highlight w:val="none"/>
                <w:lang w:val="en-US" w:eastAsia="zh-CN"/>
              </w:rPr>
              <w:t>11</w:t>
            </w:r>
            <w:r>
              <w:rPr>
                <w:color w:val="auto"/>
                <w:sz w:val="24"/>
                <w:highlight w:val="none"/>
              </w:rPr>
              <w:t>。</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11</w:t>
            </w:r>
            <w:r>
              <w:rPr>
                <w:rFonts w:eastAsia="黑体"/>
                <w:b/>
                <w:color w:val="auto"/>
                <w:sz w:val="24"/>
                <w:highlight w:val="none"/>
              </w:rPr>
              <w:t xml:space="preserve"> 建筑施工场界环境噪声排放限值</w:t>
            </w:r>
          </w:p>
          <w:tbl>
            <w:tblPr>
              <w:tblStyle w:val="24"/>
              <w:tblW w:w="499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368"/>
              <w:gridCol w:w="39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19" w:type="pct"/>
                  <w:tcBorders>
                    <w:tl2br w:val="nil"/>
                    <w:tr2bl w:val="nil"/>
                  </w:tcBorders>
                  <w:vAlign w:val="center"/>
                </w:tcPr>
                <w:p>
                  <w:pPr>
                    <w:adjustRightInd w:val="0"/>
                    <w:snapToGrid w:val="0"/>
                    <w:spacing w:line="240" w:lineRule="atLeast"/>
                    <w:jc w:val="center"/>
                    <w:rPr>
                      <w:color w:val="auto"/>
                      <w:sz w:val="24"/>
                      <w:highlight w:val="none"/>
                    </w:rPr>
                  </w:pPr>
                  <w:r>
                    <w:rPr>
                      <w:color w:val="auto"/>
                      <w:sz w:val="24"/>
                      <w:highlight w:val="none"/>
                    </w:rPr>
                    <w:t>昼间</w:t>
                  </w:r>
                </w:p>
              </w:tc>
              <w:tc>
                <w:tcPr>
                  <w:tcW w:w="2380" w:type="pct"/>
                  <w:tcBorders>
                    <w:tl2br w:val="nil"/>
                    <w:tr2bl w:val="nil"/>
                  </w:tcBorders>
                  <w:vAlign w:val="center"/>
                </w:tcPr>
                <w:p>
                  <w:pPr>
                    <w:adjustRightInd w:val="0"/>
                    <w:snapToGrid w:val="0"/>
                    <w:spacing w:line="240" w:lineRule="atLeast"/>
                    <w:jc w:val="center"/>
                    <w:rPr>
                      <w:color w:val="auto"/>
                      <w:sz w:val="24"/>
                      <w:highlight w:val="none"/>
                    </w:rPr>
                  </w:pPr>
                  <w:r>
                    <w:rPr>
                      <w:color w:val="auto"/>
                      <w:sz w:val="24"/>
                      <w:highlight w:val="none"/>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19" w:type="pct"/>
                  <w:tcBorders>
                    <w:tl2br w:val="nil"/>
                    <w:tr2bl w:val="nil"/>
                  </w:tcBorders>
                  <w:vAlign w:val="center"/>
                </w:tcPr>
                <w:p>
                  <w:pPr>
                    <w:adjustRightInd w:val="0"/>
                    <w:snapToGrid w:val="0"/>
                    <w:spacing w:line="240" w:lineRule="atLeast"/>
                    <w:jc w:val="center"/>
                    <w:rPr>
                      <w:color w:val="auto"/>
                      <w:sz w:val="24"/>
                      <w:highlight w:val="none"/>
                    </w:rPr>
                  </w:pPr>
                  <w:r>
                    <w:rPr>
                      <w:color w:val="auto"/>
                      <w:sz w:val="24"/>
                      <w:highlight w:val="none"/>
                    </w:rPr>
                    <w:t>70dB(A)</w:t>
                  </w:r>
                </w:p>
              </w:tc>
              <w:tc>
                <w:tcPr>
                  <w:tcW w:w="2380" w:type="pct"/>
                  <w:tcBorders>
                    <w:tl2br w:val="nil"/>
                    <w:tr2bl w:val="nil"/>
                  </w:tcBorders>
                  <w:vAlign w:val="center"/>
                </w:tcPr>
                <w:p>
                  <w:pPr>
                    <w:adjustRightInd w:val="0"/>
                    <w:snapToGrid w:val="0"/>
                    <w:spacing w:line="240" w:lineRule="atLeast"/>
                    <w:jc w:val="center"/>
                    <w:rPr>
                      <w:color w:val="auto"/>
                      <w:sz w:val="24"/>
                      <w:highlight w:val="none"/>
                    </w:rPr>
                  </w:pPr>
                  <w:r>
                    <w:rPr>
                      <w:color w:val="auto"/>
                      <w:sz w:val="24"/>
                      <w:highlight w:val="none"/>
                    </w:rPr>
                    <w:t>55dB(A)</w:t>
                  </w:r>
                </w:p>
              </w:tc>
            </w:tr>
          </w:tbl>
          <w:p>
            <w:pPr>
              <w:spacing w:line="360" w:lineRule="auto"/>
              <w:ind w:firstLine="480" w:firstLineChars="200"/>
              <w:rPr>
                <w:color w:val="auto"/>
                <w:sz w:val="24"/>
                <w:highlight w:val="none"/>
              </w:rPr>
            </w:pPr>
          </w:p>
          <w:p>
            <w:pPr>
              <w:pStyle w:val="14"/>
              <w:ind w:left="0" w:leftChars="0" w:firstLine="480" w:firstLineChars="200"/>
              <w:jc w:val="left"/>
              <w:rPr>
                <w:color w:val="auto"/>
                <w:highlight w:val="none"/>
              </w:rPr>
            </w:pPr>
            <w:r>
              <w:rPr>
                <w:rFonts w:hint="eastAsia"/>
                <w:color w:val="auto"/>
                <w:sz w:val="24"/>
                <w:highlight w:val="none"/>
              </w:rPr>
              <w:t>（3）</w:t>
            </w:r>
            <w:r>
              <w:rPr>
                <w:color w:val="auto"/>
                <w:sz w:val="24"/>
                <w:highlight w:val="none"/>
              </w:rPr>
              <w:t>《一般工业固体废物贮存</w:t>
            </w:r>
            <w:r>
              <w:rPr>
                <w:rFonts w:hint="eastAsia"/>
                <w:color w:val="auto"/>
                <w:sz w:val="24"/>
                <w:highlight w:val="none"/>
              </w:rPr>
              <w:t>和填埋污染控制标准</w:t>
            </w:r>
            <w:r>
              <w:rPr>
                <w:color w:val="auto"/>
                <w:sz w:val="24"/>
                <w:highlight w:val="none"/>
              </w:rPr>
              <w:t>》（GB18599-</w:t>
            </w:r>
            <w:r>
              <w:rPr>
                <w:rFonts w:hint="eastAsia"/>
                <w:color w:val="auto"/>
                <w:sz w:val="24"/>
                <w:highlight w:val="none"/>
              </w:rPr>
              <w:t>2020</w:t>
            </w:r>
            <w:r>
              <w:rPr>
                <w:color w:val="auto"/>
                <w:sz w:val="24"/>
                <w:highlight w:val="none"/>
              </w:rPr>
              <w:t>）</w:t>
            </w:r>
            <w:r>
              <w:rPr>
                <w:bCs/>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768" w:type="dxa"/>
            <w:vAlign w:val="center"/>
          </w:tcPr>
          <w:p>
            <w:pPr>
              <w:adjustRightInd w:val="0"/>
              <w:snapToGrid w:val="0"/>
              <w:jc w:val="center"/>
              <w:rPr>
                <w:color w:val="auto"/>
                <w:kern w:val="0"/>
                <w:sz w:val="24"/>
                <w:highlight w:val="none"/>
              </w:rPr>
            </w:pPr>
            <w:r>
              <w:rPr>
                <w:color w:val="auto"/>
                <w:kern w:val="0"/>
                <w:sz w:val="24"/>
                <w:highlight w:val="none"/>
              </w:rPr>
              <w:t>其他</w:t>
            </w:r>
          </w:p>
        </w:tc>
        <w:tc>
          <w:tcPr>
            <w:tcW w:w="8585" w:type="dxa"/>
            <w:vAlign w:val="center"/>
          </w:tcPr>
          <w:p>
            <w:pPr>
              <w:pStyle w:val="14"/>
              <w:rPr>
                <w:color w:val="auto"/>
                <w:sz w:val="24"/>
                <w:highlight w:val="none"/>
              </w:rPr>
            </w:pPr>
            <w:r>
              <w:rPr>
                <w:color w:val="auto"/>
                <w:kern w:val="0"/>
                <w:sz w:val="24"/>
                <w:highlight w:val="none"/>
              </w:rPr>
              <w:t>无总量控制指标</w:t>
            </w:r>
          </w:p>
        </w:tc>
      </w:tr>
    </w:tbl>
    <w:p>
      <w:pPr>
        <w:pStyle w:val="21"/>
        <w:adjustRightInd w:val="0"/>
        <w:snapToGrid w:val="0"/>
        <w:spacing w:before="0" w:beforeAutospacing="0" w:after="0" w:afterAutospacing="0"/>
        <w:jc w:val="center"/>
        <w:rPr>
          <w:rFonts w:ascii="Times New Roman" w:hAnsi="Times New Roman" w:eastAsia="黑体"/>
          <w:snapToGrid w:val="0"/>
          <w:color w:val="auto"/>
          <w:kern w:val="2"/>
          <w:sz w:val="36"/>
          <w:szCs w:val="36"/>
          <w:highlight w:val="none"/>
        </w:rPr>
      </w:pPr>
    </w:p>
    <w:p>
      <w:pPr>
        <w:pStyle w:val="21"/>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kern w:val="2"/>
          <w:sz w:val="36"/>
          <w:szCs w:val="36"/>
          <w:highlight w:val="none"/>
        </w:rPr>
        <w:br w:type="page"/>
      </w:r>
      <w:r>
        <w:rPr>
          <w:rFonts w:ascii="Times New Roman" w:hAnsi="Times New Roman" w:eastAsia="黑体"/>
          <w:snapToGrid w:val="0"/>
          <w:color w:val="auto"/>
          <w:sz w:val="30"/>
          <w:szCs w:val="30"/>
          <w:highlight w:val="none"/>
        </w:rPr>
        <w:t>四、生态环境影响分析</w:t>
      </w:r>
    </w:p>
    <w:tbl>
      <w:tblPr>
        <w:tblStyle w:val="2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1"/>
        <w:gridCol w:w="858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661" w:type="dxa"/>
            <w:tcMar>
              <w:left w:w="28" w:type="dxa"/>
              <w:right w:w="28" w:type="dxa"/>
            </w:tcMar>
            <w:vAlign w:val="center"/>
          </w:tcPr>
          <w:p>
            <w:pPr>
              <w:pStyle w:val="21"/>
              <w:adjustRightInd w:val="0"/>
              <w:snapToGrid w:val="0"/>
              <w:spacing w:before="0" w:beforeAutospacing="0" w:after="0" w:afterAutospacing="0"/>
              <w:jc w:val="center"/>
              <w:rPr>
                <w:rFonts w:ascii="Times New Roman" w:hAnsi="Times New Roman"/>
                <w:bCs/>
                <w:color w:val="auto"/>
                <w:kern w:val="2"/>
                <w:sz w:val="21"/>
                <w:szCs w:val="21"/>
                <w:highlight w:val="none"/>
              </w:rPr>
            </w:pPr>
            <w:bookmarkStart w:id="8" w:name="_Hlk49796138"/>
            <w:r>
              <w:rPr>
                <w:rFonts w:ascii="Times New Roman" w:hAnsi="Times New Roman"/>
                <w:bCs/>
                <w:color w:val="auto"/>
                <w:spacing w:val="10"/>
                <w:kern w:val="2"/>
                <w:highlight w:val="none"/>
              </w:rPr>
              <w:t>施工期生态环境影响分析</w:t>
            </w:r>
            <w:bookmarkEnd w:id="8"/>
          </w:p>
        </w:tc>
        <w:tc>
          <w:tcPr>
            <w:tcW w:w="8581" w:type="dxa"/>
          </w:tcPr>
          <w:p>
            <w:pPr>
              <w:spacing w:line="360" w:lineRule="auto"/>
              <w:ind w:firstLine="482" w:firstLineChars="200"/>
              <w:rPr>
                <w:b/>
                <w:bCs/>
                <w:color w:val="auto"/>
                <w:sz w:val="24"/>
                <w:highlight w:val="none"/>
              </w:rPr>
            </w:pPr>
            <w:r>
              <w:rPr>
                <w:b/>
                <w:bCs/>
                <w:color w:val="auto"/>
                <w:sz w:val="24"/>
                <w:highlight w:val="none"/>
              </w:rPr>
              <w:t>1、生态影响分析</w:t>
            </w:r>
          </w:p>
          <w:p>
            <w:pPr>
              <w:spacing w:line="360" w:lineRule="auto"/>
              <w:ind w:firstLine="482" w:firstLineChars="200"/>
              <w:rPr>
                <w:b/>
                <w:bCs/>
                <w:color w:val="auto"/>
                <w:sz w:val="24"/>
                <w:highlight w:val="none"/>
              </w:rPr>
            </w:pPr>
            <w:r>
              <w:rPr>
                <w:b/>
                <w:bCs/>
                <w:color w:val="auto"/>
                <w:sz w:val="24"/>
                <w:highlight w:val="none"/>
              </w:rPr>
              <w:t>（1）对土地利用的影响分析</w:t>
            </w:r>
          </w:p>
          <w:p>
            <w:pPr>
              <w:spacing w:line="360" w:lineRule="auto"/>
              <w:ind w:firstLine="480" w:firstLineChars="200"/>
              <w:jc w:val="left"/>
              <w:rPr>
                <w:color w:val="auto"/>
                <w:sz w:val="24"/>
                <w:highlight w:val="none"/>
              </w:rPr>
            </w:pPr>
            <w:r>
              <w:rPr>
                <w:color w:val="auto"/>
                <w:sz w:val="24"/>
                <w:highlight w:val="none"/>
              </w:rPr>
              <w:t>本项目占地</w:t>
            </w:r>
            <w:r>
              <w:rPr>
                <w:rFonts w:hint="eastAsia"/>
                <w:color w:val="auto"/>
                <w:sz w:val="24"/>
                <w:highlight w:val="none"/>
              </w:rPr>
              <w:t>类型</w:t>
            </w:r>
            <w:r>
              <w:rPr>
                <w:color w:val="auto"/>
                <w:sz w:val="24"/>
                <w:highlight w:val="none"/>
              </w:rPr>
              <w:t>为</w:t>
            </w:r>
            <w:r>
              <w:rPr>
                <w:rFonts w:hint="eastAsia"/>
                <w:color w:val="auto"/>
                <w:sz w:val="24"/>
                <w:highlight w:val="none"/>
                <w:lang w:val="en-US" w:eastAsia="zh-CN"/>
              </w:rPr>
              <w:t>其他</w:t>
            </w:r>
            <w:r>
              <w:rPr>
                <w:rFonts w:hint="eastAsia"/>
                <w:color w:val="auto"/>
                <w:sz w:val="24"/>
                <w:highlight w:val="none"/>
              </w:rPr>
              <w:t>草地</w:t>
            </w:r>
            <w:r>
              <w:rPr>
                <w:color w:val="auto"/>
                <w:sz w:val="24"/>
                <w:highlight w:val="none"/>
              </w:rPr>
              <w:t>。新增永久占地</w:t>
            </w:r>
            <w:r>
              <w:rPr>
                <w:rFonts w:hint="eastAsia"/>
                <w:color w:val="auto"/>
                <w:sz w:val="24"/>
                <w:szCs w:val="20"/>
                <w:highlight w:val="none"/>
              </w:rPr>
              <w:t>2.8公顷（42亩）</w:t>
            </w:r>
            <w:r>
              <w:rPr>
                <w:color w:val="auto"/>
                <w:sz w:val="24"/>
                <w:highlight w:val="none"/>
              </w:rPr>
              <w:t>，临时用地</w:t>
            </w:r>
            <w:r>
              <w:rPr>
                <w:rFonts w:hint="eastAsia"/>
                <w:color w:val="auto"/>
                <w:sz w:val="24"/>
                <w:szCs w:val="20"/>
                <w:highlight w:val="none"/>
              </w:rPr>
              <w:t>1公顷（15亩）</w:t>
            </w:r>
            <w:r>
              <w:rPr>
                <w:color w:val="auto"/>
                <w:sz w:val="24"/>
                <w:highlight w:val="none"/>
              </w:rPr>
              <w:t>。施工期土地占用对生态环境的影响主要有：</w:t>
            </w:r>
          </w:p>
          <w:p>
            <w:pPr>
              <w:spacing w:line="360" w:lineRule="auto"/>
              <w:ind w:firstLine="480" w:firstLineChars="200"/>
              <w:jc w:val="left"/>
              <w:rPr>
                <w:color w:val="auto"/>
                <w:sz w:val="24"/>
                <w:highlight w:val="none"/>
              </w:rPr>
            </w:pPr>
            <w:r>
              <w:rPr>
                <w:color w:val="auto"/>
                <w:sz w:val="24"/>
                <w:highlight w:val="none"/>
              </w:rPr>
              <w:t>①</w:t>
            </w:r>
            <w:r>
              <w:rPr>
                <w:rFonts w:hint="eastAsia"/>
                <w:color w:val="auto"/>
                <w:sz w:val="24"/>
                <w:highlight w:val="none"/>
              </w:rPr>
              <w:t>基础开挖、</w:t>
            </w:r>
            <w:r>
              <w:rPr>
                <w:color w:val="auto"/>
                <w:sz w:val="24"/>
                <w:highlight w:val="none"/>
              </w:rPr>
              <w:t>临时占地将破坏地表植被；</w:t>
            </w:r>
          </w:p>
          <w:p>
            <w:pPr>
              <w:spacing w:line="360" w:lineRule="auto"/>
              <w:ind w:firstLine="480" w:firstLineChars="200"/>
              <w:jc w:val="left"/>
              <w:rPr>
                <w:color w:val="auto"/>
                <w:sz w:val="24"/>
                <w:highlight w:val="none"/>
              </w:rPr>
            </w:pPr>
            <w:r>
              <w:rPr>
                <w:color w:val="auto"/>
                <w:sz w:val="24"/>
                <w:highlight w:val="none"/>
              </w:rPr>
              <w:t>②施工过程中车辆碾压使占地范围内的土壤坚实度增加，对土地</w:t>
            </w:r>
            <w:r>
              <w:rPr>
                <w:rFonts w:hint="eastAsia"/>
                <w:color w:val="auto"/>
                <w:sz w:val="24"/>
                <w:highlight w:val="none"/>
              </w:rPr>
              <w:t>植被恢复</w:t>
            </w:r>
            <w:r>
              <w:rPr>
                <w:color w:val="auto"/>
                <w:sz w:val="24"/>
                <w:highlight w:val="none"/>
              </w:rPr>
              <w:t>不利；</w:t>
            </w:r>
          </w:p>
          <w:p>
            <w:pPr>
              <w:spacing w:line="360" w:lineRule="auto"/>
              <w:ind w:firstLine="480" w:firstLineChars="200"/>
              <w:jc w:val="left"/>
              <w:rPr>
                <w:color w:val="auto"/>
                <w:sz w:val="24"/>
                <w:highlight w:val="none"/>
              </w:rPr>
            </w:pPr>
            <w:r>
              <w:rPr>
                <w:color w:val="auto"/>
                <w:sz w:val="24"/>
                <w:highlight w:val="none"/>
              </w:rPr>
              <w:t>③施工扬尘附着在</w:t>
            </w:r>
            <w:r>
              <w:rPr>
                <w:rFonts w:hint="eastAsia"/>
                <w:color w:val="auto"/>
                <w:sz w:val="24"/>
                <w:highlight w:val="none"/>
              </w:rPr>
              <w:t>植物</w:t>
            </w:r>
            <w:r>
              <w:rPr>
                <w:color w:val="auto"/>
                <w:sz w:val="24"/>
                <w:highlight w:val="none"/>
              </w:rPr>
              <w:t>叶面，光和作用减弱，影响</w:t>
            </w:r>
            <w:r>
              <w:rPr>
                <w:rFonts w:hint="eastAsia"/>
                <w:color w:val="auto"/>
                <w:sz w:val="24"/>
                <w:highlight w:val="none"/>
              </w:rPr>
              <w:t>植被</w:t>
            </w:r>
            <w:r>
              <w:rPr>
                <w:color w:val="auto"/>
                <w:sz w:val="24"/>
                <w:highlight w:val="none"/>
              </w:rPr>
              <w:t>生长；</w:t>
            </w:r>
          </w:p>
          <w:p>
            <w:pPr>
              <w:spacing w:line="360" w:lineRule="auto"/>
              <w:ind w:firstLine="480" w:firstLineChars="200"/>
              <w:jc w:val="left"/>
              <w:rPr>
                <w:rFonts w:hint="eastAsia" w:eastAsia="宋体"/>
                <w:color w:val="auto"/>
                <w:sz w:val="24"/>
                <w:highlight w:val="none"/>
                <w:lang w:eastAsia="zh-CN"/>
              </w:rPr>
            </w:pPr>
            <w:r>
              <w:rPr>
                <w:color w:val="auto"/>
                <w:sz w:val="24"/>
                <w:highlight w:val="none"/>
              </w:rPr>
              <w:t>④</w:t>
            </w:r>
            <w:r>
              <w:rPr>
                <w:rFonts w:hint="eastAsia"/>
                <w:color w:val="auto"/>
                <w:sz w:val="24"/>
                <w:highlight w:val="none"/>
                <w:lang w:eastAsia="zh-CN"/>
              </w:rPr>
              <w:t>临时堆土会压占地表植被；</w:t>
            </w:r>
          </w:p>
          <w:p>
            <w:pPr>
              <w:spacing w:line="360" w:lineRule="auto"/>
              <w:ind w:firstLine="480" w:firstLineChars="200"/>
              <w:jc w:val="left"/>
              <w:rPr>
                <w:color w:val="auto"/>
                <w:sz w:val="24"/>
                <w:highlight w:val="none"/>
              </w:rPr>
            </w:pPr>
            <w:r>
              <w:rPr>
                <w:rFonts w:hint="eastAsia"/>
                <w:color w:val="auto"/>
                <w:sz w:val="24"/>
                <w:highlight w:val="none"/>
                <w:lang w:eastAsia="zh-CN"/>
              </w:rPr>
              <w:t>⑤</w:t>
            </w:r>
            <w:r>
              <w:rPr>
                <w:color w:val="auto"/>
                <w:sz w:val="24"/>
                <w:highlight w:val="none"/>
              </w:rPr>
              <w:t>施工</w:t>
            </w:r>
            <w:r>
              <w:rPr>
                <w:rFonts w:hint="eastAsia"/>
                <w:color w:val="auto"/>
                <w:sz w:val="24"/>
                <w:highlight w:val="none"/>
              </w:rPr>
              <w:t>临时占地</w:t>
            </w:r>
            <w:r>
              <w:rPr>
                <w:color w:val="auto"/>
                <w:sz w:val="24"/>
                <w:highlight w:val="none"/>
              </w:rPr>
              <w:t>，将破坏植被，植被破坏后在短期内难以恢复，施工结束后应对</w:t>
            </w:r>
            <w:r>
              <w:rPr>
                <w:rFonts w:hint="eastAsia"/>
                <w:color w:val="auto"/>
                <w:sz w:val="24"/>
                <w:highlight w:val="none"/>
              </w:rPr>
              <w:t>取土场</w:t>
            </w:r>
            <w:r>
              <w:rPr>
                <w:color w:val="auto"/>
                <w:sz w:val="24"/>
                <w:highlight w:val="none"/>
              </w:rPr>
              <w:t>等重要地段实施必要的人工植被恢复抚育措施；</w:t>
            </w:r>
          </w:p>
          <w:p>
            <w:pPr>
              <w:spacing w:line="360" w:lineRule="auto"/>
              <w:ind w:firstLine="480" w:firstLineChars="200"/>
              <w:jc w:val="left"/>
              <w:rPr>
                <w:color w:val="auto"/>
                <w:sz w:val="24"/>
                <w:highlight w:val="none"/>
              </w:rPr>
            </w:pPr>
            <w:r>
              <w:rPr>
                <w:color w:val="auto"/>
                <w:sz w:val="24"/>
                <w:highlight w:val="none"/>
              </w:rPr>
              <w:t>总之，临时性工程占地短期内将影响沿线土地的利用状况，施工结束后，随着土地平整、</w:t>
            </w:r>
            <w:r>
              <w:rPr>
                <w:rFonts w:hint="eastAsia"/>
                <w:color w:val="auto"/>
                <w:sz w:val="24"/>
                <w:highlight w:val="none"/>
              </w:rPr>
              <w:t>土地植被恢复</w:t>
            </w:r>
            <w:r>
              <w:rPr>
                <w:color w:val="auto"/>
                <w:sz w:val="24"/>
                <w:highlight w:val="none"/>
              </w:rPr>
              <w:t>、水土保持等措施的实施，这一影响将逐渐减小或消失。</w:t>
            </w:r>
          </w:p>
          <w:p>
            <w:pPr>
              <w:adjustRightInd w:val="0"/>
              <w:snapToGrid w:val="0"/>
              <w:spacing w:line="360" w:lineRule="auto"/>
              <w:ind w:firstLine="482" w:firstLineChars="200"/>
              <w:rPr>
                <w:b/>
                <w:bCs/>
                <w:color w:val="auto"/>
                <w:kern w:val="0"/>
                <w:sz w:val="24"/>
                <w:highlight w:val="none"/>
              </w:rPr>
            </w:pPr>
            <w:r>
              <w:rPr>
                <w:rFonts w:hint="eastAsia"/>
                <w:b/>
                <w:bCs/>
                <w:color w:val="auto"/>
                <w:kern w:val="0"/>
                <w:sz w:val="24"/>
                <w:highlight w:val="none"/>
              </w:rPr>
              <w:t>（2）对土壤的影响分析</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项目施工对土壤进行开挖和回填，其对土壤环境的影响主要表现在：</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①破坏土壤结构</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土壤中的分层特征和团粒结构是在当地自然条件下经过较长期的发育过程形成的，施工过程中对土地的开挖和填埋会破坏原有土壤结构，恢复需要较长的时间；同时施工过程中机械碾压、人员践踏等活动均会对土壤结构产生不良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②改变土壤质地</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土壤在形成过程中层次分明，表层为耕作层，中层为淋溶淀积层，底层是母质层。土壤表层与底层的质地有明显差异，施工开挖和回填混合了原有较为稳定的土层，不同土层混合在一起，影响土壤发育和植被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③影响土壤密实度</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回填后短时间内难以恢复其原有的密实度。表层疏松，灌溉和降水易造成水分下渗，使土层明显下陷形成凹沟。施工期间的车辆和重型机械会造成土壤表层过于密实，影响地表水的入渗，不利于植物生长。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④土壤养分流失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在土壤剖面中各个土层中，就养分状况而言，表土层（腐殖质层、耕作层）远比心土层养分好，其有机质、全氮、全磷均较其他层次高。施工的开挖和填埋活动对原有土壤的土体构型产生扰动，使土壤性质发生变化，土壤养分状况受到影响，从而影响植物的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⑤对土壤生物的影响</w:t>
            </w:r>
          </w:p>
          <w:p>
            <w:pPr>
              <w:spacing w:line="360" w:lineRule="auto"/>
              <w:ind w:firstLine="480" w:firstLineChars="200"/>
              <w:rPr>
                <w:color w:val="auto"/>
                <w:kern w:val="0"/>
                <w:sz w:val="24"/>
                <w:highlight w:val="none"/>
              </w:rPr>
            </w:pPr>
            <w:r>
              <w:rPr>
                <w:rFonts w:hint="eastAsia"/>
                <w:color w:val="auto"/>
                <w:kern w:val="0"/>
                <w:sz w:val="24"/>
                <w:highlight w:val="none"/>
              </w:rPr>
              <w:t>由于上述土壤理化性质和土体构型的改变，使土壤中的微生物、原生动物及其他节肢动物、环节动物、软休动物的栖息环境改变。由于本项目施工范围内无珍稀土壤生物，因此施工期对土壤生物的生态平衡破坏很快会恢复。</w:t>
            </w:r>
          </w:p>
          <w:p>
            <w:pPr>
              <w:spacing w:line="360" w:lineRule="auto"/>
              <w:ind w:firstLine="480" w:firstLineChars="200"/>
              <w:rPr>
                <w:color w:val="auto"/>
                <w:kern w:val="0"/>
                <w:sz w:val="24"/>
                <w:highlight w:val="none"/>
              </w:rPr>
            </w:pPr>
            <w:r>
              <w:rPr>
                <w:rFonts w:hint="eastAsia"/>
                <w:color w:val="auto"/>
                <w:kern w:val="0"/>
                <w:sz w:val="24"/>
                <w:highlight w:val="none"/>
              </w:rPr>
              <w:t>⑥施工临时占地的影响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施工中由于临时堆放设备材料，施工道路、取土场需临时占地，占地类型为</w:t>
            </w:r>
            <w:r>
              <w:rPr>
                <w:rFonts w:hint="eastAsia"/>
                <w:color w:val="auto"/>
                <w:kern w:val="0"/>
                <w:sz w:val="24"/>
                <w:highlight w:val="none"/>
                <w:lang w:val="en-US" w:eastAsia="zh-CN"/>
              </w:rPr>
              <w:t>其他</w:t>
            </w:r>
            <w:r>
              <w:rPr>
                <w:rFonts w:hint="eastAsia"/>
                <w:color w:val="auto"/>
                <w:kern w:val="0"/>
                <w:sz w:val="24"/>
                <w:highlight w:val="none"/>
              </w:rPr>
              <w:t>草地，占用地主要用于挖掘土的堆积、建材堆放、临时施工用地、取土等。由于施工中的机械碾压、施工人员踩踏、土地被扰动等因素，对地表植被破坏，土壤的理化性质、肥力水平都会产生影响，项目结束后将对临时占地予以恢复，种植人工草本植物，以当地种为主可以使地面植被很快得以恢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余土全部用于取土场平整，不设弃土场。施工结束后应及时采取土地平整+表层土覆盖+土地植被恢复措施。工程占用土地，会造成水土流失，除了表层土保留，工程施工结束后应及时采取土地平整、表层土覆盖以外，也应该采取积极的植被恢复改善措施，可借鉴已建工程植被恢复经验，采用灌木+草本的模式改善植被情况，</w:t>
            </w:r>
            <w:r>
              <w:rPr>
                <w:rFonts w:hint="eastAsia"/>
                <w:color w:val="auto"/>
                <w:sz w:val="24"/>
                <w:szCs w:val="28"/>
                <w:highlight w:val="none"/>
              </w:rPr>
              <w:t>灌木选择沙棘、红柳，草籽选择红豆草</w:t>
            </w:r>
            <w:r>
              <w:rPr>
                <w:rFonts w:hint="eastAsia"/>
                <w:color w:val="auto"/>
                <w:kern w:val="0"/>
                <w:sz w:val="24"/>
                <w:highlight w:val="none"/>
              </w:rPr>
              <w:t>等当地物种。</w:t>
            </w:r>
          </w:p>
          <w:p>
            <w:pPr>
              <w:spacing w:line="360" w:lineRule="auto"/>
              <w:ind w:firstLine="482" w:firstLineChars="200"/>
              <w:rPr>
                <w:color w:val="auto"/>
                <w:kern w:val="0"/>
                <w:sz w:val="24"/>
                <w:highlight w:val="none"/>
              </w:rPr>
            </w:pPr>
            <w:r>
              <w:rPr>
                <w:b/>
                <w:bCs/>
                <w:color w:val="auto"/>
                <w:sz w:val="24"/>
                <w:highlight w:val="none"/>
              </w:rPr>
              <w:t>（</w:t>
            </w:r>
            <w:r>
              <w:rPr>
                <w:rFonts w:hint="eastAsia"/>
                <w:b/>
                <w:bCs/>
                <w:color w:val="auto"/>
                <w:sz w:val="24"/>
                <w:highlight w:val="none"/>
              </w:rPr>
              <w:t>3</w:t>
            </w:r>
            <w:r>
              <w:rPr>
                <w:b/>
                <w:bCs/>
                <w:color w:val="auto"/>
                <w:sz w:val="24"/>
                <w:highlight w:val="none"/>
              </w:rPr>
              <w:t>）</w:t>
            </w:r>
            <w:r>
              <w:rPr>
                <w:rFonts w:hint="eastAsia"/>
                <w:b/>
                <w:bCs/>
                <w:color w:val="auto"/>
                <w:sz w:val="24"/>
                <w:highlight w:val="none"/>
              </w:rPr>
              <w:t>对植被的影响分析</w:t>
            </w:r>
          </w:p>
          <w:p>
            <w:pPr>
              <w:spacing w:line="360" w:lineRule="auto"/>
              <w:ind w:firstLine="480" w:firstLineChars="200"/>
              <w:rPr>
                <w:color w:val="auto"/>
                <w:kern w:val="0"/>
                <w:sz w:val="24"/>
                <w:highlight w:val="none"/>
              </w:rPr>
            </w:pPr>
            <w:r>
              <w:rPr>
                <w:color w:val="auto"/>
                <w:sz w:val="24"/>
                <w:highlight w:val="none"/>
              </w:rPr>
              <w:t>在施工期间，将破坏施工地面已有的</w:t>
            </w:r>
            <w:r>
              <w:rPr>
                <w:rFonts w:hint="eastAsia"/>
                <w:color w:val="auto"/>
                <w:sz w:val="24"/>
                <w:highlight w:val="none"/>
              </w:rPr>
              <w:t>植被</w:t>
            </w:r>
            <w:r>
              <w:rPr>
                <w:color w:val="auto"/>
                <w:sz w:val="24"/>
                <w:highlight w:val="none"/>
              </w:rPr>
              <w:t>。</w:t>
            </w:r>
            <w:r>
              <w:rPr>
                <w:rFonts w:hint="eastAsia"/>
                <w:color w:val="auto"/>
                <w:kern w:val="0"/>
                <w:sz w:val="24"/>
                <w:highlight w:val="none"/>
              </w:rPr>
              <w:t>工程永久占地和临时占地不可避免的对地表产生扰动，进而对地表植被产生影响。</w:t>
            </w:r>
          </w:p>
          <w:p>
            <w:pPr>
              <w:spacing w:line="360" w:lineRule="auto"/>
              <w:ind w:firstLine="480" w:firstLineChars="200"/>
              <w:rPr>
                <w:color w:val="auto"/>
                <w:sz w:val="24"/>
                <w:highlight w:val="none"/>
              </w:rPr>
            </w:pPr>
            <w:r>
              <w:rPr>
                <w:color w:val="auto"/>
                <w:sz w:val="24"/>
                <w:highlight w:val="none"/>
              </w:rPr>
              <w:t>工程对</w:t>
            </w:r>
            <w:r>
              <w:rPr>
                <w:rFonts w:hint="eastAsia"/>
                <w:color w:val="auto"/>
                <w:sz w:val="24"/>
                <w:highlight w:val="none"/>
              </w:rPr>
              <w:t>植被</w:t>
            </w:r>
            <w:r>
              <w:rPr>
                <w:color w:val="auto"/>
                <w:sz w:val="24"/>
                <w:highlight w:val="none"/>
              </w:rPr>
              <w:t>的影响主要是</w:t>
            </w:r>
            <w:r>
              <w:rPr>
                <w:rFonts w:hint="eastAsia"/>
                <w:color w:val="auto"/>
                <w:sz w:val="24"/>
                <w:highlight w:val="none"/>
              </w:rPr>
              <w:t>基础开挖、取土场取土</w:t>
            </w:r>
            <w:r>
              <w:rPr>
                <w:color w:val="auto"/>
                <w:sz w:val="24"/>
                <w:highlight w:val="none"/>
              </w:rPr>
              <w:t>，</w:t>
            </w:r>
            <w:r>
              <w:rPr>
                <w:rFonts w:hint="eastAsia"/>
                <w:color w:val="auto"/>
                <w:sz w:val="24"/>
                <w:highlight w:val="none"/>
              </w:rPr>
              <w:t>基础开挖</w:t>
            </w:r>
            <w:r>
              <w:rPr>
                <w:color w:val="auto"/>
                <w:sz w:val="24"/>
                <w:highlight w:val="none"/>
              </w:rPr>
              <w:t>占地处的</w:t>
            </w:r>
            <w:r>
              <w:rPr>
                <w:rFonts w:hint="eastAsia"/>
                <w:color w:val="auto"/>
                <w:sz w:val="24"/>
                <w:highlight w:val="none"/>
              </w:rPr>
              <w:t>植被</w:t>
            </w:r>
            <w:r>
              <w:rPr>
                <w:color w:val="auto"/>
                <w:sz w:val="24"/>
                <w:highlight w:val="none"/>
              </w:rPr>
              <w:t>将被清除，场地平整及开挖等土石方的堆放、施工机具的碾压亦会伤害部分</w:t>
            </w:r>
            <w:r>
              <w:rPr>
                <w:rFonts w:hint="eastAsia"/>
                <w:color w:val="auto"/>
                <w:sz w:val="24"/>
                <w:highlight w:val="none"/>
              </w:rPr>
              <w:t>植被；</w:t>
            </w:r>
            <w:r>
              <w:rPr>
                <w:color w:val="auto"/>
                <w:sz w:val="24"/>
                <w:highlight w:val="none"/>
              </w:rPr>
              <w:t>此外，</w:t>
            </w:r>
            <w:r>
              <w:rPr>
                <w:rFonts w:hint="eastAsia"/>
                <w:color w:val="auto"/>
                <w:sz w:val="24"/>
                <w:highlight w:val="none"/>
              </w:rPr>
              <w:t>施工区</w:t>
            </w:r>
            <w:r>
              <w:rPr>
                <w:color w:val="auto"/>
                <w:sz w:val="24"/>
                <w:highlight w:val="none"/>
              </w:rPr>
              <w:t>等临时施工占地将扰乱部分土壤耕作层，碾压部分受到直接破坏。</w:t>
            </w:r>
            <w:r>
              <w:rPr>
                <w:rFonts w:hint="eastAsia"/>
                <w:color w:val="auto"/>
                <w:sz w:val="24"/>
                <w:highlight w:val="none"/>
              </w:rPr>
              <w:t>施工</w:t>
            </w:r>
            <w:r>
              <w:rPr>
                <w:rFonts w:hint="eastAsia"/>
                <w:color w:val="auto"/>
                <w:kern w:val="0"/>
                <w:sz w:val="24"/>
                <w:highlight w:val="none"/>
              </w:rPr>
              <w:t>结束后应及时采取土地平整、表层土覆盖和植被等措施</w:t>
            </w:r>
            <w:r>
              <w:rPr>
                <w:color w:val="auto"/>
                <w:sz w:val="24"/>
                <w:highlight w:val="none"/>
              </w:rPr>
              <w:t xml:space="preserve">，这一影响将逐渐减小或消失。 </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按照生态学理论，工程对植被破坏具有暂时性，一般施工结束后而终止。根据项目所经地区的土壤、气候等自然条件分析，施工结束后，周围植物渐次侵入，开始进入恢复演替过程。</w:t>
            </w:r>
          </w:p>
          <w:p>
            <w:pPr>
              <w:spacing w:line="360" w:lineRule="auto"/>
              <w:ind w:firstLine="480" w:firstLineChars="200"/>
              <w:rPr>
                <w:color w:val="auto"/>
                <w:kern w:val="0"/>
                <w:sz w:val="24"/>
                <w:highlight w:val="none"/>
              </w:rPr>
            </w:pPr>
            <w:r>
              <w:rPr>
                <w:rFonts w:hint="eastAsia"/>
                <w:color w:val="auto"/>
                <w:kern w:val="0"/>
                <w:sz w:val="24"/>
                <w:highlight w:val="none"/>
              </w:rPr>
              <w:t>如果采用人工种草的措施恢复植被的覆盖度，与自然恢复相比可以加快恢复进程，一般区域2-3年可恢复草本植被，3-5年恢复灌木植被。</w:t>
            </w:r>
          </w:p>
          <w:p>
            <w:pPr>
              <w:spacing w:line="360" w:lineRule="auto"/>
              <w:ind w:firstLine="482" w:firstLineChars="200"/>
              <w:rPr>
                <w:color w:val="auto"/>
                <w:sz w:val="24"/>
                <w:highlight w:val="none"/>
              </w:rPr>
            </w:pPr>
            <w:r>
              <w:rPr>
                <w:b/>
                <w:bCs/>
                <w:color w:val="auto"/>
                <w:sz w:val="24"/>
                <w:highlight w:val="none"/>
              </w:rPr>
              <w:t>（</w:t>
            </w:r>
            <w:r>
              <w:rPr>
                <w:rFonts w:hint="eastAsia"/>
                <w:b/>
                <w:bCs/>
                <w:color w:val="auto"/>
                <w:sz w:val="24"/>
                <w:highlight w:val="none"/>
              </w:rPr>
              <w:t>4</w:t>
            </w:r>
            <w:r>
              <w:rPr>
                <w:b/>
                <w:bCs/>
                <w:color w:val="auto"/>
                <w:sz w:val="24"/>
                <w:highlight w:val="none"/>
              </w:rPr>
              <w:t>）对野生动物的影响分析</w:t>
            </w:r>
            <w:r>
              <w:rPr>
                <w:color w:val="auto"/>
                <w:sz w:val="24"/>
                <w:highlight w:val="none"/>
              </w:rPr>
              <w:t xml:space="preserve"> </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施工机械噪声和人员活动噪声是对野生动物影响的主要影响因素。各种施工机械，如挖掘机、推土机、装载机、平地机、起重机、运输卡车等均可产生较强烈的噪声，虽然这些施工噪声属非连续排放，但由于噪声源相对集中，多为裸露声源，故其噪声幅射范围及影响相对较大。</w:t>
            </w:r>
          </w:p>
          <w:p>
            <w:pPr>
              <w:spacing w:line="360" w:lineRule="auto"/>
              <w:ind w:firstLine="480" w:firstLineChars="200"/>
              <w:rPr>
                <w:color w:val="auto"/>
                <w:kern w:val="0"/>
                <w:sz w:val="24"/>
                <w:highlight w:val="none"/>
              </w:rPr>
            </w:pPr>
            <w:r>
              <w:rPr>
                <w:rFonts w:hint="eastAsia"/>
                <w:color w:val="auto"/>
                <w:kern w:val="0"/>
                <w:sz w:val="24"/>
                <w:highlight w:val="none"/>
              </w:rPr>
              <w:t>项目区域无大型或珍稀保护动物，主要为鸟类，多为常见种，且由于施工场地相对于该区域建设基地面积较小，项目的建设只是在小范围内暂时改变了动物的栖息环境，不会引起物种消失和生物多样性的减少，施工期对野生动物的影响很小。</w:t>
            </w:r>
          </w:p>
          <w:p>
            <w:pPr>
              <w:adjustRightInd w:val="0"/>
              <w:snapToGrid w:val="0"/>
              <w:spacing w:line="360" w:lineRule="auto"/>
              <w:ind w:firstLine="482" w:firstLineChars="200"/>
              <w:rPr>
                <w:b/>
                <w:bCs/>
                <w:color w:val="auto"/>
                <w:sz w:val="24"/>
                <w:highlight w:val="none"/>
              </w:rPr>
            </w:pPr>
            <w:r>
              <w:rPr>
                <w:rFonts w:hint="eastAsia"/>
                <w:b/>
                <w:bCs/>
                <w:color w:val="auto"/>
                <w:kern w:val="0"/>
                <w:sz w:val="24"/>
                <w:highlight w:val="none"/>
              </w:rPr>
              <w:t>（5）</w:t>
            </w:r>
            <w:r>
              <w:rPr>
                <w:rFonts w:hint="eastAsia" w:cs="宋体"/>
                <w:b/>
                <w:bCs/>
                <w:color w:val="auto"/>
                <w:sz w:val="24"/>
                <w:highlight w:val="none"/>
                <w:lang w:bidi="ar"/>
              </w:rPr>
              <w:t>对水生生态的影响分析</w:t>
            </w:r>
          </w:p>
          <w:p>
            <w:pPr>
              <w:adjustRightInd w:val="0"/>
              <w:snapToGrid w:val="0"/>
              <w:spacing w:line="360" w:lineRule="auto"/>
              <w:ind w:firstLine="480" w:firstLineChars="200"/>
              <w:rPr>
                <w:rFonts w:hint="eastAsia" w:cs="宋体"/>
                <w:bCs/>
                <w:color w:val="auto"/>
                <w:sz w:val="24"/>
                <w:highlight w:val="none"/>
                <w:lang w:bidi="ar"/>
              </w:rPr>
            </w:pPr>
            <w:r>
              <w:rPr>
                <w:rFonts w:hint="eastAsia"/>
                <w:color w:val="auto"/>
                <w:sz w:val="24"/>
                <w:highlight w:val="none"/>
              </w:rPr>
              <w:t>本工程1396.44m以下坝体安排在枯水期先进行施工回填，汛期利用坝体挡水，不设置导流明渠，汛期坝体即可拦水蓄沙</w:t>
            </w:r>
            <w:r>
              <w:rPr>
                <w:rFonts w:hint="eastAsia"/>
                <w:color w:val="auto"/>
                <w:sz w:val="24"/>
                <w:highlight w:val="none"/>
                <w:lang w:eastAsia="zh-CN"/>
              </w:rPr>
              <w:t>。</w:t>
            </w:r>
            <w:r>
              <w:rPr>
                <w:rFonts w:hint="eastAsia" w:cs="宋体"/>
                <w:bCs/>
                <w:color w:val="auto"/>
                <w:sz w:val="24"/>
                <w:highlight w:val="none"/>
                <w:lang w:val="en-US" w:eastAsia="zh-CN" w:bidi="ar"/>
              </w:rPr>
              <w:t>蓄水初期，随着河水冲刷，坝体泥沙融于河水中可短时间增加河水浑浊度，影响水质；但随着蓄水增加、水量稳定，泥沙沉淀后，水质将得到改善</w:t>
            </w:r>
            <w:r>
              <w:rPr>
                <w:rFonts w:hint="eastAsia" w:cs="宋体"/>
                <w:bCs/>
                <w:color w:val="auto"/>
                <w:sz w:val="24"/>
                <w:highlight w:val="none"/>
                <w:lang w:bidi="ar"/>
              </w:rPr>
              <w:t>。</w:t>
            </w:r>
            <w:r>
              <w:rPr>
                <w:rFonts w:hint="eastAsia"/>
                <w:color w:val="auto"/>
                <w:sz w:val="24"/>
                <w:highlight w:val="none"/>
                <w:lang w:val="en-US" w:eastAsia="zh-CN"/>
              </w:rPr>
              <w:t>河水经沉淀后，上部较清的河水溢流；沉淀的泥沙、蓄水，有利于水生动植物的生存和繁衍。</w:t>
            </w:r>
          </w:p>
          <w:p>
            <w:pPr>
              <w:adjustRightInd w:val="0"/>
              <w:snapToGrid w:val="0"/>
              <w:spacing w:line="360" w:lineRule="auto"/>
              <w:ind w:firstLine="480" w:firstLineChars="200"/>
              <w:rPr>
                <w:rFonts w:hint="default" w:eastAsia="宋体"/>
                <w:color w:val="auto"/>
                <w:highlight w:val="none"/>
                <w:lang w:val="en-US" w:eastAsia="zh-CN"/>
              </w:rPr>
            </w:pPr>
            <w:r>
              <w:rPr>
                <w:rFonts w:hint="eastAsia"/>
                <w:color w:val="auto"/>
                <w:sz w:val="24"/>
                <w:highlight w:val="none"/>
                <w:lang w:val="en-US" w:eastAsia="zh-CN"/>
              </w:rPr>
              <w:t>本项目为淤地坝工程，主要是</w:t>
            </w:r>
            <w:r>
              <w:rPr>
                <w:rFonts w:hint="eastAsia"/>
                <w:color w:val="auto"/>
                <w:sz w:val="24"/>
                <w:highlight w:val="none"/>
              </w:rPr>
              <w:t>以拦泥防洪为主，可有效减少水土流失</w:t>
            </w:r>
            <w:r>
              <w:rPr>
                <w:rFonts w:hint="eastAsia"/>
                <w:color w:val="auto"/>
                <w:sz w:val="24"/>
                <w:highlight w:val="none"/>
                <w:lang w:val="en-US" w:eastAsia="zh-CN"/>
              </w:rPr>
              <w:t>和下游含沙量，改善下游水质。</w:t>
            </w:r>
          </w:p>
          <w:p>
            <w:pPr>
              <w:adjustRightInd w:val="0"/>
              <w:snapToGrid w:val="0"/>
              <w:spacing w:line="360" w:lineRule="auto"/>
              <w:ind w:firstLine="482" w:firstLineChars="200"/>
              <w:rPr>
                <w:b/>
                <w:bCs/>
                <w:color w:val="auto"/>
                <w:kern w:val="0"/>
                <w:sz w:val="24"/>
                <w:highlight w:val="none"/>
              </w:rPr>
            </w:pPr>
            <w:r>
              <w:rPr>
                <w:rFonts w:hint="eastAsia"/>
                <w:b/>
                <w:bCs/>
                <w:color w:val="auto"/>
                <w:sz w:val="24"/>
                <w:highlight w:val="none"/>
                <w:lang w:bidi="ar"/>
              </w:rPr>
              <w:t>（</w:t>
            </w:r>
            <w:r>
              <w:rPr>
                <w:b/>
                <w:bCs/>
                <w:color w:val="auto"/>
                <w:sz w:val="24"/>
                <w:highlight w:val="none"/>
                <w:lang w:bidi="ar"/>
              </w:rPr>
              <w:t>6</w:t>
            </w:r>
            <w:r>
              <w:rPr>
                <w:rFonts w:hint="eastAsia"/>
                <w:b/>
                <w:bCs/>
                <w:color w:val="auto"/>
                <w:sz w:val="24"/>
                <w:highlight w:val="none"/>
                <w:lang w:bidi="ar"/>
              </w:rPr>
              <w:t>）</w:t>
            </w:r>
            <w:r>
              <w:rPr>
                <w:rFonts w:hint="eastAsia"/>
                <w:b/>
                <w:bCs/>
                <w:color w:val="auto"/>
                <w:kern w:val="0"/>
                <w:sz w:val="24"/>
                <w:highlight w:val="none"/>
              </w:rPr>
              <w:t>水土流失的影响分析</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本项目建设过程中，一方面扰动了项目区的地形地貌，损坏了地表土壤和植被，使其原有的蓄水保土功能丧失或降低；另一方面在施工中开挖、填筑等作业极易造成水土流失。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根据工程区的地形、地质、土壤、植被、降雨以及施工方式等特点，本项目可能造成的水土流失危害主要表现在以下几个方面：</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①诱发多种形式的水土流失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区存在较大范围的开挖填筑面、如不采取相应的水土流失防治措施，必将引起多种形式的水力侵蚀及重力侵蚀发生。工程施工期堆土若无任何防护措施，经雨水击溅和坡面径流冲刷等作用，将会诱发强水土流失，造成对工程区及四周环境的破坏。</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②淤堵现状</w:t>
            </w:r>
            <w:r>
              <w:rPr>
                <w:rFonts w:hint="eastAsia"/>
                <w:bCs/>
                <w:color w:val="auto"/>
                <w:sz w:val="24"/>
                <w:highlight w:val="none"/>
              </w:rPr>
              <w:t>河</w:t>
            </w:r>
            <w:r>
              <w:rPr>
                <w:bCs/>
                <w:color w:val="auto"/>
                <w:sz w:val="24"/>
                <w:highlight w:val="none"/>
              </w:rPr>
              <w:t>道</w:t>
            </w:r>
            <w:r>
              <w:rPr>
                <w:rFonts w:hint="eastAsia"/>
                <w:color w:val="auto"/>
                <w:kern w:val="0"/>
                <w:sz w:val="24"/>
                <w:highlight w:val="none"/>
              </w:rPr>
              <w:t>，影响行洪排涝</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项目在开挖土石方和搬运过程中，散落在地面的土石方，遇暴雨非常容易流失到</w:t>
            </w:r>
            <w:r>
              <w:rPr>
                <w:rFonts w:hint="eastAsia"/>
                <w:bCs/>
                <w:color w:val="auto"/>
                <w:sz w:val="24"/>
                <w:highlight w:val="none"/>
              </w:rPr>
              <w:t>河</w:t>
            </w:r>
            <w:r>
              <w:rPr>
                <w:bCs/>
                <w:color w:val="auto"/>
                <w:sz w:val="24"/>
                <w:highlight w:val="none"/>
              </w:rPr>
              <w:t>道</w:t>
            </w:r>
            <w:r>
              <w:rPr>
                <w:rFonts w:hint="eastAsia"/>
                <w:color w:val="auto"/>
                <w:kern w:val="0"/>
                <w:sz w:val="24"/>
                <w:highlight w:val="none"/>
              </w:rPr>
              <w:t>中，若不采取有效的防护措施，势必造成严重的水土流失，还会淤积在</w:t>
            </w:r>
            <w:r>
              <w:rPr>
                <w:rFonts w:hint="eastAsia"/>
                <w:bCs/>
                <w:color w:val="auto"/>
                <w:sz w:val="24"/>
                <w:highlight w:val="none"/>
              </w:rPr>
              <w:t>河</w:t>
            </w:r>
            <w:r>
              <w:rPr>
                <w:bCs/>
                <w:color w:val="auto"/>
                <w:sz w:val="24"/>
                <w:highlight w:val="none"/>
              </w:rPr>
              <w:t>道</w:t>
            </w:r>
            <w:r>
              <w:rPr>
                <w:rFonts w:hint="eastAsia"/>
                <w:color w:val="auto"/>
                <w:kern w:val="0"/>
                <w:sz w:val="24"/>
                <w:highlight w:val="none"/>
              </w:rPr>
              <w:t>中，对当地行洪排涝造成重大影响，容易造成较大的水土流失。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③对景观、周边生态环境的影响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在工程建设期间，由于大面积开挖的影响，会对自然景观产生不利影响。对植被的破坏，可直接导致其涵养水源、拦蓄泥沙的能力下降，降低土壤水的下渗速率及草木根系的固土作用，水土在遇到暴雨的情况下，就可能造成比较严重的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④影响周边环境</w:t>
            </w:r>
          </w:p>
          <w:p>
            <w:pPr>
              <w:adjustRightInd w:val="0"/>
              <w:snapToGrid w:val="0"/>
              <w:spacing w:line="360" w:lineRule="auto"/>
              <w:ind w:firstLine="480" w:firstLineChars="200"/>
              <w:rPr>
                <w:b/>
                <w:color w:val="auto"/>
                <w:sz w:val="24"/>
                <w:highlight w:val="none"/>
              </w:rPr>
            </w:pPr>
            <w:r>
              <w:rPr>
                <w:rFonts w:hint="eastAsia"/>
                <w:color w:val="auto"/>
                <w:kern w:val="0"/>
                <w:sz w:val="24"/>
                <w:highlight w:val="none"/>
              </w:rPr>
              <w:t>扬尘根据不同的天气情况，其影响范围也不一样。如遇干旱无雨季节扬尘则更为严重。扬尘是造成颗粒物污染的主要原因，在大气污染颗粒物中有50%~80%为粒径小于10</w:t>
            </w:r>
            <w:r>
              <w:rPr>
                <w:color w:val="auto"/>
                <w:kern w:val="0"/>
                <w:sz w:val="24"/>
                <w:highlight w:val="none"/>
              </w:rPr>
              <w:t>μm</w:t>
            </w:r>
            <w:r>
              <w:rPr>
                <w:rFonts w:hint="eastAsia"/>
                <w:color w:val="auto"/>
                <w:kern w:val="0"/>
                <w:sz w:val="24"/>
                <w:highlight w:val="none"/>
              </w:rPr>
              <w:t>的可吸入颗粒物，对人体健康危害很大。露天堆放的材料及裸露的施工区表层浮尘在风力的作用下较易形成风力扬尘，将直接影响施工线路两侧一定范围。施工扬尘在正常风况下，施工活动产生的粉尘在施工区域近地面环境空气中TSP浓度可达1.5~3.0mg/m</w:t>
            </w:r>
            <w:r>
              <w:rPr>
                <w:rFonts w:hint="eastAsia"/>
                <w:color w:val="auto"/>
                <w:kern w:val="0"/>
                <w:sz w:val="24"/>
                <w:highlight w:val="none"/>
                <w:vertAlign w:val="superscript"/>
              </w:rPr>
              <w:t>2</w:t>
            </w:r>
            <w:r>
              <w:rPr>
                <w:rFonts w:hint="eastAsia"/>
                <w:color w:val="auto"/>
                <w:kern w:val="0"/>
                <w:sz w:val="24"/>
                <w:highlight w:val="none"/>
              </w:rPr>
              <w:t>，对施工区域周围50~100m以外的贡献值符合环境空气质量二级标准；在大风（&gt;5级）的情况下，施工粉尘对施工区域周围100~300m以外的贡献值符合环境空气质量二级标准。因此本项目建设期应特别注意防尘问题，制定必要的抑尘措施，以减少施工扬尘对周边环境的影响。</w:t>
            </w:r>
          </w:p>
          <w:p>
            <w:pPr>
              <w:spacing w:line="360" w:lineRule="auto"/>
              <w:ind w:firstLine="482" w:firstLineChars="200"/>
              <w:rPr>
                <w:color w:val="auto"/>
                <w:sz w:val="24"/>
                <w:highlight w:val="none"/>
              </w:rPr>
            </w:pPr>
            <w:r>
              <w:rPr>
                <w:b/>
                <w:bCs/>
                <w:color w:val="auto"/>
                <w:sz w:val="24"/>
                <w:highlight w:val="none"/>
              </w:rPr>
              <w:t>2、声环境影响分析</w:t>
            </w:r>
          </w:p>
          <w:p>
            <w:pPr>
              <w:spacing w:line="360" w:lineRule="auto"/>
              <w:ind w:firstLine="480" w:firstLineChars="200"/>
              <w:rPr>
                <w:rFonts w:hint="eastAsia"/>
                <w:color w:val="auto"/>
                <w:sz w:val="24"/>
                <w:highlight w:val="none"/>
              </w:rPr>
            </w:pPr>
            <w:r>
              <w:rPr>
                <w:rFonts w:hint="eastAsia"/>
                <w:color w:val="auto"/>
                <w:sz w:val="24"/>
                <w:highlight w:val="none"/>
              </w:rPr>
              <w:t>项目施工期主要的机械设备包括挖掘机、推土机、装载机、平地机、起重机、运输车辆等，噪声源强在75～80dB(A)。</w:t>
            </w:r>
            <w:r>
              <w:rPr>
                <w:rFonts w:hint="eastAsia"/>
                <w:color w:val="auto"/>
                <w:sz w:val="24"/>
                <w:highlight w:val="none"/>
                <w:lang w:val="en-US" w:eastAsia="zh-CN"/>
              </w:rPr>
              <w:t>这些施工机械产生的施工噪声属非稳态噪声源，仅在昼间进行施工。</w:t>
            </w:r>
          </w:p>
          <w:p>
            <w:pPr>
              <w:snapToGrid w:val="0"/>
              <w:spacing w:line="360" w:lineRule="auto"/>
              <w:ind w:firstLine="480" w:firstLineChars="200"/>
              <w:rPr>
                <w:color w:val="auto"/>
                <w:sz w:val="24"/>
                <w:highlight w:val="none"/>
              </w:rPr>
            </w:pPr>
            <w:r>
              <w:rPr>
                <w:rFonts w:hint="eastAsia"/>
                <w:color w:val="auto"/>
                <w:sz w:val="24"/>
                <w:highlight w:val="none"/>
              </w:rPr>
              <w:t>根据现场调查，距本项目最近居民点为南侧3</w:t>
            </w:r>
            <w:r>
              <w:rPr>
                <w:color w:val="auto"/>
                <w:sz w:val="24"/>
                <w:highlight w:val="none"/>
              </w:rPr>
              <w:t>00</w:t>
            </w:r>
            <w:r>
              <w:rPr>
                <w:rFonts w:hint="eastAsia"/>
                <w:color w:val="auto"/>
                <w:sz w:val="24"/>
                <w:highlight w:val="none"/>
              </w:rPr>
              <w:t>m的菊花台村，经采取选用低噪声设备、控制施工时间等后，施工期噪声对周围环境影响较小。</w:t>
            </w:r>
          </w:p>
          <w:p>
            <w:pPr>
              <w:spacing w:line="360" w:lineRule="auto"/>
              <w:ind w:firstLine="482" w:firstLineChars="200"/>
              <w:rPr>
                <w:b/>
                <w:bCs/>
                <w:color w:val="auto"/>
                <w:sz w:val="24"/>
                <w:highlight w:val="none"/>
              </w:rPr>
            </w:pPr>
            <w:r>
              <w:rPr>
                <w:b/>
                <w:bCs/>
                <w:color w:val="auto"/>
                <w:sz w:val="24"/>
                <w:highlight w:val="none"/>
              </w:rPr>
              <w:t>3、</w:t>
            </w:r>
            <w:r>
              <w:rPr>
                <w:rFonts w:hint="eastAsia"/>
                <w:b/>
                <w:bCs/>
                <w:color w:val="auto"/>
                <w:sz w:val="24"/>
                <w:highlight w:val="none"/>
              </w:rPr>
              <w:t>大气环境影响</w:t>
            </w:r>
            <w:r>
              <w:rPr>
                <w:b/>
                <w:bCs/>
                <w:color w:val="auto"/>
                <w:sz w:val="24"/>
                <w:highlight w:val="none"/>
              </w:rPr>
              <w:t>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本项目施工期产生的大气污染主要来自施工作业产生的扬尘，车辆运输带起的扬尘，建筑材料的堆放、装卸过程产生的扬尘和施工机械、车辆尾气。</w:t>
            </w:r>
          </w:p>
          <w:p>
            <w:pPr>
              <w:adjustRightInd w:val="0"/>
              <w:snapToGrid w:val="0"/>
              <w:spacing w:line="360" w:lineRule="auto"/>
              <w:ind w:firstLine="482" w:firstLineChars="200"/>
              <w:rPr>
                <w:bCs/>
                <w:color w:val="auto"/>
                <w:sz w:val="24"/>
                <w:highlight w:val="none"/>
              </w:rPr>
            </w:pPr>
            <w:r>
              <w:rPr>
                <w:rFonts w:hint="eastAsia"/>
                <w:b/>
                <w:color w:val="auto"/>
                <w:sz w:val="24"/>
                <w:highlight w:val="none"/>
              </w:rPr>
              <w:t>（1）施工扬尘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施工扬尘污染主要造成大气中TSP值增高，根据类比资料，施工扬尘的起尘量与许多因素有关。包括：基础开挖起尘量、施工渣土堆场起尘量、进出车辆带泥砂量、起尘高度、采取的防护措施、空气湿度、风速等。</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施工扬尘的浓度与施工现场条件、施工管理水平、施工机械化程度及施工季节、建设地区土质及天气等诸多因素有关。本次评价采用类比法对施工过程产生的扬尘情况进行分析。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距施工场地不同距离处的大气环境中TSP浓度值见</w:t>
            </w:r>
            <w:r>
              <w:rPr>
                <w:rFonts w:hint="eastAsia"/>
                <w:b/>
                <w:color w:val="auto"/>
                <w:sz w:val="24"/>
                <w:highlight w:val="none"/>
              </w:rPr>
              <w:t>表4-</w:t>
            </w:r>
            <w:r>
              <w:rPr>
                <w:rFonts w:hint="eastAsia"/>
                <w:b/>
                <w:color w:val="auto"/>
                <w:sz w:val="24"/>
                <w:highlight w:val="none"/>
                <w:lang w:val="en-US" w:eastAsia="zh-CN"/>
              </w:rPr>
              <w:t>1</w:t>
            </w:r>
            <w:r>
              <w:rPr>
                <w:rFonts w:hint="eastAsia"/>
                <w:bCs/>
                <w:color w:val="auto"/>
                <w:sz w:val="24"/>
                <w:highlight w:val="none"/>
              </w:rPr>
              <w:t>。</w:t>
            </w:r>
          </w:p>
          <w:p>
            <w:pPr>
              <w:adjustRightInd w:val="0"/>
              <w:snapToGrid w:val="0"/>
              <w:spacing w:line="360" w:lineRule="auto"/>
              <w:jc w:val="center"/>
              <w:rPr>
                <w:rFonts w:eastAsia="黑体"/>
                <w:color w:val="auto"/>
                <w:kern w:val="0"/>
                <w:sz w:val="24"/>
                <w:highlight w:val="none"/>
              </w:rPr>
            </w:pPr>
            <w:r>
              <w:rPr>
                <w:rFonts w:hint="eastAsia" w:eastAsia="黑体"/>
                <w:b/>
                <w:bCs/>
                <w:color w:val="auto"/>
                <w:sz w:val="24"/>
                <w:highlight w:val="none"/>
              </w:rPr>
              <w:t>表4-</w:t>
            </w:r>
            <w:r>
              <w:rPr>
                <w:rFonts w:hint="eastAsia" w:eastAsia="黑体"/>
                <w:b/>
                <w:bCs/>
                <w:color w:val="auto"/>
                <w:sz w:val="24"/>
                <w:highlight w:val="none"/>
                <w:lang w:val="en-US" w:eastAsia="zh-CN"/>
              </w:rPr>
              <w:t>1</w:t>
            </w:r>
            <w:r>
              <w:rPr>
                <w:rFonts w:hint="eastAsia" w:eastAsia="黑体"/>
                <w:b/>
                <w:bCs/>
                <w:color w:val="auto"/>
                <w:sz w:val="24"/>
                <w:highlight w:val="none"/>
              </w:rPr>
              <w:t xml:space="preserve">  距施工场地不同距离处的大气环境中TSP浓度变化表（风速2.8m/s）</w:t>
            </w:r>
          </w:p>
          <w:tbl>
            <w:tblPr>
              <w:tblStyle w:val="25"/>
              <w:tblW w:w="4955"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1023"/>
              <w:gridCol w:w="1023"/>
              <w:gridCol w:w="1027"/>
              <w:gridCol w:w="1027"/>
              <w:gridCol w:w="1026"/>
              <w:gridCol w:w="1075"/>
              <w:gridCol w:w="100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6" w:type="pct"/>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距离(m)</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50</w:t>
                  </w:r>
                </w:p>
              </w:tc>
              <w:tc>
                <w:tcPr>
                  <w:tcW w:w="65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100</w:t>
                  </w:r>
                </w:p>
              </w:tc>
              <w:tc>
                <w:tcPr>
                  <w:tcW w:w="60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6" w:type="pct"/>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浓度(mg/m</w:t>
                  </w:r>
                  <w:r>
                    <w:rPr>
                      <w:rFonts w:hint="eastAsia"/>
                      <w:b/>
                      <w:color w:val="auto"/>
                      <w:szCs w:val="21"/>
                      <w:highlight w:val="none"/>
                      <w:vertAlign w:val="superscript"/>
                    </w:rPr>
                    <w:t>3</w:t>
                  </w:r>
                  <w:r>
                    <w:rPr>
                      <w:rFonts w:hint="eastAsia"/>
                      <w:b/>
                      <w:color w:val="auto"/>
                      <w:szCs w:val="21"/>
                      <w:highlight w:val="none"/>
                    </w:rPr>
                    <w:t>)</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1.75</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1.30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0.78</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0.365</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0.345</w:t>
                  </w:r>
                </w:p>
              </w:tc>
              <w:tc>
                <w:tcPr>
                  <w:tcW w:w="65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0.33</w:t>
                  </w:r>
                </w:p>
              </w:tc>
              <w:tc>
                <w:tcPr>
                  <w:tcW w:w="60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0.29</w:t>
                  </w:r>
                </w:p>
              </w:tc>
            </w:tr>
          </w:tbl>
          <w:p>
            <w:pPr>
              <w:adjustRightInd w:val="0"/>
              <w:snapToGrid w:val="0"/>
              <w:spacing w:line="360" w:lineRule="auto"/>
              <w:ind w:firstLine="480" w:firstLineChars="200"/>
              <w:rPr>
                <w:bCs/>
                <w:color w:val="auto"/>
                <w:sz w:val="24"/>
                <w:highlight w:val="none"/>
              </w:rPr>
            </w:pPr>
          </w:p>
          <w:p>
            <w:pPr>
              <w:adjustRightInd w:val="0"/>
              <w:snapToGrid w:val="0"/>
              <w:spacing w:line="360" w:lineRule="auto"/>
              <w:ind w:firstLine="480" w:firstLineChars="200"/>
              <w:rPr>
                <w:bCs/>
                <w:color w:val="auto"/>
                <w:sz w:val="24"/>
                <w:highlight w:val="none"/>
              </w:rPr>
            </w:pPr>
            <w:r>
              <w:rPr>
                <w:rFonts w:hint="eastAsia"/>
                <w:bCs/>
                <w:color w:val="auto"/>
                <w:sz w:val="24"/>
                <w:highlight w:val="none"/>
              </w:rPr>
              <w:t>由上表可知，本项目施工期产生的施工扬尘的影响范围主要为施工场地下风向200m范围内，受影响区域的TSP浓度平均值为0.29</w:t>
            </w:r>
            <w:r>
              <w:rPr>
                <w:bCs/>
                <w:color w:val="auto"/>
                <w:sz w:val="24"/>
                <w:highlight w:val="none"/>
              </w:rPr>
              <w:t>~</w:t>
            </w:r>
            <w:r>
              <w:rPr>
                <w:rFonts w:hint="eastAsia"/>
                <w:bCs/>
                <w:color w:val="auto"/>
                <w:sz w:val="24"/>
                <w:highlight w:val="none"/>
              </w:rPr>
              <w:t>1.75mg/m</w:t>
            </w:r>
            <w:r>
              <w:rPr>
                <w:rFonts w:hint="eastAsia"/>
                <w:bCs/>
                <w:color w:val="auto"/>
                <w:sz w:val="24"/>
                <w:highlight w:val="none"/>
                <w:vertAlign w:val="superscript"/>
              </w:rPr>
              <w:t>3</w:t>
            </w:r>
            <w:r>
              <w:rPr>
                <w:rFonts w:hint="eastAsia"/>
                <w:bCs/>
                <w:color w:val="auto"/>
                <w:sz w:val="24"/>
                <w:highlight w:val="none"/>
              </w:rPr>
              <w:t>。项目周边200m范围内</w:t>
            </w:r>
            <w:r>
              <w:rPr>
                <w:rFonts w:hint="eastAsia"/>
                <w:bCs/>
                <w:color w:val="auto"/>
                <w:sz w:val="24"/>
                <w:highlight w:val="none"/>
                <w:lang w:val="en-US" w:eastAsia="zh-CN"/>
              </w:rPr>
              <w:t>不</w:t>
            </w:r>
            <w:r>
              <w:rPr>
                <w:rFonts w:hint="eastAsia"/>
                <w:bCs/>
                <w:color w:val="auto"/>
                <w:sz w:val="24"/>
                <w:highlight w:val="none"/>
              </w:rPr>
              <w:t>存在环境敏感目标，</w:t>
            </w:r>
            <w:r>
              <w:rPr>
                <w:rFonts w:hint="eastAsia"/>
                <w:bCs/>
                <w:color w:val="auto"/>
                <w:sz w:val="24"/>
                <w:highlight w:val="none"/>
                <w:lang w:val="en-US" w:eastAsia="zh-CN"/>
              </w:rPr>
              <w:t>对周边环境影响较小</w:t>
            </w:r>
            <w:r>
              <w:rPr>
                <w:rFonts w:hint="eastAsia"/>
                <w:bCs/>
                <w:color w:val="auto"/>
                <w:sz w:val="24"/>
                <w:highlight w:val="none"/>
              </w:rPr>
              <w:t>。</w:t>
            </w:r>
          </w:p>
          <w:p>
            <w:pPr>
              <w:adjustRightInd w:val="0"/>
              <w:snapToGrid w:val="0"/>
              <w:spacing w:line="360" w:lineRule="auto"/>
              <w:ind w:firstLine="482" w:firstLineChars="200"/>
              <w:rPr>
                <w:b/>
                <w:color w:val="auto"/>
                <w:sz w:val="24"/>
                <w:highlight w:val="none"/>
              </w:rPr>
            </w:pPr>
            <w:r>
              <w:rPr>
                <w:rFonts w:hint="eastAsia"/>
                <w:b/>
                <w:color w:val="auto"/>
                <w:sz w:val="24"/>
                <w:highlight w:val="none"/>
              </w:rPr>
              <w:t>（2）运输扬尘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根据有关文献资料表明，车辆运输产生的扬尘占总扬尘的60%以上。车辆行驶产生的扬尘，在尘土完全干燥的情况下，可按下列经验公式计算：</w:t>
            </w:r>
          </w:p>
          <w:p>
            <w:pPr>
              <w:adjustRightInd w:val="0"/>
              <w:snapToGrid w:val="0"/>
              <w:spacing w:line="360" w:lineRule="auto"/>
              <w:jc w:val="center"/>
              <w:rPr>
                <w:bCs/>
                <w:color w:val="auto"/>
                <w:sz w:val="24"/>
                <w:highlight w:val="none"/>
              </w:rPr>
            </w:pPr>
            <w:r>
              <w:rPr>
                <w:rFonts w:hint="eastAsia"/>
                <w:bCs/>
                <w:color w:val="auto"/>
                <w:position w:val="-10"/>
                <w:sz w:val="24"/>
                <w:highlight w:val="none"/>
              </w:rPr>
              <w:object>
                <v:shape id="_x0000_i1027" o:spt="75" type="#_x0000_t75" style="height:19pt;width:184.1pt;" o:ole="t" filled="f" o:preferrelative="t" stroked="f" coordsize="21600,21600">
                  <v:path/>
                  <v:fill on="f" focussize="0,0"/>
                  <v:stroke on="f" joinstyle="miter"/>
                  <v:imagedata r:id="rId12" o:title=""/>
                  <o:lock v:ext="edit" aspectratio="t"/>
                  <w10:wrap type="none"/>
                  <w10:anchorlock/>
                </v:shape>
                <o:OLEObject Type="Embed" ProgID="Equation.KSEE3" ShapeID="_x0000_i1027" DrawAspect="Content" ObjectID="_1468075725" r:id="rId11">
                  <o:LockedField>false</o:LockedField>
                </o:OLEObject>
              </w:object>
            </w:r>
          </w:p>
          <w:p>
            <w:pPr>
              <w:adjustRightInd w:val="0"/>
              <w:snapToGrid w:val="0"/>
              <w:spacing w:line="360" w:lineRule="auto"/>
              <w:ind w:firstLine="480" w:firstLineChars="200"/>
              <w:rPr>
                <w:color w:val="auto"/>
                <w:highlight w:val="none"/>
              </w:rPr>
            </w:pPr>
            <w:r>
              <w:rPr>
                <w:bCs/>
                <w:color w:val="auto"/>
                <w:sz w:val="24"/>
                <w:highlight w:val="none"/>
              </w:rPr>
              <w:t>式中：Q</w:t>
            </w:r>
            <w:r>
              <w:rPr>
                <w:rFonts w:hint="eastAsia"/>
                <w:bCs/>
                <w:color w:val="auto"/>
                <w:sz w:val="24"/>
                <w:highlight w:val="none"/>
              </w:rPr>
              <w:t>---</w:t>
            </w:r>
            <w:r>
              <w:rPr>
                <w:bCs/>
                <w:color w:val="auto"/>
                <w:sz w:val="24"/>
                <w:highlight w:val="none"/>
              </w:rPr>
              <w:t>汽车行驶的扬尘，kg/km辆；</w:t>
            </w:r>
          </w:p>
          <w:p>
            <w:pPr>
              <w:adjustRightInd w:val="0"/>
              <w:snapToGrid w:val="0"/>
              <w:spacing w:line="360" w:lineRule="auto"/>
              <w:ind w:firstLine="1200" w:firstLineChars="500"/>
              <w:rPr>
                <w:bCs/>
                <w:color w:val="auto"/>
                <w:sz w:val="24"/>
                <w:highlight w:val="none"/>
              </w:rPr>
            </w:pPr>
            <w:r>
              <w:rPr>
                <w:bCs/>
                <w:color w:val="auto"/>
                <w:sz w:val="24"/>
                <w:highlight w:val="none"/>
              </w:rPr>
              <w:t>V</w:t>
            </w:r>
            <w:r>
              <w:rPr>
                <w:rFonts w:hint="eastAsia"/>
                <w:bCs/>
                <w:color w:val="auto"/>
                <w:sz w:val="24"/>
                <w:highlight w:val="none"/>
              </w:rPr>
              <w:t>---</w:t>
            </w:r>
            <w:r>
              <w:rPr>
                <w:bCs/>
                <w:color w:val="auto"/>
                <w:sz w:val="24"/>
                <w:highlight w:val="none"/>
              </w:rPr>
              <w:t>汽车速度，km/h；</w:t>
            </w:r>
          </w:p>
          <w:p>
            <w:pPr>
              <w:adjustRightInd w:val="0"/>
              <w:snapToGrid w:val="0"/>
              <w:spacing w:line="360" w:lineRule="auto"/>
              <w:ind w:firstLine="1200" w:firstLineChars="500"/>
              <w:rPr>
                <w:bCs/>
                <w:color w:val="auto"/>
                <w:sz w:val="24"/>
                <w:highlight w:val="none"/>
              </w:rPr>
            </w:pPr>
            <w:r>
              <w:rPr>
                <w:bCs/>
                <w:color w:val="auto"/>
                <w:sz w:val="24"/>
                <w:highlight w:val="none"/>
              </w:rPr>
              <w:t>W</w:t>
            </w:r>
            <w:r>
              <w:rPr>
                <w:rFonts w:hint="eastAsia"/>
                <w:bCs/>
                <w:color w:val="auto"/>
                <w:sz w:val="24"/>
                <w:highlight w:val="none"/>
              </w:rPr>
              <w:t>---</w:t>
            </w:r>
            <w:r>
              <w:rPr>
                <w:bCs/>
                <w:color w:val="auto"/>
                <w:sz w:val="24"/>
                <w:highlight w:val="none"/>
              </w:rPr>
              <w:t>汽车载重量，t；</w:t>
            </w:r>
          </w:p>
          <w:p>
            <w:pPr>
              <w:adjustRightInd w:val="0"/>
              <w:snapToGrid w:val="0"/>
              <w:spacing w:line="360" w:lineRule="auto"/>
              <w:ind w:firstLine="1200" w:firstLineChars="500"/>
              <w:rPr>
                <w:bCs/>
                <w:color w:val="auto"/>
                <w:sz w:val="24"/>
                <w:highlight w:val="none"/>
              </w:rPr>
            </w:pPr>
            <w:r>
              <w:rPr>
                <w:bCs/>
                <w:color w:val="auto"/>
                <w:sz w:val="24"/>
                <w:highlight w:val="none"/>
              </w:rPr>
              <w:t>P</w:t>
            </w:r>
            <w:r>
              <w:rPr>
                <w:rFonts w:hint="eastAsia"/>
                <w:bCs/>
                <w:color w:val="auto"/>
                <w:sz w:val="24"/>
                <w:highlight w:val="none"/>
              </w:rPr>
              <w:t>---</w:t>
            </w:r>
            <w:r>
              <w:rPr>
                <w:bCs/>
                <w:color w:val="auto"/>
                <w:sz w:val="24"/>
                <w:highlight w:val="none"/>
              </w:rPr>
              <w:t>道路表面粉尘量，kg/m</w:t>
            </w:r>
            <w:r>
              <w:rPr>
                <w:bCs/>
                <w:color w:val="auto"/>
                <w:sz w:val="24"/>
                <w:highlight w:val="none"/>
                <w:vertAlign w:val="superscript"/>
              </w:rPr>
              <w:t>2</w:t>
            </w:r>
            <w:r>
              <w:rPr>
                <w:bCs/>
                <w:color w:val="auto"/>
                <w:sz w:val="24"/>
                <w:highlight w:val="none"/>
              </w:rPr>
              <w:t>。</w:t>
            </w:r>
          </w:p>
          <w:p>
            <w:pPr>
              <w:adjustRightInd w:val="0"/>
              <w:snapToGrid w:val="0"/>
              <w:spacing w:line="360" w:lineRule="auto"/>
              <w:ind w:firstLine="482" w:firstLineChars="200"/>
              <w:rPr>
                <w:bCs/>
                <w:color w:val="auto"/>
                <w:sz w:val="24"/>
                <w:highlight w:val="none"/>
              </w:rPr>
            </w:pPr>
            <w:r>
              <w:rPr>
                <w:rFonts w:hint="eastAsia"/>
                <w:b/>
                <w:color w:val="auto"/>
                <w:sz w:val="24"/>
                <w:highlight w:val="none"/>
              </w:rPr>
              <w:t>表4-</w:t>
            </w:r>
            <w:r>
              <w:rPr>
                <w:rFonts w:hint="eastAsia"/>
                <w:b/>
                <w:color w:val="auto"/>
                <w:sz w:val="24"/>
                <w:highlight w:val="none"/>
                <w:lang w:val="en-US" w:eastAsia="zh-CN"/>
              </w:rPr>
              <w:t>2</w:t>
            </w:r>
            <w:r>
              <w:rPr>
                <w:rFonts w:hint="eastAsia"/>
                <w:bCs/>
                <w:color w:val="auto"/>
                <w:sz w:val="24"/>
                <w:highlight w:val="none"/>
              </w:rPr>
              <w:t>为一辆载重10t的卡车，通过一段长度为1km的路面时，不同路面清洁程度，不同行驶速度情况下产生的扬尘量。由此可见，在同样路面清洁情况下，车速越快，扬尘量越大；而在同样车速情况下，路面清洁度越差，则扬尘量越大。</w:t>
            </w:r>
          </w:p>
          <w:p>
            <w:pPr>
              <w:adjustRightInd w:val="0"/>
              <w:snapToGrid w:val="0"/>
              <w:spacing w:line="360" w:lineRule="auto"/>
              <w:jc w:val="center"/>
              <w:rPr>
                <w:rFonts w:eastAsia="黑体"/>
                <w:color w:val="auto"/>
                <w:kern w:val="0"/>
                <w:sz w:val="24"/>
                <w:highlight w:val="none"/>
              </w:rPr>
            </w:pPr>
            <w:r>
              <w:rPr>
                <w:rFonts w:hint="eastAsia" w:eastAsia="黑体"/>
                <w:b/>
                <w:bCs/>
                <w:color w:val="auto"/>
                <w:kern w:val="0"/>
                <w:sz w:val="24"/>
                <w:highlight w:val="none"/>
              </w:rPr>
              <w:t xml:space="preserve">       </w:t>
            </w:r>
            <w:r>
              <w:rPr>
                <w:rFonts w:eastAsia="黑体"/>
                <w:b/>
                <w:bCs/>
                <w:color w:val="auto"/>
                <w:kern w:val="0"/>
                <w:sz w:val="24"/>
                <w:highlight w:val="none"/>
              </w:rPr>
              <w:t>表</w:t>
            </w:r>
            <w:r>
              <w:rPr>
                <w:rFonts w:hint="eastAsia" w:eastAsia="黑体"/>
                <w:b/>
                <w:bCs/>
                <w:color w:val="auto"/>
                <w:kern w:val="0"/>
                <w:sz w:val="24"/>
                <w:highlight w:val="none"/>
              </w:rPr>
              <w:t>4-</w:t>
            </w:r>
            <w:r>
              <w:rPr>
                <w:rFonts w:hint="eastAsia" w:eastAsia="黑体"/>
                <w:b/>
                <w:bCs/>
                <w:color w:val="auto"/>
                <w:kern w:val="0"/>
                <w:sz w:val="24"/>
                <w:highlight w:val="none"/>
                <w:lang w:val="en-US" w:eastAsia="zh-CN"/>
              </w:rPr>
              <w:t>2</w:t>
            </w:r>
            <w:r>
              <w:rPr>
                <w:rFonts w:eastAsia="黑体"/>
                <w:b/>
                <w:bCs/>
                <w:color w:val="auto"/>
                <w:kern w:val="0"/>
                <w:sz w:val="24"/>
                <w:highlight w:val="none"/>
              </w:rPr>
              <w:t xml:space="preserve">  不同车速和地面清洁程度时的汽车扬尘  </w:t>
            </w:r>
            <w:r>
              <w:rPr>
                <w:rFonts w:hint="eastAsia" w:eastAsia="黑体"/>
                <w:b/>
                <w:bCs/>
                <w:color w:val="auto"/>
                <w:kern w:val="0"/>
                <w:sz w:val="24"/>
                <w:highlight w:val="none"/>
              </w:rPr>
              <w:t xml:space="preserve">    </w:t>
            </w:r>
            <w:r>
              <w:rPr>
                <w:rFonts w:eastAsia="黑体"/>
                <w:color w:val="auto"/>
                <w:kern w:val="0"/>
                <w:sz w:val="24"/>
                <w:highlight w:val="none"/>
              </w:rPr>
              <w:t>单位：kg/辆·km</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24"/>
              <w:gridCol w:w="1163"/>
              <w:gridCol w:w="1163"/>
              <w:gridCol w:w="1164"/>
              <w:gridCol w:w="1164"/>
              <w:gridCol w:w="1164"/>
              <w:gridCol w:w="11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车速/清洁度</w:t>
                  </w:r>
                </w:p>
              </w:tc>
              <w:tc>
                <w:tcPr>
                  <w:tcW w:w="1163"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0.1(kg/m</w:t>
                  </w:r>
                  <w:r>
                    <w:rPr>
                      <w:rFonts w:hint="eastAsia"/>
                      <w:b/>
                      <w:color w:val="auto"/>
                      <w:szCs w:val="21"/>
                      <w:highlight w:val="none"/>
                      <w:vertAlign w:val="superscript"/>
                    </w:rPr>
                    <w:t>2</w:t>
                  </w:r>
                  <w:r>
                    <w:rPr>
                      <w:rFonts w:hint="eastAsia"/>
                      <w:b/>
                      <w:color w:val="auto"/>
                      <w:szCs w:val="21"/>
                      <w:highlight w:val="none"/>
                    </w:rPr>
                    <w:t>)</w:t>
                  </w:r>
                </w:p>
              </w:tc>
              <w:tc>
                <w:tcPr>
                  <w:tcW w:w="1163"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0.2(kg/m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0.3(kg/m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0.4(kg/m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0.5(kg/m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1.0(kg/m</w:t>
                  </w:r>
                  <w:r>
                    <w:rPr>
                      <w:rFonts w:hint="eastAsia"/>
                      <w:b/>
                      <w:color w:val="auto"/>
                      <w:szCs w:val="21"/>
                      <w:highlight w:val="none"/>
                      <w:vertAlign w:val="superscript"/>
                    </w:rPr>
                    <w:t>2</w:t>
                  </w:r>
                  <w:r>
                    <w:rPr>
                      <w:rFonts w:hint="eastAsia"/>
                      <w:b/>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0.0511</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0.0856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0.1164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0.1444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0.1707</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0.2871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0.1021</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0.1717</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0.2328</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0.2888</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0.3414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0.5742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0.1532</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0.2576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0.3491</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0.4332</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0.5121</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0.8613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0.2553</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0.4293</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0.5819</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0.7220</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0.8536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1.4255</w:t>
                  </w:r>
                </w:p>
              </w:tc>
            </w:tr>
          </w:tbl>
          <w:p>
            <w:pPr>
              <w:adjustRightInd w:val="0"/>
              <w:snapToGrid w:val="0"/>
              <w:spacing w:line="360" w:lineRule="auto"/>
              <w:ind w:firstLine="480" w:firstLineChars="200"/>
              <w:rPr>
                <w:bCs/>
                <w:color w:val="auto"/>
                <w:sz w:val="24"/>
                <w:highlight w:val="none"/>
              </w:rPr>
            </w:pPr>
          </w:p>
          <w:p>
            <w:pPr>
              <w:adjustRightInd w:val="0"/>
              <w:snapToGrid w:val="0"/>
              <w:spacing w:line="360" w:lineRule="auto"/>
              <w:ind w:firstLine="480" w:firstLineChars="200"/>
              <w:rPr>
                <w:bCs/>
                <w:color w:val="auto"/>
                <w:sz w:val="24"/>
                <w:highlight w:val="none"/>
              </w:rPr>
            </w:pPr>
            <w:r>
              <w:rPr>
                <w:rFonts w:hint="eastAsia"/>
                <w:bCs/>
                <w:color w:val="auto"/>
                <w:sz w:val="24"/>
                <w:highlight w:val="none"/>
              </w:rPr>
              <w:t>由上表可知，在路面同样清洁程度下，车速越快，扬尘量越大，而在同样车速情况下，路面越脏，扬尘量越大。故限速和保持路面的清洁是减少车辆行驶扬尘源强的有效措施。</w:t>
            </w:r>
          </w:p>
          <w:p>
            <w:pPr>
              <w:adjustRightInd w:val="0"/>
              <w:snapToGrid w:val="0"/>
              <w:spacing w:line="360" w:lineRule="auto"/>
              <w:ind w:firstLine="482" w:firstLineChars="200"/>
              <w:rPr>
                <w:b/>
                <w:color w:val="auto"/>
                <w:sz w:val="24"/>
                <w:highlight w:val="none"/>
              </w:rPr>
            </w:pPr>
            <w:r>
              <w:rPr>
                <w:rFonts w:hint="eastAsia"/>
                <w:b/>
                <w:color w:val="auto"/>
                <w:sz w:val="24"/>
                <w:highlight w:val="none"/>
              </w:rPr>
              <w:t>（3）堆场扬尘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扬尘的另一个主要原因是露天堆场和裸露场地的风力扬尘。由于施工的需要，一些建材需露天堆放；一些施工点表层土壤需人工开挖、堆放，在气候干燥又有风的情况下，会产生扬尘，其扬尘量可按堆场扬尘的经验公式计算：</w:t>
            </w:r>
          </w:p>
          <w:p>
            <w:pPr>
              <w:adjustRightInd w:val="0"/>
              <w:snapToGrid w:val="0"/>
              <w:spacing w:line="360" w:lineRule="auto"/>
              <w:jc w:val="center"/>
              <w:rPr>
                <w:bCs/>
                <w:color w:val="auto"/>
                <w:sz w:val="24"/>
                <w:highlight w:val="none"/>
              </w:rPr>
            </w:pPr>
            <w:r>
              <w:rPr>
                <w:bCs/>
                <w:color w:val="auto"/>
                <w:position w:val="-12"/>
                <w:sz w:val="24"/>
                <w:highlight w:val="none"/>
              </w:rPr>
              <w:object>
                <v:shape id="_x0000_i1028" o:spt="75" type="#_x0000_t75" style="height:20.4pt;width:116.85pt;" o:ole="t" filled="f" o:preferrelative="t" stroked="f" coordsize="21600,21600">
                  <v:path/>
                  <v:fill on="f" focussize="0,0"/>
                  <v:stroke on="f" joinstyle="miter"/>
                  <v:imagedata r:id="rId14" o:title=""/>
                  <o:lock v:ext="edit" aspectratio="t"/>
                  <w10:wrap type="none"/>
                  <w10:anchorlock/>
                </v:shape>
                <o:OLEObject Type="Embed" ProgID="Equation.KSEE3" ShapeID="_x0000_i1028" DrawAspect="Content" ObjectID="_1468075726" r:id="rId13">
                  <o:LockedField>false</o:LockedField>
                </o:OLEObject>
              </w:object>
            </w:r>
          </w:p>
          <w:p>
            <w:pPr>
              <w:adjustRightInd w:val="0"/>
              <w:snapToGrid w:val="0"/>
              <w:spacing w:line="360" w:lineRule="auto"/>
              <w:ind w:firstLine="480" w:firstLineChars="200"/>
              <w:rPr>
                <w:color w:val="auto"/>
                <w:highlight w:val="none"/>
              </w:rPr>
            </w:pPr>
            <w:r>
              <w:rPr>
                <w:bCs/>
                <w:color w:val="auto"/>
                <w:sz w:val="24"/>
                <w:highlight w:val="none"/>
              </w:rPr>
              <w:t>式中：Q</w:t>
            </w:r>
            <w:r>
              <w:rPr>
                <w:rFonts w:hint="eastAsia"/>
                <w:bCs/>
                <w:color w:val="auto"/>
                <w:sz w:val="24"/>
                <w:highlight w:val="none"/>
              </w:rPr>
              <w:t>---</w:t>
            </w:r>
            <w:r>
              <w:rPr>
                <w:bCs/>
                <w:color w:val="auto"/>
                <w:sz w:val="24"/>
                <w:highlight w:val="none"/>
              </w:rPr>
              <w:t>起尘量，kg/t·a；</w:t>
            </w:r>
          </w:p>
          <w:p>
            <w:pPr>
              <w:adjustRightInd w:val="0"/>
              <w:snapToGrid w:val="0"/>
              <w:spacing w:line="360" w:lineRule="auto"/>
              <w:ind w:firstLine="1200" w:firstLineChars="500"/>
              <w:rPr>
                <w:bCs/>
                <w:color w:val="auto"/>
                <w:sz w:val="24"/>
                <w:highlight w:val="none"/>
              </w:rPr>
            </w:pPr>
            <w:r>
              <w:rPr>
                <w:bCs/>
                <w:color w:val="auto"/>
                <w:sz w:val="24"/>
                <w:highlight w:val="none"/>
              </w:rPr>
              <w:t>V</w:t>
            </w:r>
            <w:r>
              <w:rPr>
                <w:bCs/>
                <w:color w:val="auto"/>
                <w:sz w:val="24"/>
                <w:highlight w:val="none"/>
                <w:vertAlign w:val="subscript"/>
              </w:rPr>
              <w:t>50</w:t>
            </w:r>
            <w:r>
              <w:rPr>
                <w:rFonts w:hint="eastAsia"/>
                <w:bCs/>
                <w:color w:val="auto"/>
                <w:sz w:val="24"/>
                <w:highlight w:val="none"/>
              </w:rPr>
              <w:t>---</w:t>
            </w:r>
            <w:r>
              <w:rPr>
                <w:bCs/>
                <w:color w:val="auto"/>
                <w:sz w:val="24"/>
                <w:highlight w:val="none"/>
              </w:rPr>
              <w:t>距地面50m处风速，m/s；</w:t>
            </w:r>
          </w:p>
          <w:p>
            <w:pPr>
              <w:adjustRightInd w:val="0"/>
              <w:snapToGrid w:val="0"/>
              <w:spacing w:line="360" w:lineRule="auto"/>
              <w:ind w:firstLine="1200" w:firstLineChars="500"/>
              <w:rPr>
                <w:bCs/>
                <w:color w:val="auto"/>
                <w:sz w:val="24"/>
                <w:highlight w:val="none"/>
              </w:rPr>
            </w:pPr>
            <w:r>
              <w:rPr>
                <w:bCs/>
                <w:color w:val="auto"/>
                <w:sz w:val="24"/>
                <w:highlight w:val="none"/>
              </w:rPr>
              <w:t>V</w:t>
            </w:r>
            <w:r>
              <w:rPr>
                <w:bCs/>
                <w:color w:val="auto"/>
                <w:sz w:val="24"/>
                <w:highlight w:val="none"/>
                <w:vertAlign w:val="subscript"/>
              </w:rPr>
              <w:t>0</w:t>
            </w:r>
            <w:r>
              <w:rPr>
                <w:rFonts w:hint="eastAsia"/>
                <w:bCs/>
                <w:color w:val="auto"/>
                <w:sz w:val="24"/>
                <w:highlight w:val="none"/>
              </w:rPr>
              <w:t>---</w:t>
            </w:r>
            <w:r>
              <w:rPr>
                <w:bCs/>
                <w:color w:val="auto"/>
                <w:sz w:val="24"/>
                <w:highlight w:val="none"/>
              </w:rPr>
              <w:t>起尘风速，m/s；</w:t>
            </w:r>
          </w:p>
          <w:p>
            <w:pPr>
              <w:adjustRightInd w:val="0"/>
              <w:snapToGrid w:val="0"/>
              <w:spacing w:line="360" w:lineRule="auto"/>
              <w:ind w:firstLine="1200" w:firstLineChars="500"/>
              <w:rPr>
                <w:bCs/>
                <w:color w:val="auto"/>
                <w:sz w:val="24"/>
                <w:highlight w:val="none"/>
              </w:rPr>
            </w:pPr>
            <w:r>
              <w:rPr>
                <w:rFonts w:hint="eastAsia"/>
                <w:bCs/>
                <w:color w:val="auto"/>
                <w:sz w:val="24"/>
                <w:highlight w:val="none"/>
              </w:rPr>
              <w:t>W---尘粒的含水率，%。</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起尘风速与粒径和含水率有关，因此，减少露天堆放和保证一定的含水率及减少裸露地面是减少风力起尘的有效手段。建设单位在施工期间应采取遮挡、苫盖、洒水的措施进行防尘处理，以减少施工期间的扬尘污染。</w:t>
            </w:r>
          </w:p>
          <w:p>
            <w:pPr>
              <w:adjustRightInd w:val="0"/>
              <w:snapToGrid w:val="0"/>
              <w:spacing w:line="360" w:lineRule="auto"/>
              <w:ind w:firstLine="482" w:firstLineChars="200"/>
              <w:rPr>
                <w:b/>
                <w:color w:val="auto"/>
                <w:sz w:val="24"/>
                <w:highlight w:val="none"/>
              </w:rPr>
            </w:pPr>
            <w:r>
              <w:rPr>
                <w:rFonts w:hint="eastAsia"/>
                <w:b/>
                <w:color w:val="auto"/>
                <w:sz w:val="24"/>
                <w:highlight w:val="none"/>
              </w:rPr>
              <w:t>（4）施工机械及车辆尾气</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机械尾气主要来源于施工机械和运输车辆排放的废气，各种施工机械设备和运输车辆燃油排放的废气中含有CO、NOx、碳氢化合物等污染物，由于施工机械和选型以及施工阶段的不同，这些污染物具有间歇性、流动性及排放量小的特点；本项目施工期使用的施工机械主要以柴油为燃料，会产生少量的机械尾气，但本项目属于农村区域，周边扩散条件较好，故该废气经大气的扩散作用后，对周边环境影响较小，其对环境的影响也会随着施工期的完成而消失。</w:t>
            </w:r>
          </w:p>
          <w:p>
            <w:pPr>
              <w:spacing w:line="360" w:lineRule="auto"/>
              <w:ind w:firstLine="482" w:firstLineChars="200"/>
              <w:rPr>
                <w:b/>
                <w:bCs/>
                <w:color w:val="auto"/>
                <w:sz w:val="24"/>
                <w:highlight w:val="none"/>
              </w:rPr>
            </w:pPr>
            <w:r>
              <w:rPr>
                <w:rFonts w:hint="eastAsia"/>
                <w:b/>
                <w:bCs/>
                <w:color w:val="auto"/>
                <w:sz w:val="24"/>
                <w:highlight w:val="none"/>
              </w:rPr>
              <w:t>4</w:t>
            </w:r>
            <w:r>
              <w:rPr>
                <w:b/>
                <w:bCs/>
                <w:color w:val="auto"/>
                <w:sz w:val="24"/>
                <w:highlight w:val="none"/>
              </w:rPr>
              <w:t>、水环境影响分析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本项目施工期废水主要为施工废水和施工人员生活污水。</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施工废水主要为施工机械和车辆冲洗废水，施工高峰期需定期清洗的主要施工机械设备约10台（辆），以平均每台冲洗废水0.5m</w:t>
            </w:r>
            <w:r>
              <w:rPr>
                <w:rFonts w:hint="eastAsia"/>
                <w:bCs/>
                <w:color w:val="auto"/>
                <w:sz w:val="24"/>
                <w:highlight w:val="none"/>
                <w:vertAlign w:val="superscript"/>
              </w:rPr>
              <w:t>3</w:t>
            </w:r>
            <w:r>
              <w:rPr>
                <w:rFonts w:hint="eastAsia"/>
                <w:bCs/>
                <w:color w:val="auto"/>
                <w:sz w:val="24"/>
                <w:highlight w:val="none"/>
              </w:rPr>
              <w:t>计算，按每周冲洗一次，施工期6个月，冲洗废水共产生129m</w:t>
            </w:r>
            <w:r>
              <w:rPr>
                <w:rFonts w:hint="eastAsia"/>
                <w:bCs/>
                <w:color w:val="auto"/>
                <w:sz w:val="24"/>
                <w:highlight w:val="none"/>
                <w:vertAlign w:val="superscript"/>
              </w:rPr>
              <w:t>3</w:t>
            </w:r>
            <w:r>
              <w:rPr>
                <w:rFonts w:hint="eastAsia"/>
                <w:bCs/>
                <w:color w:val="auto"/>
                <w:sz w:val="24"/>
                <w:highlight w:val="none"/>
              </w:rPr>
              <w:t>（0.72m</w:t>
            </w:r>
            <w:r>
              <w:rPr>
                <w:rFonts w:hint="eastAsia"/>
                <w:bCs/>
                <w:color w:val="auto"/>
                <w:sz w:val="24"/>
                <w:highlight w:val="none"/>
                <w:vertAlign w:val="superscript"/>
              </w:rPr>
              <w:t>3</w:t>
            </w:r>
            <w:r>
              <w:rPr>
                <w:rFonts w:hint="eastAsia"/>
                <w:bCs/>
                <w:color w:val="auto"/>
                <w:sz w:val="24"/>
                <w:highlight w:val="none"/>
              </w:rPr>
              <w:t>/d），经临时沉淀池沉淀后用于洒水抑尘。生活污水主要是日常洗漱水，施工人员生活用水以20L/人·d计，则30人生活用水量为0.6m</w:t>
            </w:r>
            <w:r>
              <w:rPr>
                <w:rFonts w:hint="eastAsia"/>
                <w:bCs/>
                <w:color w:val="auto"/>
                <w:sz w:val="24"/>
                <w:highlight w:val="none"/>
                <w:vertAlign w:val="superscript"/>
              </w:rPr>
              <w:t>3</w:t>
            </w:r>
            <w:r>
              <w:rPr>
                <w:rFonts w:hint="eastAsia"/>
                <w:bCs/>
                <w:color w:val="auto"/>
                <w:sz w:val="24"/>
                <w:highlight w:val="none"/>
              </w:rPr>
              <w:t>/d；排水量按用水量的80%计，则施工期生活污水产生量为0.48m</w:t>
            </w:r>
            <w:r>
              <w:rPr>
                <w:rFonts w:hint="eastAsia"/>
                <w:bCs/>
                <w:color w:val="auto"/>
                <w:sz w:val="24"/>
                <w:highlight w:val="none"/>
                <w:vertAlign w:val="superscript"/>
              </w:rPr>
              <w:t>3</w:t>
            </w:r>
            <w:r>
              <w:rPr>
                <w:rFonts w:hint="eastAsia"/>
                <w:bCs/>
                <w:color w:val="auto"/>
                <w:sz w:val="24"/>
                <w:highlight w:val="none"/>
              </w:rPr>
              <w:t>/d。施工人员租住附近村庄民房</w:t>
            </w:r>
            <w:r>
              <w:rPr>
                <w:rFonts w:hint="eastAsia"/>
                <w:color w:val="auto"/>
                <w:sz w:val="24"/>
                <w:highlight w:val="none"/>
                <w:lang w:bidi="ar"/>
              </w:rPr>
              <w:t>，生活盥洗水用于施工场地、道路洒水降尘。</w:t>
            </w:r>
          </w:p>
          <w:p>
            <w:pPr>
              <w:spacing w:line="360" w:lineRule="auto"/>
              <w:ind w:firstLine="480" w:firstLineChars="200"/>
              <w:rPr>
                <w:color w:val="auto"/>
                <w:sz w:val="24"/>
                <w:highlight w:val="none"/>
              </w:rPr>
            </w:pPr>
            <w:r>
              <w:rPr>
                <w:color w:val="auto"/>
                <w:sz w:val="24"/>
                <w:highlight w:val="none"/>
              </w:rPr>
              <w:t>综上所述，本项目施工期产生的废（污）水均得到了妥善的处理处置，不外排，对周围环境产生的影响较小。</w:t>
            </w:r>
          </w:p>
          <w:p>
            <w:pPr>
              <w:spacing w:line="360" w:lineRule="auto"/>
              <w:ind w:firstLine="482" w:firstLineChars="200"/>
              <w:rPr>
                <w:b/>
                <w:bCs/>
                <w:color w:val="auto"/>
                <w:sz w:val="24"/>
                <w:highlight w:val="none"/>
              </w:rPr>
            </w:pPr>
            <w:r>
              <w:rPr>
                <w:rFonts w:hint="eastAsia"/>
                <w:b/>
                <w:bCs/>
                <w:color w:val="auto"/>
                <w:sz w:val="24"/>
                <w:highlight w:val="none"/>
              </w:rPr>
              <w:t>5</w:t>
            </w:r>
            <w:r>
              <w:rPr>
                <w:b/>
                <w:bCs/>
                <w:color w:val="auto"/>
                <w:sz w:val="24"/>
                <w:highlight w:val="none"/>
              </w:rPr>
              <w:t>、固体废物环境影响分析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施工期固体废物主要为挖掘土方、废建筑材料及生活垃圾。</w:t>
            </w:r>
          </w:p>
          <w:p>
            <w:pPr>
              <w:adjustRightInd w:val="0"/>
              <w:snapToGrid w:val="0"/>
              <w:spacing w:line="360" w:lineRule="auto"/>
              <w:ind w:firstLine="480" w:firstLineChars="200"/>
              <w:rPr>
                <w:color w:val="auto"/>
                <w:sz w:val="24"/>
                <w:highlight w:val="none"/>
              </w:rPr>
            </w:pPr>
            <w:r>
              <w:rPr>
                <w:rFonts w:hint="eastAsia"/>
                <w:bCs/>
                <w:color w:val="auto"/>
                <w:sz w:val="24"/>
                <w:highlight w:val="none"/>
              </w:rPr>
              <w:t>土方工程产生的废方全部用于取土场平整；建筑垃圾中可回收利用的回收利用，不能回收利用的运送至政府指定地点进行处置；施工人员生活垃圾产生量按0.5kg/人·d计算，则30人生活垃圾产生量约为0.015t/d，经分类收集后由当地环卫部门统一清运处置。</w:t>
            </w:r>
          </w:p>
          <w:p>
            <w:pPr>
              <w:adjustRightInd w:val="0"/>
              <w:snapToGrid w:val="0"/>
              <w:spacing w:line="360" w:lineRule="auto"/>
              <w:ind w:firstLine="480" w:firstLineChars="200"/>
              <w:rPr>
                <w:color w:val="auto"/>
                <w:sz w:val="24"/>
                <w:highlight w:val="none"/>
              </w:rPr>
            </w:pPr>
            <w:r>
              <w:rPr>
                <w:color w:val="auto"/>
                <w:sz w:val="24"/>
                <w:highlight w:val="none"/>
              </w:rPr>
              <w:t>综上所述，本项目施工期产生的固体废物均得到了妥善的处理处置，对周围环境产生的影响较小。</w:t>
            </w:r>
          </w:p>
          <w:p>
            <w:pPr>
              <w:adjustRightInd w:val="0"/>
              <w:snapToGrid w:val="0"/>
              <w:spacing w:line="360" w:lineRule="auto"/>
              <w:ind w:firstLine="482" w:firstLineChars="200"/>
              <w:rPr>
                <w:bCs/>
                <w:color w:val="auto"/>
                <w:sz w:val="24"/>
                <w:highlight w:val="none"/>
              </w:rPr>
            </w:pPr>
            <w:r>
              <w:rPr>
                <w:rFonts w:hint="eastAsia"/>
                <w:b/>
                <w:color w:val="auto"/>
                <w:sz w:val="24"/>
                <w:highlight w:val="none"/>
              </w:rPr>
              <w:t>6、小结</w:t>
            </w:r>
          </w:p>
          <w:p>
            <w:pPr>
              <w:adjustRightInd w:val="0"/>
              <w:snapToGrid w:val="0"/>
              <w:spacing w:line="360" w:lineRule="auto"/>
              <w:ind w:firstLine="480" w:firstLineChars="200"/>
              <w:rPr>
                <w:color w:val="auto"/>
                <w:sz w:val="24"/>
                <w:highlight w:val="none"/>
              </w:rPr>
            </w:pPr>
            <w:r>
              <w:rPr>
                <w:rFonts w:hint="eastAsia"/>
                <w:bCs/>
                <w:color w:val="auto"/>
                <w:sz w:val="24"/>
                <w:highlight w:val="none"/>
              </w:rPr>
              <w:t>本项目施工期对该区域的生态、大气环境、水环境、声环境都将产生一定的影响，但这些影响是临时性的，随着施工期的结束将逐渐消失，不会对项目所在区域生态环境功能造成不良影响。</w:t>
            </w:r>
          </w:p>
          <w:p>
            <w:pPr>
              <w:pStyle w:val="14"/>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661" w:type="dxa"/>
            <w:tcMar>
              <w:left w:w="28" w:type="dxa"/>
              <w:right w:w="28" w:type="dxa"/>
            </w:tcMar>
            <w:vAlign w:val="center"/>
          </w:tcPr>
          <w:p>
            <w:pPr>
              <w:pStyle w:val="21"/>
              <w:adjustRightInd w:val="0"/>
              <w:snapToGrid w:val="0"/>
              <w:spacing w:before="0" w:beforeAutospacing="0" w:after="0" w:afterAutospacing="0"/>
              <w:jc w:val="center"/>
              <w:rPr>
                <w:rFonts w:ascii="Times New Roman" w:hAnsi="Times New Roman"/>
                <w:bCs/>
                <w:color w:val="auto"/>
                <w:kern w:val="2"/>
                <w:sz w:val="21"/>
                <w:szCs w:val="21"/>
                <w:highlight w:val="none"/>
              </w:rPr>
            </w:pPr>
            <w:r>
              <w:rPr>
                <w:rFonts w:ascii="Times New Roman" w:hAnsi="Times New Roman"/>
                <w:bCs/>
                <w:color w:val="auto"/>
                <w:spacing w:val="10"/>
                <w:kern w:val="2"/>
                <w:highlight w:val="none"/>
              </w:rPr>
              <w:t>运营期生态环境影响分析</w:t>
            </w:r>
          </w:p>
        </w:tc>
        <w:tc>
          <w:tcPr>
            <w:tcW w:w="8581" w:type="dxa"/>
          </w:tcPr>
          <w:p>
            <w:pPr>
              <w:adjustRightInd w:val="0"/>
              <w:snapToGrid w:val="0"/>
              <w:spacing w:line="360" w:lineRule="auto"/>
              <w:ind w:firstLine="480" w:firstLineChars="200"/>
              <w:rPr>
                <w:color w:val="auto"/>
                <w:sz w:val="24"/>
                <w:highlight w:val="none"/>
              </w:rPr>
            </w:pPr>
            <w:r>
              <w:rPr>
                <w:rFonts w:hint="eastAsia"/>
                <w:color w:val="auto"/>
                <w:sz w:val="24"/>
                <w:highlight w:val="none"/>
              </w:rPr>
              <w:t>本项目运营期无废水、废气、固体废物、噪声产生，对周围环境影响较小</w:t>
            </w:r>
            <w:r>
              <w:rPr>
                <w:color w:val="auto"/>
                <w:sz w:val="24"/>
                <w:highlight w:val="none"/>
              </w:rPr>
              <w:t>。</w:t>
            </w:r>
            <w:r>
              <w:rPr>
                <w:rFonts w:hint="eastAsia"/>
                <w:color w:val="auto"/>
                <w:sz w:val="24"/>
                <w:highlight w:val="none"/>
                <w:lang w:bidi="ar"/>
              </w:rPr>
              <w:t>项目建成后对环境的影响主要体现在有利的一面。但由于投入运营后，工程占地不可避免地减少了植被生物量。本项目</w:t>
            </w:r>
            <w:r>
              <w:rPr>
                <w:rFonts w:hint="eastAsia"/>
                <w:color w:val="auto"/>
                <w:sz w:val="24"/>
                <w:highlight w:val="none"/>
                <w:lang w:val="en-US" w:eastAsia="zh-CN" w:bidi="ar"/>
              </w:rPr>
              <w:t>施工结束后，</w:t>
            </w:r>
            <w:r>
              <w:rPr>
                <w:rFonts w:hint="eastAsia"/>
                <w:color w:val="auto"/>
                <w:sz w:val="24"/>
                <w:highlight w:val="none"/>
                <w:lang w:bidi="ar"/>
              </w:rPr>
              <w:t>通过采取有效的措施，项目区域植被将得到一定的恢复。</w:t>
            </w:r>
          </w:p>
          <w:p>
            <w:pPr>
              <w:adjustRightInd w:val="0"/>
              <w:snapToGrid w:val="0"/>
              <w:spacing w:line="360" w:lineRule="auto"/>
              <w:ind w:firstLine="482" w:firstLineChars="200"/>
              <w:rPr>
                <w:color w:val="auto"/>
                <w:sz w:val="24"/>
                <w:highlight w:val="none"/>
              </w:rPr>
            </w:pPr>
            <w:r>
              <w:rPr>
                <w:rFonts w:hint="eastAsia" w:cs="宋体"/>
                <w:b/>
                <w:bCs/>
                <w:color w:val="auto"/>
                <w:kern w:val="0"/>
                <w:sz w:val="24"/>
                <w:highlight w:val="none"/>
                <w:lang w:bidi="ar"/>
              </w:rPr>
              <w:t>生态环境效益</w:t>
            </w:r>
            <w:r>
              <w:rPr>
                <w:rFonts w:hint="eastAsia" w:cs="宋体"/>
                <w:b/>
                <w:bCs/>
                <w:color w:val="auto"/>
                <w:kern w:val="0"/>
                <w:sz w:val="24"/>
                <w:highlight w:val="none"/>
                <w:lang w:eastAsia="zh-CN" w:bidi="ar"/>
              </w:rPr>
              <w:t>：</w:t>
            </w:r>
            <w:r>
              <w:rPr>
                <w:rFonts w:hint="eastAsia" w:cs="宋体"/>
                <w:color w:val="auto"/>
                <w:kern w:val="0"/>
                <w:sz w:val="24"/>
                <w:highlight w:val="none"/>
                <w:lang w:bidi="ar"/>
              </w:rPr>
              <w:t>通过建设本工程</w:t>
            </w:r>
            <w:r>
              <w:rPr>
                <w:rFonts w:hint="eastAsia"/>
                <w:color w:val="auto"/>
                <w:sz w:val="24"/>
                <w:highlight w:val="none"/>
              </w:rPr>
              <w:t>淤地坝的建设，使苦水沟小流域防洪能力提高到30年一遇洪水标准，可拦泥89.87万m</w:t>
            </w:r>
            <w:r>
              <w:rPr>
                <w:rFonts w:hint="eastAsia"/>
                <w:color w:val="auto"/>
                <w:sz w:val="24"/>
                <w:highlight w:val="none"/>
                <w:vertAlign w:val="superscript"/>
              </w:rPr>
              <w:t>3</w:t>
            </w:r>
            <w:r>
              <w:rPr>
                <w:rFonts w:hint="eastAsia"/>
                <w:color w:val="auto"/>
                <w:sz w:val="24"/>
                <w:highlight w:val="none"/>
              </w:rPr>
              <w:t>，还可淤地230.9亩，削洪调沙，有效防止沟道下切、沟岸扩张，抬高侵蚀基点，稳定沟坡，减轻水土流失；工程结束后通过水保措施的实施，对取土场、坝后坡、道路两旁种草种树，可美化环境，改善脆弱的自然生态环境。</w:t>
            </w:r>
          </w:p>
          <w:p>
            <w:pPr>
              <w:spacing w:line="360" w:lineRule="auto"/>
              <w:ind w:firstLine="482"/>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661" w:type="dxa"/>
            <w:vAlign w:val="center"/>
          </w:tcPr>
          <w:p>
            <w:pPr>
              <w:pStyle w:val="21"/>
              <w:adjustRightInd w:val="0"/>
              <w:snapToGrid w:val="0"/>
              <w:spacing w:before="0" w:beforeAutospacing="0" w:after="0" w:afterAutospacing="0"/>
              <w:jc w:val="center"/>
              <w:rPr>
                <w:rFonts w:ascii="Times New Roman" w:hAnsi="Times New Roman"/>
                <w:bCs/>
                <w:color w:val="auto"/>
                <w:kern w:val="2"/>
                <w:sz w:val="21"/>
                <w:szCs w:val="21"/>
                <w:highlight w:val="none"/>
              </w:rPr>
            </w:pPr>
            <w:r>
              <w:rPr>
                <w:rFonts w:ascii="Times New Roman" w:hAnsi="Times New Roman"/>
                <w:bCs/>
                <w:color w:val="auto"/>
                <w:kern w:val="2"/>
                <w:sz w:val="21"/>
                <w:szCs w:val="21"/>
                <w:highlight w:val="none"/>
              </w:rPr>
              <w:t>选址选线环境合理性分析</w:t>
            </w:r>
          </w:p>
        </w:tc>
        <w:tc>
          <w:tcPr>
            <w:tcW w:w="8581" w:type="dxa"/>
            <w:tcBorders>
              <w:bottom w:val="single" w:color="auto" w:sz="4" w:space="0"/>
              <w:right w:val="single" w:color="auto" w:sz="4" w:space="0"/>
            </w:tcBorders>
          </w:tcPr>
          <w:p>
            <w:pPr>
              <w:adjustRightInd w:val="0"/>
              <w:snapToGrid w:val="0"/>
              <w:spacing w:line="360" w:lineRule="auto"/>
              <w:ind w:firstLine="480" w:firstLineChars="200"/>
              <w:rPr>
                <w:rFonts w:cs="宋体"/>
                <w:color w:val="auto"/>
                <w:kern w:val="0"/>
                <w:sz w:val="24"/>
                <w:highlight w:val="none"/>
                <w:lang w:bidi="ar"/>
              </w:rPr>
            </w:pPr>
            <w:r>
              <w:rPr>
                <w:rFonts w:hint="eastAsia" w:cs="宋体"/>
                <w:color w:val="auto"/>
                <w:kern w:val="0"/>
                <w:sz w:val="24"/>
                <w:highlight w:val="none"/>
                <w:lang w:bidi="ar"/>
              </w:rPr>
              <w:t>本项目</w:t>
            </w:r>
            <w:r>
              <w:rPr>
                <w:rFonts w:hint="eastAsia" w:cs="宋体"/>
                <w:color w:val="auto"/>
                <w:sz w:val="24"/>
                <w:highlight w:val="none"/>
                <w:lang w:bidi="ar"/>
              </w:rPr>
              <w:t>位于吴忠市同心县河西镇，</w:t>
            </w:r>
            <w:r>
              <w:rPr>
                <w:rFonts w:hint="eastAsia" w:cs="宋体"/>
                <w:color w:val="auto"/>
                <w:kern w:val="0"/>
                <w:sz w:val="24"/>
                <w:highlight w:val="none"/>
                <w:lang w:bidi="ar"/>
              </w:rPr>
              <w:t>为</w:t>
            </w:r>
            <w:r>
              <w:rPr>
                <w:rFonts w:hint="eastAsia"/>
                <w:color w:val="auto"/>
                <w:sz w:val="24"/>
                <w:highlight w:val="none"/>
              </w:rPr>
              <w:t>淤地坝工程，主要为拦泥、淤地兼顾交通</w:t>
            </w:r>
            <w:r>
              <w:rPr>
                <w:rFonts w:hint="eastAsia" w:cs="宋体"/>
                <w:color w:val="auto"/>
                <w:kern w:val="0"/>
                <w:sz w:val="24"/>
                <w:highlight w:val="none"/>
                <w:lang w:bidi="ar"/>
              </w:rPr>
              <w:t>。项目位于清水河右岸一级支沟三道沟。坝址以上流域面积27.5km</w:t>
            </w:r>
            <w:r>
              <w:rPr>
                <w:rFonts w:hint="eastAsia" w:cs="宋体"/>
                <w:color w:val="auto"/>
                <w:kern w:val="0"/>
                <w:sz w:val="24"/>
                <w:highlight w:val="none"/>
                <w:vertAlign w:val="superscript"/>
                <w:lang w:bidi="ar"/>
              </w:rPr>
              <w:t>2</w:t>
            </w:r>
            <w:r>
              <w:rPr>
                <w:rFonts w:hint="eastAsia" w:cs="宋体"/>
                <w:color w:val="auto"/>
                <w:kern w:val="0"/>
                <w:sz w:val="24"/>
                <w:highlight w:val="none"/>
                <w:lang w:bidi="ar"/>
              </w:rPr>
              <w:t>，流域海拔高度1540～1580m，属黄土丘陵区，流域内为耕地，土壤疏松，植被稀少，地表受流水切割破碎，水土流失严重。工程区内无供电线路，坝址以下有农田及公路。选定的坝址处沟道呈V字型，沟底宽约23.6m，沟口宽约80.0m，沟深约15m。坝址处沟道两岸岸坡较为陡峭，左岸岸坡坡比约为1:4，右岸岸坡约为1:0.5，沟道较为顺直，岸坡较整齐，坝体及建筑物均可避开两岸冲沟。</w:t>
            </w:r>
          </w:p>
          <w:p>
            <w:pPr>
              <w:adjustRightInd w:val="0"/>
              <w:snapToGrid w:val="0"/>
              <w:spacing w:line="360" w:lineRule="auto"/>
              <w:ind w:firstLine="480" w:firstLineChars="200"/>
              <w:rPr>
                <w:color w:val="auto"/>
                <w:kern w:val="0"/>
                <w:sz w:val="24"/>
                <w:highlight w:val="none"/>
              </w:rPr>
            </w:pPr>
            <w:r>
              <w:rPr>
                <w:rFonts w:hint="eastAsia" w:cs="宋体"/>
                <w:color w:val="auto"/>
                <w:kern w:val="0"/>
                <w:sz w:val="24"/>
                <w:highlight w:val="none"/>
                <w:lang w:bidi="ar"/>
              </w:rPr>
              <w:t>项目距离南侧最近居民点菊花台村约</w:t>
            </w:r>
            <w:r>
              <w:rPr>
                <w:rFonts w:hint="eastAsia" w:cs="宋体"/>
                <w:color w:val="auto"/>
                <w:kern w:val="0"/>
                <w:sz w:val="24"/>
                <w:highlight w:val="none"/>
                <w:lang w:val="en-US" w:eastAsia="zh-CN" w:bidi="ar"/>
              </w:rPr>
              <w:t>30</w:t>
            </w:r>
            <w:r>
              <w:rPr>
                <w:rFonts w:hint="eastAsia" w:cs="宋体"/>
                <w:color w:val="auto"/>
                <w:kern w:val="0"/>
                <w:sz w:val="24"/>
                <w:highlight w:val="none"/>
                <w:lang w:bidi="ar"/>
              </w:rPr>
              <w:t>0m，项目占地及周围不涉及生态环境敏感目标。同时，项目主要污染集中在施工期的扬尘、施工废水、噪声、固体废物及生态影响。在采取施工扬尘、施</w:t>
            </w:r>
            <w:r>
              <w:rPr>
                <w:rFonts w:hint="eastAsia" w:cs="宋体"/>
                <w:bCs/>
                <w:color w:val="auto"/>
                <w:sz w:val="24"/>
                <w:highlight w:val="none"/>
                <w:lang w:bidi="ar"/>
              </w:rPr>
              <w:t>工废水和噪声防治措施后，可满足施工期污染物排放标准，</w:t>
            </w:r>
            <w:r>
              <w:rPr>
                <w:rFonts w:hint="eastAsia" w:cs="宋体"/>
                <w:color w:val="auto"/>
                <w:kern w:val="0"/>
                <w:sz w:val="24"/>
                <w:highlight w:val="none"/>
                <w:lang w:bidi="ar"/>
              </w:rPr>
              <w:t>环境制约因素较小。</w:t>
            </w:r>
          </w:p>
          <w:p>
            <w:pPr>
              <w:adjustRightInd w:val="0"/>
              <w:snapToGrid w:val="0"/>
              <w:spacing w:line="360" w:lineRule="auto"/>
              <w:ind w:firstLine="480" w:firstLineChars="200"/>
              <w:rPr>
                <w:rFonts w:cs="宋体"/>
                <w:color w:val="auto"/>
                <w:kern w:val="0"/>
                <w:sz w:val="24"/>
                <w:highlight w:val="none"/>
                <w:lang w:bidi="ar"/>
              </w:rPr>
            </w:pPr>
            <w:r>
              <w:rPr>
                <w:rFonts w:hint="eastAsia" w:cs="宋体"/>
                <w:color w:val="auto"/>
                <w:kern w:val="0"/>
                <w:sz w:val="24"/>
                <w:highlight w:val="none"/>
                <w:lang w:bidi="ar"/>
              </w:rPr>
              <w:t>建设单位对于临时施工区的选取远离居民区；选择有利地形，减少不良工程地质地段；施工区不涉及</w:t>
            </w:r>
            <w:r>
              <w:rPr>
                <w:rFonts w:hint="eastAsia" w:cs="宋体"/>
                <w:color w:val="auto"/>
                <w:sz w:val="24"/>
                <w:highlight w:val="none"/>
                <w:lang w:bidi="ar"/>
              </w:rPr>
              <w:t>国家公园、自然保护区、风景名胜区、世界文化和自然遗产地、饮用水水源保护区</w:t>
            </w:r>
            <w:r>
              <w:rPr>
                <w:rFonts w:hint="eastAsia" w:cs="宋体"/>
                <w:color w:val="auto"/>
                <w:kern w:val="0"/>
                <w:sz w:val="24"/>
                <w:highlight w:val="none"/>
                <w:lang w:bidi="ar"/>
              </w:rPr>
              <w:t>等特殊环境敏感区，也不涉及生态保护红线。在采取本次评价提出的污染防治措施后，对区域环境质量和生态环境负面影响较小。</w:t>
            </w:r>
          </w:p>
          <w:p>
            <w:pPr>
              <w:adjustRightInd w:val="0"/>
              <w:snapToGrid w:val="0"/>
              <w:spacing w:line="360" w:lineRule="auto"/>
              <w:ind w:firstLine="480" w:firstLineChars="200"/>
              <w:rPr>
                <w:rFonts w:cs="宋体"/>
                <w:color w:val="auto"/>
                <w:kern w:val="0"/>
                <w:sz w:val="24"/>
                <w:highlight w:val="none"/>
                <w:lang w:bidi="ar"/>
              </w:rPr>
            </w:pPr>
            <w:r>
              <w:rPr>
                <w:rFonts w:hint="eastAsia" w:cs="宋体"/>
                <w:color w:val="auto"/>
                <w:kern w:val="0"/>
                <w:sz w:val="24"/>
                <w:highlight w:val="none"/>
                <w:lang w:bidi="ar"/>
              </w:rPr>
              <w:t>项目取土场位于拟建</w:t>
            </w:r>
            <w:r>
              <w:rPr>
                <w:rFonts w:hint="eastAsia" w:cs="宋体"/>
                <w:color w:val="auto"/>
                <w:kern w:val="0"/>
                <w:sz w:val="24"/>
                <w:highlight w:val="none"/>
                <w:lang w:val="en-US" w:eastAsia="zh-CN" w:bidi="ar"/>
              </w:rPr>
              <w:t>坝址</w:t>
            </w:r>
            <w:r>
              <w:rPr>
                <w:rFonts w:hint="eastAsia" w:cs="宋体"/>
                <w:color w:val="auto"/>
                <w:kern w:val="0"/>
                <w:sz w:val="24"/>
                <w:highlight w:val="none"/>
                <w:lang w:bidi="ar"/>
              </w:rPr>
              <w:t>右岸上游，平均运距150m，可用厚度大于10m，运距短，土质符合坝体填筑要求；项目取土场选址不在崩塌、滑坡危险区和泥石流易发区；不在堤防安全保护区内，满足水土保持相关技术要求。</w:t>
            </w:r>
            <w:r>
              <w:rPr>
                <w:rFonts w:hint="eastAsia" w:cs="宋体"/>
                <w:color w:val="auto"/>
                <w:kern w:val="0"/>
                <w:sz w:val="24"/>
                <w:highlight w:val="none"/>
                <w:lang w:val="en-US" w:eastAsia="zh-CN" w:bidi="ar"/>
              </w:rPr>
              <w:t>取土场</w:t>
            </w:r>
            <w:r>
              <w:rPr>
                <w:rFonts w:hint="eastAsia" w:cs="宋体"/>
                <w:color w:val="auto"/>
                <w:kern w:val="0"/>
                <w:sz w:val="24"/>
                <w:highlight w:val="none"/>
                <w:lang w:bidi="ar"/>
              </w:rPr>
              <w:t>不涉及</w:t>
            </w:r>
            <w:r>
              <w:rPr>
                <w:rFonts w:hint="eastAsia" w:cs="宋体"/>
                <w:color w:val="auto"/>
                <w:sz w:val="24"/>
                <w:highlight w:val="none"/>
                <w:lang w:bidi="ar"/>
              </w:rPr>
              <w:t>国家公园、自然保护区、风景名胜区、世界文化和自然遗产地、饮用水水源保护区</w:t>
            </w:r>
            <w:r>
              <w:rPr>
                <w:rFonts w:hint="eastAsia" w:cs="宋体"/>
                <w:color w:val="auto"/>
                <w:kern w:val="0"/>
                <w:sz w:val="24"/>
                <w:highlight w:val="none"/>
                <w:lang w:bidi="ar"/>
              </w:rPr>
              <w:t>等特殊环境敏感区，也不涉及生态保护红线。在采取本次评价提出的</w:t>
            </w:r>
            <w:r>
              <w:rPr>
                <w:rFonts w:hint="eastAsia" w:cs="宋体"/>
                <w:color w:val="auto"/>
                <w:kern w:val="0"/>
                <w:sz w:val="24"/>
                <w:highlight w:val="none"/>
                <w:lang w:val="en-US" w:eastAsia="zh-CN" w:bidi="ar"/>
              </w:rPr>
              <w:t>生态恢复</w:t>
            </w:r>
            <w:r>
              <w:rPr>
                <w:rFonts w:hint="eastAsia" w:cs="宋体"/>
                <w:color w:val="auto"/>
                <w:kern w:val="0"/>
                <w:sz w:val="24"/>
                <w:highlight w:val="none"/>
                <w:lang w:bidi="ar"/>
              </w:rPr>
              <w:t>措施后，对生态环境负面影响较小。</w:t>
            </w:r>
          </w:p>
          <w:p>
            <w:pPr>
              <w:adjustRightInd w:val="0"/>
              <w:snapToGrid w:val="0"/>
              <w:spacing w:line="360" w:lineRule="auto"/>
              <w:ind w:firstLine="480" w:firstLineChars="200"/>
              <w:rPr>
                <w:color w:val="auto"/>
                <w:highlight w:val="none"/>
              </w:rPr>
            </w:pPr>
            <w:r>
              <w:rPr>
                <w:rFonts w:hint="eastAsia"/>
                <w:color w:val="auto"/>
                <w:sz w:val="24"/>
                <w:highlight w:val="none"/>
                <w:lang w:bidi="ar"/>
              </w:rPr>
              <w:t>综上所述，从环境保护的角度分析，本项目选址选线合理可行。</w:t>
            </w:r>
          </w:p>
        </w:tc>
      </w:tr>
    </w:tbl>
    <w:p>
      <w:pPr>
        <w:pStyle w:val="21"/>
        <w:jc w:val="center"/>
        <w:rPr>
          <w:rFonts w:ascii="Times New Roman" w:hAnsi="Times New Roman" w:eastAsia="黑体"/>
          <w:snapToGrid w:val="0"/>
          <w:color w:val="auto"/>
          <w:sz w:val="36"/>
          <w:szCs w:val="36"/>
          <w:highlight w:val="none"/>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1"/>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五、主要生态环境保护措施</w:t>
      </w:r>
    </w:p>
    <w:tbl>
      <w:tblPr>
        <w:tblStyle w:val="24"/>
        <w:tblW w:w="916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906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tcMar>
              <w:left w:w="28" w:type="dxa"/>
              <w:right w:w="28" w:type="dxa"/>
            </w:tcMar>
            <w:vAlign w:val="center"/>
          </w:tcPr>
          <w:p>
            <w:pPr>
              <w:adjustRightInd w:val="0"/>
              <w:snapToGrid w:val="0"/>
              <w:jc w:val="center"/>
              <w:rPr>
                <w:bCs/>
                <w:color w:val="auto"/>
                <w:szCs w:val="21"/>
                <w:highlight w:val="none"/>
              </w:rPr>
            </w:pPr>
            <w:r>
              <w:rPr>
                <w:bCs/>
                <w:color w:val="auto"/>
                <w:spacing w:val="10"/>
                <w:sz w:val="24"/>
                <w:highlight w:val="none"/>
              </w:rPr>
              <w:t>施工期生态环境保护措施</w:t>
            </w:r>
          </w:p>
        </w:tc>
        <w:tc>
          <w:tcPr>
            <w:tcW w:w="8415" w:type="dxa"/>
          </w:tcPr>
          <w:p>
            <w:pPr>
              <w:spacing w:line="360" w:lineRule="auto"/>
              <w:ind w:firstLine="482" w:firstLineChars="200"/>
              <w:jc w:val="left"/>
              <w:rPr>
                <w:b/>
                <w:color w:val="auto"/>
                <w:sz w:val="24"/>
                <w:highlight w:val="none"/>
              </w:rPr>
            </w:pPr>
            <w:r>
              <w:rPr>
                <w:rFonts w:hint="eastAsia"/>
                <w:b/>
                <w:color w:val="auto"/>
                <w:sz w:val="24"/>
                <w:highlight w:val="none"/>
              </w:rPr>
              <w:t>1、生态保护措施</w:t>
            </w:r>
          </w:p>
          <w:p>
            <w:pPr>
              <w:pStyle w:val="21"/>
              <w:widowControl w:val="0"/>
              <w:spacing w:before="0" w:beforeAutospacing="0" w:after="0" w:afterAutospacing="0" w:line="360" w:lineRule="auto"/>
              <w:ind w:firstLine="480" w:firstLineChars="200"/>
              <w:jc w:val="both"/>
              <w:rPr>
                <w:rFonts w:hint="eastAsia" w:ascii="Times New Roman" w:hAnsi="Times New Roman" w:cs="宋体"/>
                <w:color w:val="auto"/>
                <w:kern w:val="2"/>
                <w:highlight w:val="none"/>
                <w:lang w:bidi="ar"/>
              </w:rPr>
            </w:pPr>
            <w:bookmarkStart w:id="9" w:name="_Toc434855111"/>
            <w:bookmarkStart w:id="10" w:name="_Toc309003588"/>
            <w:bookmarkStart w:id="11" w:name="_Toc434482389"/>
            <w:r>
              <w:rPr>
                <w:rFonts w:hint="eastAsia" w:ascii="Times New Roman" w:hAnsi="Times New Roman" w:cs="宋体"/>
                <w:color w:val="auto"/>
                <w:kern w:val="2"/>
                <w:highlight w:val="none"/>
                <w:lang w:bidi="ar"/>
              </w:rPr>
              <w:t>项目施工过程中有土方开挖、机械碾压等作业，这样势必会造成占地范围植被的破坏，部分施工活动会影响区域周边的鸟类等动物的栖息和觅食等。同时会带来扬尘、水土流失等环境问题。</w:t>
            </w:r>
          </w:p>
          <w:p>
            <w:pPr>
              <w:pStyle w:val="21"/>
              <w:widowControl w:val="0"/>
              <w:spacing w:before="0" w:beforeAutospacing="0" w:after="0" w:afterAutospacing="0" w:line="360" w:lineRule="auto"/>
              <w:ind w:firstLine="480" w:firstLineChars="200"/>
              <w:jc w:val="both"/>
              <w:rPr>
                <w:rFonts w:hint="default" w:ascii="Times New Roman" w:hAnsi="Times New Roman" w:eastAsia="宋体" w:cs="宋体"/>
                <w:color w:val="auto"/>
                <w:kern w:val="2"/>
                <w:highlight w:val="none"/>
                <w:lang w:val="en-US" w:eastAsia="zh-CN" w:bidi="ar"/>
              </w:rPr>
            </w:pPr>
            <w:r>
              <w:rPr>
                <w:rFonts w:hint="eastAsia" w:ascii="Times New Roman" w:hAnsi="Times New Roman" w:cs="宋体"/>
                <w:color w:val="auto"/>
                <w:kern w:val="2"/>
                <w:highlight w:val="none"/>
                <w:lang w:val="en-US" w:eastAsia="zh-CN" w:bidi="ar"/>
              </w:rPr>
              <w:t>项目施工区选择在其他草地区域，避开了农田、林木等区域，减少了对植被和农作物的影响；项目施工主要利用了现有道路，减少了新增临时占地；项目取土场不涉及生态敏感区。</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为了有效保护工程所在区域的动植物资源，建设单位采取的生态破坏防治措施如下：</w:t>
            </w:r>
          </w:p>
          <w:p>
            <w:pPr>
              <w:pStyle w:val="21"/>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1</w:t>
            </w:r>
            <w:r>
              <w:rPr>
                <w:rFonts w:hint="eastAsia" w:ascii="Times New Roman" w:hAnsi="Times New Roman" w:cs="宋体"/>
                <w:b/>
                <w:bCs/>
                <w:color w:val="auto"/>
                <w:kern w:val="2"/>
                <w:highlight w:val="none"/>
                <w:lang w:bidi="ar"/>
              </w:rPr>
              <w:t>）工程占地范围生态保护措施</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施工区布设应结合当地条件，因地制宜，合理规划临时场地，施工区选择在距离区域道路较近的场地。从严控制管理用地，在施工结束后及时对临时设施进行拆除并进行土地复耕或植被恢复。具体如下：</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①针对施工队伍对植被和土壤的影响，施工期间应划定施工范围，在保证施工顺利进行的前提下，严格限制施工人员及工机械的活动范围，尽可能缩小施工作业带的宽度。</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加强教育，规范施工人员的行为，爱护花草树木，严紧砍伐、破坏施工区以外的植被，不准随便破坏动物巢穴，严禁捕杀野生动物，禁止施工人员捕食鸟类、兽类等野生动物，以减轻施工对当地陆生动植物的影响，并采取有效措施抑制鼠类的危害。一旦在施工中遇到需要保护的动植物，应当立即向当地林业部门汇报，协商采取妥善的保护措施后才能进行下一步施工。</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③为减少施工造成的水土流失，将采取</w:t>
            </w:r>
            <w:r>
              <w:rPr>
                <w:rFonts w:hint="eastAsia" w:ascii="Times New Roman" w:hAnsi="Times New Roman" w:cs="宋体"/>
                <w:color w:val="auto"/>
                <w:kern w:val="2"/>
                <w:highlight w:val="none"/>
                <w:lang w:val="en-US" w:eastAsia="zh-CN" w:bidi="ar"/>
              </w:rPr>
              <w:t>拦挡、苫盖</w:t>
            </w:r>
            <w:r>
              <w:rPr>
                <w:rFonts w:hint="eastAsia" w:ascii="Times New Roman" w:hAnsi="Times New Roman" w:cs="宋体"/>
                <w:color w:val="auto"/>
                <w:kern w:val="2"/>
                <w:highlight w:val="none"/>
                <w:lang w:bidi="ar"/>
              </w:rPr>
              <w:t>等有效的工程防护措施进行保护。</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④在选择临时占用地时，应注意根据实际需要控制临时占地的面积，禁止随意扩大占地面积。</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⑤土方开挖前，应执行分层开挖的操作制度，即表层土与底层土分开堆放；土方填埋时，也应分层回填，即底土回填在下，表土回填在上。回填时，还应留足适宜的堆积层，防止因降水、径流造成地表下陷和水土流失。</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⑥施工结束后，施工单位应负责及时清理现场，使之尽快恢复原状，将施工期对生态环境影响降到最低程度。</w:t>
            </w:r>
          </w:p>
          <w:p>
            <w:pPr>
              <w:adjustRightInd w:val="0"/>
              <w:snapToGrid w:val="0"/>
              <w:spacing w:line="360" w:lineRule="auto"/>
              <w:ind w:firstLine="522" w:firstLineChars="200"/>
              <w:rPr>
                <w:b/>
                <w:color w:val="auto"/>
                <w:spacing w:val="10"/>
                <w:sz w:val="24"/>
                <w:highlight w:val="none"/>
              </w:rPr>
            </w:pPr>
            <w:r>
              <w:rPr>
                <w:rFonts w:hint="eastAsia" w:cs="宋体"/>
                <w:b/>
                <w:color w:val="auto"/>
                <w:spacing w:val="10"/>
                <w:sz w:val="24"/>
                <w:highlight w:val="none"/>
                <w:lang w:bidi="ar"/>
              </w:rPr>
              <w:t>（</w:t>
            </w:r>
            <w:r>
              <w:rPr>
                <w:b/>
                <w:color w:val="auto"/>
                <w:spacing w:val="10"/>
                <w:sz w:val="24"/>
                <w:highlight w:val="none"/>
                <w:lang w:bidi="ar"/>
              </w:rPr>
              <w:t>2</w:t>
            </w:r>
            <w:r>
              <w:rPr>
                <w:rFonts w:hint="eastAsia" w:cs="宋体"/>
                <w:b/>
                <w:color w:val="auto"/>
                <w:spacing w:val="10"/>
                <w:sz w:val="24"/>
                <w:highlight w:val="none"/>
                <w:lang w:bidi="ar"/>
              </w:rPr>
              <w:t>）土壤保护措施</w:t>
            </w:r>
          </w:p>
          <w:p>
            <w:pPr>
              <w:adjustRightInd w:val="0"/>
              <w:snapToGrid w:val="0"/>
              <w:spacing w:line="360" w:lineRule="auto"/>
              <w:ind w:firstLine="480" w:firstLineChars="200"/>
              <w:jc w:val="left"/>
              <w:rPr>
                <w:color w:val="auto"/>
                <w:sz w:val="24"/>
                <w:highlight w:val="none"/>
              </w:rPr>
            </w:pPr>
            <w:r>
              <w:rPr>
                <w:rFonts w:hint="eastAsia" w:cs="宋体"/>
                <w:color w:val="auto"/>
                <w:sz w:val="24"/>
                <w:highlight w:val="none"/>
                <w:lang w:bidi="ar"/>
              </w:rPr>
              <w:t>①施工中加强施工管理，尽量缩小施工范围，各种施工活动严格控制在施工区域内，将临时占地面积控制在最低限度，尽可能不破坏原有的地表植被和土壤。</w:t>
            </w:r>
          </w:p>
          <w:p>
            <w:pPr>
              <w:adjustRightInd w:val="0"/>
              <w:snapToGrid w:val="0"/>
              <w:spacing w:line="360" w:lineRule="auto"/>
              <w:ind w:firstLine="480" w:firstLineChars="200"/>
              <w:rPr>
                <w:color w:val="auto"/>
                <w:sz w:val="24"/>
                <w:highlight w:val="none"/>
              </w:rPr>
            </w:pPr>
            <w:r>
              <w:rPr>
                <w:rFonts w:hint="eastAsia" w:cs="宋体"/>
                <w:color w:val="auto"/>
                <w:sz w:val="24"/>
                <w:highlight w:val="none"/>
                <w:lang w:bidi="ar"/>
              </w:rPr>
              <w:t>②在施工前，首先要把占地区的表层熟化土壤剥离后单独堆放，待施工结束后，再施用到要进行恢复的地段，使其得到充分、有效的利用。</w:t>
            </w:r>
          </w:p>
          <w:p>
            <w:pPr>
              <w:pStyle w:val="21"/>
              <w:widowControl w:val="0"/>
              <w:spacing w:before="0" w:beforeAutospacing="0" w:after="0" w:afterAutospacing="0" w:line="360" w:lineRule="auto"/>
              <w:ind w:firstLine="482" w:firstLineChars="200"/>
              <w:jc w:val="both"/>
              <w:rPr>
                <w:color w:val="auto"/>
                <w:highlight w:val="none"/>
              </w:rPr>
            </w:pPr>
            <w:r>
              <w:rPr>
                <w:b/>
                <w:bCs/>
                <w:color w:val="auto"/>
                <w:highlight w:val="none"/>
              </w:rPr>
              <w:t xml:space="preserve">（3）植被保护及恢复措施 </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①划定施工作业范围和路线，合理避让植被覆盖区域，严格控制施工占地，不得随意扩大，尽可能减少占地，严格限制车辆、机械行驶路线。</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②施工临时道路主要利用现有道路，需要修建施工临时道路时，应划定并严格控制临时道路宽度，不得随意扩大施工临时道路，以减少临时占地面积。</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③施工人员、车辆在规定的施工区、施工临时道路内活动、行驶，尽量减少施工人员、车辆对土地的践踏，有效减轻施工对农作物及植被的破坏。</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④加强施工期环境保护管理，强化施工人员环保意识，规范施工行为；保护施工场所周围的一草一木，严禁砍伐，严禁施工人员破坏施工区以外的植被和树木。车辆运输等必须在规定的道路上行驶，不得随意碾压项目用地范围外的植被。</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⑤尽量减小施工范围，尽量缩短占用时间，最大限度地降低对周边植被的影响。</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⑥开挖尽量保持坑壁成型完好，并做好临时施工场地的防护，避免影响周围环境和破坏植被。 </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⑦项目区域坡度不大，表面为松散沙土，土壤有机质缺乏，保水能力较差，存在一定程度的水土流失，植被难以自然恢复，因此在施工结束后，需及时清理场地垃圾，对场地进行平整。 </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⑧在施工过程中，占地范围内也会对区域内植被造成损毁，必须进行相应的生物措施，为了遵循保护土壤的原则以及项目区生态恢复工作的需要，项目施工前期对生态恢复责任范围内的原有土地进行表土剥离存放措施，表土单独堆放、标识，工程上不得使用所堆放的表土。在工程施工完毕后，对平整后的土地进行表土覆盖，覆土来自对原有土地剥离的表土，从而有利于土地植被恢复。 </w:t>
            </w:r>
          </w:p>
          <w:p>
            <w:pPr>
              <w:pStyle w:val="21"/>
              <w:widowControl w:val="0"/>
              <w:spacing w:before="0" w:beforeAutospacing="0" w:after="0" w:afterAutospacing="0" w:line="360" w:lineRule="auto"/>
              <w:ind w:firstLine="480" w:firstLineChars="200"/>
              <w:jc w:val="both"/>
              <w:rPr>
                <w:color w:val="auto"/>
                <w:highlight w:val="none"/>
              </w:rPr>
            </w:pPr>
            <w:r>
              <w:rPr>
                <w:color w:val="auto"/>
                <w:highlight w:val="none"/>
              </w:rPr>
              <w:t>⑨项目栽种的植物应是国家与当地批准栽种的宜土宜种植物，防止外来植物入侵。</w:t>
            </w:r>
          </w:p>
          <w:p>
            <w:pPr>
              <w:pStyle w:val="21"/>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4</w:t>
            </w:r>
            <w:r>
              <w:rPr>
                <w:rFonts w:hint="eastAsia" w:ascii="Times New Roman" w:hAnsi="Times New Roman" w:cs="宋体"/>
                <w:b/>
                <w:bCs/>
                <w:color w:val="auto"/>
                <w:kern w:val="2"/>
                <w:highlight w:val="none"/>
                <w:lang w:bidi="ar"/>
              </w:rPr>
              <w:t>）野生动物保护措施</w:t>
            </w:r>
            <w:r>
              <w:rPr>
                <w:rFonts w:ascii="Times New Roman" w:hAnsi="Times New Roman"/>
                <w:b/>
                <w:bCs/>
                <w:color w:val="auto"/>
                <w:kern w:val="2"/>
                <w:highlight w:val="none"/>
                <w:lang w:bidi="ar"/>
              </w:rPr>
              <w:t xml:space="preserve"> </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减小项目施工对野生动物的活动、栖息影响，应采取以下措施：</w:t>
            </w:r>
            <w:r>
              <w:rPr>
                <w:rFonts w:ascii="Times New Roman" w:hAnsi="Times New Roman"/>
                <w:color w:val="auto"/>
                <w:kern w:val="2"/>
                <w:highlight w:val="none"/>
                <w:lang w:bidi="ar"/>
              </w:rPr>
              <w:t xml:space="preserve"> </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①施工机械应采用噪声较小的设备，合理组织施工行为，降低噪声干扰，对无法避免或者无法降低的，需要选择对动物影响最小的时段进行。</w:t>
            </w:r>
            <w:r>
              <w:rPr>
                <w:rFonts w:ascii="Times New Roman" w:hAnsi="Times New Roman"/>
                <w:color w:val="auto"/>
                <w:kern w:val="2"/>
                <w:highlight w:val="none"/>
                <w:lang w:bidi="ar"/>
              </w:rPr>
              <w:t xml:space="preserve"> </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②文明施工，加强施工人员教育，严禁施工人员擅自捕杀野生动物动物，降低对动物种群动态的人为干扰。</w:t>
            </w:r>
          </w:p>
          <w:p>
            <w:pPr>
              <w:pStyle w:val="21"/>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5</w:t>
            </w:r>
            <w:r>
              <w:rPr>
                <w:rFonts w:hint="eastAsia" w:ascii="Times New Roman" w:hAnsi="Times New Roman" w:cs="宋体"/>
                <w:b/>
                <w:bCs/>
                <w:color w:val="auto"/>
                <w:kern w:val="2"/>
                <w:highlight w:val="none"/>
                <w:lang w:bidi="ar"/>
              </w:rPr>
              <w:t>）景观保护措施</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①施工工地尽量封闭，进行文明施工，施工场地材料集中堆放，减少由杂乱的施工场地引起的视觉冲击。</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w:t>
            </w:r>
            <w:r>
              <w:rPr>
                <w:rFonts w:hint="eastAsia" w:ascii="Times New Roman" w:hAnsi="Times New Roman"/>
                <w:color w:val="auto"/>
                <w:kern w:val="2"/>
                <w:highlight w:val="none"/>
                <w:lang w:bidi="ar"/>
              </w:rPr>
              <w:t>施工完成后</w:t>
            </w:r>
            <w:r>
              <w:rPr>
                <w:rFonts w:hint="eastAsia" w:ascii="Times New Roman" w:hAnsi="Times New Roman" w:cs="宋体"/>
                <w:color w:val="auto"/>
                <w:kern w:val="2"/>
                <w:highlight w:val="none"/>
                <w:lang w:bidi="ar"/>
              </w:rPr>
              <w:t>及时</w:t>
            </w:r>
            <w:r>
              <w:rPr>
                <w:rFonts w:hint="eastAsia" w:ascii="Times New Roman" w:hAnsi="Times New Roman"/>
                <w:color w:val="auto"/>
                <w:kern w:val="2"/>
                <w:highlight w:val="none"/>
                <w:lang w:bidi="ar"/>
              </w:rPr>
              <w:t>进行生态修复。</w:t>
            </w:r>
          </w:p>
          <w:bookmarkEnd w:id="9"/>
          <w:bookmarkEnd w:id="10"/>
          <w:bookmarkEnd w:id="11"/>
          <w:p>
            <w:pPr>
              <w:adjustRightInd w:val="0"/>
              <w:snapToGrid w:val="0"/>
              <w:spacing w:line="360" w:lineRule="auto"/>
              <w:ind w:firstLine="482" w:firstLineChars="200"/>
              <w:rPr>
                <w:b/>
                <w:bCs/>
                <w:color w:val="auto"/>
                <w:kern w:val="0"/>
                <w:sz w:val="24"/>
                <w:szCs w:val="20"/>
                <w:highlight w:val="none"/>
              </w:rPr>
            </w:pPr>
            <w:bookmarkStart w:id="12" w:name="_Toc433705090"/>
            <w:bookmarkStart w:id="13" w:name="_Toc433699503"/>
            <w:bookmarkStart w:id="14" w:name="_Toc433704857"/>
            <w:r>
              <w:rPr>
                <w:b/>
                <w:bCs/>
                <w:color w:val="auto"/>
                <w:kern w:val="0"/>
                <w:sz w:val="24"/>
                <w:szCs w:val="20"/>
                <w:highlight w:val="none"/>
              </w:rPr>
              <w:t>（</w:t>
            </w:r>
            <w:r>
              <w:rPr>
                <w:rFonts w:hint="eastAsia"/>
                <w:b/>
                <w:bCs/>
                <w:color w:val="auto"/>
                <w:kern w:val="0"/>
                <w:sz w:val="24"/>
                <w:szCs w:val="20"/>
                <w:highlight w:val="none"/>
              </w:rPr>
              <w:t>6</w:t>
            </w:r>
            <w:r>
              <w:rPr>
                <w:b/>
                <w:bCs/>
                <w:color w:val="auto"/>
                <w:kern w:val="0"/>
                <w:sz w:val="24"/>
                <w:szCs w:val="20"/>
                <w:highlight w:val="none"/>
              </w:rPr>
              <w:t>）水土流失防治措施</w:t>
            </w:r>
            <w:bookmarkEnd w:id="12"/>
            <w:bookmarkEnd w:id="13"/>
            <w:bookmarkEnd w:id="14"/>
          </w:p>
          <w:p>
            <w:pPr>
              <w:adjustRightInd w:val="0"/>
              <w:snapToGrid w:val="0"/>
              <w:spacing w:line="360" w:lineRule="auto"/>
              <w:ind w:firstLine="480" w:firstLineChars="200"/>
              <w:rPr>
                <w:color w:val="auto"/>
                <w:sz w:val="24"/>
                <w:szCs w:val="20"/>
                <w:highlight w:val="none"/>
              </w:rPr>
            </w:pPr>
            <w:bookmarkStart w:id="15" w:name="_Toc296248358"/>
            <w:bookmarkEnd w:id="15"/>
            <w:bookmarkStart w:id="16" w:name="_Toc296248356"/>
            <w:bookmarkEnd w:id="16"/>
            <w:r>
              <w:rPr>
                <w:rFonts w:hint="eastAsia"/>
                <w:color w:val="auto"/>
                <w:sz w:val="24"/>
                <w:highlight w:val="none"/>
                <w:lang w:bidi="ar"/>
              </w:rPr>
              <w:t>根据本项目初步设计报告，本项目水土流失防治措施设计内容如下：</w:t>
            </w:r>
          </w:p>
          <w:p>
            <w:pPr>
              <w:adjustRightInd w:val="0"/>
              <w:snapToGrid w:val="0"/>
              <w:spacing w:line="360" w:lineRule="auto"/>
              <w:ind w:firstLine="482" w:firstLineChars="200"/>
              <w:rPr>
                <w:b/>
                <w:color w:val="auto"/>
                <w:sz w:val="24"/>
                <w:highlight w:val="none"/>
              </w:rPr>
            </w:pPr>
            <w:bookmarkStart w:id="17" w:name="_Toc453059234"/>
            <w:bookmarkStart w:id="18" w:name="_Toc487474124"/>
            <w:r>
              <w:rPr>
                <w:rFonts w:hint="eastAsia" w:ascii="宋体" w:hAnsi="宋体" w:cs="宋体"/>
                <w:b/>
                <w:color w:val="auto"/>
                <w:sz w:val="24"/>
                <w:highlight w:val="none"/>
              </w:rPr>
              <w:t>①坝坡防护</w:t>
            </w:r>
            <w:bookmarkEnd w:id="17"/>
            <w:bookmarkEnd w:id="18"/>
          </w:p>
          <w:p>
            <w:pPr>
              <w:adjustRightInd w:val="0"/>
              <w:snapToGrid w:val="0"/>
              <w:spacing w:line="360" w:lineRule="auto"/>
              <w:ind w:firstLine="480" w:firstLineChars="200"/>
              <w:rPr>
                <w:color w:val="auto"/>
                <w:sz w:val="24"/>
                <w:szCs w:val="20"/>
                <w:highlight w:val="none"/>
              </w:rPr>
            </w:pPr>
            <w:r>
              <w:rPr>
                <w:color w:val="auto"/>
                <w:sz w:val="24"/>
                <w:szCs w:val="20"/>
                <w:highlight w:val="none"/>
              </w:rPr>
              <w:t>土坝前后坝坡及邻近两岸岸坡采用以种植当地较易生长的柠条为主进行防护处理，选择树种为柠条、草种为红豆草。后坡种植柠条折合约16.64亩，种苗量为170株／亩</w:t>
            </w:r>
            <w:r>
              <w:rPr>
                <w:rFonts w:hint="eastAsia"/>
                <w:color w:val="auto"/>
                <w:sz w:val="24"/>
                <w:szCs w:val="20"/>
                <w:highlight w:val="none"/>
              </w:rPr>
              <w:t>，</w:t>
            </w:r>
            <w:r>
              <w:rPr>
                <w:color w:val="auto"/>
                <w:sz w:val="24"/>
                <w:szCs w:val="20"/>
                <w:highlight w:val="none"/>
              </w:rPr>
              <w:t>共2830株。种植时按照穴状整地种植，株距1.0m，行距2.0m。同时撒播红豆草，每亩4kg，共计60kg。</w:t>
            </w:r>
          </w:p>
          <w:p>
            <w:pPr>
              <w:adjustRightInd w:val="0"/>
              <w:snapToGrid w:val="0"/>
              <w:spacing w:line="360" w:lineRule="auto"/>
              <w:ind w:firstLine="482" w:firstLineChars="200"/>
              <w:rPr>
                <w:b/>
                <w:color w:val="auto"/>
                <w:sz w:val="24"/>
                <w:highlight w:val="none"/>
              </w:rPr>
            </w:pPr>
            <w:bookmarkStart w:id="19" w:name="_Toc487474125"/>
            <w:bookmarkStart w:id="20" w:name="_Toc453059235"/>
            <w:r>
              <w:rPr>
                <w:rFonts w:hint="eastAsia" w:ascii="宋体" w:hAnsi="宋体" w:cs="宋体"/>
                <w:b/>
                <w:color w:val="auto"/>
                <w:sz w:val="24"/>
                <w:highlight w:val="none"/>
              </w:rPr>
              <w:t>②</w:t>
            </w:r>
            <w:bookmarkEnd w:id="19"/>
            <w:bookmarkEnd w:id="20"/>
            <w:r>
              <w:rPr>
                <w:rFonts w:hint="eastAsia"/>
                <w:b/>
                <w:color w:val="auto"/>
                <w:sz w:val="24"/>
                <w:highlight w:val="none"/>
              </w:rPr>
              <w:t>道路工程防护</w:t>
            </w:r>
          </w:p>
          <w:p>
            <w:pPr>
              <w:adjustRightInd w:val="0"/>
              <w:snapToGrid w:val="0"/>
              <w:spacing w:line="360" w:lineRule="auto"/>
              <w:ind w:firstLine="480" w:firstLineChars="200"/>
              <w:rPr>
                <w:color w:val="auto"/>
                <w:sz w:val="28"/>
                <w:szCs w:val="20"/>
                <w:highlight w:val="none"/>
              </w:rPr>
            </w:pPr>
            <w:r>
              <w:rPr>
                <w:color w:val="auto"/>
                <w:sz w:val="24"/>
                <w:szCs w:val="20"/>
                <w:highlight w:val="none"/>
              </w:rPr>
              <w:t>在永久道路高边坡开挖段靠内侧设排水沟，坡顶设截引沟，以便排水减少水土流失。排水沟总长1.2km，排水沟多余的挖方就地摊平绿化利用，不产生弃方，排水沟、截引沟均为U型渠道。</w:t>
            </w:r>
          </w:p>
          <w:p>
            <w:pPr>
              <w:adjustRightInd w:val="0"/>
              <w:snapToGrid w:val="0"/>
              <w:spacing w:line="360" w:lineRule="auto"/>
              <w:ind w:firstLine="482" w:firstLineChars="200"/>
              <w:rPr>
                <w:b/>
                <w:bCs/>
                <w:color w:val="auto"/>
                <w:sz w:val="24"/>
                <w:szCs w:val="20"/>
                <w:highlight w:val="none"/>
              </w:rPr>
            </w:pPr>
            <w:r>
              <w:rPr>
                <w:rFonts w:hint="eastAsia"/>
                <w:b/>
                <w:bCs/>
                <w:color w:val="auto"/>
                <w:sz w:val="24"/>
                <w:szCs w:val="20"/>
                <w:highlight w:val="none"/>
              </w:rPr>
              <w:t>③施工生产生活区防护</w:t>
            </w:r>
          </w:p>
          <w:p>
            <w:pPr>
              <w:spacing w:line="360" w:lineRule="auto"/>
              <w:ind w:firstLine="480"/>
              <w:rPr>
                <w:color w:val="auto"/>
                <w:sz w:val="24"/>
                <w:highlight w:val="none"/>
              </w:rPr>
            </w:pPr>
            <w:r>
              <w:rPr>
                <w:color w:val="auto"/>
                <w:sz w:val="24"/>
                <w:highlight w:val="none"/>
              </w:rPr>
              <w:t>包括取土场、材料堆放、钢筋木材加工场、砼拌合站、机械设备停放及维修场地等。</w:t>
            </w:r>
          </w:p>
          <w:p>
            <w:pPr>
              <w:spacing w:line="360" w:lineRule="auto"/>
              <w:ind w:firstLine="480"/>
              <w:rPr>
                <w:color w:val="auto"/>
                <w:sz w:val="24"/>
                <w:highlight w:val="none"/>
              </w:rPr>
            </w:pPr>
            <w:bookmarkStart w:id="21" w:name="_Toc491161211"/>
            <w:bookmarkStart w:id="22" w:name="_Toc448733915"/>
            <w:r>
              <w:rPr>
                <w:rFonts w:hint="eastAsia"/>
                <w:color w:val="auto"/>
                <w:sz w:val="24"/>
                <w:highlight w:val="none"/>
              </w:rPr>
              <w:t>a.</w:t>
            </w:r>
            <w:r>
              <w:rPr>
                <w:color w:val="auto"/>
                <w:sz w:val="24"/>
                <w:highlight w:val="none"/>
              </w:rPr>
              <w:t>植物措施</w:t>
            </w:r>
            <w:bookmarkEnd w:id="21"/>
            <w:bookmarkEnd w:id="22"/>
          </w:p>
          <w:p>
            <w:pPr>
              <w:spacing w:line="360" w:lineRule="auto"/>
              <w:ind w:firstLine="480"/>
              <w:rPr>
                <w:color w:val="auto"/>
                <w:sz w:val="24"/>
                <w:highlight w:val="none"/>
              </w:rPr>
            </w:pPr>
            <w:r>
              <w:rPr>
                <w:color w:val="auto"/>
                <w:sz w:val="24"/>
                <w:highlight w:val="none"/>
              </w:rPr>
              <w:t>工程结束后进行土地整治，占用的草地全部进行撒播草籽绿化，草籽选择铁杆蒿，撒播密度80kg/hm</w:t>
            </w:r>
            <w:r>
              <w:rPr>
                <w:color w:val="auto"/>
                <w:sz w:val="24"/>
                <w:highlight w:val="none"/>
                <w:vertAlign w:val="superscript"/>
              </w:rPr>
              <w:t>2</w:t>
            </w:r>
            <w:r>
              <w:rPr>
                <w:color w:val="auto"/>
                <w:sz w:val="24"/>
                <w:highlight w:val="none"/>
              </w:rPr>
              <w:t>。</w:t>
            </w:r>
          </w:p>
          <w:p>
            <w:pPr>
              <w:spacing w:line="360" w:lineRule="auto"/>
              <w:ind w:firstLine="480"/>
              <w:rPr>
                <w:color w:val="auto"/>
                <w:sz w:val="24"/>
                <w:highlight w:val="none"/>
              </w:rPr>
            </w:pPr>
            <w:bookmarkStart w:id="23" w:name="_Toc491161212"/>
            <w:bookmarkStart w:id="24" w:name="_Toc448733916"/>
            <w:r>
              <w:rPr>
                <w:rFonts w:hint="eastAsia"/>
                <w:color w:val="auto"/>
                <w:sz w:val="24"/>
                <w:highlight w:val="none"/>
              </w:rPr>
              <w:t>b.</w:t>
            </w:r>
            <w:r>
              <w:rPr>
                <w:color w:val="auto"/>
                <w:sz w:val="24"/>
                <w:highlight w:val="none"/>
              </w:rPr>
              <w:t>临时措施</w:t>
            </w:r>
            <w:bookmarkEnd w:id="23"/>
            <w:bookmarkEnd w:id="24"/>
          </w:p>
          <w:p>
            <w:pPr>
              <w:spacing w:line="360" w:lineRule="auto"/>
              <w:ind w:firstLine="480"/>
              <w:rPr>
                <w:color w:val="auto"/>
                <w:sz w:val="24"/>
                <w:highlight w:val="none"/>
              </w:rPr>
            </w:pPr>
            <w:r>
              <w:rPr>
                <w:color w:val="auto"/>
                <w:sz w:val="24"/>
                <w:highlight w:val="none"/>
              </w:rPr>
              <w:t>根据施工生产区规模、使用时间、周边根据地形及季节挖临时排水沟，排水沟规格同施工临时道路，要求沟面拍实修光，排水沟多余的挖方就地摊平利用，不产生弃方，排水沟长约300m。</w:t>
            </w:r>
          </w:p>
          <w:p>
            <w:pPr>
              <w:keepNext w:val="0"/>
              <w:keepLines w:val="0"/>
              <w:pageBreakBefore w:val="0"/>
              <w:widowControl w:val="0"/>
              <w:kinsoku/>
              <w:wordWrap/>
              <w:overflowPunct/>
              <w:topLinePunct w:val="0"/>
              <w:bidi w:val="0"/>
              <w:adjustRightInd/>
              <w:snapToGrid/>
              <w:spacing w:line="360" w:lineRule="auto"/>
              <w:ind w:firstLine="480"/>
              <w:textAlignment w:val="auto"/>
              <w:rPr>
                <w:rFonts w:hint="default" w:ascii="Times New Roman" w:hAnsi="Times New Roman" w:eastAsia="宋体" w:cs="Times New Roman"/>
                <w:color w:val="auto"/>
                <w:sz w:val="24"/>
                <w:szCs w:val="20"/>
                <w:highlight w:val="none"/>
                <w:lang w:val="en-US" w:eastAsia="zh-CN"/>
              </w:rPr>
            </w:pPr>
            <w:r>
              <w:rPr>
                <w:rFonts w:hint="default" w:ascii="Times New Roman" w:hAnsi="Times New Roman" w:eastAsia="宋体" w:cs="Times New Roman"/>
                <w:color w:val="auto"/>
                <w:sz w:val="24"/>
                <w:szCs w:val="20"/>
                <w:highlight w:val="none"/>
                <w:lang w:eastAsia="zh-CN"/>
              </w:rPr>
              <w:t>（</w:t>
            </w:r>
            <w:r>
              <w:rPr>
                <w:rFonts w:hint="default" w:ascii="Times New Roman" w:hAnsi="Times New Roman" w:eastAsia="宋体" w:cs="Times New Roman"/>
                <w:color w:val="auto"/>
                <w:sz w:val="24"/>
                <w:szCs w:val="20"/>
                <w:highlight w:val="none"/>
                <w:lang w:val="en-US" w:eastAsia="zh-CN"/>
              </w:rPr>
              <w:t>7）措施可行性和效果可达性</w:t>
            </w:r>
          </w:p>
          <w:p>
            <w:pPr>
              <w:keepNext w:val="0"/>
              <w:keepLines w:val="0"/>
              <w:pageBreakBefore w:val="0"/>
              <w:widowControl w:val="0"/>
              <w:kinsoku/>
              <w:wordWrap/>
              <w:overflowPunct/>
              <w:topLinePunct w:val="0"/>
              <w:bidi w:val="0"/>
              <w:adjustRightInd/>
              <w:snapToGrid/>
              <w:spacing w:line="360" w:lineRule="auto"/>
              <w:ind w:firstLine="480"/>
              <w:textAlignment w:val="auto"/>
              <w:rPr>
                <w:rFonts w:hint="default" w:ascii="Times New Roman" w:hAnsi="Times New Roman" w:eastAsia="宋体" w:cs="Times New Roman"/>
                <w:color w:val="auto"/>
                <w:sz w:val="24"/>
                <w:szCs w:val="20"/>
                <w:highlight w:val="none"/>
                <w:lang w:val="en-US" w:eastAsia="zh-CN"/>
              </w:rPr>
            </w:pPr>
            <w:r>
              <w:rPr>
                <w:rFonts w:hint="default" w:ascii="Times New Roman" w:hAnsi="Times New Roman" w:eastAsia="宋体" w:cs="Times New Roman"/>
                <w:color w:val="auto"/>
                <w:sz w:val="24"/>
                <w:szCs w:val="20"/>
                <w:highlight w:val="none"/>
                <w:lang w:val="en-US" w:eastAsia="zh-CN"/>
              </w:rPr>
              <w:t>本项目生态保护和恢复措施，均为成熟、便于实施的</w:t>
            </w:r>
            <w:r>
              <w:rPr>
                <w:rFonts w:hint="default" w:ascii="Times New Roman" w:hAnsi="Times New Roman" w:cs="Times New Roman"/>
                <w:color w:val="auto"/>
                <w:sz w:val="24"/>
                <w:szCs w:val="20"/>
                <w:highlight w:val="none"/>
                <w:lang w:val="en-US" w:eastAsia="zh-CN"/>
              </w:rPr>
              <w:t>措施，可纳入工程管理，在工程建设过程中予以落实。</w:t>
            </w:r>
          </w:p>
          <w:p>
            <w:pPr>
              <w:keepNext w:val="0"/>
              <w:keepLines w:val="0"/>
              <w:pageBreakBefore w:val="0"/>
              <w:widowControl w:val="0"/>
              <w:kinsoku/>
              <w:wordWrap/>
              <w:overflowPunct/>
              <w:topLinePunct w:val="0"/>
              <w:bidi w:val="0"/>
              <w:adjustRightInd/>
              <w:snapToGrid/>
              <w:spacing w:line="360" w:lineRule="auto"/>
              <w:ind w:firstLine="480"/>
              <w:textAlignment w:val="auto"/>
              <w:rPr>
                <w:rFonts w:hint="default" w:ascii="Times New Roman" w:hAnsi="Times New Roman" w:eastAsia="宋体" w:cs="Times New Roman"/>
                <w:color w:val="auto"/>
                <w:sz w:val="24"/>
                <w:szCs w:val="20"/>
                <w:highlight w:val="none"/>
                <w:lang w:val="en-US" w:eastAsia="zh-CN"/>
              </w:rPr>
            </w:pPr>
            <w:r>
              <w:rPr>
                <w:rFonts w:hint="default" w:ascii="Times New Roman" w:hAnsi="Times New Roman" w:eastAsia="宋体" w:cs="Times New Roman"/>
                <w:color w:val="auto"/>
                <w:sz w:val="24"/>
                <w:szCs w:val="20"/>
                <w:highlight w:val="none"/>
                <w:lang w:val="en-US" w:eastAsia="zh-CN"/>
              </w:rPr>
              <w:t>本项目生态保护和恢复措施，是针对施工期施工行为和对环境的影响途径提出的，</w:t>
            </w:r>
            <w:r>
              <w:rPr>
                <w:rFonts w:hint="default" w:ascii="Times New Roman" w:hAnsi="Times New Roman" w:cs="Times New Roman"/>
                <w:color w:val="auto"/>
                <w:sz w:val="24"/>
                <w:szCs w:val="20"/>
                <w:highlight w:val="none"/>
                <w:lang w:val="en-US" w:eastAsia="zh-CN"/>
              </w:rPr>
              <w:t>可最大限度地降低项目施工对植被、动物、水土保持等生态环境的影响，以上措施实施后，项目区域生态环境将得到逐步恢复，对生态环境影响较小。</w:t>
            </w:r>
          </w:p>
          <w:p>
            <w:pPr>
              <w:spacing w:line="360" w:lineRule="auto"/>
              <w:ind w:firstLine="480"/>
              <w:rPr>
                <w:color w:val="auto"/>
                <w:highlight w:val="none"/>
              </w:rPr>
            </w:pPr>
            <w:r>
              <w:rPr>
                <w:rFonts w:hint="default" w:ascii="Times New Roman" w:hAnsi="Times New Roman" w:eastAsia="宋体" w:cs="Times New Roman"/>
                <w:color w:val="auto"/>
                <w:sz w:val="24"/>
                <w:szCs w:val="20"/>
                <w:highlight w:val="none"/>
                <w:lang w:val="en-US" w:eastAsia="zh-CN"/>
              </w:rPr>
              <w:t>主要生态环境保护措施设计图</w:t>
            </w:r>
            <w:r>
              <w:rPr>
                <w:rFonts w:hint="default" w:ascii="Times New Roman" w:hAnsi="Times New Roman" w:cs="Times New Roman"/>
                <w:color w:val="auto"/>
                <w:sz w:val="24"/>
                <w:szCs w:val="20"/>
                <w:highlight w:val="none"/>
                <w:lang w:val="en-US" w:eastAsia="zh-CN"/>
              </w:rPr>
              <w:t>见附图13。</w:t>
            </w:r>
          </w:p>
          <w:p>
            <w:pPr>
              <w:pStyle w:val="14"/>
              <w:spacing w:after="0" w:line="360" w:lineRule="auto"/>
              <w:ind w:left="0" w:leftChars="0" w:firstLine="482" w:firstLineChars="200"/>
              <w:rPr>
                <w:b/>
                <w:bCs/>
                <w:color w:val="auto"/>
                <w:sz w:val="24"/>
                <w:highlight w:val="none"/>
              </w:rPr>
            </w:pPr>
            <w:r>
              <w:rPr>
                <w:rFonts w:hint="eastAsia"/>
                <w:b/>
                <w:bCs/>
                <w:color w:val="auto"/>
                <w:sz w:val="24"/>
                <w:highlight w:val="none"/>
              </w:rPr>
              <w:t>2、水环境保护措施</w:t>
            </w:r>
          </w:p>
          <w:p>
            <w:pPr>
              <w:spacing w:line="360" w:lineRule="auto"/>
              <w:ind w:firstLine="480" w:firstLineChars="200"/>
              <w:rPr>
                <w:color w:val="auto"/>
                <w:sz w:val="24"/>
                <w:highlight w:val="none"/>
              </w:rPr>
            </w:pPr>
            <w:r>
              <w:rPr>
                <w:rFonts w:hint="eastAsia"/>
                <w:color w:val="auto"/>
                <w:sz w:val="24"/>
                <w:highlight w:val="none"/>
              </w:rPr>
              <w:t>①施工生产废水</w:t>
            </w:r>
          </w:p>
          <w:p>
            <w:pPr>
              <w:spacing w:line="360" w:lineRule="auto"/>
              <w:ind w:firstLine="480" w:firstLineChars="200"/>
              <w:rPr>
                <w:color w:val="auto"/>
                <w:sz w:val="24"/>
                <w:highlight w:val="none"/>
              </w:rPr>
            </w:pPr>
            <w:r>
              <w:rPr>
                <w:rFonts w:hint="eastAsia"/>
                <w:color w:val="auto"/>
                <w:sz w:val="24"/>
                <w:highlight w:val="none"/>
              </w:rPr>
              <w:t>本项目施工期生产用水主要用于养护和施工机械及运输车辆冲洗等，施工废水主要是在上述施工过程中产生的含有泥浆或砂石的工程废水，该部分废水中主要污染物为SS，不含其他有毒有害物质。环评要求建设单位应采用沉淀池对施工废水进行收集，通过沉淀池澄清处理后，进行重复利用，剩余部分可用于施工场地、道路洒水降尘、以及周边绿化，达到节约用水的目的。</w:t>
            </w:r>
          </w:p>
          <w:p>
            <w:pPr>
              <w:spacing w:line="360" w:lineRule="auto"/>
              <w:ind w:firstLine="480" w:firstLineChars="200"/>
              <w:rPr>
                <w:color w:val="auto"/>
                <w:sz w:val="24"/>
                <w:highlight w:val="none"/>
              </w:rPr>
            </w:pPr>
            <w:r>
              <w:rPr>
                <w:rFonts w:hint="eastAsia"/>
                <w:color w:val="auto"/>
                <w:sz w:val="24"/>
                <w:highlight w:val="none"/>
              </w:rPr>
              <w:t>②施工生活废水</w:t>
            </w:r>
          </w:p>
          <w:p>
            <w:pPr>
              <w:spacing w:line="360" w:lineRule="auto"/>
              <w:ind w:firstLine="480" w:firstLineChars="200"/>
              <w:rPr>
                <w:color w:val="auto"/>
                <w:sz w:val="24"/>
                <w:highlight w:val="none"/>
              </w:rPr>
            </w:pPr>
            <w:r>
              <w:rPr>
                <w:rFonts w:hint="eastAsia"/>
                <w:color w:val="auto"/>
                <w:sz w:val="24"/>
                <w:highlight w:val="none"/>
              </w:rPr>
              <w:t>施工人员租住附近村庄民房，生活盥洗水用于施工场地、道路洒水降尘。</w:t>
            </w:r>
          </w:p>
          <w:p>
            <w:pPr>
              <w:spacing w:line="360" w:lineRule="auto"/>
              <w:ind w:firstLine="480" w:firstLineChars="200"/>
              <w:rPr>
                <w:color w:val="auto"/>
                <w:sz w:val="24"/>
                <w:highlight w:val="none"/>
              </w:rPr>
            </w:pPr>
            <w:r>
              <w:rPr>
                <w:rFonts w:hint="eastAsia" w:cs="宋体"/>
                <w:color w:val="auto"/>
                <w:sz w:val="24"/>
                <w:highlight w:val="none"/>
                <w:lang w:bidi="ar"/>
              </w:rPr>
              <w:t>对施工期间的生产废水、生活污水等严格监管，采取集中收集、回收利用，固体废弃物弃于指定地点，禁止排入苦水沟中，临时堆土应远离水体。</w:t>
            </w:r>
          </w:p>
          <w:p>
            <w:pPr>
              <w:pStyle w:val="23"/>
              <w:spacing w:before="0" w:after="0" w:line="360" w:lineRule="auto"/>
              <w:ind w:right="0" w:firstLine="482" w:firstLineChars="200"/>
              <w:jc w:val="left"/>
              <w:rPr>
                <w:rFonts w:ascii="Times New Roman" w:hAnsi="Times New Roman"/>
                <w:b/>
                <w:bCs/>
                <w:color w:val="auto"/>
                <w:sz w:val="24"/>
                <w:highlight w:val="none"/>
              </w:rPr>
            </w:pPr>
            <w:r>
              <w:rPr>
                <w:rFonts w:hint="eastAsia" w:ascii="Times New Roman" w:hAnsi="Times New Roman"/>
                <w:b/>
                <w:bCs/>
                <w:color w:val="auto"/>
                <w:sz w:val="24"/>
                <w:highlight w:val="none"/>
              </w:rPr>
              <w:t>3、大气环境保护措施</w:t>
            </w:r>
          </w:p>
          <w:p>
            <w:pPr>
              <w:spacing w:line="360" w:lineRule="auto"/>
              <w:ind w:firstLine="480" w:firstLineChars="200"/>
              <w:rPr>
                <w:color w:val="auto"/>
                <w:sz w:val="24"/>
                <w:highlight w:val="none"/>
              </w:rPr>
            </w:pPr>
            <w:r>
              <w:rPr>
                <w:rFonts w:hint="eastAsia" w:cs="宋体"/>
                <w:color w:val="auto"/>
                <w:sz w:val="24"/>
                <w:highlight w:val="none"/>
                <w:lang w:bidi="ar"/>
              </w:rPr>
              <w:t>为了进一步减少施工扬尘对大气环境的影响，施工期应采取以下扬尘污染防治措施：</w:t>
            </w:r>
            <w:r>
              <w:rPr>
                <w:color w:val="auto"/>
                <w:sz w:val="24"/>
                <w:highlight w:val="none"/>
                <w:lang w:bidi="ar"/>
              </w:rPr>
              <w:t xml:space="preserve"> </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①施工标志牌的规格和内容：施工期间，施工单位应根据《建设工程施工现场管理规定》的规定设置现场平面布置图、工程概况牌、安全生产牌、消防</w:t>
            </w:r>
            <w:r>
              <w:rPr>
                <w:rFonts w:ascii="Times New Roman" w:hAnsi="Times New Roman"/>
                <w:color w:val="auto"/>
                <w:kern w:val="2"/>
                <w:highlight w:val="none"/>
                <w:lang w:bidi="ar"/>
              </w:rPr>
              <w:t xml:space="preserve"> </w:t>
            </w:r>
            <w:r>
              <w:rPr>
                <w:rFonts w:hint="eastAsia" w:ascii="Times New Roman" w:hAnsi="Times New Roman" w:cs="宋体"/>
                <w:color w:val="auto"/>
                <w:kern w:val="2"/>
                <w:highlight w:val="none"/>
                <w:lang w:bidi="ar"/>
              </w:rPr>
              <w:t>保卫牌、文明施工牌、环境保护牌、管理人员名单及监督电话牌等。</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w:t>
            </w:r>
            <w:r>
              <w:rPr>
                <w:rFonts w:hint="eastAsia" w:cs="宋体"/>
                <w:color w:val="auto"/>
                <w:kern w:val="0"/>
                <w:sz w:val="24"/>
                <w:highlight w:val="none"/>
                <w:lang w:bidi="ar"/>
              </w:rPr>
              <w:t>为减少施工期扬尘对环境的影响，对施工场地适时洒水。</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③</w:t>
            </w:r>
            <w:r>
              <w:rPr>
                <w:rFonts w:hint="eastAsia" w:cs="宋体"/>
                <w:color w:val="auto"/>
                <w:kern w:val="0"/>
                <w:sz w:val="24"/>
                <w:highlight w:val="none"/>
                <w:lang w:bidi="ar"/>
              </w:rPr>
              <w:t>对砂石、灰土等物料应采取密目网遮盖等防尘措施。</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④</w:t>
            </w:r>
            <w:r>
              <w:rPr>
                <w:rFonts w:hint="eastAsia" w:cs="宋体"/>
                <w:color w:val="auto"/>
                <w:kern w:val="0"/>
                <w:sz w:val="24"/>
                <w:highlight w:val="none"/>
                <w:lang w:bidi="ar"/>
              </w:rPr>
              <w:t>运输车辆在运输颗粒物料时应采取篷布苫盖措施，防止物料四处散落，污染周围环境。</w:t>
            </w:r>
          </w:p>
          <w:p>
            <w:pPr>
              <w:autoSpaceDE w:val="0"/>
              <w:autoSpaceDN w:val="0"/>
              <w:spacing w:line="360" w:lineRule="auto"/>
              <w:ind w:firstLine="480" w:firstLineChars="200"/>
              <w:jc w:val="left"/>
              <w:rPr>
                <w:rFonts w:hint="eastAsia" w:cs="宋体"/>
                <w:color w:val="auto"/>
                <w:kern w:val="0"/>
                <w:sz w:val="24"/>
                <w:szCs w:val="24"/>
                <w:highlight w:val="none"/>
                <w:lang w:bidi="ar"/>
              </w:rPr>
            </w:pPr>
            <w:r>
              <w:rPr>
                <w:rFonts w:hint="eastAsia" w:cs="宋体"/>
                <w:color w:val="auto"/>
                <w:sz w:val="24"/>
                <w:szCs w:val="24"/>
                <w:highlight w:val="none"/>
                <w:lang w:bidi="ar"/>
              </w:rPr>
              <w:t>⑤</w:t>
            </w:r>
            <w:r>
              <w:rPr>
                <w:rFonts w:hint="eastAsia" w:cs="宋体"/>
                <w:color w:val="auto"/>
                <w:kern w:val="0"/>
                <w:sz w:val="24"/>
                <w:szCs w:val="24"/>
                <w:highlight w:val="none"/>
                <w:lang w:bidi="ar"/>
              </w:rPr>
              <w:t>运输车辆驶出施工场地前必须做除泥除尘处理，严禁车轮带泥的车辆上路行驶。</w:t>
            </w:r>
          </w:p>
          <w:p>
            <w:pPr>
              <w:autoSpaceDE w:val="0"/>
              <w:autoSpaceDN w:val="0"/>
              <w:spacing w:line="360" w:lineRule="auto"/>
              <w:ind w:firstLine="480" w:firstLineChars="200"/>
              <w:jc w:val="left"/>
              <w:rPr>
                <w:color w:val="auto"/>
                <w:kern w:val="0"/>
                <w:sz w:val="24"/>
                <w:szCs w:val="24"/>
                <w:highlight w:val="none"/>
              </w:rPr>
            </w:pPr>
            <w:r>
              <w:rPr>
                <w:rFonts w:hint="eastAsia" w:cs="宋体"/>
                <w:color w:val="auto"/>
                <w:sz w:val="24"/>
                <w:szCs w:val="24"/>
                <w:highlight w:val="none"/>
                <w:lang w:bidi="ar"/>
              </w:rPr>
              <w:t>⑥</w:t>
            </w:r>
            <w:r>
              <w:rPr>
                <w:rFonts w:hint="eastAsia" w:cs="宋体"/>
                <w:color w:val="auto"/>
                <w:kern w:val="0"/>
                <w:sz w:val="24"/>
                <w:szCs w:val="24"/>
                <w:highlight w:val="none"/>
                <w:lang w:bidi="ar"/>
              </w:rPr>
              <w:t>在施工期间注意天气预报，尤其在风速大于</w:t>
            </w:r>
            <w:r>
              <w:rPr>
                <w:color w:val="auto"/>
                <w:kern w:val="0"/>
                <w:sz w:val="24"/>
                <w:szCs w:val="24"/>
                <w:highlight w:val="none"/>
                <w:lang w:bidi="ar"/>
              </w:rPr>
              <w:t>4m/s</w:t>
            </w:r>
            <w:r>
              <w:rPr>
                <w:rFonts w:hint="eastAsia" w:cs="宋体"/>
                <w:color w:val="auto"/>
                <w:kern w:val="0"/>
                <w:sz w:val="24"/>
                <w:szCs w:val="24"/>
                <w:highlight w:val="none"/>
                <w:lang w:bidi="ar"/>
              </w:rPr>
              <w:t>时停止开挖、回填土方作业，防止二次扬尘的产生。</w:t>
            </w:r>
          </w:p>
          <w:p>
            <w:pPr>
              <w:autoSpaceDE w:val="0"/>
              <w:autoSpaceDN w:val="0"/>
              <w:spacing w:line="360" w:lineRule="auto"/>
              <w:ind w:firstLine="480" w:firstLineChars="200"/>
              <w:jc w:val="left"/>
              <w:rPr>
                <w:color w:val="auto"/>
                <w:kern w:val="0"/>
                <w:sz w:val="24"/>
                <w:szCs w:val="24"/>
                <w:highlight w:val="none"/>
              </w:rPr>
            </w:pPr>
            <w:r>
              <w:rPr>
                <w:rFonts w:hint="eastAsia" w:cs="宋体"/>
                <w:color w:val="auto"/>
                <w:sz w:val="24"/>
                <w:szCs w:val="24"/>
                <w:highlight w:val="none"/>
                <w:lang w:bidi="ar"/>
              </w:rPr>
              <w:t>⑦</w:t>
            </w:r>
            <w:r>
              <w:rPr>
                <w:rFonts w:hint="eastAsia" w:ascii="Times New Roman" w:hAnsi="Times New Roman" w:cs="宋体"/>
                <w:color w:val="auto"/>
                <w:kern w:val="2"/>
                <w:sz w:val="24"/>
                <w:szCs w:val="24"/>
                <w:highlight w:val="none"/>
                <w:lang w:bidi="ar"/>
              </w:rPr>
              <w:t>施工现场禁止将包装物、可燃垃圾等固体废弃物就地焚烧。</w:t>
            </w:r>
          </w:p>
          <w:p>
            <w:pPr>
              <w:pStyle w:val="21"/>
              <w:widowControl w:val="0"/>
              <w:spacing w:before="0" w:beforeAutospacing="0" w:after="0" w:afterAutospacing="0" w:line="360" w:lineRule="auto"/>
              <w:ind w:firstLine="480" w:firstLineChars="200"/>
              <w:jc w:val="both"/>
              <w:rPr>
                <w:color w:val="auto"/>
                <w:sz w:val="24"/>
                <w:szCs w:val="24"/>
                <w:highlight w:val="none"/>
              </w:rPr>
            </w:pPr>
            <w:r>
              <w:rPr>
                <w:rFonts w:hint="eastAsia" w:ascii="Times New Roman" w:hAnsi="Times New Roman" w:cs="宋体"/>
                <w:color w:val="auto"/>
                <w:kern w:val="2"/>
                <w:sz w:val="24"/>
                <w:szCs w:val="24"/>
                <w:highlight w:val="none"/>
                <w:lang w:bidi="ar"/>
              </w:rPr>
              <w:t>⑧针对施工车辆产生的尾气，施工过程中应加强施工机械和车辆的维护保养，减少废气排放量。</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sz w:val="24"/>
                <w:szCs w:val="24"/>
                <w:highlight w:val="none"/>
                <w:lang w:bidi="ar"/>
              </w:rPr>
              <w:t>⑨</w:t>
            </w:r>
            <w:r>
              <w:rPr>
                <w:rFonts w:hint="eastAsia" w:ascii="Times New Roman" w:hAnsi="Times New Roman"/>
                <w:color w:val="auto"/>
                <w:kern w:val="2"/>
                <w:sz w:val="24"/>
                <w:szCs w:val="24"/>
                <w:highlight w:val="none"/>
                <w:lang w:bidi="ar"/>
              </w:rPr>
              <w:t>本项目施工结束后，经及时平整后进行绿化或恢复原有土地功能</w:t>
            </w:r>
            <w:r>
              <w:rPr>
                <w:rFonts w:hint="eastAsia" w:ascii="Times New Roman" w:hAnsi="Times New Roman"/>
                <w:color w:val="auto"/>
                <w:kern w:val="2"/>
                <w:highlight w:val="none"/>
                <w:lang w:bidi="ar"/>
              </w:rPr>
              <w:t>。</w:t>
            </w:r>
          </w:p>
          <w:p>
            <w:pPr>
              <w:spacing w:line="360" w:lineRule="auto"/>
              <w:ind w:firstLine="482" w:firstLineChars="200"/>
              <w:rPr>
                <w:b/>
                <w:bCs/>
                <w:color w:val="auto"/>
                <w:sz w:val="24"/>
                <w:highlight w:val="none"/>
              </w:rPr>
            </w:pPr>
            <w:r>
              <w:rPr>
                <w:rFonts w:hint="eastAsia"/>
                <w:b/>
                <w:bCs/>
                <w:color w:val="auto"/>
                <w:sz w:val="24"/>
                <w:highlight w:val="none"/>
              </w:rPr>
              <w:t>4、声环境保护措施</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为了进一步减少施工噪声对项目周围声环境影响，施工期应采取以下措施对施工噪声进行防治：</w:t>
            </w:r>
          </w:p>
          <w:p>
            <w:pPr>
              <w:spacing w:line="360" w:lineRule="auto"/>
              <w:ind w:firstLine="480" w:firstLineChars="200"/>
              <w:rPr>
                <w:rFonts w:hint="eastAsia" w:eastAsia="宋体"/>
                <w:color w:val="auto"/>
                <w:sz w:val="24"/>
                <w:highlight w:val="none"/>
                <w:lang w:val="en-US" w:eastAsia="zh-CN"/>
              </w:rPr>
            </w:pPr>
            <w:r>
              <w:rPr>
                <w:rFonts w:hint="eastAsia" w:cs="宋体"/>
                <w:color w:val="auto"/>
                <w:sz w:val="24"/>
                <w:highlight w:val="none"/>
                <w:lang w:bidi="ar"/>
              </w:rPr>
              <w:t>①施工过程中选用低噪声的施工设备，设备运行时厂界噪声应不大于</w:t>
            </w:r>
            <w:r>
              <w:rPr>
                <w:color w:val="auto"/>
                <w:sz w:val="24"/>
                <w:highlight w:val="none"/>
                <w:lang w:bidi="ar"/>
              </w:rPr>
              <w:t>70dB(A)</w:t>
            </w:r>
            <w:r>
              <w:rPr>
                <w:rFonts w:hint="eastAsia"/>
                <w:color w:val="auto"/>
                <w:sz w:val="24"/>
                <w:highlight w:val="none"/>
                <w:lang w:eastAsia="zh-CN" w:bidi="ar"/>
              </w:rPr>
              <w:t>。</w:t>
            </w:r>
          </w:p>
          <w:p>
            <w:pPr>
              <w:spacing w:line="360" w:lineRule="auto"/>
              <w:ind w:firstLine="480" w:firstLineChars="200"/>
              <w:rPr>
                <w:color w:val="auto"/>
                <w:sz w:val="24"/>
                <w:highlight w:val="none"/>
              </w:rPr>
            </w:pPr>
            <w:r>
              <w:rPr>
                <w:rFonts w:hint="eastAsia" w:cs="宋体"/>
                <w:color w:val="auto"/>
                <w:sz w:val="24"/>
                <w:highlight w:val="none"/>
                <w:lang w:bidi="ar"/>
              </w:rPr>
              <w:t>②应严格实施运输过程管理，敏感路段应限速，禁止鸣笛，物料装卸应规范操作。</w:t>
            </w:r>
          </w:p>
          <w:p>
            <w:pPr>
              <w:spacing w:line="360" w:lineRule="auto"/>
              <w:ind w:firstLine="480" w:firstLineChars="200"/>
              <w:rPr>
                <w:color w:val="auto"/>
                <w:sz w:val="24"/>
                <w:highlight w:val="none"/>
              </w:rPr>
            </w:pPr>
            <w:r>
              <w:rPr>
                <w:rFonts w:hint="eastAsia" w:cs="宋体"/>
                <w:color w:val="auto"/>
                <w:sz w:val="24"/>
                <w:highlight w:val="none"/>
                <w:lang w:bidi="ar"/>
              </w:rPr>
              <w:t>③施工单位应严格按照标准操作规程使用各类施工机械设备，并定期维护和保养，使其一直保持良好的状态，减轻因设备运行状态不佳而造成的噪声污染。</w:t>
            </w:r>
          </w:p>
          <w:p>
            <w:pPr>
              <w:spacing w:line="360" w:lineRule="auto"/>
              <w:ind w:firstLine="480" w:firstLineChars="200"/>
              <w:rPr>
                <w:color w:val="auto"/>
                <w:sz w:val="24"/>
                <w:highlight w:val="none"/>
              </w:rPr>
            </w:pPr>
            <w:r>
              <w:rPr>
                <w:rFonts w:hint="eastAsia" w:cs="宋体"/>
                <w:color w:val="auto"/>
                <w:sz w:val="24"/>
                <w:highlight w:val="none"/>
                <w:lang w:bidi="ar"/>
              </w:rPr>
              <w:t>④</w:t>
            </w:r>
            <w:r>
              <w:rPr>
                <w:rFonts w:hint="eastAsia"/>
                <w:color w:val="auto"/>
                <w:sz w:val="24"/>
                <w:highlight w:val="none"/>
                <w:lang w:bidi="ar"/>
              </w:rPr>
              <w:t>施工时应尽量避免多台施工机械同时施工，严格控制施工作业时间。</w:t>
            </w:r>
          </w:p>
          <w:p>
            <w:pPr>
              <w:spacing w:line="360" w:lineRule="auto"/>
              <w:ind w:firstLine="482" w:firstLineChars="200"/>
              <w:rPr>
                <w:b/>
                <w:bCs/>
                <w:color w:val="auto"/>
                <w:sz w:val="24"/>
                <w:highlight w:val="none"/>
              </w:rPr>
            </w:pPr>
            <w:r>
              <w:rPr>
                <w:rFonts w:hint="eastAsia"/>
                <w:b/>
                <w:bCs/>
                <w:color w:val="auto"/>
                <w:sz w:val="24"/>
                <w:highlight w:val="none"/>
              </w:rPr>
              <w:t>5、</w:t>
            </w:r>
            <w:r>
              <w:rPr>
                <w:b/>
                <w:bCs/>
                <w:color w:val="auto"/>
                <w:sz w:val="24"/>
                <w:highlight w:val="none"/>
              </w:rPr>
              <w:t>固</w:t>
            </w:r>
            <w:r>
              <w:rPr>
                <w:rFonts w:hint="eastAsia"/>
                <w:b/>
                <w:bCs/>
                <w:color w:val="auto"/>
                <w:sz w:val="24"/>
                <w:highlight w:val="none"/>
              </w:rPr>
              <w:t>体废物防治措施</w:t>
            </w:r>
          </w:p>
          <w:p>
            <w:pPr>
              <w:spacing w:line="360" w:lineRule="auto"/>
              <w:ind w:firstLine="480" w:firstLineChars="200"/>
              <w:jc w:val="left"/>
              <w:rPr>
                <w:color w:val="auto"/>
                <w:sz w:val="24"/>
                <w:highlight w:val="none"/>
              </w:rPr>
            </w:pPr>
            <w:r>
              <w:rPr>
                <w:rFonts w:hint="eastAsia"/>
                <w:bCs/>
                <w:color w:val="auto"/>
                <w:sz w:val="24"/>
                <w:highlight w:val="none"/>
                <w:lang w:bidi="ar"/>
              </w:rPr>
              <w:t>土方工程产生的废方全部用于取土场土地平整；建筑垃圾中可回收利用的回收利用，不能回收利用的运送至政府指定地点进行处置，</w:t>
            </w:r>
            <w:r>
              <w:rPr>
                <w:rFonts w:hint="eastAsia"/>
                <w:color w:val="auto"/>
                <w:sz w:val="24"/>
                <w:highlight w:val="none"/>
                <w:lang w:bidi="ar"/>
              </w:rPr>
              <w:t>不得随意倾倒，运送建筑垃圾的车辆应加盖篷布</w:t>
            </w:r>
            <w:r>
              <w:rPr>
                <w:rFonts w:hint="eastAsia"/>
                <w:bCs/>
                <w:color w:val="auto"/>
                <w:sz w:val="24"/>
                <w:highlight w:val="none"/>
                <w:lang w:bidi="ar"/>
              </w:rPr>
              <w:t>；施工人员生活垃圾按处理方式进行分类收集，定期由当地环卫部门统一清运处置。</w:t>
            </w:r>
          </w:p>
          <w:p>
            <w:pPr>
              <w:pStyle w:val="14"/>
              <w:ind w:firstLine="0"/>
              <w:rPr>
                <w:b/>
                <w:bCs/>
                <w:color w:val="auto"/>
                <w:sz w:val="24"/>
                <w:highlight w:val="none"/>
              </w:rPr>
            </w:pPr>
            <w:r>
              <w:rPr>
                <w:rFonts w:hint="eastAsia"/>
                <w:b/>
                <w:bCs/>
                <w:color w:val="auto"/>
                <w:sz w:val="24"/>
                <w:highlight w:val="none"/>
              </w:rPr>
              <w:t>6、</w:t>
            </w:r>
            <w:r>
              <w:rPr>
                <w:b/>
                <w:bCs/>
                <w:color w:val="auto"/>
                <w:sz w:val="24"/>
                <w:highlight w:val="none"/>
              </w:rPr>
              <w:t>施工期环境管理</w:t>
            </w:r>
            <w:r>
              <w:rPr>
                <w:rFonts w:hint="eastAsia"/>
                <w:b/>
                <w:bCs/>
                <w:color w:val="auto"/>
                <w:sz w:val="24"/>
                <w:highlight w:val="none"/>
              </w:rPr>
              <w:t>与监测计划</w:t>
            </w:r>
          </w:p>
          <w:p>
            <w:pPr>
              <w:spacing w:line="360" w:lineRule="auto"/>
              <w:ind w:firstLine="482" w:firstLineChars="200"/>
              <w:rPr>
                <w:b/>
                <w:bCs/>
                <w:color w:val="auto"/>
                <w:sz w:val="24"/>
                <w:highlight w:val="none"/>
              </w:rPr>
            </w:pPr>
            <w:r>
              <w:rPr>
                <w:rFonts w:hint="eastAsia"/>
                <w:b/>
                <w:bCs/>
                <w:color w:val="auto"/>
                <w:sz w:val="24"/>
                <w:highlight w:val="none"/>
              </w:rPr>
              <w:t>（1）环境管理</w:t>
            </w:r>
          </w:p>
          <w:p>
            <w:pPr>
              <w:spacing w:line="360" w:lineRule="auto"/>
              <w:ind w:firstLine="480" w:firstLineChars="200"/>
              <w:rPr>
                <w:color w:val="auto"/>
                <w:sz w:val="24"/>
                <w:highlight w:val="none"/>
              </w:rPr>
            </w:pPr>
            <w:r>
              <w:rPr>
                <w:color w:val="auto"/>
                <w:sz w:val="24"/>
                <w:highlight w:val="none"/>
              </w:rPr>
              <w:t>本项目施工期应加强对施工单位的监督管理，按照环境管理规章制度，</w:t>
            </w:r>
            <w:r>
              <w:rPr>
                <w:rFonts w:hint="eastAsia"/>
                <w:color w:val="auto"/>
                <w:sz w:val="24"/>
                <w:highlight w:val="none"/>
              </w:rPr>
              <w:t>做好施工期环境管理工作</w:t>
            </w:r>
            <w:r>
              <w:rPr>
                <w:color w:val="auto"/>
                <w:sz w:val="24"/>
                <w:highlight w:val="none"/>
              </w:rPr>
              <w:t>。</w:t>
            </w:r>
          </w:p>
          <w:p>
            <w:pPr>
              <w:spacing w:line="360" w:lineRule="auto"/>
              <w:ind w:firstLine="480" w:firstLineChars="200"/>
              <w:rPr>
                <w:color w:val="auto"/>
                <w:sz w:val="24"/>
                <w:highlight w:val="none"/>
              </w:rPr>
            </w:pPr>
            <w:r>
              <w:rPr>
                <w:rFonts w:hint="eastAsia"/>
                <w:color w:val="auto"/>
                <w:sz w:val="24"/>
                <w:highlight w:val="none"/>
              </w:rPr>
              <w:t>①建设单位应当将环境保护设施建设纳入施工招标文件、施工合同和工程招标文件、监理合同中，保证环境保护设施建设进度和资金，并在项目建设过程中同时组织实施环境保护对策措施。</w:t>
            </w:r>
          </w:p>
          <w:p>
            <w:pPr>
              <w:spacing w:line="360" w:lineRule="auto"/>
              <w:ind w:firstLine="480" w:firstLineChars="200"/>
              <w:rPr>
                <w:color w:val="auto"/>
                <w:sz w:val="24"/>
                <w:highlight w:val="none"/>
              </w:rPr>
            </w:pPr>
            <w:r>
              <w:rPr>
                <w:rFonts w:hint="eastAsia"/>
                <w:color w:val="auto"/>
                <w:sz w:val="24"/>
                <w:highlight w:val="none"/>
              </w:rPr>
              <w:t>②</w:t>
            </w:r>
            <w:r>
              <w:rPr>
                <w:color w:val="auto"/>
                <w:sz w:val="24"/>
                <w:highlight w:val="none"/>
              </w:rPr>
              <w:t>从项目设计至项目竣工结束进行全过程的</w:t>
            </w:r>
            <w:r>
              <w:rPr>
                <w:rFonts w:hint="eastAsia"/>
                <w:color w:val="auto"/>
                <w:sz w:val="24"/>
                <w:highlight w:val="none"/>
              </w:rPr>
              <w:t>管理</w:t>
            </w:r>
            <w:r>
              <w:rPr>
                <w:color w:val="auto"/>
                <w:sz w:val="24"/>
                <w:highlight w:val="none"/>
              </w:rPr>
              <w:t>。</w:t>
            </w:r>
          </w:p>
          <w:p>
            <w:pPr>
              <w:spacing w:line="360" w:lineRule="auto"/>
              <w:ind w:firstLine="480" w:firstLineChars="200"/>
              <w:rPr>
                <w:color w:val="auto"/>
                <w:sz w:val="24"/>
                <w:highlight w:val="none"/>
              </w:rPr>
            </w:pPr>
            <w:r>
              <w:rPr>
                <w:rFonts w:hint="eastAsia"/>
                <w:color w:val="auto"/>
                <w:sz w:val="24"/>
                <w:highlight w:val="none"/>
              </w:rPr>
              <w:t>③</w:t>
            </w:r>
            <w:r>
              <w:rPr>
                <w:color w:val="auto"/>
                <w:sz w:val="24"/>
                <w:highlight w:val="none"/>
              </w:rPr>
              <w:t>配置</w:t>
            </w:r>
            <w:r>
              <w:rPr>
                <w:rFonts w:hint="eastAsia"/>
                <w:color w:val="auto"/>
                <w:sz w:val="24"/>
                <w:highlight w:val="none"/>
              </w:rPr>
              <w:t>专职或兼职环保人员</w:t>
            </w:r>
            <w:r>
              <w:rPr>
                <w:color w:val="auto"/>
                <w:sz w:val="24"/>
                <w:highlight w:val="none"/>
              </w:rPr>
              <w:t>，对施工单位进行经常性检查、监督，查看施工单位落实环境保护措施的情况，发现问题及时解决、改正。</w:t>
            </w:r>
          </w:p>
          <w:p>
            <w:pPr>
              <w:spacing w:line="360" w:lineRule="auto"/>
              <w:ind w:firstLine="480" w:firstLineChars="200"/>
              <w:rPr>
                <w:color w:val="auto"/>
                <w:sz w:val="24"/>
                <w:highlight w:val="none"/>
              </w:rPr>
            </w:pPr>
            <w:r>
              <w:rPr>
                <w:rFonts w:hint="eastAsia"/>
                <w:color w:val="auto"/>
                <w:sz w:val="24"/>
                <w:highlight w:val="none"/>
              </w:rPr>
              <w:t>④</w:t>
            </w:r>
            <w:r>
              <w:rPr>
                <w:color w:val="auto"/>
                <w:sz w:val="24"/>
                <w:highlight w:val="none"/>
              </w:rPr>
              <w:t>施工期环境管理主要是监督施工单位在项目建设过程中严格遵守国家和地方相关环境保护程序、法规和标准，保证施工现场噪声、扬尘、污废水、建筑垃圾等排放能够满足排放标准要求</w:t>
            </w:r>
            <w:r>
              <w:rPr>
                <w:rFonts w:hint="eastAsia"/>
                <w:color w:val="auto"/>
                <w:sz w:val="24"/>
                <w:highlight w:val="none"/>
              </w:rPr>
              <w:t>；</w:t>
            </w:r>
            <w:r>
              <w:rPr>
                <w:color w:val="auto"/>
                <w:sz w:val="24"/>
                <w:highlight w:val="none"/>
              </w:rPr>
              <w:t>按照环评报告要求，监督设计单位是否按照已经批复的环境影响报告确定的环境工程项目内容进行设计，保证</w:t>
            </w:r>
            <w:r>
              <w:rPr>
                <w:rFonts w:hint="eastAsia"/>
                <w:color w:val="auto"/>
                <w:sz w:val="24"/>
                <w:highlight w:val="none"/>
              </w:rPr>
              <w:t>环保设施</w:t>
            </w:r>
            <w:r>
              <w:rPr>
                <w:color w:val="auto"/>
                <w:sz w:val="24"/>
                <w:highlight w:val="none"/>
              </w:rPr>
              <w:t>、建设投资等满足批复的环评报告的要求。</w:t>
            </w:r>
          </w:p>
          <w:p>
            <w:pPr>
              <w:spacing w:line="360" w:lineRule="auto"/>
              <w:ind w:firstLine="480" w:firstLineChars="200"/>
              <w:rPr>
                <w:color w:val="auto"/>
                <w:sz w:val="24"/>
                <w:highlight w:val="none"/>
              </w:rPr>
            </w:pPr>
            <w:r>
              <w:rPr>
                <w:color w:val="auto"/>
                <w:sz w:val="24"/>
                <w:highlight w:val="none"/>
              </w:rPr>
              <w:t>建设单位应派专人负责施工监督管理工作，对施工单位进行经常性的检查，监督施工单位环境保护措施的落实情况，发现环境问题及时解决、改正，确保本项</w:t>
            </w:r>
            <w:r>
              <w:rPr>
                <w:rFonts w:ascii="宋体" w:hAnsi="宋体"/>
                <w:color w:val="auto"/>
                <w:sz w:val="24"/>
                <w:highlight w:val="none"/>
              </w:rPr>
              <w:t>目“三同时”制</w:t>
            </w:r>
            <w:r>
              <w:rPr>
                <w:color w:val="auto"/>
                <w:sz w:val="24"/>
                <w:highlight w:val="none"/>
              </w:rPr>
              <w:t>度的贯彻落实。</w:t>
            </w:r>
          </w:p>
          <w:p>
            <w:pPr>
              <w:spacing w:line="360" w:lineRule="auto"/>
              <w:ind w:firstLine="480" w:firstLineChars="200"/>
              <w:rPr>
                <w:color w:val="auto"/>
                <w:sz w:val="24"/>
                <w:highlight w:val="none"/>
              </w:rPr>
            </w:pPr>
            <w:r>
              <w:rPr>
                <w:color w:val="auto"/>
                <w:sz w:val="24"/>
                <w:highlight w:val="none"/>
              </w:rPr>
              <w:t>评价制定的本项目施工期环境</w:t>
            </w:r>
            <w:r>
              <w:rPr>
                <w:rFonts w:hint="eastAsia"/>
                <w:color w:val="auto"/>
                <w:sz w:val="24"/>
                <w:highlight w:val="none"/>
              </w:rPr>
              <w:t>管理</w:t>
            </w:r>
            <w:r>
              <w:rPr>
                <w:color w:val="auto"/>
                <w:sz w:val="24"/>
                <w:highlight w:val="none"/>
              </w:rPr>
              <w:t>清单见表5-1。</w:t>
            </w:r>
          </w:p>
          <w:p>
            <w:pPr>
              <w:jc w:val="center"/>
              <w:rPr>
                <w:b/>
                <w:color w:val="auto"/>
                <w:sz w:val="24"/>
                <w:highlight w:val="none"/>
              </w:rPr>
            </w:pPr>
            <w:r>
              <w:rPr>
                <w:b/>
                <w:color w:val="auto"/>
                <w:sz w:val="24"/>
                <w:highlight w:val="none"/>
              </w:rPr>
              <w:t>表5-1    施工期环境</w:t>
            </w:r>
            <w:r>
              <w:rPr>
                <w:rFonts w:hint="eastAsia"/>
                <w:b/>
                <w:color w:val="auto"/>
                <w:sz w:val="24"/>
                <w:highlight w:val="none"/>
              </w:rPr>
              <w:t>管理要求</w:t>
            </w:r>
          </w:p>
          <w:tbl>
            <w:tblPr>
              <w:tblStyle w:val="24"/>
              <w:tblW w:w="5000" w:type="pct"/>
              <w:tblInd w:w="-1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33"/>
              <w:gridCol w:w="1230"/>
              <w:gridCol w:w="3197"/>
              <w:gridCol w:w="2946"/>
              <w:gridCol w:w="81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项目</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内容</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环境管理要求</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环境管理目标</w:t>
                  </w:r>
                </w:p>
              </w:tc>
              <w:tc>
                <w:tcPr>
                  <w:tcW w:w="462"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管理</w:t>
                  </w:r>
                </w:p>
                <w:p>
                  <w:pPr>
                    <w:adjustRightInd w:val="0"/>
                    <w:snapToGrid w:val="0"/>
                    <w:spacing w:line="240" w:lineRule="atLeast"/>
                    <w:jc w:val="center"/>
                    <w:rPr>
                      <w:color w:val="auto"/>
                      <w:szCs w:val="21"/>
                      <w:highlight w:val="none"/>
                    </w:rPr>
                  </w:pPr>
                  <w:r>
                    <w:rPr>
                      <w:color w:val="auto"/>
                      <w:szCs w:val="21"/>
                      <w:highlight w:val="none"/>
                    </w:rPr>
                    <w:t>机构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w:t>
                  </w:r>
                </w:p>
                <w:p>
                  <w:pPr>
                    <w:adjustRightInd w:val="0"/>
                    <w:snapToGrid w:val="0"/>
                    <w:spacing w:line="240" w:lineRule="atLeast"/>
                    <w:jc w:val="center"/>
                    <w:rPr>
                      <w:color w:val="auto"/>
                      <w:szCs w:val="21"/>
                      <w:highlight w:val="none"/>
                    </w:rPr>
                  </w:pPr>
                  <w:r>
                    <w:rPr>
                      <w:color w:val="auto"/>
                      <w:szCs w:val="21"/>
                      <w:highlight w:val="none"/>
                    </w:rPr>
                    <w:t>境</w:t>
                  </w:r>
                </w:p>
                <w:p>
                  <w:pPr>
                    <w:adjustRightInd w:val="0"/>
                    <w:snapToGrid w:val="0"/>
                    <w:spacing w:line="240" w:lineRule="atLeast"/>
                    <w:jc w:val="center"/>
                    <w:rPr>
                      <w:color w:val="auto"/>
                      <w:szCs w:val="21"/>
                      <w:highlight w:val="none"/>
                    </w:rPr>
                  </w:pPr>
                  <w:r>
                    <w:rPr>
                      <w:color w:val="auto"/>
                      <w:szCs w:val="21"/>
                      <w:highlight w:val="none"/>
                    </w:rPr>
                    <w:t>空</w:t>
                  </w:r>
                </w:p>
                <w:p>
                  <w:pPr>
                    <w:adjustRightInd w:val="0"/>
                    <w:snapToGrid w:val="0"/>
                    <w:spacing w:line="240" w:lineRule="atLeast"/>
                    <w:jc w:val="center"/>
                    <w:rPr>
                      <w:color w:val="auto"/>
                      <w:szCs w:val="21"/>
                      <w:highlight w:val="none"/>
                    </w:rPr>
                  </w:pPr>
                  <w:r>
                    <w:rPr>
                      <w:color w:val="auto"/>
                      <w:szCs w:val="21"/>
                      <w:highlight w:val="none"/>
                    </w:rPr>
                    <w:t>气</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施工场地</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在雨后或无风、小风时进行，减少扬尘影响；</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尽量减少原有地表植被破坏。</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遇4级以上风力天气，禁止施工；</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将植被、树木移植到施工区外。</w:t>
                  </w:r>
                </w:p>
              </w:tc>
              <w:tc>
                <w:tcPr>
                  <w:tcW w:w="462"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同心县生态环境分局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基础</w:t>
                  </w:r>
                  <w:r>
                    <w:rPr>
                      <w:color w:val="auto"/>
                      <w:szCs w:val="21"/>
                      <w:highlight w:val="none"/>
                    </w:rPr>
                    <w:t>开挖</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开挖多余土方用于</w:t>
                  </w:r>
                  <w:r>
                    <w:rPr>
                      <w:rFonts w:hint="eastAsia"/>
                      <w:color w:val="auto"/>
                      <w:szCs w:val="21"/>
                      <w:highlight w:val="none"/>
                    </w:rPr>
                    <w:t>取土场平整</w:t>
                  </w:r>
                  <w:r>
                    <w:rPr>
                      <w:color w:val="auto"/>
                      <w:szCs w:val="21"/>
                      <w:highlight w:val="none"/>
                    </w:rPr>
                    <w:t>；</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干燥天</w:t>
                  </w:r>
                  <w:r>
                    <w:rPr>
                      <w:rFonts w:hint="eastAsia"/>
                      <w:color w:val="auto"/>
                      <w:szCs w:val="21"/>
                      <w:highlight w:val="none"/>
                    </w:rPr>
                    <w:t>气</w:t>
                  </w:r>
                  <w:r>
                    <w:rPr>
                      <w:color w:val="auto"/>
                      <w:szCs w:val="21"/>
                      <w:highlight w:val="none"/>
                    </w:rPr>
                    <w:t>施工要定时洒水降尘。</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土方合理处置；</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强化环境管理，减少施工扬尘。</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运输车辆</w:t>
                  </w:r>
                </w:p>
                <w:p>
                  <w:pPr>
                    <w:adjustRightInd w:val="0"/>
                    <w:snapToGrid w:val="0"/>
                    <w:spacing w:line="240" w:lineRule="atLeast"/>
                    <w:jc w:val="center"/>
                    <w:rPr>
                      <w:color w:val="auto"/>
                      <w:szCs w:val="21"/>
                      <w:highlight w:val="none"/>
                    </w:rPr>
                  </w:pPr>
                  <w:r>
                    <w:rPr>
                      <w:color w:val="auto"/>
                      <w:szCs w:val="21"/>
                      <w:highlight w:val="none"/>
                    </w:rPr>
                    <w:t>建材运输</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水泥、石灰等运输、装卸；</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运输粉料建材车辆加盖篷布。</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水泥、石灰等要求袋装运输；</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无篷布车辆不得运输沙土、粉料。</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建材堆放</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沙、渣土、灰土等易产生扬尘的物料，必须采取覆盖等防尘措施。</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扬尘物料不得露天堆放；</w:t>
                  </w:r>
                </w:p>
                <w:p>
                  <w:pPr>
                    <w:adjustRightInd w:val="0"/>
                    <w:snapToGrid w:val="0"/>
                    <w:spacing w:line="240" w:lineRule="atLeast"/>
                    <w:jc w:val="center"/>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扬尘控制不力追究领导责任。</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施工道路</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硬化道路地面，防止扬尘。</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定时洒水灭尘。</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声</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施工噪声</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选用低噪声机械设备。</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施工场界噪声符合《建筑施工场界环境噪声排放标准》（GB12523-2011）。</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水</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施工废水</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经临时沉砂池处理后回用，不外排。</w:t>
                  </w:r>
                </w:p>
              </w:tc>
              <w:tc>
                <w:tcPr>
                  <w:tcW w:w="166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废水全部综合利用，不外排。</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生活污水</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施工人员租住附近村庄民房，生活盥洗水用于施工场地、道路洒水降尘。</w:t>
                  </w:r>
                </w:p>
              </w:tc>
              <w:tc>
                <w:tcPr>
                  <w:tcW w:w="166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固废</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建筑垃圾</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统一收集运往当地</w:t>
                  </w:r>
                  <w:r>
                    <w:rPr>
                      <w:rFonts w:hint="eastAsia"/>
                      <w:color w:val="auto"/>
                      <w:szCs w:val="21"/>
                      <w:highlight w:val="none"/>
                    </w:rPr>
                    <w:t>管理</w:t>
                  </w:r>
                  <w:r>
                    <w:rPr>
                      <w:color w:val="auto"/>
                      <w:szCs w:val="21"/>
                      <w:highlight w:val="none"/>
                    </w:rPr>
                    <w:t>部门指定地点处置。</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处置率100 %</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生活垃圾</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统一收集运往当地环保部门指定地点处置。</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处置率100 %</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生态</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地表开挖</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及时平整，植被恢复。</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完工地表裸露面植被必须平整恢复。</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建材堆放</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易引起水土流失的土方堆放点采取土工布围栏等措施。</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严格控制水土流失发生。</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环保意识</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强化环保意识。</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开展环保教育、设置环保标志。</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bl>
          <w:p>
            <w:pPr>
              <w:pStyle w:val="21"/>
              <w:widowControl w:val="0"/>
              <w:spacing w:before="0" w:beforeAutospacing="0" w:after="0" w:afterAutospacing="0" w:line="360" w:lineRule="auto"/>
              <w:ind w:firstLine="482" w:firstLineChars="200"/>
              <w:jc w:val="both"/>
              <w:rPr>
                <w:rFonts w:ascii="Times New Roman" w:hAnsi="Times New Roman" w:cs="宋体"/>
                <w:b/>
                <w:bCs/>
                <w:color w:val="auto"/>
                <w:kern w:val="2"/>
                <w:highlight w:val="none"/>
                <w:lang w:bidi="ar"/>
              </w:rPr>
            </w:pPr>
          </w:p>
          <w:p>
            <w:pPr>
              <w:spacing w:line="360" w:lineRule="auto"/>
              <w:ind w:firstLine="480" w:firstLineChars="200"/>
              <w:rPr>
                <w:color w:val="auto"/>
                <w:sz w:val="24"/>
                <w:highlight w:val="none"/>
              </w:rPr>
            </w:pPr>
            <w:r>
              <w:rPr>
                <w:color w:val="auto"/>
                <w:sz w:val="24"/>
                <w:highlight w:val="none"/>
              </w:rPr>
              <w:t>本工程</w:t>
            </w:r>
            <w:r>
              <w:rPr>
                <w:rFonts w:hint="eastAsia"/>
                <w:color w:val="auto"/>
                <w:sz w:val="24"/>
                <w:highlight w:val="none"/>
                <w:lang w:val="en-US" w:eastAsia="zh-CN"/>
              </w:rPr>
              <w:t>施工</w:t>
            </w:r>
            <w:r>
              <w:rPr>
                <w:color w:val="auto"/>
                <w:sz w:val="24"/>
                <w:highlight w:val="none"/>
              </w:rPr>
              <w:t>期环境管理计划见表</w:t>
            </w:r>
            <w:r>
              <w:rPr>
                <w:rFonts w:hint="eastAsia"/>
                <w:color w:val="auto"/>
                <w:sz w:val="24"/>
                <w:highlight w:val="none"/>
                <w:lang w:val="en-US" w:eastAsia="zh-CN"/>
              </w:rPr>
              <w:t>5</w:t>
            </w:r>
            <w:r>
              <w:rPr>
                <w:color w:val="auto"/>
                <w:sz w:val="24"/>
                <w:highlight w:val="none"/>
              </w:rPr>
              <w:t>-2。</w:t>
            </w:r>
          </w:p>
          <w:p>
            <w:pPr>
              <w:jc w:val="center"/>
              <w:rPr>
                <w:b/>
                <w:color w:val="auto"/>
                <w:sz w:val="24"/>
                <w:highlight w:val="none"/>
              </w:rPr>
            </w:pPr>
            <w:r>
              <w:rPr>
                <w:b/>
                <w:color w:val="auto"/>
                <w:sz w:val="24"/>
                <w:highlight w:val="none"/>
              </w:rPr>
              <w:t>表</w:t>
            </w:r>
            <w:r>
              <w:rPr>
                <w:rFonts w:hint="eastAsia"/>
                <w:b/>
                <w:color w:val="auto"/>
                <w:sz w:val="24"/>
                <w:highlight w:val="none"/>
                <w:lang w:val="en-US" w:eastAsia="zh-CN"/>
              </w:rPr>
              <w:t>5</w:t>
            </w:r>
            <w:r>
              <w:rPr>
                <w:b/>
                <w:color w:val="auto"/>
                <w:sz w:val="24"/>
                <w:highlight w:val="none"/>
              </w:rPr>
              <w:t xml:space="preserve">-2  </w:t>
            </w:r>
            <w:r>
              <w:rPr>
                <w:rFonts w:hint="eastAsia"/>
                <w:b/>
                <w:color w:val="auto"/>
                <w:sz w:val="24"/>
                <w:highlight w:val="none"/>
                <w:lang w:val="en-US" w:eastAsia="zh-CN"/>
              </w:rPr>
              <w:t>施工</w:t>
            </w:r>
            <w:r>
              <w:rPr>
                <w:b/>
                <w:color w:val="auto"/>
                <w:sz w:val="24"/>
                <w:highlight w:val="none"/>
              </w:rPr>
              <w:t>期环境管理计划表</w:t>
            </w:r>
          </w:p>
          <w:tbl>
            <w:tblPr>
              <w:tblStyle w:val="24"/>
              <w:tblW w:w="882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13"/>
              <w:gridCol w:w="3300"/>
              <w:gridCol w:w="1260"/>
              <w:gridCol w:w="858"/>
              <w:gridCol w:w="785"/>
              <w:gridCol w:w="940"/>
              <w:gridCol w:w="76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环保措施</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实施规模</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实施部位</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实施时间</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实施机构</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管理机构</w:t>
                  </w:r>
                </w:p>
              </w:tc>
              <w:tc>
                <w:tcPr>
                  <w:tcW w:w="76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监督单位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4"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生态保护</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highlight w:val="none"/>
                    </w:rPr>
                    <w:t>实施水土保持方案，分层开挖，土方分层堆放，施工结束后对临时占地回填，对临时占地撒草籽，恢复至原有</w:t>
                  </w:r>
                  <w:r>
                    <w:rPr>
                      <w:rFonts w:hint="eastAsia"/>
                      <w:color w:val="auto"/>
                      <w:szCs w:val="21"/>
                      <w:highlight w:val="none"/>
                    </w:rPr>
                    <w:t>土地</w:t>
                  </w:r>
                  <w:r>
                    <w:rPr>
                      <w:rFonts w:hint="eastAsia"/>
                      <w:color w:val="auto"/>
                      <w:kern w:val="0"/>
                      <w:highlight w:val="none"/>
                    </w:rPr>
                    <w:t>使用功能</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rFonts w:hint="eastAsia"/>
                      <w:color w:val="auto"/>
                      <w:kern w:val="0"/>
                      <w:szCs w:val="21"/>
                      <w:highlight w:val="none"/>
                      <w:lang w:val="en-US" w:eastAsia="zh-CN"/>
                    </w:rPr>
                    <w:t>永久占地、临时占地</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color w:val="auto"/>
                      <w:kern w:val="0"/>
                      <w:sz w:val="21"/>
                      <w:szCs w:val="21"/>
                      <w:highlight w:val="none"/>
                      <w:lang w:val="en-US" w:eastAsia="zh-CN"/>
                    </w:rPr>
                  </w:pPr>
                  <w:r>
                    <w:rPr>
                      <w:rFonts w:hint="eastAsia"/>
                      <w:color w:val="auto"/>
                      <w:kern w:val="0"/>
                      <w:sz w:val="21"/>
                      <w:szCs w:val="21"/>
                      <w:highlight w:val="none"/>
                      <w:lang w:val="en-US" w:eastAsia="zh-CN"/>
                    </w:rPr>
                    <w:t>施工期</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rFonts w:hint="eastAsia"/>
                      <w:color w:val="auto"/>
                      <w:kern w:val="0"/>
                      <w:sz w:val="21"/>
                      <w:szCs w:val="21"/>
                      <w:highlight w:val="none"/>
                      <w:lang w:val="en-US" w:eastAsia="zh-CN"/>
                    </w:rPr>
                    <w:t>建设单位</w:t>
                  </w:r>
                </w:p>
              </w:tc>
              <w:tc>
                <w:tcPr>
                  <w:tcW w:w="766"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沿线各地、市、县生态环境局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18"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废气治理</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施工扬尘、车辆运输起尘及建筑材料的堆放、装卸过程产生的扬尘采用遮挡、苫盖、洒水等降尘措施；施工期施工机械、车辆尾气通过加强施工设备维护、人员管理、合理布设施工环节等措施减少废气排放</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color w:val="auto"/>
                      <w:kern w:val="0"/>
                      <w:szCs w:val="21"/>
                      <w:highlight w:val="none"/>
                    </w:rPr>
                    <w:t>施工场地</w:t>
                  </w:r>
                  <w:r>
                    <w:rPr>
                      <w:rFonts w:hint="eastAsia"/>
                      <w:color w:val="auto"/>
                      <w:kern w:val="0"/>
                      <w:szCs w:val="21"/>
                      <w:highlight w:val="none"/>
                      <w:lang w:val="en-US" w:eastAsia="zh-CN"/>
                    </w:rPr>
                    <w:t>、</w:t>
                  </w:r>
                  <w:r>
                    <w:rPr>
                      <w:color w:val="auto"/>
                      <w:kern w:val="0"/>
                      <w:szCs w:val="21"/>
                      <w:highlight w:val="none"/>
                    </w:rPr>
                    <w:t>运输车辆</w:t>
                  </w:r>
                  <w:r>
                    <w:rPr>
                      <w:rFonts w:hint="eastAsia"/>
                      <w:color w:val="auto"/>
                      <w:kern w:val="0"/>
                      <w:szCs w:val="21"/>
                      <w:highlight w:val="none"/>
                      <w:lang w:val="en-US" w:eastAsia="zh-CN"/>
                    </w:rPr>
                    <w:t>、建材堆放、施工道路</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rFonts w:hint="eastAsia"/>
                      <w:color w:val="auto"/>
                      <w:kern w:val="0"/>
                      <w:sz w:val="21"/>
                      <w:szCs w:val="21"/>
                      <w:highlight w:val="none"/>
                      <w:lang w:val="en-US" w:eastAsia="zh-CN"/>
                    </w:rPr>
                    <w:t>建设单位</w:t>
                  </w:r>
                </w:p>
              </w:tc>
              <w:tc>
                <w:tcPr>
                  <w:tcW w:w="76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5"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废水治理</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施工废水经临时沉淀池处理后，洒水抑尘；施工人员租住附近村庄民房，生活盥洗水用于施工场地、道路洒水降尘</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color w:val="auto"/>
                      <w:kern w:val="0"/>
                      <w:szCs w:val="21"/>
                      <w:highlight w:val="none"/>
                    </w:rPr>
                    <w:t>施工废水</w:t>
                  </w:r>
                  <w:r>
                    <w:rPr>
                      <w:rFonts w:hint="eastAsia"/>
                      <w:color w:val="auto"/>
                      <w:kern w:val="0"/>
                      <w:szCs w:val="21"/>
                      <w:highlight w:val="none"/>
                      <w:lang w:val="en-US" w:eastAsia="zh-CN"/>
                    </w:rPr>
                    <w:t>、</w:t>
                  </w:r>
                  <w:r>
                    <w:rPr>
                      <w:color w:val="auto"/>
                      <w:kern w:val="0"/>
                      <w:szCs w:val="21"/>
                      <w:highlight w:val="none"/>
                    </w:rPr>
                    <w:t>生活污水</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建设单位</w:t>
                  </w:r>
                </w:p>
              </w:tc>
              <w:tc>
                <w:tcPr>
                  <w:tcW w:w="76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2"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噪声治理</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选择低噪声先进设备；加强设备维护和限制施工时间等</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color w:val="auto"/>
                      <w:kern w:val="0"/>
                      <w:szCs w:val="21"/>
                      <w:highlight w:val="none"/>
                    </w:rPr>
                    <w:t>施工噪声</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建设单位</w:t>
                  </w:r>
                </w:p>
              </w:tc>
              <w:tc>
                <w:tcPr>
                  <w:tcW w:w="76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9" w:hRule="atLeast"/>
                <w:tblHeader/>
                <w:jc w:val="center"/>
              </w:trPr>
              <w:tc>
                <w:tcPr>
                  <w:tcW w:w="91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固废处置</w:t>
                  </w:r>
                </w:p>
              </w:tc>
              <w:tc>
                <w:tcPr>
                  <w:tcW w:w="330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highlight w:val="none"/>
                      <w:lang w:val="en-US" w:eastAsia="zh-CN"/>
                    </w:rPr>
                    <w:t>土方工程产生的弃方全部用于取土场土地平整</w:t>
                  </w:r>
                  <w:r>
                    <w:rPr>
                      <w:rFonts w:hint="eastAsia"/>
                      <w:color w:val="auto"/>
                      <w:kern w:val="0"/>
                      <w:highlight w:val="none"/>
                    </w:rPr>
                    <w:t>；可回收利用的</w:t>
                  </w:r>
                  <w:r>
                    <w:rPr>
                      <w:rFonts w:hint="eastAsia"/>
                      <w:color w:val="auto"/>
                      <w:kern w:val="0"/>
                      <w:highlight w:val="none"/>
                      <w:lang w:val="en-US" w:eastAsia="zh-CN"/>
                    </w:rPr>
                    <w:t>建筑垃圾</w:t>
                  </w:r>
                  <w:r>
                    <w:rPr>
                      <w:rFonts w:hint="eastAsia"/>
                      <w:color w:val="auto"/>
                      <w:kern w:val="0"/>
                      <w:highlight w:val="none"/>
                    </w:rPr>
                    <w:t>回收利用，不能回收利用的运送至建筑垃圾堆场进行处置；</w:t>
                  </w:r>
                  <w:r>
                    <w:rPr>
                      <w:rFonts w:hint="eastAsia"/>
                      <w:color w:val="auto"/>
                      <w:kern w:val="0"/>
                      <w:highlight w:val="none"/>
                      <w:lang w:val="en-US" w:eastAsia="zh-CN"/>
                    </w:rPr>
                    <w:t>生活垃圾由</w:t>
                  </w:r>
                  <w:r>
                    <w:rPr>
                      <w:rFonts w:hint="eastAsia"/>
                      <w:color w:val="auto"/>
                      <w:kern w:val="0"/>
                      <w:highlight w:val="none"/>
                    </w:rPr>
                    <w:t>环卫部门定期清理</w:t>
                  </w:r>
                </w:p>
              </w:tc>
              <w:tc>
                <w:tcPr>
                  <w:tcW w:w="12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color w:val="auto"/>
                      <w:kern w:val="0"/>
                      <w:szCs w:val="21"/>
                      <w:highlight w:val="none"/>
                    </w:rPr>
                    <w:t>建筑垃圾</w:t>
                  </w:r>
                  <w:r>
                    <w:rPr>
                      <w:rFonts w:hint="eastAsia"/>
                      <w:color w:val="auto"/>
                      <w:kern w:val="0"/>
                      <w:szCs w:val="21"/>
                      <w:highlight w:val="none"/>
                      <w:lang w:val="en-US" w:eastAsia="zh-CN"/>
                    </w:rPr>
                    <w:t>、生活垃圾</w:t>
                  </w:r>
                </w:p>
              </w:tc>
              <w:tc>
                <w:tcPr>
                  <w:tcW w:w="85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施工期</w:t>
                  </w:r>
                </w:p>
              </w:tc>
              <w:tc>
                <w:tcPr>
                  <w:tcW w:w="785"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rFonts w:hint="eastAsia"/>
                      <w:color w:val="auto"/>
                      <w:kern w:val="0"/>
                      <w:sz w:val="21"/>
                      <w:szCs w:val="21"/>
                      <w:highlight w:val="none"/>
                      <w:lang w:val="en-US" w:eastAsia="zh-CN"/>
                    </w:rPr>
                    <w:t>施工单位</w:t>
                  </w:r>
                </w:p>
              </w:tc>
              <w:tc>
                <w:tcPr>
                  <w:tcW w:w="9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建设单位</w:t>
                  </w:r>
                </w:p>
              </w:tc>
              <w:tc>
                <w:tcPr>
                  <w:tcW w:w="766"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bl>
          <w:p>
            <w:pPr>
              <w:pStyle w:val="21"/>
              <w:widowControl w:val="0"/>
              <w:spacing w:before="0" w:beforeAutospacing="0" w:after="0" w:afterAutospacing="0" w:line="360" w:lineRule="auto"/>
              <w:ind w:firstLine="482" w:firstLineChars="200"/>
              <w:jc w:val="both"/>
              <w:rPr>
                <w:rFonts w:ascii="Times New Roman" w:hAnsi="Times New Roman" w:cs="宋体"/>
                <w:b/>
                <w:bCs/>
                <w:color w:val="auto"/>
                <w:kern w:val="2"/>
                <w:highlight w:val="none"/>
                <w:lang w:bidi="ar"/>
              </w:rPr>
            </w:pPr>
          </w:p>
          <w:p>
            <w:pPr>
              <w:pStyle w:val="21"/>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2</w:t>
            </w:r>
            <w:r>
              <w:rPr>
                <w:rFonts w:hint="eastAsia" w:ascii="Times New Roman" w:hAnsi="Times New Roman" w:cs="宋体"/>
                <w:b/>
                <w:bCs/>
                <w:color w:val="auto"/>
                <w:kern w:val="2"/>
                <w:highlight w:val="none"/>
                <w:lang w:bidi="ar"/>
              </w:rPr>
              <w:t>）环境监测计划</w:t>
            </w:r>
          </w:p>
          <w:p>
            <w:pPr>
              <w:spacing w:line="360" w:lineRule="auto"/>
              <w:ind w:firstLine="480" w:firstLineChars="200"/>
              <w:rPr>
                <w:color w:val="auto"/>
                <w:sz w:val="24"/>
                <w:highlight w:val="none"/>
              </w:rPr>
            </w:pPr>
            <w:r>
              <w:rPr>
                <w:rFonts w:hint="eastAsia" w:cs="宋体"/>
                <w:color w:val="auto"/>
                <w:sz w:val="24"/>
                <w:highlight w:val="none"/>
                <w:lang w:bidi="ar"/>
              </w:rPr>
              <w:t>本项目施工期主要监测内容</w:t>
            </w:r>
            <w:r>
              <w:rPr>
                <w:rFonts w:hint="eastAsia" w:cs="宋体"/>
                <w:color w:val="auto"/>
                <w:sz w:val="24"/>
                <w:highlight w:val="none"/>
                <w:lang w:eastAsia="zh-CN" w:bidi="ar"/>
              </w:rPr>
              <w:t>为</w:t>
            </w:r>
            <w:r>
              <w:rPr>
                <w:rFonts w:hint="eastAsia" w:cs="宋体"/>
                <w:color w:val="auto"/>
                <w:sz w:val="24"/>
                <w:highlight w:val="none"/>
                <w:lang w:bidi="ar"/>
              </w:rPr>
              <w:t>生态系统的影响范围和影响程度。本项目施工期环境监测计划见</w:t>
            </w:r>
            <w:r>
              <w:rPr>
                <w:rFonts w:hint="eastAsia" w:cs="宋体"/>
                <w:b w:val="0"/>
                <w:bCs w:val="0"/>
                <w:color w:val="auto"/>
                <w:sz w:val="24"/>
                <w:highlight w:val="none"/>
                <w:lang w:bidi="ar"/>
              </w:rPr>
              <w:t>表</w:t>
            </w:r>
            <w:r>
              <w:rPr>
                <w:b w:val="0"/>
                <w:bCs w:val="0"/>
                <w:color w:val="auto"/>
                <w:sz w:val="24"/>
                <w:highlight w:val="none"/>
                <w:lang w:bidi="ar"/>
              </w:rPr>
              <w:t>5-</w:t>
            </w:r>
            <w:r>
              <w:rPr>
                <w:rFonts w:hint="eastAsia"/>
                <w:b w:val="0"/>
                <w:bCs w:val="0"/>
                <w:color w:val="auto"/>
                <w:sz w:val="24"/>
                <w:highlight w:val="none"/>
                <w:lang w:val="en-US" w:eastAsia="zh-CN" w:bidi="ar"/>
              </w:rPr>
              <w:t>3</w:t>
            </w:r>
            <w:r>
              <w:rPr>
                <w:rFonts w:hint="eastAsia" w:cs="宋体"/>
                <w:color w:val="auto"/>
                <w:sz w:val="24"/>
                <w:highlight w:val="none"/>
                <w:lang w:bidi="ar"/>
              </w:rPr>
              <w:t>。</w:t>
            </w:r>
            <w:r>
              <w:rPr>
                <w:color w:val="auto"/>
                <w:sz w:val="24"/>
                <w:highlight w:val="none"/>
                <w:lang w:bidi="ar"/>
              </w:rPr>
              <w:t xml:space="preserve"> </w:t>
            </w:r>
          </w:p>
          <w:p>
            <w:pPr>
              <w:spacing w:line="360" w:lineRule="auto"/>
              <w:jc w:val="center"/>
              <w:rPr>
                <w:color w:val="auto"/>
                <w:highlight w:val="none"/>
              </w:rPr>
            </w:pPr>
            <w:r>
              <w:rPr>
                <w:rFonts w:hint="eastAsia" w:eastAsia="黑体" w:cs="黑体"/>
                <w:b/>
                <w:bCs/>
                <w:color w:val="auto"/>
                <w:sz w:val="24"/>
                <w:highlight w:val="none"/>
                <w:lang w:bidi="ar"/>
              </w:rPr>
              <w:t>表</w:t>
            </w:r>
            <w:r>
              <w:rPr>
                <w:rFonts w:eastAsia="黑体"/>
                <w:b/>
                <w:bCs/>
                <w:color w:val="auto"/>
                <w:sz w:val="24"/>
                <w:highlight w:val="none"/>
                <w:lang w:bidi="ar"/>
              </w:rPr>
              <w:t>5-</w:t>
            </w:r>
            <w:r>
              <w:rPr>
                <w:rFonts w:hint="eastAsia" w:eastAsia="黑体"/>
                <w:b/>
                <w:bCs/>
                <w:color w:val="auto"/>
                <w:sz w:val="24"/>
                <w:highlight w:val="none"/>
                <w:lang w:val="en-US" w:eastAsia="zh-CN" w:bidi="ar"/>
              </w:rPr>
              <w:t>3</w:t>
            </w:r>
            <w:r>
              <w:rPr>
                <w:rFonts w:eastAsia="黑体"/>
                <w:b/>
                <w:bCs/>
                <w:color w:val="auto"/>
                <w:sz w:val="24"/>
                <w:highlight w:val="none"/>
                <w:lang w:bidi="ar"/>
              </w:rPr>
              <w:t xml:space="preserve">  </w:t>
            </w:r>
            <w:r>
              <w:rPr>
                <w:rFonts w:hint="eastAsia" w:eastAsia="黑体" w:cs="黑体"/>
                <w:b/>
                <w:bCs/>
                <w:color w:val="auto"/>
                <w:sz w:val="24"/>
                <w:highlight w:val="none"/>
                <w:lang w:bidi="ar"/>
              </w:rPr>
              <w:t>施工期环境监测计划一览表</w:t>
            </w:r>
          </w:p>
          <w:tbl>
            <w:tblPr>
              <w:tblStyle w:val="24"/>
              <w:tblW w:w="4997"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1553"/>
              <w:gridCol w:w="2414"/>
              <w:gridCol w:w="2350"/>
              <w:gridCol w:w="250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880" w:type="pct"/>
                  <w:tcBorders>
                    <w:tl2br w:val="nil"/>
                    <w:tr2bl w:val="nil"/>
                  </w:tcBorders>
                  <w:shd w:val="clear" w:color="auto" w:fill="auto"/>
                  <w:vAlign w:val="center"/>
                </w:tcPr>
                <w:p>
                  <w:pPr>
                    <w:jc w:val="center"/>
                    <w:rPr>
                      <w:b/>
                      <w:bCs/>
                      <w:color w:val="auto"/>
                      <w:kern w:val="0"/>
                      <w:szCs w:val="21"/>
                      <w:highlight w:val="none"/>
                    </w:rPr>
                  </w:pPr>
                  <w:r>
                    <w:rPr>
                      <w:rFonts w:hint="eastAsia" w:cs="宋体"/>
                      <w:b/>
                      <w:bCs/>
                      <w:color w:val="auto"/>
                      <w:kern w:val="0"/>
                      <w:szCs w:val="21"/>
                      <w:highlight w:val="none"/>
                      <w:lang w:bidi="ar"/>
                    </w:rPr>
                    <w:t>监测要素</w:t>
                  </w:r>
                </w:p>
              </w:tc>
              <w:tc>
                <w:tcPr>
                  <w:tcW w:w="1368"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val="zh-CN" w:bidi="ar"/>
                    </w:rPr>
                    <w:t>监测</w:t>
                  </w:r>
                  <w:r>
                    <w:rPr>
                      <w:rFonts w:hint="eastAsia" w:cs="宋体"/>
                      <w:b/>
                      <w:bCs/>
                      <w:color w:val="auto"/>
                      <w:kern w:val="0"/>
                      <w:szCs w:val="21"/>
                      <w:highlight w:val="none"/>
                      <w:lang w:bidi="ar"/>
                    </w:rPr>
                    <w:t>项目</w:t>
                  </w:r>
                </w:p>
              </w:tc>
              <w:tc>
                <w:tcPr>
                  <w:tcW w:w="1332"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bidi="ar"/>
                    </w:rPr>
                    <w:t>监测点位</w:t>
                  </w:r>
                </w:p>
              </w:tc>
              <w:tc>
                <w:tcPr>
                  <w:tcW w:w="1417"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val="zh-CN" w:bidi="ar"/>
                    </w:rPr>
                    <w:t>监测频率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880" w:type="pct"/>
                  <w:tcBorders>
                    <w:tl2br w:val="nil"/>
                    <w:tr2bl w:val="nil"/>
                  </w:tcBorders>
                  <w:shd w:val="clear" w:color="auto" w:fill="auto"/>
                  <w:vAlign w:val="center"/>
                </w:tcPr>
                <w:p>
                  <w:pPr>
                    <w:jc w:val="center"/>
                    <w:rPr>
                      <w:color w:val="auto"/>
                      <w:kern w:val="0"/>
                      <w:szCs w:val="21"/>
                      <w:highlight w:val="none"/>
                    </w:rPr>
                  </w:pPr>
                  <w:r>
                    <w:rPr>
                      <w:rFonts w:hint="eastAsia" w:cs="宋体"/>
                      <w:color w:val="auto"/>
                      <w:kern w:val="0"/>
                      <w:szCs w:val="21"/>
                      <w:highlight w:val="none"/>
                      <w:lang w:bidi="ar"/>
                    </w:rPr>
                    <w:t>生态环境</w:t>
                  </w:r>
                </w:p>
              </w:tc>
              <w:tc>
                <w:tcPr>
                  <w:tcW w:w="1368"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扰动面积</w:t>
                  </w:r>
                </w:p>
              </w:tc>
              <w:tc>
                <w:tcPr>
                  <w:tcW w:w="1332"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施工扰动区域</w:t>
                  </w:r>
                </w:p>
              </w:tc>
              <w:tc>
                <w:tcPr>
                  <w:tcW w:w="1417"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按照施工周期，在扰动</w:t>
                  </w:r>
                </w:p>
                <w:p>
                  <w:pPr>
                    <w:jc w:val="center"/>
                    <w:rPr>
                      <w:color w:val="auto"/>
                      <w:kern w:val="0"/>
                      <w:szCs w:val="21"/>
                      <w:highlight w:val="none"/>
                      <w:lang w:val="zh-CN"/>
                    </w:rPr>
                  </w:pPr>
                  <w:r>
                    <w:rPr>
                      <w:rFonts w:hint="eastAsia" w:cs="宋体"/>
                      <w:color w:val="auto"/>
                      <w:kern w:val="0"/>
                      <w:szCs w:val="21"/>
                      <w:highlight w:val="none"/>
                      <w:lang w:val="zh-CN" w:bidi="ar"/>
                    </w:rPr>
                    <w:t>前、扰动后各监测一次</w:t>
                  </w:r>
                  <w:r>
                    <w:rPr>
                      <w:color w:val="auto"/>
                      <w:kern w:val="0"/>
                      <w:szCs w:val="21"/>
                      <w:highlight w:val="none"/>
                      <w:lang w:val="zh-CN" w:bidi="ar"/>
                    </w:rPr>
                    <w:t xml:space="preserve"> </w:t>
                  </w:r>
                </w:p>
              </w:tc>
            </w:tr>
          </w:tbl>
          <w:p>
            <w:pPr>
              <w:spacing w:line="360" w:lineRule="auto"/>
              <w:ind w:firstLine="420" w:firstLineChars="200"/>
              <w:rPr>
                <w:color w:val="auto"/>
                <w:highlight w:val="none"/>
              </w:rPr>
            </w:pPr>
          </w:p>
          <w:p>
            <w:pPr>
              <w:spacing w:line="360" w:lineRule="auto"/>
              <w:ind w:firstLine="460" w:firstLineChars="200"/>
              <w:jc w:val="left"/>
              <w:rPr>
                <w:bCs/>
                <w:color w:val="auto"/>
                <w:spacing w:val="10"/>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tcMar>
              <w:left w:w="28" w:type="dxa"/>
              <w:right w:w="28" w:type="dxa"/>
            </w:tcMar>
            <w:vAlign w:val="center"/>
          </w:tcPr>
          <w:p>
            <w:pPr>
              <w:adjustRightInd w:val="0"/>
              <w:snapToGrid w:val="0"/>
              <w:jc w:val="center"/>
              <w:rPr>
                <w:bCs/>
                <w:color w:val="auto"/>
                <w:spacing w:val="10"/>
                <w:szCs w:val="21"/>
                <w:highlight w:val="none"/>
              </w:rPr>
            </w:pPr>
            <w:r>
              <w:rPr>
                <w:bCs/>
                <w:color w:val="auto"/>
                <w:spacing w:val="10"/>
                <w:sz w:val="24"/>
                <w:highlight w:val="none"/>
              </w:rPr>
              <w:t>运营期生态环境保护措施</w:t>
            </w:r>
          </w:p>
        </w:tc>
        <w:tc>
          <w:tcPr>
            <w:tcW w:w="8415" w:type="dxa"/>
          </w:tcPr>
          <w:p>
            <w:pPr>
              <w:pStyle w:val="14"/>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textAlignment w:val="auto"/>
              <w:rPr>
                <w:b/>
                <w:bCs/>
                <w:color w:val="auto"/>
                <w:sz w:val="24"/>
                <w:highlight w:val="none"/>
              </w:rPr>
            </w:pPr>
            <w:r>
              <w:rPr>
                <w:rFonts w:hint="eastAsia"/>
                <w:b/>
                <w:bCs/>
                <w:color w:val="auto"/>
                <w:sz w:val="24"/>
                <w:highlight w:val="none"/>
              </w:rPr>
              <w:t>1、环境保护措施</w:t>
            </w:r>
          </w:p>
          <w:p>
            <w:pPr>
              <w:pStyle w:val="14"/>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default" w:eastAsia="宋体"/>
                <w:color w:val="auto"/>
                <w:sz w:val="24"/>
                <w:highlight w:val="none"/>
                <w:lang w:val="en-US" w:eastAsia="zh-CN"/>
              </w:rPr>
            </w:pPr>
            <w:r>
              <w:rPr>
                <w:color w:val="auto"/>
                <w:sz w:val="24"/>
                <w:highlight w:val="none"/>
              </w:rPr>
              <w:t>本项目</w:t>
            </w:r>
            <w:r>
              <w:rPr>
                <w:rFonts w:hint="eastAsia"/>
                <w:color w:val="auto"/>
                <w:sz w:val="24"/>
                <w:highlight w:val="none"/>
              </w:rPr>
              <w:t>运营期无废气、废水、固体废物、噪声产生，</w:t>
            </w:r>
            <w:r>
              <w:rPr>
                <w:rFonts w:hint="eastAsia"/>
                <w:color w:val="auto"/>
                <w:sz w:val="24"/>
                <w:highlight w:val="none"/>
                <w:lang w:bidi="ar"/>
              </w:rPr>
              <w:t>因此，无需针对营运期采取污染防治措施。</w:t>
            </w:r>
            <w:r>
              <w:rPr>
                <w:rFonts w:hint="eastAsia"/>
                <w:color w:val="auto"/>
                <w:sz w:val="24"/>
                <w:highlight w:val="none"/>
                <w:lang w:val="en-US" w:eastAsia="zh-CN" w:bidi="ar"/>
              </w:rPr>
              <w:t>运营期应加强水土保持措施的维护和植被的养护。</w:t>
            </w:r>
          </w:p>
          <w:p>
            <w:pPr>
              <w:spacing w:line="360" w:lineRule="auto"/>
              <w:ind w:firstLine="482" w:firstLineChars="200"/>
              <w:rPr>
                <w:b/>
                <w:bCs/>
                <w:color w:val="auto"/>
                <w:sz w:val="24"/>
                <w:highlight w:val="none"/>
              </w:rPr>
            </w:pPr>
            <w:r>
              <w:rPr>
                <w:rFonts w:hint="eastAsia"/>
                <w:b/>
                <w:bCs/>
                <w:color w:val="auto"/>
                <w:sz w:val="24"/>
                <w:highlight w:val="none"/>
              </w:rPr>
              <w:t>2</w:t>
            </w:r>
            <w:r>
              <w:rPr>
                <w:b/>
                <w:bCs/>
                <w:color w:val="auto"/>
                <w:sz w:val="24"/>
                <w:highlight w:val="none"/>
              </w:rPr>
              <w:t>、运行期环境管理</w:t>
            </w:r>
          </w:p>
          <w:p>
            <w:pPr>
              <w:spacing w:line="360" w:lineRule="auto"/>
              <w:ind w:firstLine="480" w:firstLineChars="200"/>
              <w:rPr>
                <w:color w:val="auto"/>
                <w:sz w:val="24"/>
                <w:highlight w:val="none"/>
              </w:rPr>
            </w:pPr>
            <w:r>
              <w:rPr>
                <w:color w:val="auto"/>
                <w:sz w:val="24"/>
                <w:highlight w:val="none"/>
              </w:rPr>
              <w:t>（1）运</w:t>
            </w:r>
            <w:r>
              <w:rPr>
                <w:rFonts w:hint="eastAsia"/>
                <w:color w:val="auto"/>
                <w:sz w:val="24"/>
                <w:highlight w:val="none"/>
              </w:rPr>
              <w:t>维</w:t>
            </w:r>
            <w:r>
              <w:rPr>
                <w:color w:val="auto"/>
                <w:sz w:val="24"/>
                <w:highlight w:val="none"/>
              </w:rPr>
              <w:t>单位环境管理</w:t>
            </w:r>
          </w:p>
          <w:p>
            <w:pPr>
              <w:pStyle w:val="21"/>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建设项目环境保护管理是指工程在运营期必须遵守国家、地方的有关环境保护法律、法规、政策与标准，接受地方环境保护主管部门的监督、调整和制订环境规划保护目标，协调同有关部门的关系以及一切与改善环境有关的管理活动。</w:t>
            </w:r>
          </w:p>
          <w:p>
            <w:pPr>
              <w:pStyle w:val="14"/>
              <w:ind w:left="481" w:leftChars="229" w:firstLine="0"/>
              <w:rPr>
                <w:color w:val="auto"/>
                <w:sz w:val="24"/>
                <w:highlight w:val="none"/>
              </w:rPr>
            </w:pPr>
            <w:r>
              <w:rPr>
                <w:color w:val="auto"/>
                <w:sz w:val="24"/>
                <w:highlight w:val="none"/>
              </w:rPr>
              <w:t>（2）运行期环境监测计划</w:t>
            </w:r>
          </w:p>
          <w:p>
            <w:pPr>
              <w:spacing w:line="360" w:lineRule="auto"/>
              <w:ind w:firstLine="480" w:firstLineChars="200"/>
              <w:rPr>
                <w:color w:val="auto"/>
                <w:sz w:val="24"/>
                <w:highlight w:val="none"/>
              </w:rPr>
            </w:pPr>
            <w:r>
              <w:rPr>
                <w:color w:val="auto"/>
                <w:sz w:val="24"/>
                <w:highlight w:val="none"/>
              </w:rPr>
              <w:t>项目营运期环境监测工作</w:t>
            </w:r>
            <w:r>
              <w:rPr>
                <w:rFonts w:hint="eastAsia"/>
                <w:color w:val="auto"/>
                <w:sz w:val="24"/>
                <w:highlight w:val="none"/>
                <w:lang w:eastAsia="zh-CN"/>
              </w:rPr>
              <w:t>主要是临时占地生态恢复情况</w:t>
            </w:r>
            <w:r>
              <w:rPr>
                <w:color w:val="auto"/>
                <w:sz w:val="24"/>
                <w:highlight w:val="none"/>
              </w:rPr>
              <w:t>，具体见表5-</w:t>
            </w:r>
            <w:r>
              <w:rPr>
                <w:rFonts w:hint="eastAsia"/>
                <w:color w:val="auto"/>
                <w:sz w:val="24"/>
                <w:highlight w:val="none"/>
                <w:lang w:val="en-US" w:eastAsia="zh-CN"/>
              </w:rPr>
              <w:t>4</w:t>
            </w:r>
            <w:r>
              <w:rPr>
                <w:color w:val="auto"/>
                <w:sz w:val="24"/>
                <w:highlight w:val="none"/>
              </w:rPr>
              <w:t>。</w:t>
            </w:r>
          </w:p>
          <w:p>
            <w:pPr>
              <w:adjustRightInd w:val="0"/>
              <w:snapToGrid w:val="0"/>
              <w:ind w:firstLine="2764" w:firstLineChars="1147"/>
              <w:rPr>
                <w:rFonts w:eastAsia="黑体"/>
                <w:b/>
                <w:color w:val="auto"/>
                <w:sz w:val="24"/>
                <w:szCs w:val="20"/>
                <w:highlight w:val="none"/>
              </w:rPr>
            </w:pPr>
            <w:r>
              <w:rPr>
                <w:rFonts w:eastAsia="黑体"/>
                <w:b/>
                <w:color w:val="auto"/>
                <w:sz w:val="24"/>
                <w:szCs w:val="20"/>
                <w:highlight w:val="none"/>
              </w:rPr>
              <w:t>表5-</w:t>
            </w:r>
            <w:r>
              <w:rPr>
                <w:rFonts w:hint="eastAsia" w:eastAsia="黑体"/>
                <w:b/>
                <w:color w:val="auto"/>
                <w:sz w:val="24"/>
                <w:szCs w:val="20"/>
                <w:highlight w:val="none"/>
                <w:lang w:val="en-US" w:eastAsia="zh-CN"/>
              </w:rPr>
              <w:t>4</w:t>
            </w:r>
            <w:r>
              <w:rPr>
                <w:rFonts w:eastAsia="黑体"/>
                <w:b/>
                <w:color w:val="auto"/>
                <w:sz w:val="24"/>
                <w:szCs w:val="20"/>
                <w:highlight w:val="none"/>
              </w:rPr>
              <w:t xml:space="preserve">    </w:t>
            </w:r>
            <w:r>
              <w:rPr>
                <w:rFonts w:hint="eastAsia" w:eastAsia="黑体"/>
                <w:b/>
                <w:color w:val="auto"/>
                <w:sz w:val="24"/>
                <w:szCs w:val="20"/>
                <w:highlight w:val="none"/>
              </w:rPr>
              <w:t>项目运行期</w:t>
            </w:r>
            <w:r>
              <w:rPr>
                <w:rFonts w:eastAsia="黑体"/>
                <w:b/>
                <w:color w:val="auto"/>
                <w:sz w:val="24"/>
                <w:szCs w:val="20"/>
                <w:highlight w:val="none"/>
              </w:rPr>
              <w:t>环境监测计划表</w:t>
            </w:r>
          </w:p>
          <w:tbl>
            <w:tblPr>
              <w:tblStyle w:val="24"/>
              <w:tblW w:w="4973" w:type="pct"/>
              <w:tblInd w:w="0" w:type="dxa"/>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Layout w:type="autofit"/>
              <w:tblCellMar>
                <w:top w:w="0" w:type="dxa"/>
                <w:left w:w="108" w:type="dxa"/>
                <w:bottom w:w="0" w:type="dxa"/>
                <w:right w:w="108" w:type="dxa"/>
              </w:tblCellMar>
            </w:tblPr>
            <w:tblGrid>
              <w:gridCol w:w="1570"/>
              <w:gridCol w:w="1273"/>
              <w:gridCol w:w="1717"/>
              <w:gridCol w:w="2490"/>
              <w:gridCol w:w="1724"/>
            </w:tblGrid>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108" w:type="dxa"/>
                  <w:bottom w:w="0" w:type="dxa"/>
                  <w:right w:w="108" w:type="dxa"/>
                </w:tblCellMar>
              </w:tblPrEx>
              <w:trPr>
                <w:trHeight w:val="271" w:hRule="atLeast"/>
              </w:trPr>
              <w:tc>
                <w:tcPr>
                  <w:tcW w:w="894" w:type="pct"/>
                  <w:tcBorders>
                    <w:top w:val="single" w:color="000000" w:sz="12" w:space="0"/>
                  </w:tcBorders>
                  <w:vAlign w:val="center"/>
                </w:tcPr>
                <w:p>
                  <w:pPr>
                    <w:adjustRightInd w:val="0"/>
                    <w:snapToGrid w:val="0"/>
                    <w:jc w:val="center"/>
                    <w:rPr>
                      <w:color w:val="auto"/>
                      <w:szCs w:val="21"/>
                      <w:highlight w:val="none"/>
                    </w:rPr>
                  </w:pPr>
                  <w:r>
                    <w:rPr>
                      <w:rFonts w:hint="eastAsia"/>
                      <w:color w:val="auto"/>
                      <w:szCs w:val="21"/>
                      <w:highlight w:val="none"/>
                    </w:rPr>
                    <w:t>监测时段</w:t>
                  </w:r>
                </w:p>
              </w:tc>
              <w:tc>
                <w:tcPr>
                  <w:tcW w:w="725" w:type="pct"/>
                  <w:tcBorders>
                    <w:top w:val="single" w:color="000000" w:sz="12" w:space="0"/>
                  </w:tcBorders>
                  <w:vAlign w:val="center"/>
                </w:tcPr>
                <w:p>
                  <w:pPr>
                    <w:adjustRightInd w:val="0"/>
                    <w:snapToGrid w:val="0"/>
                    <w:jc w:val="center"/>
                    <w:rPr>
                      <w:color w:val="auto"/>
                      <w:szCs w:val="21"/>
                      <w:highlight w:val="none"/>
                    </w:rPr>
                  </w:pPr>
                  <w:r>
                    <w:rPr>
                      <w:color w:val="auto"/>
                      <w:szCs w:val="21"/>
                      <w:highlight w:val="none"/>
                    </w:rPr>
                    <w:t>要素</w:t>
                  </w:r>
                </w:p>
              </w:tc>
              <w:tc>
                <w:tcPr>
                  <w:tcW w:w="978" w:type="pct"/>
                  <w:tcBorders>
                    <w:top w:val="single" w:color="000000" w:sz="12" w:space="0"/>
                  </w:tcBorders>
                  <w:vAlign w:val="center"/>
                </w:tcPr>
                <w:p>
                  <w:pPr>
                    <w:adjustRightInd w:val="0"/>
                    <w:snapToGrid w:val="0"/>
                    <w:jc w:val="center"/>
                    <w:rPr>
                      <w:color w:val="auto"/>
                      <w:szCs w:val="21"/>
                      <w:highlight w:val="none"/>
                    </w:rPr>
                  </w:pPr>
                  <w:r>
                    <w:rPr>
                      <w:color w:val="auto"/>
                      <w:szCs w:val="21"/>
                      <w:highlight w:val="none"/>
                    </w:rPr>
                    <w:t>监测项目</w:t>
                  </w:r>
                </w:p>
              </w:tc>
              <w:tc>
                <w:tcPr>
                  <w:tcW w:w="1418" w:type="pct"/>
                  <w:tcBorders>
                    <w:top w:val="single" w:color="000000" w:sz="12" w:space="0"/>
                    <w:right w:val="single" w:color="auto" w:sz="4" w:space="0"/>
                  </w:tcBorders>
                  <w:vAlign w:val="center"/>
                </w:tcPr>
                <w:p>
                  <w:pPr>
                    <w:adjustRightInd w:val="0"/>
                    <w:snapToGrid w:val="0"/>
                    <w:jc w:val="center"/>
                    <w:rPr>
                      <w:color w:val="auto"/>
                      <w:szCs w:val="21"/>
                      <w:highlight w:val="none"/>
                    </w:rPr>
                  </w:pPr>
                  <w:r>
                    <w:rPr>
                      <w:color w:val="auto"/>
                      <w:sz w:val="20"/>
                      <w:szCs w:val="20"/>
                      <w:highlight w:val="none"/>
                    </w:rPr>
                    <w:t>监测点位</w:t>
                  </w:r>
                </w:p>
              </w:tc>
              <w:tc>
                <w:tcPr>
                  <w:tcW w:w="982" w:type="pct"/>
                  <w:tcBorders>
                    <w:top w:val="single" w:color="000000" w:sz="12" w:space="0"/>
                    <w:left w:val="single" w:color="auto" w:sz="4" w:space="0"/>
                    <w:right w:val="single" w:color="auto" w:sz="4" w:space="0"/>
                  </w:tcBorders>
                  <w:vAlign w:val="center"/>
                </w:tcPr>
                <w:p>
                  <w:pPr>
                    <w:adjustRightInd w:val="0"/>
                    <w:snapToGrid w:val="0"/>
                    <w:jc w:val="center"/>
                    <w:rPr>
                      <w:color w:val="auto"/>
                      <w:szCs w:val="21"/>
                      <w:highlight w:val="none"/>
                    </w:rPr>
                  </w:pPr>
                  <w:r>
                    <w:rPr>
                      <w:color w:val="auto"/>
                      <w:sz w:val="20"/>
                      <w:szCs w:val="20"/>
                      <w:highlight w:val="none"/>
                    </w:rPr>
                    <w:t>监测周期</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108" w:type="dxa"/>
                  <w:bottom w:w="0" w:type="dxa"/>
                  <w:right w:w="108" w:type="dxa"/>
                </w:tblCellMar>
              </w:tblPrEx>
              <w:trPr>
                <w:trHeight w:val="532" w:hRule="atLeast"/>
              </w:trPr>
              <w:tc>
                <w:tcPr>
                  <w:tcW w:w="894" w:type="pct"/>
                  <w:tcBorders>
                    <w:bottom w:val="single" w:color="000000" w:sz="12" w:space="0"/>
                  </w:tcBorders>
                  <w:vAlign w:val="center"/>
                </w:tcPr>
                <w:p>
                  <w:pPr>
                    <w:adjustRightInd w:val="0"/>
                    <w:snapToGrid w:val="0"/>
                    <w:jc w:val="center"/>
                    <w:rPr>
                      <w:color w:val="auto"/>
                      <w:sz w:val="20"/>
                      <w:szCs w:val="20"/>
                      <w:highlight w:val="none"/>
                    </w:rPr>
                  </w:pPr>
                  <w:r>
                    <w:rPr>
                      <w:color w:val="auto"/>
                      <w:sz w:val="20"/>
                      <w:szCs w:val="20"/>
                      <w:highlight w:val="none"/>
                    </w:rPr>
                    <w:t>运营期</w:t>
                  </w:r>
                </w:p>
              </w:tc>
              <w:tc>
                <w:tcPr>
                  <w:tcW w:w="725" w:type="pct"/>
                  <w:tcBorders>
                    <w:top w:val="single" w:color="auto" w:sz="4" w:space="0"/>
                    <w:bottom w:val="single" w:color="000000" w:sz="12" w:space="0"/>
                  </w:tcBorders>
                  <w:vAlign w:val="center"/>
                </w:tcPr>
                <w:p>
                  <w:pPr>
                    <w:adjustRightInd w:val="0"/>
                    <w:snapToGrid w:val="0"/>
                    <w:jc w:val="center"/>
                    <w:rPr>
                      <w:color w:val="auto"/>
                      <w:szCs w:val="21"/>
                      <w:highlight w:val="none"/>
                    </w:rPr>
                  </w:pPr>
                  <w:r>
                    <w:rPr>
                      <w:color w:val="auto"/>
                      <w:sz w:val="20"/>
                      <w:szCs w:val="20"/>
                      <w:highlight w:val="none"/>
                    </w:rPr>
                    <w:t>噪声</w:t>
                  </w:r>
                </w:p>
              </w:tc>
              <w:tc>
                <w:tcPr>
                  <w:tcW w:w="978" w:type="pct"/>
                  <w:tcBorders>
                    <w:bottom w:val="single" w:color="000000" w:sz="12" w:space="0"/>
                  </w:tcBorders>
                  <w:vAlign w:val="center"/>
                </w:tcPr>
                <w:p>
                  <w:pPr>
                    <w:adjustRightInd w:val="0"/>
                    <w:snapToGrid w:val="0"/>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eastAsia="zh-CN"/>
                    </w:rPr>
                    <w:t>扰动恢复情况</w:t>
                  </w:r>
                </w:p>
              </w:tc>
              <w:tc>
                <w:tcPr>
                  <w:tcW w:w="1418" w:type="pct"/>
                  <w:tcBorders>
                    <w:bottom w:val="single" w:color="000000" w:sz="12" w:space="0"/>
                    <w:right w:val="single" w:color="auto" w:sz="4" w:space="0"/>
                  </w:tcBorders>
                  <w:vAlign w:val="center"/>
                </w:tcPr>
                <w:p>
                  <w:pPr>
                    <w:adjustRightInd w:val="0"/>
                    <w:snapToGrid w:val="0"/>
                    <w:jc w:val="center"/>
                    <w:rPr>
                      <w:rFonts w:ascii="Times New Roman" w:hAnsi="Times New Roman" w:eastAsia="宋体" w:cs="Times New Roman"/>
                      <w:color w:val="auto"/>
                      <w:kern w:val="2"/>
                      <w:sz w:val="21"/>
                      <w:szCs w:val="21"/>
                      <w:highlight w:val="none"/>
                      <w:lang w:val="en-US" w:eastAsia="zh-CN" w:bidi="ar-SA"/>
                    </w:rPr>
                  </w:pPr>
                  <w:r>
                    <w:rPr>
                      <w:rFonts w:hint="eastAsia" w:cs="宋体"/>
                      <w:color w:val="auto"/>
                      <w:kern w:val="0"/>
                      <w:szCs w:val="21"/>
                      <w:highlight w:val="none"/>
                      <w:lang w:val="zh-CN" w:bidi="ar"/>
                    </w:rPr>
                    <w:t>施工扰动区域</w:t>
                  </w:r>
                </w:p>
              </w:tc>
              <w:tc>
                <w:tcPr>
                  <w:tcW w:w="982" w:type="pct"/>
                  <w:tcBorders>
                    <w:left w:val="single" w:color="auto" w:sz="4" w:space="0"/>
                    <w:bottom w:val="single" w:color="000000" w:sz="12" w:space="0"/>
                    <w:right w:val="single" w:color="auto" w:sz="4" w:space="0"/>
                  </w:tcBorders>
                  <w:vAlign w:val="center"/>
                </w:tcPr>
                <w:p>
                  <w:pPr>
                    <w:adjustRightInd w:val="0"/>
                    <w:snapToGrid w:val="0"/>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eastAsia="zh-CN"/>
                    </w:rPr>
                    <w:t>项目竣工后监测一次</w:t>
                  </w:r>
                </w:p>
              </w:tc>
            </w:tr>
          </w:tbl>
          <w:p>
            <w:pPr>
              <w:spacing w:line="240" w:lineRule="auto"/>
              <w:ind w:firstLine="480" w:firstLineChars="200"/>
              <w:rPr>
                <w:color w:val="auto"/>
                <w:sz w:val="24"/>
                <w:highlight w:val="none"/>
              </w:rPr>
            </w:pPr>
          </w:p>
          <w:p>
            <w:pPr>
              <w:pStyle w:val="23"/>
              <w:spacing w:line="240" w:lineRule="auto"/>
              <w:ind w:firstLine="0" w:firstLineChars="0"/>
              <w:jc w:val="both"/>
              <w:rPr>
                <w:rFonts w:ascii="Times New Roman" w:hAnsi="Times New Roman"/>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vAlign w:val="center"/>
          </w:tcPr>
          <w:p>
            <w:pPr>
              <w:adjustRightInd w:val="0"/>
              <w:snapToGrid w:val="0"/>
              <w:jc w:val="center"/>
              <w:rPr>
                <w:bCs/>
                <w:color w:val="auto"/>
                <w:spacing w:val="10"/>
                <w:szCs w:val="21"/>
                <w:highlight w:val="none"/>
              </w:rPr>
            </w:pPr>
            <w:r>
              <w:rPr>
                <w:bCs/>
                <w:color w:val="auto"/>
                <w:sz w:val="24"/>
                <w:highlight w:val="none"/>
              </w:rPr>
              <w:t>其他</w:t>
            </w:r>
          </w:p>
        </w:tc>
        <w:tc>
          <w:tcPr>
            <w:tcW w:w="8415" w:type="dxa"/>
          </w:tcPr>
          <w:p>
            <w:pPr>
              <w:adjustRightInd w:val="0"/>
              <w:snapToGrid w:val="0"/>
              <w:jc w:val="center"/>
              <w:rPr>
                <w:bCs/>
                <w:color w:val="auto"/>
                <w:spacing w:val="10"/>
                <w:szCs w:val="21"/>
                <w:highlight w:val="none"/>
              </w:rPr>
            </w:pPr>
            <w:r>
              <w:rPr>
                <w:bCs/>
                <w:color w:val="auto"/>
                <w:spacing w:val="10"/>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vAlign w:val="center"/>
          </w:tcPr>
          <w:p>
            <w:pPr>
              <w:adjustRightInd w:val="0"/>
              <w:snapToGrid w:val="0"/>
              <w:jc w:val="center"/>
              <w:rPr>
                <w:bCs/>
                <w:color w:val="auto"/>
                <w:spacing w:val="10"/>
                <w:szCs w:val="21"/>
                <w:highlight w:val="none"/>
              </w:rPr>
            </w:pPr>
            <w:r>
              <w:rPr>
                <w:bCs/>
                <w:color w:val="auto"/>
                <w:sz w:val="24"/>
                <w:highlight w:val="none"/>
              </w:rPr>
              <w:t>环保投资</w:t>
            </w:r>
          </w:p>
        </w:tc>
        <w:tc>
          <w:tcPr>
            <w:tcW w:w="8415" w:type="dxa"/>
          </w:tcPr>
          <w:p>
            <w:pPr>
              <w:spacing w:line="360" w:lineRule="auto"/>
              <w:ind w:firstLine="480" w:firstLineChars="200"/>
              <w:rPr>
                <w:color w:val="auto"/>
                <w:sz w:val="24"/>
                <w:highlight w:val="none"/>
              </w:rPr>
            </w:pPr>
            <w:r>
              <w:rPr>
                <w:color w:val="auto"/>
                <w:sz w:val="24"/>
                <w:highlight w:val="none"/>
              </w:rPr>
              <w:t>本工程动态总投资为</w:t>
            </w:r>
            <w:r>
              <w:rPr>
                <w:rFonts w:hint="eastAsia"/>
                <w:color w:val="auto"/>
                <w:sz w:val="24"/>
                <w:highlight w:val="none"/>
              </w:rPr>
              <w:t>536.03</w:t>
            </w:r>
            <w:r>
              <w:rPr>
                <w:color w:val="auto"/>
                <w:sz w:val="24"/>
                <w:highlight w:val="none"/>
              </w:rPr>
              <w:t>万元，其中环保投资为</w:t>
            </w:r>
            <w:r>
              <w:rPr>
                <w:rFonts w:hint="eastAsia"/>
                <w:color w:val="auto"/>
                <w:sz w:val="24"/>
                <w:highlight w:val="none"/>
              </w:rPr>
              <w:t>38</w:t>
            </w:r>
            <w:r>
              <w:rPr>
                <w:color w:val="auto"/>
                <w:sz w:val="24"/>
                <w:highlight w:val="none"/>
              </w:rPr>
              <w:t>万元，占总投资</w:t>
            </w:r>
            <w:r>
              <w:rPr>
                <w:rFonts w:hint="eastAsia"/>
                <w:color w:val="auto"/>
                <w:sz w:val="24"/>
                <w:highlight w:val="none"/>
              </w:rPr>
              <w:t>7.09%</w:t>
            </w:r>
            <w:r>
              <w:rPr>
                <w:color w:val="auto"/>
                <w:sz w:val="24"/>
                <w:highlight w:val="none"/>
              </w:rPr>
              <w:t>，</w:t>
            </w:r>
            <w:r>
              <w:rPr>
                <w:color w:val="auto"/>
                <w:kern w:val="0"/>
                <w:sz w:val="24"/>
                <w:szCs w:val="20"/>
                <w:highlight w:val="none"/>
                <w:lang w:val="zh-CN"/>
              </w:rPr>
              <w:t>主要包括施工期及运行期的各项环境污染治理投资、生态保护及水土保持投资等。</w:t>
            </w:r>
            <w:r>
              <w:rPr>
                <w:color w:val="auto"/>
                <w:sz w:val="24"/>
                <w:highlight w:val="none"/>
              </w:rPr>
              <w:t>本工程环保投资表见表5-</w:t>
            </w:r>
            <w:r>
              <w:rPr>
                <w:rFonts w:hint="eastAsia"/>
                <w:color w:val="auto"/>
                <w:sz w:val="24"/>
                <w:highlight w:val="none"/>
                <w:lang w:val="en-US" w:eastAsia="zh-CN"/>
              </w:rPr>
              <w:t>5</w:t>
            </w:r>
            <w:r>
              <w:rPr>
                <w:color w:val="auto"/>
                <w:sz w:val="24"/>
                <w:highlight w:val="none"/>
              </w:rPr>
              <w:t>。</w:t>
            </w:r>
          </w:p>
          <w:p>
            <w:pPr>
              <w:jc w:val="center"/>
              <w:rPr>
                <w:b/>
                <w:color w:val="auto"/>
                <w:sz w:val="24"/>
                <w:highlight w:val="none"/>
              </w:rPr>
            </w:pPr>
            <w:r>
              <w:rPr>
                <w:rFonts w:eastAsia="黑体"/>
                <w:b/>
                <w:color w:val="auto"/>
                <w:sz w:val="24"/>
                <w:szCs w:val="20"/>
                <w:highlight w:val="none"/>
              </w:rPr>
              <w:t>表5-</w:t>
            </w:r>
            <w:r>
              <w:rPr>
                <w:rFonts w:hint="eastAsia" w:eastAsia="黑体"/>
                <w:b/>
                <w:color w:val="auto"/>
                <w:sz w:val="24"/>
                <w:szCs w:val="20"/>
                <w:highlight w:val="none"/>
                <w:lang w:val="en-US" w:eastAsia="zh-CN"/>
              </w:rPr>
              <w:t>5</w:t>
            </w:r>
            <w:r>
              <w:rPr>
                <w:rFonts w:eastAsia="黑体"/>
                <w:b/>
                <w:color w:val="auto"/>
                <w:sz w:val="24"/>
                <w:szCs w:val="20"/>
                <w:highlight w:val="none"/>
              </w:rPr>
              <w:t xml:space="preserve">   项目环保投资</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701"/>
              <w:gridCol w:w="1337"/>
              <w:gridCol w:w="5154"/>
              <w:gridCol w:w="69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8" w:type="dxa"/>
                  <w:gridSpan w:val="2"/>
                  <w:tcBorders>
                    <w:tl2br w:val="nil"/>
                    <w:tr2bl w:val="nil"/>
                  </w:tcBorders>
                  <w:shd w:val="clear" w:color="auto" w:fill="auto"/>
                  <w:vAlign w:val="center"/>
                </w:tcPr>
                <w:p>
                  <w:pPr>
                    <w:adjustRightInd w:val="0"/>
                    <w:snapToGrid w:val="0"/>
                    <w:jc w:val="center"/>
                    <w:rPr>
                      <w:b/>
                      <w:color w:val="auto"/>
                      <w:spacing w:val="10"/>
                      <w:szCs w:val="21"/>
                      <w:highlight w:val="none"/>
                    </w:rPr>
                  </w:pPr>
                  <w:r>
                    <w:rPr>
                      <w:rFonts w:hint="eastAsia" w:cs="宋体"/>
                      <w:b/>
                      <w:color w:val="auto"/>
                      <w:spacing w:val="10"/>
                      <w:szCs w:val="21"/>
                      <w:highlight w:val="none"/>
                      <w:lang w:bidi="ar"/>
                    </w:rPr>
                    <w:t>类别</w:t>
                  </w:r>
                </w:p>
              </w:tc>
              <w:tc>
                <w:tcPr>
                  <w:tcW w:w="1340" w:type="dxa"/>
                  <w:tcBorders>
                    <w:tl2br w:val="nil"/>
                    <w:tr2bl w:val="nil"/>
                  </w:tcBorders>
                  <w:shd w:val="clear" w:color="auto" w:fill="auto"/>
                  <w:vAlign w:val="center"/>
                </w:tcPr>
                <w:p>
                  <w:pPr>
                    <w:adjustRightInd w:val="0"/>
                    <w:snapToGrid w:val="0"/>
                    <w:jc w:val="center"/>
                    <w:rPr>
                      <w:b/>
                      <w:color w:val="auto"/>
                      <w:spacing w:val="10"/>
                      <w:szCs w:val="21"/>
                      <w:highlight w:val="none"/>
                    </w:rPr>
                  </w:pPr>
                  <w:r>
                    <w:rPr>
                      <w:rFonts w:hint="eastAsia" w:cs="宋体"/>
                      <w:b/>
                      <w:color w:val="auto"/>
                      <w:spacing w:val="10"/>
                      <w:szCs w:val="21"/>
                      <w:highlight w:val="none"/>
                      <w:lang w:bidi="ar"/>
                    </w:rPr>
                    <w:t>环境影响因子</w:t>
                  </w:r>
                </w:p>
              </w:tc>
              <w:tc>
                <w:tcPr>
                  <w:tcW w:w="5176" w:type="dxa"/>
                  <w:tcBorders>
                    <w:tl2br w:val="nil"/>
                    <w:tr2bl w:val="nil"/>
                  </w:tcBorders>
                  <w:shd w:val="clear" w:color="auto" w:fill="auto"/>
                  <w:vAlign w:val="center"/>
                </w:tcPr>
                <w:p>
                  <w:pPr>
                    <w:adjustRightInd w:val="0"/>
                    <w:snapToGrid w:val="0"/>
                    <w:jc w:val="center"/>
                    <w:rPr>
                      <w:b/>
                      <w:color w:val="auto"/>
                      <w:spacing w:val="10"/>
                      <w:szCs w:val="21"/>
                      <w:highlight w:val="none"/>
                    </w:rPr>
                  </w:pPr>
                  <w:r>
                    <w:rPr>
                      <w:rFonts w:hint="eastAsia" w:cs="宋体"/>
                      <w:b/>
                      <w:color w:val="auto"/>
                      <w:spacing w:val="10"/>
                      <w:szCs w:val="21"/>
                      <w:highlight w:val="none"/>
                      <w:lang w:bidi="ar"/>
                    </w:rPr>
                    <w:t>保护措施</w:t>
                  </w:r>
                </w:p>
              </w:tc>
              <w:tc>
                <w:tcPr>
                  <w:tcW w:w="698" w:type="dxa"/>
                  <w:tcBorders>
                    <w:tl2br w:val="nil"/>
                    <w:tr2bl w:val="nil"/>
                  </w:tcBorders>
                  <w:shd w:val="clear" w:color="auto" w:fill="auto"/>
                  <w:vAlign w:val="center"/>
                </w:tcPr>
                <w:p>
                  <w:pPr>
                    <w:adjustRightInd w:val="0"/>
                    <w:snapToGrid w:val="0"/>
                    <w:jc w:val="center"/>
                    <w:rPr>
                      <w:b/>
                      <w:color w:val="auto"/>
                      <w:spacing w:val="10"/>
                      <w:szCs w:val="21"/>
                      <w:highlight w:val="none"/>
                    </w:rPr>
                  </w:pPr>
                  <w:r>
                    <w:rPr>
                      <w:rFonts w:hint="eastAsia" w:cs="宋体"/>
                      <w:b/>
                      <w:color w:val="auto"/>
                      <w:spacing w:val="10"/>
                      <w:szCs w:val="21"/>
                      <w:highlight w:val="none"/>
                      <w:lang w:bidi="ar"/>
                    </w:rPr>
                    <w:t>投资估算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restart"/>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施工期</w:t>
                  </w:r>
                </w:p>
              </w:tc>
              <w:tc>
                <w:tcPr>
                  <w:tcW w:w="702"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生态保护</w:t>
                  </w:r>
                </w:p>
              </w:tc>
              <w:tc>
                <w:tcPr>
                  <w:tcW w:w="1340"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占地、水土流失</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bCs/>
                      <w:color w:val="auto"/>
                      <w:spacing w:val="10"/>
                      <w:szCs w:val="21"/>
                      <w:highlight w:val="none"/>
                      <w:lang w:bidi="ar"/>
                    </w:rPr>
                    <w:t>实施水土保持方案，分层开挖，土方分层堆放，施工结束后对临时占地回填，对坝坡种植灌草，临时占地撒草籽，恢复至原有土地使用功能。</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continue"/>
                  <w:tcBorders>
                    <w:tl2br w:val="nil"/>
                    <w:tr2bl w:val="nil"/>
                  </w:tcBorders>
                  <w:shd w:val="clear" w:color="auto" w:fill="auto"/>
                  <w:vAlign w:val="center"/>
                </w:tcPr>
                <w:p>
                  <w:pPr>
                    <w:rPr>
                      <w:color w:val="auto"/>
                      <w:sz w:val="20"/>
                      <w:szCs w:val="20"/>
                      <w:highlight w:val="none"/>
                    </w:rPr>
                  </w:pPr>
                </w:p>
              </w:tc>
              <w:tc>
                <w:tcPr>
                  <w:tcW w:w="702"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废气治理</w:t>
                  </w:r>
                </w:p>
              </w:tc>
              <w:tc>
                <w:tcPr>
                  <w:tcW w:w="1340"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施工扬尘、施工机械及汽车尾气等</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color w:val="auto"/>
                      <w:szCs w:val="21"/>
                      <w:highlight w:val="none"/>
                      <w:lang w:bidi="ar"/>
                    </w:rPr>
                    <w:t>施工扬尘、车辆运输起尘及建筑材料的堆放、装卸过程产生的扬尘采用遮挡、苫盖、洒水等降尘措施；施工期施工机械、车辆尾气通过加强施工设备维护、人员管理、合理布设施工环节等措施减少废气排放。</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continue"/>
                  <w:tcBorders>
                    <w:tl2br w:val="nil"/>
                    <w:tr2bl w:val="nil"/>
                  </w:tcBorders>
                  <w:shd w:val="clear" w:color="auto" w:fill="auto"/>
                  <w:vAlign w:val="center"/>
                </w:tcPr>
                <w:p>
                  <w:pPr>
                    <w:rPr>
                      <w:color w:val="auto"/>
                      <w:sz w:val="20"/>
                      <w:szCs w:val="20"/>
                      <w:highlight w:val="none"/>
                    </w:rPr>
                  </w:pPr>
                </w:p>
              </w:tc>
              <w:tc>
                <w:tcPr>
                  <w:tcW w:w="702"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废水治理</w:t>
                  </w:r>
                </w:p>
              </w:tc>
              <w:tc>
                <w:tcPr>
                  <w:tcW w:w="1340"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施工废水、生活污水</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bCs/>
                      <w:color w:val="auto"/>
                      <w:spacing w:val="10"/>
                      <w:szCs w:val="21"/>
                      <w:highlight w:val="none"/>
                      <w:lang w:bidi="ar"/>
                    </w:rPr>
                    <w:t>施工废水经临时沉淀池处理后，洒水抑尘。</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continue"/>
                  <w:tcBorders>
                    <w:tl2br w:val="nil"/>
                    <w:tr2bl w:val="nil"/>
                  </w:tcBorders>
                  <w:shd w:val="clear" w:color="auto" w:fill="auto"/>
                  <w:vAlign w:val="center"/>
                </w:tcPr>
                <w:p>
                  <w:pPr>
                    <w:rPr>
                      <w:color w:val="auto"/>
                      <w:sz w:val="20"/>
                      <w:szCs w:val="20"/>
                      <w:highlight w:val="none"/>
                    </w:rPr>
                  </w:pPr>
                </w:p>
              </w:tc>
              <w:tc>
                <w:tcPr>
                  <w:tcW w:w="702"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噪声治理</w:t>
                  </w:r>
                </w:p>
              </w:tc>
              <w:tc>
                <w:tcPr>
                  <w:tcW w:w="1340"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施工设备、车辆</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bCs/>
                      <w:color w:val="auto"/>
                      <w:spacing w:val="10"/>
                      <w:szCs w:val="21"/>
                      <w:highlight w:val="none"/>
                      <w:lang w:bidi="ar"/>
                    </w:rPr>
                    <w:t>选择低噪声先进设备；加强设备维护和限制施工时间等。</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continue"/>
                  <w:tcBorders>
                    <w:tl2br w:val="nil"/>
                    <w:tr2bl w:val="nil"/>
                  </w:tcBorders>
                  <w:shd w:val="clear" w:color="auto" w:fill="auto"/>
                  <w:vAlign w:val="center"/>
                </w:tcPr>
                <w:p>
                  <w:pPr>
                    <w:rPr>
                      <w:color w:val="auto"/>
                      <w:sz w:val="20"/>
                      <w:szCs w:val="20"/>
                      <w:highlight w:val="none"/>
                    </w:rPr>
                  </w:pPr>
                </w:p>
              </w:tc>
              <w:tc>
                <w:tcPr>
                  <w:tcW w:w="702"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固废处置</w:t>
                  </w:r>
                </w:p>
              </w:tc>
              <w:tc>
                <w:tcPr>
                  <w:tcW w:w="1340"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val="en-US" w:eastAsia="zh-CN" w:bidi="ar"/>
                    </w:rPr>
                    <w:t>弃方</w:t>
                  </w:r>
                  <w:r>
                    <w:rPr>
                      <w:rFonts w:hint="eastAsia" w:cs="宋体"/>
                      <w:bCs/>
                      <w:color w:val="auto"/>
                      <w:spacing w:val="10"/>
                      <w:szCs w:val="21"/>
                      <w:highlight w:val="none"/>
                      <w:lang w:bidi="ar"/>
                    </w:rPr>
                    <w:t>、建筑垃圾、生活垃圾</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bCs/>
                      <w:color w:val="auto"/>
                      <w:spacing w:val="10"/>
                      <w:szCs w:val="21"/>
                      <w:highlight w:val="none"/>
                      <w:lang w:val="en-US" w:eastAsia="zh-CN" w:bidi="ar"/>
                    </w:rPr>
                    <w:t>弃方</w:t>
                  </w:r>
                  <w:r>
                    <w:rPr>
                      <w:rFonts w:hint="eastAsia" w:cs="宋体"/>
                      <w:bCs/>
                      <w:color w:val="auto"/>
                      <w:spacing w:val="10"/>
                      <w:szCs w:val="21"/>
                      <w:highlight w:val="none"/>
                      <w:lang w:bidi="ar"/>
                    </w:rPr>
                    <w:t>全部用于取土场土地平整；可回收利用的回收利用，不能回收利用的运送至建筑垃圾堆场进行处置；施工</w:t>
                  </w:r>
                  <w:r>
                    <w:rPr>
                      <w:rFonts w:hint="eastAsia" w:cs="宋体"/>
                      <w:bCs/>
                      <w:color w:val="auto"/>
                      <w:spacing w:val="10"/>
                      <w:szCs w:val="21"/>
                      <w:highlight w:val="none"/>
                      <w:lang w:val="en-US" w:eastAsia="zh-CN" w:bidi="ar"/>
                    </w:rPr>
                    <w:t>生活</w:t>
                  </w:r>
                  <w:r>
                    <w:rPr>
                      <w:rFonts w:hint="eastAsia" w:cs="宋体"/>
                      <w:bCs/>
                      <w:color w:val="auto"/>
                      <w:spacing w:val="10"/>
                      <w:szCs w:val="21"/>
                      <w:highlight w:val="none"/>
                      <w:lang w:bidi="ar"/>
                    </w:rPr>
                    <w:t>垃圾环卫部门定期清理。</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vMerge w:val="continue"/>
                  <w:tcBorders>
                    <w:tl2br w:val="nil"/>
                    <w:tr2bl w:val="nil"/>
                  </w:tcBorders>
                  <w:shd w:val="clear" w:color="auto" w:fill="auto"/>
                  <w:vAlign w:val="center"/>
                </w:tcPr>
                <w:p>
                  <w:pPr>
                    <w:rPr>
                      <w:color w:val="auto"/>
                      <w:sz w:val="20"/>
                      <w:szCs w:val="20"/>
                      <w:highlight w:val="none"/>
                    </w:rPr>
                  </w:pPr>
                </w:p>
              </w:tc>
              <w:tc>
                <w:tcPr>
                  <w:tcW w:w="2042" w:type="dxa"/>
                  <w:gridSpan w:val="2"/>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环境监测</w:t>
                  </w:r>
                </w:p>
              </w:tc>
              <w:tc>
                <w:tcPr>
                  <w:tcW w:w="5176" w:type="dxa"/>
                  <w:tcBorders>
                    <w:tl2br w:val="nil"/>
                    <w:tr2bl w:val="nil"/>
                  </w:tcBorders>
                  <w:shd w:val="clear" w:color="auto" w:fill="auto"/>
                  <w:vAlign w:val="center"/>
                </w:tcPr>
                <w:p>
                  <w:pPr>
                    <w:adjustRightInd w:val="0"/>
                    <w:snapToGrid w:val="0"/>
                    <w:rPr>
                      <w:bCs/>
                      <w:color w:val="auto"/>
                      <w:spacing w:val="10"/>
                      <w:szCs w:val="21"/>
                      <w:highlight w:val="none"/>
                    </w:rPr>
                  </w:pPr>
                  <w:r>
                    <w:rPr>
                      <w:rFonts w:hint="eastAsia" w:cs="宋体"/>
                      <w:bCs/>
                      <w:color w:val="auto"/>
                      <w:spacing w:val="10"/>
                      <w:szCs w:val="21"/>
                      <w:highlight w:val="none"/>
                      <w:lang w:bidi="ar"/>
                    </w:rPr>
                    <w:t>根据施工期环境监测计划实施</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6"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运营期</w:t>
                  </w:r>
                </w:p>
              </w:tc>
              <w:tc>
                <w:tcPr>
                  <w:tcW w:w="2042" w:type="dxa"/>
                  <w:gridSpan w:val="2"/>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环境管理</w:t>
                  </w:r>
                </w:p>
              </w:tc>
              <w:tc>
                <w:tcPr>
                  <w:tcW w:w="5176" w:type="dxa"/>
                  <w:tcBorders>
                    <w:tl2br w:val="nil"/>
                    <w:tr2bl w:val="nil"/>
                  </w:tcBorders>
                  <w:shd w:val="clear" w:color="auto" w:fill="auto"/>
                  <w:vAlign w:val="center"/>
                </w:tcPr>
                <w:p>
                  <w:pPr>
                    <w:adjustRightInd w:val="0"/>
                    <w:snapToGrid w:val="0"/>
                    <w:rPr>
                      <w:rFonts w:hint="eastAsia" w:eastAsia="宋体"/>
                      <w:bCs/>
                      <w:color w:val="auto"/>
                      <w:spacing w:val="10"/>
                      <w:szCs w:val="21"/>
                      <w:highlight w:val="none"/>
                      <w:lang w:eastAsia="zh-CN"/>
                    </w:rPr>
                  </w:pPr>
                  <w:r>
                    <w:rPr>
                      <w:rFonts w:hint="eastAsia" w:cs="宋体"/>
                      <w:bCs/>
                      <w:color w:val="auto"/>
                      <w:spacing w:val="10"/>
                      <w:szCs w:val="21"/>
                      <w:highlight w:val="none"/>
                      <w:lang w:bidi="ar"/>
                    </w:rPr>
                    <w:t>加强植被维护和环境管理</w:t>
                  </w:r>
                  <w:r>
                    <w:rPr>
                      <w:rFonts w:hint="eastAsia" w:cs="宋体"/>
                      <w:bCs/>
                      <w:color w:val="auto"/>
                      <w:spacing w:val="10"/>
                      <w:szCs w:val="21"/>
                      <w:highlight w:val="none"/>
                      <w:lang w:eastAsia="zh-CN" w:bidi="ar"/>
                    </w:rPr>
                    <w:t>，运期环境监测</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lang w:bidi="ar"/>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54" w:type="dxa"/>
                  <w:gridSpan w:val="4"/>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cs="宋体"/>
                      <w:bCs/>
                      <w:color w:val="auto"/>
                      <w:spacing w:val="10"/>
                      <w:szCs w:val="21"/>
                      <w:highlight w:val="none"/>
                      <w:lang w:bidi="ar"/>
                    </w:rPr>
                    <w:t>合计</w:t>
                  </w:r>
                </w:p>
              </w:tc>
              <w:tc>
                <w:tcPr>
                  <w:tcW w:w="698" w:type="dxa"/>
                  <w:tcBorders>
                    <w:tl2br w:val="nil"/>
                    <w:tr2bl w:val="nil"/>
                  </w:tcBorders>
                  <w:shd w:val="clear" w:color="auto" w:fill="auto"/>
                  <w:vAlign w:val="center"/>
                </w:tcPr>
                <w:p>
                  <w:pPr>
                    <w:adjustRightInd w:val="0"/>
                    <w:snapToGrid w:val="0"/>
                    <w:jc w:val="center"/>
                    <w:rPr>
                      <w:bCs/>
                      <w:color w:val="auto"/>
                      <w:spacing w:val="10"/>
                      <w:szCs w:val="21"/>
                      <w:highlight w:val="none"/>
                    </w:rPr>
                  </w:pPr>
                  <w:r>
                    <w:rPr>
                      <w:rFonts w:hint="eastAsia"/>
                      <w:bCs/>
                      <w:color w:val="auto"/>
                      <w:spacing w:val="10"/>
                      <w:szCs w:val="21"/>
                      <w:highlight w:val="none"/>
                    </w:rPr>
                    <w:t>38</w:t>
                  </w:r>
                </w:p>
              </w:tc>
            </w:tr>
          </w:tbl>
          <w:p>
            <w:pPr>
              <w:adjustRightInd w:val="0"/>
              <w:spacing w:line="240" w:lineRule="auto"/>
              <w:ind w:firstLine="573"/>
              <w:jc w:val="center"/>
              <w:rPr>
                <w:b/>
                <w:color w:val="auto"/>
                <w:sz w:val="24"/>
                <w:highlight w:val="none"/>
              </w:rPr>
            </w:pPr>
          </w:p>
          <w:p>
            <w:pPr>
              <w:adjustRightInd w:val="0"/>
              <w:snapToGrid w:val="0"/>
              <w:spacing w:line="240" w:lineRule="auto"/>
              <w:rPr>
                <w:bCs/>
                <w:color w:val="auto"/>
                <w:spacing w:val="10"/>
                <w:szCs w:val="21"/>
                <w:highlight w:val="none"/>
              </w:rPr>
            </w:pPr>
          </w:p>
        </w:tc>
      </w:tr>
    </w:tbl>
    <w:p>
      <w:pPr>
        <w:rPr>
          <w:color w:val="auto"/>
          <w:highlight w:val="none"/>
        </w:rPr>
      </w:pPr>
    </w:p>
    <w:p>
      <w:pPr>
        <w:rPr>
          <w:color w:val="auto"/>
          <w:highlight w:val="none"/>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1"/>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六、生态环境保护措施监督检查清单</w:t>
      </w:r>
    </w:p>
    <w:tbl>
      <w:tblPr>
        <w:tblStyle w:val="24"/>
        <w:tblW w:w="4998"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70"/>
        <w:gridCol w:w="2800"/>
        <w:gridCol w:w="1380"/>
        <w:gridCol w:w="1907"/>
        <w:gridCol w:w="14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569" w:type="pct"/>
            <w:vMerge w:val="restart"/>
            <w:tcBorders>
              <w:tl2br w:val="single" w:color="auto" w:sz="4" w:space="0"/>
            </w:tcBorders>
          </w:tcPr>
          <w:p>
            <w:pPr>
              <w:pStyle w:val="21"/>
              <w:adjustRightInd w:val="0"/>
              <w:snapToGrid w:val="0"/>
              <w:spacing w:before="72" w:beforeLines="3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 xml:space="preserve"> 内容</w:t>
            </w:r>
          </w:p>
          <w:p>
            <w:pPr>
              <w:pStyle w:val="21"/>
              <w:adjustRightInd w:val="0"/>
              <w:snapToGrid w:val="0"/>
              <w:spacing w:before="0" w:beforeAutospacing="0" w:after="0" w:afterAutospacing="0" w:line="14" w:lineRule="auto"/>
              <w:outlineLvl w:val="0"/>
              <w:rPr>
                <w:rFonts w:ascii="Times New Roman" w:hAnsi="Times New Roman" w:eastAsia="黑体"/>
                <w:color w:val="auto"/>
                <w:kern w:val="2"/>
                <w:sz w:val="135"/>
                <w:szCs w:val="21"/>
                <w:highlight w:val="none"/>
              </w:rPr>
            </w:pPr>
            <w:r>
              <w:rPr>
                <w:rFonts w:ascii="Times New Roman" w:hAnsi="Times New Roman" w:eastAsia="黑体"/>
                <w:color w:val="auto"/>
                <w:kern w:val="2"/>
                <w:sz w:val="21"/>
                <w:szCs w:val="21"/>
                <w:highlight w:val="none"/>
              </w:rPr>
              <w:t xml:space="preserve"> </w:t>
            </w:r>
            <w:r>
              <w:rPr>
                <w:rFonts w:ascii="Times New Roman" w:hAnsi="Times New Roman" w:eastAsia="黑体"/>
                <w:color w:val="auto"/>
                <w:kern w:val="2"/>
                <w:sz w:val="135"/>
                <w:szCs w:val="21"/>
                <w:highlight w:val="none"/>
              </w:rPr>
              <w:t xml:space="preserve"> </w:t>
            </w:r>
          </w:p>
          <w:p>
            <w:pPr>
              <w:pStyle w:val="21"/>
              <w:adjustRightInd w:val="0"/>
              <w:snapToGrid w:val="0"/>
              <w:spacing w:before="0" w:beforeAutospacing="0" w:after="0" w:afterAutospacing="0"/>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要素</w:t>
            </w:r>
          </w:p>
        </w:tc>
        <w:tc>
          <w:tcPr>
            <w:tcW w:w="2453" w:type="pct"/>
            <w:gridSpan w:val="2"/>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施工期</w:t>
            </w:r>
          </w:p>
        </w:tc>
        <w:tc>
          <w:tcPr>
            <w:tcW w:w="1977" w:type="pct"/>
            <w:gridSpan w:val="2"/>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69" w:type="pct"/>
            <w:vMerge w:val="continue"/>
          </w:tcPr>
          <w:p>
            <w:pPr>
              <w:pStyle w:val="21"/>
              <w:adjustRightInd w:val="0"/>
              <w:snapToGrid w:val="0"/>
              <w:spacing w:before="0" w:beforeAutospacing="0" w:after="0" w:afterAutospacing="0"/>
              <w:ind w:firstLine="840"/>
              <w:jc w:val="center"/>
              <w:outlineLvl w:val="0"/>
              <w:rPr>
                <w:rFonts w:ascii="Times New Roman" w:hAnsi="Times New Roman" w:eastAsia="黑体"/>
                <w:color w:val="auto"/>
                <w:kern w:val="2"/>
                <w:sz w:val="21"/>
                <w:szCs w:val="21"/>
                <w:highlight w:val="none"/>
              </w:rPr>
            </w:pPr>
          </w:p>
        </w:tc>
        <w:tc>
          <w:tcPr>
            <w:tcW w:w="1643" w:type="pct"/>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环境保护措施</w:t>
            </w:r>
          </w:p>
        </w:tc>
        <w:tc>
          <w:tcPr>
            <w:tcW w:w="809" w:type="pct"/>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验收要求</w:t>
            </w:r>
          </w:p>
        </w:tc>
        <w:tc>
          <w:tcPr>
            <w:tcW w:w="1119" w:type="pct"/>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环境保护措施</w:t>
            </w:r>
          </w:p>
        </w:tc>
        <w:tc>
          <w:tcPr>
            <w:tcW w:w="858" w:type="pct"/>
            <w:vAlign w:val="center"/>
          </w:tcPr>
          <w:p>
            <w:pPr>
              <w:pStyle w:val="21"/>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陆生生态</w:t>
            </w:r>
          </w:p>
        </w:tc>
        <w:tc>
          <w:tcPr>
            <w:tcW w:w="1643" w:type="pct"/>
            <w:vAlign w:val="center"/>
          </w:tcPr>
          <w:p>
            <w:pPr>
              <w:adjustRightInd w:val="0"/>
              <w:snapToGrid w:val="0"/>
              <w:rPr>
                <w:color w:val="auto"/>
                <w:szCs w:val="21"/>
                <w:highlight w:val="none"/>
              </w:rPr>
            </w:pPr>
            <w:r>
              <w:rPr>
                <w:rFonts w:hint="eastAsia"/>
                <w:color w:val="auto"/>
                <w:szCs w:val="21"/>
                <w:highlight w:val="none"/>
              </w:rPr>
              <w:t>施工时控制施工作业范围、尽量利用现有道路，材料堆放场布置在植被较少的区域；进行表土剥离，并单独存放，用于生态补偿用地及临时占地绿化覆土使用；施工结束后及时将临时占地恢复原有土地功能。</w:t>
            </w:r>
          </w:p>
        </w:tc>
        <w:tc>
          <w:tcPr>
            <w:tcW w:w="809" w:type="pct"/>
            <w:vAlign w:val="center"/>
          </w:tcPr>
          <w:p>
            <w:pPr>
              <w:adjustRightInd w:val="0"/>
              <w:snapToGrid w:val="0"/>
              <w:rPr>
                <w:color w:val="auto"/>
                <w:szCs w:val="21"/>
                <w:highlight w:val="none"/>
              </w:rPr>
            </w:pPr>
            <w:r>
              <w:rPr>
                <w:rFonts w:hint="eastAsia"/>
                <w:color w:val="auto"/>
                <w:szCs w:val="21"/>
                <w:highlight w:val="none"/>
              </w:rPr>
              <w:t>临时占地</w:t>
            </w:r>
            <w:r>
              <w:rPr>
                <w:color w:val="auto"/>
                <w:szCs w:val="21"/>
                <w:highlight w:val="none"/>
              </w:rPr>
              <w:t>恢复原有土地功能</w:t>
            </w:r>
          </w:p>
        </w:tc>
        <w:tc>
          <w:tcPr>
            <w:tcW w:w="1119" w:type="pct"/>
            <w:vAlign w:val="center"/>
          </w:tcPr>
          <w:p>
            <w:pPr>
              <w:adjustRightInd w:val="0"/>
              <w:snapToGrid w:val="0"/>
              <w:rPr>
                <w:color w:val="auto"/>
                <w:szCs w:val="21"/>
                <w:highlight w:val="none"/>
              </w:rPr>
            </w:pPr>
            <w:r>
              <w:rPr>
                <w:rFonts w:hint="eastAsia"/>
                <w:color w:val="auto"/>
                <w:szCs w:val="21"/>
                <w:highlight w:val="none"/>
              </w:rPr>
              <w:t>检查施工扰动区域的土地恢复情况，坝坡灌草维护</w:t>
            </w:r>
          </w:p>
        </w:tc>
        <w:tc>
          <w:tcPr>
            <w:tcW w:w="858" w:type="pct"/>
            <w:vAlign w:val="center"/>
          </w:tcPr>
          <w:p>
            <w:pPr>
              <w:adjustRightInd w:val="0"/>
              <w:snapToGrid w:val="0"/>
              <w:rPr>
                <w:color w:val="auto"/>
                <w:szCs w:val="21"/>
                <w:highlight w:val="none"/>
              </w:rPr>
            </w:pPr>
            <w:r>
              <w:rPr>
                <w:rFonts w:hint="eastAsia"/>
                <w:color w:val="auto"/>
                <w:szCs w:val="21"/>
                <w:highlight w:val="none"/>
              </w:rPr>
              <w:t>临时占地恢复原有土地使用功能，满足灌草种植要求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水生生态</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地表水环境</w:t>
            </w:r>
          </w:p>
        </w:tc>
        <w:tc>
          <w:tcPr>
            <w:tcW w:w="1643" w:type="pct"/>
            <w:vAlign w:val="center"/>
          </w:tcPr>
          <w:p>
            <w:pPr>
              <w:adjustRightInd w:val="0"/>
              <w:snapToGrid w:val="0"/>
              <w:rPr>
                <w:color w:val="auto"/>
                <w:szCs w:val="21"/>
                <w:highlight w:val="none"/>
              </w:rPr>
            </w:pPr>
            <w:r>
              <w:rPr>
                <w:rFonts w:hint="eastAsia"/>
                <w:color w:val="auto"/>
                <w:szCs w:val="21"/>
                <w:highlight w:val="none"/>
              </w:rPr>
              <w:t>施工人员租住附近村庄民房，生活盥洗水用于施工场地、道路洒水降尘</w:t>
            </w:r>
            <w:r>
              <w:rPr>
                <w:color w:val="auto"/>
                <w:szCs w:val="21"/>
                <w:highlight w:val="none"/>
              </w:rPr>
              <w:t>；生产废水经沉淀澄清后用于场地、道路洒水降尘</w:t>
            </w:r>
            <w:r>
              <w:rPr>
                <w:rFonts w:hint="eastAsia"/>
                <w:color w:val="auto"/>
                <w:szCs w:val="21"/>
                <w:highlight w:val="none"/>
              </w:rPr>
              <w:t>。</w:t>
            </w:r>
          </w:p>
        </w:tc>
        <w:tc>
          <w:tcPr>
            <w:tcW w:w="809" w:type="pct"/>
            <w:vAlign w:val="center"/>
          </w:tcPr>
          <w:p>
            <w:pPr>
              <w:adjustRightInd w:val="0"/>
              <w:snapToGrid w:val="0"/>
              <w:rPr>
                <w:color w:val="auto"/>
                <w:szCs w:val="21"/>
                <w:highlight w:val="none"/>
              </w:rPr>
            </w:pPr>
            <w:r>
              <w:rPr>
                <w:color w:val="auto"/>
                <w:szCs w:val="21"/>
                <w:highlight w:val="none"/>
              </w:rPr>
              <w:t>污水不外排</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地下水及土壤环境</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声环境</w:t>
            </w:r>
          </w:p>
        </w:tc>
        <w:tc>
          <w:tcPr>
            <w:tcW w:w="1643" w:type="pct"/>
            <w:vAlign w:val="center"/>
          </w:tcPr>
          <w:p>
            <w:pPr>
              <w:adjustRightInd w:val="0"/>
              <w:snapToGrid w:val="0"/>
              <w:rPr>
                <w:color w:val="auto"/>
                <w:szCs w:val="21"/>
                <w:highlight w:val="none"/>
              </w:rPr>
            </w:pPr>
            <w:r>
              <w:rPr>
                <w:color w:val="auto"/>
                <w:szCs w:val="21"/>
                <w:highlight w:val="none"/>
              </w:rPr>
              <w:t>施工过程中选用低噪声的施工设备，设备运行时噪声不大于70dB(A)；限制施工作业时间，夜间（22:00-6:00）禁止施工；现场金属材料的装卸做到轻拿轻放；施工单位对施工机械设备定期进行维修养护。</w:t>
            </w:r>
          </w:p>
        </w:tc>
        <w:tc>
          <w:tcPr>
            <w:tcW w:w="809" w:type="pct"/>
            <w:vAlign w:val="center"/>
          </w:tcPr>
          <w:p>
            <w:pPr>
              <w:adjustRightInd w:val="0"/>
              <w:snapToGrid w:val="0"/>
              <w:rPr>
                <w:color w:val="auto"/>
                <w:szCs w:val="21"/>
                <w:highlight w:val="none"/>
              </w:rPr>
            </w:pPr>
            <w:r>
              <w:rPr>
                <w:color w:val="auto"/>
                <w:szCs w:val="21"/>
                <w:highlight w:val="none"/>
              </w:rPr>
              <w:t>满足《建筑施工场界环境噪声排放标准》（GB12523-2011）</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振动</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大气环境</w:t>
            </w:r>
          </w:p>
        </w:tc>
        <w:tc>
          <w:tcPr>
            <w:tcW w:w="1643" w:type="pct"/>
            <w:vAlign w:val="center"/>
          </w:tcPr>
          <w:p>
            <w:pPr>
              <w:adjustRightInd w:val="0"/>
              <w:snapToGrid w:val="0"/>
              <w:rPr>
                <w:color w:val="auto"/>
                <w:szCs w:val="21"/>
                <w:highlight w:val="none"/>
              </w:rPr>
            </w:pPr>
            <w:r>
              <w:rPr>
                <w:color w:val="auto"/>
                <w:szCs w:val="21"/>
                <w:highlight w:val="none"/>
              </w:rPr>
              <w:t>施工现场物料堆放</w:t>
            </w:r>
            <w:r>
              <w:rPr>
                <w:rFonts w:hint="eastAsia"/>
                <w:color w:val="auto"/>
                <w:szCs w:val="21"/>
                <w:highlight w:val="none"/>
                <w:lang w:val="en-US" w:eastAsia="zh-CN"/>
              </w:rPr>
              <w:t>进行苫盖</w:t>
            </w:r>
            <w:r>
              <w:rPr>
                <w:color w:val="auto"/>
                <w:szCs w:val="21"/>
                <w:highlight w:val="none"/>
              </w:rPr>
              <w:t>、土方开挖湿法作业、路面硬化、出入车辆清洗、</w:t>
            </w:r>
            <w:r>
              <w:rPr>
                <w:rFonts w:hint="eastAsia"/>
                <w:color w:val="auto"/>
                <w:szCs w:val="21"/>
                <w:highlight w:val="none"/>
              </w:rPr>
              <w:t>土石方</w:t>
            </w:r>
            <w:r>
              <w:rPr>
                <w:color w:val="auto"/>
                <w:szCs w:val="21"/>
                <w:highlight w:val="none"/>
              </w:rPr>
              <w:t>车辆密闭运输等措施</w:t>
            </w:r>
          </w:p>
        </w:tc>
        <w:tc>
          <w:tcPr>
            <w:tcW w:w="809" w:type="pct"/>
            <w:vAlign w:val="center"/>
          </w:tcPr>
          <w:p>
            <w:pPr>
              <w:adjustRightInd w:val="0"/>
              <w:snapToGrid w:val="0"/>
              <w:rPr>
                <w:color w:val="auto"/>
                <w:szCs w:val="21"/>
                <w:highlight w:val="none"/>
              </w:rPr>
            </w:pPr>
            <w:r>
              <w:rPr>
                <w:color w:val="auto"/>
                <w:szCs w:val="21"/>
                <w:highlight w:val="none"/>
              </w:rPr>
              <w:t>满足《大气污染物综合排放标准》（GB16297-1996）中其他颗粒物的无组织排放监控浓度限值</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固体废物</w:t>
            </w:r>
          </w:p>
        </w:tc>
        <w:tc>
          <w:tcPr>
            <w:tcW w:w="1643" w:type="pct"/>
            <w:vAlign w:val="center"/>
          </w:tcPr>
          <w:p>
            <w:pPr>
              <w:adjustRightInd w:val="0"/>
              <w:snapToGrid w:val="0"/>
              <w:rPr>
                <w:color w:val="auto"/>
                <w:szCs w:val="21"/>
                <w:highlight w:val="none"/>
              </w:rPr>
            </w:pPr>
            <w:r>
              <w:rPr>
                <w:rFonts w:hint="eastAsia"/>
                <w:color w:val="auto"/>
                <w:szCs w:val="21"/>
                <w:highlight w:val="none"/>
                <w:lang w:val="en-US" w:eastAsia="zh-CN"/>
              </w:rPr>
              <w:t>弃</w:t>
            </w:r>
            <w:r>
              <w:rPr>
                <w:rFonts w:hint="eastAsia"/>
                <w:color w:val="auto"/>
                <w:szCs w:val="21"/>
                <w:highlight w:val="none"/>
              </w:rPr>
              <w:t>方</w:t>
            </w:r>
            <w:r>
              <w:rPr>
                <w:color w:val="auto"/>
                <w:szCs w:val="21"/>
                <w:highlight w:val="none"/>
              </w:rPr>
              <w:t>全部用于</w:t>
            </w:r>
            <w:r>
              <w:rPr>
                <w:rFonts w:hint="eastAsia"/>
                <w:color w:val="auto"/>
                <w:szCs w:val="21"/>
                <w:highlight w:val="none"/>
                <w:lang w:val="en-US" w:eastAsia="zh-CN"/>
              </w:rPr>
              <w:t>取土场</w:t>
            </w:r>
            <w:r>
              <w:rPr>
                <w:color w:val="auto"/>
                <w:szCs w:val="21"/>
                <w:highlight w:val="none"/>
              </w:rPr>
              <w:t>土地平整；建筑垃圾中可回收利用的回收利用，不能回收利用的运送至政府指定地点进行处置；施工人员生活垃圾经统一收集后由当地环卫部门统一清运处置</w:t>
            </w:r>
          </w:p>
        </w:tc>
        <w:tc>
          <w:tcPr>
            <w:tcW w:w="809" w:type="pct"/>
            <w:vAlign w:val="center"/>
          </w:tcPr>
          <w:p>
            <w:pPr>
              <w:adjustRightInd w:val="0"/>
              <w:snapToGrid w:val="0"/>
              <w:rPr>
                <w:color w:val="auto"/>
                <w:szCs w:val="21"/>
                <w:highlight w:val="none"/>
              </w:rPr>
            </w:pPr>
            <w:r>
              <w:rPr>
                <w:color w:val="auto"/>
                <w:szCs w:val="21"/>
                <w:highlight w:val="none"/>
              </w:rPr>
              <w:t>按要求处置</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电磁环境</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环境风险</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环境监测</w:t>
            </w:r>
          </w:p>
        </w:tc>
        <w:tc>
          <w:tcPr>
            <w:tcW w:w="1643" w:type="pct"/>
            <w:vAlign w:val="center"/>
          </w:tcPr>
          <w:p>
            <w:pPr>
              <w:adjustRightInd w:val="0"/>
              <w:snapToGrid w:val="0"/>
              <w:jc w:val="center"/>
              <w:rPr>
                <w:rFonts w:ascii="Times New Roman" w:hAnsi="Times New Roman" w:eastAsia="宋体" w:cs="Times New Roman"/>
                <w:color w:val="auto"/>
                <w:kern w:val="2"/>
                <w:sz w:val="21"/>
                <w:szCs w:val="21"/>
                <w:highlight w:val="none"/>
                <w:lang w:val="en-US" w:eastAsia="zh-CN" w:bidi="ar-SA"/>
              </w:rPr>
            </w:pPr>
            <w:r>
              <w:rPr>
                <w:rFonts w:hint="eastAsia" w:cs="宋体"/>
                <w:color w:val="auto"/>
                <w:szCs w:val="21"/>
                <w:highlight w:val="none"/>
                <w:lang w:bidi="ar"/>
              </w:rPr>
              <w:t>按照施工期环境监测计划对项目进行</w:t>
            </w:r>
            <w:r>
              <w:rPr>
                <w:rFonts w:hint="eastAsia" w:cs="宋体"/>
                <w:color w:val="auto"/>
                <w:szCs w:val="21"/>
                <w:highlight w:val="none"/>
                <w:lang w:val="en-US" w:eastAsia="zh-CN" w:bidi="ar"/>
              </w:rPr>
              <w:t>扰动面积</w:t>
            </w:r>
            <w:r>
              <w:rPr>
                <w:rFonts w:hint="eastAsia" w:cs="宋体"/>
                <w:color w:val="auto"/>
                <w:szCs w:val="21"/>
                <w:highlight w:val="none"/>
                <w:lang w:bidi="ar"/>
              </w:rPr>
              <w:t>监测</w:t>
            </w:r>
          </w:p>
        </w:tc>
        <w:tc>
          <w:tcPr>
            <w:tcW w:w="809" w:type="pct"/>
            <w:vAlign w:val="center"/>
          </w:tcPr>
          <w:p>
            <w:pPr>
              <w:adjustRightInd w:val="0"/>
              <w:snapToGrid w:val="0"/>
              <w:jc w:val="center"/>
              <w:rPr>
                <w:rFonts w:ascii="Times New Roman" w:hAnsi="Times New Roman" w:eastAsia="宋体" w:cs="Times New Roman"/>
                <w:color w:val="auto"/>
                <w:kern w:val="2"/>
                <w:sz w:val="21"/>
                <w:szCs w:val="21"/>
                <w:highlight w:val="none"/>
                <w:lang w:val="en-US" w:eastAsia="zh-CN" w:bidi="ar-SA"/>
              </w:rPr>
            </w:pPr>
            <w:r>
              <w:rPr>
                <w:rFonts w:hint="eastAsia" w:cs="宋体"/>
                <w:color w:val="auto"/>
                <w:szCs w:val="21"/>
                <w:highlight w:val="none"/>
                <w:lang w:bidi="ar"/>
              </w:rPr>
              <w:t>按期监测</w:t>
            </w:r>
          </w:p>
        </w:tc>
        <w:tc>
          <w:tcPr>
            <w:tcW w:w="1119" w:type="pct"/>
            <w:vAlign w:val="center"/>
          </w:tcPr>
          <w:p>
            <w:pPr>
              <w:adjustRightInd w:val="0"/>
              <w:snapToGrid w:val="0"/>
              <w:jc w:val="center"/>
              <w:rPr>
                <w:rFonts w:ascii="Times New Roman" w:hAnsi="Times New Roman" w:eastAsia="宋体" w:cs="Times New Roman"/>
                <w:color w:val="auto"/>
                <w:kern w:val="2"/>
                <w:sz w:val="21"/>
                <w:szCs w:val="21"/>
                <w:highlight w:val="none"/>
                <w:lang w:val="en-US" w:eastAsia="zh-CN" w:bidi="ar-SA"/>
              </w:rPr>
            </w:pPr>
            <w:r>
              <w:rPr>
                <w:color w:val="auto"/>
                <w:szCs w:val="21"/>
                <w:highlight w:val="none"/>
              </w:rPr>
              <w:t>按照运行期环境监测计划对项目</w:t>
            </w:r>
            <w:r>
              <w:rPr>
                <w:rFonts w:hint="eastAsia"/>
                <w:color w:val="auto"/>
                <w:szCs w:val="21"/>
                <w:highlight w:val="none"/>
                <w:lang w:eastAsia="zh-CN"/>
              </w:rPr>
              <w:t>扰动恢复</w:t>
            </w:r>
            <w:r>
              <w:rPr>
                <w:rFonts w:hint="eastAsia"/>
                <w:color w:val="auto"/>
                <w:szCs w:val="21"/>
                <w:highlight w:val="none"/>
                <w:lang w:val="en-US" w:eastAsia="zh-CN"/>
              </w:rPr>
              <w:t>情况进行</w:t>
            </w:r>
            <w:r>
              <w:rPr>
                <w:color w:val="auto"/>
                <w:szCs w:val="21"/>
                <w:highlight w:val="none"/>
              </w:rPr>
              <w:t>监测</w:t>
            </w:r>
          </w:p>
        </w:tc>
        <w:tc>
          <w:tcPr>
            <w:tcW w:w="858" w:type="pct"/>
            <w:vAlign w:val="center"/>
          </w:tcPr>
          <w:p>
            <w:pPr>
              <w:adjustRightInd w:val="0"/>
              <w:snapToGrid w:val="0"/>
              <w:jc w:val="center"/>
              <w:rPr>
                <w:rFonts w:ascii="Times New Roman" w:hAnsi="Times New Roman" w:eastAsia="宋体" w:cs="Times New Roman"/>
                <w:color w:val="auto"/>
                <w:kern w:val="2"/>
                <w:sz w:val="21"/>
                <w:szCs w:val="21"/>
                <w:highlight w:val="none"/>
                <w:lang w:val="en-US" w:eastAsia="zh-CN" w:bidi="ar-SA"/>
              </w:rPr>
            </w:pPr>
            <w:r>
              <w:rPr>
                <w:rFonts w:hint="eastAsia" w:cs="宋体"/>
                <w:color w:val="auto"/>
                <w:szCs w:val="21"/>
                <w:highlight w:val="none"/>
                <w:lang w:bidi="ar"/>
              </w:rPr>
              <w:t>按期监测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vAlign w:val="center"/>
          </w:tcPr>
          <w:p>
            <w:pPr>
              <w:adjustRightInd w:val="0"/>
              <w:snapToGrid w:val="0"/>
              <w:jc w:val="center"/>
              <w:rPr>
                <w:color w:val="auto"/>
                <w:szCs w:val="21"/>
                <w:highlight w:val="none"/>
              </w:rPr>
            </w:pPr>
            <w:r>
              <w:rPr>
                <w:color w:val="auto"/>
                <w:szCs w:val="21"/>
                <w:highlight w:val="none"/>
              </w:rPr>
              <w:t>其他</w:t>
            </w:r>
          </w:p>
        </w:tc>
        <w:tc>
          <w:tcPr>
            <w:tcW w:w="1643" w:type="pct"/>
            <w:vAlign w:val="center"/>
          </w:tcPr>
          <w:p>
            <w:pPr>
              <w:adjustRightInd w:val="0"/>
              <w:snapToGrid w:val="0"/>
              <w:jc w:val="center"/>
              <w:rPr>
                <w:color w:val="auto"/>
                <w:szCs w:val="21"/>
                <w:highlight w:val="none"/>
              </w:rPr>
            </w:pPr>
            <w:r>
              <w:rPr>
                <w:color w:val="auto"/>
                <w:sz w:val="24"/>
                <w:highlight w:val="none"/>
              </w:rPr>
              <w:t>---</w:t>
            </w:r>
          </w:p>
        </w:tc>
        <w:tc>
          <w:tcPr>
            <w:tcW w:w="809" w:type="pct"/>
            <w:vAlign w:val="center"/>
          </w:tcPr>
          <w:p>
            <w:pPr>
              <w:adjustRightInd w:val="0"/>
              <w:snapToGrid w:val="0"/>
              <w:jc w:val="center"/>
              <w:rPr>
                <w:color w:val="auto"/>
                <w:szCs w:val="21"/>
                <w:highlight w:val="none"/>
              </w:rPr>
            </w:pPr>
            <w:r>
              <w:rPr>
                <w:color w:val="auto"/>
                <w:sz w:val="24"/>
                <w:highlight w:val="none"/>
              </w:rPr>
              <w:t>---</w:t>
            </w:r>
          </w:p>
        </w:tc>
        <w:tc>
          <w:tcPr>
            <w:tcW w:w="1119" w:type="pct"/>
            <w:vAlign w:val="center"/>
          </w:tcPr>
          <w:p>
            <w:pPr>
              <w:adjustRightInd w:val="0"/>
              <w:snapToGrid w:val="0"/>
              <w:jc w:val="center"/>
              <w:rPr>
                <w:color w:val="auto"/>
                <w:szCs w:val="21"/>
                <w:highlight w:val="none"/>
              </w:rPr>
            </w:pPr>
            <w:r>
              <w:rPr>
                <w:color w:val="auto"/>
                <w:sz w:val="24"/>
                <w:highlight w:val="none"/>
              </w:rPr>
              <w:t>---</w:t>
            </w:r>
          </w:p>
        </w:tc>
        <w:tc>
          <w:tcPr>
            <w:tcW w:w="858" w:type="pct"/>
            <w:vAlign w:val="center"/>
          </w:tcPr>
          <w:p>
            <w:pPr>
              <w:adjustRightInd w:val="0"/>
              <w:snapToGrid w:val="0"/>
              <w:jc w:val="center"/>
              <w:rPr>
                <w:color w:val="auto"/>
                <w:szCs w:val="21"/>
                <w:highlight w:val="none"/>
              </w:rPr>
            </w:pPr>
            <w:r>
              <w:rPr>
                <w:color w:val="auto"/>
                <w:sz w:val="24"/>
                <w:highlight w:val="none"/>
              </w:rPr>
              <w:t>---</w:t>
            </w:r>
          </w:p>
        </w:tc>
      </w:tr>
    </w:tbl>
    <w:p>
      <w:pPr>
        <w:pStyle w:val="21"/>
        <w:jc w:val="center"/>
        <w:rPr>
          <w:rFonts w:ascii="Times New Roman" w:hAnsi="Times New Roman" w:eastAsia="黑体"/>
          <w:snapToGrid w:val="0"/>
          <w:color w:val="auto"/>
          <w:sz w:val="30"/>
          <w:szCs w:val="30"/>
          <w:highlight w:val="none"/>
        </w:rPr>
      </w:pPr>
    </w:p>
    <w:p>
      <w:pPr>
        <w:pStyle w:val="21"/>
        <w:spacing w:before="0" w:beforeAutospacing="0" w:line="14" w:lineRule="auto"/>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br w:type="page"/>
      </w:r>
    </w:p>
    <w:p>
      <w:pPr>
        <w:pStyle w:val="21"/>
        <w:spacing w:before="192" w:beforeLines="80" w:before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七、结论</w:t>
      </w:r>
    </w:p>
    <w:tbl>
      <w:tblPr>
        <w:tblStyle w:val="24"/>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8" w:hRule="atLeast"/>
          <w:jc w:val="center"/>
        </w:trPr>
        <w:tc>
          <w:tcPr>
            <w:tcW w:w="9289" w:type="dxa"/>
          </w:tcPr>
          <w:p>
            <w:pPr>
              <w:spacing w:line="360" w:lineRule="auto"/>
              <w:ind w:firstLine="480" w:firstLineChars="200"/>
              <w:rPr>
                <w:color w:val="auto"/>
                <w:highlight w:val="none"/>
              </w:rPr>
            </w:pPr>
            <w:r>
              <w:rPr>
                <w:rFonts w:hint="eastAsia"/>
                <w:color w:val="auto"/>
                <w:sz w:val="24"/>
                <w:highlight w:val="none"/>
                <w:lang w:bidi="ar"/>
              </w:rPr>
              <w:t>本项目符合相关规划要求，总体污染程度较低，环保投资合理，拟采用的各项生态防护及污染防治措施切实可行，能确保达标排放。项目符合</w:t>
            </w:r>
            <w:r>
              <w:rPr>
                <w:color w:val="auto"/>
                <w:sz w:val="24"/>
                <w:highlight w:val="none"/>
                <w:lang w:bidi="ar"/>
              </w:rPr>
              <w:t>“</w:t>
            </w:r>
            <w:r>
              <w:rPr>
                <w:rFonts w:hint="eastAsia"/>
                <w:color w:val="auto"/>
                <w:sz w:val="24"/>
                <w:highlight w:val="none"/>
                <w:lang w:bidi="ar"/>
              </w:rPr>
              <w:t>三线一单</w:t>
            </w:r>
            <w:r>
              <w:rPr>
                <w:color w:val="auto"/>
                <w:sz w:val="24"/>
                <w:highlight w:val="none"/>
                <w:lang w:bidi="ar"/>
              </w:rPr>
              <w:t>”</w:t>
            </w:r>
            <w:r>
              <w:rPr>
                <w:rFonts w:hint="eastAsia"/>
                <w:color w:val="auto"/>
                <w:sz w:val="24"/>
                <w:highlight w:val="none"/>
                <w:lang w:bidi="ar"/>
              </w:rPr>
              <w:t>要求，在落实本次评价提出的各项生态防护措施及污染防治措施后，项目对周围的环境影响较小。综上所述，从环境保护角度分析，本次评价认为该项目的建设可行的。</w:t>
            </w:r>
          </w:p>
        </w:tc>
      </w:tr>
    </w:tbl>
    <w:p>
      <w:pPr>
        <w:rPr>
          <w:color w:val="auto"/>
          <w:highlight w:val="none"/>
        </w:rPr>
      </w:pPr>
    </w:p>
    <w:sectPr>
      <w:footerReference r:id="rId7" w:type="default"/>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84D75148-F976-4198-827C-BD5462903B0E}"/>
  </w:font>
  <w:font w:name="黑体">
    <w:panose1 w:val="02010609060101010101"/>
    <w:charset w:val="86"/>
    <w:family w:val="auto"/>
    <w:pitch w:val="default"/>
    <w:sig w:usb0="800002BF" w:usb1="38CF7CFA" w:usb2="00000016" w:usb3="00000000" w:csb0="00040001" w:csb1="00000000"/>
    <w:embedRegular r:id="rId2" w:fontKey="{DDA992D7-5FD8-45FA-A4F6-1E144504F1B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89D04520-328C-4A3E-A548-A07C5291A521}"/>
  </w:font>
  <w:font w:name="楷体_GB2312">
    <w:panose1 w:val="02010609030101010101"/>
    <w:charset w:val="86"/>
    <w:family w:val="modern"/>
    <w:pitch w:val="default"/>
    <w:sig w:usb0="00000001" w:usb1="080E0000" w:usb2="00000000" w:usb3="00000000" w:csb0="00040000" w:csb1="00000000"/>
    <w:embedRegular r:id="rId4" w:fontKey="{F868175F-9258-4897-A5F8-FC3E40F68F7F}"/>
  </w:font>
  <w:font w:name="方正小标宋_GBK">
    <w:panose1 w:val="03000509000000000000"/>
    <w:charset w:val="86"/>
    <w:family w:val="script"/>
    <w:pitch w:val="default"/>
    <w:sig w:usb0="00000001" w:usb1="080E0000" w:usb2="00000000" w:usb3="00000000" w:csb0="00040000" w:csb1="00000000"/>
    <w:embedRegular r:id="rId5" w:fontKey="{E53CF0BE-1A77-4794-94EB-1968C2F42513}"/>
  </w:font>
  <w:font w:name="华文仿宋">
    <w:panose1 w:val="02010600040101010101"/>
    <w:charset w:val="86"/>
    <w:family w:val="auto"/>
    <w:pitch w:val="default"/>
    <w:sig w:usb0="00000287" w:usb1="080F0000" w:usb2="00000000" w:usb3="00000000" w:csb0="0004009F" w:csb1="DFD70000"/>
    <w:embedRegular r:id="rId6" w:fontKey="{925AFE95-62E4-4EF8-936A-4D2D5A38A97F}"/>
  </w:font>
  <w:font w:name="仿宋">
    <w:panose1 w:val="02010609060101010101"/>
    <w:charset w:val="86"/>
    <w:family w:val="modern"/>
    <w:pitch w:val="default"/>
    <w:sig w:usb0="800002BF" w:usb1="38CF7CFA" w:usb2="00000016" w:usb3="00000000" w:csb0="00040001" w:csb1="00000000"/>
    <w:embedRegular r:id="rId7" w:fontKey="{6E020D44-3907-4727-A532-C260ED851DDB}"/>
  </w:font>
  <w:font w:name="Wingdings 2">
    <w:panose1 w:val="05020102010507070707"/>
    <w:charset w:val="02"/>
    <w:family w:val="roman"/>
    <w:pitch w:val="default"/>
    <w:sig w:usb0="00000000" w:usb1="00000000" w:usb2="00000000" w:usb3="00000000" w:csb0="80000000" w:csb1="00000000"/>
    <w:embedRegular r:id="rId8" w:fontKey="{463EF456-35F0-4C3F-B018-2F829AC0DE9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27"/>
      </w:rPr>
    </w:pPr>
    <w:r>
      <w:fldChar w:fldCharType="begin"/>
    </w:r>
    <w:r>
      <w:rPr>
        <w:rStyle w:val="27"/>
      </w:rPr>
      <w:instrText xml:space="preserve">PAGE  </w:instrText>
    </w:r>
    <w:r>
      <w:fldChar w:fldCharType="end"/>
    </w:r>
  </w:p>
  <w:p>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center"/>
    </w:pPr>
    <w:r>
      <w:pict>
        <v:shape id="文本框 2050" o:spid="_x0000_s204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2"/>
                  <w:rPr>
                    <w:rStyle w:val="27"/>
                    <w:rFonts w:ascii="宋体" w:hAnsi="宋体"/>
                    <w:sz w:val="28"/>
                    <w:szCs w:val="28"/>
                  </w:rPr>
                </w:pPr>
                <w:r>
                  <w:rPr>
                    <w:rStyle w:val="27"/>
                    <w:rFonts w:hint="eastAsia" w:ascii="宋体" w:hAnsi="宋体"/>
                    <w:sz w:val="28"/>
                    <w:szCs w:val="28"/>
                  </w:rPr>
                  <w:t>—</w:t>
                </w:r>
                <w:r>
                  <w:rPr>
                    <w:rStyle w:val="27"/>
                    <w:rFonts w:hint="eastAsia" w:ascii="宋体" w:hAnsi="宋体"/>
                    <w:sz w:val="20"/>
                    <w:szCs w:val="20"/>
                  </w:rPr>
                  <w:t xml:space="preserve">  </w:t>
                </w:r>
                <w:r>
                  <w:rPr>
                    <w:rFonts w:ascii="宋体" w:hAnsi="宋体"/>
                    <w:sz w:val="26"/>
                    <w:szCs w:val="26"/>
                  </w:rPr>
                  <w:fldChar w:fldCharType="begin"/>
                </w:r>
                <w:r>
                  <w:rPr>
                    <w:rStyle w:val="27"/>
                    <w:rFonts w:ascii="宋体" w:hAnsi="宋体"/>
                    <w:sz w:val="26"/>
                    <w:szCs w:val="26"/>
                  </w:rPr>
                  <w:instrText xml:space="preserve">PAGE  </w:instrText>
                </w:r>
                <w:r>
                  <w:rPr>
                    <w:rFonts w:ascii="宋体" w:hAnsi="宋体"/>
                    <w:sz w:val="26"/>
                    <w:szCs w:val="26"/>
                  </w:rPr>
                  <w:fldChar w:fldCharType="separate"/>
                </w:r>
                <w:r>
                  <w:rPr>
                    <w:rStyle w:val="27"/>
                    <w:rFonts w:ascii="宋体" w:hAnsi="宋体"/>
                    <w:sz w:val="26"/>
                    <w:szCs w:val="26"/>
                  </w:rPr>
                  <w:t>1</w:t>
                </w:r>
                <w:r>
                  <w:rPr>
                    <w:rFonts w:ascii="宋体" w:hAnsi="宋体"/>
                    <w:sz w:val="26"/>
                    <w:szCs w:val="26"/>
                  </w:rPr>
                  <w:fldChar w:fldCharType="end"/>
                </w:r>
                <w:r>
                  <w:rPr>
                    <w:rStyle w:val="27"/>
                    <w:rFonts w:hint="eastAsia" w:ascii="宋体" w:hAnsi="宋体"/>
                    <w:sz w:val="20"/>
                    <w:szCs w:val="20"/>
                  </w:rPr>
                  <w:t xml:space="preserve">  </w:t>
                </w:r>
                <w:r>
                  <w:rPr>
                    <w:rStyle w:val="27"/>
                    <w:rFonts w:hint="eastAsia" w:ascii="宋体" w:hAnsi="宋体"/>
                    <w:sz w:val="28"/>
                    <w:szCs w:val="28"/>
                  </w:rPr>
                  <w:t>—</w:t>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center"/>
    </w:pPr>
    <w:r>
      <w:pict>
        <v:shape id="文本框 2052" o:spid="_x0000_s205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joinstyle="miter"/>
          <v:imagedata o:title=""/>
          <o:lock v:ext="edit"/>
          <v:textbox inset="0mm,0mm,0mm,0mm" style="mso-fit-shape-to-text:t;">
            <w:txbxContent>
              <w:p>
                <w:pPr>
                  <w:pStyle w:val="2"/>
                  <w:rPr>
                    <w:rStyle w:val="27"/>
                    <w:rFonts w:ascii="宋体" w:hAnsi="宋体"/>
                    <w:sz w:val="28"/>
                    <w:szCs w:val="28"/>
                  </w:rPr>
                </w:pPr>
                <w:r>
                  <w:rPr>
                    <w:rStyle w:val="27"/>
                    <w:rFonts w:hint="eastAsia" w:ascii="宋体" w:hAnsi="宋体"/>
                    <w:sz w:val="28"/>
                    <w:szCs w:val="28"/>
                  </w:rPr>
                  <w:t>—</w:t>
                </w:r>
                <w:r>
                  <w:rPr>
                    <w:rStyle w:val="27"/>
                    <w:rFonts w:hint="eastAsia" w:ascii="宋体" w:hAnsi="宋体"/>
                    <w:sz w:val="20"/>
                  </w:rPr>
                  <w:t xml:space="preserve">  </w:t>
                </w:r>
                <w:r>
                  <w:rPr>
                    <w:rFonts w:ascii="宋体" w:hAnsi="宋体"/>
                    <w:sz w:val="26"/>
                    <w:szCs w:val="26"/>
                  </w:rPr>
                  <w:fldChar w:fldCharType="begin"/>
                </w:r>
                <w:r>
                  <w:rPr>
                    <w:rStyle w:val="27"/>
                    <w:rFonts w:ascii="宋体" w:hAnsi="宋体"/>
                    <w:sz w:val="26"/>
                    <w:szCs w:val="26"/>
                  </w:rPr>
                  <w:instrText xml:space="preserve">PAGE  </w:instrText>
                </w:r>
                <w:r>
                  <w:rPr>
                    <w:rFonts w:ascii="宋体" w:hAnsi="宋体"/>
                    <w:sz w:val="26"/>
                    <w:szCs w:val="26"/>
                  </w:rPr>
                  <w:fldChar w:fldCharType="separate"/>
                </w:r>
                <w:r>
                  <w:rPr>
                    <w:rStyle w:val="27"/>
                    <w:rFonts w:ascii="宋体" w:hAnsi="宋体"/>
                    <w:sz w:val="26"/>
                    <w:szCs w:val="26"/>
                  </w:rPr>
                  <w:t>79</w:t>
                </w:r>
                <w:r>
                  <w:rPr>
                    <w:rFonts w:ascii="宋体" w:hAnsi="宋体"/>
                    <w:sz w:val="26"/>
                    <w:szCs w:val="26"/>
                  </w:rPr>
                  <w:fldChar w:fldCharType="end"/>
                </w:r>
                <w:r>
                  <w:rPr>
                    <w:rStyle w:val="27"/>
                    <w:rFonts w:hint="eastAsia" w:ascii="宋体" w:hAnsi="宋体"/>
                    <w:sz w:val="20"/>
                  </w:rPr>
                  <w:t xml:space="preserve">  </w:t>
                </w:r>
                <w:r>
                  <w:rPr>
                    <w:rStyle w:val="27"/>
                    <w:rFonts w:hint="eastAsia" w:ascii="宋体" w:hAnsi="宋体"/>
                    <w:sz w:val="28"/>
                    <w:szCs w:val="28"/>
                  </w:rPr>
                  <w:t>—</w:t>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5CC3F"/>
    <w:multiLevelType w:val="multilevel"/>
    <w:tmpl w:val="8A35CC3F"/>
    <w:lvl w:ilvl="0" w:tentative="0">
      <w:start w:val="1"/>
      <w:numFmt w:val="decimal"/>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2AF22858"/>
    <w:multiLevelType w:val="multilevel"/>
    <w:tmpl w:val="2AF22858"/>
    <w:lvl w:ilvl="0" w:tentative="0">
      <w:start w:val="1"/>
      <w:numFmt w:val="decimal"/>
      <w:lvlText w:val="%1."/>
      <w:lvlJc w:val="left"/>
      <w:pPr>
        <w:tabs>
          <w:tab w:val="left" w:pos="625"/>
        </w:tabs>
        <w:ind w:left="625" w:hanging="425"/>
      </w:pPr>
      <w:rPr>
        <w:rFonts w:hint="eastAsia"/>
      </w:rPr>
    </w:lvl>
    <w:lvl w:ilvl="1" w:tentative="0">
      <w:start w:val="1"/>
      <w:numFmt w:val="decimal"/>
      <w:lvlText w:val="%1.%2."/>
      <w:lvlJc w:val="left"/>
      <w:pPr>
        <w:tabs>
          <w:tab w:val="left" w:pos="927"/>
        </w:tabs>
        <w:ind w:left="927" w:hanging="567"/>
      </w:pPr>
      <w:rPr>
        <w:rFonts w:hint="eastAsia"/>
      </w:rPr>
    </w:lvl>
    <w:lvl w:ilvl="2" w:tentative="0">
      <w:start w:val="1"/>
      <w:numFmt w:val="decimal"/>
      <w:pStyle w:val="5"/>
      <w:lvlText w:val="%1.%2.%3."/>
      <w:lvlJc w:val="left"/>
      <w:pPr>
        <w:tabs>
          <w:tab w:val="left" w:pos="709"/>
        </w:tabs>
        <w:ind w:left="709" w:hanging="709"/>
      </w:pPr>
      <w:rPr>
        <w:rFonts w:hint="eastAsia"/>
      </w:rPr>
    </w:lvl>
    <w:lvl w:ilvl="3" w:tentative="0">
      <w:start w:val="1"/>
      <w:numFmt w:val="decimal"/>
      <w:lvlText w:val="%1.%2.%3.%4."/>
      <w:lvlJc w:val="left"/>
      <w:pPr>
        <w:tabs>
          <w:tab w:val="left" w:pos="1051"/>
        </w:tabs>
        <w:ind w:left="1051" w:hanging="851"/>
      </w:pPr>
      <w:rPr>
        <w:rFonts w:hint="eastAsia"/>
      </w:rPr>
    </w:lvl>
    <w:lvl w:ilvl="4" w:tentative="0">
      <w:start w:val="1"/>
      <w:numFmt w:val="decimal"/>
      <w:lvlText w:val="%1.%2.%3.%4.%5."/>
      <w:lvlJc w:val="left"/>
      <w:pPr>
        <w:tabs>
          <w:tab w:val="left" w:pos="1192"/>
        </w:tabs>
        <w:ind w:left="1192" w:hanging="992"/>
      </w:pPr>
      <w:rPr>
        <w:rFonts w:hint="eastAsia"/>
      </w:rPr>
    </w:lvl>
    <w:lvl w:ilvl="5" w:tentative="0">
      <w:start w:val="1"/>
      <w:numFmt w:val="decimal"/>
      <w:lvlText w:val="%1.%2.%3.%4.%5.%6."/>
      <w:lvlJc w:val="left"/>
      <w:pPr>
        <w:tabs>
          <w:tab w:val="left" w:pos="1334"/>
        </w:tabs>
        <w:ind w:left="1334" w:hanging="1134"/>
      </w:pPr>
      <w:rPr>
        <w:rFonts w:hint="eastAsia"/>
      </w:rPr>
    </w:lvl>
    <w:lvl w:ilvl="6" w:tentative="0">
      <w:start w:val="1"/>
      <w:numFmt w:val="decimal"/>
      <w:lvlText w:val="%1.%2.%3.%4.%5.%6.%7."/>
      <w:lvlJc w:val="left"/>
      <w:pPr>
        <w:tabs>
          <w:tab w:val="left" w:pos="1476"/>
        </w:tabs>
        <w:ind w:left="1476" w:hanging="1276"/>
      </w:pPr>
      <w:rPr>
        <w:rFonts w:hint="eastAsia"/>
      </w:rPr>
    </w:lvl>
    <w:lvl w:ilvl="7" w:tentative="0">
      <w:start w:val="1"/>
      <w:numFmt w:val="decimal"/>
      <w:lvlText w:val="%1.%2.%3.%4.%5.%6.%7.%8."/>
      <w:lvlJc w:val="left"/>
      <w:pPr>
        <w:tabs>
          <w:tab w:val="left" w:pos="1618"/>
        </w:tabs>
        <w:ind w:left="1618" w:hanging="1418"/>
      </w:pPr>
      <w:rPr>
        <w:rFonts w:hint="eastAsia"/>
      </w:rPr>
    </w:lvl>
    <w:lvl w:ilvl="8" w:tentative="0">
      <w:start w:val="1"/>
      <w:numFmt w:val="decimal"/>
      <w:lvlText w:val="%1.%2.%3.%4.%5.%6.%7.%8.%9."/>
      <w:lvlJc w:val="left"/>
      <w:pPr>
        <w:tabs>
          <w:tab w:val="left" w:pos="1759"/>
        </w:tabs>
        <w:ind w:left="1759" w:hanging="1559"/>
      </w:pPr>
      <w:rPr>
        <w:rFonts w:hint="eastAsia"/>
      </w:rPr>
    </w:lvl>
  </w:abstractNum>
  <w:abstractNum w:abstractNumId="2">
    <w:nsid w:val="77B61C3E"/>
    <w:multiLevelType w:val="singleLevel"/>
    <w:tmpl w:val="77B61C3E"/>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trackedChanges"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jE0ZjBhZjUwYWU3MDlkYjRiNjQ3NWE4MTI3NWQ2OGUifQ=="/>
  </w:docVars>
  <w:rsids>
    <w:rsidRoot w:val="00172A27"/>
    <w:rsid w:val="00001CED"/>
    <w:rsid w:val="00001E67"/>
    <w:rsid w:val="00003CD8"/>
    <w:rsid w:val="00005511"/>
    <w:rsid w:val="00007484"/>
    <w:rsid w:val="00014965"/>
    <w:rsid w:val="0001523A"/>
    <w:rsid w:val="00016ECB"/>
    <w:rsid w:val="00017A4A"/>
    <w:rsid w:val="000269F6"/>
    <w:rsid w:val="00031939"/>
    <w:rsid w:val="00032D25"/>
    <w:rsid w:val="00045229"/>
    <w:rsid w:val="0005219D"/>
    <w:rsid w:val="0005568F"/>
    <w:rsid w:val="0006153D"/>
    <w:rsid w:val="00061B1F"/>
    <w:rsid w:val="000664DB"/>
    <w:rsid w:val="0007127D"/>
    <w:rsid w:val="00071289"/>
    <w:rsid w:val="00071AE5"/>
    <w:rsid w:val="00074783"/>
    <w:rsid w:val="000801E0"/>
    <w:rsid w:val="000813B2"/>
    <w:rsid w:val="00082A29"/>
    <w:rsid w:val="0008331D"/>
    <w:rsid w:val="00083C18"/>
    <w:rsid w:val="00085C08"/>
    <w:rsid w:val="00092899"/>
    <w:rsid w:val="000929F2"/>
    <w:rsid w:val="000A178E"/>
    <w:rsid w:val="000A557E"/>
    <w:rsid w:val="000B058F"/>
    <w:rsid w:val="000B28E1"/>
    <w:rsid w:val="000B693F"/>
    <w:rsid w:val="000C09AC"/>
    <w:rsid w:val="000C0A63"/>
    <w:rsid w:val="000C2476"/>
    <w:rsid w:val="000C437E"/>
    <w:rsid w:val="000C481A"/>
    <w:rsid w:val="000D08CD"/>
    <w:rsid w:val="000D35B6"/>
    <w:rsid w:val="000E5F16"/>
    <w:rsid w:val="000F3B6B"/>
    <w:rsid w:val="000F4452"/>
    <w:rsid w:val="000F6DA1"/>
    <w:rsid w:val="000F701B"/>
    <w:rsid w:val="001056A0"/>
    <w:rsid w:val="00111EED"/>
    <w:rsid w:val="0011412B"/>
    <w:rsid w:val="00115279"/>
    <w:rsid w:val="00117459"/>
    <w:rsid w:val="0011749A"/>
    <w:rsid w:val="00120D05"/>
    <w:rsid w:val="00127A68"/>
    <w:rsid w:val="00130104"/>
    <w:rsid w:val="00140B13"/>
    <w:rsid w:val="00141B68"/>
    <w:rsid w:val="001466DA"/>
    <w:rsid w:val="00154DE1"/>
    <w:rsid w:val="00155B40"/>
    <w:rsid w:val="00157435"/>
    <w:rsid w:val="00163EEA"/>
    <w:rsid w:val="00167A07"/>
    <w:rsid w:val="00167DDD"/>
    <w:rsid w:val="0017046A"/>
    <w:rsid w:val="001704A3"/>
    <w:rsid w:val="00172A27"/>
    <w:rsid w:val="0017504D"/>
    <w:rsid w:val="00177422"/>
    <w:rsid w:val="00181BCA"/>
    <w:rsid w:val="00184F10"/>
    <w:rsid w:val="00185546"/>
    <w:rsid w:val="0019146B"/>
    <w:rsid w:val="00194398"/>
    <w:rsid w:val="001A7D2A"/>
    <w:rsid w:val="001B0CD7"/>
    <w:rsid w:val="001B135F"/>
    <w:rsid w:val="001B574C"/>
    <w:rsid w:val="001C0AF9"/>
    <w:rsid w:val="001C155A"/>
    <w:rsid w:val="001C48C0"/>
    <w:rsid w:val="001D1FE2"/>
    <w:rsid w:val="001D292B"/>
    <w:rsid w:val="001D6726"/>
    <w:rsid w:val="001F3347"/>
    <w:rsid w:val="001F4440"/>
    <w:rsid w:val="001F69E4"/>
    <w:rsid w:val="00206A65"/>
    <w:rsid w:val="00210A34"/>
    <w:rsid w:val="00212D31"/>
    <w:rsid w:val="002130C7"/>
    <w:rsid w:val="002218A8"/>
    <w:rsid w:val="0022306D"/>
    <w:rsid w:val="00226574"/>
    <w:rsid w:val="002278EC"/>
    <w:rsid w:val="00227C4B"/>
    <w:rsid w:val="002357C7"/>
    <w:rsid w:val="002367C4"/>
    <w:rsid w:val="00250E94"/>
    <w:rsid w:val="0025679E"/>
    <w:rsid w:val="00260C68"/>
    <w:rsid w:val="002648B0"/>
    <w:rsid w:val="00266CF6"/>
    <w:rsid w:val="002745E8"/>
    <w:rsid w:val="00275271"/>
    <w:rsid w:val="0027535E"/>
    <w:rsid w:val="00275AA6"/>
    <w:rsid w:val="002807D5"/>
    <w:rsid w:val="002828B1"/>
    <w:rsid w:val="00282CCD"/>
    <w:rsid w:val="00283F26"/>
    <w:rsid w:val="002A168C"/>
    <w:rsid w:val="002A2C48"/>
    <w:rsid w:val="002A3EED"/>
    <w:rsid w:val="002A4A39"/>
    <w:rsid w:val="002A5A17"/>
    <w:rsid w:val="002A6425"/>
    <w:rsid w:val="002A6DA1"/>
    <w:rsid w:val="002B49E2"/>
    <w:rsid w:val="002B63B3"/>
    <w:rsid w:val="002B7B00"/>
    <w:rsid w:val="002B7C44"/>
    <w:rsid w:val="002C11DB"/>
    <w:rsid w:val="002C1388"/>
    <w:rsid w:val="002C3C6A"/>
    <w:rsid w:val="002D1FE8"/>
    <w:rsid w:val="002D429F"/>
    <w:rsid w:val="002D42DB"/>
    <w:rsid w:val="002E1F3A"/>
    <w:rsid w:val="002E298A"/>
    <w:rsid w:val="002E378E"/>
    <w:rsid w:val="002F02A4"/>
    <w:rsid w:val="002F272B"/>
    <w:rsid w:val="002F7C6D"/>
    <w:rsid w:val="0030221B"/>
    <w:rsid w:val="003027E4"/>
    <w:rsid w:val="0030332C"/>
    <w:rsid w:val="00312296"/>
    <w:rsid w:val="0031340E"/>
    <w:rsid w:val="003144E7"/>
    <w:rsid w:val="00316464"/>
    <w:rsid w:val="0032073A"/>
    <w:rsid w:val="00321D8E"/>
    <w:rsid w:val="00334996"/>
    <w:rsid w:val="00336969"/>
    <w:rsid w:val="00336C52"/>
    <w:rsid w:val="00341B3E"/>
    <w:rsid w:val="00341B42"/>
    <w:rsid w:val="003435E8"/>
    <w:rsid w:val="00345154"/>
    <w:rsid w:val="0034560E"/>
    <w:rsid w:val="00350523"/>
    <w:rsid w:val="00352975"/>
    <w:rsid w:val="00355695"/>
    <w:rsid w:val="00356868"/>
    <w:rsid w:val="0036485B"/>
    <w:rsid w:val="00370844"/>
    <w:rsid w:val="00373B0D"/>
    <w:rsid w:val="00376988"/>
    <w:rsid w:val="00381A72"/>
    <w:rsid w:val="003948D9"/>
    <w:rsid w:val="003A1948"/>
    <w:rsid w:val="003B152A"/>
    <w:rsid w:val="003B545B"/>
    <w:rsid w:val="003C436D"/>
    <w:rsid w:val="003D3EE9"/>
    <w:rsid w:val="003D6F62"/>
    <w:rsid w:val="003E61D9"/>
    <w:rsid w:val="003E7681"/>
    <w:rsid w:val="003F0809"/>
    <w:rsid w:val="003F441A"/>
    <w:rsid w:val="003F611C"/>
    <w:rsid w:val="003F755C"/>
    <w:rsid w:val="00406F01"/>
    <w:rsid w:val="00411B36"/>
    <w:rsid w:val="004121D7"/>
    <w:rsid w:val="00414CD1"/>
    <w:rsid w:val="00416D50"/>
    <w:rsid w:val="00417772"/>
    <w:rsid w:val="00420E6A"/>
    <w:rsid w:val="00421172"/>
    <w:rsid w:val="00433CA9"/>
    <w:rsid w:val="0043521D"/>
    <w:rsid w:val="00442024"/>
    <w:rsid w:val="0044254C"/>
    <w:rsid w:val="004432D5"/>
    <w:rsid w:val="00443F6A"/>
    <w:rsid w:val="00450A17"/>
    <w:rsid w:val="00466321"/>
    <w:rsid w:val="004672AF"/>
    <w:rsid w:val="00471D67"/>
    <w:rsid w:val="004727B0"/>
    <w:rsid w:val="00480247"/>
    <w:rsid w:val="0048081D"/>
    <w:rsid w:val="0048117E"/>
    <w:rsid w:val="004855F6"/>
    <w:rsid w:val="00485873"/>
    <w:rsid w:val="00486F0C"/>
    <w:rsid w:val="00494670"/>
    <w:rsid w:val="004A0EB4"/>
    <w:rsid w:val="004A3823"/>
    <w:rsid w:val="004A59BB"/>
    <w:rsid w:val="004B43A3"/>
    <w:rsid w:val="004B4C49"/>
    <w:rsid w:val="004B58A5"/>
    <w:rsid w:val="004B63D9"/>
    <w:rsid w:val="004C0882"/>
    <w:rsid w:val="004C48B5"/>
    <w:rsid w:val="004C55BE"/>
    <w:rsid w:val="004E5B30"/>
    <w:rsid w:val="004E6EA4"/>
    <w:rsid w:val="004E722C"/>
    <w:rsid w:val="004F0779"/>
    <w:rsid w:val="004F1230"/>
    <w:rsid w:val="004F173F"/>
    <w:rsid w:val="004F177C"/>
    <w:rsid w:val="004F2DCE"/>
    <w:rsid w:val="005039CB"/>
    <w:rsid w:val="0050558F"/>
    <w:rsid w:val="005057E0"/>
    <w:rsid w:val="00506286"/>
    <w:rsid w:val="00510813"/>
    <w:rsid w:val="00511DE0"/>
    <w:rsid w:val="0051501F"/>
    <w:rsid w:val="00516771"/>
    <w:rsid w:val="00517F02"/>
    <w:rsid w:val="00524547"/>
    <w:rsid w:val="005258A2"/>
    <w:rsid w:val="00527082"/>
    <w:rsid w:val="00527C0A"/>
    <w:rsid w:val="00530F7C"/>
    <w:rsid w:val="00534567"/>
    <w:rsid w:val="00534F43"/>
    <w:rsid w:val="00535A84"/>
    <w:rsid w:val="00536889"/>
    <w:rsid w:val="00537373"/>
    <w:rsid w:val="00542E07"/>
    <w:rsid w:val="00554A7B"/>
    <w:rsid w:val="0055572C"/>
    <w:rsid w:val="00557CAF"/>
    <w:rsid w:val="0056064F"/>
    <w:rsid w:val="00561B84"/>
    <w:rsid w:val="00571D98"/>
    <w:rsid w:val="005720AE"/>
    <w:rsid w:val="0058030D"/>
    <w:rsid w:val="00582045"/>
    <w:rsid w:val="00590AE3"/>
    <w:rsid w:val="005918F1"/>
    <w:rsid w:val="005A06B7"/>
    <w:rsid w:val="005A1759"/>
    <w:rsid w:val="005C297C"/>
    <w:rsid w:val="005D0369"/>
    <w:rsid w:val="005D53FE"/>
    <w:rsid w:val="005D7A0F"/>
    <w:rsid w:val="005E0438"/>
    <w:rsid w:val="005E1791"/>
    <w:rsid w:val="005E2CE6"/>
    <w:rsid w:val="005E6324"/>
    <w:rsid w:val="005F228B"/>
    <w:rsid w:val="005F29CD"/>
    <w:rsid w:val="005F4DFB"/>
    <w:rsid w:val="005F6CC0"/>
    <w:rsid w:val="00603E5B"/>
    <w:rsid w:val="00604BC8"/>
    <w:rsid w:val="00612102"/>
    <w:rsid w:val="00615B4C"/>
    <w:rsid w:val="00615B5D"/>
    <w:rsid w:val="006163CE"/>
    <w:rsid w:val="0062146F"/>
    <w:rsid w:val="00632B74"/>
    <w:rsid w:val="006343AF"/>
    <w:rsid w:val="0063634A"/>
    <w:rsid w:val="0064250D"/>
    <w:rsid w:val="006535EB"/>
    <w:rsid w:val="00663016"/>
    <w:rsid w:val="00674605"/>
    <w:rsid w:val="006748B8"/>
    <w:rsid w:val="00683449"/>
    <w:rsid w:val="0068535B"/>
    <w:rsid w:val="0068736E"/>
    <w:rsid w:val="0069290A"/>
    <w:rsid w:val="00697032"/>
    <w:rsid w:val="006975AC"/>
    <w:rsid w:val="006A15FB"/>
    <w:rsid w:val="006A72BF"/>
    <w:rsid w:val="006B2F05"/>
    <w:rsid w:val="006B332A"/>
    <w:rsid w:val="006B33BD"/>
    <w:rsid w:val="006C2E16"/>
    <w:rsid w:val="006C3F75"/>
    <w:rsid w:val="006D170E"/>
    <w:rsid w:val="006E06AF"/>
    <w:rsid w:val="006E1CA7"/>
    <w:rsid w:val="006E59B2"/>
    <w:rsid w:val="006F1789"/>
    <w:rsid w:val="006F436C"/>
    <w:rsid w:val="0070141A"/>
    <w:rsid w:val="00706C5D"/>
    <w:rsid w:val="007118E6"/>
    <w:rsid w:val="007225C9"/>
    <w:rsid w:val="007314F9"/>
    <w:rsid w:val="00735CD7"/>
    <w:rsid w:val="0074521E"/>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4535"/>
    <w:rsid w:val="007967E8"/>
    <w:rsid w:val="007A2C2A"/>
    <w:rsid w:val="007A3144"/>
    <w:rsid w:val="007A4707"/>
    <w:rsid w:val="007A63F2"/>
    <w:rsid w:val="007B68DE"/>
    <w:rsid w:val="007C1857"/>
    <w:rsid w:val="007C514F"/>
    <w:rsid w:val="007D0F95"/>
    <w:rsid w:val="007D7ECB"/>
    <w:rsid w:val="007E25A1"/>
    <w:rsid w:val="007E4BD2"/>
    <w:rsid w:val="007E65A1"/>
    <w:rsid w:val="007E7145"/>
    <w:rsid w:val="007F3916"/>
    <w:rsid w:val="0080099A"/>
    <w:rsid w:val="00801179"/>
    <w:rsid w:val="00802479"/>
    <w:rsid w:val="00805372"/>
    <w:rsid w:val="00805B7B"/>
    <w:rsid w:val="0081293E"/>
    <w:rsid w:val="00814FFB"/>
    <w:rsid w:val="00820568"/>
    <w:rsid w:val="008259AD"/>
    <w:rsid w:val="00831A80"/>
    <w:rsid w:val="008332C8"/>
    <w:rsid w:val="00833743"/>
    <w:rsid w:val="008340A4"/>
    <w:rsid w:val="00836799"/>
    <w:rsid w:val="00837028"/>
    <w:rsid w:val="00837131"/>
    <w:rsid w:val="00841A14"/>
    <w:rsid w:val="008447BA"/>
    <w:rsid w:val="00845F57"/>
    <w:rsid w:val="008521E0"/>
    <w:rsid w:val="008525B0"/>
    <w:rsid w:val="008539CD"/>
    <w:rsid w:val="00867CBC"/>
    <w:rsid w:val="00874668"/>
    <w:rsid w:val="00876C30"/>
    <w:rsid w:val="00877017"/>
    <w:rsid w:val="008773C0"/>
    <w:rsid w:val="00880364"/>
    <w:rsid w:val="00880D3D"/>
    <w:rsid w:val="0088554D"/>
    <w:rsid w:val="00886C4C"/>
    <w:rsid w:val="0088711C"/>
    <w:rsid w:val="00892ECF"/>
    <w:rsid w:val="00892F06"/>
    <w:rsid w:val="00894285"/>
    <w:rsid w:val="00895239"/>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577F"/>
    <w:rsid w:val="008F61DF"/>
    <w:rsid w:val="008F709C"/>
    <w:rsid w:val="0090312B"/>
    <w:rsid w:val="00904961"/>
    <w:rsid w:val="0091736D"/>
    <w:rsid w:val="00920FC9"/>
    <w:rsid w:val="00931001"/>
    <w:rsid w:val="00931863"/>
    <w:rsid w:val="00932CE3"/>
    <w:rsid w:val="009331F6"/>
    <w:rsid w:val="00933524"/>
    <w:rsid w:val="0094278D"/>
    <w:rsid w:val="0095308A"/>
    <w:rsid w:val="009551E0"/>
    <w:rsid w:val="00955AEE"/>
    <w:rsid w:val="00956F14"/>
    <w:rsid w:val="009620FD"/>
    <w:rsid w:val="0096247A"/>
    <w:rsid w:val="00965F4B"/>
    <w:rsid w:val="00970F8A"/>
    <w:rsid w:val="00971FB5"/>
    <w:rsid w:val="00972D2A"/>
    <w:rsid w:val="0097444A"/>
    <w:rsid w:val="00975CC5"/>
    <w:rsid w:val="00976328"/>
    <w:rsid w:val="00976B4E"/>
    <w:rsid w:val="00984458"/>
    <w:rsid w:val="00985283"/>
    <w:rsid w:val="00987322"/>
    <w:rsid w:val="009919E7"/>
    <w:rsid w:val="009A0F3B"/>
    <w:rsid w:val="009A2F00"/>
    <w:rsid w:val="009A72C7"/>
    <w:rsid w:val="009B0897"/>
    <w:rsid w:val="009C6A77"/>
    <w:rsid w:val="009D0852"/>
    <w:rsid w:val="009D1FBF"/>
    <w:rsid w:val="009D474C"/>
    <w:rsid w:val="009E399C"/>
    <w:rsid w:val="009E43C1"/>
    <w:rsid w:val="009E7E95"/>
    <w:rsid w:val="009F116F"/>
    <w:rsid w:val="009F2963"/>
    <w:rsid w:val="009F329E"/>
    <w:rsid w:val="009F7ED3"/>
    <w:rsid w:val="00A028DC"/>
    <w:rsid w:val="00A03607"/>
    <w:rsid w:val="00A047FF"/>
    <w:rsid w:val="00A04FEF"/>
    <w:rsid w:val="00A105B9"/>
    <w:rsid w:val="00A122CD"/>
    <w:rsid w:val="00A12A32"/>
    <w:rsid w:val="00A14248"/>
    <w:rsid w:val="00A14947"/>
    <w:rsid w:val="00A23DC5"/>
    <w:rsid w:val="00A34028"/>
    <w:rsid w:val="00A35568"/>
    <w:rsid w:val="00A37056"/>
    <w:rsid w:val="00A41128"/>
    <w:rsid w:val="00A4358F"/>
    <w:rsid w:val="00A46F67"/>
    <w:rsid w:val="00A54AA1"/>
    <w:rsid w:val="00A568FF"/>
    <w:rsid w:val="00A5720C"/>
    <w:rsid w:val="00A61496"/>
    <w:rsid w:val="00A61833"/>
    <w:rsid w:val="00A624C6"/>
    <w:rsid w:val="00A63CEC"/>
    <w:rsid w:val="00A65264"/>
    <w:rsid w:val="00A7031E"/>
    <w:rsid w:val="00A728B1"/>
    <w:rsid w:val="00A763DE"/>
    <w:rsid w:val="00A803D6"/>
    <w:rsid w:val="00A81282"/>
    <w:rsid w:val="00A8713F"/>
    <w:rsid w:val="00A91167"/>
    <w:rsid w:val="00A9171C"/>
    <w:rsid w:val="00A92FFD"/>
    <w:rsid w:val="00A95975"/>
    <w:rsid w:val="00A9708D"/>
    <w:rsid w:val="00AA0998"/>
    <w:rsid w:val="00AA2C17"/>
    <w:rsid w:val="00AA4172"/>
    <w:rsid w:val="00AB1914"/>
    <w:rsid w:val="00AB3FE5"/>
    <w:rsid w:val="00AB5330"/>
    <w:rsid w:val="00AB57F2"/>
    <w:rsid w:val="00AB64CB"/>
    <w:rsid w:val="00AB7747"/>
    <w:rsid w:val="00AC2532"/>
    <w:rsid w:val="00AD1507"/>
    <w:rsid w:val="00AD5A70"/>
    <w:rsid w:val="00AD688C"/>
    <w:rsid w:val="00AD738B"/>
    <w:rsid w:val="00AE1BF4"/>
    <w:rsid w:val="00AE5D97"/>
    <w:rsid w:val="00AE6794"/>
    <w:rsid w:val="00AF10EB"/>
    <w:rsid w:val="00AF6451"/>
    <w:rsid w:val="00B01110"/>
    <w:rsid w:val="00B02262"/>
    <w:rsid w:val="00B03CEC"/>
    <w:rsid w:val="00B1209F"/>
    <w:rsid w:val="00B12AD0"/>
    <w:rsid w:val="00B24F30"/>
    <w:rsid w:val="00B31ABF"/>
    <w:rsid w:val="00B32354"/>
    <w:rsid w:val="00B335AE"/>
    <w:rsid w:val="00B36320"/>
    <w:rsid w:val="00B37CE1"/>
    <w:rsid w:val="00B40ACF"/>
    <w:rsid w:val="00B46BAA"/>
    <w:rsid w:val="00B50B5F"/>
    <w:rsid w:val="00B54128"/>
    <w:rsid w:val="00B54AD0"/>
    <w:rsid w:val="00B5575C"/>
    <w:rsid w:val="00B55826"/>
    <w:rsid w:val="00B60426"/>
    <w:rsid w:val="00B622DD"/>
    <w:rsid w:val="00B63522"/>
    <w:rsid w:val="00B76F1D"/>
    <w:rsid w:val="00B90474"/>
    <w:rsid w:val="00B92A19"/>
    <w:rsid w:val="00B9544C"/>
    <w:rsid w:val="00B9781E"/>
    <w:rsid w:val="00BA29D8"/>
    <w:rsid w:val="00BA29E9"/>
    <w:rsid w:val="00BA4076"/>
    <w:rsid w:val="00BB3618"/>
    <w:rsid w:val="00BC0C9E"/>
    <w:rsid w:val="00BC32DC"/>
    <w:rsid w:val="00BD1B51"/>
    <w:rsid w:val="00BD45DF"/>
    <w:rsid w:val="00BD47F6"/>
    <w:rsid w:val="00BE312D"/>
    <w:rsid w:val="00BE3FCA"/>
    <w:rsid w:val="00C05719"/>
    <w:rsid w:val="00C10578"/>
    <w:rsid w:val="00C11241"/>
    <w:rsid w:val="00C17D62"/>
    <w:rsid w:val="00C21FDC"/>
    <w:rsid w:val="00C2269E"/>
    <w:rsid w:val="00C24EE7"/>
    <w:rsid w:val="00C2596A"/>
    <w:rsid w:val="00C271BE"/>
    <w:rsid w:val="00C27425"/>
    <w:rsid w:val="00C328FE"/>
    <w:rsid w:val="00C32C96"/>
    <w:rsid w:val="00C33A05"/>
    <w:rsid w:val="00C420A3"/>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9713F"/>
    <w:rsid w:val="00CA2983"/>
    <w:rsid w:val="00CA3585"/>
    <w:rsid w:val="00CA3D5A"/>
    <w:rsid w:val="00CA4C7C"/>
    <w:rsid w:val="00CB0183"/>
    <w:rsid w:val="00CB1EA3"/>
    <w:rsid w:val="00CB552C"/>
    <w:rsid w:val="00CB6A9E"/>
    <w:rsid w:val="00CC6181"/>
    <w:rsid w:val="00CD2BCD"/>
    <w:rsid w:val="00CD36AA"/>
    <w:rsid w:val="00CD3791"/>
    <w:rsid w:val="00CD5239"/>
    <w:rsid w:val="00CD65B0"/>
    <w:rsid w:val="00CE02CD"/>
    <w:rsid w:val="00CE10E9"/>
    <w:rsid w:val="00CF7F24"/>
    <w:rsid w:val="00D0072E"/>
    <w:rsid w:val="00D02ADA"/>
    <w:rsid w:val="00D15011"/>
    <w:rsid w:val="00D15727"/>
    <w:rsid w:val="00D16332"/>
    <w:rsid w:val="00D24275"/>
    <w:rsid w:val="00D24972"/>
    <w:rsid w:val="00D2515E"/>
    <w:rsid w:val="00D308ED"/>
    <w:rsid w:val="00D56178"/>
    <w:rsid w:val="00D56CF0"/>
    <w:rsid w:val="00D56F5C"/>
    <w:rsid w:val="00D64661"/>
    <w:rsid w:val="00D668B9"/>
    <w:rsid w:val="00D66E91"/>
    <w:rsid w:val="00D704B1"/>
    <w:rsid w:val="00D70B63"/>
    <w:rsid w:val="00D72B92"/>
    <w:rsid w:val="00D72ED4"/>
    <w:rsid w:val="00D73F61"/>
    <w:rsid w:val="00D74502"/>
    <w:rsid w:val="00D754C0"/>
    <w:rsid w:val="00D776A2"/>
    <w:rsid w:val="00D77E74"/>
    <w:rsid w:val="00D801C4"/>
    <w:rsid w:val="00D90836"/>
    <w:rsid w:val="00D9307F"/>
    <w:rsid w:val="00D95896"/>
    <w:rsid w:val="00D95CC6"/>
    <w:rsid w:val="00DA2DA3"/>
    <w:rsid w:val="00DA6615"/>
    <w:rsid w:val="00DA76AE"/>
    <w:rsid w:val="00DB181E"/>
    <w:rsid w:val="00DB1C7A"/>
    <w:rsid w:val="00DB2983"/>
    <w:rsid w:val="00DB343D"/>
    <w:rsid w:val="00DB5579"/>
    <w:rsid w:val="00DB5CFE"/>
    <w:rsid w:val="00DB723F"/>
    <w:rsid w:val="00DC72A6"/>
    <w:rsid w:val="00DD2113"/>
    <w:rsid w:val="00DD265E"/>
    <w:rsid w:val="00DF1930"/>
    <w:rsid w:val="00DF514A"/>
    <w:rsid w:val="00DF5BE7"/>
    <w:rsid w:val="00E0358D"/>
    <w:rsid w:val="00E06327"/>
    <w:rsid w:val="00E2064B"/>
    <w:rsid w:val="00E24C81"/>
    <w:rsid w:val="00E25239"/>
    <w:rsid w:val="00E265B1"/>
    <w:rsid w:val="00E275B0"/>
    <w:rsid w:val="00E412D0"/>
    <w:rsid w:val="00E47CDB"/>
    <w:rsid w:val="00E566BC"/>
    <w:rsid w:val="00E60982"/>
    <w:rsid w:val="00E60C8D"/>
    <w:rsid w:val="00E6162F"/>
    <w:rsid w:val="00E6311B"/>
    <w:rsid w:val="00E65D97"/>
    <w:rsid w:val="00E66F97"/>
    <w:rsid w:val="00E67EFD"/>
    <w:rsid w:val="00E702DC"/>
    <w:rsid w:val="00E71FFB"/>
    <w:rsid w:val="00E75C92"/>
    <w:rsid w:val="00E76D1D"/>
    <w:rsid w:val="00E806F8"/>
    <w:rsid w:val="00E85D98"/>
    <w:rsid w:val="00E87752"/>
    <w:rsid w:val="00E878E7"/>
    <w:rsid w:val="00E8793B"/>
    <w:rsid w:val="00E90F81"/>
    <w:rsid w:val="00E91A6D"/>
    <w:rsid w:val="00E91C9D"/>
    <w:rsid w:val="00E92341"/>
    <w:rsid w:val="00E9242D"/>
    <w:rsid w:val="00E9770F"/>
    <w:rsid w:val="00EA609A"/>
    <w:rsid w:val="00EB041C"/>
    <w:rsid w:val="00EB4061"/>
    <w:rsid w:val="00EB4621"/>
    <w:rsid w:val="00EC3CB0"/>
    <w:rsid w:val="00EC5874"/>
    <w:rsid w:val="00ED192D"/>
    <w:rsid w:val="00ED30B4"/>
    <w:rsid w:val="00ED31F5"/>
    <w:rsid w:val="00EF1536"/>
    <w:rsid w:val="00EF2759"/>
    <w:rsid w:val="00EF45EB"/>
    <w:rsid w:val="00EF5099"/>
    <w:rsid w:val="00EF5E33"/>
    <w:rsid w:val="00EF716E"/>
    <w:rsid w:val="00EF7D43"/>
    <w:rsid w:val="00F00075"/>
    <w:rsid w:val="00F07822"/>
    <w:rsid w:val="00F118DE"/>
    <w:rsid w:val="00F15C95"/>
    <w:rsid w:val="00F22985"/>
    <w:rsid w:val="00F241AB"/>
    <w:rsid w:val="00F31382"/>
    <w:rsid w:val="00F35829"/>
    <w:rsid w:val="00F42868"/>
    <w:rsid w:val="00F42D55"/>
    <w:rsid w:val="00F465A7"/>
    <w:rsid w:val="00F50B7C"/>
    <w:rsid w:val="00F5202D"/>
    <w:rsid w:val="00F52CF6"/>
    <w:rsid w:val="00F54496"/>
    <w:rsid w:val="00F57F96"/>
    <w:rsid w:val="00F61097"/>
    <w:rsid w:val="00F63B0E"/>
    <w:rsid w:val="00F713B4"/>
    <w:rsid w:val="00F74345"/>
    <w:rsid w:val="00F74441"/>
    <w:rsid w:val="00F77F30"/>
    <w:rsid w:val="00F805BF"/>
    <w:rsid w:val="00F82589"/>
    <w:rsid w:val="00F82B19"/>
    <w:rsid w:val="00F90AA7"/>
    <w:rsid w:val="00F9212D"/>
    <w:rsid w:val="00FA301A"/>
    <w:rsid w:val="00FA406A"/>
    <w:rsid w:val="00FA5CB6"/>
    <w:rsid w:val="00FA667D"/>
    <w:rsid w:val="00FB6531"/>
    <w:rsid w:val="00FC66AC"/>
    <w:rsid w:val="00FD18F4"/>
    <w:rsid w:val="00FD74B4"/>
    <w:rsid w:val="00FE54F2"/>
    <w:rsid w:val="00FF131A"/>
    <w:rsid w:val="00FF1F16"/>
    <w:rsid w:val="00FF6CE4"/>
    <w:rsid w:val="00FF6FCE"/>
    <w:rsid w:val="00FF7518"/>
    <w:rsid w:val="00FF7FD8"/>
    <w:rsid w:val="013F6AE2"/>
    <w:rsid w:val="016C7941"/>
    <w:rsid w:val="01E55B74"/>
    <w:rsid w:val="0235025E"/>
    <w:rsid w:val="023C5B2D"/>
    <w:rsid w:val="02CA35A6"/>
    <w:rsid w:val="03745A63"/>
    <w:rsid w:val="037F3026"/>
    <w:rsid w:val="03A27A8B"/>
    <w:rsid w:val="03A657E2"/>
    <w:rsid w:val="03B029CE"/>
    <w:rsid w:val="03BE2317"/>
    <w:rsid w:val="03EB2A7C"/>
    <w:rsid w:val="04160396"/>
    <w:rsid w:val="0421106D"/>
    <w:rsid w:val="04712B5B"/>
    <w:rsid w:val="049A47FA"/>
    <w:rsid w:val="049D2615"/>
    <w:rsid w:val="04BD7DCF"/>
    <w:rsid w:val="04F1037F"/>
    <w:rsid w:val="04F1226D"/>
    <w:rsid w:val="0523432A"/>
    <w:rsid w:val="0573740F"/>
    <w:rsid w:val="05742AC8"/>
    <w:rsid w:val="05D16298"/>
    <w:rsid w:val="05D37841"/>
    <w:rsid w:val="05DE0E4B"/>
    <w:rsid w:val="06296616"/>
    <w:rsid w:val="06352F05"/>
    <w:rsid w:val="063E7D85"/>
    <w:rsid w:val="063F7551"/>
    <w:rsid w:val="06870A7B"/>
    <w:rsid w:val="068B7B25"/>
    <w:rsid w:val="06C00787"/>
    <w:rsid w:val="06E8731C"/>
    <w:rsid w:val="070875E0"/>
    <w:rsid w:val="07293586"/>
    <w:rsid w:val="07295285"/>
    <w:rsid w:val="07422B81"/>
    <w:rsid w:val="074A598A"/>
    <w:rsid w:val="07657F8D"/>
    <w:rsid w:val="076A0A86"/>
    <w:rsid w:val="07770C56"/>
    <w:rsid w:val="07C05BA3"/>
    <w:rsid w:val="07E16F02"/>
    <w:rsid w:val="07EE5081"/>
    <w:rsid w:val="07FA44B8"/>
    <w:rsid w:val="082E5202"/>
    <w:rsid w:val="08966904"/>
    <w:rsid w:val="08B27741"/>
    <w:rsid w:val="08E643C8"/>
    <w:rsid w:val="08F20138"/>
    <w:rsid w:val="090178C7"/>
    <w:rsid w:val="092217DD"/>
    <w:rsid w:val="0928231C"/>
    <w:rsid w:val="093A7294"/>
    <w:rsid w:val="09A154B2"/>
    <w:rsid w:val="09B263BB"/>
    <w:rsid w:val="09D90C71"/>
    <w:rsid w:val="09E9342F"/>
    <w:rsid w:val="09F232D0"/>
    <w:rsid w:val="0A053D70"/>
    <w:rsid w:val="0A0611CF"/>
    <w:rsid w:val="0A0C16AE"/>
    <w:rsid w:val="0A1017D7"/>
    <w:rsid w:val="0A144AE5"/>
    <w:rsid w:val="0A335A07"/>
    <w:rsid w:val="0A5140DF"/>
    <w:rsid w:val="0A7B4003"/>
    <w:rsid w:val="0AE719D1"/>
    <w:rsid w:val="0AEF5CE1"/>
    <w:rsid w:val="0B4007F2"/>
    <w:rsid w:val="0B60330F"/>
    <w:rsid w:val="0B75338C"/>
    <w:rsid w:val="0B9F4778"/>
    <w:rsid w:val="0BA75F46"/>
    <w:rsid w:val="0BBA799C"/>
    <w:rsid w:val="0BCD1D8D"/>
    <w:rsid w:val="0BCF2C58"/>
    <w:rsid w:val="0BD27BF6"/>
    <w:rsid w:val="0BF72E73"/>
    <w:rsid w:val="0C092FBA"/>
    <w:rsid w:val="0C7D725F"/>
    <w:rsid w:val="0C827EC2"/>
    <w:rsid w:val="0C8B3CE8"/>
    <w:rsid w:val="0CD8573D"/>
    <w:rsid w:val="0CDB217C"/>
    <w:rsid w:val="0CE567B8"/>
    <w:rsid w:val="0D35493D"/>
    <w:rsid w:val="0D3822D1"/>
    <w:rsid w:val="0D662770"/>
    <w:rsid w:val="0D842634"/>
    <w:rsid w:val="0D932374"/>
    <w:rsid w:val="0DAD6FE5"/>
    <w:rsid w:val="0DB21D9F"/>
    <w:rsid w:val="0DBA7EE7"/>
    <w:rsid w:val="0DC24706"/>
    <w:rsid w:val="0DC342AC"/>
    <w:rsid w:val="0E110D06"/>
    <w:rsid w:val="0E296AA9"/>
    <w:rsid w:val="0E391A3B"/>
    <w:rsid w:val="0E7F15F7"/>
    <w:rsid w:val="0E862A55"/>
    <w:rsid w:val="0EB01AD3"/>
    <w:rsid w:val="0ECC4670"/>
    <w:rsid w:val="0ED02426"/>
    <w:rsid w:val="0EE40B4D"/>
    <w:rsid w:val="0F13775A"/>
    <w:rsid w:val="0F456642"/>
    <w:rsid w:val="0F7E1A6E"/>
    <w:rsid w:val="0F8C49DE"/>
    <w:rsid w:val="0F9A112B"/>
    <w:rsid w:val="0F9E66AF"/>
    <w:rsid w:val="0FC777DD"/>
    <w:rsid w:val="0FD720C4"/>
    <w:rsid w:val="0FD72557"/>
    <w:rsid w:val="106D2F64"/>
    <w:rsid w:val="108D1B52"/>
    <w:rsid w:val="10B63710"/>
    <w:rsid w:val="10F8796B"/>
    <w:rsid w:val="11007F2F"/>
    <w:rsid w:val="111C2F7A"/>
    <w:rsid w:val="111D5D5A"/>
    <w:rsid w:val="11257B64"/>
    <w:rsid w:val="113013DE"/>
    <w:rsid w:val="114105DB"/>
    <w:rsid w:val="121027DF"/>
    <w:rsid w:val="121955E8"/>
    <w:rsid w:val="122B06C2"/>
    <w:rsid w:val="1287797D"/>
    <w:rsid w:val="12B0375A"/>
    <w:rsid w:val="12CF313E"/>
    <w:rsid w:val="12DA473C"/>
    <w:rsid w:val="12EE62B5"/>
    <w:rsid w:val="135A2FEF"/>
    <w:rsid w:val="136E731D"/>
    <w:rsid w:val="13951726"/>
    <w:rsid w:val="139C7216"/>
    <w:rsid w:val="13A46C87"/>
    <w:rsid w:val="13B405F3"/>
    <w:rsid w:val="13BE2919"/>
    <w:rsid w:val="13D02E2E"/>
    <w:rsid w:val="14396509"/>
    <w:rsid w:val="1447165C"/>
    <w:rsid w:val="14717F13"/>
    <w:rsid w:val="147822DF"/>
    <w:rsid w:val="149A0A5D"/>
    <w:rsid w:val="14AD7386"/>
    <w:rsid w:val="14BD4720"/>
    <w:rsid w:val="14C0725D"/>
    <w:rsid w:val="14C72408"/>
    <w:rsid w:val="14CE5524"/>
    <w:rsid w:val="14E87064"/>
    <w:rsid w:val="15A74EB3"/>
    <w:rsid w:val="15AB7E33"/>
    <w:rsid w:val="15C37A8C"/>
    <w:rsid w:val="15D20258"/>
    <w:rsid w:val="15F14492"/>
    <w:rsid w:val="15F80BFE"/>
    <w:rsid w:val="16070FFC"/>
    <w:rsid w:val="167602DD"/>
    <w:rsid w:val="16867FDE"/>
    <w:rsid w:val="16C9302F"/>
    <w:rsid w:val="16E009F7"/>
    <w:rsid w:val="16F1354F"/>
    <w:rsid w:val="175803C1"/>
    <w:rsid w:val="176A55C4"/>
    <w:rsid w:val="17735226"/>
    <w:rsid w:val="1782440C"/>
    <w:rsid w:val="17D432AB"/>
    <w:rsid w:val="17E83FA5"/>
    <w:rsid w:val="180D4EB0"/>
    <w:rsid w:val="181272D8"/>
    <w:rsid w:val="18130C2E"/>
    <w:rsid w:val="186B2D02"/>
    <w:rsid w:val="188B2442"/>
    <w:rsid w:val="188C5676"/>
    <w:rsid w:val="18BD6CF6"/>
    <w:rsid w:val="191D3027"/>
    <w:rsid w:val="19445525"/>
    <w:rsid w:val="1945545A"/>
    <w:rsid w:val="194F3E6E"/>
    <w:rsid w:val="19833610"/>
    <w:rsid w:val="198A7D81"/>
    <w:rsid w:val="19C623F1"/>
    <w:rsid w:val="19F27E04"/>
    <w:rsid w:val="1A1C66C0"/>
    <w:rsid w:val="1A42393B"/>
    <w:rsid w:val="1A582EC7"/>
    <w:rsid w:val="1A7F3292"/>
    <w:rsid w:val="1A846823"/>
    <w:rsid w:val="1A8D1764"/>
    <w:rsid w:val="1AAB244B"/>
    <w:rsid w:val="1B046F80"/>
    <w:rsid w:val="1B3267B5"/>
    <w:rsid w:val="1B3A101C"/>
    <w:rsid w:val="1B3F54E8"/>
    <w:rsid w:val="1B712F8D"/>
    <w:rsid w:val="1B7725C5"/>
    <w:rsid w:val="1B8865FB"/>
    <w:rsid w:val="1BC25DC8"/>
    <w:rsid w:val="1BF814EF"/>
    <w:rsid w:val="1C5E7925"/>
    <w:rsid w:val="1C73204A"/>
    <w:rsid w:val="1C7711CA"/>
    <w:rsid w:val="1C866E6C"/>
    <w:rsid w:val="1C887FC8"/>
    <w:rsid w:val="1CA308F2"/>
    <w:rsid w:val="1CAE0EEE"/>
    <w:rsid w:val="1CD04789"/>
    <w:rsid w:val="1CE43C8A"/>
    <w:rsid w:val="1D28626C"/>
    <w:rsid w:val="1D2E1D1B"/>
    <w:rsid w:val="1D5E0195"/>
    <w:rsid w:val="1D5F6196"/>
    <w:rsid w:val="1D6132A5"/>
    <w:rsid w:val="1D6620E2"/>
    <w:rsid w:val="1D8A2920"/>
    <w:rsid w:val="1D8E56D5"/>
    <w:rsid w:val="1D92745B"/>
    <w:rsid w:val="1DC10E68"/>
    <w:rsid w:val="1DD261D8"/>
    <w:rsid w:val="1DDD6D40"/>
    <w:rsid w:val="1DE72A57"/>
    <w:rsid w:val="1E2D518A"/>
    <w:rsid w:val="1E3A7F9A"/>
    <w:rsid w:val="1E5D10BC"/>
    <w:rsid w:val="1E7A43DA"/>
    <w:rsid w:val="1E9F608F"/>
    <w:rsid w:val="1EB277FE"/>
    <w:rsid w:val="1EBC0108"/>
    <w:rsid w:val="1EFD715E"/>
    <w:rsid w:val="1F085703"/>
    <w:rsid w:val="1F29781F"/>
    <w:rsid w:val="1FAF2B42"/>
    <w:rsid w:val="1FE7539E"/>
    <w:rsid w:val="1FF266BE"/>
    <w:rsid w:val="20102133"/>
    <w:rsid w:val="20381BEE"/>
    <w:rsid w:val="20775A83"/>
    <w:rsid w:val="20886514"/>
    <w:rsid w:val="20963CB8"/>
    <w:rsid w:val="20B07FB6"/>
    <w:rsid w:val="21283C63"/>
    <w:rsid w:val="213B74B1"/>
    <w:rsid w:val="214C1681"/>
    <w:rsid w:val="2156186B"/>
    <w:rsid w:val="215A2310"/>
    <w:rsid w:val="21637C34"/>
    <w:rsid w:val="2195103F"/>
    <w:rsid w:val="21CF4F08"/>
    <w:rsid w:val="21DE318A"/>
    <w:rsid w:val="21EF5B80"/>
    <w:rsid w:val="22444CD9"/>
    <w:rsid w:val="22576990"/>
    <w:rsid w:val="226715E5"/>
    <w:rsid w:val="229C3719"/>
    <w:rsid w:val="229C4EAB"/>
    <w:rsid w:val="22AD1241"/>
    <w:rsid w:val="234449AA"/>
    <w:rsid w:val="234F5450"/>
    <w:rsid w:val="235E420C"/>
    <w:rsid w:val="23882A75"/>
    <w:rsid w:val="241871C0"/>
    <w:rsid w:val="248719D0"/>
    <w:rsid w:val="249F27F3"/>
    <w:rsid w:val="24CE56C6"/>
    <w:rsid w:val="24DF34A0"/>
    <w:rsid w:val="24F658C7"/>
    <w:rsid w:val="2525540C"/>
    <w:rsid w:val="252D53FE"/>
    <w:rsid w:val="2535022D"/>
    <w:rsid w:val="255321BF"/>
    <w:rsid w:val="25AE0043"/>
    <w:rsid w:val="25E56182"/>
    <w:rsid w:val="25EC06BC"/>
    <w:rsid w:val="25EC2D81"/>
    <w:rsid w:val="260B2AF2"/>
    <w:rsid w:val="26263D45"/>
    <w:rsid w:val="2630673E"/>
    <w:rsid w:val="264528BD"/>
    <w:rsid w:val="266D2C13"/>
    <w:rsid w:val="267210BB"/>
    <w:rsid w:val="26783AFC"/>
    <w:rsid w:val="26B43C76"/>
    <w:rsid w:val="26CC1AA3"/>
    <w:rsid w:val="26CF3546"/>
    <w:rsid w:val="26EF408B"/>
    <w:rsid w:val="26FC34F1"/>
    <w:rsid w:val="2709697A"/>
    <w:rsid w:val="27753077"/>
    <w:rsid w:val="277D62AD"/>
    <w:rsid w:val="27A94562"/>
    <w:rsid w:val="27D15DD1"/>
    <w:rsid w:val="28006248"/>
    <w:rsid w:val="28112ABB"/>
    <w:rsid w:val="28333D17"/>
    <w:rsid w:val="287A10A2"/>
    <w:rsid w:val="28A01FA3"/>
    <w:rsid w:val="28A76295"/>
    <w:rsid w:val="28B7362B"/>
    <w:rsid w:val="28BB6FED"/>
    <w:rsid w:val="28EC579A"/>
    <w:rsid w:val="28F416F8"/>
    <w:rsid w:val="28FD216D"/>
    <w:rsid w:val="291231E6"/>
    <w:rsid w:val="29206EB8"/>
    <w:rsid w:val="294D4B9E"/>
    <w:rsid w:val="298438D2"/>
    <w:rsid w:val="299376FA"/>
    <w:rsid w:val="29B47D10"/>
    <w:rsid w:val="29BF5E32"/>
    <w:rsid w:val="29C74587"/>
    <w:rsid w:val="29E325E0"/>
    <w:rsid w:val="2A0B4F4C"/>
    <w:rsid w:val="2A2D4AC9"/>
    <w:rsid w:val="2A3715B6"/>
    <w:rsid w:val="2A38161F"/>
    <w:rsid w:val="2A452503"/>
    <w:rsid w:val="2A4F1B5B"/>
    <w:rsid w:val="2A8502C9"/>
    <w:rsid w:val="2AB13DC5"/>
    <w:rsid w:val="2AB633CB"/>
    <w:rsid w:val="2AE27B9F"/>
    <w:rsid w:val="2B477185"/>
    <w:rsid w:val="2B744E1B"/>
    <w:rsid w:val="2B820CF7"/>
    <w:rsid w:val="2B890319"/>
    <w:rsid w:val="2BA936A8"/>
    <w:rsid w:val="2BB91343"/>
    <w:rsid w:val="2BDB03C5"/>
    <w:rsid w:val="2C0A4001"/>
    <w:rsid w:val="2C117B60"/>
    <w:rsid w:val="2C196F0A"/>
    <w:rsid w:val="2C1B25CE"/>
    <w:rsid w:val="2C315A5A"/>
    <w:rsid w:val="2C38364A"/>
    <w:rsid w:val="2C4E1C4D"/>
    <w:rsid w:val="2C933B12"/>
    <w:rsid w:val="2C994651"/>
    <w:rsid w:val="2CC85E20"/>
    <w:rsid w:val="2CDE43FB"/>
    <w:rsid w:val="2CE645E8"/>
    <w:rsid w:val="2CE97689"/>
    <w:rsid w:val="2CF55CC4"/>
    <w:rsid w:val="2CFF2F9E"/>
    <w:rsid w:val="2D1D3EC0"/>
    <w:rsid w:val="2D5064EF"/>
    <w:rsid w:val="2D6C2843"/>
    <w:rsid w:val="2D7B79BB"/>
    <w:rsid w:val="2D9E56F5"/>
    <w:rsid w:val="2D9F649B"/>
    <w:rsid w:val="2DA416FC"/>
    <w:rsid w:val="2DB0393B"/>
    <w:rsid w:val="2DB40438"/>
    <w:rsid w:val="2DB75BA1"/>
    <w:rsid w:val="2DE97352"/>
    <w:rsid w:val="2DF53F49"/>
    <w:rsid w:val="2E003CC6"/>
    <w:rsid w:val="2E214760"/>
    <w:rsid w:val="2E2741DB"/>
    <w:rsid w:val="2E340AB4"/>
    <w:rsid w:val="2E38535F"/>
    <w:rsid w:val="2E4D7FDA"/>
    <w:rsid w:val="2E523C5B"/>
    <w:rsid w:val="2E667F96"/>
    <w:rsid w:val="2E6C5877"/>
    <w:rsid w:val="2E8226AB"/>
    <w:rsid w:val="2EB57234"/>
    <w:rsid w:val="2EB94D2C"/>
    <w:rsid w:val="2EFF2EDF"/>
    <w:rsid w:val="2F223936"/>
    <w:rsid w:val="2F557506"/>
    <w:rsid w:val="2F580E93"/>
    <w:rsid w:val="2F832C79"/>
    <w:rsid w:val="2F967065"/>
    <w:rsid w:val="2FB86177"/>
    <w:rsid w:val="2FC552B5"/>
    <w:rsid w:val="2FEF2D58"/>
    <w:rsid w:val="2FF82E75"/>
    <w:rsid w:val="300E53ED"/>
    <w:rsid w:val="3022332F"/>
    <w:rsid w:val="30344E19"/>
    <w:rsid w:val="30580BC9"/>
    <w:rsid w:val="30842CA6"/>
    <w:rsid w:val="30AC4667"/>
    <w:rsid w:val="311E2ED7"/>
    <w:rsid w:val="31427D5C"/>
    <w:rsid w:val="315C449C"/>
    <w:rsid w:val="316E51E8"/>
    <w:rsid w:val="31B82709"/>
    <w:rsid w:val="31CC5A32"/>
    <w:rsid w:val="31D32E7B"/>
    <w:rsid w:val="32165ECD"/>
    <w:rsid w:val="32291B35"/>
    <w:rsid w:val="32400B34"/>
    <w:rsid w:val="32615E2D"/>
    <w:rsid w:val="32802C62"/>
    <w:rsid w:val="328660F1"/>
    <w:rsid w:val="328D3C1D"/>
    <w:rsid w:val="329E6876"/>
    <w:rsid w:val="32E620B2"/>
    <w:rsid w:val="337C7F6E"/>
    <w:rsid w:val="337D37CE"/>
    <w:rsid w:val="33850120"/>
    <w:rsid w:val="339F22F3"/>
    <w:rsid w:val="33B74CB8"/>
    <w:rsid w:val="33D934D4"/>
    <w:rsid w:val="33FE2F6A"/>
    <w:rsid w:val="34266B36"/>
    <w:rsid w:val="343D4DD8"/>
    <w:rsid w:val="34983880"/>
    <w:rsid w:val="35004C19"/>
    <w:rsid w:val="35477CDA"/>
    <w:rsid w:val="35672CB1"/>
    <w:rsid w:val="35E62060"/>
    <w:rsid w:val="36074A7F"/>
    <w:rsid w:val="36411800"/>
    <w:rsid w:val="36413ED1"/>
    <w:rsid w:val="36455341"/>
    <w:rsid w:val="36622BA6"/>
    <w:rsid w:val="36923549"/>
    <w:rsid w:val="369E3960"/>
    <w:rsid w:val="36B75FBF"/>
    <w:rsid w:val="36FB4891"/>
    <w:rsid w:val="370A4783"/>
    <w:rsid w:val="370F1ECD"/>
    <w:rsid w:val="3722580F"/>
    <w:rsid w:val="374640FF"/>
    <w:rsid w:val="37752A1D"/>
    <w:rsid w:val="379D4EBE"/>
    <w:rsid w:val="37AE73F1"/>
    <w:rsid w:val="37C31BBC"/>
    <w:rsid w:val="37CB6AAC"/>
    <w:rsid w:val="37D56B99"/>
    <w:rsid w:val="37DA013F"/>
    <w:rsid w:val="37FB0F26"/>
    <w:rsid w:val="381B4C3D"/>
    <w:rsid w:val="381C7E2E"/>
    <w:rsid w:val="38513B12"/>
    <w:rsid w:val="387D2221"/>
    <w:rsid w:val="38AB713F"/>
    <w:rsid w:val="38BB0292"/>
    <w:rsid w:val="38D6427C"/>
    <w:rsid w:val="38E504C1"/>
    <w:rsid w:val="38EA6674"/>
    <w:rsid w:val="38F07FD0"/>
    <w:rsid w:val="38F12CD3"/>
    <w:rsid w:val="38F94775"/>
    <w:rsid w:val="38FD0F0A"/>
    <w:rsid w:val="39162AF2"/>
    <w:rsid w:val="392971ED"/>
    <w:rsid w:val="39495149"/>
    <w:rsid w:val="395A0489"/>
    <w:rsid w:val="39785AA3"/>
    <w:rsid w:val="399E3BFA"/>
    <w:rsid w:val="39B80827"/>
    <w:rsid w:val="39B859FA"/>
    <w:rsid w:val="39C66799"/>
    <w:rsid w:val="39E52131"/>
    <w:rsid w:val="39E64BE0"/>
    <w:rsid w:val="3A8B535F"/>
    <w:rsid w:val="3ADC3789"/>
    <w:rsid w:val="3AE772F8"/>
    <w:rsid w:val="3B2B16CF"/>
    <w:rsid w:val="3B3763D1"/>
    <w:rsid w:val="3B453171"/>
    <w:rsid w:val="3B871F58"/>
    <w:rsid w:val="3BA96797"/>
    <w:rsid w:val="3BED7CF7"/>
    <w:rsid w:val="3BEF3FB3"/>
    <w:rsid w:val="3C0C6013"/>
    <w:rsid w:val="3C150950"/>
    <w:rsid w:val="3C37630F"/>
    <w:rsid w:val="3C792EBA"/>
    <w:rsid w:val="3C8166C4"/>
    <w:rsid w:val="3CAA290F"/>
    <w:rsid w:val="3CDA245A"/>
    <w:rsid w:val="3CE60B18"/>
    <w:rsid w:val="3CEE0A37"/>
    <w:rsid w:val="3CEE3810"/>
    <w:rsid w:val="3D1F0CF4"/>
    <w:rsid w:val="3D5537AB"/>
    <w:rsid w:val="3DD0408A"/>
    <w:rsid w:val="3DDF6FF5"/>
    <w:rsid w:val="3DF106A8"/>
    <w:rsid w:val="3DF33321"/>
    <w:rsid w:val="3DF477A2"/>
    <w:rsid w:val="3DFF3653"/>
    <w:rsid w:val="3E1063F5"/>
    <w:rsid w:val="3E1A70B4"/>
    <w:rsid w:val="3E1C1B56"/>
    <w:rsid w:val="3E473BF6"/>
    <w:rsid w:val="3E8E2894"/>
    <w:rsid w:val="3E904226"/>
    <w:rsid w:val="3F581F5C"/>
    <w:rsid w:val="3F660E74"/>
    <w:rsid w:val="3FA3252F"/>
    <w:rsid w:val="3FB0678D"/>
    <w:rsid w:val="3FB60EF6"/>
    <w:rsid w:val="4011012E"/>
    <w:rsid w:val="401228C1"/>
    <w:rsid w:val="404A3BBC"/>
    <w:rsid w:val="407A6407"/>
    <w:rsid w:val="408508ED"/>
    <w:rsid w:val="40B22BB3"/>
    <w:rsid w:val="41220915"/>
    <w:rsid w:val="413B7A6D"/>
    <w:rsid w:val="417D37E3"/>
    <w:rsid w:val="417E0917"/>
    <w:rsid w:val="418164C6"/>
    <w:rsid w:val="423A3BCC"/>
    <w:rsid w:val="42616E2E"/>
    <w:rsid w:val="429F1FE7"/>
    <w:rsid w:val="42BB1CBE"/>
    <w:rsid w:val="42C46C91"/>
    <w:rsid w:val="42C615B8"/>
    <w:rsid w:val="42E55FA1"/>
    <w:rsid w:val="43102381"/>
    <w:rsid w:val="4316744D"/>
    <w:rsid w:val="4322748F"/>
    <w:rsid w:val="432579FC"/>
    <w:rsid w:val="433A6FE6"/>
    <w:rsid w:val="4350713C"/>
    <w:rsid w:val="436511FC"/>
    <w:rsid w:val="436653E0"/>
    <w:rsid w:val="43897C12"/>
    <w:rsid w:val="43E1775F"/>
    <w:rsid w:val="43E311E0"/>
    <w:rsid w:val="441905A0"/>
    <w:rsid w:val="442F4178"/>
    <w:rsid w:val="446D628B"/>
    <w:rsid w:val="446E1303"/>
    <w:rsid w:val="44980D44"/>
    <w:rsid w:val="44AF063D"/>
    <w:rsid w:val="44CD14E0"/>
    <w:rsid w:val="44D36C8E"/>
    <w:rsid w:val="44ED50F3"/>
    <w:rsid w:val="44F93AD3"/>
    <w:rsid w:val="45057104"/>
    <w:rsid w:val="451E0232"/>
    <w:rsid w:val="45402335"/>
    <w:rsid w:val="4568104C"/>
    <w:rsid w:val="457C263C"/>
    <w:rsid w:val="457F11CB"/>
    <w:rsid w:val="458946E9"/>
    <w:rsid w:val="45F33F34"/>
    <w:rsid w:val="4603181D"/>
    <w:rsid w:val="46036BD0"/>
    <w:rsid w:val="460479E0"/>
    <w:rsid w:val="46055B2C"/>
    <w:rsid w:val="463C4EC0"/>
    <w:rsid w:val="463F5014"/>
    <w:rsid w:val="46583B68"/>
    <w:rsid w:val="46B207D1"/>
    <w:rsid w:val="46BE018D"/>
    <w:rsid w:val="46C90453"/>
    <w:rsid w:val="46D955A7"/>
    <w:rsid w:val="46E8775B"/>
    <w:rsid w:val="47133957"/>
    <w:rsid w:val="4779329E"/>
    <w:rsid w:val="47844F48"/>
    <w:rsid w:val="47983637"/>
    <w:rsid w:val="47A07E0C"/>
    <w:rsid w:val="47CE3F4F"/>
    <w:rsid w:val="482E37ED"/>
    <w:rsid w:val="486948F5"/>
    <w:rsid w:val="4870272E"/>
    <w:rsid w:val="489B7376"/>
    <w:rsid w:val="48AB17A4"/>
    <w:rsid w:val="48BC2943"/>
    <w:rsid w:val="48C6640B"/>
    <w:rsid w:val="48EC765E"/>
    <w:rsid w:val="491B2E2F"/>
    <w:rsid w:val="492A7F26"/>
    <w:rsid w:val="494A055F"/>
    <w:rsid w:val="496578F3"/>
    <w:rsid w:val="4981232E"/>
    <w:rsid w:val="49A168DB"/>
    <w:rsid w:val="49DC7715"/>
    <w:rsid w:val="49E2731C"/>
    <w:rsid w:val="4A023139"/>
    <w:rsid w:val="4A1C5EEA"/>
    <w:rsid w:val="4A516051"/>
    <w:rsid w:val="4A7B576F"/>
    <w:rsid w:val="4AA90A9E"/>
    <w:rsid w:val="4AC274DE"/>
    <w:rsid w:val="4AC8357D"/>
    <w:rsid w:val="4AF43254"/>
    <w:rsid w:val="4B13435E"/>
    <w:rsid w:val="4B2D336A"/>
    <w:rsid w:val="4B9D2E2B"/>
    <w:rsid w:val="4BD44162"/>
    <w:rsid w:val="4BFE74FC"/>
    <w:rsid w:val="4C2603D5"/>
    <w:rsid w:val="4C2A7E1B"/>
    <w:rsid w:val="4C3104AE"/>
    <w:rsid w:val="4C4A0649"/>
    <w:rsid w:val="4C4F4F1F"/>
    <w:rsid w:val="4C827362"/>
    <w:rsid w:val="4CA258CC"/>
    <w:rsid w:val="4CB52428"/>
    <w:rsid w:val="4CD001EF"/>
    <w:rsid w:val="4CE179BA"/>
    <w:rsid w:val="4CE470D3"/>
    <w:rsid w:val="4D111FCA"/>
    <w:rsid w:val="4D2E492A"/>
    <w:rsid w:val="4D784BC0"/>
    <w:rsid w:val="4D93734B"/>
    <w:rsid w:val="4DA24C89"/>
    <w:rsid w:val="4DBF2F3C"/>
    <w:rsid w:val="4DEA116A"/>
    <w:rsid w:val="4DEC4FB0"/>
    <w:rsid w:val="4E075D8A"/>
    <w:rsid w:val="4E154102"/>
    <w:rsid w:val="4E337CD0"/>
    <w:rsid w:val="4E3D0970"/>
    <w:rsid w:val="4E966494"/>
    <w:rsid w:val="4EA4637E"/>
    <w:rsid w:val="4ED55896"/>
    <w:rsid w:val="4F510757"/>
    <w:rsid w:val="4F674123"/>
    <w:rsid w:val="4F6D58FA"/>
    <w:rsid w:val="4F7F7E27"/>
    <w:rsid w:val="4F856B91"/>
    <w:rsid w:val="4F95157A"/>
    <w:rsid w:val="4FAB1C7D"/>
    <w:rsid w:val="4FC62A8C"/>
    <w:rsid w:val="4FD72C4B"/>
    <w:rsid w:val="4FD775C6"/>
    <w:rsid w:val="4FE20F0D"/>
    <w:rsid w:val="500E118F"/>
    <w:rsid w:val="50504C4B"/>
    <w:rsid w:val="505A5490"/>
    <w:rsid w:val="506A2136"/>
    <w:rsid w:val="509C6E7C"/>
    <w:rsid w:val="50DC325D"/>
    <w:rsid w:val="514404C9"/>
    <w:rsid w:val="514F45D1"/>
    <w:rsid w:val="5162104E"/>
    <w:rsid w:val="5184022F"/>
    <w:rsid w:val="51840AF6"/>
    <w:rsid w:val="51CD4C37"/>
    <w:rsid w:val="51DE60C0"/>
    <w:rsid w:val="520C19CB"/>
    <w:rsid w:val="520D7D5B"/>
    <w:rsid w:val="521C62EE"/>
    <w:rsid w:val="525215EB"/>
    <w:rsid w:val="528869F4"/>
    <w:rsid w:val="529D7287"/>
    <w:rsid w:val="52D40DD0"/>
    <w:rsid w:val="52D567A1"/>
    <w:rsid w:val="53587266"/>
    <w:rsid w:val="536F3D49"/>
    <w:rsid w:val="5376484C"/>
    <w:rsid w:val="53A039CC"/>
    <w:rsid w:val="53A1505A"/>
    <w:rsid w:val="53BD2304"/>
    <w:rsid w:val="54063E08"/>
    <w:rsid w:val="542A70F1"/>
    <w:rsid w:val="543437E8"/>
    <w:rsid w:val="544206CC"/>
    <w:rsid w:val="547937E5"/>
    <w:rsid w:val="54912923"/>
    <w:rsid w:val="54B11E86"/>
    <w:rsid w:val="54BE7E99"/>
    <w:rsid w:val="54D359CF"/>
    <w:rsid w:val="54E26CD8"/>
    <w:rsid w:val="54EA4D17"/>
    <w:rsid w:val="55102BFE"/>
    <w:rsid w:val="55111B71"/>
    <w:rsid w:val="55560138"/>
    <w:rsid w:val="5583498B"/>
    <w:rsid w:val="559B174B"/>
    <w:rsid w:val="559E442E"/>
    <w:rsid w:val="55BD0CC3"/>
    <w:rsid w:val="55C27722"/>
    <w:rsid w:val="55C92445"/>
    <w:rsid w:val="55CE0CF4"/>
    <w:rsid w:val="55DB62C2"/>
    <w:rsid w:val="55E41A26"/>
    <w:rsid w:val="55F32938"/>
    <w:rsid w:val="5607605A"/>
    <w:rsid w:val="56B22A9C"/>
    <w:rsid w:val="56D45079"/>
    <w:rsid w:val="56D7512A"/>
    <w:rsid w:val="574C73DC"/>
    <w:rsid w:val="57566F57"/>
    <w:rsid w:val="576A47B0"/>
    <w:rsid w:val="57826B5A"/>
    <w:rsid w:val="5785098C"/>
    <w:rsid w:val="57B72A76"/>
    <w:rsid w:val="580D4001"/>
    <w:rsid w:val="580F1E1A"/>
    <w:rsid w:val="58140C3B"/>
    <w:rsid w:val="585124FD"/>
    <w:rsid w:val="587671E2"/>
    <w:rsid w:val="58AB5543"/>
    <w:rsid w:val="58EA367A"/>
    <w:rsid w:val="58FD5B85"/>
    <w:rsid w:val="591B7B12"/>
    <w:rsid w:val="598B7653"/>
    <w:rsid w:val="59925C25"/>
    <w:rsid w:val="59961079"/>
    <w:rsid w:val="59D46719"/>
    <w:rsid w:val="59ED13FB"/>
    <w:rsid w:val="5A1A332C"/>
    <w:rsid w:val="5A277F7B"/>
    <w:rsid w:val="5A3C747D"/>
    <w:rsid w:val="5A4D7E0F"/>
    <w:rsid w:val="5A66696E"/>
    <w:rsid w:val="5AB93103"/>
    <w:rsid w:val="5ABE2233"/>
    <w:rsid w:val="5ADE49AA"/>
    <w:rsid w:val="5B276D18"/>
    <w:rsid w:val="5B2A20FF"/>
    <w:rsid w:val="5B7569D6"/>
    <w:rsid w:val="5B7A37F8"/>
    <w:rsid w:val="5BA57FAB"/>
    <w:rsid w:val="5BDF5D95"/>
    <w:rsid w:val="5C052CF9"/>
    <w:rsid w:val="5C207D29"/>
    <w:rsid w:val="5C4E7C0A"/>
    <w:rsid w:val="5C7834E7"/>
    <w:rsid w:val="5C877BB2"/>
    <w:rsid w:val="5CA80AB0"/>
    <w:rsid w:val="5CAE4CA1"/>
    <w:rsid w:val="5D4F4213"/>
    <w:rsid w:val="5D552DD9"/>
    <w:rsid w:val="5D793B03"/>
    <w:rsid w:val="5D8C0AF3"/>
    <w:rsid w:val="5DF87A0F"/>
    <w:rsid w:val="5DF94746"/>
    <w:rsid w:val="5EC1728D"/>
    <w:rsid w:val="5EC53E5C"/>
    <w:rsid w:val="5ED4702E"/>
    <w:rsid w:val="5F1A2B43"/>
    <w:rsid w:val="5F4455BB"/>
    <w:rsid w:val="5FB56C89"/>
    <w:rsid w:val="5FB837BB"/>
    <w:rsid w:val="5FBC3CF1"/>
    <w:rsid w:val="5FDC10EA"/>
    <w:rsid w:val="600B5506"/>
    <w:rsid w:val="601E4B51"/>
    <w:rsid w:val="60346DD3"/>
    <w:rsid w:val="60574867"/>
    <w:rsid w:val="60693F87"/>
    <w:rsid w:val="60713ACC"/>
    <w:rsid w:val="607E36A7"/>
    <w:rsid w:val="60895B3D"/>
    <w:rsid w:val="60B465DF"/>
    <w:rsid w:val="60B76B32"/>
    <w:rsid w:val="60D977BB"/>
    <w:rsid w:val="60ED1D0D"/>
    <w:rsid w:val="61397812"/>
    <w:rsid w:val="613B7F2A"/>
    <w:rsid w:val="61583FFC"/>
    <w:rsid w:val="6185784F"/>
    <w:rsid w:val="61857B1F"/>
    <w:rsid w:val="618D11D9"/>
    <w:rsid w:val="61B43E7E"/>
    <w:rsid w:val="61B741F8"/>
    <w:rsid w:val="61C6353E"/>
    <w:rsid w:val="61CC63E5"/>
    <w:rsid w:val="61CD78F0"/>
    <w:rsid w:val="61E72462"/>
    <w:rsid w:val="61FB63A0"/>
    <w:rsid w:val="6209346D"/>
    <w:rsid w:val="620D4240"/>
    <w:rsid w:val="6212023C"/>
    <w:rsid w:val="62364782"/>
    <w:rsid w:val="62796AD0"/>
    <w:rsid w:val="62847D6F"/>
    <w:rsid w:val="6294045D"/>
    <w:rsid w:val="62AF7310"/>
    <w:rsid w:val="62DD4B1B"/>
    <w:rsid w:val="62E853CB"/>
    <w:rsid w:val="62F31C6D"/>
    <w:rsid w:val="63057615"/>
    <w:rsid w:val="631A5164"/>
    <w:rsid w:val="635D65DE"/>
    <w:rsid w:val="63D40BE9"/>
    <w:rsid w:val="63E0211F"/>
    <w:rsid w:val="64287B11"/>
    <w:rsid w:val="64590086"/>
    <w:rsid w:val="64CB4A8C"/>
    <w:rsid w:val="64F96671"/>
    <w:rsid w:val="65006754"/>
    <w:rsid w:val="651F1C15"/>
    <w:rsid w:val="65353A14"/>
    <w:rsid w:val="65373578"/>
    <w:rsid w:val="6564611D"/>
    <w:rsid w:val="65765253"/>
    <w:rsid w:val="65922A08"/>
    <w:rsid w:val="65996269"/>
    <w:rsid w:val="65AB5BB9"/>
    <w:rsid w:val="65E109E2"/>
    <w:rsid w:val="65E43F01"/>
    <w:rsid w:val="65ED5775"/>
    <w:rsid w:val="662419E4"/>
    <w:rsid w:val="66267C85"/>
    <w:rsid w:val="66583486"/>
    <w:rsid w:val="665A59E6"/>
    <w:rsid w:val="669237E5"/>
    <w:rsid w:val="669B103C"/>
    <w:rsid w:val="66CB4B3E"/>
    <w:rsid w:val="66D4264D"/>
    <w:rsid w:val="67035E97"/>
    <w:rsid w:val="673F2C7A"/>
    <w:rsid w:val="678415D2"/>
    <w:rsid w:val="67870C18"/>
    <w:rsid w:val="67883263"/>
    <w:rsid w:val="678B403E"/>
    <w:rsid w:val="681E3F07"/>
    <w:rsid w:val="681F6961"/>
    <w:rsid w:val="684E161D"/>
    <w:rsid w:val="68610A2F"/>
    <w:rsid w:val="686876AD"/>
    <w:rsid w:val="68692097"/>
    <w:rsid w:val="68805514"/>
    <w:rsid w:val="689F7A80"/>
    <w:rsid w:val="68E0445E"/>
    <w:rsid w:val="692A515F"/>
    <w:rsid w:val="692F39F4"/>
    <w:rsid w:val="694E2071"/>
    <w:rsid w:val="694F6E79"/>
    <w:rsid w:val="6950187B"/>
    <w:rsid w:val="695258E4"/>
    <w:rsid w:val="69636229"/>
    <w:rsid w:val="69651509"/>
    <w:rsid w:val="697A3B33"/>
    <w:rsid w:val="699E2456"/>
    <w:rsid w:val="69B3227C"/>
    <w:rsid w:val="69BF1EE3"/>
    <w:rsid w:val="69CC6D31"/>
    <w:rsid w:val="69F23E12"/>
    <w:rsid w:val="69FD608C"/>
    <w:rsid w:val="6A1B2F8C"/>
    <w:rsid w:val="6A3578B4"/>
    <w:rsid w:val="6A54107E"/>
    <w:rsid w:val="6A602D50"/>
    <w:rsid w:val="6A6913D0"/>
    <w:rsid w:val="6A86314D"/>
    <w:rsid w:val="6A982955"/>
    <w:rsid w:val="6AB54B1C"/>
    <w:rsid w:val="6ACD4982"/>
    <w:rsid w:val="6ADF395C"/>
    <w:rsid w:val="6AE96577"/>
    <w:rsid w:val="6AF57566"/>
    <w:rsid w:val="6B126933"/>
    <w:rsid w:val="6B322639"/>
    <w:rsid w:val="6B3851FC"/>
    <w:rsid w:val="6B490782"/>
    <w:rsid w:val="6B5202D9"/>
    <w:rsid w:val="6B781455"/>
    <w:rsid w:val="6C4D1173"/>
    <w:rsid w:val="6C636C38"/>
    <w:rsid w:val="6C894921"/>
    <w:rsid w:val="6CBC239D"/>
    <w:rsid w:val="6CBE55BE"/>
    <w:rsid w:val="6CC07342"/>
    <w:rsid w:val="6CCC5B16"/>
    <w:rsid w:val="6CD05936"/>
    <w:rsid w:val="6CD11CF4"/>
    <w:rsid w:val="6CDE55CC"/>
    <w:rsid w:val="6D1D3B9D"/>
    <w:rsid w:val="6D280075"/>
    <w:rsid w:val="6D4F765B"/>
    <w:rsid w:val="6D6C63BC"/>
    <w:rsid w:val="6DB34098"/>
    <w:rsid w:val="6DB545B6"/>
    <w:rsid w:val="6DDD07B9"/>
    <w:rsid w:val="6DEC4306"/>
    <w:rsid w:val="6E0948CB"/>
    <w:rsid w:val="6E4375A0"/>
    <w:rsid w:val="6E514CED"/>
    <w:rsid w:val="6E79491A"/>
    <w:rsid w:val="6EB563D5"/>
    <w:rsid w:val="6EB920E2"/>
    <w:rsid w:val="6EC86AD4"/>
    <w:rsid w:val="6EE15DCF"/>
    <w:rsid w:val="6EEE0B92"/>
    <w:rsid w:val="6F225983"/>
    <w:rsid w:val="6F755470"/>
    <w:rsid w:val="6FFC5590"/>
    <w:rsid w:val="70100106"/>
    <w:rsid w:val="701C7B88"/>
    <w:rsid w:val="70301DA3"/>
    <w:rsid w:val="70382504"/>
    <w:rsid w:val="703D0F11"/>
    <w:rsid w:val="704A0947"/>
    <w:rsid w:val="705C2103"/>
    <w:rsid w:val="706D1DD0"/>
    <w:rsid w:val="70705B94"/>
    <w:rsid w:val="70856B87"/>
    <w:rsid w:val="708F5C17"/>
    <w:rsid w:val="70CD69CD"/>
    <w:rsid w:val="70D527EE"/>
    <w:rsid w:val="7148570A"/>
    <w:rsid w:val="715042DC"/>
    <w:rsid w:val="715B5300"/>
    <w:rsid w:val="715F4BD7"/>
    <w:rsid w:val="71776440"/>
    <w:rsid w:val="71873935"/>
    <w:rsid w:val="719D13FE"/>
    <w:rsid w:val="71A53B40"/>
    <w:rsid w:val="71C33CC1"/>
    <w:rsid w:val="71D27F8A"/>
    <w:rsid w:val="71F744C6"/>
    <w:rsid w:val="71F960CF"/>
    <w:rsid w:val="71FA6D5D"/>
    <w:rsid w:val="721F6AB4"/>
    <w:rsid w:val="722E000F"/>
    <w:rsid w:val="723B4416"/>
    <w:rsid w:val="7248195B"/>
    <w:rsid w:val="72665580"/>
    <w:rsid w:val="728B472D"/>
    <w:rsid w:val="72B9349E"/>
    <w:rsid w:val="72D72CEA"/>
    <w:rsid w:val="72F141FB"/>
    <w:rsid w:val="731D532E"/>
    <w:rsid w:val="731F5D5E"/>
    <w:rsid w:val="732439E6"/>
    <w:rsid w:val="73700F48"/>
    <w:rsid w:val="73E70F0B"/>
    <w:rsid w:val="73F37009"/>
    <w:rsid w:val="7402080F"/>
    <w:rsid w:val="740A21F8"/>
    <w:rsid w:val="74150C21"/>
    <w:rsid w:val="741E793C"/>
    <w:rsid w:val="748E33E9"/>
    <w:rsid w:val="74B113F8"/>
    <w:rsid w:val="74BC7EB8"/>
    <w:rsid w:val="74BD1967"/>
    <w:rsid w:val="74C25736"/>
    <w:rsid w:val="74C94355"/>
    <w:rsid w:val="74E90FB2"/>
    <w:rsid w:val="754F4B2B"/>
    <w:rsid w:val="756643B1"/>
    <w:rsid w:val="758D75E2"/>
    <w:rsid w:val="7592555F"/>
    <w:rsid w:val="75A53A8D"/>
    <w:rsid w:val="75B415C0"/>
    <w:rsid w:val="75DC4CC8"/>
    <w:rsid w:val="76007EC4"/>
    <w:rsid w:val="762A1EF2"/>
    <w:rsid w:val="76330C48"/>
    <w:rsid w:val="76354961"/>
    <w:rsid w:val="76977893"/>
    <w:rsid w:val="769E72D6"/>
    <w:rsid w:val="76D94E33"/>
    <w:rsid w:val="76FE3F87"/>
    <w:rsid w:val="770B5B52"/>
    <w:rsid w:val="775344A1"/>
    <w:rsid w:val="77642728"/>
    <w:rsid w:val="77762421"/>
    <w:rsid w:val="777E236F"/>
    <w:rsid w:val="77A81026"/>
    <w:rsid w:val="77B2178D"/>
    <w:rsid w:val="77D125EE"/>
    <w:rsid w:val="77E763F9"/>
    <w:rsid w:val="77F01A30"/>
    <w:rsid w:val="780F09F4"/>
    <w:rsid w:val="7817521C"/>
    <w:rsid w:val="78207B78"/>
    <w:rsid w:val="785E00D6"/>
    <w:rsid w:val="786D5CA1"/>
    <w:rsid w:val="789C4F47"/>
    <w:rsid w:val="78A90480"/>
    <w:rsid w:val="78D51095"/>
    <w:rsid w:val="78F12F64"/>
    <w:rsid w:val="78FB54AB"/>
    <w:rsid w:val="79164340"/>
    <w:rsid w:val="793F59ED"/>
    <w:rsid w:val="79811327"/>
    <w:rsid w:val="79977FAB"/>
    <w:rsid w:val="79984104"/>
    <w:rsid w:val="79AD58A0"/>
    <w:rsid w:val="79E079A0"/>
    <w:rsid w:val="79ED4F52"/>
    <w:rsid w:val="79EE34A3"/>
    <w:rsid w:val="7A364017"/>
    <w:rsid w:val="7A4405B5"/>
    <w:rsid w:val="7A6B5787"/>
    <w:rsid w:val="7A8265E1"/>
    <w:rsid w:val="7A900DA5"/>
    <w:rsid w:val="7AA362A3"/>
    <w:rsid w:val="7ABF4882"/>
    <w:rsid w:val="7AC56361"/>
    <w:rsid w:val="7AC82B35"/>
    <w:rsid w:val="7ADA5799"/>
    <w:rsid w:val="7ADE59C1"/>
    <w:rsid w:val="7AF214BD"/>
    <w:rsid w:val="7B223A78"/>
    <w:rsid w:val="7B686D42"/>
    <w:rsid w:val="7B826BE4"/>
    <w:rsid w:val="7B841746"/>
    <w:rsid w:val="7BA13050"/>
    <w:rsid w:val="7BF35517"/>
    <w:rsid w:val="7C221581"/>
    <w:rsid w:val="7C2267E4"/>
    <w:rsid w:val="7C686FFD"/>
    <w:rsid w:val="7C9A638B"/>
    <w:rsid w:val="7CF41078"/>
    <w:rsid w:val="7D0239FF"/>
    <w:rsid w:val="7D040BDD"/>
    <w:rsid w:val="7D5C68FA"/>
    <w:rsid w:val="7D5E40CD"/>
    <w:rsid w:val="7D693BED"/>
    <w:rsid w:val="7D960323"/>
    <w:rsid w:val="7DA7375E"/>
    <w:rsid w:val="7DBD692C"/>
    <w:rsid w:val="7DC12ACC"/>
    <w:rsid w:val="7DD341C9"/>
    <w:rsid w:val="7E1B4BCD"/>
    <w:rsid w:val="7E2D2AA2"/>
    <w:rsid w:val="7EA03B2A"/>
    <w:rsid w:val="7EB80B1D"/>
    <w:rsid w:val="7EDD7F8F"/>
    <w:rsid w:val="7F0F5064"/>
    <w:rsid w:val="7F746356"/>
    <w:rsid w:val="7FAC58A3"/>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3"/>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qFormat="1" w:unhideWhenUsed="0" w:uiPriority="0" w:semiHidden="0" w:name="heading 3" w:locked="1"/>
    <w:lsdException w:qFormat="1"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locked/>
    <w:uiPriority w:val="0"/>
    <w:pPr>
      <w:spacing w:before="100" w:beforeAutospacing="1" w:after="100" w:afterAutospacing="1"/>
      <w:jc w:val="left"/>
      <w:outlineLvl w:val="1"/>
    </w:pPr>
    <w:rPr>
      <w:rFonts w:hint="eastAsia" w:ascii="宋体" w:hAnsi="宋体"/>
      <w:b/>
      <w:bCs/>
      <w:color w:val="000000"/>
      <w:spacing w:val="-11"/>
      <w:kern w:val="0"/>
      <w:sz w:val="36"/>
      <w:szCs w:val="36"/>
    </w:rPr>
  </w:style>
  <w:style w:type="paragraph" w:styleId="5">
    <w:name w:val="heading 3"/>
    <w:basedOn w:val="1"/>
    <w:next w:val="1"/>
    <w:qFormat/>
    <w:locked/>
    <w:uiPriority w:val="0"/>
    <w:pPr>
      <w:keepNext/>
      <w:keepLines/>
      <w:numPr>
        <w:ilvl w:val="2"/>
        <w:numId w:val="1"/>
      </w:numPr>
      <w:ind w:left="0" w:firstLine="0"/>
      <w:outlineLvl w:val="2"/>
    </w:pPr>
    <w:rPr>
      <w:rFonts w:eastAsia="黑体"/>
      <w:b/>
      <w:bCs/>
      <w:sz w:val="28"/>
      <w:szCs w:val="32"/>
    </w:rPr>
  </w:style>
  <w:style w:type="paragraph" w:styleId="6">
    <w:name w:val="heading 4"/>
    <w:basedOn w:val="1"/>
    <w:next w:val="1"/>
    <w:unhideWhenUsed/>
    <w:qFormat/>
    <w:locked/>
    <w:uiPriority w:val="0"/>
    <w:pPr>
      <w:keepNext/>
      <w:keepLines/>
      <w:spacing w:before="100" w:line="360" w:lineRule="auto"/>
      <w:outlineLvl w:val="3"/>
    </w:pPr>
    <w:rPr>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37"/>
    <w:qFormat/>
    <w:uiPriority w:val="0"/>
    <w:pPr>
      <w:tabs>
        <w:tab w:val="center" w:pos="4153"/>
        <w:tab w:val="right" w:pos="8306"/>
      </w:tabs>
      <w:snapToGrid w:val="0"/>
      <w:jc w:val="left"/>
    </w:pPr>
    <w:rPr>
      <w:sz w:val="18"/>
      <w:szCs w:val="18"/>
    </w:rPr>
  </w:style>
  <w:style w:type="paragraph" w:styleId="7">
    <w:name w:val="Normal Indent"/>
    <w:basedOn w:val="1"/>
    <w:next w:val="8"/>
    <w:qFormat/>
    <w:uiPriority w:val="0"/>
    <w:pPr>
      <w:ind w:firstLine="420"/>
    </w:pPr>
    <w:rPr>
      <w:spacing w:val="12"/>
      <w:szCs w:val="20"/>
    </w:rPr>
  </w:style>
  <w:style w:type="paragraph" w:customStyle="1" w:styleId="8">
    <w:name w:val="表头"/>
    <w:basedOn w:val="9"/>
    <w:next w:val="1"/>
    <w:qFormat/>
    <w:uiPriority w:val="0"/>
    <w:pPr>
      <w:adjustRightInd w:val="0"/>
      <w:snapToGrid w:val="0"/>
      <w:spacing w:beforeLines="25"/>
      <w:jc w:val="center"/>
      <w:textAlignment w:val="baseline"/>
    </w:pPr>
    <w:rPr>
      <w:rFonts w:hAnsi="宋体" w:eastAsia="仿宋_GB2312"/>
      <w:b/>
      <w:kern w:val="0"/>
      <w:sz w:val="28"/>
      <w:szCs w:val="28"/>
    </w:rPr>
  </w:style>
  <w:style w:type="paragraph" w:styleId="9">
    <w:name w:val="List"/>
    <w:basedOn w:val="1"/>
    <w:qFormat/>
    <w:uiPriority w:val="99"/>
    <w:pPr>
      <w:ind w:left="200" w:hanging="200" w:hangingChars="200"/>
    </w:pPr>
  </w:style>
  <w:style w:type="paragraph" w:styleId="10">
    <w:name w:val="annotation text"/>
    <w:basedOn w:val="1"/>
    <w:link w:val="33"/>
    <w:semiHidden/>
    <w:qFormat/>
    <w:uiPriority w:val="0"/>
    <w:pPr>
      <w:jc w:val="left"/>
    </w:pPr>
    <w:rPr>
      <w:kern w:val="0"/>
      <w:sz w:val="20"/>
    </w:rPr>
  </w:style>
  <w:style w:type="paragraph" w:styleId="11">
    <w:name w:val="Body Text"/>
    <w:basedOn w:val="1"/>
    <w:next w:val="1"/>
    <w:link w:val="34"/>
    <w:qFormat/>
    <w:uiPriority w:val="0"/>
    <w:pPr>
      <w:widowControl/>
      <w:snapToGrid w:val="0"/>
      <w:spacing w:before="60" w:after="160" w:line="259" w:lineRule="auto"/>
      <w:ind w:right="113"/>
    </w:pPr>
    <w:rPr>
      <w:kern w:val="0"/>
      <w:sz w:val="18"/>
      <w:szCs w:val="18"/>
    </w:rPr>
  </w:style>
  <w:style w:type="paragraph" w:styleId="12">
    <w:name w:val="Body Text Indent"/>
    <w:basedOn w:val="1"/>
    <w:next w:val="13"/>
    <w:link w:val="32"/>
    <w:semiHidden/>
    <w:qFormat/>
    <w:uiPriority w:val="99"/>
    <w:pPr>
      <w:spacing w:after="120"/>
      <w:ind w:left="420" w:leftChars="200"/>
    </w:pPr>
  </w:style>
  <w:style w:type="paragraph" w:styleId="13">
    <w:name w:val="Body Text Indent 2"/>
    <w:basedOn w:val="1"/>
    <w:next w:val="14"/>
    <w:qFormat/>
    <w:uiPriority w:val="0"/>
    <w:pPr>
      <w:ind w:firstLine="624"/>
    </w:pPr>
    <w:rPr>
      <w:rFonts w:hint="eastAsia" w:ascii="楷体_GB2312" w:eastAsia="楷体_GB2312"/>
      <w:color w:val="000000"/>
      <w:sz w:val="30"/>
    </w:rPr>
  </w:style>
  <w:style w:type="paragraph" w:styleId="14">
    <w:name w:val="Body Text First Indent 2"/>
    <w:basedOn w:val="12"/>
    <w:next w:val="15"/>
    <w:qFormat/>
    <w:uiPriority w:val="0"/>
    <w:pPr>
      <w:ind w:firstLine="210"/>
    </w:pPr>
  </w:style>
  <w:style w:type="paragraph" w:styleId="15">
    <w:name w:val="Balloon Text"/>
    <w:basedOn w:val="1"/>
    <w:link w:val="36"/>
    <w:semiHidden/>
    <w:qFormat/>
    <w:uiPriority w:val="0"/>
    <w:rPr>
      <w:sz w:val="18"/>
      <w:szCs w:val="18"/>
    </w:rPr>
  </w:style>
  <w:style w:type="paragraph" w:styleId="16">
    <w:name w:val="Plain Text"/>
    <w:basedOn w:val="1"/>
    <w:qFormat/>
    <w:uiPriority w:val="0"/>
    <w:rPr>
      <w:rFonts w:hint="eastAsia" w:ascii="宋体" w:hAnsi="Courier New"/>
    </w:rPr>
  </w:style>
  <w:style w:type="paragraph" w:styleId="17">
    <w:name w:val="Date"/>
    <w:basedOn w:val="1"/>
    <w:next w:val="1"/>
    <w:link w:val="35"/>
    <w:qFormat/>
    <w:uiPriority w:val="0"/>
    <w:pPr>
      <w:ind w:left="100" w:leftChars="2500"/>
    </w:pPr>
    <w:rPr>
      <w:kern w:val="0"/>
      <w:sz w:val="20"/>
    </w:rPr>
  </w:style>
  <w:style w:type="paragraph" w:styleId="18">
    <w:name w:val="header"/>
    <w:basedOn w:val="1"/>
    <w:link w:val="38"/>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locked/>
    <w:uiPriority w:val="0"/>
  </w:style>
  <w:style w:type="paragraph" w:styleId="20">
    <w:name w:val="Body Text Indent 3"/>
    <w:basedOn w:val="1"/>
    <w:qFormat/>
    <w:uiPriority w:val="0"/>
    <w:pPr>
      <w:spacing w:line="580" w:lineRule="exact"/>
      <w:ind w:firstLine="555"/>
    </w:pPr>
    <w:rPr>
      <w:rFonts w:ascii="楷体_GB2312" w:eastAsia="楷体_GB2312"/>
      <w:sz w:val="28"/>
    </w:rPr>
  </w:style>
  <w:style w:type="paragraph" w:styleId="21">
    <w:name w:val="Normal (Web)"/>
    <w:basedOn w:val="1"/>
    <w:link w:val="39"/>
    <w:qFormat/>
    <w:uiPriority w:val="0"/>
    <w:pPr>
      <w:widowControl/>
      <w:spacing w:before="100" w:beforeAutospacing="1" w:after="100" w:afterAutospacing="1"/>
      <w:jc w:val="left"/>
    </w:pPr>
    <w:rPr>
      <w:rFonts w:ascii="宋体" w:hAnsi="宋体"/>
      <w:kern w:val="0"/>
      <w:sz w:val="24"/>
    </w:rPr>
  </w:style>
  <w:style w:type="paragraph" w:styleId="22">
    <w:name w:val="annotation subject"/>
    <w:basedOn w:val="10"/>
    <w:next w:val="10"/>
    <w:link w:val="40"/>
    <w:semiHidden/>
    <w:qFormat/>
    <w:uiPriority w:val="0"/>
    <w:rPr>
      <w:b/>
      <w:bCs/>
    </w:rPr>
  </w:style>
  <w:style w:type="paragraph" w:styleId="23">
    <w:name w:val="Body Text First Indent"/>
    <w:basedOn w:val="11"/>
    <w:qFormat/>
    <w:uiPriority w:val="0"/>
    <w:pPr>
      <w:widowControl w:val="0"/>
      <w:ind w:firstLine="420" w:firstLineChars="100"/>
      <w:jc w:val="center"/>
    </w:pPr>
    <w:rPr>
      <w:rFonts w:ascii="Calibri" w:hAnsi="Calibri"/>
      <w:kern w:val="2"/>
      <w:sz w:val="32"/>
      <w:szCs w:val="24"/>
    </w:r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qFormat/>
    <w:uiPriority w:val="0"/>
  </w:style>
  <w:style w:type="character" w:styleId="28">
    <w:name w:val="Hyperlink"/>
    <w:qFormat/>
    <w:uiPriority w:val="0"/>
    <w:rPr>
      <w:color w:val="0000FF"/>
      <w:u w:val="single"/>
    </w:rPr>
  </w:style>
  <w:style w:type="character" w:styleId="29">
    <w:name w:val="annotation reference"/>
    <w:semiHidden/>
    <w:qFormat/>
    <w:uiPriority w:val="0"/>
    <w:rPr>
      <w:sz w:val="21"/>
    </w:rPr>
  </w:style>
  <w:style w:type="paragraph" w:customStyle="1" w:styleId="30">
    <w:name w:val="NormalIndent"/>
    <w:basedOn w:val="1"/>
    <w:next w:val="31"/>
    <w:qFormat/>
    <w:uiPriority w:val="0"/>
    <w:pPr>
      <w:ind w:firstLine="420"/>
      <w:textAlignment w:val="baseline"/>
    </w:pPr>
    <w:rPr>
      <w:rFonts w:ascii="Calibri" w:hAnsi="Calibri"/>
      <w:szCs w:val="20"/>
    </w:rPr>
  </w:style>
  <w:style w:type="paragraph" w:customStyle="1" w:styleId="31">
    <w:name w:val="UserStyle_0"/>
    <w:basedOn w:val="1"/>
    <w:next w:val="1"/>
    <w:qFormat/>
    <w:uiPriority w:val="0"/>
    <w:pPr>
      <w:textAlignment w:val="baseline"/>
    </w:pPr>
    <w:rPr>
      <w:rFonts w:ascii="Calibri" w:hAnsi="Calibri"/>
      <w:sz w:val="24"/>
    </w:rPr>
  </w:style>
  <w:style w:type="character" w:customStyle="1" w:styleId="32">
    <w:name w:val="正文文本缩进 字符"/>
    <w:link w:val="12"/>
    <w:semiHidden/>
    <w:qFormat/>
    <w:locked/>
    <w:uiPriority w:val="0"/>
    <w:rPr>
      <w:rFonts w:ascii="Times New Roman" w:hAnsi="Times New Roman" w:eastAsia="宋体" w:cs="Times New Roman"/>
      <w:sz w:val="24"/>
      <w:szCs w:val="24"/>
    </w:rPr>
  </w:style>
  <w:style w:type="character" w:customStyle="1" w:styleId="33">
    <w:name w:val="批注文字 字符"/>
    <w:link w:val="10"/>
    <w:qFormat/>
    <w:locked/>
    <w:uiPriority w:val="0"/>
    <w:rPr>
      <w:rFonts w:ascii="Times New Roman" w:hAnsi="Times New Roman" w:eastAsia="宋体"/>
      <w:sz w:val="24"/>
    </w:rPr>
  </w:style>
  <w:style w:type="character" w:customStyle="1" w:styleId="34">
    <w:name w:val="正文文本 字符"/>
    <w:link w:val="11"/>
    <w:qFormat/>
    <w:locked/>
    <w:uiPriority w:val="0"/>
    <w:rPr>
      <w:sz w:val="18"/>
    </w:rPr>
  </w:style>
  <w:style w:type="character" w:customStyle="1" w:styleId="35">
    <w:name w:val="日期 字符1"/>
    <w:link w:val="17"/>
    <w:qFormat/>
    <w:locked/>
    <w:uiPriority w:val="0"/>
    <w:rPr>
      <w:rFonts w:ascii="Times New Roman" w:hAnsi="Times New Roman" w:eastAsia="宋体"/>
      <w:sz w:val="24"/>
    </w:rPr>
  </w:style>
  <w:style w:type="character" w:customStyle="1" w:styleId="36">
    <w:name w:val="批注框文本 字符"/>
    <w:link w:val="15"/>
    <w:semiHidden/>
    <w:qFormat/>
    <w:locked/>
    <w:uiPriority w:val="0"/>
    <w:rPr>
      <w:rFonts w:ascii="Times New Roman" w:hAnsi="Times New Roman" w:eastAsia="宋体" w:cs="Times New Roman"/>
      <w:sz w:val="18"/>
      <w:szCs w:val="18"/>
    </w:rPr>
  </w:style>
  <w:style w:type="character" w:customStyle="1" w:styleId="37">
    <w:name w:val="页脚 字符"/>
    <w:link w:val="2"/>
    <w:qFormat/>
    <w:locked/>
    <w:uiPriority w:val="0"/>
    <w:rPr>
      <w:rFonts w:cs="Times New Roman"/>
      <w:sz w:val="18"/>
      <w:szCs w:val="18"/>
    </w:rPr>
  </w:style>
  <w:style w:type="character" w:customStyle="1" w:styleId="38">
    <w:name w:val="页眉 字符"/>
    <w:link w:val="18"/>
    <w:qFormat/>
    <w:locked/>
    <w:uiPriority w:val="0"/>
    <w:rPr>
      <w:rFonts w:cs="Times New Roman"/>
      <w:sz w:val="18"/>
      <w:szCs w:val="18"/>
    </w:rPr>
  </w:style>
  <w:style w:type="character" w:customStyle="1" w:styleId="39">
    <w:name w:val="普通(网站) 字符"/>
    <w:link w:val="21"/>
    <w:qFormat/>
    <w:locked/>
    <w:uiPriority w:val="0"/>
    <w:rPr>
      <w:rFonts w:ascii="宋体" w:hAnsi="宋体" w:eastAsia="宋体"/>
      <w:sz w:val="24"/>
    </w:rPr>
  </w:style>
  <w:style w:type="character" w:customStyle="1" w:styleId="40">
    <w:name w:val="批注主题 字符"/>
    <w:link w:val="22"/>
    <w:semiHidden/>
    <w:qFormat/>
    <w:locked/>
    <w:uiPriority w:val="0"/>
    <w:rPr>
      <w:rFonts w:ascii="Times New Roman" w:hAnsi="Times New Roman" w:eastAsia="宋体" w:cs="Times New Roman"/>
      <w:b/>
      <w:bCs/>
      <w:kern w:val="2"/>
      <w:sz w:val="24"/>
      <w:szCs w:val="24"/>
    </w:rPr>
  </w:style>
  <w:style w:type="character" w:customStyle="1" w:styleId="41">
    <w:name w:val="批注文字 字符1"/>
    <w:semiHidden/>
    <w:qFormat/>
    <w:uiPriority w:val="0"/>
    <w:rPr>
      <w:rFonts w:ascii="Times New Roman" w:hAnsi="Times New Roman" w:eastAsia="宋体" w:cs="Times New Roman"/>
      <w:sz w:val="24"/>
      <w:szCs w:val="24"/>
    </w:rPr>
  </w:style>
  <w:style w:type="character" w:customStyle="1" w:styleId="42">
    <w:name w:val="日期 字符"/>
    <w:semiHidden/>
    <w:qFormat/>
    <w:uiPriority w:val="0"/>
    <w:rPr>
      <w:rFonts w:ascii="Times New Roman" w:hAnsi="Times New Roman" w:eastAsia="宋体" w:cs="Times New Roman"/>
      <w:sz w:val="24"/>
      <w:szCs w:val="24"/>
    </w:rPr>
  </w:style>
  <w:style w:type="character" w:customStyle="1" w:styleId="43">
    <w:name w:val="表格 Char"/>
    <w:link w:val="44"/>
    <w:qFormat/>
    <w:locked/>
    <w:uiPriority w:val="0"/>
    <w:rPr>
      <w:rFonts w:ascii="宋体"/>
      <w:sz w:val="21"/>
    </w:rPr>
  </w:style>
  <w:style w:type="paragraph" w:customStyle="1" w:styleId="44">
    <w:name w:val="表格"/>
    <w:basedOn w:val="1"/>
    <w:next w:val="1"/>
    <w:link w:val="43"/>
    <w:qFormat/>
    <w:uiPriority w:val="0"/>
    <w:pPr>
      <w:adjustRightInd w:val="0"/>
      <w:snapToGrid w:val="0"/>
      <w:spacing w:beforeLines="10" w:afterLines="10" w:line="259" w:lineRule="auto"/>
      <w:jc w:val="center"/>
    </w:pPr>
    <w:rPr>
      <w:rFonts w:ascii="宋体"/>
      <w:kern w:val="0"/>
      <w:sz w:val="20"/>
      <w:szCs w:val="21"/>
    </w:rPr>
  </w:style>
  <w:style w:type="character" w:customStyle="1" w:styleId="45">
    <w:name w:val="普通(网站) Char"/>
    <w:qFormat/>
    <w:locked/>
    <w:uiPriority w:val="0"/>
    <w:rPr>
      <w:rFonts w:ascii="宋体" w:hAnsi="宋体" w:eastAsia="宋体"/>
      <w:sz w:val="24"/>
    </w:rPr>
  </w:style>
  <w:style w:type="character" w:customStyle="1" w:styleId="46">
    <w:name w:val="正文文本 字符1"/>
    <w:semiHidden/>
    <w:qFormat/>
    <w:uiPriority w:val="0"/>
    <w:rPr>
      <w:rFonts w:ascii="Times New Roman" w:hAnsi="Times New Roman" w:eastAsia="宋体" w:cs="Times New Roman"/>
      <w:sz w:val="24"/>
      <w:szCs w:val="24"/>
    </w:rPr>
  </w:style>
  <w:style w:type="paragraph" w:customStyle="1" w:styleId="47">
    <w:name w:val="正文（报告表）_"/>
    <w:basedOn w:val="1"/>
    <w:qFormat/>
    <w:uiPriority w:val="0"/>
    <w:pPr>
      <w:spacing w:line="400" w:lineRule="atLeast"/>
      <w:ind w:firstLine="200" w:firstLineChars="200"/>
    </w:pPr>
    <w:rPr>
      <w:sz w:val="24"/>
    </w:rPr>
  </w:style>
  <w:style w:type="paragraph" w:customStyle="1" w:styleId="48">
    <w:name w:val="表格文字   居中"/>
    <w:basedOn w:val="1"/>
    <w:qFormat/>
    <w:uiPriority w:val="0"/>
    <w:pPr>
      <w:shd w:val="clear" w:color="auto" w:fill="FFFFFF"/>
      <w:adjustRightInd w:val="0"/>
      <w:snapToGrid w:val="0"/>
      <w:jc w:val="center"/>
    </w:pPr>
    <w:rPr>
      <w:kern w:val="0"/>
      <w:szCs w:val="21"/>
    </w:rPr>
  </w:style>
  <w:style w:type="paragraph" w:customStyle="1" w:styleId="49">
    <w:name w:val="样式 首行缩进:  1.92 字符"/>
    <w:basedOn w:val="1"/>
    <w:qFormat/>
    <w:uiPriority w:val="0"/>
    <w:pPr>
      <w:adjustRightInd w:val="0"/>
      <w:snapToGrid w:val="0"/>
      <w:spacing w:line="360" w:lineRule="auto"/>
      <w:ind w:firstLine="200" w:firstLineChars="200"/>
    </w:pPr>
    <w:rPr>
      <w:rFonts w:eastAsia="仿宋_GB2312" w:cs="宋体"/>
      <w:sz w:val="28"/>
      <w:szCs w:val="20"/>
    </w:rPr>
  </w:style>
  <w:style w:type="paragraph" w:customStyle="1" w:styleId="50">
    <w:name w:val="正文文本缩进1"/>
    <w:basedOn w:val="1"/>
    <w:qFormat/>
    <w:uiPriority w:val="0"/>
    <w:pPr>
      <w:spacing w:line="440" w:lineRule="exact"/>
      <w:ind w:firstLine="527"/>
    </w:pPr>
  </w:style>
  <w:style w:type="paragraph" w:customStyle="1" w:styleId="51">
    <w:name w:val="普通(网站)2"/>
    <w:basedOn w:val="1"/>
    <w:qFormat/>
    <w:uiPriority w:val="0"/>
    <w:pPr>
      <w:widowControl/>
      <w:spacing w:before="100" w:beforeAutospacing="1" w:after="100" w:afterAutospacing="1"/>
      <w:jc w:val="left"/>
    </w:pPr>
    <w:rPr>
      <w:rFonts w:ascii="宋体" w:hAnsi="宋体"/>
      <w:sz w:val="24"/>
      <w:szCs w:val="20"/>
    </w:rPr>
  </w:style>
  <w:style w:type="paragraph" w:styleId="52">
    <w:name w:val="No Spacing"/>
    <w:qFormat/>
    <w:uiPriority w:val="0"/>
    <w:pPr>
      <w:widowControl w:val="0"/>
      <w:adjustRightInd w:val="0"/>
      <w:ind w:firstLine="200" w:firstLineChars="200"/>
      <w:jc w:val="center"/>
    </w:pPr>
    <w:rPr>
      <w:rFonts w:ascii="Times New Roman" w:hAnsi="Times New Roman" w:eastAsia="宋体" w:cs="Times New Roman"/>
      <w:b/>
      <w:kern w:val="2"/>
      <w:sz w:val="21"/>
      <w:szCs w:val="22"/>
      <w:lang w:val="en-US" w:eastAsia="zh-CN" w:bidi="ar-SA"/>
    </w:rPr>
  </w:style>
  <w:style w:type="paragraph" w:customStyle="1" w:styleId="53">
    <w:name w:val="p0"/>
    <w:basedOn w:val="1"/>
    <w:qFormat/>
    <w:uiPriority w:val="0"/>
    <w:pPr>
      <w:widowControl/>
    </w:pPr>
    <w:rPr>
      <w:kern w:val="0"/>
      <w:szCs w:val="21"/>
    </w:rPr>
  </w:style>
  <w:style w:type="paragraph" w:customStyle="1" w:styleId="54">
    <w:name w:val="Default"/>
    <w:qFormat/>
    <w:uiPriority w:val="0"/>
    <w:pPr>
      <w:widowControl w:val="0"/>
      <w:autoSpaceDE w:val="0"/>
      <w:autoSpaceDN w:val="0"/>
    </w:pPr>
    <w:rPr>
      <w:rFonts w:hint="eastAsia" w:ascii="宋体" w:hAnsi="宋体" w:eastAsia="宋体" w:cs="Times New Roman"/>
      <w:color w:val="000000"/>
      <w:sz w:val="24"/>
      <w:lang w:val="en-US" w:eastAsia="zh-CN" w:bidi="ar-SA"/>
    </w:rPr>
  </w:style>
  <w:style w:type="paragraph" w:customStyle="1" w:styleId="55">
    <w:name w:val="图片"/>
    <w:basedOn w:val="1"/>
    <w:qFormat/>
    <w:uiPriority w:val="0"/>
    <w:rPr>
      <w:sz w:val="28"/>
    </w:rPr>
  </w:style>
  <w:style w:type="paragraph" w:customStyle="1" w:styleId="56">
    <w:name w:val="样式 首行缩进:  2 字符1"/>
    <w:basedOn w:val="1"/>
    <w:qFormat/>
    <w:uiPriority w:val="0"/>
    <w:pPr>
      <w:adjustRightInd w:val="0"/>
      <w:snapToGrid w:val="0"/>
      <w:spacing w:line="360" w:lineRule="auto"/>
      <w:ind w:firstLine="200" w:firstLineChars="200"/>
    </w:pPr>
    <w:rPr>
      <w:rFonts w:ascii="仿宋_GB2312" w:eastAsia="仿宋_GB2312"/>
      <w:sz w:val="28"/>
      <w:szCs w:val="20"/>
    </w:rPr>
  </w:style>
  <w:style w:type="paragraph" w:customStyle="1" w:styleId="57">
    <w:name w:val="标题4-4"/>
    <w:basedOn w:val="1"/>
    <w:qFormat/>
    <w:uiPriority w:val="0"/>
    <w:pPr>
      <w:tabs>
        <w:tab w:val="left" w:pos="360"/>
      </w:tabs>
      <w:snapToGrid w:val="0"/>
      <w:spacing w:line="360" w:lineRule="auto"/>
    </w:pPr>
    <w:rPr>
      <w:rFonts w:ascii="宋体" w:hAnsi="宋体"/>
      <w:sz w:val="24"/>
    </w:rPr>
  </w:style>
  <w:style w:type="paragraph" w:customStyle="1" w:styleId="58">
    <w:name w:val="正文_两端对齐"/>
    <w:basedOn w:val="1"/>
    <w:qFormat/>
    <w:uiPriority w:val="0"/>
  </w:style>
  <w:style w:type="paragraph" w:customStyle="1" w:styleId="59">
    <w:name w:val="表图号"/>
    <w:basedOn w:val="1"/>
    <w:link w:val="60"/>
    <w:qFormat/>
    <w:uiPriority w:val="0"/>
    <w:pPr>
      <w:adjustRightInd w:val="0"/>
      <w:snapToGrid w:val="0"/>
      <w:jc w:val="center"/>
    </w:pPr>
    <w:rPr>
      <w:rFonts w:ascii="黑体" w:hAnsi="黑体" w:eastAsia="黑体" w:cs="宋体"/>
      <w:szCs w:val="21"/>
    </w:rPr>
  </w:style>
  <w:style w:type="character" w:customStyle="1" w:styleId="60">
    <w:name w:val="表图号 Char"/>
    <w:link w:val="59"/>
    <w:qFormat/>
    <w:uiPriority w:val="0"/>
    <w:rPr>
      <w:rFonts w:ascii="黑体" w:hAnsi="黑体" w:eastAsia="黑体" w:cs="宋体"/>
      <w:kern w:val="2"/>
      <w:sz w:val="21"/>
      <w:szCs w:val="21"/>
    </w:rPr>
  </w:style>
  <w:style w:type="character" w:customStyle="1" w:styleId="61">
    <w:name w:val="表格文字 Char"/>
    <w:link w:val="62"/>
    <w:qFormat/>
    <w:uiPriority w:val="0"/>
    <w:rPr>
      <w:sz w:val="21"/>
    </w:rPr>
  </w:style>
  <w:style w:type="paragraph" w:customStyle="1" w:styleId="62">
    <w:name w:val="表格文字"/>
    <w:link w:val="61"/>
    <w:qFormat/>
    <w:uiPriority w:val="0"/>
    <w:pPr>
      <w:jc w:val="center"/>
    </w:pPr>
    <w:rPr>
      <w:rFonts w:ascii="Times New Roman" w:hAnsi="Times New Roman" w:eastAsia="宋体" w:cs="Times New Roman"/>
      <w:sz w:val="21"/>
      <w:lang w:val="en-US" w:eastAsia="zh-CN" w:bidi="ar-SA"/>
    </w:rPr>
  </w:style>
  <w:style w:type="paragraph" w:customStyle="1" w:styleId="63">
    <w:name w:val="表格内"/>
    <w:basedOn w:val="1"/>
    <w:qFormat/>
    <w:uiPriority w:val="0"/>
    <w:pPr>
      <w:autoSpaceDE w:val="0"/>
      <w:autoSpaceDN w:val="0"/>
      <w:adjustRightInd w:val="0"/>
      <w:jc w:val="center"/>
    </w:pPr>
    <w:rPr>
      <w:rFonts w:cs="宋体"/>
      <w:kern w:val="0"/>
    </w:rPr>
  </w:style>
  <w:style w:type="paragraph" w:customStyle="1" w:styleId="64">
    <w:name w:val="样式1"/>
    <w:basedOn w:val="1"/>
    <w:next w:val="1"/>
    <w:qFormat/>
    <w:uiPriority w:val="0"/>
  </w:style>
  <w:style w:type="character" w:customStyle="1" w:styleId="65">
    <w:name w:val="NormalCharacter"/>
    <w:semiHidden/>
    <w:qFormat/>
    <w:uiPriority w:val="0"/>
  </w:style>
  <w:style w:type="character" w:customStyle="1" w:styleId="66">
    <w:name w:val="正文文本首行缩进 2 字符"/>
    <w:qFormat/>
    <w:uiPriority w:val="0"/>
    <w:rPr>
      <w:kern w:val="2"/>
      <w:sz w:val="21"/>
      <w:szCs w:val="24"/>
    </w:rPr>
  </w:style>
  <w:style w:type="paragraph" w:customStyle="1" w:styleId="67">
    <w:name w:val="Table Paragraph"/>
    <w:basedOn w:val="1"/>
    <w:qFormat/>
    <w:uiPriority w:val="0"/>
    <w:pPr>
      <w:autoSpaceDE w:val="0"/>
      <w:autoSpaceDN w:val="0"/>
      <w:jc w:val="left"/>
    </w:pPr>
    <w:rPr>
      <w:rFonts w:hint="eastAsia" w:ascii="宋体" w:hAnsi="宋体"/>
      <w:kern w:val="0"/>
      <w:sz w:val="22"/>
      <w:szCs w:val="22"/>
    </w:rPr>
  </w:style>
  <w:style w:type="paragraph" w:customStyle="1" w:styleId="68">
    <w:name w:val="msolistparagraph"/>
    <w:basedOn w:val="1"/>
    <w:qFormat/>
    <w:uiPriority w:val="0"/>
    <w:pPr>
      <w:autoSpaceDE w:val="0"/>
      <w:autoSpaceDN w:val="0"/>
      <w:ind w:left="1294" w:hanging="602"/>
      <w:jc w:val="left"/>
    </w:pPr>
    <w:rPr>
      <w:rFonts w:hint="eastAsia" w:ascii="宋体" w:hAnsi="宋体"/>
      <w:kern w:val="0"/>
      <w:sz w:val="22"/>
      <w:szCs w:val="22"/>
    </w:rPr>
  </w:style>
  <w:style w:type="paragraph" w:customStyle="1" w:styleId="69">
    <w:name w:val="表格内容"/>
    <w:basedOn w:val="1"/>
    <w:qFormat/>
    <w:uiPriority w:val="0"/>
    <w:pPr>
      <w:adjustRightInd/>
      <w:snapToGrid/>
      <w:spacing w:line="240" w:lineRule="auto"/>
      <w:ind w:firstLine="0" w:firstLineChars="0"/>
      <w:jc w:val="center"/>
    </w:pPr>
    <w:rPr>
      <w:rFonts w:ascii="Times New Roman" w:hAnsi="Times New Roman" w:eastAsia="宋体" w:cs="Times New Roman"/>
      <w:b/>
      <w:bCs/>
      <w:color w:val="auto"/>
      <w:sz w:val="21"/>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4.wmf"/><Relationship Id="rId13" Type="http://schemas.openxmlformats.org/officeDocument/2006/relationships/oleObject" Target="embeddings/oleObject2.bin"/><Relationship Id="rId12" Type="http://schemas.openxmlformats.org/officeDocument/2006/relationships/image" Target="media/image3.wmf"/><Relationship Id="rId11" Type="http://schemas.openxmlformats.org/officeDocument/2006/relationships/oleObject" Target="embeddings/oleObject1.bin"/><Relationship Id="rId10" Type="http://schemas.openxmlformats.org/officeDocument/2006/relationships/image" Target="media/image2.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2049"/>
    <customShpInfo spid="_x0000_s2050"/>
    <customShpInfo spid="_x0000_s3266"/>
    <customShpInfo spid="_x0000_s3267"/>
    <customShpInfo spid="_x0000_s3268"/>
    <customShpInfo spid="_x0000_s3271"/>
    <customShpInfo spid="_x0000_s3272"/>
    <customShpInfo spid="_x0000_s3273"/>
    <customShpInfo spid="_x0000_s3275"/>
    <customShpInfo spid="_x0000_s3276"/>
    <customShpInfo spid="_x0000_s3277"/>
    <customShpInfo spid="_x0000_s3278"/>
    <customShpInfo spid="_x0000_s3280"/>
    <customShpInfo spid="_x0000_s3281"/>
    <customShpInfo spid="_x0000_s3282"/>
    <customShpInfo spid="_x0000_s3283"/>
    <customShpInfo spid="_x0000_s3284"/>
    <customShpInfo spid="_x0000_s3285"/>
    <customShpInfo spid="_x0000_s1026"/>
    <customShpInfo spid="_x0000_s3286"/>
    <customShpInfo spid="_x0000_s328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50</Pages>
  <Words>32037</Words>
  <Characters>35364</Characters>
  <Lines>1</Lines>
  <Paragraphs>1</Paragraphs>
  <TotalTime>54</TotalTime>
  <ScaleCrop>false</ScaleCrop>
  <LinksUpToDate>false</LinksUpToDate>
  <CharactersWithSpaces>35696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2021-08-10T07:21:00Z</dcterms:created>
  <dc:creator>lhj</dc:creator>
  <cp:lastModifiedBy>.</cp:lastModifiedBy>
  <cp:lastPrinted>2020-12-24T01:50:00Z</cp:lastPrinted>
  <dcterms:modified xsi:type="dcterms:W3CDTF">2023-09-15T08:09:20Z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2B0B2112C60E476B9A0069FD3F98B5B5</vt:lpwstr>
  </property>
</Properties>
</file>