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adjustRightInd/>
        <w:snapToGrid/>
        <w:spacing w:after="0" w:afterLines="0"/>
        <w:rPr>
          <w:rFonts w:ascii="黑体" w:hAnsi="黑体" w:eastAsia="黑体"/>
          <w:sz w:val="32"/>
          <w:szCs w:val="32"/>
        </w:rPr>
      </w:pPr>
      <w:r>
        <w:rPr>
          <w:rFonts w:hint="eastAsia" w:ascii="黑体" w:hAnsi="黑体" w:eastAsia="黑体"/>
          <w:sz w:val="32"/>
          <w:szCs w:val="32"/>
        </w:rPr>
        <w:t>附件3</w:t>
      </w:r>
    </w:p>
    <w:p>
      <w:pPr>
        <w:jc w:val="center"/>
        <w:rPr>
          <w:rFonts w:hint="eastAsia" w:ascii="方正小标宋简体" w:hAnsi="方正小标宋简体" w:eastAsia="方正小标宋简体" w:cs="方正小标宋简体"/>
          <w:kern w:val="2"/>
          <w:sz w:val="44"/>
          <w:szCs w:val="44"/>
        </w:rPr>
      </w:pPr>
      <w:r>
        <w:rPr>
          <w:rFonts w:hint="eastAsia" w:ascii="方正小标宋简体" w:hAnsi="方正小标宋简体" w:eastAsia="方正小标宋简体" w:cs="方正小标宋简体"/>
          <w:sz w:val="44"/>
          <w:szCs w:val="44"/>
          <w:lang w:val="en-US" w:eastAsia="zh-CN"/>
        </w:rPr>
        <w:t>同心县审批服务管理</w:t>
      </w:r>
      <w:r>
        <w:rPr>
          <w:rFonts w:hint="eastAsia" w:ascii="方正小标宋简体" w:hAnsi="方正小标宋简体" w:eastAsia="方正小标宋简体" w:cs="方正小标宋简体"/>
          <w:sz w:val="44"/>
          <w:szCs w:val="44"/>
        </w:rPr>
        <w:t>局普法措施清单</w:t>
      </w:r>
    </w:p>
    <w:tbl>
      <w:tblPr>
        <w:tblStyle w:val="2"/>
        <w:tblW w:w="13333" w:type="dxa"/>
        <w:tblInd w:w="56" w:type="dxa"/>
        <w:tblBorders>
          <w:top w:val="single" w:color="000000" w:sz="6" w:space="0"/>
          <w:left w:val="single" w:color="000000" w:sz="6" w:space="0"/>
          <w:bottom w:val="single" w:color="000000" w:sz="6" w:space="0"/>
          <w:right w:val="single" w:color="000000" w:sz="6" w:space="0"/>
          <w:insideH w:val="none" w:color="auto" w:sz="0" w:space="0"/>
          <w:insideV w:val="none" w:color="auto" w:sz="0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516"/>
        <w:gridCol w:w="11817"/>
      </w:tblGrid>
      <w:tr>
        <w:tblPrEx>
          <w:tblBorders>
            <w:top w:val="single" w:color="000000" w:sz="6" w:space="0"/>
            <w:left w:val="single" w:color="000000" w:sz="6" w:space="0"/>
            <w:bottom w:val="single" w:color="000000" w:sz="6" w:space="0"/>
            <w:right w:val="single" w:color="000000" w:sz="6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33" w:hRule="atLeast"/>
        </w:trPr>
        <w:tc>
          <w:tcPr>
            <w:tcW w:w="1516" w:type="dxa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>
            <w:pPr>
              <w:pStyle w:val="4"/>
              <w:widowControl/>
              <w:spacing w:line="345" w:lineRule="atLeast"/>
              <w:jc w:val="center"/>
              <w:rPr>
                <w:rFonts w:hint="eastAsia" w:ascii="仿宋" w:hAnsi="仿宋" w:eastAsia="仿宋" w:cs="仿宋"/>
                <w:kern w:val="2"/>
                <w:sz w:val="32"/>
                <w:szCs w:val="32"/>
              </w:rPr>
            </w:pPr>
            <w:r>
              <w:rPr>
                <w:rFonts w:hint="eastAsia" w:ascii="仿宋" w:hAnsi="仿宋" w:eastAsia="仿宋" w:cs="仿宋"/>
                <w:b/>
                <w:color w:val="000000"/>
                <w:kern w:val="2"/>
                <w:sz w:val="32"/>
                <w:szCs w:val="32"/>
              </w:rPr>
              <w:t>序号</w:t>
            </w:r>
          </w:p>
        </w:tc>
        <w:tc>
          <w:tcPr>
            <w:tcW w:w="11817" w:type="dxa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>
            <w:pPr>
              <w:pStyle w:val="4"/>
              <w:widowControl/>
              <w:spacing w:line="345" w:lineRule="atLeast"/>
              <w:jc w:val="center"/>
              <w:rPr>
                <w:rFonts w:hint="eastAsia" w:ascii="仿宋" w:hAnsi="仿宋" w:eastAsia="仿宋" w:cs="仿宋"/>
                <w:kern w:val="2"/>
                <w:sz w:val="32"/>
                <w:szCs w:val="32"/>
              </w:rPr>
            </w:pPr>
            <w:r>
              <w:rPr>
                <w:rFonts w:hint="eastAsia" w:ascii="仿宋" w:hAnsi="仿宋" w:eastAsia="仿宋" w:cs="仿宋"/>
                <w:b/>
                <w:color w:val="000000"/>
                <w:kern w:val="2"/>
                <w:sz w:val="32"/>
                <w:szCs w:val="32"/>
              </w:rPr>
              <w:t>具体措施</w:t>
            </w:r>
          </w:p>
        </w:tc>
      </w:tr>
      <w:tr>
        <w:tblPrEx>
          <w:tblBorders>
            <w:top w:val="single" w:color="000000" w:sz="6" w:space="0"/>
            <w:left w:val="single" w:color="000000" w:sz="6" w:space="0"/>
            <w:bottom w:val="single" w:color="000000" w:sz="6" w:space="0"/>
            <w:right w:val="single" w:color="000000" w:sz="6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398" w:hRule="atLeast"/>
        </w:trPr>
        <w:tc>
          <w:tcPr>
            <w:tcW w:w="1516" w:type="dxa"/>
            <w:tcBorders>
              <w:top w:val="single" w:color="000000" w:sz="6" w:space="0"/>
              <w:left w:val="single" w:color="000000" w:sz="6" w:space="0"/>
              <w:bottom w:val="nil"/>
              <w:right w:val="single" w:color="000000" w:sz="6" w:space="0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>
            <w:pPr>
              <w:pStyle w:val="4"/>
              <w:widowControl/>
              <w:spacing w:line="345" w:lineRule="atLeast"/>
              <w:jc w:val="center"/>
              <w:rPr>
                <w:rFonts w:hint="eastAsia" w:ascii="仿宋" w:hAnsi="仿宋" w:eastAsia="仿宋" w:cs="仿宋"/>
                <w:kern w:val="2"/>
                <w:sz w:val="28"/>
                <w:szCs w:val="28"/>
              </w:rPr>
            </w:pPr>
            <w:r>
              <w:rPr>
                <w:rFonts w:hint="eastAsia" w:ascii="仿宋" w:hAnsi="仿宋" w:eastAsia="仿宋" w:cs="仿宋"/>
                <w:color w:val="000000"/>
                <w:kern w:val="2"/>
                <w:sz w:val="28"/>
                <w:szCs w:val="28"/>
              </w:rPr>
              <w:t>1</w:t>
            </w:r>
          </w:p>
        </w:tc>
        <w:tc>
          <w:tcPr>
            <w:tcW w:w="11817" w:type="dxa"/>
            <w:tcBorders>
              <w:top w:val="single" w:color="000000" w:sz="6" w:space="0"/>
              <w:left w:val="single" w:color="000000" w:sz="6" w:space="0"/>
              <w:bottom w:val="nil"/>
              <w:right w:val="single" w:color="000000" w:sz="6" w:space="0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>
            <w:pPr>
              <w:pStyle w:val="4"/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45" w:lineRule="atLeast"/>
              <w:ind w:left="0" w:leftChars="0" w:right="0" w:rightChars="0" w:firstLine="0" w:firstLineChars="0"/>
              <w:textAlignment w:val="auto"/>
              <w:outlineLvl w:val="9"/>
              <w:rPr>
                <w:rFonts w:hint="eastAsia" w:ascii="仿宋" w:hAnsi="仿宋" w:eastAsia="仿宋" w:cs="仿宋"/>
                <w:kern w:val="2"/>
                <w:sz w:val="28"/>
                <w:szCs w:val="28"/>
              </w:rPr>
            </w:pPr>
            <w:r>
              <w:rPr>
                <w:rFonts w:hint="eastAsia" w:ascii="仿宋" w:hAnsi="仿宋" w:eastAsia="仿宋" w:cs="仿宋"/>
                <w:color w:val="000000"/>
                <w:kern w:val="2"/>
                <w:sz w:val="28"/>
                <w:szCs w:val="28"/>
              </w:rPr>
              <w:t>落实领导干部学法制度。将法律法规学习纳入领导干部学习计划，利用</w:t>
            </w:r>
            <w:r>
              <w:rPr>
                <w:rFonts w:hint="eastAsia" w:ascii="仿宋" w:hAnsi="仿宋" w:eastAsia="仿宋" w:cs="仿宋"/>
                <w:color w:val="000000"/>
                <w:kern w:val="2"/>
                <w:sz w:val="28"/>
                <w:szCs w:val="28"/>
                <w:lang w:eastAsia="zh-CN"/>
              </w:rPr>
              <w:t>党组中心组学习</w:t>
            </w:r>
            <w:r>
              <w:rPr>
                <w:rFonts w:hint="eastAsia" w:ascii="仿宋" w:hAnsi="仿宋" w:eastAsia="仿宋" w:cs="仿宋"/>
                <w:color w:val="000000"/>
                <w:kern w:val="2"/>
                <w:sz w:val="28"/>
                <w:szCs w:val="28"/>
              </w:rPr>
              <w:t>等形式开展集中学习，每年组织开展</w:t>
            </w:r>
            <w:r>
              <w:rPr>
                <w:rFonts w:hint="eastAsia" w:ascii="仿宋" w:hAnsi="仿宋" w:eastAsia="仿宋" w:cs="仿宋"/>
                <w:color w:val="000000"/>
                <w:kern w:val="2"/>
                <w:sz w:val="28"/>
                <w:szCs w:val="28"/>
                <w:lang w:val="en-US" w:eastAsia="zh-CN"/>
              </w:rPr>
              <w:t>1</w:t>
            </w:r>
            <w:r>
              <w:rPr>
                <w:rFonts w:hint="eastAsia" w:ascii="仿宋" w:hAnsi="仿宋" w:eastAsia="仿宋" w:cs="仿宋"/>
                <w:color w:val="000000"/>
                <w:kern w:val="2"/>
                <w:sz w:val="28"/>
                <w:szCs w:val="28"/>
              </w:rPr>
              <w:t>次以上领导干部法治专题培训。深入学习宣传习近平</w:t>
            </w:r>
            <w:r>
              <w:rPr>
                <w:rFonts w:hint="eastAsia" w:ascii="仿宋" w:hAnsi="仿宋" w:eastAsia="仿宋" w:cs="仿宋"/>
                <w:color w:val="000000"/>
                <w:kern w:val="2"/>
                <w:sz w:val="28"/>
                <w:szCs w:val="28"/>
                <w:lang w:eastAsia="zh-CN"/>
              </w:rPr>
              <w:t>法治思想</w:t>
            </w:r>
            <w:r>
              <w:rPr>
                <w:rFonts w:hint="eastAsia" w:ascii="仿宋" w:hAnsi="仿宋" w:eastAsia="仿宋" w:cs="仿宋"/>
                <w:color w:val="000000"/>
                <w:kern w:val="2"/>
                <w:sz w:val="28"/>
                <w:szCs w:val="28"/>
              </w:rPr>
              <w:t>，了解和掌握全面依法治国的重大意义和总体要求，更好地发挥法治的引领和规范作用。</w:t>
            </w:r>
            <w:r>
              <w:rPr>
                <w:rFonts w:hint="eastAsia" w:ascii="仿宋" w:hAnsi="仿宋" w:eastAsia="仿宋" w:cs="仿宋"/>
                <w:color w:val="000000"/>
                <w:kern w:val="2"/>
                <w:sz w:val="28"/>
                <w:szCs w:val="28"/>
                <w:lang w:eastAsia="zh-CN"/>
              </w:rPr>
              <w:t>全体干部职工</w:t>
            </w:r>
            <w:r>
              <w:rPr>
                <w:rFonts w:hint="eastAsia" w:ascii="仿宋" w:hAnsi="仿宋" w:eastAsia="仿宋" w:cs="仿宋"/>
                <w:color w:val="auto"/>
                <w:sz w:val="28"/>
                <w:szCs w:val="28"/>
              </w:rPr>
              <w:t>坚持自学、集体学习相结合</w:t>
            </w:r>
            <w:r>
              <w:rPr>
                <w:rFonts w:hint="eastAsia" w:ascii="仿宋" w:hAnsi="仿宋" w:eastAsia="仿宋" w:cs="仿宋"/>
                <w:color w:val="auto"/>
                <w:sz w:val="28"/>
                <w:szCs w:val="28"/>
                <w:lang w:eastAsia="zh-CN"/>
              </w:rPr>
              <w:t>，加强法治培训，</w:t>
            </w:r>
            <w:r>
              <w:rPr>
                <w:rFonts w:hint="eastAsia" w:ascii="仿宋" w:hAnsi="仿宋" w:eastAsia="仿宋" w:cs="仿宋"/>
                <w:sz w:val="28"/>
                <w:szCs w:val="28"/>
                <w:lang w:eastAsia="zh-CN"/>
              </w:rPr>
              <w:t>着力培育干部职工法治信仰，提升法治素养。</w:t>
            </w:r>
            <w:bookmarkStart w:id="0" w:name="_GoBack"/>
            <w:bookmarkEnd w:id="0"/>
          </w:p>
        </w:tc>
      </w:tr>
      <w:tr>
        <w:tblPrEx>
          <w:tblBorders>
            <w:top w:val="single" w:color="000000" w:sz="6" w:space="0"/>
            <w:left w:val="single" w:color="000000" w:sz="6" w:space="0"/>
            <w:bottom w:val="single" w:color="000000" w:sz="6" w:space="0"/>
            <w:right w:val="single" w:color="000000" w:sz="6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14" w:hRule="atLeast"/>
        </w:trPr>
        <w:tc>
          <w:tcPr>
            <w:tcW w:w="1516" w:type="dxa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>
            <w:pPr>
              <w:pStyle w:val="4"/>
              <w:widowControl/>
              <w:spacing w:line="345" w:lineRule="atLeast"/>
              <w:jc w:val="center"/>
              <w:rPr>
                <w:rFonts w:hint="eastAsia" w:ascii="仿宋" w:hAnsi="仿宋" w:eastAsia="仿宋" w:cs="仿宋"/>
                <w:color w:val="000000"/>
                <w:kern w:val="2"/>
                <w:sz w:val="28"/>
                <w:szCs w:val="28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color w:val="000000"/>
                <w:kern w:val="2"/>
                <w:sz w:val="28"/>
                <w:szCs w:val="28"/>
                <w:lang w:val="en-US" w:eastAsia="zh-CN"/>
              </w:rPr>
              <w:t>2</w:t>
            </w:r>
          </w:p>
        </w:tc>
        <w:tc>
          <w:tcPr>
            <w:tcW w:w="11817" w:type="dxa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>
            <w:pPr>
              <w:pStyle w:val="4"/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45" w:lineRule="atLeast"/>
              <w:ind w:left="0" w:leftChars="0" w:right="0" w:rightChars="0" w:firstLine="0" w:firstLineChars="0"/>
              <w:textAlignment w:val="auto"/>
              <w:outlineLvl w:val="9"/>
              <w:rPr>
                <w:rFonts w:hint="eastAsia" w:ascii="仿宋" w:hAnsi="仿宋" w:eastAsia="仿宋" w:cs="仿宋"/>
                <w:color w:val="000000"/>
                <w:kern w:val="2"/>
                <w:sz w:val="28"/>
                <w:szCs w:val="28"/>
              </w:rPr>
            </w:pPr>
            <w:r>
              <w:rPr>
                <w:rFonts w:hint="eastAsia" w:ascii="仿宋" w:hAnsi="仿宋" w:eastAsia="仿宋" w:cs="仿宋"/>
                <w:color w:val="auto"/>
                <w:kern w:val="2"/>
                <w:sz w:val="28"/>
                <w:szCs w:val="28"/>
                <w:lang w:val="en-US" w:eastAsia="zh-CN" w:bidi="ar-SA"/>
              </w:rPr>
              <w:t>突出学习宣传《中华人民共和国宪法》。普遍开展《中华人民共和国宪法》学习宣传教育，制定学习宣传计划，多措并举营造学习践行宪法的文化氛围，深入宣传宪法至上、依宪治国、依宪执政等理念，提升广大公民尊宪、学宪、守宪意识。利用“12·4”国家宪法日宣传活动，推动全社会形成崇尚宪法、遵守宪法、维护宪法权威、保障宪法实施的良好风尚。</w:t>
            </w:r>
          </w:p>
        </w:tc>
      </w:tr>
      <w:tr>
        <w:tblPrEx>
          <w:tblBorders>
            <w:top w:val="single" w:color="000000" w:sz="6" w:space="0"/>
            <w:left w:val="single" w:color="000000" w:sz="6" w:space="0"/>
            <w:bottom w:val="single" w:color="000000" w:sz="6" w:space="0"/>
            <w:right w:val="single" w:color="000000" w:sz="6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29" w:hRule="atLeast"/>
        </w:trPr>
        <w:tc>
          <w:tcPr>
            <w:tcW w:w="1516" w:type="dxa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>
            <w:pPr>
              <w:pStyle w:val="4"/>
              <w:widowControl/>
              <w:spacing w:line="345" w:lineRule="atLeast"/>
              <w:jc w:val="center"/>
              <w:rPr>
                <w:rFonts w:hint="eastAsia" w:ascii="仿宋" w:hAnsi="仿宋" w:eastAsia="仿宋" w:cs="仿宋"/>
                <w:kern w:val="2"/>
                <w:sz w:val="28"/>
                <w:szCs w:val="28"/>
                <w:lang w:eastAsia="zh-CN"/>
              </w:rPr>
            </w:pPr>
            <w:r>
              <w:rPr>
                <w:rFonts w:hint="eastAsia" w:ascii="仿宋" w:hAnsi="仿宋" w:eastAsia="仿宋" w:cs="仿宋"/>
                <w:color w:val="000000"/>
                <w:kern w:val="2"/>
                <w:sz w:val="28"/>
                <w:szCs w:val="28"/>
                <w:lang w:val="en-US" w:eastAsia="zh-CN"/>
              </w:rPr>
              <w:t>3</w:t>
            </w:r>
          </w:p>
        </w:tc>
        <w:tc>
          <w:tcPr>
            <w:tcW w:w="11817" w:type="dxa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 w:val="0"/>
              <w:numPr>
                <w:ilvl w:val="0"/>
                <w:numId w:val="0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45" w:lineRule="atLeast"/>
              <w:ind w:left="0" w:leftChars="0" w:right="0" w:rightChars="0" w:firstLine="0" w:firstLineChars="0"/>
              <w:jc w:val="both"/>
              <w:textAlignment w:val="auto"/>
              <w:outlineLvl w:val="9"/>
              <w:rPr>
                <w:rFonts w:hint="eastAsia" w:ascii="仿宋" w:hAnsi="仿宋" w:eastAsia="仿宋" w:cs="仿宋"/>
                <w:kern w:val="2"/>
                <w:sz w:val="28"/>
                <w:szCs w:val="28"/>
              </w:rPr>
            </w:pPr>
            <w:r>
              <w:rPr>
                <w:rFonts w:hint="eastAsia" w:ascii="仿宋" w:hAnsi="仿宋" w:eastAsia="仿宋" w:cs="仿宋"/>
                <w:b w:val="0"/>
                <w:bCs w:val="0"/>
                <w:sz w:val="28"/>
                <w:szCs w:val="28"/>
                <w:lang w:eastAsia="zh-CN"/>
              </w:rPr>
              <w:t>创新推进智慧普法</w:t>
            </w:r>
            <w:r>
              <w:rPr>
                <w:rFonts w:hint="eastAsia" w:ascii="仿宋" w:hAnsi="仿宋" w:eastAsia="仿宋" w:cs="仿宋"/>
                <w:b w:val="0"/>
                <w:bCs w:val="0"/>
                <w:sz w:val="28"/>
                <w:szCs w:val="28"/>
              </w:rPr>
              <w:t>。</w:t>
            </w:r>
            <w:r>
              <w:rPr>
                <w:rFonts w:hint="eastAsia" w:ascii="仿宋" w:hAnsi="仿宋" w:eastAsia="仿宋" w:cs="仿宋"/>
                <w:sz w:val="28"/>
                <w:szCs w:val="28"/>
                <w:lang w:eastAsia="zh-CN"/>
              </w:rPr>
              <w:t>广泛应用微信、微博等载体</w:t>
            </w:r>
            <w:r>
              <w:rPr>
                <w:rFonts w:hint="eastAsia" w:ascii="仿宋" w:hAnsi="仿宋" w:eastAsia="仿宋" w:cs="仿宋"/>
                <w:sz w:val="28"/>
                <w:szCs w:val="28"/>
              </w:rPr>
              <w:t>宣传法治</w:t>
            </w:r>
            <w:r>
              <w:rPr>
                <w:rFonts w:hint="eastAsia" w:ascii="仿宋" w:hAnsi="仿宋" w:eastAsia="仿宋" w:cs="仿宋"/>
                <w:sz w:val="28"/>
                <w:szCs w:val="28"/>
                <w:lang w:eastAsia="zh-CN"/>
              </w:rPr>
              <w:t>建设的</w:t>
            </w:r>
            <w:r>
              <w:rPr>
                <w:rFonts w:hint="eastAsia" w:ascii="仿宋" w:hAnsi="仿宋" w:eastAsia="仿宋" w:cs="仿宋"/>
                <w:sz w:val="28"/>
                <w:szCs w:val="28"/>
              </w:rPr>
              <w:t>好经验、</w:t>
            </w:r>
            <w:r>
              <w:rPr>
                <w:rFonts w:hint="eastAsia" w:ascii="仿宋" w:hAnsi="仿宋" w:eastAsia="仿宋" w:cs="仿宋"/>
                <w:sz w:val="28"/>
                <w:szCs w:val="28"/>
                <w:lang w:eastAsia="zh-CN"/>
              </w:rPr>
              <w:t>好成果</w:t>
            </w:r>
            <w:r>
              <w:rPr>
                <w:rFonts w:hint="eastAsia" w:ascii="仿宋" w:hAnsi="仿宋" w:eastAsia="仿宋" w:cs="仿宋"/>
                <w:sz w:val="28"/>
                <w:szCs w:val="28"/>
              </w:rPr>
              <w:t>，</w:t>
            </w:r>
            <w:r>
              <w:rPr>
                <w:rFonts w:hint="eastAsia" w:ascii="仿宋" w:hAnsi="仿宋" w:eastAsia="仿宋" w:cs="仿宋"/>
                <w:sz w:val="28"/>
                <w:szCs w:val="28"/>
                <w:lang w:eastAsia="zh-CN"/>
              </w:rPr>
              <w:t>多层次、多渠道传播法律知识，</w:t>
            </w:r>
            <w:r>
              <w:rPr>
                <w:rFonts w:hint="eastAsia" w:ascii="仿宋" w:hAnsi="仿宋" w:eastAsia="仿宋" w:cs="仿宋"/>
                <w:color w:val="auto"/>
                <w:sz w:val="28"/>
                <w:szCs w:val="28"/>
                <w:lang w:eastAsia="zh-CN"/>
              </w:rPr>
              <w:t>进一步</w:t>
            </w:r>
            <w:r>
              <w:rPr>
                <w:rFonts w:hint="eastAsia" w:ascii="仿宋" w:hAnsi="仿宋" w:eastAsia="仿宋" w:cs="仿宋"/>
                <w:sz w:val="28"/>
                <w:szCs w:val="28"/>
                <w:lang w:eastAsia="zh-CN"/>
              </w:rPr>
              <w:t>提升普法吸引力和实效性</w:t>
            </w:r>
            <w:r>
              <w:rPr>
                <w:rFonts w:hint="eastAsia" w:ascii="仿宋" w:hAnsi="仿宋" w:eastAsia="仿宋" w:cs="仿宋"/>
                <w:sz w:val="28"/>
                <w:szCs w:val="28"/>
              </w:rPr>
              <w:t>。</w:t>
            </w:r>
          </w:p>
        </w:tc>
      </w:tr>
      <w:tr>
        <w:tblPrEx>
          <w:tblBorders>
            <w:top w:val="single" w:color="000000" w:sz="6" w:space="0"/>
            <w:left w:val="single" w:color="000000" w:sz="6" w:space="0"/>
            <w:bottom w:val="single" w:color="000000" w:sz="6" w:space="0"/>
            <w:right w:val="single" w:color="000000" w:sz="6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585" w:hRule="atLeast"/>
        </w:trPr>
        <w:tc>
          <w:tcPr>
            <w:tcW w:w="1516" w:type="dxa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>
            <w:pPr>
              <w:pStyle w:val="4"/>
              <w:widowControl/>
              <w:spacing w:line="345" w:lineRule="atLeast"/>
              <w:jc w:val="center"/>
              <w:rPr>
                <w:rFonts w:hint="eastAsia" w:ascii="仿宋" w:hAnsi="仿宋" w:eastAsia="仿宋" w:cs="仿宋"/>
                <w:kern w:val="2"/>
                <w:sz w:val="28"/>
                <w:szCs w:val="28"/>
                <w:lang w:eastAsia="zh-CN"/>
              </w:rPr>
            </w:pPr>
            <w:r>
              <w:rPr>
                <w:rFonts w:hint="eastAsia" w:ascii="仿宋" w:hAnsi="仿宋" w:eastAsia="仿宋" w:cs="仿宋"/>
                <w:color w:val="000000"/>
                <w:kern w:val="2"/>
                <w:sz w:val="28"/>
                <w:szCs w:val="28"/>
                <w:lang w:val="en-US" w:eastAsia="zh-CN"/>
              </w:rPr>
              <w:t>4</w:t>
            </w:r>
          </w:p>
        </w:tc>
        <w:tc>
          <w:tcPr>
            <w:tcW w:w="11817" w:type="dxa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>
            <w:pPr>
              <w:pStyle w:val="4"/>
              <w:widowControl/>
              <w:spacing w:line="345" w:lineRule="atLeast"/>
              <w:jc w:val="left"/>
              <w:rPr>
                <w:rFonts w:hint="eastAsia" w:ascii="仿宋" w:hAnsi="仿宋" w:eastAsia="仿宋" w:cs="仿宋"/>
                <w:kern w:val="2"/>
                <w:sz w:val="28"/>
                <w:szCs w:val="28"/>
              </w:rPr>
            </w:pPr>
            <w:r>
              <w:rPr>
                <w:rFonts w:hint="eastAsia" w:ascii="仿宋" w:hAnsi="仿宋" w:eastAsia="仿宋" w:cs="仿宋"/>
                <w:b w:val="0"/>
                <w:bCs w:val="0"/>
                <w:sz w:val="28"/>
                <w:szCs w:val="28"/>
                <w:lang w:val="en-US" w:eastAsia="zh-CN"/>
              </w:rPr>
              <w:t>开创“法律进单位”新格局。</w:t>
            </w:r>
            <w:r>
              <w:rPr>
                <w:rFonts w:hint="eastAsia" w:ascii="仿宋" w:hAnsi="仿宋" w:eastAsia="仿宋" w:cs="仿宋"/>
                <w:color w:val="000000"/>
                <w:kern w:val="2"/>
                <w:sz w:val="28"/>
                <w:szCs w:val="28"/>
              </w:rPr>
              <w:t>坚持“谁执法、谁普法”的法治宣传教育原则，</w:t>
            </w:r>
            <w:r>
              <w:rPr>
                <w:rFonts w:hint="eastAsia" w:ascii="仿宋" w:hAnsi="仿宋" w:eastAsia="仿宋" w:cs="仿宋"/>
                <w:b w:val="0"/>
                <w:bCs w:val="0"/>
                <w:color w:val="auto"/>
                <w:sz w:val="28"/>
                <w:szCs w:val="28"/>
                <w:lang w:val="en-US" w:eastAsia="zh-CN"/>
              </w:rPr>
              <w:t>丰富政务大厅法治文化内容和形式，带动驻厅单位协同联动、同频共振共推政务大厅法治建设。</w:t>
            </w:r>
          </w:p>
        </w:tc>
      </w:tr>
      <w:tr>
        <w:tblPrEx>
          <w:tblBorders>
            <w:top w:val="single" w:color="000000" w:sz="6" w:space="0"/>
            <w:left w:val="single" w:color="000000" w:sz="6" w:space="0"/>
            <w:bottom w:val="single" w:color="000000" w:sz="6" w:space="0"/>
            <w:right w:val="single" w:color="000000" w:sz="6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33" w:hRule="atLeast"/>
        </w:trPr>
        <w:tc>
          <w:tcPr>
            <w:tcW w:w="1516" w:type="dxa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>
            <w:pPr>
              <w:pStyle w:val="4"/>
              <w:widowControl/>
              <w:spacing w:line="345" w:lineRule="atLeast"/>
              <w:jc w:val="center"/>
              <w:rPr>
                <w:rFonts w:hint="eastAsia" w:ascii="仿宋" w:hAnsi="仿宋" w:eastAsia="仿宋" w:cs="仿宋"/>
                <w:kern w:val="2"/>
                <w:sz w:val="28"/>
                <w:szCs w:val="28"/>
                <w:lang w:eastAsia="zh-CN"/>
              </w:rPr>
            </w:pPr>
            <w:r>
              <w:rPr>
                <w:rFonts w:hint="eastAsia" w:ascii="仿宋" w:hAnsi="仿宋" w:eastAsia="仿宋" w:cs="仿宋"/>
                <w:color w:val="000000"/>
                <w:kern w:val="2"/>
                <w:sz w:val="28"/>
                <w:szCs w:val="28"/>
                <w:lang w:val="en-US" w:eastAsia="zh-CN"/>
              </w:rPr>
              <w:t>5</w:t>
            </w:r>
          </w:p>
        </w:tc>
        <w:tc>
          <w:tcPr>
            <w:tcW w:w="11817" w:type="dxa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Autospacing="0" w:afterAutospacing="0" w:line="345" w:lineRule="atLeast"/>
              <w:ind w:left="0" w:leftChars="0" w:right="0" w:rightChars="0" w:firstLine="0" w:firstLineChars="0"/>
              <w:jc w:val="both"/>
              <w:textAlignment w:val="auto"/>
              <w:outlineLvl w:val="9"/>
              <w:rPr>
                <w:rFonts w:hint="eastAsia" w:ascii="仿宋" w:hAnsi="仿宋" w:eastAsia="仿宋" w:cs="仿宋"/>
                <w:kern w:val="2"/>
                <w:sz w:val="28"/>
                <w:szCs w:val="28"/>
              </w:rPr>
            </w:pPr>
            <w:r>
              <w:rPr>
                <w:rFonts w:hint="eastAsia" w:ascii="仿宋" w:hAnsi="仿宋" w:eastAsia="仿宋" w:cs="仿宋"/>
                <w:color w:val="auto"/>
                <w:kern w:val="2"/>
                <w:sz w:val="28"/>
                <w:szCs w:val="28"/>
              </w:rPr>
              <w:t>通过“以案释法”进行普法。采用网上观看或现场旁听等形式，安排全局干部职工至少旁听庭审1次以上，建立典型案例发布制度，面向社会公众发布行政执法、法律服务典型案例，开展以案说法、以案释法活动，用身边人说身边事、用身边事教育身边人。</w:t>
            </w:r>
          </w:p>
        </w:tc>
      </w:tr>
    </w:tbl>
    <w:p/>
    <w:sectPr>
      <w:pgSz w:w="16838" w:h="11906" w:orient="landscape"/>
      <w:pgMar w:top="1984" w:right="1587" w:bottom="1701" w:left="1587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altName w:val="Nimbus Roman No9 L"/>
    <w:panose1 w:val="02020603050405020304"/>
    <w:charset w:val="01"/>
    <w:family w:val="auto"/>
    <w:pitch w:val="default"/>
    <w:sig w:usb0="00000000" w:usb1="00000000" w:usb2="00000009" w:usb3="00000000" w:csb0="400001FF" w:csb1="FFFF0000"/>
  </w:font>
  <w:font w:name="宋体">
    <w:altName w:val="方正书宋_GBK"/>
    <w:panose1 w:val="00000000000000000000"/>
    <w:charset w:val="00"/>
    <w:family w:val="auto"/>
    <w:pitch w:val="default"/>
    <w:sig w:usb0="00000000" w:usb1="00000000" w:usb2="00000000" w:usb3="00000000" w:csb0="00000000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altName w:val="Nimbus Roman No9 L"/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altName w:val="DejaVu Sans"/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altName w:val="DejaVu Sans"/>
    <w:panose1 w:val="020F0502020204030204"/>
    <w:charset w:val="00"/>
    <w:family w:val="swiss"/>
    <w:pitch w:val="default"/>
    <w:sig w:usb0="00000000" w:usb1="00000000" w:usb2="00000001" w:usb3="00000000" w:csb0="0000019F" w:csb1="00000000"/>
  </w:font>
  <w:font w:name="仿宋_GB2312">
    <w:panose1 w:val="02010609030101010101"/>
    <w:charset w:val="86"/>
    <w:family w:val="swiss"/>
    <w:pitch w:val="default"/>
    <w:sig w:usb0="00000001" w:usb1="080E0000" w:usb2="00000000" w:usb3="00000000" w:csb0="00040000" w:csb1="00000000"/>
  </w:font>
  <w:font w:name="方正小标宋简体">
    <w:panose1 w:val="02000000000000000000"/>
    <w:charset w:val="86"/>
    <w:family w:val="script"/>
    <w:pitch w:val="default"/>
    <w:sig w:usb0="A00002BF" w:usb1="184F6CFA" w:usb2="00000012" w:usb3="00000000" w:csb0="00040001" w:csb1="00000000"/>
  </w:font>
  <w:font w:name="仿宋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方正书宋_GBK">
    <w:panose1 w:val="02000000000000000000"/>
    <w:charset w:val="86"/>
    <w:family w:val="auto"/>
    <w:pitch w:val="default"/>
    <w:sig w:usb0="00000001" w:usb1="08000000" w:usb2="00000000" w:usb3="00000000" w:csb0="00040000" w:csb1="00000000"/>
  </w:font>
  <w:font w:name="Nimbus Roman No9 L">
    <w:panose1 w:val="00000000000000000000"/>
    <w:charset w:val="00"/>
    <w:family w:val="auto"/>
    <w:pitch w:val="default"/>
    <w:sig w:usb0="00000000" w:usb1="00000000" w:usb2="00000000" w:usb3="00000000" w:csb0="00000000" w:csb1="00000000"/>
  </w:font>
  <w:font w:name="DejaVu Sans">
    <w:panose1 w:val="020B0603030804020204"/>
    <w:charset w:val="00"/>
    <w:family w:val="auto"/>
    <w:pitch w:val="default"/>
    <w:sig w:usb0="E7006EFF" w:usb1="D200FDFF" w:usb2="0A246029" w:usb3="0400200C" w:csb0="600001FF" w:csb1="DFFF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embedSystemFonts/>
  <w:bordersDoNotSurroundHeader w:val="false"/>
  <w:bordersDoNotSurroundFooter w:val="false"/>
  <w:documentProtection w:enforcement="0"/>
  <w:defaultTabStop w:val="420"/>
  <w:drawingGridVerticalSpacing w:val="156"/>
  <w:displayHorizontalDrawingGridEvery w:val="1"/>
  <w:displayVerticalDrawingGridEvery w:val="1"/>
  <w:noPunctuationKerning w:val="true"/>
  <w:characterSpacingControl w:val="compressPunctuation"/>
  <w:compat>
    <w:spaceForUL/>
    <w:balanceSingleByteDoubleByteWidth/>
    <w:doNotLeaveBackslashAlone/>
    <w:ulTrailSpace/>
    <w:doNotExpandShiftReturn/>
    <w:adjustLineHeightInTable/>
    <w:doNotWrapTextWithPunct/>
    <w:doNotUseEastAsianBreakRules/>
    <w:useFELayout/>
    <w:doNotUseIndentAsNumberingTabStop/>
    <w:useAltKinsokuLineBreakRules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NDVlY2IwNDkyYTMwNDU2M2M5NzIxMTBhZDJhZjk2N2IifQ=="/>
  </w:docVars>
  <w:rsids>
    <w:rsidRoot w:val="122E2D36"/>
    <w:rsid w:val="060B2107"/>
    <w:rsid w:val="063929BB"/>
    <w:rsid w:val="071F4C91"/>
    <w:rsid w:val="09173479"/>
    <w:rsid w:val="0CD87F98"/>
    <w:rsid w:val="1177076E"/>
    <w:rsid w:val="122E2D36"/>
    <w:rsid w:val="23E94E1E"/>
    <w:rsid w:val="244C2B1D"/>
    <w:rsid w:val="28C736C7"/>
    <w:rsid w:val="2F523D32"/>
    <w:rsid w:val="36D8786D"/>
    <w:rsid w:val="40A7071B"/>
    <w:rsid w:val="40FB2131"/>
    <w:rsid w:val="4B615560"/>
    <w:rsid w:val="57215B62"/>
    <w:rsid w:val="57395B6A"/>
    <w:rsid w:val="574200FC"/>
    <w:rsid w:val="57D34C99"/>
    <w:rsid w:val="628021E2"/>
    <w:rsid w:val="6DDA2BF1"/>
    <w:rsid w:val="6E4146D5"/>
    <w:rsid w:val="787A67CF"/>
    <w:rsid w:val="7A46040D"/>
    <w:rsid w:val="FF4716E9"/>
  </w:rsids>
  <m:mathPr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Times New Roman" w:hAnsi="Times New Roman" w:eastAsia="宋体" w:cs="Times New Roman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4"/>
      <w:lang w:val="en-US" w:eastAsia="zh-CN" w:bidi="ar-SA"/>
    </w:rPr>
  </w:style>
  <w:style w:type="character" w:default="1" w:styleId="3">
    <w:name w:val="Default Paragraph Font"/>
    <w:semiHidden/>
    <w:qFormat/>
    <w:uiPriority w:val="0"/>
  </w:style>
  <w:style w:type="table" w:default="1" w:styleId="2">
    <w:name w:val="Normal Table"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4">
    <w:name w:val="Normal (Web)"/>
    <w:basedOn w:val="1"/>
    <w:qFormat/>
    <w:uiPriority w:val="0"/>
    <w:pPr>
      <w:widowControl w:val="0"/>
      <w:adjustRightInd/>
      <w:snapToGrid/>
      <w:spacing w:after="0" w:afterLines="0"/>
    </w:pPr>
    <w:rPr>
      <w:rFonts w:ascii="Times New Roman" w:hAnsi="Times New Roman" w:eastAsia="仿宋_GB2312" w:cs="Times New Roman"/>
      <w:sz w:val="24"/>
      <w:szCs w:val="24"/>
    </w:rPr>
  </w:style>
</w:styles>
</file>

<file path=word/_rels/document.xml.rels><?xml version="1.0" encoding="UTF-8" standalone="yes"?>
<Relationships xmlns="http://schemas.openxmlformats.org/package/2006/relationships"><Relationship Id="rId5" Type="http://schemas.openxmlformats.org/officeDocument/2006/relationships/fontTable" Target="fontTable.xml"/><Relationship Id="rId4" Type="http://schemas.openxmlformats.org/officeDocument/2006/relationships/customXml" Target="../customXml/item1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true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false"/>
        </a:gradFill>
        <a:gradFill rotWithShape="true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false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true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false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2</Pages>
  <Words>624</Words>
  <Characters>625</Characters>
  <Lines>0</Lines>
  <Paragraphs>0</Paragraphs>
  <TotalTime>5</TotalTime>
  <ScaleCrop>false</ScaleCrop>
  <LinksUpToDate>false</LinksUpToDate>
  <CharactersWithSpaces>625</CharactersWithSpaces>
  <Application>WPS Office_11.8.2.9864_F1E327BC-269C-435d-A152-05C5408002CA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2018-07-24T10:55:00Z</dcterms:created>
  <dc:creator>Administrator</dc:creator>
  <cp:lastModifiedBy>inspur</cp:lastModifiedBy>
  <cp:lastPrinted>2019-06-03T11:21:00Z</cp:lastPrinted>
  <dcterms:modified xsi:type="dcterms:W3CDTF">2023-04-04T15:34:49Z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2052-11.8.2.9864</vt:lpwstr>
  </property>
  <property fmtid="{D5CDD505-2E9C-101B-9397-08002B2CF9AE}" pid="3" name="ICV">
    <vt:lpwstr>39EF4B8CB67943B0B964FEF8EEC72062</vt:lpwstr>
  </property>
</Properties>
</file>