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同心县餐厨垃圾协同污泥处理工程项目</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绩效评价报告</w:t>
      </w:r>
    </w:p>
    <w:p>
      <w:pPr>
        <w:keepNext w:val="0"/>
        <w:keepLines w:val="0"/>
        <w:pageBreakBefore w:val="0"/>
        <w:widowControl w:val="0"/>
        <w:kinsoku/>
        <w:wordWrap/>
        <w:overflowPunct w:val="0"/>
        <w:topLinePunct w:val="0"/>
        <w:autoSpaceDE/>
        <w:autoSpaceDN/>
        <w:bidi w:val="0"/>
        <w:adjustRightInd/>
        <w:snapToGrid/>
        <w:spacing w:line="760" w:lineRule="exact"/>
        <w:ind w:firstLine="2400" w:firstLineChars="800"/>
        <w:jc w:val="both"/>
        <w:textAlignment w:val="auto"/>
        <w:rPr>
          <w:rFonts w:hint="eastAsia" w:ascii="楷体" w:hAnsi="楷体" w:eastAsia="楷体" w:cs="楷体"/>
          <w:b w:val="0"/>
          <w:bCs w:val="0"/>
          <w:i w:val="0"/>
          <w:iCs w:val="0"/>
          <w:sz w:val="30"/>
          <w:szCs w:val="30"/>
          <w:highlight w:val="none"/>
          <w:lang w:val="en-US" w:eastAsia="zh-CN"/>
        </w:rPr>
      </w:pPr>
      <w:r>
        <w:rPr>
          <w:rFonts w:hint="eastAsia" w:ascii="楷体" w:hAnsi="楷体" w:eastAsia="楷体" w:cs="楷体"/>
          <w:b w:val="0"/>
          <w:bCs w:val="0"/>
          <w:i w:val="0"/>
          <w:iCs w:val="0"/>
          <w:sz w:val="30"/>
          <w:szCs w:val="30"/>
          <w:highlight w:val="none"/>
          <w:lang w:val="en-US" w:eastAsia="zh-CN"/>
        </w:rPr>
        <w:t>万协绩效字</w:t>
      </w:r>
      <w:r>
        <w:rPr>
          <w:rFonts w:hint="default" w:ascii="楷体" w:hAnsi="楷体" w:eastAsia="楷体" w:cs="楷体"/>
          <w:b w:val="0"/>
          <w:bCs w:val="0"/>
          <w:i w:val="0"/>
          <w:iCs w:val="0"/>
          <w:sz w:val="30"/>
          <w:szCs w:val="30"/>
          <w:highlight w:val="none"/>
          <w:lang w:val="en-US" w:eastAsia="zh-CN"/>
        </w:rPr>
        <w:t>〔20</w:t>
      </w:r>
      <w:r>
        <w:rPr>
          <w:rFonts w:hint="eastAsia" w:ascii="楷体" w:hAnsi="楷体" w:eastAsia="楷体" w:cs="楷体"/>
          <w:b w:val="0"/>
          <w:bCs w:val="0"/>
          <w:i w:val="0"/>
          <w:iCs w:val="0"/>
          <w:sz w:val="30"/>
          <w:szCs w:val="30"/>
          <w:highlight w:val="none"/>
          <w:lang w:val="en-US" w:eastAsia="zh-CN"/>
        </w:rPr>
        <w:t>23</w:t>
      </w:r>
      <w:r>
        <w:rPr>
          <w:rFonts w:hint="default" w:ascii="楷体" w:hAnsi="楷体" w:eastAsia="楷体" w:cs="楷体"/>
          <w:b w:val="0"/>
          <w:bCs w:val="0"/>
          <w:i w:val="0"/>
          <w:iCs w:val="0"/>
          <w:sz w:val="30"/>
          <w:szCs w:val="30"/>
          <w:highlight w:val="none"/>
          <w:lang w:val="en-US" w:eastAsia="zh-CN"/>
        </w:rPr>
        <w:t>〕</w:t>
      </w:r>
      <w:r>
        <w:rPr>
          <w:rFonts w:hint="eastAsia" w:ascii="楷体" w:hAnsi="楷体" w:eastAsia="楷体" w:cs="楷体"/>
          <w:b w:val="0"/>
          <w:bCs w:val="0"/>
          <w:i w:val="0"/>
          <w:iCs w:val="0"/>
          <w:sz w:val="30"/>
          <w:szCs w:val="30"/>
          <w:highlight w:val="none"/>
          <w:lang w:val="en-US" w:eastAsia="zh-CN"/>
        </w:rPr>
        <w:t>第016号</w:t>
      </w:r>
    </w:p>
    <w:p>
      <w:pPr>
        <w:pStyle w:val="20"/>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0"/>
        <w:rPr>
          <w:rFonts w:hint="eastAsia" w:ascii="黑体" w:hAnsi="黑体" w:eastAsia="黑体" w:cs="黑体"/>
          <w:sz w:val="44"/>
          <w:szCs w:val="44"/>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评价机构名称：宁夏万协项目管理有限公司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1500" w:firstLineChars="500"/>
        <w:jc w:val="both"/>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期：二〇二三年十二月</w:t>
      </w: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0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同心县餐厨垃圾协同污泥处理工程项目</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绩效评价报告</w:t>
      </w:r>
    </w:p>
    <w:p>
      <w:pPr>
        <w:keepNext w:val="0"/>
        <w:keepLines w:val="0"/>
        <w:pageBreakBefore w:val="0"/>
        <w:widowControl w:val="0"/>
        <w:kinsoku/>
        <w:wordWrap/>
        <w:overflowPunct w:val="0"/>
        <w:topLinePunct w:val="0"/>
        <w:autoSpaceDE/>
        <w:autoSpaceDN/>
        <w:bidi w:val="0"/>
        <w:adjustRightInd/>
        <w:snapToGrid/>
        <w:spacing w:line="760" w:lineRule="exact"/>
        <w:ind w:firstLine="2400" w:firstLineChars="800"/>
        <w:jc w:val="both"/>
        <w:textAlignment w:val="auto"/>
        <w:rPr>
          <w:rFonts w:hint="eastAsia" w:ascii="楷体" w:hAnsi="楷体" w:eastAsia="楷体" w:cs="楷体"/>
          <w:b w:val="0"/>
          <w:bCs w:val="0"/>
          <w:i w:val="0"/>
          <w:iCs w:val="0"/>
          <w:sz w:val="30"/>
          <w:szCs w:val="30"/>
          <w:highlight w:val="none"/>
          <w:lang w:val="en-US" w:eastAsia="zh-CN"/>
        </w:rPr>
      </w:pPr>
      <w:r>
        <w:rPr>
          <w:rFonts w:hint="eastAsia" w:ascii="楷体" w:hAnsi="楷体" w:eastAsia="楷体" w:cs="楷体"/>
          <w:b w:val="0"/>
          <w:bCs w:val="0"/>
          <w:i w:val="0"/>
          <w:iCs w:val="0"/>
          <w:sz w:val="30"/>
          <w:szCs w:val="30"/>
          <w:highlight w:val="none"/>
          <w:lang w:val="en-US" w:eastAsia="zh-CN"/>
        </w:rPr>
        <w:t>万协绩效字</w:t>
      </w:r>
      <w:r>
        <w:rPr>
          <w:rFonts w:hint="default" w:ascii="楷体" w:hAnsi="楷体" w:eastAsia="楷体" w:cs="楷体"/>
          <w:b w:val="0"/>
          <w:bCs w:val="0"/>
          <w:i w:val="0"/>
          <w:iCs w:val="0"/>
          <w:sz w:val="30"/>
          <w:szCs w:val="30"/>
          <w:highlight w:val="none"/>
          <w:lang w:val="en-US" w:eastAsia="zh-CN"/>
        </w:rPr>
        <w:t>〔20</w:t>
      </w:r>
      <w:r>
        <w:rPr>
          <w:rFonts w:hint="eastAsia" w:ascii="楷体" w:hAnsi="楷体" w:eastAsia="楷体" w:cs="楷体"/>
          <w:b w:val="0"/>
          <w:bCs w:val="0"/>
          <w:i w:val="0"/>
          <w:iCs w:val="0"/>
          <w:sz w:val="30"/>
          <w:szCs w:val="30"/>
          <w:highlight w:val="none"/>
          <w:lang w:val="en-US" w:eastAsia="zh-CN"/>
        </w:rPr>
        <w:t>23</w:t>
      </w:r>
      <w:r>
        <w:rPr>
          <w:rFonts w:hint="default" w:ascii="楷体" w:hAnsi="楷体" w:eastAsia="楷体" w:cs="楷体"/>
          <w:b w:val="0"/>
          <w:bCs w:val="0"/>
          <w:i w:val="0"/>
          <w:iCs w:val="0"/>
          <w:sz w:val="30"/>
          <w:szCs w:val="30"/>
          <w:highlight w:val="none"/>
          <w:lang w:val="en-US" w:eastAsia="zh-CN"/>
        </w:rPr>
        <w:t>〕</w:t>
      </w:r>
      <w:r>
        <w:rPr>
          <w:rFonts w:hint="eastAsia" w:ascii="楷体" w:hAnsi="楷体" w:eastAsia="楷体" w:cs="楷体"/>
          <w:b w:val="0"/>
          <w:bCs w:val="0"/>
          <w:i w:val="0"/>
          <w:iCs w:val="0"/>
          <w:sz w:val="30"/>
          <w:szCs w:val="30"/>
          <w:highlight w:val="none"/>
          <w:lang w:val="en-US" w:eastAsia="zh-CN"/>
        </w:rPr>
        <w:t>第016号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0" w:firstLineChars="0"/>
        <w:jc w:val="left"/>
        <w:rPr>
          <w:rFonts w:hint="eastAsia" w:ascii="方正小标宋_GBK" w:hAnsi="方正小标宋_GBK" w:eastAsia="方正小标宋_GBK" w:cs="方正小标宋_GBK"/>
          <w:color w:val="000000"/>
          <w:kern w:val="0"/>
          <w:sz w:val="31"/>
          <w:szCs w:val="31"/>
          <w:lang w:val="en-US" w:eastAsia="zh-CN" w:bidi="ar"/>
        </w:rPr>
      </w:pPr>
    </w:p>
    <w:p>
      <w:pPr>
        <w:pStyle w:val="4"/>
        <w:rPr>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560" w:lineRule="exact"/>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1906" w:leftChars="348" w:hanging="792" w:hangingChars="283"/>
        <w:jc w:val="left"/>
        <w:textAlignment w:val="auto"/>
        <w:rPr>
          <w:rFonts w:hint="eastAsia"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w:t>
      </w:r>
      <w:r>
        <w:rPr>
          <w:rFonts w:hint="eastAsia" w:ascii="方正小标宋_GBK" w:hAnsi="方正小标宋_GBK" w:eastAsia="方正小标宋_GBK" w:cs="方正小标宋_GBK"/>
          <w:color w:val="1E1C11"/>
          <w:spacing w:val="0"/>
          <w:kern w:val="0"/>
          <w:sz w:val="28"/>
          <w:szCs w:val="28"/>
          <w:lang w:val="en-US" w:eastAsia="zh-CN" w:bidi="ar"/>
        </w:rPr>
        <w:t>同心县环境卫生服务中心</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1120" w:firstLineChars="400"/>
        <w:jc w:val="both"/>
        <w:textAlignment w:val="auto"/>
        <w:rPr>
          <w:rFonts w:hint="default" w:ascii="黑体" w:hAnsi="黑体" w:eastAsia="黑体" w:cs="黑体"/>
          <w:b w:val="0"/>
          <w:bCs w:val="0"/>
          <w:kern w:val="0"/>
          <w:sz w:val="30"/>
          <w:szCs w:val="30"/>
          <w:lang w:val="en-US" w:eastAsia="zh-CN" w:bidi="en-US"/>
        </w:rPr>
      </w:pPr>
      <w:r>
        <w:rPr>
          <w:rFonts w:hint="eastAsia" w:ascii="方正小标宋_GBK" w:hAnsi="方正小标宋_GBK" w:eastAsia="方正小标宋_GBK" w:cs="方正小标宋_GBK"/>
          <w:color w:val="1E1C11"/>
          <w:kern w:val="0"/>
          <w:sz w:val="28"/>
          <w:szCs w:val="28"/>
          <w:lang w:val="en-US" w:eastAsia="zh-CN" w:bidi="ar"/>
        </w:rPr>
        <w:t>评价报告时间：</w:t>
      </w:r>
      <w:r>
        <w:rPr>
          <w:rFonts w:hint="eastAsia" w:ascii="黑体" w:hAnsi="黑体" w:eastAsia="黑体" w:cs="黑体"/>
          <w:b w:val="0"/>
          <w:bCs w:val="0"/>
          <w:kern w:val="0"/>
          <w:sz w:val="30"/>
          <w:szCs w:val="30"/>
          <w:lang w:val="en-US" w:eastAsia="zh-CN" w:bidi="en-US"/>
        </w:rPr>
        <w:t>二〇二三年十二月</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rPr>
          <w:rFonts w:hint="eastAsia"/>
          <w:lang w:val="en-US" w:eastAsia="zh-CN"/>
        </w:rPr>
      </w:pPr>
    </w:p>
    <w:p>
      <w:pPr>
        <w:pStyle w:val="20"/>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27278"/>
      <w:bookmarkStart w:id="1" w:name="_Toc17352"/>
      <w:bookmarkStart w:id="2" w:name="_Toc23573"/>
      <w:r>
        <w:rPr>
          <w:rFonts w:hint="eastAsia" w:asciiTheme="majorEastAsia" w:hAnsiTheme="majorEastAsia" w:eastAsiaTheme="majorEastAsia" w:cstheme="majorEastAsia"/>
          <w:b/>
          <w:bCs/>
          <w:sz w:val="30"/>
          <w:szCs w:val="30"/>
          <w:lang w:val="en-US" w:eastAsia="zh-CN"/>
        </w:rPr>
        <w:t>一、项目背景</w:t>
      </w:r>
      <w:bookmarkEnd w:id="0"/>
      <w:bookmarkEnd w:id="1"/>
      <w:bookmarkEnd w:id="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 w:name="_Toc32242"/>
      <w:bookmarkStart w:id="4" w:name="_Toc13114"/>
      <w:bookmarkStart w:id="5" w:name="_Toc18303"/>
      <w:r>
        <w:rPr>
          <w:rFonts w:hint="default" w:ascii="Times New Roman" w:hAnsi="Times New Roman" w:eastAsia="方正仿宋_GBK" w:cs="Times New Roman"/>
          <w:color w:val="auto"/>
          <w:kern w:val="2"/>
          <w:sz w:val="30"/>
          <w:szCs w:val="30"/>
          <w:highlight w:val="none"/>
          <w:lang w:val="en-US" w:eastAsia="zh-CN" w:bidi="ar-SA"/>
        </w:rPr>
        <w:t>城市绿色、循环、低碳发展，是深入贯彻落实习近平生态文明思想的具体行动，是推动减污降碳协同增效的重要举措，是实现美丽中国建设目标的内在要求</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无废城市</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是以创新、协调、绿色、开放、共享的新发展理念为引领，通过推动形成绿色发展方式和生活方式，持续推进固体废物源头减量和资源化利用，最大限度减少填埋量，将固体废物环境影响降至最低的城市发展模式。城建设计集团以</w:t>
      </w:r>
      <w:r>
        <w:rPr>
          <w:rFonts w:hint="eastAsia" w:ascii="Times New Roman" w:hAnsi="Times New Roman" w:eastAsia="方正仿宋_GBK" w:cs="Times New Roman"/>
          <w:color w:val="auto"/>
          <w:kern w:val="2"/>
          <w:sz w:val="30"/>
          <w:szCs w:val="30"/>
          <w:highlight w:val="none"/>
          <w:lang w:val="en-US" w:eastAsia="zh-CN" w:bidi="ar-SA"/>
        </w:rPr>
        <w:t>“无废城市”建设为契机，推动城市全面绿色低碳转型，以高水平建设运行模式推动城市高质量发展、创造高品质生活。</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同心县人民政府及同心县住房和城乡建设局将污泥处置与餐厨垃圾处理项目</w:t>
      </w:r>
      <w:r>
        <w:rPr>
          <w:rFonts w:hint="eastAsia" w:ascii="Times New Roman" w:hAnsi="Times New Roman" w:eastAsia="方正仿宋_GBK" w:cs="Times New Roman"/>
          <w:color w:val="auto"/>
          <w:kern w:val="2"/>
          <w:sz w:val="30"/>
          <w:szCs w:val="30"/>
          <w:highlight w:val="none"/>
          <w:lang w:val="en-US" w:eastAsia="zh-CN" w:bidi="ar-SA"/>
        </w:rPr>
        <w:t>列入</w:t>
      </w:r>
      <w:r>
        <w:rPr>
          <w:rFonts w:hint="default" w:ascii="Times New Roman" w:hAnsi="Times New Roman" w:eastAsia="方正仿宋_GBK" w:cs="Times New Roman"/>
          <w:color w:val="auto"/>
          <w:kern w:val="2"/>
          <w:sz w:val="30"/>
          <w:szCs w:val="30"/>
          <w:highlight w:val="none"/>
          <w:lang w:val="en-US" w:eastAsia="zh-CN" w:bidi="ar-SA"/>
        </w:rPr>
        <w:t>重点工作之一，采取政府牵头、环卫系统管理企业运作，社区参与的运行模式，建立起完整的餐厨垃圾管理与处理处置</w:t>
      </w:r>
      <w:r>
        <w:rPr>
          <w:rFonts w:hint="eastAsia" w:ascii="Times New Roman" w:hAnsi="Times New Roman" w:eastAsia="方正仿宋_GBK" w:cs="Times New Roman"/>
          <w:color w:val="auto"/>
          <w:kern w:val="2"/>
          <w:sz w:val="30"/>
          <w:szCs w:val="30"/>
          <w:highlight w:val="none"/>
          <w:lang w:val="en-US" w:eastAsia="zh-CN" w:bidi="ar-SA"/>
        </w:rPr>
        <w:t>体系</w:t>
      </w:r>
      <w:r>
        <w:rPr>
          <w:rFonts w:hint="default" w:ascii="Times New Roman" w:hAnsi="Times New Roman" w:eastAsia="方正仿宋_GBK" w:cs="Times New Roman"/>
          <w:color w:val="auto"/>
          <w:kern w:val="2"/>
          <w:sz w:val="30"/>
          <w:szCs w:val="30"/>
          <w:highlight w:val="none"/>
          <w:lang w:val="en-US" w:eastAsia="zh-CN" w:bidi="ar-SA"/>
        </w:rPr>
        <w:t>，虽然管理体系已经建成，责任到人，但处理方式落后不能达到减量化、资源化利用，故建设餐污泥协同厨垃圾处理项目是必要的，也是社会发展的需要。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本项目以循环经济理念，系统化规划和建设的原则。根据城市环境卫生规划和可持续发展要求，本着处理设施集约化建设、节能减排和循环经济的原则，针对</w:t>
      </w:r>
      <w:r>
        <w:rPr>
          <w:rFonts w:hint="eastAsia" w:ascii="Times New Roman" w:hAnsi="Times New Roman" w:eastAsia="方正仿宋_GBK" w:cs="Times New Roman"/>
          <w:color w:val="auto"/>
          <w:kern w:val="2"/>
          <w:sz w:val="30"/>
          <w:szCs w:val="30"/>
          <w:highlight w:val="none"/>
          <w:lang w:val="en-US" w:eastAsia="zh-CN" w:bidi="ar-SA"/>
        </w:rPr>
        <w:t>污水处理厂</w:t>
      </w:r>
      <w:r>
        <w:rPr>
          <w:rFonts w:hint="default" w:ascii="Times New Roman" w:hAnsi="Times New Roman" w:eastAsia="方正仿宋_GBK" w:cs="Times New Roman"/>
          <w:color w:val="auto"/>
          <w:kern w:val="2"/>
          <w:sz w:val="30"/>
          <w:szCs w:val="30"/>
          <w:highlight w:val="none"/>
          <w:lang w:val="en-US" w:eastAsia="zh-CN" w:bidi="ar-SA"/>
        </w:rPr>
        <w:t>污泥、餐厨垃圾特性，通过对城市污水厂污泥、餐厨垃圾、农村秸秆垃圾协同处理和资源化利用技术，使得污水处理厂污泥、城市餐厨垃圾得到分类处置，进一步实现垃圾的减量化、无害化、稳定化，并作为园林、绿化、土地改良剂资源化利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二、项目预算资金</w:t>
      </w:r>
      <w:bookmarkEnd w:id="3"/>
      <w:bookmarkEnd w:id="4"/>
      <w:bookmarkEnd w:id="5"/>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bookmarkStart w:id="6" w:name="_Toc3837"/>
      <w:bookmarkStart w:id="7" w:name="_Toc30853"/>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w:t>
      </w:r>
      <w:r>
        <w:rPr>
          <w:rFonts w:hint="eastAsia" w:ascii="Times New Roman" w:hAnsi="Times New Roman" w:eastAsia="方正仿宋_GBK" w:cs="Times New Roman"/>
          <w:color w:val="auto"/>
          <w:kern w:val="2"/>
          <w:sz w:val="30"/>
          <w:szCs w:val="30"/>
          <w:highlight w:val="none"/>
          <w:lang w:val="en-US" w:eastAsia="zh-CN" w:bidi="ar-SA"/>
        </w:rPr>
        <w:t>要求，一般债券资金落实到具体项目，切实加强债券资金管理，提高债券资金使用效益</w:t>
      </w:r>
      <w:r>
        <w:rPr>
          <w:rFonts w:hint="eastAsia" w:ascii="Times New Roman" w:hAnsi="Times New Roman" w:eastAsia="方正仿宋_GBK" w:cs="Times New Roman"/>
          <w:sz w:val="30"/>
          <w:szCs w:val="30"/>
          <w:lang w:val="en-US" w:eastAsia="zh-CN"/>
        </w:rPr>
        <w:t>，下达</w:t>
      </w:r>
      <w:r>
        <w:rPr>
          <w:rFonts w:hint="eastAsia" w:ascii="Times New Roman" w:hAnsi="Times New Roman" w:eastAsia="方正仿宋_GB2312" w:cs="Times New Roman"/>
          <w:kern w:val="2"/>
          <w:sz w:val="30"/>
          <w:szCs w:val="30"/>
          <w:lang w:val="en-US" w:eastAsia="zh-CN" w:bidi="ar-SA"/>
        </w:rPr>
        <w:t>资金为800.00万元。</w:t>
      </w:r>
    </w:p>
    <w:p>
      <w:pPr>
        <w:pStyle w:val="2"/>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8" w:name="_Toc18650"/>
      <w:bookmarkStart w:id="9" w:name="_Toc10377"/>
      <w:r>
        <w:rPr>
          <w:rFonts w:hint="eastAsia" w:ascii="Times New Roman" w:hAnsi="Times New Roman" w:eastAsia="方正仿宋_GBK" w:cs="Times New Roman"/>
          <w:color w:val="auto"/>
          <w:kern w:val="2"/>
          <w:sz w:val="30"/>
          <w:szCs w:val="30"/>
          <w:highlight w:val="none"/>
          <w:lang w:val="en-US" w:eastAsia="zh-CN" w:bidi="ar-SA"/>
        </w:rPr>
        <w:t>截至目前，实际支出800.00万元，预算执行率100.00%。</w:t>
      </w:r>
      <w:bookmarkEnd w:id="8"/>
      <w:bookmarkEnd w:id="9"/>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评价结论</w:t>
      </w:r>
      <w:bookmarkEnd w:id="6"/>
      <w:bookmarkEnd w:id="7"/>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通过资料收集、现场访谈和问卷调查获取的数据，评价组对</w:t>
      </w:r>
      <w:r>
        <w:rPr>
          <w:rFonts w:hint="eastAsia" w:ascii="Times New Roman" w:hAnsi="Times New Roman" w:eastAsia="方正仿宋_GBK" w:cs="Times New Roman"/>
          <w:color w:val="auto"/>
          <w:kern w:val="0"/>
          <w:sz w:val="30"/>
          <w:szCs w:val="30"/>
          <w:lang w:val="en-US" w:eastAsia="zh-CN" w:bidi="zh-CN"/>
        </w:rPr>
        <w:t>同心县餐厨垃圾协同污泥处理工程项目</w:t>
      </w:r>
      <w:r>
        <w:rPr>
          <w:rFonts w:hint="default" w:ascii="Times New Roman" w:hAnsi="Times New Roman" w:eastAsia="方正仿宋_GBK" w:cs="Times New Roman"/>
          <w:color w:val="auto"/>
          <w:kern w:val="0"/>
          <w:sz w:val="30"/>
          <w:szCs w:val="30"/>
          <w:lang w:val="en-US" w:eastAsia="zh-CN" w:bidi="zh-CN"/>
        </w:rPr>
        <w:t>进行了独立客观公正的评价，</w:t>
      </w:r>
      <w:r>
        <w:rPr>
          <w:rFonts w:hint="default" w:ascii="Times New Roman" w:hAnsi="Times New Roman" w:eastAsia="仿宋" w:cs="Times New Roman"/>
          <w:b w:val="0"/>
          <w:bCs w:val="0"/>
          <w:kern w:val="0"/>
          <w:sz w:val="30"/>
          <w:szCs w:val="30"/>
          <w:lang w:val="en-US" w:eastAsia="zh-CN" w:bidi="zh-CN"/>
        </w:rPr>
        <w:t>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91</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优</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bookmarkStart w:id="10" w:name="_Toc10088"/>
      <w:bookmarkStart w:id="11" w:name="_Toc12376"/>
      <w:bookmarkStart w:id="12" w:name="_Toc16100"/>
      <w:bookmarkStart w:id="13" w:name="_Toc21407"/>
      <w:bookmarkStart w:id="14" w:name="_Toc14268"/>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主要经验</w:t>
      </w:r>
      <w:bookmarkEnd w:id="10"/>
      <w:bookmarkEnd w:id="11"/>
      <w:bookmarkEnd w:id="12"/>
      <w:bookmarkEnd w:id="13"/>
      <w:bookmarkEnd w:id="14"/>
      <w:bookmarkStart w:id="15" w:name="_Toc29010"/>
      <w:bookmarkStart w:id="16" w:name="_Toc3362"/>
      <w:bookmarkStart w:id="17" w:name="_Toc5586"/>
      <w:r>
        <w:rPr>
          <w:rFonts w:hint="eastAsia" w:ascii="方正正黑_GBK" w:hAnsi="方正正黑_GBK" w:eastAsia="方正正黑_GBK" w:cs="方正正黑_GBK"/>
          <w:b/>
          <w:bCs/>
          <w:sz w:val="30"/>
          <w:szCs w:val="30"/>
          <w:lang w:val="en-US" w:eastAsia="zh-CN"/>
        </w:rPr>
        <w:t>、存在问题及建议</w:t>
      </w:r>
      <w:bookmarkEnd w:id="15"/>
      <w:bookmarkEnd w:id="16"/>
      <w:bookmarkEnd w:id="17"/>
      <w:bookmarkStart w:id="18" w:name="_Toc32177"/>
      <w:bookmarkStart w:id="19" w:name="_Toc5249"/>
      <w:bookmarkStart w:id="20" w:name="_Toc3270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eastAsia="zh-CN"/>
        </w:rPr>
        <w:t>（一）</w:t>
      </w:r>
      <w:r>
        <w:rPr>
          <w:rFonts w:hint="eastAsia" w:ascii="方正楷体_GBK" w:hAnsi="方正楷体_GBK" w:eastAsia="方正楷体_GBK" w:cs="方正楷体_GBK"/>
          <w:b/>
          <w:bCs w:val="0"/>
          <w:sz w:val="32"/>
          <w:szCs w:val="32"/>
        </w:rPr>
        <w:t>经验做法</w:t>
      </w:r>
      <w:bookmarkEnd w:id="18"/>
      <w:bookmarkEnd w:id="19"/>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2"/>
          <w:sz w:val="30"/>
          <w:szCs w:val="30"/>
          <w:highlight w:val="none"/>
          <w:lang w:val="en-US" w:eastAsia="zh-CN" w:bidi="ar-SA"/>
        </w:rPr>
        <w:t>同心县餐厨垃圾协同污泥处理工程项目</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项目建设单位严格执行国家基本建设程序，建立了“政府监督、项目法人负责、社会监督、企业保证”的质量管理体系，推行“四制”管理。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工程施工中各参建单位按照工程建设管理要求进行现场管理，在施工现场成立了机构，分别负责技术、施工管理、施工协调、质量监督、财务管理，单位人员到位职责明确、措施到位、质量控制体系健全；施工单位严把材料质量关，坚决杜绝不合格材料进场，严格执行“三检制”要求，保证了各项工作按施工规范进行施工，工程质量得到了有效保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三是</w:t>
      </w:r>
      <w:r>
        <w:rPr>
          <w:rFonts w:hint="eastAsia" w:ascii="Times New Roman" w:hAnsi="Times New Roman" w:eastAsia="方正仿宋_GBK" w:cs="Times New Roman"/>
          <w:b w:val="0"/>
          <w:kern w:val="2"/>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四是</w:t>
      </w:r>
      <w:r>
        <w:rPr>
          <w:rFonts w:hint="eastAsia" w:ascii="Times New Roman" w:hAnsi="Times New Roman" w:eastAsia="方正仿宋_GBK" w:cs="Times New Roman"/>
          <w:b w:val="0"/>
          <w:kern w:val="2"/>
          <w:sz w:val="30"/>
          <w:szCs w:val="30"/>
          <w:lang w:val="en-US" w:eastAsia="zh-CN" w:bidi="zh-CN"/>
        </w:rPr>
        <w:t>监理单位实施了现场监理并对重点部位、关键工序实行了旁站监理，严把审核关，工程质量得到有效控制，保证了各项工作的相衔接。</w:t>
      </w:r>
    </w:p>
    <w:p>
      <w:pPr>
        <w:pStyle w:val="3"/>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21" w:name="_Toc17236"/>
      <w:bookmarkStart w:id="22" w:name="_Toc30619"/>
      <w:r>
        <w:rPr>
          <w:rFonts w:hint="eastAsia" w:ascii="方正楷体_GBK" w:hAnsi="方正楷体_GBK" w:eastAsia="方正楷体_GBK" w:cs="方正楷体_GBK"/>
          <w:b/>
          <w:bCs w:val="0"/>
          <w:sz w:val="32"/>
          <w:szCs w:val="32"/>
        </w:rPr>
        <w:t>（二）存在的问题</w:t>
      </w:r>
      <w:bookmarkEnd w:id="21"/>
      <w:bookmarkEnd w:id="22"/>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1.项目施工未严格履行合同约定。</w:t>
      </w:r>
    </w:p>
    <w:p>
      <w:pPr>
        <w:keepNext w:val="0"/>
        <w:keepLines w:val="0"/>
        <w:widowControl/>
        <w:suppressLineNumbers w:val="0"/>
        <w:jc w:val="left"/>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于2020年10月15日进行公开招标确定中民汇联事业有限公司为项目中标单位，2020年10月26日签署施工合同中明确规定开完工时间2020年10月22日—2021年11月26日。经现场资料查阅，实际开完工时间为2021年4月1日—2021年8月20日，项目实施过程中未能严格按照合同约定时间履行。</w:t>
      </w:r>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2.工程结算审核较为滞后。</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2023年1月31日完成竣工验收且取得竣工验收报告，经现场资料查阅，截至评价时段，项目结算未有效开展，导致后续财务决算相继无法实施，未能及时转入固定资产或公共基础设施，不利于资产管理工作的有效落实</w:t>
      </w:r>
    </w:p>
    <w:p>
      <w:pPr>
        <w:pStyle w:val="3"/>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23" w:name="_Toc24559"/>
      <w:bookmarkStart w:id="24" w:name="_Toc27047"/>
      <w:r>
        <w:rPr>
          <w:rFonts w:hint="eastAsia" w:ascii="方正楷体_GBK" w:hAnsi="方正楷体_GBK" w:eastAsia="方正楷体_GBK" w:cs="方正楷体_GBK"/>
          <w:color w:val="333333"/>
          <w:sz w:val="30"/>
          <w:szCs w:val="30"/>
          <w:shd w:val="clear" w:fill="FFFFFF"/>
          <w:lang w:val="en-US" w:eastAsia="zh-CN" w:bidi="zh-CN"/>
        </w:rPr>
        <w:t>（三）建议</w:t>
      </w:r>
      <w:bookmarkEnd w:id="23"/>
      <w:bookmarkEnd w:id="2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1.科学谋划，加强履约管理。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Times New Roman" w:hAnsi="Times New Roman" w:eastAsia="方正仿宋_GBK" w:cs="Times New Roman"/>
          <w:b w:val="0"/>
          <w:kern w:val="2"/>
          <w:sz w:val="30"/>
          <w:szCs w:val="30"/>
          <w:lang w:val="en-US" w:eastAsia="zh-CN" w:bidi="zh-CN"/>
        </w:rPr>
        <w:t>当发包人与承包人签订建筑工程合同后，任何一方都应该严格遵守合同约定，积极履行合同</w:t>
      </w:r>
      <w:r>
        <w:rPr>
          <w:rFonts w:hint="eastAsia" w:ascii="方正仿宋_GBK" w:hAnsi="方正仿宋_GBK" w:eastAsia="方正仿宋_GBK" w:cs="方正仿宋_GBK"/>
          <w:color w:val="000000"/>
          <w:kern w:val="0"/>
          <w:sz w:val="30"/>
          <w:szCs w:val="30"/>
          <w:lang w:val="en-US" w:eastAsia="zh-CN" w:bidi="ar"/>
        </w:rPr>
        <w:t>。要科学安排工期，有序组织施工，高标准推进项目建设。</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2.加快结算审计，尽早发挥效益。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Times New Roman" w:hAnsi="Times New Roman" w:eastAsia="方正仿宋_GBK" w:cs="Times New Roman"/>
          <w:b/>
          <w:bCs/>
          <w:spacing w:val="0"/>
          <w:kern w:val="0"/>
          <w:sz w:val="30"/>
          <w:szCs w:val="30"/>
          <w:lang w:val="en-US" w:eastAsia="zh-CN" w:bidi="zh-CN"/>
        </w:rPr>
        <w:t>一是</w:t>
      </w:r>
      <w:r>
        <w:rPr>
          <w:rFonts w:hint="eastAsia" w:ascii="方正仿宋_GBK" w:hAnsi="方正仿宋_GBK" w:eastAsia="方正仿宋_GBK" w:cs="方正仿宋_GBK"/>
          <w:color w:val="000000"/>
          <w:kern w:val="0"/>
          <w:sz w:val="30"/>
          <w:szCs w:val="30"/>
          <w:lang w:val="en-US" w:eastAsia="zh-CN" w:bidi="ar"/>
        </w:rPr>
        <w:t>加快结算审核工作，避免资金沉淀；</w:t>
      </w:r>
      <w:r>
        <w:rPr>
          <w:rFonts w:hint="eastAsia" w:ascii="Times New Roman" w:hAnsi="Times New Roman" w:eastAsia="方正仿宋_GBK" w:cs="Times New Roman"/>
          <w:b/>
          <w:bCs/>
          <w:spacing w:val="0"/>
          <w:kern w:val="0"/>
          <w:sz w:val="30"/>
          <w:szCs w:val="30"/>
          <w:lang w:val="en-US" w:eastAsia="zh-CN" w:bidi="zh-CN"/>
        </w:rPr>
        <w:t>二是</w:t>
      </w:r>
      <w:r>
        <w:rPr>
          <w:rFonts w:hint="eastAsia" w:ascii="方正仿宋_GBK" w:hAnsi="方正仿宋_GBK" w:eastAsia="方正仿宋_GBK" w:cs="方正仿宋_GBK"/>
          <w:color w:val="000000"/>
          <w:kern w:val="0"/>
          <w:sz w:val="30"/>
          <w:szCs w:val="30"/>
          <w:lang w:val="en-US" w:eastAsia="zh-CN" w:bidi="ar"/>
        </w:rPr>
        <w:t>按照《关于迅速开展已使用在建工程转固专项整治工作》文件要求，加快办理具备转固条件的竣工项目转固手续。同时，逐步建立健全资产管理长效机制，加强对本单位固定资产、公共基础设施等资产管理，促进资产管理提质增效。</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4"/>
        <w:rPr>
          <w:rFonts w:hint="eastAsia" w:ascii="方正公文小标宋" w:hAnsi="方正公文小标宋" w:eastAsia="方正公文小标宋" w:cs="方正公文小标宋"/>
          <w:b/>
          <w:bCs/>
          <w:sz w:val="72"/>
          <w:szCs w:val="72"/>
          <w:lang w:val="en-US" w:eastAsia="zh-CN"/>
        </w:rPr>
      </w:pPr>
    </w:p>
    <w:p>
      <w:pPr>
        <w:rPr>
          <w:rFonts w:hint="eastAsia"/>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4"/>
        <w:rPr>
          <w:rFonts w:hint="eastAsia" w:ascii="方正公文小标宋" w:hAnsi="方正公文小标宋" w:eastAsia="方正公文小标宋" w:cs="方正公文小标宋"/>
          <w:b/>
          <w:bCs/>
          <w:sz w:val="72"/>
          <w:szCs w:val="72"/>
          <w:lang w:val="en-US" w:eastAsia="zh-CN"/>
        </w:rPr>
      </w:pPr>
    </w:p>
    <w:p>
      <w:pPr>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4"/>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4"/>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目 录</w:t>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0" w:firstLineChars="0"/>
        <w:textAlignment w:val="auto"/>
        <w:rPr>
          <w:rFonts w:hint="eastAsia" w:ascii="仿宋" w:hAnsi="仿宋" w:eastAsia="仿宋" w:cs="仿宋"/>
          <w:sz w:val="24"/>
          <w:szCs w:val="24"/>
        </w:rPr>
      </w:pPr>
      <w:r>
        <w:rPr>
          <w:rFonts w:hint="eastAsia" w:ascii="华文仿宋" w:hAnsi="华文仿宋" w:eastAsia="华文仿宋" w:cs="华文仿宋"/>
          <w:b w:val="0"/>
          <w:bCs w:val="0"/>
          <w:kern w:val="0"/>
          <w:sz w:val="24"/>
          <w:szCs w:val="24"/>
          <w:lang w:val="en-US" w:eastAsia="zh-CN" w:bidi="zh-CN"/>
        </w:rPr>
        <w:fldChar w:fldCharType="begin"/>
      </w:r>
      <w:r>
        <w:rPr>
          <w:rFonts w:hint="eastAsia" w:ascii="华文仿宋" w:hAnsi="华文仿宋" w:eastAsia="华文仿宋" w:cs="华文仿宋"/>
          <w:b w:val="0"/>
          <w:bCs w:val="0"/>
          <w:kern w:val="0"/>
          <w:sz w:val="24"/>
          <w:szCs w:val="24"/>
          <w:lang w:val="en-US" w:eastAsia="zh-CN" w:bidi="zh-CN"/>
        </w:rPr>
        <w:instrText xml:space="preserve">TOC \o "1-3" \h \u </w:instrText>
      </w:r>
      <w:r>
        <w:rPr>
          <w:rFonts w:hint="eastAsia" w:ascii="华文仿宋" w:hAnsi="华文仿宋" w:eastAsia="华文仿宋" w:cs="华文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_Toc20568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_Toc20568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_Toc4408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_Toc4408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_Toc11631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_Toc11631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_Toc17211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二、项目资金预算安排和使用情况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_Toc17211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_Toc28083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_Toc28083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_Toc26916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_Toc26916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_Toc2805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 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_Toc2805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_Toc6918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_Toc6918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7</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_Toc13428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_Toc13428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7</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_Toc19639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_Toc19639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8</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_Toc20989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_Toc20989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8</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_Toc22180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_Toc22180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9</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_Toc9978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（五）评价标准</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_Toc9978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9</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_Toc8571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（六）评价指标体系</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_Toc8571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10</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_Toc6395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（七）评价方法</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_Toc6395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12</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_Toc15094 </w:instrText>
      </w:r>
      <w:r>
        <w:rPr>
          <w:rFonts w:hint="eastAsia" w:ascii="仿宋" w:hAnsi="仿宋" w:eastAsia="仿宋" w:cs="仿宋"/>
          <w:bCs/>
          <w:sz w:val="24"/>
          <w:szCs w:val="24"/>
          <w:lang w:val="en-US" w:eastAsia="zh-CN"/>
        </w:rPr>
        <w:fldChar w:fldCharType="separate"/>
      </w:r>
      <w:r>
        <w:rPr>
          <w:rFonts w:hint="default" w:ascii="仿宋" w:hAnsi="仿宋" w:eastAsia="仿宋" w:cs="仿宋"/>
          <w:bCs/>
          <w:sz w:val="24"/>
          <w:szCs w:val="24"/>
          <w:lang w:val="en-US" w:eastAsia="zh-CN"/>
        </w:rPr>
        <w:t>（</w:t>
      </w:r>
      <w:r>
        <w:rPr>
          <w:rFonts w:hint="eastAsia" w:ascii="仿宋" w:hAnsi="仿宋" w:eastAsia="仿宋" w:cs="仿宋"/>
          <w:bCs/>
          <w:sz w:val="24"/>
          <w:szCs w:val="24"/>
          <w:lang w:val="en-US" w:eastAsia="zh-CN"/>
        </w:rPr>
        <w:t>八</w:t>
      </w:r>
      <w:r>
        <w:rPr>
          <w:rFonts w:hint="default" w:ascii="仿宋" w:hAnsi="仿宋" w:eastAsia="仿宋" w:cs="仿宋"/>
          <w:bCs/>
          <w:sz w:val="24"/>
          <w:szCs w:val="24"/>
          <w:lang w:val="en-US" w:eastAsia="zh-CN"/>
        </w:rPr>
        <w:t>）绩效评价工作过程</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_Toc15094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13</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_Toc26077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五、综合评价情况及评价结论</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_Toc26077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15</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_Toc25139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（一）项目完成情况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_Toc25139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15</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_Toc31806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（二）评价结论</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_Toc31806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16</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_Toc11878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六、绩效评价指标分析</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_Toc11878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17</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236" w:firstLineChars="1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_Toc20159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（一）项目决策情况分析</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_Toc20159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17</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472" w:firstLineChars="2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_Toc16283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（二）项目过程</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_Toc16283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20</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472" w:firstLineChars="2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_Toc16530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（三）项目产出情况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_Toc16530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22</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472" w:firstLineChars="2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_Toc21955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（四）项目效益情况分析</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_Toc21955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25</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_Toc27683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七、主要经验做法、存在问题及建议</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_Toc27683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27</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472" w:firstLineChars="2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_Toc12803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（一）经验做法</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_Toc12803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27</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472" w:firstLineChars="200"/>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_Toc26552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（二）存在的问题</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_Toc26552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28</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472" w:firstLineChars="200"/>
        <w:textAlignment w:val="auto"/>
        <w:rPr>
          <w:sz w:val="24"/>
          <w:szCs w:val="24"/>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_Toc4816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（三）建议</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_Toc4816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29</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eastAsia" w:ascii="华文仿宋" w:hAnsi="华文仿宋" w:eastAsia="华文仿宋" w:cs="华文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华文仿宋" w:hAnsi="华文仿宋" w:eastAsia="华文仿宋" w:cs="华文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25" w:name="_Toc30196"/>
      <w:bookmarkStart w:id="26" w:name="_Toc12033"/>
      <w:r>
        <w:rPr>
          <w:rFonts w:hint="eastAsia" w:ascii="方正小标宋_GBK" w:hAnsi="方正小标宋_GBK" w:eastAsia="方正小标宋_GBK" w:cs="方正小标宋_GBK"/>
          <w:b w:val="0"/>
          <w:bCs w:val="0"/>
          <w:color w:val="181717" w:themeColor="background2" w:themeShade="1A"/>
          <w:sz w:val="36"/>
          <w:szCs w:val="36"/>
          <w:lang w:val="en-US" w:eastAsia="zh-CN"/>
        </w:rPr>
        <w:t>同心县餐厨垃圾协同污泥处理工程项目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color w:val="1E1C11"/>
          <w:spacing w:val="0"/>
          <w:kern w:val="0"/>
          <w:sz w:val="28"/>
          <w:szCs w:val="28"/>
          <w:lang w:val="en-US" w:eastAsia="zh-CN" w:bidi="ar"/>
        </w:rPr>
        <w:t xml:space="preserve">                     </w:t>
      </w:r>
      <w:r>
        <w:rPr>
          <w:rFonts w:hint="eastAsia" w:ascii="方正小标宋_GBK" w:hAnsi="方正小标宋_GBK" w:eastAsia="方正小标宋_GBK" w:cs="方正小标宋_GBK"/>
          <w:b w:val="0"/>
          <w:bCs w:val="0"/>
          <w:color w:val="181717" w:themeColor="background2" w:themeShade="1A"/>
          <w:sz w:val="36"/>
          <w:szCs w:val="36"/>
          <w:lang w:val="en-US" w:eastAsia="zh-CN"/>
        </w:rPr>
        <w:t>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，宁夏万协项目管理有限公司受同心县财政局委托，对同心县餐厨垃圾协同污泥处理工程项目开展绩效评价相关工作。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2"/>
        <w:bidi w:val="0"/>
        <w:rPr>
          <w:rFonts w:hint="eastAsia" w:ascii="宋体" w:hAnsi="宋体" w:eastAsia="宋体" w:cs="宋体"/>
          <w:b/>
          <w:bCs/>
          <w:lang w:val="en-US" w:eastAsia="zh-CN"/>
        </w:rPr>
      </w:pPr>
      <w:bookmarkStart w:id="27" w:name="_Toc20568"/>
      <w:bookmarkStart w:id="28" w:name="_Toc13211"/>
      <w:r>
        <w:rPr>
          <w:rFonts w:hint="eastAsia" w:ascii="宋体" w:hAnsi="宋体" w:eastAsia="宋体" w:cs="宋体"/>
          <w:b/>
          <w:bCs/>
          <w:lang w:val="en-US" w:eastAsia="zh-CN"/>
        </w:rPr>
        <w:t>一、项目基本情况</w:t>
      </w:r>
      <w:bookmarkEnd w:id="25"/>
      <w:bookmarkEnd w:id="26"/>
      <w:bookmarkEnd w:id="27"/>
      <w:bookmarkEnd w:id="28"/>
    </w:p>
    <w:p>
      <w:pPr>
        <w:pStyle w:val="3"/>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9" w:name="_Toc5690"/>
      <w:bookmarkStart w:id="30" w:name="_Toc25760"/>
      <w:bookmarkStart w:id="31" w:name="_Toc4408"/>
      <w:r>
        <w:rPr>
          <w:rFonts w:hint="eastAsia"/>
          <w:b/>
          <w:bCs/>
          <w:sz w:val="30"/>
          <w:szCs w:val="30"/>
          <w:lang w:val="en-US" w:eastAsia="zh-CN"/>
        </w:rPr>
        <w:t>（一）项目</w:t>
      </w:r>
      <w:bookmarkEnd w:id="29"/>
      <w:bookmarkEnd w:id="30"/>
      <w:r>
        <w:rPr>
          <w:rFonts w:hint="eastAsia"/>
          <w:b/>
          <w:bCs/>
          <w:sz w:val="30"/>
          <w:szCs w:val="30"/>
          <w:lang w:val="en-US" w:eastAsia="zh-CN"/>
        </w:rPr>
        <w:t>背景</w:t>
      </w:r>
      <w:bookmarkEnd w:id="31"/>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2" w:name="_Toc24381"/>
      <w:bookmarkStart w:id="33" w:name="_Toc25776"/>
      <w:bookmarkStart w:id="34" w:name="_Toc5111"/>
      <w:r>
        <w:rPr>
          <w:rFonts w:hint="default" w:ascii="Times New Roman" w:hAnsi="Times New Roman" w:eastAsia="方正仿宋_GBK" w:cs="Times New Roman"/>
          <w:color w:val="auto"/>
          <w:kern w:val="2"/>
          <w:sz w:val="30"/>
          <w:szCs w:val="30"/>
          <w:highlight w:val="none"/>
          <w:lang w:val="en-US" w:eastAsia="zh-CN" w:bidi="ar-SA"/>
        </w:rPr>
        <w:t>城市绿色、循环、低碳发展，是深入贯彻落实习近平生态文明思想的具体行动，是推动减污降碳协同增效的重要举措，是实现美丽中国建设目标的内在要求</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无废城市</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是以创新、协调、绿色、开放、共享的新发展理念为引领，通过推动形成绿色发展方式和生活方式，持续推进固体废物源头减量和资源化利用，最大限度减少填埋量，将固体废物环境影响降至最低的城市发展模式。城建设计集团以</w:t>
      </w:r>
      <w:r>
        <w:rPr>
          <w:rFonts w:hint="eastAsia" w:ascii="Times New Roman" w:hAnsi="Times New Roman" w:eastAsia="方正仿宋_GBK" w:cs="Times New Roman"/>
          <w:color w:val="auto"/>
          <w:kern w:val="2"/>
          <w:sz w:val="30"/>
          <w:szCs w:val="30"/>
          <w:highlight w:val="none"/>
          <w:lang w:val="en-US" w:eastAsia="zh-CN" w:bidi="ar-SA"/>
        </w:rPr>
        <w:t>“无废城市”建设为契机，推动城市全面绿色低碳转型，以高水平建设运行模式推动城市高质量发展、创造高品质生活。</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同心县人民政府及同心县住房和城乡建设局将污泥处置与餐厨垃圾处理项目</w:t>
      </w:r>
      <w:r>
        <w:rPr>
          <w:rFonts w:hint="eastAsia" w:ascii="Times New Roman" w:hAnsi="Times New Roman" w:eastAsia="方正仿宋_GBK" w:cs="Times New Roman"/>
          <w:color w:val="auto"/>
          <w:kern w:val="2"/>
          <w:sz w:val="30"/>
          <w:szCs w:val="30"/>
          <w:highlight w:val="none"/>
          <w:lang w:val="en-US" w:eastAsia="zh-CN" w:bidi="ar-SA"/>
        </w:rPr>
        <w:t>列入</w:t>
      </w:r>
      <w:r>
        <w:rPr>
          <w:rFonts w:hint="default" w:ascii="Times New Roman" w:hAnsi="Times New Roman" w:eastAsia="方正仿宋_GBK" w:cs="Times New Roman"/>
          <w:color w:val="auto"/>
          <w:kern w:val="2"/>
          <w:sz w:val="30"/>
          <w:szCs w:val="30"/>
          <w:highlight w:val="none"/>
          <w:lang w:val="en-US" w:eastAsia="zh-CN" w:bidi="ar-SA"/>
        </w:rPr>
        <w:t>重点工作之一，采取政府牵头、环卫系统管理企业运作，社区参与的运行模式，建立起完整的餐厨垃圾管理与处理处置</w:t>
      </w:r>
      <w:r>
        <w:rPr>
          <w:rFonts w:hint="eastAsia" w:ascii="Times New Roman" w:hAnsi="Times New Roman" w:eastAsia="方正仿宋_GBK" w:cs="Times New Roman"/>
          <w:color w:val="auto"/>
          <w:kern w:val="2"/>
          <w:sz w:val="30"/>
          <w:szCs w:val="30"/>
          <w:highlight w:val="none"/>
          <w:lang w:val="en-US" w:eastAsia="zh-CN" w:bidi="ar-SA"/>
        </w:rPr>
        <w:t>体系</w:t>
      </w:r>
      <w:r>
        <w:rPr>
          <w:rFonts w:hint="default" w:ascii="Times New Roman" w:hAnsi="Times New Roman" w:eastAsia="方正仿宋_GBK" w:cs="Times New Roman"/>
          <w:color w:val="auto"/>
          <w:kern w:val="2"/>
          <w:sz w:val="30"/>
          <w:szCs w:val="30"/>
          <w:highlight w:val="none"/>
          <w:lang w:val="en-US" w:eastAsia="zh-CN" w:bidi="ar-SA"/>
        </w:rPr>
        <w:t>，虽然管理体系已经建成，责任到人，但处理方式落后不能达到减量化、资源化利用，故建设餐污泥协同厨垃圾处理项目是必要的，也是社会发展的需要。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本项目以循环经济理念，系统化规划和建设的原则。根据城市环境卫生规划和可持续发展要求，本着处理设施集约化建设、节能减排和循环经济的原则，针对</w:t>
      </w:r>
      <w:r>
        <w:rPr>
          <w:rFonts w:hint="eastAsia" w:ascii="Times New Roman" w:hAnsi="Times New Roman" w:eastAsia="方正仿宋_GBK" w:cs="Times New Roman"/>
          <w:color w:val="auto"/>
          <w:kern w:val="2"/>
          <w:sz w:val="30"/>
          <w:szCs w:val="30"/>
          <w:highlight w:val="none"/>
          <w:lang w:val="en-US" w:eastAsia="zh-CN" w:bidi="ar-SA"/>
        </w:rPr>
        <w:t>污水处理厂</w:t>
      </w:r>
      <w:r>
        <w:rPr>
          <w:rFonts w:hint="default" w:ascii="Times New Roman" w:hAnsi="Times New Roman" w:eastAsia="方正仿宋_GBK" w:cs="Times New Roman"/>
          <w:color w:val="auto"/>
          <w:kern w:val="2"/>
          <w:sz w:val="30"/>
          <w:szCs w:val="30"/>
          <w:highlight w:val="none"/>
          <w:lang w:val="en-US" w:eastAsia="zh-CN" w:bidi="ar-SA"/>
        </w:rPr>
        <w:t>污泥、餐厨垃圾特性，通过对城市污水厂污泥、餐厨垃圾、农村秸秆垃圾协同处理和资源化利用技术，使得污水处理厂污泥、城市餐厨垃圾得到分类处置，进一步实现垃圾的减量化、无害化、稳定化，并作为园林、绿化、土地改良剂资源化利用。</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35" w:name="_Toc11631"/>
      <w:r>
        <w:rPr>
          <w:rFonts w:hint="eastAsia" w:ascii="方正楷体_GBK" w:hAnsi="方正楷体_GBK" w:eastAsia="方正楷体_GBK" w:cs="方正楷体_GBK"/>
          <w:sz w:val="30"/>
          <w:szCs w:val="30"/>
          <w:lang w:val="en-US" w:eastAsia="zh-CN"/>
        </w:rPr>
        <w:t>（二）项目实施主要内容</w:t>
      </w:r>
      <w:bookmarkEnd w:id="32"/>
      <w:bookmarkEnd w:id="33"/>
      <w:bookmarkEnd w:id="35"/>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6" w:name="_Toc1917"/>
      <w:bookmarkStart w:id="37" w:name="_Toc8550"/>
      <w:r>
        <w:rPr>
          <w:rFonts w:hint="default" w:ascii="Times New Roman" w:hAnsi="Times New Roman" w:eastAsia="方正仿宋_GBK" w:cs="Times New Roman"/>
          <w:color w:val="auto"/>
          <w:kern w:val="2"/>
          <w:sz w:val="30"/>
          <w:szCs w:val="30"/>
          <w:highlight w:val="none"/>
          <w:lang w:val="en-US" w:eastAsia="zh-CN" w:bidi="ar-SA"/>
        </w:rPr>
        <w:t>处理规模</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近期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餐厨垃圾 20t/d +20 吨污泥</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80%</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远期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餐厨垃圾 40t/d+30吨污泥 (80%)</w:t>
      </w:r>
      <w:r>
        <w:rPr>
          <w:rFonts w:hint="eastAsia"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sectPr>
          <w:headerReference r:id="rId7" w:type="default"/>
          <w:footerReference r:id="rId8" w:type="default"/>
          <w:pgSz w:w="11906" w:h="16838"/>
          <w:pgMar w:top="2098" w:right="1587" w:bottom="2098" w:left="1587" w:header="1644" w:footer="935" w:gutter="0"/>
          <w:pgNumType w:fmt="decimal" w:start="1"/>
          <w:cols w:space="0" w:num="1"/>
          <w:rtlGutter w:val="0"/>
          <w:docGrid w:type="linesAndChars" w:linePitch="589" w:charSpace="-842"/>
        </w:sectPr>
      </w:pPr>
      <w:r>
        <w:rPr>
          <w:rFonts w:hint="default" w:ascii="Times New Roman" w:hAnsi="Times New Roman" w:eastAsia="方正仿宋_GBK" w:cs="Times New Roman"/>
          <w:color w:val="auto"/>
          <w:kern w:val="2"/>
          <w:sz w:val="30"/>
          <w:szCs w:val="30"/>
          <w:highlight w:val="none"/>
          <w:lang w:val="en-US" w:eastAsia="zh-CN" w:bidi="ar-SA"/>
        </w:rPr>
        <w:t>建设内容</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餐厨垃圾预处理系统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主要包括储料、定量输送单元，预破碎单元，自动破碎、分选单元，均质预热单元</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脱水单元和油水分离单元等</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快速好氧发酵制肥系统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主要包括餐厨、辅料混合单元，好氧发酵罐单元，供气、排水单元终端肥料粉碎和分筛单元</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污泥脱水处理系统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主要包括储料、定量输送单元，压榨脱水单元和粉碎单元</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油水分离系统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污水处理系统</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除臭系统</w:t>
      </w:r>
      <w:r>
        <w:rPr>
          <w:rFonts w:hint="eastAsia" w:ascii="Times New Roman" w:hAnsi="Times New Roman" w:eastAsia="方正仿宋_GBK" w:cs="Times New Roman"/>
          <w:color w:val="auto"/>
          <w:kern w:val="2"/>
          <w:sz w:val="30"/>
          <w:szCs w:val="30"/>
          <w:highlight w:val="none"/>
          <w:lang w:val="en-US" w:eastAsia="zh-CN" w:bidi="ar-SA"/>
        </w:rPr>
        <w:t>。</w:t>
      </w:r>
      <w:bookmarkStart w:id="38" w:name="_Toc22184"/>
      <w:bookmarkStart w:id="39" w:name="_Toc17160"/>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b/>
          <w:bCs/>
          <w:color w:val="auto"/>
          <w:kern w:val="2"/>
          <w:sz w:val="32"/>
          <w:szCs w:val="32"/>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同心县餐厨垃圾协同污泥处理工程项目主要建设内容</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计划完成情况</w:t>
      </w:r>
    </w:p>
    <w:p>
      <w:pPr>
        <w:keepNext/>
        <w:keepLines w:val="0"/>
        <w:pageBreakBefore w:val="0"/>
        <w:widowControl/>
        <w:kinsoku/>
        <w:wordWrap/>
        <w:overflowPunct/>
        <w:topLinePunct w:val="0"/>
        <w:autoSpaceDE/>
        <w:autoSpaceDN/>
        <w:bidi w:val="0"/>
        <w:adjustRightInd/>
        <w:snapToGrid/>
        <w:spacing w:after="0" w:line="240" w:lineRule="auto"/>
        <w:jc w:val="righ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等线" w:hAnsi="等线" w:eastAsia="等线" w:cs="等线"/>
          <w:b/>
          <w:bCs/>
          <w:kern w:val="0"/>
          <w:sz w:val="22"/>
          <w:lang w:val="en-US" w:eastAsia="zh-CN"/>
        </w:rPr>
        <w:t xml:space="preserve">                                                                         </w:t>
      </w:r>
      <w:r>
        <w:rPr>
          <w:rFonts w:hint="eastAsia" w:ascii="Times New Roman" w:hAnsi="Times New Roman" w:eastAsia="方正仿宋_GBK" w:cs="Times New Roman"/>
          <w:color w:val="auto"/>
          <w:kern w:val="2"/>
          <w:sz w:val="30"/>
          <w:szCs w:val="30"/>
          <w:highlight w:val="none"/>
          <w:lang w:val="en-US" w:eastAsia="zh-CN" w:bidi="ar-SA"/>
        </w:rPr>
        <w:t xml:space="preserve">单位：万元 </w:t>
      </w:r>
    </w:p>
    <w:tbl>
      <w:tblPr>
        <w:tblStyle w:val="21"/>
        <w:tblW w:w="505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2"/>
        <w:gridCol w:w="1083"/>
        <w:gridCol w:w="4700"/>
        <w:gridCol w:w="1301"/>
        <w:gridCol w:w="1537"/>
        <w:gridCol w:w="1500"/>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项目名称</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概算资金</w:t>
            </w:r>
          </w:p>
        </w:tc>
        <w:tc>
          <w:tcPr>
            <w:tcW w:w="18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建设内容、规模</w:t>
            </w: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计划工期</w:t>
            </w:r>
          </w:p>
        </w:tc>
        <w:tc>
          <w:tcPr>
            <w:tcW w:w="5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实际完成时间</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是否验收</w:t>
            </w:r>
          </w:p>
        </w:tc>
        <w:tc>
          <w:tcPr>
            <w:tcW w:w="6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结算、财务决算情况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18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6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4" w:hRule="atLeast"/>
          <w:jc w:val="center"/>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eastAsia" w:ascii="等线" w:hAnsi="等线" w:eastAsia="等线" w:cs="等线"/>
                <w:color w:val="000000"/>
                <w:kern w:val="0"/>
                <w:sz w:val="24"/>
                <w:szCs w:val="24"/>
                <w:lang w:val="en-US" w:eastAsia="zh-CN"/>
              </w:rPr>
            </w:pPr>
            <w:r>
              <w:rPr>
                <w:rFonts w:hint="eastAsia" w:ascii="Times New Roman" w:hAnsi="Times New Roman" w:eastAsia="方正仿宋_GBK" w:cs="Times New Roman"/>
                <w:color w:val="auto"/>
                <w:kern w:val="2"/>
                <w:sz w:val="24"/>
                <w:szCs w:val="24"/>
                <w:highlight w:val="none"/>
                <w:lang w:val="en-US" w:eastAsia="zh-CN" w:bidi="ar-SA"/>
              </w:rPr>
              <w:t>同心县餐厨垃圾协同污泥处理工程项目</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default" w:ascii="等线" w:hAnsi="等线" w:eastAsia="等线" w:cs="等线"/>
                <w:color w:val="000000"/>
                <w:kern w:val="0"/>
                <w:sz w:val="24"/>
                <w:szCs w:val="24"/>
                <w:lang w:val="en-US" w:eastAsia="zh-CN"/>
              </w:rPr>
            </w:pPr>
            <w:r>
              <w:rPr>
                <w:rFonts w:hint="eastAsia" w:ascii="等线" w:hAnsi="等线" w:eastAsia="等线" w:cs="等线"/>
                <w:color w:val="000000"/>
                <w:kern w:val="0"/>
                <w:sz w:val="24"/>
                <w:szCs w:val="24"/>
                <w:lang w:val="en-US" w:eastAsia="zh-CN"/>
              </w:rPr>
              <w:t>4429.64</w:t>
            </w:r>
          </w:p>
        </w:tc>
        <w:tc>
          <w:tcPr>
            <w:tcW w:w="1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等线" w:hAnsi="等线" w:eastAsia="等线" w:cs="等线"/>
                <w:color w:val="000000"/>
                <w:kern w:val="0"/>
                <w:sz w:val="24"/>
                <w:szCs w:val="24"/>
                <w:lang w:val="en-US" w:eastAsia="zh-CN"/>
              </w:rPr>
            </w:pPr>
            <w:r>
              <w:rPr>
                <w:rFonts w:hint="eastAsia" w:ascii="Times New Roman" w:hAnsi="Times New Roman" w:eastAsia="方正仿宋_GBK" w:cs="Times New Roman"/>
                <w:color w:val="auto"/>
                <w:kern w:val="2"/>
                <w:sz w:val="24"/>
                <w:szCs w:val="24"/>
                <w:highlight w:val="none"/>
                <w:lang w:val="en-US" w:eastAsia="zh-CN" w:bidi="ar-SA"/>
              </w:rPr>
              <w:t>主要包括餐厨垃圾预处理系统、快速好氧发酵制肥系统、污泥脱水处理系统、油水分离系统、污水处理系统、除臭系统。</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202</w:t>
            </w:r>
            <w:r>
              <w:rPr>
                <w:rFonts w:hint="eastAsia" w:ascii="Times New Roman" w:hAnsi="Times New Roman" w:eastAsia="方正仿宋_GBK" w:cs="Times New Roman"/>
                <w:color w:val="auto"/>
                <w:kern w:val="2"/>
                <w:sz w:val="24"/>
                <w:szCs w:val="24"/>
                <w:highlight w:val="none"/>
                <w:lang w:val="en-US" w:eastAsia="zh-CN" w:bidi="ar-SA"/>
              </w:rPr>
              <w:t>0</w:t>
            </w:r>
            <w:r>
              <w:rPr>
                <w:rFonts w:hint="default" w:ascii="Times New Roman" w:hAnsi="Times New Roman" w:eastAsia="方正仿宋_GBK" w:cs="Times New Roman"/>
                <w:color w:val="auto"/>
                <w:kern w:val="2"/>
                <w:sz w:val="24"/>
                <w:szCs w:val="24"/>
                <w:highlight w:val="none"/>
                <w:lang w:val="en-US" w:eastAsia="zh-CN" w:bidi="ar-SA"/>
              </w:rPr>
              <w:t>年</w:t>
            </w:r>
            <w:r>
              <w:rPr>
                <w:rFonts w:hint="eastAsia" w:ascii="Times New Roman" w:hAnsi="Times New Roman" w:eastAsia="方正仿宋_GBK" w:cs="Times New Roman"/>
                <w:color w:val="auto"/>
                <w:kern w:val="2"/>
                <w:sz w:val="24"/>
                <w:szCs w:val="24"/>
                <w:highlight w:val="none"/>
                <w:lang w:val="en-US" w:eastAsia="zh-CN" w:bidi="ar-SA"/>
              </w:rPr>
              <w:t>10</w:t>
            </w:r>
            <w:r>
              <w:rPr>
                <w:rFonts w:hint="default" w:ascii="Times New Roman" w:hAnsi="Times New Roman" w:eastAsia="方正仿宋_GBK" w:cs="Times New Roman"/>
                <w:color w:val="auto"/>
                <w:kern w:val="2"/>
                <w:sz w:val="24"/>
                <w:szCs w:val="24"/>
                <w:highlight w:val="none"/>
                <w:lang w:val="en-US" w:eastAsia="zh-CN" w:bidi="ar-SA"/>
              </w:rPr>
              <w:t>月</w:t>
            </w:r>
            <w:r>
              <w:rPr>
                <w:rFonts w:hint="eastAsia" w:ascii="Times New Roman" w:hAnsi="Times New Roman" w:eastAsia="方正仿宋_GBK" w:cs="Times New Roman"/>
                <w:color w:val="auto"/>
                <w:kern w:val="2"/>
                <w:sz w:val="24"/>
                <w:szCs w:val="24"/>
                <w:highlight w:val="none"/>
                <w:lang w:val="en-US" w:eastAsia="zh-CN" w:bidi="ar-SA"/>
              </w:rPr>
              <w:t>22</w:t>
            </w:r>
            <w:r>
              <w:rPr>
                <w:rFonts w:hint="default" w:ascii="Times New Roman" w:hAnsi="Times New Roman" w:eastAsia="方正仿宋_GBK" w:cs="Times New Roman"/>
                <w:color w:val="auto"/>
                <w:kern w:val="2"/>
                <w:sz w:val="24"/>
                <w:szCs w:val="24"/>
                <w:highlight w:val="none"/>
                <w:lang w:val="en-US" w:eastAsia="zh-CN" w:bidi="ar-SA"/>
              </w:rPr>
              <w:t>日</w:t>
            </w:r>
            <w:r>
              <w:rPr>
                <w:rFonts w:hint="eastAsia" w:ascii="Times New Roman" w:hAnsi="Times New Roman" w:eastAsia="方正仿宋_GBK" w:cs="Times New Roman"/>
                <w:color w:val="auto"/>
                <w:kern w:val="2"/>
                <w:sz w:val="24"/>
                <w:szCs w:val="24"/>
                <w:highlight w:val="none"/>
                <w:lang w:val="en-US" w:eastAsia="zh-CN" w:bidi="ar-SA"/>
              </w:rPr>
              <w:t>—</w:t>
            </w:r>
            <w:r>
              <w:rPr>
                <w:rFonts w:hint="default" w:ascii="Times New Roman" w:hAnsi="Times New Roman" w:eastAsia="方正仿宋_GBK" w:cs="Times New Roman"/>
                <w:color w:val="auto"/>
                <w:kern w:val="2"/>
                <w:sz w:val="24"/>
                <w:szCs w:val="24"/>
                <w:highlight w:val="none"/>
                <w:lang w:val="en-US" w:eastAsia="zh-CN" w:bidi="ar-SA"/>
              </w:rPr>
              <w:t>202</w:t>
            </w:r>
            <w:r>
              <w:rPr>
                <w:rFonts w:hint="eastAsia" w:ascii="Times New Roman" w:hAnsi="Times New Roman" w:eastAsia="方正仿宋_GBK" w:cs="Times New Roman"/>
                <w:color w:val="auto"/>
                <w:kern w:val="2"/>
                <w:sz w:val="24"/>
                <w:szCs w:val="24"/>
                <w:highlight w:val="none"/>
                <w:lang w:val="en-US" w:eastAsia="zh-CN" w:bidi="ar-SA"/>
              </w:rPr>
              <w:t>1</w:t>
            </w:r>
            <w:r>
              <w:rPr>
                <w:rFonts w:hint="default" w:ascii="Times New Roman" w:hAnsi="Times New Roman" w:eastAsia="方正仿宋_GBK" w:cs="Times New Roman"/>
                <w:color w:val="auto"/>
                <w:kern w:val="2"/>
                <w:sz w:val="24"/>
                <w:szCs w:val="24"/>
                <w:highlight w:val="none"/>
                <w:lang w:val="en-US" w:eastAsia="zh-CN" w:bidi="ar-SA"/>
              </w:rPr>
              <w:t>年</w:t>
            </w:r>
            <w:r>
              <w:rPr>
                <w:rFonts w:hint="eastAsia" w:ascii="Times New Roman" w:hAnsi="Times New Roman" w:eastAsia="方正仿宋_GBK" w:cs="Times New Roman"/>
                <w:color w:val="auto"/>
                <w:kern w:val="2"/>
                <w:sz w:val="24"/>
                <w:szCs w:val="24"/>
                <w:highlight w:val="none"/>
                <w:lang w:val="en-US" w:eastAsia="zh-CN" w:bidi="ar-SA"/>
              </w:rPr>
              <w:t>11</w:t>
            </w:r>
            <w:r>
              <w:rPr>
                <w:rFonts w:hint="default" w:ascii="Times New Roman" w:hAnsi="Times New Roman" w:eastAsia="方正仿宋_GBK" w:cs="Times New Roman"/>
                <w:color w:val="auto"/>
                <w:kern w:val="2"/>
                <w:sz w:val="24"/>
                <w:szCs w:val="24"/>
                <w:highlight w:val="none"/>
                <w:lang w:val="en-US" w:eastAsia="zh-CN" w:bidi="ar-SA"/>
              </w:rPr>
              <w:t>月</w:t>
            </w:r>
            <w:r>
              <w:rPr>
                <w:rFonts w:hint="eastAsia" w:ascii="Times New Roman" w:hAnsi="Times New Roman" w:eastAsia="方正仿宋_GBK" w:cs="Times New Roman"/>
                <w:color w:val="auto"/>
                <w:kern w:val="2"/>
                <w:sz w:val="24"/>
                <w:szCs w:val="24"/>
                <w:highlight w:val="none"/>
                <w:lang w:val="en-US" w:eastAsia="zh-CN" w:bidi="ar-SA"/>
              </w:rPr>
              <w:t>26</w:t>
            </w:r>
            <w:r>
              <w:rPr>
                <w:rFonts w:hint="default" w:ascii="Times New Roman" w:hAnsi="Times New Roman" w:eastAsia="方正仿宋_GBK" w:cs="Times New Roman"/>
                <w:color w:val="auto"/>
                <w:kern w:val="2"/>
                <w:sz w:val="24"/>
                <w:szCs w:val="24"/>
                <w:highlight w:val="none"/>
                <w:lang w:val="en-US" w:eastAsia="zh-CN" w:bidi="ar-SA"/>
              </w:rPr>
              <w:t>日</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2021年4月1日—2023年1月31日</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已完成验收</w:t>
            </w:r>
          </w:p>
        </w:tc>
        <w:tc>
          <w:tcPr>
            <w:tcW w:w="6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未结算</w:t>
            </w:r>
          </w:p>
        </w:tc>
      </w:tr>
      <w:bookmarkEnd w:id="38"/>
      <w:bookmarkEnd w:id="39"/>
    </w:tbl>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0" w:name="_Toc31374"/>
      <w:bookmarkStart w:id="41" w:name="_Toc3047"/>
    </w:p>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sectPr>
          <w:pgSz w:w="16838" w:h="11906" w:orient="landscape"/>
          <w:pgMar w:top="1587" w:right="2098" w:bottom="1587" w:left="2098" w:header="1191" w:footer="935" w:gutter="0"/>
          <w:pgNumType w:fmt="decimal"/>
          <w:cols w:space="0" w:num="1"/>
          <w:rtlGutter w:val="0"/>
          <w:docGrid w:type="linesAndChars" w:linePitch="589" w:charSpace="-842"/>
        </w:sectPr>
      </w:pPr>
    </w:p>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2" w:name="_Toc17211"/>
      <w:r>
        <w:rPr>
          <w:rFonts w:hint="eastAsia" w:asciiTheme="majorEastAsia" w:hAnsiTheme="majorEastAsia" w:eastAsiaTheme="majorEastAsia" w:cstheme="majorEastAsia"/>
          <w:b/>
          <w:bCs/>
          <w:sz w:val="30"/>
          <w:szCs w:val="30"/>
          <w:lang w:val="en-US" w:eastAsia="zh-CN"/>
        </w:rPr>
        <w:t>二、项目资金预算安排和使用情况</w:t>
      </w:r>
      <w:bookmarkEnd w:id="42"/>
    </w:p>
    <w:bookmarkEnd w:id="40"/>
    <w:bookmarkEnd w:id="41"/>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bookmarkStart w:id="43" w:name="_Toc21684"/>
      <w:bookmarkStart w:id="44" w:name="_Toc13949"/>
      <w:r>
        <w:rPr>
          <w:rFonts w:hint="eastAsia" w:ascii="Times New Roman" w:hAnsi="Times New Roman" w:eastAsia="方正仿宋_GB2312" w:cs="Times New Roman"/>
          <w:kern w:val="2"/>
          <w:sz w:val="30"/>
          <w:szCs w:val="30"/>
          <w:lang w:val="en-US" w:eastAsia="zh-CN" w:bidi="ar-SA"/>
        </w:rPr>
        <w:t>项目概算总投资4429.64 万元，其中：工程费用3956.03万元，其他费用 325.17 万元，预备费 148.44 万元。</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w:t>
      </w:r>
      <w:r>
        <w:rPr>
          <w:rFonts w:hint="eastAsia" w:ascii="Times New Roman" w:hAnsi="Times New Roman" w:eastAsia="方正仿宋_GBK" w:cs="Times New Roman"/>
          <w:color w:val="auto"/>
          <w:kern w:val="2"/>
          <w:sz w:val="30"/>
          <w:szCs w:val="30"/>
          <w:highlight w:val="none"/>
          <w:lang w:val="en-US" w:eastAsia="zh-CN" w:bidi="ar-SA"/>
        </w:rPr>
        <w:t>要求，一般债券资金落实到具体项目，切实加强债券资金管理，提高债券资金使用效益</w:t>
      </w:r>
      <w:r>
        <w:rPr>
          <w:rFonts w:hint="eastAsia" w:ascii="Times New Roman" w:hAnsi="Times New Roman" w:eastAsia="方正仿宋_GBK" w:cs="Times New Roman"/>
          <w:sz w:val="30"/>
          <w:szCs w:val="30"/>
          <w:lang w:val="en-US" w:eastAsia="zh-CN"/>
        </w:rPr>
        <w:t>，下达</w:t>
      </w:r>
      <w:r>
        <w:rPr>
          <w:rFonts w:hint="eastAsia" w:ascii="Times New Roman" w:hAnsi="Times New Roman" w:eastAsia="方正仿宋_GB2312" w:cs="Times New Roman"/>
          <w:kern w:val="2"/>
          <w:sz w:val="30"/>
          <w:szCs w:val="30"/>
          <w:lang w:val="en-US" w:eastAsia="zh-CN" w:bidi="ar-SA"/>
        </w:rPr>
        <w:t>资金为800.00万元。</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截至目前，实际支出800.00万元，预算执行率100.00%。</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项目实施内容符合国家、自治区及专项资金支持范围，项目管理规范，项目资金拨付及时，资金预算执行率为 100%，产出效果较明显。</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项目实施单位资金支出较规范，未发现截留、挤占、挪用、虚列支出等情况，管理制度基本健全且得到有效执行，对项目实施起到了积极的推动作用。但还存在项目进度缓慢、设备未投入使用等问题。</w:t>
      </w:r>
    </w:p>
    <w:bookmarkEnd w:id="36"/>
    <w:bookmarkEnd w:id="37"/>
    <w:bookmarkEnd w:id="43"/>
    <w:bookmarkEnd w:id="44"/>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5" w:name="_Toc7963"/>
      <w:bookmarkStart w:id="46" w:name="_Toc19300"/>
      <w:bookmarkStart w:id="47" w:name="_Toc29255"/>
      <w:bookmarkStart w:id="48" w:name="_Toc9451"/>
      <w:bookmarkStart w:id="49" w:name="_Toc24442"/>
      <w:bookmarkStart w:id="50" w:name="_Toc31361"/>
      <w:bookmarkStart w:id="51" w:name="_Toc31216"/>
      <w:bookmarkStart w:id="52" w:name="_Toc20409"/>
      <w:bookmarkStart w:id="53" w:name="_Toc2175"/>
      <w:bookmarkStart w:id="54" w:name="_Toc26094"/>
      <w:bookmarkStart w:id="55" w:name="_Toc28083"/>
      <w:bookmarkStart w:id="56" w:name="_Toc26903"/>
      <w:bookmarkStart w:id="57" w:name="_Toc14208"/>
      <w:bookmarkStart w:id="58" w:name="_Toc19237"/>
      <w:bookmarkStart w:id="59" w:name="_Toc29008"/>
      <w:bookmarkStart w:id="60" w:name="_Toc19319"/>
      <w:bookmarkStart w:id="61" w:name="_Toc17609"/>
      <w:bookmarkStart w:id="62" w:name="_Toc26741"/>
      <w:bookmarkStart w:id="63" w:name="_Toc1375"/>
      <w:bookmarkStart w:id="64" w:name="_Toc24129"/>
      <w:r>
        <w:rPr>
          <w:rFonts w:hint="eastAsia" w:asciiTheme="majorEastAsia" w:hAnsiTheme="majorEastAsia" w:eastAsiaTheme="majorEastAsia" w:cstheme="majorEastAsia"/>
          <w:b/>
          <w:bCs/>
          <w:sz w:val="30"/>
          <w:szCs w:val="30"/>
          <w:lang w:val="en-US" w:eastAsia="zh-CN"/>
        </w:rPr>
        <w:t>三、项目绩效</w:t>
      </w:r>
      <w:bookmarkEnd w:id="45"/>
      <w:bookmarkEnd w:id="46"/>
      <w:bookmarkEnd w:id="47"/>
      <w:bookmarkEnd w:id="48"/>
      <w:bookmarkEnd w:id="49"/>
      <w:bookmarkEnd w:id="50"/>
      <w:bookmarkEnd w:id="51"/>
      <w:bookmarkEnd w:id="52"/>
      <w:bookmarkEnd w:id="53"/>
      <w:bookmarkEnd w:id="54"/>
      <w:r>
        <w:rPr>
          <w:rFonts w:hint="eastAsia" w:asciiTheme="majorEastAsia" w:hAnsiTheme="majorEastAsia" w:eastAsiaTheme="majorEastAsia" w:cstheme="majorEastAsia"/>
          <w:b/>
          <w:bCs/>
          <w:sz w:val="30"/>
          <w:szCs w:val="30"/>
          <w:lang w:val="en-US" w:eastAsia="zh-CN"/>
        </w:rPr>
        <w:t>目标</w:t>
      </w:r>
      <w:bookmarkEnd w:id="55"/>
    </w:p>
    <w:p>
      <w:pPr>
        <w:pStyle w:val="3"/>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65" w:name="_Toc26916"/>
      <w:bookmarkStart w:id="66" w:name="_Toc23578"/>
      <w:bookmarkStart w:id="67" w:name="_Toc8204"/>
      <w:r>
        <w:rPr>
          <w:rFonts w:hint="eastAsia" w:ascii="方正楷体_GBK" w:hAnsi="方正楷体_GBK" w:eastAsia="方正楷体_GBK" w:cs="方正楷体_GBK"/>
          <w:sz w:val="30"/>
          <w:szCs w:val="30"/>
          <w:lang w:val="en-US" w:eastAsia="zh-CN"/>
        </w:rPr>
        <w:t>（一）绩效目标</w:t>
      </w:r>
      <w:bookmarkEnd w:id="65"/>
    </w:p>
    <w:bookmarkEnd w:id="66"/>
    <w:bookmarkEnd w:id="67"/>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项目建成后，针对</w:t>
      </w:r>
      <w:r>
        <w:rPr>
          <w:rFonts w:hint="eastAsia" w:ascii="Times New Roman" w:hAnsi="Times New Roman" w:eastAsia="方正仿宋_GBK" w:cs="Times New Roman"/>
          <w:color w:val="auto"/>
          <w:kern w:val="2"/>
          <w:sz w:val="30"/>
          <w:szCs w:val="30"/>
          <w:highlight w:val="none"/>
          <w:lang w:val="en-US" w:eastAsia="zh-CN" w:bidi="ar-SA"/>
        </w:rPr>
        <w:t>污水处理厂</w:t>
      </w:r>
      <w:r>
        <w:rPr>
          <w:rFonts w:hint="default" w:ascii="Times New Roman" w:hAnsi="Times New Roman" w:eastAsia="方正仿宋_GBK" w:cs="Times New Roman"/>
          <w:color w:val="auto"/>
          <w:kern w:val="2"/>
          <w:sz w:val="30"/>
          <w:szCs w:val="30"/>
          <w:highlight w:val="none"/>
          <w:lang w:val="en-US" w:eastAsia="zh-CN" w:bidi="ar-SA"/>
        </w:rPr>
        <w:t>污泥、餐厨垃圾特性</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通过对城市污水厂污泥、餐厨垃圾、农村秸秆垃圾协同处理和资源化利用技术</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使得污水处理厂污泥、城市餐厨垃圾得到分类处置</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进一步实现垃圾的减量化、无害化、稳定化</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并作为园林、绿化、土地改良剂资源化利用。</w:t>
      </w:r>
    </w:p>
    <w:p>
      <w:pPr>
        <w:pStyle w:val="3"/>
        <w:numPr>
          <w:ilvl w:val="0"/>
          <w:numId w:val="2"/>
        </w:numPr>
        <w:bidi w:val="0"/>
        <w:rPr>
          <w:rFonts w:hint="eastAsia"/>
          <w:lang w:val="en-US" w:eastAsia="zh-CN"/>
        </w:rPr>
      </w:pPr>
      <w:bookmarkStart w:id="68" w:name="_Toc29105"/>
      <w:bookmarkStart w:id="69" w:name="_Toc6859"/>
      <w:bookmarkStart w:id="70" w:name="_Toc2805"/>
      <w:r>
        <w:rPr>
          <w:rFonts w:hint="eastAsia"/>
          <w:lang w:val="en-US" w:eastAsia="zh-CN"/>
        </w:rPr>
        <w:t>项目绩效</w:t>
      </w:r>
      <w:bookmarkEnd w:id="68"/>
      <w:bookmarkEnd w:id="69"/>
      <w:bookmarkStart w:id="71" w:name="_Toc14067"/>
      <w:bookmarkStart w:id="72" w:name="_Toc13598"/>
      <w:bookmarkStart w:id="73" w:name="_Toc11708"/>
      <w:r>
        <w:rPr>
          <w:rFonts w:hint="eastAsia"/>
          <w:lang w:val="en-US" w:eastAsia="zh-CN"/>
        </w:rPr>
        <w:t>目标</w:t>
      </w:r>
      <w:bookmarkEnd w:id="70"/>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通过前期实地调研，评价组与被评价单位进行充分、有效地沟通，依据项目的功能特性，明确项目在一定时期内的总体产出和效果，以定性和定量的方式确定所要实现的目标，明确了总体绩效目标。具体情况如下表：</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lang w:val="en-US" w:eastAsia="zh-CN"/>
        </w:rPr>
      </w:pPr>
      <w:r>
        <w:rPr>
          <w:rFonts w:hint="eastAsia" w:ascii="Times New Roman" w:hAnsi="Times New Roman" w:eastAsia="方正仿宋_GBK" w:cs="Times New Roman"/>
          <w:b w:val="0"/>
          <w:bCs w:val="0"/>
          <w:color w:val="auto"/>
          <w:kern w:val="2"/>
          <w:sz w:val="30"/>
          <w:szCs w:val="30"/>
          <w:highlight w:val="none"/>
          <w:lang w:val="en-US" w:eastAsia="zh-CN" w:bidi="ar-SA"/>
        </w:rPr>
        <w:t>项目绩效目标完成表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同心县餐厨垃圾协同污泥处理工程项目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val="en-US" w:eastAsia="zh-CN"/>
              </w:rPr>
              <w:t>同心县环境卫生服务中心</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800.00万元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实施的新建项目全部按期开工建设并保质保量完成；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截至目前已全部完成年初既定的建设任务。一个布局合理、功能齐全、环境优美、高档次品位的一流现代化的学校。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新建污泥处理工程完成率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财务决算审核完成及时率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逐步改善城市卫生环境</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基本完备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≥93%</w:t>
            </w:r>
          </w:p>
        </w:tc>
      </w:tr>
      <w:bookmarkEnd w:id="71"/>
      <w:bookmarkEnd w:id="72"/>
      <w:bookmarkEnd w:id="73"/>
    </w:tbl>
    <w:p>
      <w:pPr>
        <w:pStyle w:val="2"/>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4" w:name="_Toc6918"/>
      <w:bookmarkStart w:id="75" w:name="_Toc12031"/>
      <w:bookmarkStart w:id="76" w:name="_Toc2876"/>
      <w:r>
        <w:rPr>
          <w:rFonts w:hint="eastAsia" w:asciiTheme="majorEastAsia" w:hAnsiTheme="majorEastAsia" w:eastAsiaTheme="majorEastAsia" w:cstheme="majorEastAsia"/>
          <w:b/>
          <w:bCs/>
          <w:sz w:val="30"/>
          <w:szCs w:val="30"/>
          <w:lang w:val="en-US" w:eastAsia="zh-CN"/>
        </w:rPr>
        <w:t>四、绩效评价工作开展情况</w:t>
      </w:r>
      <w:bookmarkEnd w:id="74"/>
      <w:bookmarkEnd w:id="75"/>
      <w:bookmarkEnd w:id="76"/>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77" w:name="_Toc13428"/>
      <w:bookmarkStart w:id="78" w:name="_Toc23289"/>
      <w:bookmarkStart w:id="79" w:name="_Toc30230"/>
      <w:r>
        <w:rPr>
          <w:rFonts w:hint="eastAsia" w:ascii="方正楷体_GBK" w:hAnsi="方正楷体_GBK" w:eastAsia="方正楷体_GBK" w:cs="方正楷体_GBK"/>
          <w:b/>
          <w:bCs/>
          <w:sz w:val="30"/>
          <w:szCs w:val="30"/>
          <w:lang w:val="en-US" w:eastAsia="zh-CN"/>
        </w:rPr>
        <w:t>（一）绩效评价目的</w:t>
      </w:r>
      <w:bookmarkEnd w:id="77"/>
      <w:bookmarkEnd w:id="78"/>
      <w:bookmarkEnd w:id="79"/>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1.</w:t>
      </w:r>
      <w:r>
        <w:rPr>
          <w:rFonts w:hint="default" w:ascii="Times New Roman" w:hAnsi="Times New Roman" w:eastAsia="方正仿宋_GBK" w:cs="Times New Roman"/>
          <w:sz w:val="30"/>
          <w:szCs w:val="30"/>
          <w:lang w:val="en-US" w:eastAsia="zh-CN"/>
        </w:rPr>
        <w:t>通过绩效评价，对预算资金的投入、过程、产出、效果四个方面进行绩效评价，反映项目规范性、绩效目标设立的合理性和科学性、资金到位、支出情况，形成真实完整数据准确、分析透彻、逻辑清晰、客观公正的绩效评价结论为项目后续资金投入、分配和管理提供决策依据</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同时作为以后年度</w:t>
      </w:r>
      <w:r>
        <w:rPr>
          <w:rFonts w:hint="eastAsia" w:ascii="Times New Roman" w:hAnsi="Times New Roman" w:eastAsia="方正仿宋_GBK" w:cs="Times New Roman"/>
          <w:sz w:val="30"/>
          <w:szCs w:val="30"/>
          <w:lang w:val="en-US" w:eastAsia="zh-CN"/>
        </w:rPr>
        <w:t>同心县</w:t>
      </w:r>
      <w:r>
        <w:rPr>
          <w:rFonts w:hint="default" w:ascii="Times New Roman" w:hAnsi="Times New Roman" w:eastAsia="方正仿宋_GBK" w:cs="Times New Roman"/>
          <w:sz w:val="30"/>
          <w:szCs w:val="30"/>
          <w:lang w:val="en-US" w:eastAsia="zh-CN"/>
        </w:rPr>
        <w:t>编制预算和安排财政项目资金的重要依据逐步树立以结果为导向、讲求绩效的观念。</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sz w:val="30"/>
          <w:szCs w:val="30"/>
          <w:lang w:val="en-US" w:eastAsia="zh-CN"/>
        </w:rPr>
        <w:t>通过绩效评价，考察</w:t>
      </w:r>
      <w:r>
        <w:rPr>
          <w:rFonts w:hint="eastAsia" w:ascii="Times New Roman" w:hAnsi="Times New Roman" w:eastAsia="方正仿宋_GBK" w:cs="Times New Roman"/>
          <w:b w:val="0"/>
          <w:color w:val="auto"/>
          <w:kern w:val="2"/>
          <w:sz w:val="30"/>
          <w:szCs w:val="30"/>
          <w:highlight w:val="none"/>
          <w:lang w:val="en-US" w:eastAsia="zh-CN" w:bidi="ar-SA"/>
        </w:rPr>
        <w:t>同心县餐厨垃圾协同污泥处理工程项目项目</w:t>
      </w:r>
      <w:r>
        <w:rPr>
          <w:rFonts w:hint="default" w:ascii="Times New Roman" w:hAnsi="Times New Roman" w:eastAsia="方正仿宋_GBK" w:cs="Times New Roman"/>
          <w:sz w:val="30"/>
          <w:szCs w:val="30"/>
          <w:lang w:val="en-US" w:eastAsia="zh-CN"/>
        </w:rPr>
        <w:t>资金使用的安全性、规范性和效益性。通过评价、总结项目实施的做法、经验和教训，提出改进措施和建设性意见，为项目绩效管理提供决策参考及政策制定依据。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val="0"/>
          <w:kern w:val="2"/>
          <w:sz w:val="30"/>
          <w:szCs w:val="30"/>
          <w:lang w:val="en-US" w:eastAsia="zh-CN" w:bidi="ar-SA"/>
        </w:rPr>
      </w:pPr>
      <w:r>
        <w:rPr>
          <w:rFonts w:hint="default" w:ascii="Times New Roman" w:hAnsi="Times New Roman" w:eastAsia="方正仿宋_GBK" w:cs="Times New Roman"/>
          <w:b/>
          <w:bCs/>
          <w:kern w:val="2"/>
          <w:sz w:val="30"/>
          <w:szCs w:val="30"/>
          <w:lang w:val="en-US" w:eastAsia="zh-CN" w:bidi="ar-SA"/>
        </w:rPr>
        <w:t>3.</w:t>
      </w:r>
      <w:r>
        <w:rPr>
          <w:rFonts w:hint="default" w:ascii="Times New Roman" w:hAnsi="Times New Roman" w:eastAsia="方正仿宋_GBK" w:cs="Times New Roman"/>
          <w:b w:val="0"/>
          <w:kern w:val="2"/>
          <w:sz w:val="30"/>
          <w:szCs w:val="30"/>
          <w:lang w:val="en-US" w:eastAsia="zh-CN" w:bidi="ar-SA"/>
        </w:rPr>
        <w:t>通过绩效评价，能够让各级工作人员认识到发挥项目资金效益的重要性，强化工作职责，能够更清晰地界定工作的内容与其需要达到的标准</w:t>
      </w:r>
      <w:r>
        <w:rPr>
          <w:rFonts w:hint="eastAsia" w:ascii="Times New Roman" w:hAnsi="Times New Roman" w:eastAsia="方正仿宋_GBK" w:cs="Times New Roman"/>
          <w:b w:val="0"/>
          <w:kern w:val="2"/>
          <w:sz w:val="30"/>
          <w:szCs w:val="30"/>
          <w:lang w:val="en-US" w:eastAsia="zh-CN" w:bidi="ar-SA"/>
        </w:rPr>
        <w:t>；</w:t>
      </w:r>
      <w:r>
        <w:rPr>
          <w:rFonts w:hint="default" w:ascii="Times New Roman" w:hAnsi="Times New Roman" w:eastAsia="方正仿宋_GBK" w:cs="Times New Roman"/>
          <w:b w:val="0"/>
          <w:kern w:val="2"/>
          <w:sz w:val="30"/>
          <w:szCs w:val="30"/>
          <w:lang w:val="en-US" w:eastAsia="zh-CN" w:bidi="ar-SA"/>
        </w:rPr>
        <w:t>能够让工作人员清楚认识到各自的问题和不足，激励加强项目管理、资金管理、绩效评价理论学习和实践活动，提高工作效率。同时也可在实践中检验绩效评价工作的针对性和可操作性，推动绩效评价的制度体系建设。</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0" w:name="_Toc19639"/>
      <w:r>
        <w:rPr>
          <w:rFonts w:hint="eastAsia" w:ascii="方正楷体_GBK" w:hAnsi="方正楷体_GBK" w:eastAsia="方正楷体_GBK" w:cs="方正楷体_GBK"/>
          <w:b/>
          <w:bCs/>
          <w:sz w:val="30"/>
          <w:szCs w:val="30"/>
          <w:lang w:val="en-US" w:eastAsia="zh-CN"/>
        </w:rPr>
        <w:t>（二）绩效评价对象</w:t>
      </w:r>
      <w:bookmarkEnd w:id="80"/>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 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同心县餐厨垃圾协同污泥处理工程项目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1" w:name="_Toc4083"/>
      <w:bookmarkStart w:id="82" w:name="_Toc22702"/>
      <w:bookmarkStart w:id="83" w:name="_Toc20989"/>
      <w:r>
        <w:rPr>
          <w:rFonts w:hint="eastAsia" w:ascii="方正楷体_GBK" w:hAnsi="方正楷体_GBK" w:eastAsia="方正楷体_GBK" w:cs="方正楷体_GBK"/>
          <w:b/>
          <w:bCs/>
          <w:sz w:val="30"/>
          <w:szCs w:val="30"/>
          <w:lang w:val="en-US" w:eastAsia="zh-CN"/>
        </w:rPr>
        <w:t>（三）评价依据</w:t>
      </w:r>
      <w:bookmarkEnd w:id="81"/>
      <w:bookmarkEnd w:id="82"/>
      <w:bookmarkEnd w:id="83"/>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0"/>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K" w:cs="Times New Roman"/>
          <w:kern w:val="2"/>
          <w:sz w:val="30"/>
          <w:szCs w:val="30"/>
          <w:lang w:val="en-US" w:eastAsia="zh-CN" w:bidi="ar-SA"/>
        </w:rPr>
      </w:pPr>
      <w:bookmarkStart w:id="84" w:name="_Toc6311"/>
      <w:bookmarkStart w:id="85" w:name="_Toc27299"/>
      <w:bookmarkStart w:id="86" w:name="_Toc9455"/>
      <w:r>
        <w:rPr>
          <w:rFonts w:hint="eastAsia" w:ascii="Times New Roman" w:hAnsi="Times New Roman" w:eastAsia="方正仿宋_GBK" w:cs="Times New Roman"/>
          <w:kern w:val="2"/>
          <w:sz w:val="30"/>
          <w:szCs w:val="30"/>
          <w:lang w:val="en-US" w:eastAsia="zh-CN" w:bidi="ar-SA"/>
        </w:rPr>
        <w:t>9.《关于同心县餐厨垃圾协同污泥处理工程初步设计的批复》（同发改审发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20</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322</w:t>
      </w:r>
      <w:r>
        <w:rPr>
          <w:rFonts w:hint="default" w:ascii="Times New Roman" w:hAnsi="Times New Roman" w:eastAsia="方正仿宋_GBK" w:cs="Times New Roman"/>
          <w:kern w:val="2"/>
          <w:sz w:val="30"/>
          <w:szCs w:val="30"/>
          <w:lang w:val="en-US" w:eastAsia="zh-CN" w:bidi="ar-SA"/>
        </w:rPr>
        <w:t>号）</w:t>
      </w:r>
      <w:bookmarkEnd w:id="84"/>
      <w:bookmarkEnd w:id="85"/>
      <w:bookmarkEnd w:id="86"/>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10.</w:t>
      </w:r>
      <w:r>
        <w:rPr>
          <w:rFonts w:hint="eastAsia" w:ascii="Times New Roman" w:hAnsi="Times New Roman" w:eastAsia="方正仿宋_GB2312" w:cs="Times New Roman"/>
          <w:kern w:val="2"/>
          <w:sz w:val="30"/>
          <w:szCs w:val="30"/>
          <w:lang w:val="en-US" w:eastAsia="zh-CN" w:bidi="ar-SA"/>
        </w:rPr>
        <w:t>《同心县规划建设委员会会议纪要》（2020年第5期）</w:t>
      </w:r>
    </w:p>
    <w:p>
      <w:pPr>
        <w:topLinePunct/>
        <w:spacing w:line="560" w:lineRule="exact"/>
        <w:ind w:firstLine="592" w:firstLineChars="200"/>
        <w:outlineLvl w:val="0"/>
        <w:rPr>
          <w:rFonts w:hint="eastAsia" w:ascii="Times New Roman" w:hAnsi="Times New Roman" w:eastAsia="方正仿宋_GBK" w:cs="Times New Roman"/>
          <w:kern w:val="2"/>
          <w:sz w:val="30"/>
          <w:szCs w:val="30"/>
          <w:lang w:val="en-US" w:eastAsia="zh-CN" w:bidi="ar-SA"/>
        </w:rPr>
      </w:pPr>
      <w:bookmarkStart w:id="87" w:name="_Toc13143"/>
      <w:bookmarkStart w:id="88" w:name="_Toc12022"/>
      <w:bookmarkStart w:id="89" w:name="_Toc23802"/>
      <w:r>
        <w:rPr>
          <w:rFonts w:hint="eastAsia" w:ascii="Times New Roman" w:hAnsi="Times New Roman" w:eastAsia="方正仿宋_GBK" w:cs="Times New Roman"/>
          <w:color w:val="auto"/>
          <w:kern w:val="2"/>
          <w:sz w:val="30"/>
          <w:szCs w:val="30"/>
          <w:highlight w:val="none"/>
          <w:lang w:val="en-US" w:eastAsia="zh-CN" w:bidi="ar-SA"/>
        </w:rPr>
        <w:t>11.《关于同心县餐厨垃圾协同污泥处理工程可行性研究报告的批复》</w:t>
      </w:r>
      <w:r>
        <w:rPr>
          <w:rFonts w:hint="eastAsia" w:ascii="Times New Roman" w:hAnsi="Times New Roman" w:eastAsia="方正仿宋_GBK" w:cs="Times New Roman"/>
          <w:kern w:val="2"/>
          <w:sz w:val="30"/>
          <w:szCs w:val="30"/>
          <w:lang w:val="en-US" w:eastAsia="zh-CN" w:bidi="ar-SA"/>
        </w:rPr>
        <w:t>（同发改审发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20</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85</w:t>
      </w:r>
      <w:r>
        <w:rPr>
          <w:rFonts w:hint="default" w:ascii="Times New Roman" w:hAnsi="Times New Roman" w:eastAsia="方正仿宋_GBK" w:cs="Times New Roman"/>
          <w:kern w:val="2"/>
          <w:sz w:val="30"/>
          <w:szCs w:val="30"/>
          <w:lang w:val="en-US" w:eastAsia="zh-CN" w:bidi="ar-SA"/>
        </w:rPr>
        <w:t>号）</w:t>
      </w:r>
      <w:bookmarkEnd w:id="87"/>
      <w:bookmarkEnd w:id="88"/>
      <w:bookmarkEnd w:id="89"/>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12.相关行业政策、行业标准及专业技术规范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14.其他相关资料。</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0" w:name="_Toc8570"/>
      <w:bookmarkStart w:id="91" w:name="_Toc17802"/>
      <w:bookmarkStart w:id="92" w:name="_Toc22180"/>
      <w:r>
        <w:rPr>
          <w:rFonts w:hint="eastAsia" w:ascii="方正楷体_GBK" w:hAnsi="方正楷体_GBK" w:eastAsia="方正楷体_GBK" w:cs="方正楷体_GBK"/>
          <w:b/>
          <w:bCs/>
          <w:sz w:val="30"/>
          <w:szCs w:val="30"/>
          <w:lang w:val="en-US" w:eastAsia="zh-CN"/>
        </w:rPr>
        <w:t>（四）评价原则</w:t>
      </w:r>
      <w:bookmarkEnd w:id="90"/>
      <w:bookmarkEnd w:id="91"/>
      <w:bookmarkEnd w:id="92"/>
    </w:p>
    <w:p>
      <w:pPr>
        <w:rPr>
          <w:rFonts w:hint="default" w:ascii="Times New Roman" w:hAnsi="Times New Roman" w:eastAsia="方正仿宋_GBK" w:cs="Times New Roman"/>
          <w:b w:val="0"/>
          <w:bCs w:val="0"/>
          <w:kern w:val="0"/>
          <w:sz w:val="30"/>
          <w:szCs w:val="30"/>
          <w:lang w:val="en-US" w:eastAsia="zh-CN" w:bidi="zh-CN"/>
        </w:rPr>
      </w:pPr>
      <w:bookmarkStart w:id="93" w:name="_Toc23108"/>
      <w:bookmarkStart w:id="94" w:name="_Toc14020"/>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）和</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p>
    <w:p>
      <w:pPr>
        <w:pStyle w:val="3"/>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5" w:name="_Toc9978"/>
      <w:r>
        <w:rPr>
          <w:rFonts w:hint="eastAsia" w:ascii="方正楷体_GBK" w:hAnsi="方正楷体_GBK" w:eastAsia="方正楷体_GBK" w:cs="方正楷体_GBK"/>
          <w:b/>
          <w:bCs/>
          <w:sz w:val="30"/>
          <w:szCs w:val="30"/>
          <w:lang w:val="en-US" w:eastAsia="zh-CN"/>
        </w:rPr>
        <w:t>（五）评价标准</w:t>
      </w:r>
      <w:bookmarkEnd w:id="95"/>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96" w:name="_Toc19737"/>
      <w:bookmarkStart w:id="97" w:name="_Toc4734"/>
      <w:bookmarkStart w:id="98" w:name="_Toc21993"/>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96"/>
      <w:bookmarkEnd w:id="97"/>
      <w:bookmarkEnd w:id="98"/>
    </w:p>
    <w:p>
      <w:pPr>
        <w:pStyle w:val="3"/>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99" w:name="_Toc8571"/>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93"/>
      <w:bookmarkEnd w:id="94"/>
      <w:bookmarkEnd w:id="99"/>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bookmarkStart w:id="100" w:name="_Toc3585"/>
      <w:bookmarkStart w:id="101" w:name="_Toc31420"/>
      <w:r>
        <w:rPr>
          <w:rFonts w:hint="eastAsia" w:ascii="Times New Roman" w:hAnsi="Times New Roman" w:eastAsia="方正仿宋_GBK" w:cs="Times New Roman"/>
          <w:b w:val="0"/>
          <w:bCs w:val="0"/>
          <w:kern w:val="0"/>
          <w:sz w:val="30"/>
          <w:szCs w:val="30"/>
          <w:lang w:val="en-US" w:eastAsia="zh-CN" w:bidi="zh-CN"/>
        </w:rPr>
        <w:t>同心县餐厨垃圾协同污泥处理工程项目根据《项目支出绩效评价管理办法》（财预〔2020〕10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 4 个一级指标构成，对应分解并设置 12 个二级指标、23 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 20%，过程指标权重占比 20%，产出指标权重占比 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 3 个二级指标，同时对应分解并选择设置立项依据充分性、立项程序规范性、绩效目标合理性、绩效指标明确性、预算编制科学性、资金分配合理性 6 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 4 个二级指标，同时对应分解并选择设置年度建设实施项目个数、实施项目整体完成率、招投标程序合规率、工程验收质量达标率、项目开工及完工及时率、结算审核及竣工验收及时率、竣工财务决算完成及时率和工程建设投资总成本等 8 个三级指标，分别对项目产出情况进行考察评判。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效益类指标包括项目社会效益、可持续影响和满意度3个二级指标，同时对应分解并选择设置红色旅游产业发展、增强红色教育、机制维护健全性和受益对象满意度4个三级指标进行考察评判。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2" w:name="_Toc18428"/>
      <w:bookmarkStart w:id="103" w:name="_Toc19735"/>
      <w:bookmarkStart w:id="104" w:name="_Toc22670"/>
      <w:bookmarkStart w:id="105" w:name="_Toc13700"/>
      <w:bookmarkStart w:id="106" w:name="_Toc11592"/>
      <w:bookmarkStart w:id="107" w:name="_Toc3290"/>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02"/>
      <w:bookmarkEnd w:id="103"/>
      <w:bookmarkEnd w:id="104"/>
      <w:bookmarkEnd w:id="105"/>
      <w:bookmarkEnd w:id="106"/>
      <w:bookmarkEnd w:id="107"/>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08" w:name="_Toc6395"/>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0"/>
      <w:bookmarkEnd w:id="101"/>
      <w:bookmarkEnd w:id="108"/>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09" w:name="_Toc10922"/>
      <w:bookmarkStart w:id="110" w:name="_Toc26621"/>
      <w:bookmarkStart w:id="111" w:name="_Toc7191"/>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09"/>
      <w:bookmarkEnd w:id="110"/>
      <w:bookmarkEnd w:id="111"/>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12" w:name="_Toc19717"/>
      <w:bookmarkStart w:id="113" w:name="_Toc2624"/>
      <w:bookmarkStart w:id="114" w:name="_Toc9627"/>
      <w:r>
        <w:rPr>
          <w:rFonts w:hint="eastAsia" w:ascii="方正仿宋_GBK" w:hAnsi="方正仿宋_GBK" w:eastAsia="方正仿宋_GBK" w:cs="方正仿宋_GBK"/>
          <w:b w:val="0"/>
          <w:color w:val="auto"/>
          <w:kern w:val="2"/>
          <w:sz w:val="30"/>
          <w:szCs w:val="30"/>
          <w:highlight w:val="none"/>
          <w:lang w:val="en-US" w:eastAsia="zh-CN" w:bidi="ar-SA"/>
        </w:rPr>
        <w:t>同心县餐厨垃圾协同污泥处理工程项目绩效评价主要采用因素分析法、比较法、现场核查法、公众评判法进行综合评价。具体评价方法如下：</w:t>
      </w:r>
      <w:bookmarkEnd w:id="112"/>
      <w:bookmarkEnd w:id="113"/>
      <w:bookmarkEnd w:id="114"/>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同心县餐厨垃圾协同污泥处理工程项目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同心县餐厨垃圾协同污泥处理工程项目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同心县餐厨垃圾协同污泥处理工程项目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同心县餐厨垃圾协同污泥处理工程项目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15" w:name="_Toc15094"/>
      <w:bookmarkStart w:id="116" w:name="_Toc15372"/>
      <w:bookmarkStart w:id="117" w:name="_Toc14287"/>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15"/>
      <w:bookmarkEnd w:id="116"/>
      <w:bookmarkEnd w:id="117"/>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2"/>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18" w:name="_Toc23927"/>
      <w:bookmarkStart w:id="119" w:name="_Toc26077"/>
      <w:bookmarkStart w:id="120" w:name="_Toc15926"/>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18"/>
      <w:bookmarkEnd w:id="119"/>
      <w:bookmarkEnd w:id="120"/>
    </w:p>
    <w:p>
      <w:pPr>
        <w:pStyle w:val="3"/>
        <w:bidi w:val="0"/>
        <w:rPr>
          <w:rFonts w:hint="default"/>
          <w:lang w:val="en-US" w:eastAsia="zh-CN"/>
        </w:rPr>
      </w:pPr>
      <w:bookmarkStart w:id="121" w:name="_Toc25139"/>
      <w:r>
        <w:rPr>
          <w:rFonts w:hint="eastAsia"/>
          <w:lang w:val="en-US" w:eastAsia="zh-CN"/>
        </w:rPr>
        <w:t>（一）项目完成情况</w:t>
      </w:r>
      <w:bookmarkEnd w:id="121"/>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能够对债券资金项目使用、执行和绩效进行穿透式管理，资金投向合规、资金管理严格，风险防范有效，确保资金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800.00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800.00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800.00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在项目产出方面：</w:t>
      </w:r>
      <w:r>
        <w:rPr>
          <w:rFonts w:hint="eastAsia" w:ascii="Times New Roman" w:hAnsi="Times New Roman" w:eastAsia="方正仿宋_GBK" w:cs="Times New Roman"/>
          <w:b w:val="0"/>
          <w:bCs w:val="0"/>
          <w:color w:val="auto"/>
          <w:kern w:val="2"/>
          <w:sz w:val="30"/>
          <w:szCs w:val="30"/>
          <w:highlight w:val="none"/>
          <w:lang w:val="en-US" w:eastAsia="zh-CN" w:bidi="ar-SA"/>
        </w:rPr>
        <w:t>同心县餐厨垃圾协同污泥处理工程项目，严格落实“项目四制”。落实项目法人责任制，项目单位和法定代表人对项目建设的安全质量负总责；落实招标投标制，按照《招标投标法》《必须招标的工程项目规定》《必须招标的基础设施和公用事业项目范围规定》等要求做好项目招投标工作，并将强制性安全质量标准等作为招标文件的实质性要求和条件；落实工程监理制度，监理单位要认真履行监理职责，特别要加强对关键工序、重要部位和隐蔽工程的监督检查；落实合同管理制度，建设工程的勘察设计、施工、设备材料采购和工程监理等要依法订立合同，并明确安全质量要求以及违约责任等。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建成后，可切实满足同心县城区生活污水和餐厨垃圾处理的需求，进一步完善同心县城市基础设施和城市功能，改善城市卫生环境，提升同心县的形象和品位，有力推动同心县经济社会的快速发展。经对项目实施地开展满意度问卷调查，整体满意度为94%。</w:t>
      </w:r>
    </w:p>
    <w:p>
      <w:pPr>
        <w:pStyle w:val="3"/>
        <w:bidi w:val="0"/>
        <w:rPr>
          <w:rFonts w:hint="default"/>
          <w:lang w:val="en-US" w:eastAsia="zh-CN"/>
        </w:rPr>
      </w:pPr>
      <w:bookmarkStart w:id="122" w:name="_Toc31806"/>
      <w:r>
        <w:rPr>
          <w:rFonts w:hint="eastAsia"/>
          <w:lang w:val="en-US" w:eastAsia="zh-CN"/>
        </w:rPr>
        <w:t>（二）评价结论</w:t>
      </w:r>
      <w:bookmarkEnd w:id="122"/>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同心县餐厨垃圾协同污泥处理工程项目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项目实施单位资金支出较规范</w:t>
      </w:r>
      <w:r>
        <w:rPr>
          <w:rFonts w:hint="eastAsia" w:ascii="Times New Roman" w:hAnsi="Times New Roman" w:eastAsia="方正仿宋_GBK" w:cs="Times New Roman"/>
          <w:spacing w:val="0"/>
          <w:kern w:val="0"/>
          <w:sz w:val="30"/>
          <w:szCs w:val="30"/>
          <w:lang w:bidi="zh-CN"/>
        </w:rPr>
        <w:t>，资金的拨付经单位主管领导、财政局业务科室、国库支付中心审批，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23" w:name="_Toc14682"/>
      <w:bookmarkStart w:id="124" w:name="_Toc9214"/>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 94.00”分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fldChar w:fldCharType="begin"/>
            </w:r>
            <w:r>
              <w:rPr>
                <w:rFonts w:hint="default" w:ascii="Times New Roman" w:hAnsi="Times New Roman" w:eastAsia="方正仿宋_GBK" w:cs="Times New Roman"/>
                <w:i w:val="0"/>
                <w:iCs w:val="0"/>
                <w:color w:val="000000"/>
                <w:kern w:val="0"/>
                <w:sz w:val="22"/>
                <w:szCs w:val="22"/>
                <w:u w:val="none"/>
                <w:lang w:val="en-US" w:eastAsia="zh-CN" w:bidi="ar"/>
              </w:rPr>
              <w:instrText xml:space="preserve"> = sum(B3:E3) \* MERGEFORMAT </w:instrText>
            </w:r>
            <w:r>
              <w:rPr>
                <w:rFonts w:hint="default" w:ascii="Times New Roman" w:hAnsi="Times New Roman" w:eastAsia="方正仿宋_GBK" w:cs="Times New Roman"/>
                <w:i w:val="0"/>
                <w:iCs w:val="0"/>
                <w:color w:val="000000"/>
                <w:kern w:val="0"/>
                <w:sz w:val="22"/>
                <w:szCs w:val="22"/>
                <w:u w:val="none"/>
                <w:lang w:val="en-US" w:eastAsia="zh-CN" w:bidi="ar"/>
              </w:rPr>
              <w:fldChar w:fldCharType="separate"/>
            </w:r>
            <w:r>
              <w:rPr>
                <w:rFonts w:hint="default" w:ascii="Times New Roman" w:hAnsi="Times New Roman" w:eastAsia="方正仿宋_GBK" w:cs="Times New Roman"/>
                <w:i w:val="0"/>
                <w:iCs w:val="0"/>
                <w:color w:val="000000"/>
                <w:kern w:val="0"/>
                <w:sz w:val="22"/>
                <w:szCs w:val="22"/>
                <w:u w:val="none"/>
                <w:lang w:val="en-US" w:eastAsia="zh-CN" w:bidi="ar"/>
              </w:rPr>
              <w:t>94</w:t>
            </w:r>
            <w:r>
              <w:rPr>
                <w:rFonts w:hint="default" w:ascii="Times New Roman" w:hAnsi="Times New Roman" w:eastAsia="方正仿宋_GBK" w:cs="Times New Roman"/>
                <w:i w:val="0"/>
                <w:iCs w:val="0"/>
                <w:color w:val="000000"/>
                <w:kern w:val="0"/>
                <w:sz w:val="22"/>
                <w:szCs w:val="22"/>
                <w:u w:val="none"/>
                <w:lang w:val="en-US" w:eastAsia="zh-CN" w:bidi="ar"/>
              </w:rPr>
              <w:fldChar w:fldCharType="end"/>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82.35%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94.00%</w:t>
            </w:r>
          </w:p>
        </w:tc>
      </w:tr>
    </w:tbl>
    <w:p>
      <w:pPr>
        <w:pStyle w:val="2"/>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25" w:name="_Toc11878"/>
      <w:r>
        <w:rPr>
          <w:rFonts w:hint="eastAsia" w:asciiTheme="majorEastAsia" w:hAnsiTheme="majorEastAsia" w:eastAsiaTheme="majorEastAsia" w:cstheme="majorEastAsia"/>
          <w:b/>
          <w:bCs/>
          <w:sz w:val="32"/>
          <w:szCs w:val="32"/>
          <w:lang w:val="en-US" w:eastAsia="zh-CN"/>
        </w:rPr>
        <w:t>六、绩效评价指标分析</w:t>
      </w:r>
      <w:bookmarkEnd w:id="123"/>
      <w:bookmarkEnd w:id="124"/>
      <w:bookmarkEnd w:id="125"/>
    </w:p>
    <w:p>
      <w:pPr>
        <w:pStyle w:val="3"/>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26" w:name="_Toc13089"/>
      <w:bookmarkStart w:id="127" w:name="_Toc10789"/>
      <w:bookmarkStart w:id="128" w:name="_Toc20159"/>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26"/>
      <w:bookmarkEnd w:id="127"/>
      <w:r>
        <w:rPr>
          <w:rFonts w:hint="eastAsia" w:ascii="方正楷体_GBK" w:hAnsi="方正楷体_GBK" w:eastAsia="方正楷体_GBK" w:cs="方正楷体_GBK"/>
          <w:b/>
          <w:bCs w:val="0"/>
          <w:color w:val="auto"/>
          <w:sz w:val="30"/>
          <w:szCs w:val="30"/>
          <w:lang w:eastAsia="zh-CN"/>
        </w:rPr>
        <w:t>分析</w:t>
      </w:r>
      <w:bookmarkEnd w:id="128"/>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spacing w:val="1"/>
          <w:sz w:val="30"/>
          <w:szCs w:val="30"/>
          <w:lang w:val="en-US" w:eastAsia="zh-CN"/>
        </w:rPr>
        <w:t>本</w:t>
      </w:r>
      <w:r>
        <w:rPr>
          <w:rFonts w:hint="eastAsia" w:ascii="Times New Roman" w:hAnsi="Times New Roman" w:eastAsia="方正仿宋_GB2312" w:cs="Times New Roman"/>
          <w:kern w:val="2"/>
          <w:sz w:val="30"/>
          <w:szCs w:val="30"/>
          <w:lang w:val="en-US" w:eastAsia="zh-CN" w:bidi="ar-SA"/>
        </w:rPr>
        <w:t>项指标共设3个二级指标、6 个三级指标，权重分值 20 分，评价得分20.00 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为贯彻执行国家关于垃圾分类收集、分类处置的环保政策要求</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以实现垃圾减量化、无害化、稳定化、资源化为目标，2020年，</w:t>
      </w:r>
      <w:r>
        <w:rPr>
          <w:rFonts w:hint="eastAsia" w:ascii="Times New Roman" w:hAnsi="Times New Roman" w:eastAsia="方正仿宋_GBK" w:cs="Times New Roman"/>
          <w:color w:val="auto"/>
          <w:kern w:val="2"/>
          <w:sz w:val="30"/>
          <w:szCs w:val="30"/>
          <w:highlight w:val="none"/>
          <w:lang w:val="en-US" w:eastAsia="zh-CN" w:bidi="ar-SA"/>
        </w:rPr>
        <w:t>同心</w:t>
      </w:r>
      <w:r>
        <w:rPr>
          <w:rFonts w:hint="default" w:ascii="Times New Roman" w:hAnsi="Times New Roman" w:eastAsia="方正仿宋_GBK" w:cs="Times New Roman"/>
          <w:color w:val="auto"/>
          <w:kern w:val="2"/>
          <w:sz w:val="30"/>
          <w:szCs w:val="30"/>
          <w:highlight w:val="none"/>
          <w:lang w:val="en-US" w:eastAsia="zh-CN" w:bidi="ar-SA"/>
        </w:rPr>
        <w:t>县开工建设餐厨垃圾协同污泥处理工程项目。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同心县人民政府及同心县</w:t>
      </w:r>
      <w:bookmarkStart w:id="185" w:name="_GoBack"/>
      <w:r>
        <w:rPr>
          <w:rFonts w:hint="default" w:ascii="Times New Roman" w:hAnsi="Times New Roman" w:eastAsia="方正仿宋_GBK" w:cs="Times New Roman"/>
          <w:color w:val="auto"/>
          <w:kern w:val="2"/>
          <w:sz w:val="30"/>
          <w:szCs w:val="30"/>
          <w:highlight w:val="none"/>
          <w:lang w:val="en-US" w:eastAsia="zh-CN" w:bidi="ar-SA"/>
        </w:rPr>
        <w:t>住房</w:t>
      </w:r>
      <w:bookmarkEnd w:id="185"/>
      <w:r>
        <w:rPr>
          <w:rFonts w:hint="default" w:ascii="Times New Roman" w:hAnsi="Times New Roman" w:eastAsia="方正仿宋_GBK" w:cs="Times New Roman"/>
          <w:color w:val="auto"/>
          <w:kern w:val="2"/>
          <w:sz w:val="30"/>
          <w:szCs w:val="30"/>
          <w:highlight w:val="none"/>
          <w:lang w:val="en-US" w:eastAsia="zh-CN" w:bidi="ar-SA"/>
        </w:rPr>
        <w:t>和城乡建设局将污泥处置与餐厨垃圾处理项目</w:t>
      </w:r>
      <w:r>
        <w:rPr>
          <w:rFonts w:hint="eastAsia" w:ascii="Times New Roman" w:hAnsi="Times New Roman" w:eastAsia="方正仿宋_GBK" w:cs="Times New Roman"/>
          <w:color w:val="auto"/>
          <w:kern w:val="2"/>
          <w:sz w:val="30"/>
          <w:szCs w:val="30"/>
          <w:highlight w:val="none"/>
          <w:lang w:val="en-US" w:eastAsia="zh-CN" w:bidi="ar-SA"/>
        </w:rPr>
        <w:t>列入</w:t>
      </w:r>
      <w:r>
        <w:rPr>
          <w:rFonts w:hint="default" w:ascii="Times New Roman" w:hAnsi="Times New Roman" w:eastAsia="方正仿宋_GBK" w:cs="Times New Roman"/>
          <w:color w:val="auto"/>
          <w:kern w:val="2"/>
          <w:sz w:val="30"/>
          <w:szCs w:val="30"/>
          <w:highlight w:val="none"/>
          <w:lang w:val="en-US" w:eastAsia="zh-CN" w:bidi="ar-SA"/>
        </w:rPr>
        <w:t>重点工作之一，采取政府牵头、环卫系统管理企业运作，社区参与的运行模式，建立起完整的餐厨垃圾管理与处理处置</w:t>
      </w:r>
      <w:r>
        <w:rPr>
          <w:rFonts w:hint="eastAsia" w:ascii="Times New Roman" w:hAnsi="Times New Roman" w:eastAsia="方正仿宋_GBK" w:cs="Times New Roman"/>
          <w:color w:val="auto"/>
          <w:kern w:val="2"/>
          <w:sz w:val="30"/>
          <w:szCs w:val="30"/>
          <w:highlight w:val="none"/>
          <w:lang w:val="en-US" w:eastAsia="zh-CN" w:bidi="ar-SA"/>
        </w:rPr>
        <w:t>体系</w:t>
      </w:r>
      <w:r>
        <w:rPr>
          <w:rFonts w:hint="default" w:ascii="Times New Roman" w:hAnsi="Times New Roman" w:eastAsia="方正仿宋_GBK" w:cs="Times New Roman"/>
          <w:color w:val="auto"/>
          <w:kern w:val="2"/>
          <w:sz w:val="30"/>
          <w:szCs w:val="30"/>
          <w:highlight w:val="none"/>
          <w:lang w:val="en-US" w:eastAsia="zh-CN" w:bidi="ar-SA"/>
        </w:rPr>
        <w:t>，虽然管理体系已经建成，责任到人，但处理方式落后不能达到减量化、资源化利用，故建设餐污泥协同厨垃圾处理项目是必要的，也是社会发展的需要。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本项目以循环经济理念，系统化规划和建设的原则。根据城市环境卫生规划和可持续发展要求，本着处理设施集约化建设、节能减排和循环经济的原则，针对</w:t>
      </w:r>
      <w:r>
        <w:rPr>
          <w:rFonts w:hint="eastAsia" w:ascii="Times New Roman" w:hAnsi="Times New Roman" w:eastAsia="方正仿宋_GBK" w:cs="Times New Roman"/>
          <w:color w:val="auto"/>
          <w:kern w:val="2"/>
          <w:sz w:val="30"/>
          <w:szCs w:val="30"/>
          <w:highlight w:val="none"/>
          <w:lang w:val="en-US" w:eastAsia="zh-CN" w:bidi="ar-SA"/>
        </w:rPr>
        <w:t>污水处理厂</w:t>
      </w:r>
      <w:r>
        <w:rPr>
          <w:rFonts w:hint="default" w:ascii="Times New Roman" w:hAnsi="Times New Roman" w:eastAsia="方正仿宋_GBK" w:cs="Times New Roman"/>
          <w:color w:val="auto"/>
          <w:kern w:val="2"/>
          <w:sz w:val="30"/>
          <w:szCs w:val="30"/>
          <w:highlight w:val="none"/>
          <w:lang w:val="en-US" w:eastAsia="zh-CN" w:bidi="ar-SA"/>
        </w:rPr>
        <w:t>污泥、餐厨垃圾特性，通过对城市污水厂污泥、餐厨垃圾、农村秸秆垃圾协同处理和资源化利用技术，使得污水处理厂污泥、城市餐厨垃圾得到分类处置，进一步实现垃圾的减量化、无害化、稳定化，并作为园林、绿化、土地改良剂资源化利用。</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2312" w:cs="Times New Roman"/>
          <w:kern w:val="2"/>
          <w:sz w:val="30"/>
          <w:szCs w:val="30"/>
          <w:lang w:val="en-US" w:eastAsia="zh-CN" w:bidi="ar-SA"/>
        </w:rPr>
        <w:t>项目立项与同心县住房和城乡建设局职责相符，</w:t>
      </w:r>
      <w:r>
        <w:rPr>
          <w:rFonts w:hint="eastAsia" w:ascii="Times New Roman" w:hAnsi="Times New Roman" w:eastAsia="方正仿宋_GBK" w:cs="Times New Roman"/>
          <w:color w:val="auto"/>
          <w:kern w:val="2"/>
          <w:sz w:val="30"/>
          <w:szCs w:val="30"/>
          <w:highlight w:val="none"/>
          <w:lang w:val="en-US" w:eastAsia="zh-CN" w:bidi="ar-SA"/>
        </w:rPr>
        <w:t>项目立项符合行业发展规划和政策要求，与部门职责范围相符，立项依据充分</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仿宋" w:cs="Times New Roman"/>
          <w:color w:val="000000"/>
          <w:kern w:val="0"/>
          <w:sz w:val="30"/>
          <w:szCs w:val="30"/>
          <w:lang w:val="en-US" w:eastAsia="zh-CN" w:bidi="ar"/>
        </w:rPr>
        <w:t xml:space="preserve">该指标满分 3分，根据评分标准得 </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仿宋" w:cs="Times New Roman"/>
          <w:color w:val="000000"/>
          <w:kern w:val="0"/>
          <w:sz w:val="30"/>
          <w:szCs w:val="30"/>
          <w:lang w:val="en-US" w:eastAsia="zh-CN" w:bidi="ar"/>
        </w:rPr>
        <w:t>该项目按照规定的程序审批，立项程序规范，同心县发展和改革局下发了</w:t>
      </w:r>
      <w:r>
        <w:rPr>
          <w:rFonts w:hint="eastAsia" w:ascii="Times New Roman" w:hAnsi="Times New Roman" w:eastAsia="方正仿宋_GB2312" w:cs="Times New Roman"/>
          <w:kern w:val="2"/>
          <w:sz w:val="30"/>
          <w:szCs w:val="30"/>
          <w:lang w:val="en-US" w:eastAsia="zh-CN" w:bidi="ar-SA"/>
        </w:rPr>
        <w:t>《关于同心县餐厨垃圾协同污泥处理工程初步设计的批复》（同发改审发〔2020〕322号）</w:t>
      </w:r>
      <w:r>
        <w:rPr>
          <w:rFonts w:hint="default" w:ascii="Times New Roman" w:hAnsi="Times New Roman" w:eastAsia="仿宋" w:cs="Times New Roman"/>
          <w:color w:val="000000"/>
          <w:kern w:val="0"/>
          <w:sz w:val="30"/>
          <w:szCs w:val="30"/>
          <w:lang w:val="en-US" w:eastAsia="zh-CN" w:bidi="ar"/>
        </w:rPr>
        <w:t>，所提交的文件、材料符合相关要求，事前已经过必要的可行性研究等。该指标满分</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分，根据评分标准得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（1）绩效目标合理</w:t>
      </w:r>
      <w:r>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性</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firstLine="516"/>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根据该项目《项目支出绩效目标申报表》内容可知，该项目设定了绩效目标，所设定的绩效目标与实际工作内容切实相关，绩效目标与预算具有关联性，绩效目标设置与预算确定的项目资金量相匹配，且对预期效益和效果进行了详细阐述</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，目标完整，与实际工作内容相关，项目预期产出效益和效果符合正常业绩水平，与预算确定的资金量相符。</w:t>
      </w:r>
      <w:r>
        <w:rPr>
          <w:rFonts w:hint="eastAsia" w:ascii="Times New Roman" w:hAnsi="Times New Roman" w:eastAsia="方正仿宋_GBK" w:cs="Times New Roman"/>
          <w:spacing w:val="-12"/>
          <w:sz w:val="30"/>
          <w:szCs w:val="30"/>
          <w:lang w:val="en-US" w:eastAsia="zh-CN"/>
        </w:rPr>
        <w:t>本项</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 xml:space="preserve">标满分 </w:t>
      </w:r>
      <w:r>
        <w:rPr>
          <w:rFonts w:hint="eastAsia" w:ascii="Times New Roman" w:hAnsi="Times New Roman" w:eastAsia="方正仿宋_GBK" w:cs="Times New Roman"/>
          <w:spacing w:val="-6"/>
          <w:sz w:val="30"/>
          <w:szCs w:val="30"/>
          <w:lang w:val="en-US" w:eastAsia="zh-CN"/>
        </w:rPr>
        <w:t>4.00</w:t>
      </w:r>
      <w:r>
        <w:rPr>
          <w:rFonts w:hint="default" w:ascii="Times New Roman" w:hAnsi="Times New Roman" w:eastAsia="方正仿宋_GBK" w:cs="Times New Roman"/>
          <w:spacing w:val="-6"/>
          <w:sz w:val="30"/>
          <w:szCs w:val="30"/>
        </w:rPr>
        <w:t xml:space="preserve"> 分，根据评分标准得</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.00 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（2）</w:t>
      </w:r>
      <w:r>
        <w:rPr>
          <w:rFonts w:hint="default" w:ascii="Times New Roman" w:hAnsi="Times New Roman" w:cs="Times New Roman"/>
          <w:b/>
          <w:bCs/>
          <w:spacing w:val="1"/>
          <w:sz w:val="30"/>
          <w:szCs w:val="30"/>
          <w:lang w:val="en-US" w:eastAsia="zh-CN"/>
        </w:rPr>
        <w:t>绩效</w:t>
      </w:r>
      <w:r>
        <w:rPr>
          <w:rFonts w:hint="eastAsia" w:ascii="Times New Roman" w:hAnsi="Times New Roman" w:cs="Times New Roman"/>
          <w:b/>
          <w:bCs/>
          <w:spacing w:val="1"/>
          <w:sz w:val="30"/>
          <w:szCs w:val="30"/>
          <w:lang w:val="en-US" w:eastAsia="zh-CN"/>
        </w:rPr>
        <w:t>指标</w:t>
      </w:r>
      <w:r>
        <w:rPr>
          <w:rFonts w:hint="default" w:ascii="Times New Roman" w:hAnsi="Times New Roman" w:cs="Times New Roman"/>
          <w:b/>
          <w:bCs/>
          <w:spacing w:val="1"/>
          <w:sz w:val="30"/>
          <w:szCs w:val="30"/>
          <w:lang w:val="en-US" w:eastAsia="zh-CN"/>
        </w:rPr>
        <w:t>明确性</w:t>
      </w:r>
    </w:p>
    <w:p>
      <w:pPr>
        <w:spacing w:before="0" w:line="560" w:lineRule="exact"/>
        <w:ind w:right="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实施单位评价范围内的项目结合工作内容设置年度绩效目标，同时细化产出指标、效益指标、可持续影响和满意度指标，</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通过清晰、可衡量的指标值予以体现</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。本项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3.00</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 xml:space="preserve">分，根据评分标准得 </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3</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.00 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3.资金投入方面</w:t>
      </w:r>
    </w:p>
    <w:p>
      <w:pPr>
        <w:pStyle w:val="3"/>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29" w:name="_Toc11197"/>
      <w:bookmarkStart w:id="130" w:name="_Toc25136"/>
      <w:bookmarkStart w:id="131" w:name="_Toc5795"/>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29"/>
      <w:bookmarkEnd w:id="130"/>
      <w:bookmarkEnd w:id="131"/>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本项目实施内容与规模、经济技术指标和相关定额标准及规范要求，经对投资概算进行测算后，结合</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推进</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实施重点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工作计划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预算编制科学合理，前期开展了调查研究，积累了部分基础数据资料，投资预算编制得到了有效论证，投资预算内容与项目内容基本相匹配；经立项申请批复的建设项目，实施单位委托有资质的单位编制了可研报告、建设方案及投资概算，投资概算按照定额标准并结合项目年度目标编制，概算额度测算依据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审定后下发了资金使用计划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测算依据充分，预算内容与项目实施内容一致。本项满分 4 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spacing w:before="0" w:line="560" w:lineRule="exact"/>
        <w:ind w:right="0"/>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widowControl/>
        <w:suppressLineNumbers w:val="0"/>
        <w:jc w:val="left"/>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auto"/>
          <w:kern w:val="2"/>
          <w:sz w:val="30"/>
          <w:szCs w:val="30"/>
          <w:highlight w:val="none"/>
          <w:lang w:val="en-US" w:eastAsia="zh-CN" w:bidi="ar-SA"/>
        </w:rPr>
        <w:t>根据《中共同心县委常务会议纪要》（十四届〔2021〕3 号）、</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人大常委会关于批准同心县本级财政2022年第二批新增政府一般债券资金预算调整方案的决议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（同人常发</w:t>
      </w:r>
      <w:r>
        <w:rPr>
          <w:rFonts w:hint="eastAsia"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sz w:val="30"/>
          <w:szCs w:val="30"/>
          <w:lang w:val="en-US" w:eastAsia="zh-CN"/>
        </w:rPr>
        <w:t>24</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年第二批新增政府一般债券资金预算调整方案的报告</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股债券资金预算调整方案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草案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的报告</w:t>
      </w:r>
      <w:r>
        <w:rPr>
          <w:rFonts w:hint="eastAsia" w:ascii="Times New Roman" w:hAnsi="Times New Roman" w:eastAsia="方正仿宋_GBK" w:cs="Times New Roman"/>
          <w:color w:val="auto"/>
          <w:kern w:val="2"/>
          <w:sz w:val="30"/>
          <w:szCs w:val="30"/>
          <w:highlight w:val="none"/>
          <w:lang w:val="en-US" w:eastAsia="zh-CN" w:bidi="ar-SA"/>
        </w:rPr>
        <w:t>》并结合项目实际的要求，同心县财政局对重点项目资金进行管理和分配，并对项目实施和资金使用情况进行监督检查。</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2</w:t>
      </w:r>
      <w:r>
        <w:rPr>
          <w:rFonts w:hint="default" w:ascii="Times New Roman" w:hAnsi="Times New Roman" w:eastAsia="仿宋" w:cs="Times New Roman"/>
          <w:color w:val="000000"/>
          <w:kern w:val="0"/>
          <w:sz w:val="30"/>
          <w:szCs w:val="30"/>
          <w:lang w:val="en-US" w:eastAsia="zh-CN" w:bidi="ar"/>
        </w:rPr>
        <w:t xml:space="preserve"> 分。</w:t>
      </w:r>
    </w:p>
    <w:p>
      <w:pPr>
        <w:pStyle w:val="3"/>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sz w:val="30"/>
          <w:szCs w:val="30"/>
          <w:lang w:val="en-US" w:eastAsia="zh-CN"/>
        </w:rPr>
      </w:pPr>
      <w:bookmarkStart w:id="132" w:name="_Toc16283"/>
      <w:r>
        <w:rPr>
          <w:rFonts w:hint="eastAsia" w:ascii="方正楷体_GBK" w:hAnsi="方正楷体_GBK" w:eastAsia="方正楷体_GBK" w:cs="方正楷体_GBK"/>
          <w:sz w:val="30"/>
          <w:szCs w:val="30"/>
          <w:lang w:val="en-US" w:eastAsia="zh-CN"/>
        </w:rPr>
        <w:t>（二）项目过程</w:t>
      </w:r>
      <w:bookmarkEnd w:id="132"/>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spacing w:before="0" w:line="560" w:lineRule="exact"/>
        <w:ind w:right="0"/>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经绩效评价组现场资料查阅</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，同心县餐厨垃圾协同污泥处理工程项目预算安排债券资金800.00万元，实际到位资金800.00万元，资金到位率为100</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项目绩效评价涉及预算资金为800.00万元，经绩效评价小组对各预算单位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，截至评价前，预算执行金额为：800.00万元 ，经计算预算执行率为：100%。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%得满分。否则</w:t>
      </w:r>
      <w:r>
        <w:rPr>
          <w:rFonts w:hint="default" w:ascii="仿宋" w:hAnsi="仿宋" w:eastAsia="仿宋" w:cs="仿宋"/>
          <w:spacing w:val="-7"/>
          <w:sz w:val="30"/>
          <w:szCs w:val="30"/>
          <w:lang w:val="en-US" w:eastAsia="zh-CN"/>
        </w:rPr>
        <w:t>本指标得分=资金执行率×分值。</w:t>
      </w:r>
      <w:r>
        <w:rPr>
          <w:rFonts w:ascii="仿宋" w:hAnsi="仿宋" w:eastAsia="仿宋" w:cs="仿宋"/>
          <w:spacing w:val="-7"/>
          <w:sz w:val="30"/>
          <w:szCs w:val="30"/>
        </w:rPr>
        <w:t xml:space="preserve">该指标满分 </w:t>
      </w:r>
      <w:r>
        <w:rPr>
          <w:rFonts w:hint="eastAsia" w:cs="仿宋"/>
          <w:spacing w:val="-7"/>
          <w:sz w:val="30"/>
          <w:szCs w:val="30"/>
          <w:lang w:val="en-US" w:eastAsia="zh-CN"/>
        </w:rPr>
        <w:t>4</w:t>
      </w:r>
      <w:r>
        <w:rPr>
          <w:rFonts w:ascii="仿宋" w:hAnsi="仿宋" w:eastAsia="仿宋" w:cs="仿宋"/>
          <w:spacing w:val="-7"/>
          <w:sz w:val="30"/>
          <w:szCs w:val="30"/>
        </w:rPr>
        <w:t xml:space="preserve"> 分，根据评分标准得</w:t>
      </w:r>
      <w:r>
        <w:rPr>
          <w:rFonts w:hint="eastAsia" w:ascii="Times New Roman" w:hAnsi="Times New Roman" w:cs="Times New Roman"/>
          <w:spacing w:val="-3"/>
          <w:sz w:val="30"/>
          <w:szCs w:val="30"/>
          <w:u w:val="none"/>
          <w:lang w:val="en-US" w:eastAsia="zh-CN" w:bidi="ar"/>
        </w:rPr>
        <w:t>4</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仿宋"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w:t>
      </w:r>
      <w:r>
        <w:rPr>
          <w:rFonts w:ascii="仿宋" w:hAnsi="仿宋" w:eastAsia="仿宋" w:cs="仿宋"/>
          <w:spacing w:val="-7"/>
          <w:sz w:val="30"/>
          <w:szCs w:val="30"/>
        </w:rPr>
        <w:t>根据评分标准得</w:t>
      </w:r>
      <w:r>
        <w:rPr>
          <w:rFonts w:hint="eastAsia" w:cs="仿宋"/>
          <w:spacing w:val="-7"/>
          <w:sz w:val="30"/>
          <w:szCs w:val="30"/>
          <w:lang w:val="en-US" w:eastAsia="zh-CN"/>
        </w:rPr>
        <w:t>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jc w:val="both"/>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suppressLineNumbers w:val="0"/>
        <w:kinsoku/>
        <w:wordWrap/>
        <w:topLinePunct w:val="0"/>
        <w:autoSpaceDE/>
        <w:autoSpaceDN/>
        <w:bidi w:val="0"/>
        <w:adjustRightInd/>
        <w:snapToGrid/>
        <w:jc w:val="both"/>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同心县住房和城乡建设局</w:t>
      </w:r>
      <w:r>
        <w:rPr>
          <w:rFonts w:hint="default" w:ascii="Times New Roman" w:hAnsi="Times New Roman" w:eastAsia="方正仿宋_GBK" w:cs="Times New Roman"/>
          <w:spacing w:val="0"/>
          <w:kern w:val="0"/>
          <w:sz w:val="30"/>
          <w:szCs w:val="30"/>
          <w:lang w:val="en-US" w:bidi="zh-CN"/>
        </w:rPr>
        <w:t>印发</w:t>
      </w:r>
      <w:r>
        <w:rPr>
          <w:rFonts w:hint="eastAsia" w:ascii="Times New Roman" w:hAnsi="Times New Roman" w:eastAsia="方正仿宋_GBK" w:cs="Times New Roman"/>
          <w:spacing w:val="0"/>
          <w:kern w:val="0"/>
          <w:sz w:val="30"/>
          <w:szCs w:val="30"/>
          <w:lang w:val="en-US" w:bidi="zh-CN"/>
        </w:rPr>
        <w:t>《项目管理制度》</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《财务管理制度》，其中包括预算管理、采购管理、结算管理、资产管理、财务管理等的具体管理办法，</w:t>
      </w:r>
      <w:r>
        <w:rPr>
          <w:rFonts w:hint="default" w:ascii="Times New Roman" w:hAnsi="Times New Roman" w:eastAsia="方正仿宋_GBK" w:cs="Times New Roman"/>
        </w:rPr>
        <w:t>并且</w:t>
      </w:r>
      <w:r>
        <w:rPr>
          <w:rFonts w:hint="default" w:ascii="Times New Roman" w:hAnsi="Times New Roman" w:eastAsia="方正仿宋_GBK" w:cs="Times New Roman"/>
          <w:spacing w:val="0"/>
          <w:kern w:val="0"/>
          <w:sz w:val="30"/>
          <w:szCs w:val="30"/>
          <w:lang w:val="en-US" w:eastAsia="zh-CN" w:bidi="zh-CN"/>
        </w:rPr>
        <w:t>遵照《中华人民共和国预算法</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财政部关于贯彻落实〈中共中央 国务院关于全面实施预算绩效管理的意见〉的通知》（财预〔2018〕167号）、《自治区党委 人民政府关于全面实施预算绩效管理的实施意见》（宁党发〔2019〕9号）等文件的规定，对项目实施进行监管，财务和业务管理制度合法、合规、完整。</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 xml:space="preserve">根据评分标准得 </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 xml:space="preserve"> 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 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widowControl/>
        <w:suppressLineNumbers w:val="0"/>
        <w:jc w:val="left"/>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 xml:space="preserve">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eastAsia" w:ascii="Times New Roman" w:hAnsi="Times New Roman" w:eastAsia="方正仿宋_GBK" w:cs="Times New Roman"/>
          <w:color w:val="0000FF"/>
          <w:spacing w:val="0"/>
          <w:kern w:val="0"/>
          <w:sz w:val="30"/>
          <w:szCs w:val="30"/>
          <w:lang w:val="en-US" w:eastAsia="zh-CN" w:bidi="zh-CN"/>
        </w:rPr>
        <w:t>。</w:t>
      </w:r>
    </w:p>
    <w:p>
      <w:pPr>
        <w:pStyle w:val="3"/>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rPr>
      </w:pPr>
      <w:bookmarkStart w:id="133" w:name="_Toc1945"/>
      <w:bookmarkStart w:id="134" w:name="_Toc16530"/>
      <w:bookmarkStart w:id="135" w:name="_Toc18498"/>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33"/>
      <w:bookmarkEnd w:id="134"/>
      <w:bookmarkEnd w:id="135"/>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本项指标共设2个二级指标、5个三级指标，权重分值34分，评价得分28分，得分率为82.35%。具体评价指标分析如下：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1.产出数量方面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2020年8月6日，同心县发展改革局印发《关于同心县餐厨垃圾协同污泥处理工程初步设计的批复》（同发改审发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20</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322号）号，批复项目予以立项；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2020年10月22日，经过公开招标的方式确定中民汇联实业有限公司为项目中标单位。</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2023年8月10日，由同心县住房和城乡建设局、宁夏工勘岩土工程有限公司、中旭（宁夏）工程设计咨询有限公司、中民汇联实业有限公司、宁夏海一工程管理有限公司、宁夏同心县正力建筑材料检测有限公司、宁夏路达施工图审查咨询有限公司及同心县建设工程质量监督站完成验收，且出具了验收报告。</w:t>
      </w:r>
      <w:r>
        <w:rPr>
          <w:rFonts w:hint="eastAsia" w:ascii="Times New Roman" w:hAnsi="Times New Roman" w:eastAsia="方正仿宋_GBK" w:cs="Times New Roman"/>
          <w:sz w:val="30"/>
          <w:szCs w:val="30"/>
          <w:lang w:val="en-US" w:eastAsia="zh-CN"/>
        </w:rPr>
        <w:t>该指标本项满分 8分，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8</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5</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eastAsia="方正仿宋_GBK" w:cs="Times New Roman"/>
          <w:spacing w:val="0"/>
          <w:kern w:val="0"/>
          <w:sz w:val="30"/>
          <w:szCs w:val="30"/>
          <w:lang w:val="en-US" w:eastAsia="zh-CN" w:bidi="zh-CN"/>
        </w:rPr>
        <w:t>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3"/>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36" w:name="_Toc4341"/>
      <w:bookmarkStart w:id="137" w:name="_Toc2445"/>
      <w:bookmarkStart w:id="138" w:name="_Toc13818"/>
      <w:bookmarkStart w:id="139" w:name="_Toc4279"/>
      <w:bookmarkStart w:id="140" w:name="_Toc25249"/>
      <w:r>
        <w:rPr>
          <w:rFonts w:hint="default" w:ascii="Times New Roman" w:hAnsi="Times New Roman" w:cs="Times New Roman"/>
          <w:lang w:val="en-US" w:eastAsia="zh-CN"/>
        </w:rPr>
        <w:t>（1）资金到位及时率</w:t>
      </w:r>
      <w:bookmarkEnd w:id="136"/>
      <w:bookmarkEnd w:id="137"/>
      <w:bookmarkEnd w:id="138"/>
      <w:bookmarkEnd w:id="139"/>
      <w:bookmarkEnd w:id="140"/>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通过对同心县</w:t>
      </w:r>
      <w:r>
        <w:rPr>
          <w:rFonts w:hint="eastAsia" w:ascii="Times New Roman" w:hAnsi="Times New Roman" w:eastAsia="方正仿宋_GBK" w:cs="Times New Roman"/>
          <w:spacing w:val="0"/>
          <w:kern w:val="0"/>
          <w:sz w:val="30"/>
          <w:szCs w:val="30"/>
          <w:lang w:val="en-US" w:eastAsia="zh-CN" w:bidi="zh-CN"/>
        </w:rPr>
        <w:t>餐厨垃圾协同污泥处理工程</w:t>
      </w:r>
      <w:r>
        <w:rPr>
          <w:rFonts w:hint="default" w:ascii="Times New Roman" w:hAnsi="Times New Roman" w:eastAsia="方正仿宋_GBK" w:cs="Times New Roman"/>
          <w:spacing w:val="0"/>
          <w:kern w:val="0"/>
          <w:sz w:val="30"/>
          <w:szCs w:val="30"/>
          <w:lang w:val="en-US" w:eastAsia="zh-CN" w:bidi="zh-CN"/>
        </w:rPr>
        <w:t>项目资金使用计划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pStyle w:val="3"/>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1" w:name="_Toc19549"/>
      <w:bookmarkStart w:id="142" w:name="_Toc29765"/>
      <w:bookmarkStart w:id="143" w:name="_Toc2959"/>
      <w:bookmarkStart w:id="144" w:name="_Toc21408"/>
      <w:bookmarkStart w:id="145" w:name="_Toc2846"/>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41"/>
      <w:bookmarkEnd w:id="142"/>
      <w:bookmarkEnd w:id="143"/>
      <w:bookmarkEnd w:id="144"/>
      <w:bookmarkEnd w:id="145"/>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经现场资料审核，项目合同约定工期202</w:t>
      </w:r>
      <w:r>
        <w:rPr>
          <w:rFonts w:hint="eastAsia" w:ascii="Times New Roman" w:hAnsi="Times New Roman" w:eastAsia="方正仿宋_GBK" w:cs="Times New Roman"/>
          <w:spacing w:val="0"/>
          <w:kern w:val="0"/>
          <w:sz w:val="30"/>
          <w:szCs w:val="30"/>
          <w:lang w:val="en-US" w:eastAsia="zh-CN" w:bidi="zh-CN"/>
        </w:rPr>
        <w:t>0</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22</w:t>
      </w:r>
      <w:r>
        <w:rPr>
          <w:rFonts w:hint="default" w:ascii="Times New Roman" w:hAnsi="Times New Roman" w:eastAsia="方正仿宋_GBK" w:cs="Times New Roman"/>
          <w:spacing w:val="0"/>
          <w:kern w:val="0"/>
          <w:sz w:val="30"/>
          <w:szCs w:val="30"/>
          <w:lang w:val="en-US" w:eastAsia="zh-CN" w:bidi="zh-CN"/>
        </w:rPr>
        <w:t>日—202</w:t>
      </w:r>
      <w:r>
        <w:rPr>
          <w:rFonts w:hint="eastAsia" w:ascii="Times New Roman" w:hAnsi="Times New Roman" w:eastAsia="方正仿宋_GBK" w:cs="Times New Roman"/>
          <w:spacing w:val="0"/>
          <w:kern w:val="0"/>
          <w:sz w:val="30"/>
          <w:szCs w:val="30"/>
          <w:lang w:val="en-US" w:eastAsia="zh-CN" w:bidi="zh-CN"/>
        </w:rPr>
        <w:t>1</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11</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26</w:t>
      </w:r>
      <w:r>
        <w:rPr>
          <w:rFonts w:hint="default" w:ascii="Times New Roman" w:hAnsi="Times New Roman" w:eastAsia="方正仿宋_GBK" w:cs="Times New Roman"/>
          <w:spacing w:val="0"/>
          <w:kern w:val="0"/>
          <w:sz w:val="30"/>
          <w:szCs w:val="30"/>
          <w:lang w:val="en-US" w:eastAsia="zh-CN" w:bidi="zh-CN"/>
        </w:rPr>
        <w:t>日，项目实际开完工时间202</w:t>
      </w:r>
      <w:r>
        <w:rPr>
          <w:rFonts w:hint="eastAsia" w:ascii="Times New Roman" w:hAnsi="Times New Roman" w:eastAsia="方正仿宋_GBK" w:cs="Times New Roman"/>
          <w:spacing w:val="0"/>
          <w:kern w:val="0"/>
          <w:sz w:val="30"/>
          <w:szCs w:val="30"/>
          <w:lang w:val="en-US" w:eastAsia="zh-CN" w:bidi="zh-CN"/>
        </w:rPr>
        <w:t>1</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月1日—202</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1</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31</w:t>
      </w:r>
      <w:r>
        <w:rPr>
          <w:rFonts w:hint="default" w:ascii="Times New Roman" w:hAnsi="Times New Roman" w:eastAsia="方正仿宋_GBK" w:cs="Times New Roman"/>
          <w:spacing w:val="0"/>
          <w:kern w:val="0"/>
          <w:sz w:val="30"/>
          <w:szCs w:val="30"/>
          <w:lang w:val="en-US" w:eastAsia="zh-CN" w:bidi="zh-CN"/>
        </w:rPr>
        <w:t>日，未严格按照合同约定履行工期。该指标本项满分3分，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default" w:ascii="Times New Roman" w:hAnsi="Times New Roman" w:eastAsia="方正仿宋_GBK" w:cs="Times New Roman"/>
          <w:spacing w:val="0"/>
          <w:kern w:val="0"/>
          <w:sz w:val="30"/>
          <w:szCs w:val="30"/>
          <w:lang w:val="en-US" w:eastAsia="zh-CN" w:bidi="zh-CN"/>
        </w:rPr>
        <w:t>。</w:t>
      </w:r>
    </w:p>
    <w:p>
      <w:pPr>
        <w:pStyle w:val="3"/>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6" w:name="_Toc4766"/>
      <w:bookmarkStart w:id="147" w:name="_Toc28563"/>
      <w:bookmarkStart w:id="148" w:name="_Toc13913"/>
      <w:bookmarkStart w:id="149" w:name="_Toc30038"/>
      <w:bookmarkStart w:id="150" w:name="_Toc25495"/>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46"/>
      <w:bookmarkEnd w:id="147"/>
      <w:bookmarkEnd w:id="148"/>
      <w:bookmarkEnd w:id="149"/>
      <w:bookmarkEnd w:id="150"/>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w:t>
      </w:r>
      <w:r>
        <w:rPr>
          <w:rFonts w:hint="eastAsia" w:ascii="Times New Roman" w:hAnsi="Times New Roman" w:eastAsia="方正仿宋_GBK" w:cs="Times New Roman"/>
          <w:spacing w:val="0"/>
          <w:kern w:val="0"/>
          <w:sz w:val="30"/>
          <w:szCs w:val="30"/>
          <w:lang w:val="en-US" w:eastAsia="zh-CN" w:bidi="zh-CN"/>
        </w:rPr>
        <w:t>未</w:t>
      </w:r>
      <w:r>
        <w:rPr>
          <w:rFonts w:hint="default" w:ascii="Times New Roman" w:hAnsi="Times New Roman" w:eastAsia="方正仿宋_GBK" w:cs="Times New Roman"/>
          <w:spacing w:val="0"/>
          <w:kern w:val="0"/>
          <w:sz w:val="30"/>
          <w:szCs w:val="30"/>
          <w:lang w:val="en-US" w:eastAsia="zh-CN" w:bidi="zh-CN"/>
        </w:rPr>
        <w:t>按期完成结算审核并报审，结算审核</w:t>
      </w:r>
      <w:r>
        <w:rPr>
          <w:rFonts w:hint="eastAsia" w:ascii="Times New Roman" w:hAnsi="Times New Roman" w:eastAsia="方正仿宋_GBK" w:cs="Times New Roman"/>
          <w:spacing w:val="0"/>
          <w:kern w:val="0"/>
          <w:sz w:val="30"/>
          <w:szCs w:val="30"/>
          <w:lang w:val="en-US" w:eastAsia="zh-CN" w:bidi="zh-CN"/>
        </w:rPr>
        <w:t>较为滞后</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3"/>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51" w:name="_Toc19112"/>
      <w:bookmarkStart w:id="152" w:name="_Toc15238"/>
      <w:bookmarkStart w:id="153" w:name="_Toc8418"/>
      <w:bookmarkStart w:id="154" w:name="_Toc9592"/>
      <w:bookmarkStart w:id="155" w:name="_Toc26427"/>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51"/>
      <w:bookmarkEnd w:id="152"/>
      <w:bookmarkEnd w:id="153"/>
      <w:bookmarkEnd w:id="154"/>
      <w:bookmarkEnd w:id="155"/>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4.产出成本方面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4429.64万元、中标合同价总额3770.07万元。从施工单位提交的中标通知书结果来看，本项目建设投资成本总额控制在初步设计批复总额以内。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3"/>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56" w:name="_Toc17947"/>
      <w:bookmarkStart w:id="157" w:name="_Toc21955"/>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56"/>
      <w:bookmarkEnd w:id="157"/>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本项指标共设3个二级指标、4个三级指标，权重分值26分，评价得分26分，得分率为 100.00%。具体评价指标分析如下：</w:t>
      </w:r>
    </w:p>
    <w:p>
      <w:pPr>
        <w:keepNext w:val="0"/>
        <w:keepLines w:val="0"/>
        <w:pageBreakBefore w:val="0"/>
        <w:widowControl/>
        <w:numPr>
          <w:ilvl w:val="0"/>
          <w:numId w:val="3"/>
        </w:numPr>
        <w:suppressLineNumbers w:val="0"/>
        <w:kinsoku/>
        <w:wordWrap/>
        <w:overflowPunct w:val="0"/>
        <w:topLinePunct w:val="0"/>
        <w:autoSpaceDE/>
        <w:autoSpaceDN/>
        <w:bidi w:val="0"/>
        <w:adjustRightInd/>
        <w:snapToGrid/>
        <w:ind w:left="0" w:leftChars="0" w:firstLine="632" w:firstLineChars="200"/>
        <w:jc w:val="both"/>
        <w:textAlignment w:val="auto"/>
        <w:rPr>
          <w:rFonts w:hint="eastAsia" w:ascii="Times New Roman" w:hAnsi="Times New Roman" w:eastAsia="楷体" w:cs="Times New Roman"/>
          <w:b/>
          <w:kern w:val="2"/>
          <w:sz w:val="32"/>
          <w:szCs w:val="32"/>
          <w:lang w:val="en-US" w:eastAsia="zh-CN" w:bidi="ar-SA"/>
        </w:rPr>
      </w:pPr>
      <w:r>
        <w:rPr>
          <w:rFonts w:hint="eastAsia" w:ascii="Times New Roman" w:hAnsi="Times New Roman" w:eastAsia="楷体" w:cs="Times New Roman"/>
          <w:b/>
          <w:kern w:val="2"/>
          <w:sz w:val="32"/>
          <w:szCs w:val="32"/>
          <w:lang w:val="en-US" w:eastAsia="zh-CN" w:bidi="ar-SA"/>
        </w:rPr>
        <w:t>逐步改善城市卫生环境</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本项目以循环经济理念，系统化规划和建设的原则。根据城市环境卫生规划和可持续发展要求，本着处理设施集约化建设、节能减排和循环经济的原则，针对</w:t>
      </w:r>
      <w:r>
        <w:rPr>
          <w:rFonts w:hint="eastAsia" w:ascii="Times New Roman" w:hAnsi="Times New Roman" w:eastAsia="方正仿宋_GBK" w:cs="Times New Roman"/>
          <w:color w:val="auto"/>
          <w:kern w:val="2"/>
          <w:sz w:val="30"/>
          <w:szCs w:val="30"/>
          <w:highlight w:val="none"/>
          <w:lang w:val="en-US" w:eastAsia="zh-CN" w:bidi="ar-SA"/>
        </w:rPr>
        <w:t>污水处理厂</w:t>
      </w:r>
      <w:r>
        <w:rPr>
          <w:rFonts w:hint="default" w:ascii="Times New Roman" w:hAnsi="Times New Roman" w:eastAsia="方正仿宋_GBK" w:cs="Times New Roman"/>
          <w:color w:val="auto"/>
          <w:kern w:val="2"/>
          <w:sz w:val="30"/>
          <w:szCs w:val="30"/>
          <w:highlight w:val="none"/>
          <w:lang w:val="en-US" w:eastAsia="zh-CN" w:bidi="ar-SA"/>
        </w:rPr>
        <w:t>污泥、餐厨垃圾特性，通过对城市污水厂污泥、餐厨垃圾、农村秸秆垃圾协同处理和资源化利用技术，使得污水处理厂污泥、城市餐厨垃圾得到分类处置，进一步实现垃圾的减量化、无害化、稳定化，并作为园林、绿化、土地改良剂资源化利用。</w:t>
      </w:r>
    </w:p>
    <w:p>
      <w:pPr>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color w:val="auto"/>
          <w:kern w:val="2"/>
          <w:sz w:val="30"/>
          <w:szCs w:val="30"/>
          <w:highlight w:val="none"/>
          <w:lang w:val="en-US" w:eastAsia="zh-CN" w:bidi="ar-SA"/>
        </w:rPr>
        <w:t>建成后，可切实满足</w:t>
      </w:r>
      <w:r>
        <w:rPr>
          <w:rFonts w:hint="eastAsia" w:ascii="Times New Roman" w:hAnsi="Times New Roman" w:eastAsia="方正仿宋_GBK" w:cs="Times New Roman"/>
          <w:color w:val="auto"/>
          <w:kern w:val="2"/>
          <w:sz w:val="30"/>
          <w:szCs w:val="30"/>
          <w:highlight w:val="none"/>
          <w:lang w:val="en-US" w:eastAsia="zh-CN" w:bidi="ar-SA"/>
        </w:rPr>
        <w:t>同心县</w:t>
      </w:r>
      <w:r>
        <w:rPr>
          <w:rFonts w:hint="default" w:ascii="Times New Roman" w:hAnsi="Times New Roman" w:eastAsia="方正仿宋_GBK" w:cs="Times New Roman"/>
          <w:color w:val="auto"/>
          <w:kern w:val="2"/>
          <w:sz w:val="30"/>
          <w:szCs w:val="30"/>
          <w:highlight w:val="none"/>
          <w:lang w:val="en-US" w:eastAsia="zh-CN" w:bidi="ar-SA"/>
        </w:rPr>
        <w:t>城区</w:t>
      </w:r>
      <w:r>
        <w:rPr>
          <w:rFonts w:hint="eastAsia" w:ascii="Times New Roman" w:hAnsi="Times New Roman" w:eastAsia="方正仿宋_GBK" w:cs="Times New Roman"/>
          <w:color w:val="auto"/>
          <w:kern w:val="2"/>
          <w:sz w:val="30"/>
          <w:szCs w:val="30"/>
          <w:highlight w:val="none"/>
          <w:lang w:val="en-US" w:eastAsia="zh-CN" w:bidi="ar-SA"/>
        </w:rPr>
        <w:t>生活污水</w:t>
      </w:r>
      <w:r>
        <w:rPr>
          <w:rFonts w:hint="default" w:ascii="Times New Roman" w:hAnsi="Times New Roman" w:eastAsia="方正仿宋_GBK" w:cs="Times New Roman"/>
          <w:color w:val="auto"/>
          <w:kern w:val="2"/>
          <w:sz w:val="30"/>
          <w:szCs w:val="30"/>
          <w:highlight w:val="none"/>
          <w:lang w:val="en-US" w:eastAsia="zh-CN" w:bidi="ar-SA"/>
        </w:rPr>
        <w:t>和餐厨垃圾处理的需求，进一步完善</w:t>
      </w:r>
      <w:r>
        <w:rPr>
          <w:rFonts w:hint="eastAsia" w:ascii="Times New Roman" w:hAnsi="Times New Roman" w:eastAsia="方正仿宋_GBK" w:cs="Times New Roman"/>
          <w:color w:val="auto"/>
          <w:kern w:val="2"/>
          <w:sz w:val="30"/>
          <w:szCs w:val="30"/>
          <w:highlight w:val="none"/>
          <w:lang w:val="en-US" w:eastAsia="zh-CN" w:bidi="ar-SA"/>
        </w:rPr>
        <w:t>同心县</w:t>
      </w:r>
      <w:r>
        <w:rPr>
          <w:rFonts w:hint="default" w:ascii="Times New Roman" w:hAnsi="Times New Roman" w:eastAsia="方正仿宋_GBK" w:cs="Times New Roman"/>
          <w:color w:val="auto"/>
          <w:kern w:val="2"/>
          <w:sz w:val="30"/>
          <w:szCs w:val="30"/>
          <w:highlight w:val="none"/>
          <w:lang w:val="en-US" w:eastAsia="zh-CN" w:bidi="ar-SA"/>
        </w:rPr>
        <w:t>基础设施和城市功能，改善城市卫生环境，提升</w:t>
      </w:r>
      <w:r>
        <w:rPr>
          <w:rFonts w:hint="eastAsia" w:ascii="Times New Roman" w:hAnsi="Times New Roman" w:eastAsia="方正仿宋_GBK" w:cs="Times New Roman"/>
          <w:color w:val="auto"/>
          <w:kern w:val="2"/>
          <w:sz w:val="30"/>
          <w:szCs w:val="30"/>
          <w:highlight w:val="none"/>
          <w:lang w:val="en-US" w:eastAsia="zh-CN" w:bidi="ar-SA"/>
        </w:rPr>
        <w:t>同心县</w:t>
      </w:r>
      <w:r>
        <w:rPr>
          <w:rFonts w:hint="default" w:ascii="Times New Roman" w:hAnsi="Times New Roman" w:eastAsia="方正仿宋_GBK" w:cs="Times New Roman"/>
          <w:color w:val="auto"/>
          <w:kern w:val="2"/>
          <w:sz w:val="30"/>
          <w:szCs w:val="30"/>
          <w:highlight w:val="none"/>
          <w:lang w:val="en-US" w:eastAsia="zh-CN" w:bidi="ar-SA"/>
        </w:rPr>
        <w:t>的形象和品位，有力推动</w:t>
      </w:r>
      <w:r>
        <w:rPr>
          <w:rFonts w:hint="eastAsia" w:ascii="Times New Roman" w:hAnsi="Times New Roman" w:eastAsia="方正仿宋_GBK" w:cs="Times New Roman"/>
          <w:color w:val="auto"/>
          <w:kern w:val="2"/>
          <w:sz w:val="30"/>
          <w:szCs w:val="30"/>
          <w:highlight w:val="none"/>
          <w:lang w:val="en-US" w:eastAsia="zh-CN" w:bidi="ar-SA"/>
        </w:rPr>
        <w:t>同心县</w:t>
      </w:r>
      <w:r>
        <w:rPr>
          <w:rFonts w:hint="default" w:ascii="Times New Roman" w:hAnsi="Times New Roman" w:eastAsia="方正仿宋_GBK" w:cs="Times New Roman"/>
          <w:color w:val="auto"/>
          <w:kern w:val="2"/>
          <w:sz w:val="30"/>
          <w:szCs w:val="30"/>
          <w:highlight w:val="none"/>
          <w:lang w:val="en-US" w:eastAsia="zh-CN" w:bidi="ar-SA"/>
        </w:rPr>
        <w:t>经济社会的快速发展</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10</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10</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bookmarkStart w:id="158" w:name="_Toc11426"/>
      <w:bookmarkStart w:id="159" w:name="_Toc26089"/>
      <w:r>
        <w:rPr>
          <w:rFonts w:hint="eastAsia" w:ascii="Times New Roman" w:hAnsi="Times New Roman" w:eastAsia="方正仿宋_GBK" w:cs="Times New Roman"/>
          <w:b/>
          <w:bCs/>
          <w:spacing w:val="-6"/>
          <w:sz w:val="30"/>
          <w:szCs w:val="30"/>
          <w:lang w:val="en-US" w:eastAsia="zh-CN"/>
        </w:rPr>
        <w:t>2.可持续影响性</w:t>
      </w:r>
      <w:bookmarkEnd w:id="158"/>
      <w:bookmarkEnd w:id="159"/>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楷体" w:cs="Times New Roman"/>
          <w:b/>
          <w:kern w:val="2"/>
          <w:sz w:val="30"/>
          <w:szCs w:val="30"/>
          <w:lang w:val="en-US" w:eastAsia="zh-CN" w:bidi="ar-SA"/>
        </w:rPr>
        <w:t>（1）建立健全长期维护机制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完善餐厨垃圾监管体制机制，是餐厨垃圾管理的重要环节。按照县委、县政府工作部署，制定专项整治方案、应急预案和工作计划，成立了专项工作领导小组，明确责任人和责任科室，形成了层层抓落实、一级对一级负责的工作机制。</w:t>
      </w:r>
      <w:r>
        <w:rPr>
          <w:rFonts w:hint="default" w:ascii="Times New Roman" w:hAnsi="Times New Roman" w:eastAsia="方正仿宋_GBK" w:cs="Times New Roman"/>
          <w:color w:val="auto"/>
          <w:kern w:val="2"/>
          <w:sz w:val="30"/>
          <w:szCs w:val="30"/>
          <w:highlight w:val="none"/>
          <w:lang w:val="en-US" w:eastAsia="zh-CN" w:bidi="ar-SA"/>
        </w:rPr>
        <w:t>该指标本项满分</w:t>
      </w:r>
      <w:r>
        <w:rPr>
          <w:rFonts w:hint="eastAsia" w:ascii="Times New Roman" w:hAnsi="Times New Roman" w:eastAsia="方正仿宋_GBK" w:cs="Times New Roman"/>
          <w:color w:val="auto"/>
          <w:kern w:val="2"/>
          <w:sz w:val="30"/>
          <w:szCs w:val="30"/>
          <w:highlight w:val="none"/>
          <w:lang w:val="en-US" w:eastAsia="zh-CN" w:bidi="ar-SA"/>
        </w:rPr>
        <w:t>3</w:t>
      </w:r>
      <w:r>
        <w:rPr>
          <w:rFonts w:hint="default" w:ascii="Times New Roman" w:hAnsi="Times New Roman" w:eastAsia="方正仿宋_GBK" w:cs="Times New Roman"/>
          <w:color w:val="auto"/>
          <w:kern w:val="2"/>
          <w:sz w:val="30"/>
          <w:szCs w:val="30"/>
          <w:highlight w:val="none"/>
          <w:lang w:val="en-US" w:eastAsia="zh-CN" w:bidi="ar-SA"/>
        </w:rPr>
        <w:t>分，根据评分标准得</w:t>
      </w:r>
      <w:r>
        <w:rPr>
          <w:rFonts w:hint="eastAsia" w:ascii="Times New Roman" w:hAnsi="Times New Roman" w:eastAsia="方正仿宋_GBK" w:cs="Times New Roman"/>
          <w:color w:val="auto"/>
          <w:kern w:val="2"/>
          <w:sz w:val="30"/>
          <w:szCs w:val="30"/>
          <w:highlight w:val="none"/>
          <w:lang w:val="en-US" w:eastAsia="zh-CN" w:bidi="ar-SA"/>
        </w:rPr>
        <w:t>3</w:t>
      </w:r>
      <w:r>
        <w:rPr>
          <w:rFonts w:hint="default" w:ascii="Times New Roman" w:hAnsi="Times New Roman" w:eastAsia="方正仿宋_GBK" w:cs="Times New Roman"/>
          <w:color w:val="auto"/>
          <w:kern w:val="2"/>
          <w:sz w:val="30"/>
          <w:szCs w:val="30"/>
          <w:highlight w:val="none"/>
          <w:lang w:val="en-US" w:eastAsia="zh-CN" w:bidi="ar-SA"/>
        </w:rPr>
        <w:t>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楷体" w:cs="Times New Roman"/>
          <w:b/>
          <w:kern w:val="2"/>
          <w:sz w:val="30"/>
          <w:szCs w:val="30"/>
          <w:lang w:val="en-US" w:eastAsia="zh-CN" w:bidi="ar-SA"/>
        </w:rPr>
      </w:pPr>
      <w:r>
        <w:rPr>
          <w:rFonts w:hint="eastAsia" w:ascii="Times New Roman" w:hAnsi="Times New Roman" w:eastAsia="楷体" w:cs="Times New Roman"/>
          <w:b/>
          <w:kern w:val="2"/>
          <w:sz w:val="30"/>
          <w:szCs w:val="30"/>
          <w:lang w:val="en-US" w:eastAsia="zh-CN" w:bidi="ar-SA"/>
        </w:rPr>
        <w:t>（2）档案资料完备性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项目经验收投入使用后，项目的档案管理人员同工程项目管理人员，按照相关规定对建筑工程中的所有文件进行全面审核检查，竣工材料真实、较完善，全面符合档案归档的要求。并且应该积极严格地贯彻相关规定，将竣工档案验收作为整个工程验收的关键环节，保证工程建筑档案资料的完整准确。</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p>
    <w:p>
      <w:pPr>
        <w:pStyle w:val="3"/>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60" w:name="_Toc32335"/>
      <w:bookmarkStart w:id="161" w:name="_Toc3765"/>
      <w:bookmarkStart w:id="162" w:name="_Toc25063"/>
      <w:bookmarkStart w:id="163" w:name="_Toc9957"/>
      <w:bookmarkStart w:id="164" w:name="_Toc16497"/>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60"/>
      <w:bookmarkEnd w:id="161"/>
      <w:bookmarkEnd w:id="162"/>
      <w:bookmarkEnd w:id="163"/>
      <w:bookmarkEnd w:id="16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我们通过发放调查问卷的方式，对同心县辖区常住居民、外来办事人员等进行了满意度调查，调查问卷内容包括项目建设情况、项目建设背景、社会效益等方面。经统计，项目整体的</w:t>
      </w:r>
      <w:r>
        <w:rPr>
          <w:rFonts w:hint="default" w:ascii="Times New Roman" w:hAnsi="Times New Roman" w:eastAsia="方正仿宋_GBK" w:cs="Times New Roman"/>
          <w:spacing w:val="0"/>
          <w:kern w:val="0"/>
          <w:sz w:val="30"/>
          <w:szCs w:val="30"/>
          <w:lang w:val="en-US" w:eastAsia="zh-CN" w:bidi="zh-CN"/>
        </w:rPr>
        <w:t>满意度≥90</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。该指标本项满分10分，根据评分标准得10分。</w:t>
      </w:r>
    </w:p>
    <w:p>
      <w:pPr>
        <w:pStyle w:val="2"/>
        <w:ind w:firstLine="592" w:firstLineChars="200"/>
        <w:rPr>
          <w:rFonts w:hint="eastAsia" w:asciiTheme="majorEastAsia" w:hAnsiTheme="majorEastAsia" w:eastAsiaTheme="majorEastAsia" w:cstheme="majorEastAsia"/>
          <w:b/>
          <w:bCs/>
          <w:sz w:val="30"/>
          <w:szCs w:val="30"/>
        </w:rPr>
      </w:pPr>
      <w:bookmarkStart w:id="165" w:name="_Toc1561"/>
      <w:bookmarkStart w:id="166" w:name="_Toc31782"/>
      <w:bookmarkStart w:id="167" w:name="_Toc27683"/>
      <w:r>
        <w:rPr>
          <w:rFonts w:hint="eastAsia" w:asciiTheme="majorEastAsia" w:hAnsiTheme="majorEastAsia" w:eastAsiaTheme="majorEastAsia" w:cstheme="majorEastAsia"/>
          <w:b/>
          <w:bCs/>
          <w:sz w:val="30"/>
          <w:szCs w:val="30"/>
          <w:lang w:val="en-US" w:eastAsia="zh-CN"/>
        </w:rPr>
        <w:t>七</w:t>
      </w:r>
      <w:r>
        <w:rPr>
          <w:rFonts w:hint="eastAsia" w:asciiTheme="majorEastAsia" w:hAnsiTheme="majorEastAsia" w:eastAsiaTheme="majorEastAsia" w:cstheme="majorEastAsia"/>
          <w:b/>
          <w:bCs/>
          <w:sz w:val="30"/>
          <w:szCs w:val="30"/>
        </w:rPr>
        <w:t>、主要经验做法、存在问题及建议</w:t>
      </w:r>
      <w:bookmarkEnd w:id="165"/>
      <w:bookmarkEnd w:id="166"/>
      <w:bookmarkEnd w:id="167"/>
    </w:p>
    <w:p>
      <w:pPr>
        <w:pStyle w:val="3"/>
        <w:ind w:firstLine="562"/>
        <w:rPr>
          <w:rFonts w:ascii="方正楷体_GBK" w:hAnsi="方正楷体_GBK" w:eastAsia="方正楷体_GBK" w:cs="方正楷体_GBK"/>
          <w:b/>
          <w:bCs w:val="0"/>
          <w:sz w:val="32"/>
          <w:szCs w:val="32"/>
        </w:rPr>
      </w:pPr>
      <w:bookmarkStart w:id="168" w:name="_Toc12803"/>
      <w:bookmarkStart w:id="169" w:name="_Toc19800"/>
      <w:bookmarkStart w:id="170" w:name="_Toc4904"/>
      <w:r>
        <w:rPr>
          <w:rFonts w:hint="eastAsia" w:ascii="方正楷体_GBK" w:hAnsi="方正楷体_GBK" w:eastAsia="方正楷体_GBK" w:cs="方正楷体_GBK"/>
          <w:b/>
          <w:bCs w:val="0"/>
          <w:sz w:val="32"/>
          <w:szCs w:val="32"/>
        </w:rPr>
        <w:t>（一）经验做法</w:t>
      </w:r>
      <w:bookmarkEnd w:id="168"/>
      <w:bookmarkEnd w:id="169"/>
      <w:bookmarkEnd w:id="170"/>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spacing w:val="0"/>
          <w:kern w:val="0"/>
          <w:sz w:val="30"/>
          <w:szCs w:val="30"/>
          <w:lang w:val="en-US" w:eastAsia="zh-CN" w:bidi="zh-CN"/>
        </w:rPr>
        <w:t>同心县餐厨垃圾协同污泥处理工程项目</w:t>
      </w:r>
      <w:r>
        <w:rPr>
          <w:rFonts w:hint="default" w:ascii="Times New Roman" w:hAnsi="Times New Roman" w:eastAsia="方正仿宋_GBK" w:cs="Times New Roman"/>
          <w:spacing w:val="0"/>
          <w:kern w:val="0"/>
          <w:sz w:val="30"/>
          <w:szCs w:val="30"/>
          <w:lang w:val="en-US" w:eastAsia="zh-CN" w:bidi="zh-CN"/>
        </w:rPr>
        <w:t>实施方面取得了一定的成就</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经验和做法主要有以下几个方面：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一是</w:t>
      </w:r>
      <w:r>
        <w:rPr>
          <w:rFonts w:hint="eastAsia" w:ascii="Times New Roman" w:hAnsi="Times New Roman" w:eastAsia="方正仿宋_GBK" w:cs="Times New Roman"/>
          <w:spacing w:val="0"/>
          <w:kern w:val="0"/>
          <w:sz w:val="30"/>
          <w:szCs w:val="30"/>
          <w:lang w:val="en-US" w:eastAsia="zh-CN" w:bidi="zh-CN"/>
        </w:rPr>
        <w:t>项目建设单位严格执行国家基本建设程序，建立了“政府监督、项目法人负责、社会监督、企业保证”的质量管理体系，推行“四制”管理。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spacing w:val="0"/>
          <w:kern w:val="0"/>
          <w:sz w:val="30"/>
          <w:szCs w:val="30"/>
          <w:lang w:val="en-US" w:eastAsia="zh-CN" w:bidi="zh-CN"/>
        </w:rPr>
        <w:t>工程施工中各参建单位按照工程建设管理要求进行现场管理，在施工现场成立了机构，分别负责技术、施工管理、施工协调、质量监督、财务管理，单位人员到位职责明确、措施到位、质量控制体系健全；施工单位严把材料质量关，坚决杜绝不合格材料进场，严格执行“三检制”要求，保证了各项工作按施工规范进行施工，工程质量得到了有效保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三是</w:t>
      </w:r>
      <w:r>
        <w:rPr>
          <w:rFonts w:hint="eastAsia" w:ascii="Times New Roman" w:hAnsi="Times New Roman" w:eastAsia="方正仿宋_GBK" w:cs="Times New Roman"/>
          <w:spacing w:val="0"/>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四是</w:t>
      </w:r>
      <w:r>
        <w:rPr>
          <w:rFonts w:hint="eastAsia" w:ascii="Times New Roman" w:hAnsi="Times New Roman" w:eastAsia="方正仿宋_GBK" w:cs="Times New Roman"/>
          <w:spacing w:val="0"/>
          <w:kern w:val="0"/>
          <w:sz w:val="30"/>
          <w:szCs w:val="30"/>
          <w:lang w:val="en-US" w:eastAsia="zh-CN" w:bidi="zh-CN"/>
        </w:rPr>
        <w:t>监理单位实施了现场监理并对重点部位、关键工序实行了旁站监理，严把审核关，工程质量得到有效控制，保证了各项工作的相衔接。</w:t>
      </w:r>
    </w:p>
    <w:p>
      <w:pPr>
        <w:pStyle w:val="3"/>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71" w:name="_Toc13811"/>
      <w:bookmarkStart w:id="172" w:name="_Toc26552"/>
      <w:bookmarkStart w:id="173" w:name="_Toc14234"/>
      <w:r>
        <w:rPr>
          <w:rFonts w:hint="eastAsia" w:ascii="方正楷体_GBK" w:hAnsi="方正楷体_GBK" w:eastAsia="方正楷体_GBK" w:cs="方正楷体_GBK"/>
          <w:b/>
          <w:bCs w:val="0"/>
          <w:sz w:val="32"/>
          <w:szCs w:val="32"/>
        </w:rPr>
        <w:t>（二）存在的问题</w:t>
      </w:r>
      <w:bookmarkEnd w:id="171"/>
      <w:bookmarkEnd w:id="172"/>
      <w:bookmarkEnd w:id="173"/>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1.项目施工未严格履行合同约定。</w:t>
      </w:r>
    </w:p>
    <w:p>
      <w:pPr>
        <w:keepNext w:val="0"/>
        <w:keepLines w:val="0"/>
        <w:widowControl/>
        <w:suppressLineNumbers w:val="0"/>
        <w:jc w:val="left"/>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于2020年10月15日进行公开招标确定中民汇联事业有限公司为项目中标单位，2020年10月26日签署施工合同中明确规定开完工时间2020年10月22日—2021年11月26日。经现场资料查阅，实际开完工时间为2021年4月1日—2021年8月20日，项目实施过程中未能严格按照合同约定时间履行。</w:t>
      </w:r>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w:t>
      </w:r>
      <w:bookmarkStart w:id="174" w:name="_Toc27748"/>
      <w:r>
        <w:rPr>
          <w:rFonts w:hint="eastAsia" w:ascii="Times New Roman" w:hAnsi="Times New Roman" w:eastAsia="方正仿宋_GBK" w:cs="Times New Roman"/>
          <w:b/>
          <w:bCs/>
          <w:kern w:val="2"/>
          <w:sz w:val="30"/>
          <w:szCs w:val="30"/>
          <w:lang w:val="en-US" w:eastAsia="zh-CN" w:bidi="zh-CN"/>
        </w:rPr>
        <w:t>工程结算审核较为滞后。</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2023年1月31日完成竣工验收且取得竣工验收报告，经现场资料查阅，截至评价时段，项目结算未有效开展，导致后续财务决算相继无法实施，未能及时转入固定资产或公共基础设施，不利于资产管理工作的有效落实</w:t>
      </w:r>
    </w:p>
    <w:p>
      <w:pPr>
        <w:pStyle w:val="3"/>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75" w:name="_Toc4816"/>
      <w:r>
        <w:rPr>
          <w:rFonts w:hint="eastAsia" w:ascii="方正楷体_GBK" w:hAnsi="方正楷体_GBK" w:eastAsia="方正楷体_GBK" w:cs="方正楷体_GBK"/>
          <w:color w:val="333333"/>
          <w:sz w:val="30"/>
          <w:szCs w:val="30"/>
          <w:shd w:val="clear" w:fill="FFFFFF"/>
          <w:lang w:val="en-US" w:eastAsia="zh-CN" w:bidi="zh-CN"/>
        </w:rPr>
        <w:t>（三）建议</w:t>
      </w:r>
      <w:bookmarkEnd w:id="174"/>
      <w:bookmarkEnd w:id="175"/>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1.科学谋划，加强履约管理。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Times New Roman" w:hAnsi="Times New Roman" w:eastAsia="方正仿宋_GBK" w:cs="Times New Roman"/>
          <w:b w:val="0"/>
          <w:kern w:val="2"/>
          <w:sz w:val="30"/>
          <w:szCs w:val="30"/>
          <w:lang w:val="en-US" w:eastAsia="zh-CN" w:bidi="zh-CN"/>
        </w:rPr>
        <w:t>当发包人与承包人签订建筑工程合同后，任何一方都应该严格遵守合同约定，积极履行合同</w:t>
      </w:r>
      <w:r>
        <w:rPr>
          <w:rFonts w:hint="eastAsia" w:ascii="方正仿宋_GBK" w:hAnsi="方正仿宋_GBK" w:eastAsia="方正仿宋_GBK" w:cs="方正仿宋_GBK"/>
          <w:color w:val="000000"/>
          <w:kern w:val="0"/>
          <w:sz w:val="30"/>
          <w:szCs w:val="30"/>
          <w:lang w:val="en-US" w:eastAsia="zh-CN" w:bidi="ar"/>
        </w:rPr>
        <w:t>。要科学安排工期，有序组织施工，高标准推进项目建设。</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2.加快结算审计，尽早发挥效益。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Times New Roman" w:hAnsi="Times New Roman" w:eastAsia="方正仿宋_GBK" w:cs="Times New Roman"/>
          <w:b/>
          <w:bCs/>
          <w:spacing w:val="0"/>
          <w:kern w:val="0"/>
          <w:sz w:val="30"/>
          <w:szCs w:val="30"/>
          <w:lang w:val="en-US" w:eastAsia="zh-CN" w:bidi="zh-CN"/>
        </w:rPr>
        <w:t>一是</w:t>
      </w:r>
      <w:r>
        <w:rPr>
          <w:rFonts w:hint="eastAsia" w:ascii="方正仿宋_GBK" w:hAnsi="方正仿宋_GBK" w:eastAsia="方正仿宋_GBK" w:cs="方正仿宋_GBK"/>
          <w:color w:val="000000"/>
          <w:kern w:val="0"/>
          <w:sz w:val="30"/>
          <w:szCs w:val="30"/>
          <w:lang w:val="en-US" w:eastAsia="zh-CN" w:bidi="ar"/>
        </w:rPr>
        <w:t>加快结算审核工作，避免资金沉淀；</w:t>
      </w:r>
      <w:r>
        <w:rPr>
          <w:rFonts w:hint="eastAsia" w:ascii="Times New Roman" w:hAnsi="Times New Roman" w:eastAsia="方正仿宋_GBK" w:cs="Times New Roman"/>
          <w:b/>
          <w:bCs/>
          <w:spacing w:val="0"/>
          <w:kern w:val="0"/>
          <w:sz w:val="30"/>
          <w:szCs w:val="30"/>
          <w:lang w:val="en-US" w:eastAsia="zh-CN" w:bidi="zh-CN"/>
        </w:rPr>
        <w:t>二是</w:t>
      </w:r>
      <w:r>
        <w:rPr>
          <w:rFonts w:hint="eastAsia" w:ascii="方正仿宋_GBK" w:hAnsi="方正仿宋_GBK" w:eastAsia="方正仿宋_GBK" w:cs="方正仿宋_GBK"/>
          <w:color w:val="000000"/>
          <w:kern w:val="0"/>
          <w:sz w:val="30"/>
          <w:szCs w:val="30"/>
          <w:lang w:val="en-US" w:eastAsia="zh-CN" w:bidi="ar"/>
        </w:rPr>
        <w:t>按照《关于迅速开展已使用在建工程转固专项整治工作》文件要求，加快办理具备转固条件的竣工项目转固手续。同时，逐步建立健全资产管理长效机制，加强对本单位固定资产、公共基础设施等资产管理，促进资产管理提质增效。</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keepNext w:val="0"/>
        <w:keepLines w:val="0"/>
        <w:pageBreakBefore w:val="0"/>
        <w:widowControl/>
        <w:numPr>
          <w:ilvl w:val="0"/>
          <w:numId w:val="4"/>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heme="majorEastAsia" w:hAnsiTheme="majorEastAsia" w:eastAsiaTheme="majorEastAsia" w:cstheme="majorEastAsia"/>
          <w:b/>
          <w:bCs/>
          <w:kern w:val="44"/>
          <w:sz w:val="30"/>
          <w:szCs w:val="30"/>
          <w:lang w:val="en-US" w:eastAsia="zh-CN" w:bidi="ar-SA"/>
        </w:rPr>
      </w:pPr>
      <w:r>
        <w:rPr>
          <w:rFonts w:hint="eastAsia" w:asciiTheme="majorEastAsia" w:hAnsiTheme="majorEastAsia" w:eastAsiaTheme="majorEastAsia" w:cstheme="majorEastAsia"/>
          <w:b/>
          <w:bCs/>
          <w:kern w:val="44"/>
          <w:sz w:val="30"/>
          <w:szCs w:val="30"/>
          <w:lang w:val="en-US" w:eastAsia="zh-CN" w:bidi="ar-SA"/>
        </w:rPr>
        <w:t>其他需要说明的问题</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同心县餐厨垃圾协同污泥处理工程项目项目补助资金有关的方面。同时评价报告及结论也受评价人员对项目的了解程度、专业知识和评价能力的限制，因此，本绩效评价报告仅对同心县餐厨垃圾协同污泥处理工程项目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Style w:val="4"/>
        <w:ind w:left="0" w:leftChars="0" w:firstLine="0" w:firstLineChars="0"/>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p>
    <w:p>
      <w:pPr>
        <w:snapToGrid w:val="0"/>
        <w:spacing w:line="560" w:lineRule="exact"/>
        <w:ind w:left="0" w:leftChars="0" w:firstLine="0" w:firstLineChars="0"/>
        <w:jc w:val="both"/>
        <w:rPr>
          <w:rFonts w:hint="eastAsia" w:ascii="Times New Roman" w:hAnsi="Times New Roman" w:eastAsia="方正仿宋_GB2312" w:cs="Times New Roman"/>
          <w:b w:val="0"/>
          <w:bCs w:val="0"/>
          <w:sz w:val="28"/>
          <w:szCs w:val="28"/>
          <w:lang w:val="zh-CN"/>
        </w:rPr>
      </w:pPr>
      <w:r>
        <w:rPr>
          <w:rFonts w:hint="eastAsia" w:ascii="Times New Roman" w:hAnsi="Times New Roman" w:eastAsia="方正仿宋_GB2312" w:cs="Times New Roman"/>
          <w:b w:val="0"/>
          <w:bCs w:val="0"/>
          <w:sz w:val="28"/>
          <w:szCs w:val="28"/>
          <w:lang w:val="zh-CN"/>
        </w:rPr>
        <w:t>（</w:t>
      </w:r>
      <w:r>
        <w:rPr>
          <w:rFonts w:hint="eastAsia" w:ascii="Times New Roman" w:hAnsi="Times New Roman" w:eastAsia="方正仿宋_GB2312" w:cs="Times New Roman"/>
          <w:b w:val="0"/>
          <w:bCs w:val="0"/>
          <w:sz w:val="28"/>
          <w:szCs w:val="28"/>
          <w:lang w:val="en-US" w:eastAsia="zh-CN"/>
        </w:rPr>
        <w:t>此页未签署页，无正文</w:t>
      </w:r>
      <w:r>
        <w:rPr>
          <w:rFonts w:hint="eastAsia" w:ascii="Times New Roman" w:hAnsi="Times New Roman" w:eastAsia="方正仿宋_GB2312" w:cs="Times New Roman"/>
          <w:b w:val="0"/>
          <w:bCs w:val="0"/>
          <w:sz w:val="28"/>
          <w:szCs w:val="28"/>
          <w:lang w:val="zh-CN"/>
        </w:rPr>
        <w:t>）</w:t>
      </w: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pStyle w:val="4"/>
        <w:rPr>
          <w:rFonts w:hint="eastAsia" w:ascii="Times New Roman" w:hAnsi="Times New Roman" w:eastAsia="方正仿宋_GB2312" w:cs="Times New Roman"/>
          <w:sz w:val="28"/>
          <w:szCs w:val="28"/>
          <w:lang w:val="zh-CN"/>
        </w:rPr>
      </w:pPr>
    </w:p>
    <w:p>
      <w:pPr>
        <w:rPr>
          <w:rFonts w:hint="eastAsia"/>
          <w:lang w:val="zh-CN"/>
        </w:rPr>
      </w:pPr>
    </w:p>
    <w:p>
      <w:pPr>
        <w:rPr>
          <w:rFonts w:hint="eastAsia"/>
          <w:lang w:val="zh-CN"/>
        </w:rPr>
      </w:pPr>
    </w:p>
    <w:p>
      <w:pPr>
        <w:rPr>
          <w:rFonts w:hint="eastAsia"/>
          <w:lang w:val="zh-CN"/>
        </w:rPr>
      </w:pPr>
    </w:p>
    <w:p>
      <w:pPr>
        <w:rPr>
          <w:rFonts w:hint="eastAsia"/>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w:t>
      </w:r>
      <w:bookmarkEnd w:id="56"/>
      <w:bookmarkEnd w:id="57"/>
      <w:bookmarkEnd w:id="58"/>
      <w:bookmarkEnd w:id="59"/>
      <w:bookmarkEnd w:id="60"/>
      <w:bookmarkEnd w:id="61"/>
      <w:bookmarkEnd w:id="62"/>
      <w:bookmarkEnd w:id="63"/>
      <w:r>
        <w:rPr>
          <w:rFonts w:hint="eastAsia" w:ascii="Times New Roman" w:hAnsi="Times New Roman" w:eastAsia="方正仿宋_GB2312" w:cs="Times New Roman"/>
          <w:b w:val="0"/>
          <w:sz w:val="28"/>
          <w:szCs w:val="28"/>
          <w:lang w:val="en-US" w:eastAsia="zh-CN"/>
        </w:rPr>
        <w:t>2023年12月31日</w:t>
      </w:r>
      <w:bookmarkEnd w:id="34"/>
      <w:bookmarkEnd w:id="64"/>
      <w:bookmarkStart w:id="176" w:name="_Toc5302"/>
      <w:bookmarkStart w:id="177" w:name="_Toc20313"/>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pgSz w:w="11906" w:h="16838"/>
          <w:pgMar w:top="2098" w:right="1587" w:bottom="2098" w:left="1587" w:header="1587" w:footer="935" w:gutter="0"/>
          <w:pgNumType w:fmt="decimal"/>
          <w:cols w:space="0" w:num="1"/>
          <w:rtlGutter w:val="0"/>
          <w:docGrid w:type="linesAndChars" w:linePitch="589" w:charSpace="-842"/>
        </w:sectPr>
      </w:pPr>
    </w:p>
    <w:bookmarkEnd w:id="176"/>
    <w:bookmarkEnd w:id="177"/>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同心县餐厨垃圾协同污泥处理工程项目绩效评价指标体系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项目所设定的绩效目标是否依据充分符合客观实际，用以反映和考核项目绩效目标与项目实施的相符情况。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该项目绩效目标</w:t>
            </w:r>
            <w:r>
              <w:rPr>
                <w:rFonts w:hint="eastAsia" w:ascii="Times New Roman" w:hAnsi="Times New Roman" w:eastAsia="方正仿宋_GBK" w:cs="Times New Roman"/>
                <w:i w:val="0"/>
                <w:iCs w:val="0"/>
                <w:color w:val="000000"/>
                <w:kern w:val="0"/>
                <w:sz w:val="22"/>
                <w:szCs w:val="22"/>
                <w:u w:val="none"/>
                <w:lang w:val="en-US" w:eastAsia="zh-CN" w:bidi="ar"/>
              </w:rPr>
              <w:t>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项目预算资金800.00万元，实际支出800.00万元，预算执行率100%。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资金执行率=实际支付资金/实际到位资金×100%，专项资金执行率85%得满分。否则本指标得分=资金执行率×分值。</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较及时</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未完成结算。</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7"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改善城市环境</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逐步改善城市卫生环境。</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考察项目结束后档案归档情况。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：项目档案管理机制是否健全且执行有效。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94.00</w:t>
            </w:r>
          </w:p>
        </w:tc>
      </w:tr>
    </w:tbl>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0"/>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同心县餐厨垃圾协同污泥处理工程项目</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一般债券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同心县环境卫生服务中心分管领导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同心县环境卫生服务中心项目办负责人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同心县环境卫生服务中心财务科室负责人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请简要介绍一下同心县餐厨垃圾协同污泥处理工程项目实施中主要负责的工作内容？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78" w:name="_Toc387361423"/>
      <w:bookmarkStart w:id="179" w:name="_Toc385522401"/>
      <w:bookmarkStart w:id="180" w:name="_Toc396323558"/>
      <w:bookmarkStart w:id="181" w:name="_Toc385521993"/>
      <w:bookmarkStart w:id="182" w:name="_Toc390983233"/>
      <w:bookmarkStart w:id="183" w:name="_Toc393466358"/>
      <w:bookmarkStart w:id="184" w:name="_Toc385352814"/>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6.项目实施过程中采取了哪些控制措施？例如：物资采购进度、物资质量规范等。</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7.</w:t>
      </w:r>
      <w:bookmarkEnd w:id="178"/>
      <w:bookmarkEnd w:id="179"/>
      <w:bookmarkEnd w:id="180"/>
      <w:bookmarkEnd w:id="181"/>
      <w:bookmarkEnd w:id="182"/>
      <w:bookmarkEnd w:id="183"/>
      <w:bookmarkEnd w:id="184"/>
      <w:r>
        <w:rPr>
          <w:rFonts w:hint="eastAsia" w:ascii="Times New Roman" w:hAnsi="Times New Roman" w:eastAsia="方正仿宋_GBK" w:cs="Times New Roman"/>
          <w:b w:val="0"/>
          <w:bCs w:val="0"/>
          <w:kern w:val="0"/>
          <w:sz w:val="30"/>
          <w:szCs w:val="30"/>
          <w:lang w:val="en-US" w:eastAsia="zh-CN" w:bidi="zh-CN"/>
        </w:rPr>
        <w:t>项目过程中都有哪些好的经验做法？项目开展都有哪些难点和建议？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p>
    <w:p>
      <w:pPr>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3"/>
        <w:rPr>
          <w:rFonts w:hint="eastAsia" w:ascii="仿宋" w:hAnsi="仿宋" w:eastAsia="仿宋" w:cs="仿宋"/>
          <w:b w:val="0"/>
          <w:bCs w:val="0"/>
          <w:sz w:val="32"/>
          <w:szCs w:val="32"/>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同心县餐厨垃圾协同污泥处理工程项目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餐厨垃圾协同污泥处理工程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1.请问您得年龄？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□20岁以下   □21-40岁  □41-60岁  □61岁以上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2.请问您的文化程度？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□中专及以下 □大专   □本科     □研究生及以上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3.请问您是否为同心县当地居民？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1.对于日常厨余垃圾，您一般是如何处理的？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□全部投放在一个垃圾桶内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□对垃圾进行分类，打包扔掉</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□其他</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2.请问您是否经常对清洗碗槽中的堵塞物感到烦恼？</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□是的，家里洗碗槽口很容易被堵住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□对垃圾进行分类，打包扔掉</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3.针对目前小区厨余垃圾处理现状，您认为成效如何？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□非常满意，小区相关工作落实到位</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□成效一般，主要靠居民自觉分类</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1.您对同心县餐厨垃圾协同污泥处理工程项目建设是否满意？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2.您对同心县餐厨垃圾协同污泥处理工程项目施工过程的管理是否满意？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3.您对同心县餐厨垃圾协同污泥处理工程项目中学综合楼项目工程总体进度是否满意？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（三）开放问题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您对同心县餐厨垃圾协同污泥处理工程项目还有什么意见和建议？</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附件4</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center"/>
        <w:textAlignment w:val="auto"/>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drawing>
          <wp:anchor distT="0" distB="0" distL="114300" distR="114300" simplePos="0" relativeHeight="251659264" behindDoc="1" locked="0" layoutInCell="1" allowOverlap="1">
            <wp:simplePos x="0" y="0"/>
            <wp:positionH relativeFrom="column">
              <wp:posOffset>377190</wp:posOffset>
            </wp:positionH>
            <wp:positionV relativeFrom="paragraph">
              <wp:posOffset>499745</wp:posOffset>
            </wp:positionV>
            <wp:extent cx="5019675" cy="6120130"/>
            <wp:effectExtent l="0" t="0" r="9525"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019675" cy="6120130"/>
                    </a:xfrm>
                    <a:prstGeom prst="rect">
                      <a:avLst/>
                    </a:prstGeom>
                    <a:noFill/>
                    <a:ln>
                      <a:noFill/>
                    </a:ln>
                  </pic:spPr>
                </pic:pic>
              </a:graphicData>
            </a:graphic>
          </wp:anchor>
        </w:drawing>
      </w: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A1C153-AF42-40F1-9DCB-14D007625C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DD31BA8D-3D50-464A-A55E-775CA674BDB6}"/>
  </w:font>
  <w:font w:name="楷体">
    <w:panose1 w:val="02010609060101010101"/>
    <w:charset w:val="86"/>
    <w:family w:val="auto"/>
    <w:pitch w:val="default"/>
    <w:sig w:usb0="800002BF" w:usb1="38CF7CFA" w:usb2="00000016" w:usb3="00000000" w:csb0="00040001" w:csb1="00000000"/>
    <w:embedRegular r:id="rId3" w:fontKey="{2AE57EBE-B5D1-4FDF-B7C0-06CAF28A05B4}"/>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2F273630-728D-43E0-A654-35E5D72BB47E}"/>
  </w:font>
  <w:font w:name="方正仿宋_GBK">
    <w:panose1 w:val="02000000000000000000"/>
    <w:charset w:val="86"/>
    <w:family w:val="auto"/>
    <w:pitch w:val="default"/>
    <w:sig w:usb0="A00002BF" w:usb1="38CF7CFA" w:usb2="00082016" w:usb3="00000000" w:csb0="00040001" w:csb1="00000000"/>
    <w:embedRegular r:id="rId5" w:fontKey="{2124DC52-B453-466A-AE2C-384FB9CA6080}"/>
  </w:font>
  <w:font w:name="方正小标宋_GBK">
    <w:panose1 w:val="02000000000000000000"/>
    <w:charset w:val="86"/>
    <w:family w:val="auto"/>
    <w:pitch w:val="default"/>
    <w:sig w:usb0="A00002BF" w:usb1="38CF7CFA" w:usb2="00082016" w:usb3="00000000" w:csb0="00040001" w:csb1="00000000"/>
    <w:embedRegular r:id="rId6" w:fontKey="{62DB0709-0487-4A7F-8E2A-34CE40296893}"/>
  </w:font>
  <w:font w:name="方正小标宋简体">
    <w:panose1 w:val="02000000000000000000"/>
    <w:charset w:val="86"/>
    <w:family w:val="auto"/>
    <w:pitch w:val="default"/>
    <w:sig w:usb0="A00002BF" w:usb1="184F6CFA" w:usb2="00000012" w:usb3="00000000" w:csb0="00040001" w:csb1="00000000"/>
    <w:embedRegular r:id="rId7" w:fontKey="{71A7BBB3-2BA8-4E95-92ED-63DDEF16DAB4}"/>
  </w:font>
  <w:font w:name="方正正黑_GBK">
    <w:panose1 w:val="02000000000000000000"/>
    <w:charset w:val="86"/>
    <w:family w:val="auto"/>
    <w:pitch w:val="default"/>
    <w:sig w:usb0="A00002BF" w:usb1="38CF7CFA" w:usb2="00082016" w:usb3="00000000" w:csb0="00040001" w:csb1="00000000"/>
    <w:embedRegular r:id="rId8" w:fontKey="{99A0BAAD-C69D-4CC5-A650-017AFF82E508}"/>
  </w:font>
  <w:font w:name="方正仿宋_GB2312">
    <w:panose1 w:val="02000000000000000000"/>
    <w:charset w:val="86"/>
    <w:family w:val="auto"/>
    <w:pitch w:val="default"/>
    <w:sig w:usb0="A00002BF" w:usb1="184F6CFA" w:usb2="00000012" w:usb3="00000000" w:csb0="00040001" w:csb1="00000000"/>
    <w:embedRegular r:id="rId9" w:fontKey="{025AB413-DB36-42D1-9063-4613625B6B30}"/>
  </w:font>
  <w:font w:name="方正楷体_GBK">
    <w:panose1 w:val="02000000000000000000"/>
    <w:charset w:val="86"/>
    <w:family w:val="auto"/>
    <w:pitch w:val="default"/>
    <w:sig w:usb0="800002BF" w:usb1="38CF7CFA" w:usb2="00000016" w:usb3="00000000" w:csb0="00040000" w:csb1="00000000"/>
    <w:embedRegular r:id="rId10" w:fontKey="{9CB75427-3F18-4B2F-AD3E-9D4360B88713}"/>
  </w:font>
  <w:font w:name="方正公文小标宋">
    <w:panose1 w:val="02000500000000000000"/>
    <w:charset w:val="86"/>
    <w:family w:val="auto"/>
    <w:pitch w:val="default"/>
    <w:sig w:usb0="A00002BF" w:usb1="38CF7CFA" w:usb2="00000016" w:usb3="00000000" w:csb0="00040001" w:csb1="00000000"/>
    <w:embedRegular r:id="rId11" w:fontKey="{0DE1A2B7-03B6-4B99-8581-073A8696BDD9}"/>
  </w:font>
  <w:font w:name="华文仿宋">
    <w:panose1 w:val="02010600040101010101"/>
    <w:charset w:val="86"/>
    <w:family w:val="auto"/>
    <w:pitch w:val="default"/>
    <w:sig w:usb0="00000287" w:usb1="080F0000" w:usb2="00000000" w:usb3="00000000" w:csb0="0004009F" w:csb1="DFD70000"/>
    <w:embedRegular r:id="rId12" w:fontKey="{518DFFC7-EAB4-4DB2-A28F-32283E405E8D}"/>
  </w:font>
  <w:font w:name="微软雅黑">
    <w:panose1 w:val="020B0503020204020204"/>
    <w:charset w:val="86"/>
    <w:family w:val="auto"/>
    <w:pitch w:val="default"/>
    <w:sig w:usb0="80000287" w:usb1="2ACF3C50" w:usb2="00000016" w:usb3="00000000" w:csb0="0004001F" w:csb1="00000000"/>
    <w:embedRegular r:id="rId13" w:fontKey="{9BDD8A52-F07C-4ED0-ACC3-9B601B589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同心县餐厨垃圾协同污泥处理工程项目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4"/>
      <w:pBdr>
        <w:bottom w:val="double" w:color="auto" w:sz="8"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ascii="方正小标宋_GBK" w:hAnsi="方正小标宋_GBK" w:eastAsia="方正小标宋_GBK" w:cs="方正小标宋_GBK"/>
        <w:b w:val="0"/>
        <w:bCs w:val="0"/>
        <w:color w:val="181717" w:themeColor="background2" w:themeShade="1A"/>
        <w:sz w:val="21"/>
        <w:szCs w:val="21"/>
        <w:lang w:val="en-US" w:eastAsia="zh-CN"/>
      </w:rPr>
      <w:t>同心县餐厨垃圾协同污泥处理工程项目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AD5A8"/>
    <w:multiLevelType w:val="singleLevel"/>
    <w:tmpl w:val="955AD5A8"/>
    <w:lvl w:ilvl="0" w:tentative="0">
      <w:start w:val="8"/>
      <w:numFmt w:val="chineseCounting"/>
      <w:suff w:val="nothing"/>
      <w:lvlText w:val="%1、"/>
      <w:lvlJc w:val="left"/>
      <w:rPr>
        <w:rFonts w:hint="eastAsia"/>
      </w:rPr>
    </w:lvl>
  </w:abstractNum>
  <w:abstractNum w:abstractNumId="1">
    <w:nsid w:val="DAF42E28"/>
    <w:multiLevelType w:val="singleLevel"/>
    <w:tmpl w:val="DAF42E28"/>
    <w:lvl w:ilvl="0" w:tentative="0">
      <w:start w:val="1"/>
      <w:numFmt w:val="decimal"/>
      <w:suff w:val="nothing"/>
      <w:lvlText w:val="（%1）"/>
      <w:lvlJc w:val="left"/>
    </w:lvl>
  </w:abstractNum>
  <w:abstractNum w:abstractNumId="2">
    <w:nsid w:val="E0B2C9DB"/>
    <w:multiLevelType w:val="singleLevel"/>
    <w:tmpl w:val="E0B2C9DB"/>
    <w:lvl w:ilvl="0" w:tentative="0">
      <w:start w:val="2"/>
      <w:numFmt w:val="chineseCounting"/>
      <w:suff w:val="nothing"/>
      <w:lvlText w:val="（%1）"/>
      <w:lvlJc w:val="left"/>
      <w:rPr>
        <w:rFonts w:hint="eastAsia"/>
      </w:rPr>
    </w:lvl>
  </w:abstractNum>
  <w:abstractNum w:abstractNumId="3">
    <w:nsid w:val="FB20EEF5"/>
    <w:multiLevelType w:val="singleLevel"/>
    <w:tmpl w:val="FB20EEF5"/>
    <w:lvl w:ilvl="0" w:tentative="0">
      <w:start w:val="3"/>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MjdiYTkzYzYyYjEzZGJiYmY5MGU4NTIwYjI4MzMifQ=="/>
  </w:docVars>
  <w:rsids>
    <w:rsidRoot w:val="00000000"/>
    <w:rsid w:val="001910AE"/>
    <w:rsid w:val="003A4DF7"/>
    <w:rsid w:val="00C83FFA"/>
    <w:rsid w:val="00C90E0C"/>
    <w:rsid w:val="00F1191B"/>
    <w:rsid w:val="010351AA"/>
    <w:rsid w:val="01277E1F"/>
    <w:rsid w:val="013B0A52"/>
    <w:rsid w:val="01711D58"/>
    <w:rsid w:val="01A22C15"/>
    <w:rsid w:val="02693F89"/>
    <w:rsid w:val="02B726F0"/>
    <w:rsid w:val="031F0282"/>
    <w:rsid w:val="03321D76"/>
    <w:rsid w:val="03782AE9"/>
    <w:rsid w:val="038F5644"/>
    <w:rsid w:val="049979AA"/>
    <w:rsid w:val="04CB2483"/>
    <w:rsid w:val="04DB466A"/>
    <w:rsid w:val="05127FF8"/>
    <w:rsid w:val="05373674"/>
    <w:rsid w:val="057E08FD"/>
    <w:rsid w:val="05DE7F94"/>
    <w:rsid w:val="05E661B9"/>
    <w:rsid w:val="06310741"/>
    <w:rsid w:val="067B3A34"/>
    <w:rsid w:val="06935222"/>
    <w:rsid w:val="07752028"/>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C063DA0"/>
    <w:rsid w:val="0CA05FA3"/>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2057474"/>
    <w:rsid w:val="122D03A3"/>
    <w:rsid w:val="123478B9"/>
    <w:rsid w:val="12780A7F"/>
    <w:rsid w:val="12A803F6"/>
    <w:rsid w:val="12B800BB"/>
    <w:rsid w:val="1306193D"/>
    <w:rsid w:val="138163C4"/>
    <w:rsid w:val="13D16037"/>
    <w:rsid w:val="13E20644"/>
    <w:rsid w:val="14642D3C"/>
    <w:rsid w:val="151B68BE"/>
    <w:rsid w:val="15BC373C"/>
    <w:rsid w:val="15D25F85"/>
    <w:rsid w:val="15D614F9"/>
    <w:rsid w:val="15E50ECA"/>
    <w:rsid w:val="16201F02"/>
    <w:rsid w:val="165E3157"/>
    <w:rsid w:val="17977BCE"/>
    <w:rsid w:val="17C26244"/>
    <w:rsid w:val="18070836"/>
    <w:rsid w:val="18CC35FF"/>
    <w:rsid w:val="18D555BD"/>
    <w:rsid w:val="19A84F19"/>
    <w:rsid w:val="1A11557B"/>
    <w:rsid w:val="1A725422"/>
    <w:rsid w:val="1B0B13D3"/>
    <w:rsid w:val="1B587F55"/>
    <w:rsid w:val="1BBE1FA1"/>
    <w:rsid w:val="1CE014E1"/>
    <w:rsid w:val="1CFE5775"/>
    <w:rsid w:val="1D2F4821"/>
    <w:rsid w:val="1D4F132F"/>
    <w:rsid w:val="1D5F1562"/>
    <w:rsid w:val="1D8B2357"/>
    <w:rsid w:val="1DC45FEE"/>
    <w:rsid w:val="1DFC45E7"/>
    <w:rsid w:val="1EE937D9"/>
    <w:rsid w:val="1F051A31"/>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856069"/>
    <w:rsid w:val="279A52BC"/>
    <w:rsid w:val="27CE7A10"/>
    <w:rsid w:val="282E04AF"/>
    <w:rsid w:val="28A11882"/>
    <w:rsid w:val="28B13905"/>
    <w:rsid w:val="28D2314B"/>
    <w:rsid w:val="28D47992"/>
    <w:rsid w:val="28E04120"/>
    <w:rsid w:val="28EC2844"/>
    <w:rsid w:val="29387837"/>
    <w:rsid w:val="295D5A2E"/>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7928C0"/>
    <w:rsid w:val="317D7F2F"/>
    <w:rsid w:val="31A041CB"/>
    <w:rsid w:val="31EB3B69"/>
    <w:rsid w:val="31FC6110"/>
    <w:rsid w:val="32C75788"/>
    <w:rsid w:val="3301513E"/>
    <w:rsid w:val="330E3209"/>
    <w:rsid w:val="33210D4B"/>
    <w:rsid w:val="33565E16"/>
    <w:rsid w:val="33753436"/>
    <w:rsid w:val="33AE6A83"/>
    <w:rsid w:val="33F20148"/>
    <w:rsid w:val="344C36D7"/>
    <w:rsid w:val="347D25A2"/>
    <w:rsid w:val="349124F1"/>
    <w:rsid w:val="34CF6284"/>
    <w:rsid w:val="34D94D78"/>
    <w:rsid w:val="34E43BF0"/>
    <w:rsid w:val="34FA0BAE"/>
    <w:rsid w:val="35A77929"/>
    <w:rsid w:val="3640014D"/>
    <w:rsid w:val="366C6D72"/>
    <w:rsid w:val="36CC15BF"/>
    <w:rsid w:val="375A12C0"/>
    <w:rsid w:val="379D4EBE"/>
    <w:rsid w:val="37D93A30"/>
    <w:rsid w:val="38250B51"/>
    <w:rsid w:val="3846715C"/>
    <w:rsid w:val="39EC58CA"/>
    <w:rsid w:val="39FB2B8C"/>
    <w:rsid w:val="3A1F1BFC"/>
    <w:rsid w:val="3A3F02FA"/>
    <w:rsid w:val="3A5D44DB"/>
    <w:rsid w:val="3A887938"/>
    <w:rsid w:val="3A9262F0"/>
    <w:rsid w:val="3AC30F2B"/>
    <w:rsid w:val="3AE54968"/>
    <w:rsid w:val="3AED2368"/>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5034416"/>
    <w:rsid w:val="45523F03"/>
    <w:rsid w:val="455C18CC"/>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A6008"/>
    <w:rsid w:val="498C7B7B"/>
    <w:rsid w:val="49A80A70"/>
    <w:rsid w:val="49EE685A"/>
    <w:rsid w:val="49F25388"/>
    <w:rsid w:val="4A045B66"/>
    <w:rsid w:val="4A0D5D1E"/>
    <w:rsid w:val="4A1470AD"/>
    <w:rsid w:val="4A471230"/>
    <w:rsid w:val="4A6E0EB3"/>
    <w:rsid w:val="4A755EA0"/>
    <w:rsid w:val="4AB663B6"/>
    <w:rsid w:val="4AC24D5B"/>
    <w:rsid w:val="4B091CC1"/>
    <w:rsid w:val="4C07336D"/>
    <w:rsid w:val="4C126731"/>
    <w:rsid w:val="4C561BFF"/>
    <w:rsid w:val="4C6C277D"/>
    <w:rsid w:val="4C80439B"/>
    <w:rsid w:val="4CD82614"/>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BE1D97"/>
    <w:rsid w:val="50F9524E"/>
    <w:rsid w:val="514507F5"/>
    <w:rsid w:val="519D207E"/>
    <w:rsid w:val="51CF6940"/>
    <w:rsid w:val="52132340"/>
    <w:rsid w:val="523508CE"/>
    <w:rsid w:val="52467A28"/>
    <w:rsid w:val="527340DC"/>
    <w:rsid w:val="527F195C"/>
    <w:rsid w:val="52A167DD"/>
    <w:rsid w:val="52FE4D9E"/>
    <w:rsid w:val="530F2210"/>
    <w:rsid w:val="53146370"/>
    <w:rsid w:val="53487DC7"/>
    <w:rsid w:val="534C038B"/>
    <w:rsid w:val="53837B15"/>
    <w:rsid w:val="545D78A2"/>
    <w:rsid w:val="545F7A68"/>
    <w:rsid w:val="55E53FF3"/>
    <w:rsid w:val="56150435"/>
    <w:rsid w:val="56250D50"/>
    <w:rsid w:val="566C4581"/>
    <w:rsid w:val="5684380C"/>
    <w:rsid w:val="56C62FC9"/>
    <w:rsid w:val="57861B0D"/>
    <w:rsid w:val="58366D88"/>
    <w:rsid w:val="58B8408C"/>
    <w:rsid w:val="58C53371"/>
    <w:rsid w:val="592503CD"/>
    <w:rsid w:val="59ED3476"/>
    <w:rsid w:val="5A105AE3"/>
    <w:rsid w:val="5AC71F19"/>
    <w:rsid w:val="5ACF7F35"/>
    <w:rsid w:val="5ADC3C17"/>
    <w:rsid w:val="5B48305A"/>
    <w:rsid w:val="5BA00781"/>
    <w:rsid w:val="5BE54D4D"/>
    <w:rsid w:val="5BED775E"/>
    <w:rsid w:val="5C0F1DCA"/>
    <w:rsid w:val="5C2F0C39"/>
    <w:rsid w:val="5C9B2161"/>
    <w:rsid w:val="5CAF7795"/>
    <w:rsid w:val="5CB00EB7"/>
    <w:rsid w:val="5D086F45"/>
    <w:rsid w:val="5D323FC2"/>
    <w:rsid w:val="5DE828D3"/>
    <w:rsid w:val="5E08551F"/>
    <w:rsid w:val="5E525F9E"/>
    <w:rsid w:val="5E6F08FE"/>
    <w:rsid w:val="5EBA2711"/>
    <w:rsid w:val="5F745E66"/>
    <w:rsid w:val="5FA171DD"/>
    <w:rsid w:val="5FD749AD"/>
    <w:rsid w:val="6040150D"/>
    <w:rsid w:val="60936B26"/>
    <w:rsid w:val="60C2740B"/>
    <w:rsid w:val="611A0FF5"/>
    <w:rsid w:val="61495849"/>
    <w:rsid w:val="615A19EE"/>
    <w:rsid w:val="61797ACD"/>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DA61F3"/>
    <w:rsid w:val="64A5151D"/>
    <w:rsid w:val="64DA6254"/>
    <w:rsid w:val="652E5FF6"/>
    <w:rsid w:val="655C7097"/>
    <w:rsid w:val="6582360D"/>
    <w:rsid w:val="658A05B5"/>
    <w:rsid w:val="660576BF"/>
    <w:rsid w:val="66307F76"/>
    <w:rsid w:val="66F23DAD"/>
    <w:rsid w:val="675B4115"/>
    <w:rsid w:val="67AB0D31"/>
    <w:rsid w:val="68242759"/>
    <w:rsid w:val="68324E76"/>
    <w:rsid w:val="6832790E"/>
    <w:rsid w:val="684257ED"/>
    <w:rsid w:val="68672CFF"/>
    <w:rsid w:val="6873723D"/>
    <w:rsid w:val="68B64FF8"/>
    <w:rsid w:val="68BC0F70"/>
    <w:rsid w:val="68BC56C0"/>
    <w:rsid w:val="6A5437CA"/>
    <w:rsid w:val="6A8273F3"/>
    <w:rsid w:val="6A917936"/>
    <w:rsid w:val="6AC16985"/>
    <w:rsid w:val="6ACA3A8C"/>
    <w:rsid w:val="6AD14E1A"/>
    <w:rsid w:val="6AF23C66"/>
    <w:rsid w:val="6B013226"/>
    <w:rsid w:val="6B1A20D3"/>
    <w:rsid w:val="6B6B233A"/>
    <w:rsid w:val="6BC7335C"/>
    <w:rsid w:val="6BEC38B2"/>
    <w:rsid w:val="6C2076DB"/>
    <w:rsid w:val="6D67760E"/>
    <w:rsid w:val="6DAD31F1"/>
    <w:rsid w:val="6E4C2A0A"/>
    <w:rsid w:val="6E641B01"/>
    <w:rsid w:val="6E7D43D0"/>
    <w:rsid w:val="6EEC38DF"/>
    <w:rsid w:val="6F370F76"/>
    <w:rsid w:val="6F965839"/>
    <w:rsid w:val="6FB36D7A"/>
    <w:rsid w:val="6FE216A6"/>
    <w:rsid w:val="70266E22"/>
    <w:rsid w:val="709A7A5C"/>
    <w:rsid w:val="70AF0549"/>
    <w:rsid w:val="70D3575F"/>
    <w:rsid w:val="71302009"/>
    <w:rsid w:val="71387B02"/>
    <w:rsid w:val="717464FF"/>
    <w:rsid w:val="71BB65F3"/>
    <w:rsid w:val="71EF02C9"/>
    <w:rsid w:val="72EF679F"/>
    <w:rsid w:val="730B450D"/>
    <w:rsid w:val="733221CE"/>
    <w:rsid w:val="7343262D"/>
    <w:rsid w:val="740A20FF"/>
    <w:rsid w:val="742E4065"/>
    <w:rsid w:val="743838A1"/>
    <w:rsid w:val="74512B28"/>
    <w:rsid w:val="74836A59"/>
    <w:rsid w:val="74BB05BD"/>
    <w:rsid w:val="74DA512E"/>
    <w:rsid w:val="74F160B9"/>
    <w:rsid w:val="75E27AD0"/>
    <w:rsid w:val="76554C45"/>
    <w:rsid w:val="767C258A"/>
    <w:rsid w:val="76AA651F"/>
    <w:rsid w:val="76DD54BE"/>
    <w:rsid w:val="774226B2"/>
    <w:rsid w:val="774A1F82"/>
    <w:rsid w:val="777A6824"/>
    <w:rsid w:val="77943863"/>
    <w:rsid w:val="779E42D6"/>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E451AA"/>
    <w:rsid w:val="7C662EE9"/>
    <w:rsid w:val="7DA34BE9"/>
    <w:rsid w:val="7DCC321F"/>
    <w:rsid w:val="7E14582D"/>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2">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3">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4">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5">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6">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200" w:firstLineChars="200"/>
    </w:pPr>
    <w:rPr>
      <w:rFonts w:ascii="Times New Roman" w:hAnsi="Times New Roman" w:eastAsia="宋体" w:cs="Times New Roman"/>
      <w:sz w:val="21"/>
    </w:rPr>
  </w:style>
  <w:style w:type="paragraph" w:styleId="8">
    <w:name w:val="Body Text"/>
    <w:basedOn w:val="1"/>
    <w:autoRedefine/>
    <w:qFormat/>
    <w:uiPriority w:val="1"/>
    <w:rPr>
      <w:rFonts w:ascii="宋体" w:hAnsi="宋体" w:cs="宋体"/>
      <w:sz w:val="32"/>
      <w:szCs w:val="32"/>
      <w:lang w:val="zh-CN" w:bidi="zh-CN"/>
    </w:rPr>
  </w:style>
  <w:style w:type="paragraph" w:styleId="9">
    <w:name w:val="Body Text Indent"/>
    <w:basedOn w:val="1"/>
    <w:next w:val="10"/>
    <w:autoRedefine/>
    <w:qFormat/>
    <w:uiPriority w:val="0"/>
    <w:pPr>
      <w:ind w:firstLine="640" w:firstLineChars="200"/>
    </w:pPr>
    <w:rPr>
      <w:rFonts w:ascii="仿宋_GB2312" w:eastAsia="仿宋_GB2312" w:cs="Times New Roman"/>
    </w:rPr>
  </w:style>
  <w:style w:type="paragraph" w:styleId="10">
    <w:name w:val="footer"/>
    <w:basedOn w:val="1"/>
    <w:next w:val="1"/>
    <w:autoRedefine/>
    <w:qFormat/>
    <w:uiPriority w:val="0"/>
    <w:pPr>
      <w:tabs>
        <w:tab w:val="center" w:pos="4153"/>
        <w:tab w:val="right" w:pos="8306"/>
      </w:tabs>
      <w:snapToGrid w:val="0"/>
      <w:jc w:val="left"/>
    </w:pPr>
    <w:rPr>
      <w:sz w:val="18"/>
    </w:rPr>
  </w:style>
  <w:style w:type="paragraph" w:styleId="11">
    <w:name w:val="List 2"/>
    <w:basedOn w:val="1"/>
    <w:autoRedefine/>
    <w:unhideWhenUsed/>
    <w:qFormat/>
    <w:uiPriority w:val="99"/>
    <w:pPr>
      <w:ind w:left="100" w:leftChars="200" w:hanging="200" w:hangingChars="200"/>
    </w:pPr>
  </w:style>
  <w:style w:type="paragraph" w:styleId="12">
    <w:name w:val="toc 3"/>
    <w:basedOn w:val="1"/>
    <w:next w:val="1"/>
    <w:autoRedefine/>
    <w:qFormat/>
    <w:uiPriority w:val="0"/>
    <w:pPr>
      <w:ind w:left="840" w:leftChars="400"/>
    </w:pPr>
  </w:style>
  <w:style w:type="paragraph" w:styleId="13">
    <w:name w:val="Date"/>
    <w:basedOn w:val="1"/>
    <w:next w:val="1"/>
    <w:autoRedefine/>
    <w:unhideWhenUsed/>
    <w:qFormat/>
    <w:uiPriority w:val="99"/>
    <w:pPr>
      <w:spacing w:before="100" w:beforeAutospacing="1" w:after="100" w:afterAutospacing="1"/>
      <w:ind w:left="2500" w:leftChars="2500"/>
    </w:p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19">
    <w:name w:val="Title"/>
    <w:basedOn w:val="1"/>
    <w:next w:val="1"/>
    <w:autoRedefine/>
    <w:qFormat/>
    <w:uiPriority w:val="99"/>
    <w:pPr>
      <w:spacing w:before="240" w:after="60"/>
      <w:jc w:val="center"/>
      <w:outlineLvl w:val="0"/>
    </w:pPr>
    <w:rPr>
      <w:rFonts w:ascii="Cambria" w:hAnsi="Cambria" w:eastAsia="宋体"/>
      <w:b/>
      <w:bCs/>
    </w:rPr>
  </w:style>
  <w:style w:type="paragraph" w:styleId="20">
    <w:name w:val="Body Text First Indent 2"/>
    <w:basedOn w:val="1"/>
    <w:next w:val="1"/>
    <w:autoRedefine/>
    <w:qFormat/>
    <w:uiPriority w:val="0"/>
    <w:pPr>
      <w:ind w:firstLine="0" w:firstLineChars="0"/>
    </w:pPr>
    <w:rPr>
      <w:rFonts w:ascii="仿宋_GB2312" w:hAnsi="仿宋_GB2312" w:eastAsia="仿宋_GB2312"/>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3"/>
    <w:autoRedefine/>
    <w:qFormat/>
    <w:uiPriority w:val="0"/>
    <w:rPr>
      <w:rFonts w:ascii="Arial" w:hAnsi="Arial" w:eastAsia="楷体"/>
      <w:b/>
    </w:rPr>
  </w:style>
  <w:style w:type="character" w:customStyle="1" w:styleId="29">
    <w:name w:val="标题 1 Char"/>
    <w:link w:val="2"/>
    <w:autoRedefine/>
    <w:qFormat/>
    <w:uiPriority w:val="0"/>
    <w:rPr>
      <w:rFonts w:eastAsia="黑体"/>
      <w:kern w:val="44"/>
    </w:rPr>
  </w:style>
  <w:style w:type="character" w:customStyle="1" w:styleId="30">
    <w:name w:val="标题 3 Char"/>
    <w:link w:val="4"/>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20746</Words>
  <Characters>21633</Characters>
  <Lines>0</Lines>
  <Paragraphs>0</Paragraphs>
  <TotalTime>0</TotalTime>
  <ScaleCrop>false</ScaleCrop>
  <LinksUpToDate>false</LinksUpToDate>
  <CharactersWithSpaces>22145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嘉树</cp:lastModifiedBy>
  <cp:lastPrinted>2023-10-26T07:27:00Z</cp:lastPrinted>
  <dcterms:modified xsi:type="dcterms:W3CDTF">2024-04-29T02:25:52Z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51AF2AF165C54624BA36C4AAF88693AD_13</vt:lpwstr>
  </property>
</Properties>
</file>