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default" w:ascii="黑体" w:hAnsi="黑体" w:eastAsia="黑体" w:cs="黑体"/>
          <w:b/>
          <w:bCs/>
          <w:kern w:val="0"/>
          <w:sz w:val="44"/>
          <w:szCs w:val="44"/>
          <w:lang w:val="en-US" w:eastAsia="zh-CN" w:bidi="en-US"/>
        </w:rPr>
      </w:pPr>
      <w:r>
        <w:rPr>
          <w:rFonts w:hint="eastAsia" w:ascii="黑体" w:hAnsi="黑体" w:eastAsia="黑体" w:cs="黑体"/>
          <w:b/>
          <w:bCs/>
          <w:kern w:val="0"/>
          <w:sz w:val="44"/>
          <w:szCs w:val="44"/>
          <w:lang w:val="en-US" w:eastAsia="zh-CN" w:bidi="en-US"/>
        </w:rPr>
        <w:t xml:space="preserve">  </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同心县长征路（东兴街－红军路）雨污分流</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〔2023〕</w:t>
      </w:r>
      <w:r>
        <w:rPr>
          <w:rFonts w:hint="default" w:ascii="Times New Roman" w:hAnsi="Times New Roman" w:eastAsia="楷体" w:cs="Times New Roman"/>
          <w:b w:val="0"/>
          <w:bCs w:val="0"/>
          <w:i w:val="0"/>
          <w:iCs w:val="0"/>
          <w:color w:val="000000" w:themeColor="text1"/>
          <w:sz w:val="32"/>
          <w:szCs w:val="32"/>
          <w:highlight w:val="none"/>
          <w14:textFill>
            <w14:solidFill>
              <w14:schemeClr w14:val="tx1"/>
            </w14:solidFill>
          </w14:textFill>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019</w:t>
      </w:r>
      <w:r>
        <w:rPr>
          <w:rFonts w:hint="eastAsia" w:ascii="楷体" w:hAnsi="楷体" w:eastAsia="楷体" w:cs="楷体"/>
          <w:b w:val="0"/>
          <w:bCs w:val="0"/>
          <w:i w:val="0"/>
          <w:iCs w:val="0"/>
          <w:color w:val="000000" w:themeColor="text1"/>
          <w:sz w:val="32"/>
          <w:szCs w:val="32"/>
          <w:highlight w:val="none"/>
          <w14:textFill>
            <w14:solidFill>
              <w14:schemeClr w14:val="tx1"/>
            </w14:solidFill>
          </w14:textFill>
        </w:rPr>
        <w:t>号</w:t>
      </w: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rPr>
          <w:rFonts w:hint="eastAsia"/>
          <w:lang w:val="en-US" w:eastAsia="zh-CN"/>
        </w:rPr>
      </w:pPr>
    </w:p>
    <w:p>
      <w:pPr>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期：二〇二三年十二月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0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both"/>
        <w:textAlignment w:val="auto"/>
        <w:rPr>
          <w:rFonts w:hint="eastAsia" w:ascii="方正小标宋简体" w:hAnsi="方正小标宋简体" w:eastAsia="方正小标宋简体" w:cs="方正小标宋简体"/>
          <w:b w:val="0"/>
          <w:color w:val="000000"/>
          <w:kern w:val="0"/>
          <w:sz w:val="44"/>
          <w:szCs w:val="44"/>
          <w:lang w:val="en-US" w:eastAsia="zh-CN" w:bidi="ar"/>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同心县长征路（东兴街～红军路）雨污分流项目绩效评价报告</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color w:val="000000" w:themeColor="text1"/>
          <w14:textFill>
            <w14:solidFill>
              <w14:schemeClr w14:val="tx1"/>
            </w14:solidFill>
          </w14:textFill>
        </w:rPr>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sz w:val="30"/>
          <w:szCs w:val="30"/>
          <w:lang w:val="en-US" w:eastAsia="zh-CN"/>
        </w:rPr>
        <w:t>〔2023〕</w:t>
      </w:r>
      <w:r>
        <w:rPr>
          <w:rFonts w:hint="default" w:ascii="Times New Roman" w:hAnsi="Times New Roman" w:eastAsia="楷体" w:cs="Times New Roman"/>
          <w:color w:val="000000"/>
          <w:kern w:val="0"/>
          <w:sz w:val="31"/>
          <w:szCs w:val="31"/>
          <w:lang w:val="en-US" w:eastAsia="zh-CN" w:bidi="ar"/>
        </w:rPr>
        <w:t>第019</w:t>
      </w:r>
      <w:r>
        <w:rPr>
          <w:rFonts w:hint="default" w:ascii="Times New Roman" w:hAnsi="Times New Roman" w:eastAsia="楷体" w:cs="Times New Roman"/>
          <w:color w:val="000000" w:themeColor="text1"/>
          <w:kern w:val="0"/>
          <w:sz w:val="31"/>
          <w:szCs w:val="31"/>
          <w:lang w:val="en-US" w:eastAsia="zh-CN" w:bidi="ar"/>
          <w14:textFill>
            <w14:solidFill>
              <w14:schemeClr w14:val="tx1"/>
            </w14:solidFill>
          </w14:textFill>
        </w:rPr>
        <w:t>号</w:t>
      </w:r>
    </w:p>
    <w:p>
      <w:pPr>
        <w:keepNext w:val="0"/>
        <w:keepLines w:val="0"/>
        <w:pageBreakBefore w:val="0"/>
        <w:widowControl/>
        <w:suppressLineNumbers w:val="0"/>
        <w:kinsoku/>
        <w:wordWrap/>
        <w:topLinePunct w:val="0"/>
        <w:autoSpaceDE/>
        <w:autoSpaceDN/>
        <w:bidi w:val="0"/>
        <w:adjustRightInd/>
        <w:snapToGrid/>
        <w:spacing w:line="760" w:lineRule="exact"/>
        <w:jc w:val="left"/>
        <w:textAlignment w:val="auto"/>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pStyle w:val="2"/>
        <w:rPr>
          <w:lang w:val="en-US" w:eastAsia="zh-CN"/>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pStyle w:val="2"/>
        <w:rPr>
          <w:lang w:val="en-US" w:eastAsia="zh-CN"/>
        </w:rPr>
      </w:pPr>
    </w:p>
    <w:p>
      <w:pPr>
        <w:keepNext w:val="0"/>
        <w:keepLines w:val="0"/>
        <w:widowControl/>
        <w:suppressLineNumbers w:val="0"/>
        <w:tabs>
          <w:tab w:val="left" w:pos="867"/>
        </w:tabs>
        <w:ind w:left="0" w:leftChars="0" w:firstLine="0" w:firstLineChars="0"/>
        <w:jc w:val="left"/>
        <w:rPr>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both"/>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称：同心县住房和城乡建设局</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both"/>
        <w:textAlignment w:val="auto"/>
        <w:rPr>
          <w:rFonts w:hint="eastAsia" w:ascii="方正小标宋_GBK" w:hAnsi="方正小标宋_GBK" w:eastAsia="方正小标宋_GBK" w:cs="方正小标宋_GBK"/>
          <w:color w:val="000000" w:themeColor="text1"/>
          <w:kern w:val="0"/>
          <w:sz w:val="28"/>
          <w:szCs w:val="28"/>
          <w:lang w:val="en-US" w:eastAsia="zh-CN" w:bidi="ar"/>
          <w14:textFill>
            <w14:solidFill>
              <w14:schemeClr w14:val="tx1"/>
            </w14:solidFill>
          </w14:textFill>
        </w:rPr>
      </w:pPr>
      <w:r>
        <w:rPr>
          <w:rFonts w:hint="eastAsia" w:ascii="方正小标宋_GBK" w:hAnsi="方正小标宋_GBK" w:eastAsia="方正小标宋_GBK" w:cs="方正小标宋_GBK"/>
          <w:color w:val="1E1C11"/>
          <w:kern w:val="0"/>
          <w:sz w:val="28"/>
          <w:szCs w:val="28"/>
          <w:lang w:val="en-US" w:eastAsia="zh-CN" w:bidi="ar"/>
        </w:rPr>
        <w:t>评价报告时间：</w:t>
      </w:r>
      <w:r>
        <w:rPr>
          <w:rFonts w:hint="eastAsia" w:ascii="方正小标宋_GBK" w:hAnsi="方正小标宋_GBK" w:eastAsia="方正小标宋_GBK" w:cs="方正小标宋_GBK"/>
          <w:color w:val="000000" w:themeColor="text1"/>
          <w:kern w:val="0"/>
          <w:sz w:val="28"/>
          <w:szCs w:val="28"/>
          <w:lang w:val="en-US" w:eastAsia="zh-CN" w:bidi="ar"/>
          <w14:textFill>
            <w14:solidFill>
              <w14:schemeClr w14:val="tx1"/>
            </w14:solidFill>
          </w14:textFill>
        </w:rPr>
        <w:t>二〇二三年十二月</w:t>
      </w: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17352"/>
      <w:bookmarkStart w:id="1" w:name="_Toc3259"/>
      <w:r>
        <w:rPr>
          <w:rFonts w:hint="eastAsia" w:asciiTheme="majorEastAsia" w:hAnsiTheme="majorEastAsia" w:eastAsiaTheme="majorEastAsia" w:cstheme="majorEastAsia"/>
          <w:b/>
          <w:bCs/>
          <w:sz w:val="30"/>
          <w:szCs w:val="30"/>
          <w:lang w:val="en-US" w:eastAsia="zh-CN"/>
        </w:rPr>
        <w:t>一、项目背景</w:t>
      </w:r>
      <w:bookmarkEnd w:id="0"/>
      <w:bookmarkEnd w:id="1"/>
    </w:p>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2" w:name="_Toc32242"/>
      <w:bookmarkStart w:id="3" w:name="_Toc13114"/>
      <w:bookmarkStart w:id="4" w:name="_Toc18303"/>
      <w:r>
        <w:rPr>
          <w:rFonts w:hint="default" w:ascii="Times New Roman" w:hAnsi="Times New Roman" w:eastAsia="方正仿宋_GBK" w:cs="Times New Roman"/>
          <w:b w:val="0"/>
          <w:color w:val="auto"/>
          <w:kern w:val="2"/>
          <w:sz w:val="30"/>
          <w:szCs w:val="30"/>
          <w:highlight w:val="none"/>
          <w:lang w:val="en-US" w:eastAsia="zh-CN" w:bidi="ar-SA"/>
        </w:rPr>
        <w:t>根据国家关于水土保持的有关法规的要求，坚持“预防为主、全面规划、综合防治、因地制宜、加强管理、注重效益”的方针，坚持水土保持措施与主体工程建设“同时设计、同时施工、同时投产使用”的制度</w:t>
      </w:r>
      <w:r>
        <w:rPr>
          <w:rFonts w:hint="eastAsia" w:ascii="Times New Roman" w:hAnsi="Times New Roman" w:eastAsia="方正仿宋_GBK" w:cs="Times New Roman"/>
          <w:b w:val="0"/>
          <w:color w:val="auto"/>
          <w:kern w:val="2"/>
          <w:sz w:val="30"/>
          <w:szCs w:val="30"/>
          <w:highlight w:val="none"/>
          <w:lang w:val="en-US" w:eastAsia="zh-CN" w:bidi="ar-SA"/>
        </w:rPr>
        <w:t>。为贯彻执行国家关于环保工程，水土保持综合防治措施不仅要满足水土保持的要求，更要满足与城镇绿化和水库水体整体环境美化相结合的原则，同心县2023年开工建设同心县长征路（</w:t>
      </w:r>
      <w:r>
        <w:rPr>
          <w:rFonts w:hint="eastAsia" w:ascii="Times New Roman" w:hAnsi="Times New Roman" w:eastAsia="方正仿宋_GBK" w:cs="Times New Roman"/>
          <w:color w:val="auto"/>
          <w:kern w:val="2"/>
          <w:sz w:val="30"/>
          <w:szCs w:val="30"/>
          <w:highlight w:val="none"/>
          <w:lang w:val="en-US" w:eastAsia="zh-CN" w:bidi="ar-SA"/>
        </w:rPr>
        <w:t>东兴街～</w:t>
      </w:r>
      <w:r>
        <w:rPr>
          <w:rFonts w:hint="eastAsia" w:ascii="Times New Roman" w:hAnsi="Times New Roman" w:eastAsia="方正仿宋_GBK" w:cs="Times New Roman"/>
          <w:b w:val="0"/>
          <w:color w:val="auto"/>
          <w:kern w:val="2"/>
          <w:sz w:val="30"/>
          <w:szCs w:val="30"/>
          <w:highlight w:val="none"/>
          <w:lang w:val="en-US" w:eastAsia="zh-CN" w:bidi="ar-SA"/>
        </w:rPr>
        <w:t>红军路）雨污分流项目。</w:t>
      </w:r>
    </w:p>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自治区党委、政府的正确领导下，同心县着眼于全面建成小康社会的目标，突出重点领域和关键环节，破除服务业发展的体制机制障碍。创新驱动，特色引领，融合带动，加快发展生产性服务业，优化提升生活性服务业，基本形成先进制造业与现代服务业“双轮驱动”和</w:t>
      </w:r>
      <w:r>
        <w:rPr>
          <w:rFonts w:hint="eastAsia" w:ascii="Times New Roman" w:hAnsi="Times New Roman" w:eastAsia="方正仿宋_GBK" w:cs="Times New Roman"/>
          <w:color w:val="auto"/>
          <w:kern w:val="2"/>
          <w:sz w:val="30"/>
          <w:szCs w:val="30"/>
          <w:highlight w:val="none"/>
          <w:lang w:val="en-US" w:eastAsia="zh-CN" w:bidi="ar-SA"/>
        </w:rPr>
        <w:t>一、二、三产业</w:t>
      </w:r>
      <w:r>
        <w:rPr>
          <w:rFonts w:hint="default" w:ascii="Times New Roman" w:hAnsi="Times New Roman" w:eastAsia="方正仿宋_GBK" w:cs="Times New Roman"/>
          <w:color w:val="auto"/>
          <w:kern w:val="2"/>
          <w:sz w:val="30"/>
          <w:szCs w:val="30"/>
          <w:highlight w:val="none"/>
          <w:lang w:val="en-US" w:eastAsia="zh-CN" w:bidi="ar-SA"/>
        </w:rPr>
        <w:t>融合发展的格局，创建吴忠市乃至宁夏服务业强县。通过努力，服务业总量进一步扩大，结构进一步优化，贡献进一步提高，集聚进一步提升，企业进一步壮大，带动就业明显增加，体制机制更加完善，开放水平全面提升，努力打造立足县域、服务全市、辐射全区，特色鲜明的服务业强县。</w:t>
      </w:r>
    </w:p>
    <w:p>
      <w:pPr>
        <w:keepNext w:val="0"/>
        <w:keepLines w:val="0"/>
        <w:pageBreakBefore w:val="0"/>
        <w:widowControl w:val="0"/>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FF0000"/>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 xml:space="preserve">随着城市的不断发展，城市对基础配套设施的要求也不断提高，本工程建设区域内无市政排水配套基础设施，随着城市硬化率不断增加，居民卫生器具的不断升级，特别是雨季暴雨来临时，多次造成内涝积水的情况 发生，因此，基础排水配套设施的建设工作势在必行。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color w:val="auto"/>
          <w:sz w:val="30"/>
          <w:szCs w:val="30"/>
          <w:lang w:val="en-US" w:eastAsia="zh-CN"/>
        </w:rPr>
      </w:pPr>
      <w:r>
        <w:rPr>
          <w:rFonts w:hint="eastAsia" w:ascii="方正正黑_GBK" w:hAnsi="方正正黑_GBK" w:eastAsia="方正正黑_GBK" w:cs="方正正黑_GBK"/>
          <w:b/>
          <w:bCs/>
          <w:color w:val="auto"/>
          <w:sz w:val="30"/>
          <w:szCs w:val="30"/>
          <w:lang w:val="en-US" w:eastAsia="zh-CN"/>
        </w:rPr>
        <w:t>二、项目预算资金</w:t>
      </w:r>
      <w:bookmarkEnd w:id="2"/>
      <w:bookmarkEnd w:id="3"/>
      <w:bookmarkEnd w:id="4"/>
    </w:p>
    <w:p>
      <w:pPr>
        <w:pStyle w:val="20"/>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color w:val="auto"/>
          <w:kern w:val="2"/>
          <w:sz w:val="30"/>
          <w:szCs w:val="30"/>
          <w:lang w:val="en-US" w:eastAsia="zh-CN" w:bidi="ar-SA"/>
        </w:rPr>
      </w:pPr>
      <w:bookmarkStart w:id="5" w:name="_Toc30853"/>
      <w:bookmarkStart w:id="6" w:name="_Toc3837"/>
      <w:r>
        <w:rPr>
          <w:rFonts w:hint="eastAsia" w:ascii="Times New Roman" w:hAnsi="Times New Roman" w:eastAsia="方正仿宋_GB2312" w:cs="Times New Roman"/>
          <w:color w:val="auto"/>
          <w:kern w:val="2"/>
          <w:sz w:val="30"/>
          <w:szCs w:val="30"/>
          <w:lang w:val="en-US" w:eastAsia="zh-CN" w:bidi="ar-SA"/>
        </w:rPr>
        <w:t>根据《</w:t>
      </w:r>
      <w:r>
        <w:rPr>
          <w:rFonts w:hint="eastAsia" w:ascii="Times New Roman" w:hAnsi="Times New Roman" w:eastAsia="方正仿宋_GBK" w:cs="Times New Roman"/>
          <w:color w:val="auto"/>
          <w:kern w:val="2"/>
          <w:sz w:val="30"/>
          <w:szCs w:val="30"/>
          <w:highlight w:val="none"/>
          <w:lang w:val="en-US" w:eastAsia="zh-CN" w:bidi="ar-SA"/>
        </w:rPr>
        <w:t>自治区</w:t>
      </w:r>
      <w:r>
        <w:rPr>
          <w:rFonts w:hint="eastAsia" w:ascii="Times New Roman" w:hAnsi="Times New Roman" w:eastAsia="方正仿宋_GB2312" w:cs="Times New Roman"/>
          <w:color w:val="auto"/>
          <w:kern w:val="2"/>
          <w:sz w:val="30"/>
          <w:szCs w:val="30"/>
          <w:lang w:val="en-US" w:eastAsia="zh-CN" w:bidi="ar-SA"/>
        </w:rPr>
        <w:t>发展改革委关于下达2022年自治区预算内统筹第一批投资计划的通知》（宁发改投资</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722号</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K" w:cs="Times New Roman"/>
          <w:color w:val="auto"/>
          <w:sz w:val="30"/>
          <w:szCs w:val="30"/>
          <w:lang w:val="en-US" w:eastAsia="zh-CN"/>
        </w:rPr>
        <w:t>，下达</w:t>
      </w:r>
      <w:r>
        <w:rPr>
          <w:rFonts w:hint="eastAsia" w:ascii="Times New Roman" w:hAnsi="Times New Roman" w:eastAsia="方正仿宋_GB2312" w:cs="Times New Roman"/>
          <w:color w:val="auto"/>
          <w:kern w:val="2"/>
          <w:sz w:val="30"/>
          <w:szCs w:val="30"/>
          <w:lang w:val="en-US" w:eastAsia="zh-CN" w:bidi="ar-SA"/>
        </w:rPr>
        <w:t>资金为800.00万元。</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7" w:name="_Toc1745"/>
      <w:r>
        <w:rPr>
          <w:rFonts w:hint="eastAsia" w:ascii="Times New Roman" w:hAnsi="Times New Roman" w:eastAsia="方正仿宋_GBK" w:cs="Times New Roman"/>
          <w:color w:val="auto"/>
          <w:kern w:val="2"/>
          <w:sz w:val="30"/>
          <w:szCs w:val="30"/>
          <w:highlight w:val="none"/>
          <w:lang w:val="en-US" w:eastAsia="zh-CN" w:bidi="ar-SA"/>
        </w:rPr>
        <w:t>截至目前，实际支出800.00.00万元，预算执行率100.00%。</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color w:val="auto"/>
          <w:sz w:val="30"/>
          <w:szCs w:val="30"/>
          <w:lang w:val="en-US" w:eastAsia="zh-CN"/>
        </w:rPr>
      </w:pPr>
      <w:r>
        <w:rPr>
          <w:rFonts w:hint="eastAsia" w:ascii="方正正黑_GBK" w:hAnsi="方正正黑_GBK" w:eastAsia="方正正黑_GBK" w:cs="方正正黑_GBK"/>
          <w:b/>
          <w:bCs/>
          <w:color w:val="auto"/>
          <w:sz w:val="30"/>
          <w:szCs w:val="30"/>
          <w:lang w:val="en-US" w:eastAsia="zh-CN"/>
        </w:rPr>
        <w:t>评价结论</w:t>
      </w:r>
      <w:bookmarkEnd w:id="5"/>
      <w:bookmarkEnd w:id="6"/>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color w:val="auto"/>
          <w:kern w:val="0"/>
          <w:sz w:val="30"/>
          <w:szCs w:val="30"/>
          <w:lang w:val="en-US" w:eastAsia="zh-CN" w:bidi="zh-CN"/>
        </w:rPr>
      </w:pPr>
      <w:r>
        <w:rPr>
          <w:rFonts w:hint="default" w:ascii="Times New Roman" w:hAnsi="Times New Roman" w:eastAsia="仿宋" w:cs="Times New Roman"/>
          <w:color w:val="auto"/>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color w:val="auto"/>
          <w:kern w:val="0"/>
          <w:sz w:val="30"/>
          <w:szCs w:val="30"/>
          <w:lang w:val="en-US" w:eastAsia="zh-CN" w:bidi="zh-CN"/>
        </w:rPr>
        <w:t>。</w:t>
      </w:r>
      <w:r>
        <w:rPr>
          <w:rFonts w:hint="eastAsia" w:ascii="Times New Roman" w:hAnsi="Times New Roman" w:cs="Times New Roman"/>
          <w:b w:val="0"/>
          <w:bCs w:val="0"/>
          <w:color w:val="auto"/>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color w:val="auto"/>
          <w:kern w:val="0"/>
          <w:sz w:val="30"/>
          <w:szCs w:val="30"/>
          <w:lang w:val="en-US" w:eastAsia="zh-CN" w:bidi="zh-CN"/>
        </w:rPr>
      </w:pPr>
      <w:r>
        <w:rPr>
          <w:rFonts w:hint="default" w:ascii="Times New Roman" w:hAnsi="Times New Roman" w:eastAsia="仿宋" w:cs="Times New Roman"/>
          <w:b w:val="0"/>
          <w:bCs w:val="0"/>
          <w:color w:val="auto"/>
          <w:kern w:val="0"/>
          <w:sz w:val="30"/>
          <w:szCs w:val="30"/>
          <w:lang w:val="en-US" w:eastAsia="zh-CN" w:bidi="zh-CN"/>
        </w:rPr>
        <w:t>通过</w:t>
      </w:r>
      <w:r>
        <w:rPr>
          <w:rFonts w:hint="default" w:ascii="Times New Roman" w:hAnsi="Times New Roman" w:cs="Times New Roman"/>
          <w:b w:val="0"/>
          <w:bCs w:val="0"/>
          <w:color w:val="auto"/>
          <w:kern w:val="0"/>
          <w:sz w:val="30"/>
          <w:szCs w:val="30"/>
          <w:lang w:val="en-US" w:eastAsia="zh-CN" w:bidi="zh-CN"/>
        </w:rPr>
        <w:t>资料收集</w:t>
      </w:r>
      <w:r>
        <w:rPr>
          <w:rFonts w:hint="default" w:ascii="Times New Roman" w:hAnsi="Times New Roman" w:eastAsia="仿宋" w:cs="Times New Roman"/>
          <w:b w:val="0"/>
          <w:bCs w:val="0"/>
          <w:color w:val="auto"/>
          <w:kern w:val="0"/>
          <w:sz w:val="30"/>
          <w:szCs w:val="30"/>
          <w:lang w:val="en-US" w:eastAsia="zh-CN" w:bidi="zh-CN"/>
        </w:rPr>
        <w:t>、</w:t>
      </w:r>
      <w:r>
        <w:rPr>
          <w:rFonts w:hint="default" w:ascii="Times New Roman" w:hAnsi="Times New Roman" w:cs="Times New Roman"/>
          <w:b w:val="0"/>
          <w:bCs w:val="0"/>
          <w:color w:val="auto"/>
          <w:kern w:val="0"/>
          <w:sz w:val="30"/>
          <w:szCs w:val="30"/>
          <w:lang w:val="en-US" w:eastAsia="zh-CN" w:bidi="zh-CN"/>
        </w:rPr>
        <w:t>现场</w:t>
      </w:r>
      <w:r>
        <w:rPr>
          <w:rFonts w:hint="default" w:ascii="Times New Roman" w:hAnsi="Times New Roman" w:eastAsia="仿宋" w:cs="Times New Roman"/>
          <w:b w:val="0"/>
          <w:bCs w:val="0"/>
          <w:color w:val="auto"/>
          <w:kern w:val="0"/>
          <w:sz w:val="30"/>
          <w:szCs w:val="30"/>
          <w:lang w:val="en-US" w:eastAsia="zh-CN" w:bidi="zh-CN"/>
        </w:rPr>
        <w:t>访谈和问卷调查获取的数据，评价组对同心县长征路（东兴街</w:t>
      </w:r>
      <w:r>
        <w:rPr>
          <w:rFonts w:hint="eastAsia" w:ascii="Times New Roman" w:hAnsi="Times New Roman" w:cs="Times New Roman"/>
          <w:b w:val="0"/>
          <w:bCs w:val="0"/>
          <w:color w:val="auto"/>
          <w:kern w:val="0"/>
          <w:sz w:val="30"/>
          <w:szCs w:val="30"/>
          <w:lang w:val="en-US" w:eastAsia="zh-CN" w:bidi="zh-CN"/>
        </w:rPr>
        <w:t>～</w:t>
      </w:r>
      <w:r>
        <w:rPr>
          <w:rFonts w:hint="default" w:ascii="Times New Roman" w:hAnsi="Times New Roman" w:eastAsia="仿宋" w:cs="Times New Roman"/>
          <w:b w:val="0"/>
          <w:bCs w:val="0"/>
          <w:color w:val="auto"/>
          <w:kern w:val="0"/>
          <w:sz w:val="30"/>
          <w:szCs w:val="30"/>
          <w:lang w:val="en-US" w:eastAsia="zh-CN" w:bidi="zh-CN"/>
        </w:rPr>
        <w:t>红军路）雨污分流项目进行了独立客观公正的评价，最终得分</w:t>
      </w:r>
      <w:r>
        <w:rPr>
          <w:rFonts w:hint="default" w:ascii="Times New Roman" w:hAnsi="Times New Roman" w:cs="Times New Roman"/>
          <w:b w:val="0"/>
          <w:bCs w:val="0"/>
          <w:color w:val="auto"/>
          <w:kern w:val="0"/>
          <w:sz w:val="30"/>
          <w:szCs w:val="30"/>
          <w:lang w:val="en-US" w:eastAsia="zh-CN" w:bidi="zh-CN"/>
        </w:rPr>
        <w:t>为</w:t>
      </w:r>
      <w:r>
        <w:rPr>
          <w:rFonts w:hint="default" w:ascii="Times New Roman" w:hAnsi="Times New Roman" w:cs="Times New Roman"/>
          <w:b/>
          <w:bCs/>
          <w:color w:val="auto"/>
          <w:kern w:val="0"/>
          <w:sz w:val="30"/>
          <w:szCs w:val="30"/>
          <w:lang w:val="en-US" w:eastAsia="zh-CN" w:bidi="zh-CN"/>
        </w:rPr>
        <w:t>“</w:t>
      </w:r>
      <w:r>
        <w:rPr>
          <w:rFonts w:hint="eastAsia" w:ascii="Times New Roman" w:hAnsi="Times New Roman" w:cs="Times New Roman"/>
          <w:b/>
          <w:bCs/>
          <w:color w:val="auto"/>
          <w:kern w:val="0"/>
          <w:sz w:val="30"/>
          <w:szCs w:val="30"/>
          <w:lang w:val="en-US" w:eastAsia="zh-CN" w:bidi="zh-CN"/>
        </w:rPr>
        <w:t>85.5</w:t>
      </w:r>
      <w:r>
        <w:rPr>
          <w:rFonts w:hint="default" w:ascii="Times New Roman" w:hAnsi="Times New Roman" w:cs="Times New Roman"/>
          <w:b/>
          <w:bCs/>
          <w:color w:val="auto"/>
          <w:kern w:val="0"/>
          <w:sz w:val="30"/>
          <w:szCs w:val="30"/>
          <w:lang w:val="en-US" w:eastAsia="zh-CN" w:bidi="zh-CN"/>
        </w:rPr>
        <w:t>”分，</w:t>
      </w:r>
      <w:r>
        <w:rPr>
          <w:rFonts w:hint="default" w:ascii="Times New Roman" w:hAnsi="Times New Roman" w:cs="Times New Roman"/>
          <w:b w:val="0"/>
          <w:bCs w:val="0"/>
          <w:color w:val="auto"/>
          <w:kern w:val="0"/>
          <w:sz w:val="30"/>
          <w:szCs w:val="30"/>
          <w:lang w:val="en-US" w:eastAsia="zh-CN" w:bidi="zh-CN"/>
        </w:rPr>
        <w:t>评价结果为</w:t>
      </w:r>
      <w:r>
        <w:rPr>
          <w:rFonts w:hint="default" w:ascii="Times New Roman" w:hAnsi="Times New Roman" w:cs="Times New Roman"/>
          <w:b/>
          <w:bCs/>
          <w:color w:val="auto"/>
          <w:kern w:val="0"/>
          <w:sz w:val="30"/>
          <w:szCs w:val="30"/>
          <w:lang w:val="en-US" w:eastAsia="zh-CN" w:bidi="zh-CN"/>
        </w:rPr>
        <w:t>“</w:t>
      </w:r>
      <w:r>
        <w:rPr>
          <w:rFonts w:hint="eastAsia" w:ascii="Times New Roman" w:hAnsi="Times New Roman" w:cs="Times New Roman"/>
          <w:b/>
          <w:bCs/>
          <w:color w:val="auto"/>
          <w:kern w:val="0"/>
          <w:sz w:val="30"/>
          <w:szCs w:val="30"/>
          <w:lang w:val="en-US" w:eastAsia="zh-CN" w:bidi="zh-CN"/>
        </w:rPr>
        <w:t>良</w:t>
      </w:r>
      <w:r>
        <w:rPr>
          <w:rFonts w:hint="default" w:ascii="Times New Roman" w:hAnsi="Times New Roman" w:cs="Times New Roman"/>
          <w:b/>
          <w:bCs/>
          <w:color w:val="auto"/>
          <w:kern w:val="0"/>
          <w:sz w:val="30"/>
          <w:szCs w:val="30"/>
          <w:lang w:val="en-US" w:eastAsia="zh-CN" w:bidi="zh-CN"/>
        </w:rPr>
        <w:t>”</w:t>
      </w:r>
      <w:r>
        <w:rPr>
          <w:rFonts w:hint="default" w:ascii="Times New Roman" w:hAnsi="Times New Roman" w:cs="Times New Roman"/>
          <w:b w:val="0"/>
          <w:bCs w:val="0"/>
          <w:color w:val="auto"/>
          <w:kern w:val="0"/>
          <w:sz w:val="30"/>
          <w:szCs w:val="30"/>
          <w:lang w:val="en-US" w:eastAsia="zh-CN" w:bidi="zh-CN"/>
        </w:rPr>
        <w:t>。</w:t>
      </w:r>
      <w:bookmarkStart w:id="8" w:name="_Toc10088"/>
      <w:bookmarkStart w:id="9" w:name="_Toc14268"/>
      <w:bookmarkStart w:id="10" w:name="_Toc21407"/>
      <w:bookmarkStart w:id="11" w:name="_Toc16100"/>
      <w:bookmarkStart w:id="12" w:name="_Toc1237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color w:val="auto"/>
          <w:sz w:val="30"/>
          <w:szCs w:val="30"/>
          <w:lang w:val="en-US" w:eastAsia="zh-CN"/>
        </w:rPr>
      </w:pPr>
      <w:r>
        <w:rPr>
          <w:rFonts w:hint="eastAsia" w:ascii="方正正黑_GBK" w:hAnsi="方正正黑_GBK" w:eastAsia="方正正黑_GBK" w:cs="方正正黑_GBK"/>
          <w:b/>
          <w:bCs/>
          <w:color w:val="auto"/>
          <w:sz w:val="30"/>
          <w:szCs w:val="30"/>
          <w:lang w:val="en-US" w:eastAsia="zh-CN"/>
        </w:rPr>
        <w:t>四、主要经验</w:t>
      </w:r>
      <w:bookmarkEnd w:id="8"/>
      <w:bookmarkEnd w:id="9"/>
      <w:bookmarkEnd w:id="10"/>
      <w:bookmarkEnd w:id="11"/>
      <w:bookmarkEnd w:id="12"/>
      <w:bookmarkStart w:id="13" w:name="_Toc3362"/>
      <w:bookmarkStart w:id="14" w:name="_Toc5586"/>
      <w:bookmarkStart w:id="15" w:name="_Toc2901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本次绩效评价，通过现场资料收集、实地调查和现场访谈，总结了同心县长征路（东兴街</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红军路）雨污分流项目实施方面取得了一定的成就，经验和做法主要有以下几个方面：</w:t>
      </w:r>
    </w:p>
    <w:bookmarkEnd w:id="13"/>
    <w:bookmarkEnd w:id="14"/>
    <w:bookmarkEnd w:id="15"/>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ascii="Microsoft YaHei UI" w:hAnsi="Microsoft YaHei UI" w:eastAsia="Microsoft YaHei UI" w:cs="Microsoft YaHei UI"/>
          <w:i w:val="0"/>
          <w:iCs w:val="0"/>
          <w:caps w:val="0"/>
          <w:color w:val="auto"/>
          <w:spacing w:val="15"/>
          <w:sz w:val="25"/>
          <w:szCs w:val="25"/>
          <w:shd w:val="clear" w:fill="FFFFFF"/>
        </w:rPr>
      </w:pPr>
      <w:bookmarkStart w:id="16" w:name="_Toc22246"/>
      <w:r>
        <w:rPr>
          <w:rFonts w:hint="default" w:ascii="Times New Roman" w:hAnsi="Times New Roman" w:eastAsia="方正仿宋_GBK" w:cs="Times New Roman"/>
          <w:color w:val="auto"/>
          <w:kern w:val="0"/>
          <w:sz w:val="30"/>
          <w:szCs w:val="30"/>
          <w:lang w:val="en-US" w:eastAsia="zh-CN" w:bidi="zh-CN"/>
        </w:rPr>
        <w:t>在</w:t>
      </w:r>
      <w:r>
        <w:rPr>
          <w:rFonts w:hint="eastAsia" w:ascii="Times New Roman" w:hAnsi="Times New Roman" w:eastAsia="方正仿宋_GBK" w:cs="Times New Roman"/>
          <w:color w:val="auto"/>
          <w:kern w:val="0"/>
          <w:sz w:val="30"/>
          <w:szCs w:val="30"/>
          <w:lang w:val="en-US" w:eastAsia="zh-CN" w:bidi="zh-CN"/>
        </w:rPr>
        <w:t>道路</w:t>
      </w:r>
      <w:r>
        <w:rPr>
          <w:rFonts w:hint="default" w:ascii="Times New Roman" w:hAnsi="Times New Roman" w:eastAsia="方正仿宋_GBK" w:cs="Times New Roman"/>
          <w:color w:val="auto"/>
          <w:kern w:val="0"/>
          <w:sz w:val="30"/>
          <w:szCs w:val="30"/>
          <w:lang w:val="en-US" w:eastAsia="zh-CN" w:bidi="zh-CN"/>
        </w:rPr>
        <w:t>改造过程中，市住建局、街道、施工方都将“民情民意”放在第一位，在改造前发起民意调查、在改造中不断征求群众意见、在改造完成后做好民意回访。居民在改造过程中全程参与、全程监督，把“要我改”变成了“我要改”，居民</w:t>
      </w:r>
      <w:r>
        <w:rPr>
          <w:rFonts w:hint="eastAsia" w:ascii="Times New Roman" w:hAnsi="Times New Roman" w:eastAsia="方正仿宋_GBK" w:cs="Times New Roman"/>
          <w:color w:val="auto"/>
          <w:kern w:val="0"/>
          <w:sz w:val="30"/>
          <w:szCs w:val="30"/>
          <w:lang w:val="en-US" w:eastAsia="zh-CN" w:bidi="zh-CN"/>
        </w:rPr>
        <w:t>也成了</w:t>
      </w:r>
      <w:r>
        <w:rPr>
          <w:rFonts w:hint="default" w:ascii="Times New Roman" w:hAnsi="Times New Roman" w:eastAsia="方正仿宋_GBK" w:cs="Times New Roman"/>
          <w:color w:val="auto"/>
          <w:kern w:val="0"/>
          <w:sz w:val="30"/>
          <w:szCs w:val="30"/>
          <w:lang w:val="en-US" w:eastAsia="zh-CN" w:bidi="zh-CN"/>
        </w:rPr>
        <w:t>改造工作中的“主人翁”。</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全面推行工程项目法人制、合同制、招标制和质量终身制，严格按照工程设计要求和施工标准进行施工，并聘请工程监理现场监督，发现问题，及时纠正，确保工程进度和质量；</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不断推动进展情况定期调度和督查通报机制；</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组织监理公司和施工公司定期召开工地例会，针对工程质量、安全进度方面进行沟通，对存在的问题各方进行商讨解决，落实质量，严抓工程质量关，保证施工进度，努力创建标准化工地；</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立足现场，通过经常性的监督以保证整个项目和各工程活动按照计划和合同有效地实施，达到预定的目标。</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五是</w:t>
      </w:r>
      <w:r>
        <w:rPr>
          <w:rFonts w:hint="eastAsia" w:ascii="Times New Roman" w:hAnsi="Times New Roman" w:eastAsia="方正仿宋_GBK" w:cs="Times New Roman"/>
          <w:color w:val="auto"/>
          <w:kern w:val="0"/>
          <w:sz w:val="30"/>
          <w:szCs w:val="30"/>
          <w:lang w:val="en-US" w:eastAsia="zh-CN" w:bidi="zh-CN"/>
        </w:rPr>
        <w:t>按时记录项目台账，及时控制和掌握资金使用情况，科学合理安排项目事务。</w:t>
      </w:r>
    </w:p>
    <w:p>
      <w:pPr>
        <w:pStyle w:val="4"/>
        <w:ind w:firstLine="562"/>
        <w:rPr>
          <w:rFonts w:hint="eastAsia" w:ascii="方正楷体_GBK" w:hAnsi="方正楷体_GBK" w:eastAsia="方正楷体_GBK" w:cs="方正楷体_GBK"/>
          <w:b/>
          <w:bCs w:val="0"/>
          <w:color w:val="auto"/>
          <w:sz w:val="32"/>
          <w:szCs w:val="32"/>
        </w:rPr>
      </w:pPr>
      <w:bookmarkStart w:id="17" w:name="_Toc32273"/>
      <w:r>
        <w:rPr>
          <w:rFonts w:hint="eastAsia" w:ascii="方正楷体_GBK" w:hAnsi="方正楷体_GBK" w:eastAsia="方正楷体_GBK" w:cs="方正楷体_GBK"/>
          <w:b/>
          <w:bCs w:val="0"/>
          <w:color w:val="auto"/>
          <w:sz w:val="32"/>
          <w:szCs w:val="32"/>
        </w:rPr>
        <w:t>（二）存在的问题</w:t>
      </w:r>
      <w:bookmarkEnd w:id="16"/>
      <w:bookmarkEnd w:id="17"/>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bookmarkStart w:id="18" w:name="_Toc19915"/>
      <w:r>
        <w:rPr>
          <w:rFonts w:hint="eastAsia" w:ascii="Times New Roman" w:hAnsi="Times New Roman" w:eastAsia="方正仿宋_GBK" w:cs="Times New Roman"/>
          <w:b/>
          <w:bCs/>
          <w:kern w:val="2"/>
          <w:sz w:val="30"/>
          <w:szCs w:val="30"/>
          <w:lang w:val="en-US" w:eastAsia="zh-CN" w:bidi="zh-CN"/>
        </w:rPr>
        <w:t>1.项目实施后，未对项目所有标段进行及时验收。</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截至评价时段，在资料审阅过程中发现，项目完工后，仅仅对第一标段、第四标段进行验收，第二标段、第三标段未进行验收。</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2.项目完工后，久拖不“决”。</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在资料审阅过程中发现，项目在结算审核、竣工财务决算编制、会计核算、在建工程“转固”等方面存在一些亟待解决的问题。竣工财务决算工作严重滞后，导致新增资产价值难以确认。</w:t>
      </w:r>
    </w:p>
    <w:p>
      <w:pPr>
        <w:pStyle w:val="21"/>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项目未建立长效机制。</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经查阅资料，项目未建立或具备长期维护机制、方案；未明确养护责任部门、配备维护管理人员；养护维护支持经费来源没有保障；项目在竣工后也未定制细化可操作执行的维护方案。</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auto"/>
          <w:sz w:val="30"/>
          <w:szCs w:val="30"/>
          <w:shd w:val="clear" w:fill="FFFFFF"/>
          <w:lang w:val="en-US" w:eastAsia="zh-CN" w:bidi="zh-CN"/>
        </w:rPr>
      </w:pPr>
      <w:bookmarkStart w:id="19" w:name="_Toc26617"/>
      <w:r>
        <w:rPr>
          <w:rFonts w:hint="eastAsia" w:ascii="方正楷体_GBK" w:hAnsi="方正楷体_GBK" w:eastAsia="方正楷体_GBK" w:cs="方正楷体_GBK"/>
          <w:color w:val="auto"/>
          <w:sz w:val="30"/>
          <w:szCs w:val="30"/>
          <w:shd w:val="clear" w:fill="FFFFFF"/>
          <w:lang w:val="en-US" w:eastAsia="zh-CN" w:bidi="zh-CN"/>
        </w:rPr>
        <w:t>（三）建议</w:t>
      </w:r>
      <w:bookmarkEnd w:id="18"/>
      <w:bookmarkEnd w:id="19"/>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92" w:firstLineChars="200"/>
        <w:textAlignment w:val="auto"/>
        <w:outlineLvl w:val="9"/>
        <w:rPr>
          <w:rFonts w:hint="eastAsia" w:ascii="仿宋" w:hAnsi="仿宋" w:cs="仿宋"/>
          <w:b/>
          <w:bCs/>
          <w:color w:val="auto"/>
          <w:sz w:val="32"/>
          <w:szCs w:val="32"/>
          <w:lang w:val="en-US" w:eastAsia="zh-CN"/>
        </w:rPr>
      </w:pPr>
      <w:r>
        <w:rPr>
          <w:rFonts w:hint="eastAsia" w:ascii="Times New Roman" w:hAnsi="Times New Roman" w:eastAsia="方正仿宋_GBK" w:cs="Times New Roman"/>
          <w:b/>
          <w:bCs/>
          <w:spacing w:val="0"/>
          <w:kern w:val="0"/>
          <w:sz w:val="30"/>
          <w:szCs w:val="30"/>
          <w:lang w:val="en-US" w:eastAsia="zh-CN" w:bidi="zh-CN"/>
        </w:rPr>
        <w:t>1.</w:t>
      </w:r>
      <w:r>
        <w:rPr>
          <w:rFonts w:hint="eastAsia" w:ascii="仿宋" w:hAnsi="仿宋" w:eastAsia="仿宋" w:cs="仿宋"/>
          <w:b/>
          <w:bCs/>
          <w:color w:val="auto"/>
          <w:sz w:val="32"/>
          <w:szCs w:val="32"/>
          <w:lang w:val="en-US" w:eastAsia="zh-CN"/>
        </w:rPr>
        <w:t>强化项目管理要求，提升管理水平</w:t>
      </w:r>
      <w:r>
        <w:rPr>
          <w:rFonts w:hint="eastAsia" w:ascii="仿宋" w:hAnsi="仿宋" w:cs="仿宋"/>
          <w:b/>
          <w:bCs/>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32" w:firstLineChars="200"/>
        <w:textAlignment w:val="auto"/>
        <w:outlineLvl w:val="9"/>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对暂未完成的项目，应督促项目实施单位加快工程进度，在确保工程质量的前</w:t>
      </w:r>
      <w:r>
        <w:rPr>
          <w:rFonts w:hint="eastAsia" w:cs="仿宋"/>
          <w:color w:val="auto"/>
          <w:sz w:val="32"/>
          <w:szCs w:val="32"/>
          <w:lang w:val="en-US" w:eastAsia="zh-CN"/>
        </w:rPr>
        <w:t>提</w:t>
      </w:r>
      <w:r>
        <w:rPr>
          <w:rFonts w:hint="eastAsia" w:ascii="仿宋" w:hAnsi="仿宋" w:eastAsia="仿宋" w:cs="仿宋"/>
          <w:color w:val="auto"/>
          <w:sz w:val="32"/>
          <w:szCs w:val="32"/>
          <w:lang w:val="en-US" w:eastAsia="zh-CN"/>
        </w:rPr>
        <w:t>下，尽早形成实物工作量</w:t>
      </w:r>
      <w:r>
        <w:rPr>
          <w:rFonts w:hint="eastAsia" w:ascii="仿宋" w:hAnsi="仿宋" w:cs="仿宋"/>
          <w:color w:val="auto"/>
          <w:sz w:val="32"/>
          <w:szCs w:val="32"/>
          <w:lang w:val="en-US" w:eastAsia="zh-CN"/>
        </w:rPr>
        <w:t>；</w:t>
      </w:r>
      <w:r>
        <w:rPr>
          <w:rFonts w:hint="eastAsia" w:cs="仿宋"/>
          <w:color w:val="auto"/>
          <w:sz w:val="32"/>
          <w:szCs w:val="32"/>
          <w:lang w:val="en-US" w:eastAsia="zh-CN"/>
        </w:rPr>
        <w:t>对已完工的项目，督促项目实施单位尽快与第三方机构协同完成项目验收。</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2.提升决算意识，履行决算职能。</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r>
        <w:rPr>
          <w:rFonts w:hint="eastAsia" w:ascii="Times New Roman" w:hAnsi="Times New Roman" w:eastAsia="方正仿宋_GBK" w:cs="Times New Roman"/>
          <w:color w:val="000000"/>
          <w:kern w:val="0"/>
          <w:sz w:val="30"/>
          <w:szCs w:val="30"/>
          <w:lang w:val="en-US" w:eastAsia="zh-CN" w:bidi="ar"/>
        </w:rPr>
        <w:t>。</w:t>
      </w:r>
    </w:p>
    <w:p>
      <w:pPr>
        <w:pStyle w:val="12"/>
        <w:keepNext w:val="0"/>
        <w:keepLines w:val="0"/>
        <w:pageBreakBefore w:val="0"/>
        <w:widowControl w:val="0"/>
        <w:numPr>
          <w:ilvl w:val="0"/>
          <w:numId w:val="0"/>
        </w:numPr>
        <w:kinsoku/>
        <w:wordWrap/>
        <w:overflowPunct w:val="0"/>
        <w:topLinePunct w:val="0"/>
        <w:autoSpaceDE/>
        <w:autoSpaceDN/>
        <w:bidi w:val="0"/>
        <w:adjustRightInd/>
        <w:snapToGrid/>
        <w:ind w:leftChars="200"/>
        <w:textAlignment w:val="auto"/>
        <w:outlineLvl w:val="9"/>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3.建立长效维护机制，提升项目经济价值。</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lang w:val="en-US" w:eastAsia="zh-CN"/>
        </w:rPr>
      </w:pPr>
      <w:r>
        <w:rPr>
          <w:rFonts w:hint="eastAsia" w:ascii="Times New Roman" w:hAnsi="Times New Roman" w:eastAsia="方正仿宋_GBK" w:cs="Times New Roman"/>
          <w:spacing w:val="0"/>
          <w:kern w:val="0"/>
          <w:sz w:val="30"/>
          <w:szCs w:val="30"/>
          <w:lang w:val="en-US" w:eastAsia="zh-CN" w:bidi="zh-CN"/>
        </w:rPr>
        <w:t>项目要建立或具备长期维护机制、方案；明确养护责任部门、同时配备维护管理人员；确定养护维护支持经费；项目在竣工后制定细化可操作执行的维护方案，增加使用年限，提升项目的经济价值。</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ind w:left="0" w:leftChars="0" w:firstLine="0" w:firstLineChars="0"/>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rPr>
          <w:rFonts w:hint="eastAsia" w:ascii="方正仿宋_GBK" w:hAnsi="方正仿宋_GBK" w:eastAsia="方正仿宋_GBK" w:cs="方正仿宋_GBK"/>
          <w:b/>
          <w:bCs/>
          <w:sz w:val="30"/>
          <w:szCs w:val="30"/>
          <w:lang w:val="en-US" w:eastAsia="zh-CN"/>
        </w:rPr>
      </w:pPr>
      <w:r>
        <w:rPr>
          <w:rFonts w:hint="eastAsia" w:ascii="方正仿宋_GBK" w:hAnsi="方正仿宋_GBK" w:eastAsia="方正仿宋_GBK" w:cs="方正仿宋_GBK"/>
          <w:b/>
          <w:bCs/>
          <w:sz w:val="30"/>
          <w:szCs w:val="30"/>
          <w:lang w:val="en-US" w:eastAsia="zh-CN"/>
        </w:rPr>
        <w:br w:type="page"/>
      </w:r>
    </w:p>
    <w:p>
      <w:pPr>
        <w:bidi w:val="0"/>
        <w:ind w:left="0" w:leftChars="0" w:firstLine="0" w:firstLineChars="0"/>
        <w:jc w:val="center"/>
        <w:rPr>
          <w:rFonts w:hint="eastAsia" w:ascii="仿宋" w:hAnsi="仿宋" w:eastAsia="仿宋" w:cs="仿宋"/>
          <w:sz w:val="24"/>
          <w:szCs w:val="24"/>
        </w:rPr>
      </w:pPr>
      <w:r>
        <w:rPr>
          <w:rFonts w:hint="eastAsia" w:ascii="方正仿宋_GBK" w:hAnsi="方正仿宋_GBK" w:eastAsia="方正仿宋_GBK" w:cs="方正仿宋_GBK"/>
          <w:b/>
          <w:bCs/>
          <w:sz w:val="30"/>
          <w:szCs w:val="30"/>
          <w:lang w:val="en-US" w:eastAsia="zh-CN"/>
        </w:rPr>
        <w:t xml:space="preserve">    目 录</w:t>
      </w: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TOC \o "1-3" \h \u </w:instrText>
      </w:r>
      <w:r>
        <w:rPr>
          <w:rFonts w:hint="eastAsia" w:ascii="仿宋" w:hAnsi="仿宋" w:eastAsia="仿宋" w:cs="仿宋"/>
          <w:b w:val="0"/>
          <w:bCs w:val="0"/>
          <w:kern w:val="0"/>
          <w:sz w:val="24"/>
          <w:szCs w:val="24"/>
          <w:lang w:val="en-US" w:eastAsia="zh-CN" w:bidi="zh-CN"/>
        </w:rPr>
        <w:fldChar w:fldCharType="separate"/>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_Toc31413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_Toc31413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_Toc21204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_Toc21204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_Toc21617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_Toc21617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_Toc19098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二、项目资金预算安排和使用情况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_Toc19098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_Toc13745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_Toc13745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_Toc30999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_Toc30999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_Toc13828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（三）资金管理情况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_Toc13828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_Toc14131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_Toc14131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_Toc32657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_Toc32657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10</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_Toc25963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_Toc25963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_Toc20205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 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_Toc20205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_Toc31078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_Toc31078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11</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_Toc23662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_Toc23662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_Toc1453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_Toc1453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_Toc26073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_Toc26073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_Toc30926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_Toc30926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_Toc4086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（五）评价标准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_Toc4086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_Toc1504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ascii="仿宋" w:hAnsi="仿宋" w:eastAsia="仿宋" w:cs="仿宋"/>
          <w:sz w:val="24"/>
          <w:szCs w:val="24"/>
          <w:lang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_Toc1504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_Toc19373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eastAsia="zh-CN"/>
        </w:rPr>
        <w:t>（七）</w:t>
      </w:r>
      <w:r>
        <w:rPr>
          <w:rFonts w:hint="eastAsia" w:ascii="仿宋" w:hAnsi="仿宋" w:eastAsia="仿宋" w:cs="仿宋"/>
          <w:sz w:val="24"/>
          <w:szCs w:val="24"/>
        </w:rPr>
        <w:t>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_Toc19373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_Toc9120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（八）绩效评价工作过程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_Toc9120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_Toc23068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五、综合评价情况及评价结论</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_Toc23068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19</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_Toc21328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（一）项目完成情况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_Toc21328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fldChar w:fldCharType="begin"/>
      </w:r>
      <w:r>
        <w:rPr>
          <w:rFonts w:hint="eastAsia" w:ascii="仿宋" w:hAnsi="仿宋" w:eastAsia="仿宋" w:cs="仿宋"/>
          <w:b w:val="0"/>
          <w:bCs w:val="0"/>
          <w:kern w:val="2"/>
          <w:sz w:val="24"/>
          <w:szCs w:val="24"/>
          <w:lang w:val="en-US" w:eastAsia="zh-CN" w:bidi="ar-SA"/>
        </w:rPr>
        <w:instrText xml:space="preserve"> HYPERLINK \l _Toc30124 </w:instrText>
      </w:r>
      <w:r>
        <w:rPr>
          <w:rFonts w:hint="eastAsia" w:ascii="仿宋" w:hAnsi="仿宋" w:eastAsia="仿宋" w:cs="仿宋"/>
          <w:b w:val="0"/>
          <w:bCs w:val="0"/>
          <w:kern w:val="2"/>
          <w:sz w:val="24"/>
          <w:szCs w:val="24"/>
          <w:lang w:val="en-US" w:eastAsia="zh-CN" w:bidi="ar-SA"/>
        </w:rPr>
        <w:fldChar w:fldCharType="separate"/>
      </w:r>
      <w:r>
        <w:rPr>
          <w:rFonts w:hint="eastAsia" w:ascii="仿宋" w:hAnsi="仿宋" w:eastAsia="仿宋" w:cs="仿宋"/>
          <w:b w:val="0"/>
          <w:bCs w:val="0"/>
          <w:kern w:val="2"/>
          <w:sz w:val="24"/>
          <w:szCs w:val="24"/>
          <w:lang w:val="en-US" w:eastAsia="zh-CN" w:bidi="ar-SA"/>
        </w:rPr>
        <w:t>（二）评价结论</w:t>
      </w:r>
      <w:r>
        <w:rPr>
          <w:rFonts w:hint="eastAsia" w:ascii="仿宋" w:hAnsi="仿宋" w:eastAsia="仿宋" w:cs="仿宋"/>
          <w:b w:val="0"/>
          <w:bCs w:val="0"/>
          <w:kern w:val="2"/>
          <w:sz w:val="24"/>
          <w:szCs w:val="24"/>
          <w:lang w:val="en-US" w:eastAsia="zh-CN" w:bidi="ar-SA"/>
        </w:rPr>
        <w:tab/>
      </w:r>
      <w:r>
        <w:rPr>
          <w:rFonts w:hint="eastAsia" w:ascii="仿宋" w:hAnsi="仿宋" w:eastAsia="仿宋" w:cs="仿宋"/>
          <w:b w:val="0"/>
          <w:bCs w:val="0"/>
          <w:kern w:val="2"/>
          <w:sz w:val="24"/>
          <w:szCs w:val="24"/>
          <w:lang w:val="en-US" w:eastAsia="zh-CN" w:bidi="ar-SA"/>
        </w:rPr>
        <w:fldChar w:fldCharType="begin"/>
      </w:r>
      <w:r>
        <w:rPr>
          <w:rFonts w:hint="eastAsia" w:ascii="仿宋" w:hAnsi="仿宋" w:eastAsia="仿宋" w:cs="仿宋"/>
          <w:b w:val="0"/>
          <w:bCs w:val="0"/>
          <w:kern w:val="2"/>
          <w:sz w:val="24"/>
          <w:szCs w:val="24"/>
          <w:lang w:val="en-US" w:eastAsia="zh-CN" w:bidi="ar-SA"/>
        </w:rPr>
        <w:instrText xml:space="preserve"> PAGEREF _Toc30124 \h </w:instrText>
      </w:r>
      <w:r>
        <w:rPr>
          <w:rFonts w:hint="eastAsia" w:ascii="仿宋" w:hAnsi="仿宋" w:eastAsia="仿宋" w:cs="仿宋"/>
          <w:b w:val="0"/>
          <w:bCs w:val="0"/>
          <w:kern w:val="2"/>
          <w:sz w:val="24"/>
          <w:szCs w:val="24"/>
          <w:lang w:val="en-US" w:eastAsia="zh-CN" w:bidi="ar-SA"/>
        </w:rPr>
        <w:fldChar w:fldCharType="separate"/>
      </w:r>
      <w:r>
        <w:rPr>
          <w:rFonts w:hint="eastAsia" w:ascii="仿宋" w:hAnsi="仿宋" w:eastAsia="仿宋" w:cs="仿宋"/>
          <w:b w:val="0"/>
          <w:bCs w:val="0"/>
          <w:kern w:val="2"/>
          <w:sz w:val="24"/>
          <w:szCs w:val="24"/>
          <w:lang w:val="en-US" w:eastAsia="zh-CN" w:bidi="ar-SA"/>
        </w:rPr>
        <w:t>21</w:t>
      </w:r>
      <w:r>
        <w:rPr>
          <w:rFonts w:hint="eastAsia" w:ascii="仿宋" w:hAnsi="仿宋" w:eastAsia="仿宋" w:cs="仿宋"/>
          <w:b w:val="0"/>
          <w:bCs w:val="0"/>
          <w:kern w:val="2"/>
          <w:sz w:val="24"/>
          <w:szCs w:val="24"/>
          <w:lang w:val="en-US" w:eastAsia="zh-CN" w:bidi="ar-SA"/>
        </w:rPr>
        <w:fldChar w:fldCharType="end"/>
      </w:r>
      <w:r>
        <w:rPr>
          <w:rFonts w:hint="eastAsia" w:ascii="仿宋" w:hAnsi="仿宋" w:eastAsia="仿宋" w:cs="仿宋"/>
          <w:b w:val="0"/>
          <w:bCs w:val="0"/>
          <w:kern w:val="2"/>
          <w:sz w:val="24"/>
          <w:szCs w:val="24"/>
          <w:lang w:val="en-US" w:eastAsia="zh-CN" w:bidi="ar-SA"/>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_Toc30945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_Toc30945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22</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_Toc13268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pacing w:val="0"/>
          <w:sz w:val="24"/>
          <w:szCs w:val="24"/>
          <w:lang w:eastAsia="zh-CN"/>
        </w:rPr>
        <w:t>（一）</w:t>
      </w:r>
      <w:r>
        <w:rPr>
          <w:rFonts w:hint="eastAsia" w:ascii="仿宋" w:hAnsi="仿宋" w:eastAsia="仿宋" w:cs="仿宋"/>
          <w:bCs w:val="0"/>
          <w:spacing w:val="0"/>
          <w:sz w:val="24"/>
          <w:szCs w:val="24"/>
        </w:rPr>
        <w:t>项目决策情</w:t>
      </w:r>
      <w:r>
        <w:rPr>
          <w:rFonts w:hint="eastAsia" w:ascii="仿宋" w:hAnsi="仿宋" w:eastAsia="仿宋" w:cs="仿宋"/>
          <w:bCs w:val="0"/>
          <w:sz w:val="24"/>
          <w:szCs w:val="24"/>
        </w:rPr>
        <w:t>况</w:t>
      </w:r>
      <w:r>
        <w:rPr>
          <w:rFonts w:hint="eastAsia" w:ascii="仿宋" w:hAnsi="仿宋" w:eastAsia="仿宋" w:cs="仿宋"/>
          <w:bCs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_Toc13268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_Toc11410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_Toc11410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_Toc5614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（三）</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产出</w:t>
      </w:r>
      <w:r>
        <w:rPr>
          <w:rFonts w:hint="eastAsia" w:ascii="仿宋" w:hAnsi="仿宋" w:eastAsia="仿宋" w:cs="仿宋"/>
          <w:spacing w:val="0"/>
          <w:sz w:val="24"/>
          <w:szCs w:val="24"/>
        </w:rPr>
        <w:t>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_Toc5614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_Toc11356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（四）</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_Toc11356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_Toc9156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七、主要经验做法、存在问题及建议</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_Toc9156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31</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_Toc26899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_Toc26899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_Toc5440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_Toc5440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_Toc3160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shd w:val="clear" w:fill="FFFFFF"/>
          <w:lang w:val="en-US" w:eastAsia="zh-CN" w:bidi="zh-CN"/>
        </w:rPr>
        <w:t>（三）建议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_Toc3160 \h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_Toc9318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八、其他需要说明的问题</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_Toc9318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34</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20" w:name="_Toc12033"/>
      <w:bookmarkStart w:id="21" w:name="_Toc30196"/>
      <w:r>
        <w:rPr>
          <w:rFonts w:hint="eastAsia" w:ascii="方正小标宋_GBK" w:hAnsi="方正小标宋_GBK" w:eastAsia="方正小标宋_GBK" w:cs="方正小标宋_GBK"/>
          <w:b w:val="0"/>
          <w:bCs w:val="0"/>
          <w:color w:val="181717" w:themeColor="background2" w:themeShade="1A"/>
          <w:sz w:val="36"/>
          <w:szCs w:val="36"/>
          <w:lang w:val="en-US" w:eastAsia="zh-CN"/>
        </w:rPr>
        <w:t>同心县</w:t>
      </w:r>
      <w:r>
        <w:rPr>
          <w:rFonts w:hint="eastAsia" w:ascii="方正小标宋_GBK" w:hAnsi="方正小标宋_GBK" w:eastAsia="方正小标宋_GBK" w:cs="方正小标宋_GBK"/>
          <w:b/>
          <w:bCs/>
          <w:color w:val="181717" w:themeColor="background2" w:themeShade="1A"/>
          <w:sz w:val="36"/>
          <w:szCs w:val="36"/>
          <w:lang w:val="en-US" w:eastAsia="zh-CN"/>
        </w:rPr>
        <w:t>长征路（东兴街～红军路）雨污分流项目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方正小标宋_GBK" w:hAnsi="方正小标宋_GBK" w:eastAsia="方正小标宋_GBK" w:cs="方正小标宋_GBK"/>
          <w:b/>
          <w:bCs/>
          <w:color w:val="181717" w:themeColor="background2" w:themeShade="1A"/>
          <w:sz w:val="36"/>
          <w:szCs w:val="36"/>
          <w:lang w:val="en-US" w:eastAsia="zh-CN"/>
        </w:rPr>
      </w:pPr>
      <w:r>
        <w:rPr>
          <w:rFonts w:hint="eastAsia" w:ascii="方正小标宋_GBK" w:hAnsi="方正小标宋_GBK" w:eastAsia="方正小标宋_GBK" w:cs="方正小标宋_GBK"/>
          <w:color w:val="1E1C11"/>
          <w:spacing w:val="0"/>
          <w:kern w:val="0"/>
          <w:sz w:val="28"/>
          <w:szCs w:val="28"/>
          <w:lang w:val="en-US" w:eastAsia="zh-CN" w:bidi="ar"/>
        </w:rPr>
        <w:t xml:space="preserve">                </w:t>
      </w:r>
      <w:r>
        <w:rPr>
          <w:rFonts w:hint="eastAsia" w:ascii="方正小标宋_GBK" w:hAnsi="方正小标宋_GBK" w:eastAsia="方正小标宋_GBK" w:cs="方正小标宋_GBK"/>
          <w:b/>
          <w:bCs/>
          <w:color w:val="181717" w:themeColor="background2" w:themeShade="1A"/>
          <w:sz w:val="36"/>
          <w:szCs w:val="36"/>
          <w:lang w:val="en-US" w:eastAsia="zh-CN"/>
        </w:rPr>
        <w:t xml:space="preserve">     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，宁夏万协项目管理有限公司受同心县财政局委托，对同心县长征路（东兴街～红军路）雨污分流项目开展绩效评价相关工作。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val="0"/>
        <w:keepLines w:val="0"/>
        <w:pageBreakBefore w:val="0"/>
        <w:widowControl w:val="0"/>
        <w:kinsoku/>
        <w:wordWrap/>
        <w:topLinePunct w:val="0"/>
        <w:autoSpaceDE/>
        <w:autoSpaceDN/>
        <w:bidi w:val="0"/>
        <w:adjustRightInd/>
        <w:textAlignment w:val="auto"/>
        <w:rPr>
          <w:rFonts w:hint="eastAsia" w:ascii="宋体" w:hAnsi="宋体" w:eastAsia="宋体" w:cs="宋体"/>
          <w:b/>
          <w:bCs/>
          <w:lang w:val="en-US" w:eastAsia="zh-CN"/>
        </w:rPr>
      </w:pPr>
      <w:bookmarkStart w:id="22" w:name="_Toc31413"/>
      <w:r>
        <w:rPr>
          <w:rFonts w:hint="eastAsia" w:ascii="宋体" w:hAnsi="宋体" w:eastAsia="宋体" w:cs="宋体"/>
          <w:b/>
          <w:bCs/>
          <w:lang w:val="en-US" w:eastAsia="zh-CN"/>
        </w:rPr>
        <w:t>一、项目基本情况</w:t>
      </w:r>
      <w:bookmarkEnd w:id="20"/>
      <w:bookmarkEnd w:id="21"/>
      <w:bookmarkEnd w:id="22"/>
    </w:p>
    <w:p>
      <w:pPr>
        <w:pStyle w:val="4"/>
        <w:keepNext w:val="0"/>
        <w:keepLines w:val="0"/>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3" w:name="_Toc25760"/>
      <w:bookmarkStart w:id="24" w:name="_Toc5690"/>
      <w:bookmarkStart w:id="25" w:name="_Toc21204"/>
      <w:r>
        <w:rPr>
          <w:rFonts w:hint="eastAsia"/>
          <w:b/>
          <w:bCs/>
          <w:sz w:val="30"/>
          <w:szCs w:val="30"/>
          <w:lang w:val="en-US" w:eastAsia="zh-CN"/>
        </w:rPr>
        <w:t>（一）项目</w:t>
      </w:r>
      <w:bookmarkEnd w:id="23"/>
      <w:bookmarkEnd w:id="24"/>
      <w:r>
        <w:rPr>
          <w:rFonts w:hint="eastAsia"/>
          <w:b/>
          <w:bCs/>
          <w:sz w:val="30"/>
          <w:szCs w:val="30"/>
          <w:lang w:val="en-US" w:eastAsia="zh-CN"/>
        </w:rPr>
        <w:t>背景</w:t>
      </w:r>
      <w:bookmarkEnd w:id="25"/>
    </w:p>
    <w:p>
      <w:pPr>
        <w:pStyle w:val="6"/>
        <w:keepNext w:val="0"/>
        <w:keepLines w:val="0"/>
        <w:pageBreakBefore w:val="0"/>
        <w:widowControl w:val="0"/>
        <w:kinsoku/>
        <w:wordWrap/>
        <w:topLinePunct w:val="0"/>
        <w:autoSpaceDE/>
        <w:autoSpaceDN/>
        <w:bidi w:val="0"/>
        <w:adjustRightInd/>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26" w:name="_Toc24381"/>
      <w:bookmarkStart w:id="27" w:name="_Toc25776"/>
      <w:bookmarkStart w:id="28" w:name="_Toc5111"/>
      <w:r>
        <w:rPr>
          <w:rFonts w:hint="eastAsia" w:ascii="Times New Roman" w:hAnsi="Times New Roman" w:eastAsia="方正仿宋_GBK" w:cs="Times New Roman"/>
          <w:b w:val="0"/>
          <w:color w:val="auto"/>
          <w:kern w:val="2"/>
          <w:sz w:val="30"/>
          <w:szCs w:val="30"/>
          <w:highlight w:val="none"/>
          <w:lang w:val="en-US" w:eastAsia="zh-CN" w:bidi="ar-SA"/>
        </w:rPr>
        <w:t>民生连民心，民生聚民力。党的二十大报告提出“增进民生福祉，提高人民生活品质。”雨污分流，既是城市发展中的“民生大事”，也是家门口的“关键小事”。合理地选择排水体制，是城市排水系统规划中的一个重要问题，关系到整个排水系统是否实用，能否满足环境保护的要求，同时也影响到城市污水管道工程的总投资、初期投资和常年运行费用。对比来看，雨污分流最大的好处就是保护环境，虽然初期建设投资较高，但从长远利益及环境保护，采取分流制，使污水最大程度地得到处理，是最优的选择。</w:t>
      </w:r>
    </w:p>
    <w:p>
      <w:pPr>
        <w:pStyle w:val="6"/>
        <w:bidi w:val="0"/>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近年来，同心县因为合流制管网长期有污水流动，降雨强度较大时会产生流失，雨污混合物会大量进入水体；同时管道建成多年，各种管道经过多年运行后，由于腐蚀、运行管理不善等原因，不可避免地产生各种损伤和泄露，带来严重的经济损失，但全线更换新管道，不仅工程量庞大，而且耗资大、工程期长，因此管道修复具有十分重要的意义。</w:t>
      </w:r>
    </w:p>
    <w:p>
      <w:pPr>
        <w:rPr>
          <w:rFonts w:hint="default"/>
          <w:lang w:val="en-US" w:eastAsia="zh-CN"/>
        </w:rPr>
      </w:pPr>
      <w:r>
        <w:rPr>
          <w:rFonts w:hint="eastAsia" w:ascii="Times New Roman" w:hAnsi="Times New Roman" w:eastAsia="方正仿宋_GBK" w:cs="Times New Roman"/>
          <w:b w:val="0"/>
          <w:color w:val="auto"/>
          <w:kern w:val="2"/>
          <w:sz w:val="30"/>
          <w:szCs w:val="30"/>
          <w:highlight w:val="none"/>
          <w:lang w:val="en-US" w:eastAsia="zh-CN" w:bidi="ar-SA"/>
        </w:rPr>
        <w:t>同心县长征路是城市路网中的一条东西向主干路，项目的实施，是同心县提升城市发展质量的迫切需求，是同心县全力以赴推进新型城镇化建设的重要保障，是同心县加强城市系统化全域推进城市内涝治理、雨污分流改造、海绵城市设施建设的具体实践，是使同心县成为更健康、更安全、更宜居，成为人民群众高品质生活的空间的重要举措。</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9" w:name="_Toc21617"/>
      <w:r>
        <w:rPr>
          <w:rFonts w:hint="eastAsia"/>
          <w:b/>
          <w:bCs/>
          <w:sz w:val="30"/>
          <w:szCs w:val="30"/>
          <w:lang w:val="en-US" w:eastAsia="zh-CN"/>
        </w:rPr>
        <w:t>（二）项目实施主要内容</w:t>
      </w:r>
      <w:bookmarkEnd w:id="26"/>
      <w:bookmarkEnd w:id="27"/>
      <w:bookmarkEnd w:id="29"/>
      <w:bookmarkStart w:id="30" w:name="_Toc1917"/>
      <w:bookmarkStart w:id="31" w:name="_Toc855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建设规模及主要建设内容</w:t>
      </w:r>
      <w:r>
        <w:rPr>
          <w:rFonts w:hint="eastAsia" w:ascii="Times New Roman" w:hAnsi="Times New Roman" w:eastAsia="方正仿宋_GBK" w:cs="Times New Roman"/>
          <w:color w:val="auto"/>
          <w:kern w:val="2"/>
          <w:sz w:val="30"/>
          <w:szCs w:val="30"/>
          <w:highlight w:val="none"/>
          <w:lang w:val="en-US" w:eastAsia="zh-CN" w:bidi="ar-SA"/>
        </w:rPr>
        <w:t>：本项目包括雨水管网建设、附属工程和道路拆除及恢复工程等。</w:t>
      </w:r>
    </w:p>
    <w:p>
      <w:pPr>
        <w:pStyle w:val="5"/>
        <w:keepNext/>
        <w:keepLines/>
        <w:pageBreakBefore w:val="0"/>
        <w:widowControl w:val="0"/>
        <w:numPr>
          <w:ilvl w:val="0"/>
          <w:numId w:val="0"/>
        </w:numPr>
        <w:kinsoku/>
        <w:wordWrap/>
        <w:overflowPunct w:val="0"/>
        <w:topLinePunct w:val="0"/>
        <w:autoSpaceDE/>
        <w:autoSpaceDN/>
        <w:bidi w:val="0"/>
        <w:adjustRightInd/>
        <w:snapToGrid w:val="0"/>
        <w:ind w:firstLine="592" w:firstLineChars="200"/>
        <w:textAlignment w:val="auto"/>
        <w:rPr>
          <w:rFonts w:hint="eastAsia" w:ascii="Times New Roman" w:hAnsi="Times New Roman" w:eastAsia="方正仿宋_GBK" w:cs="Times New Roman"/>
          <w:b/>
          <w:bCs/>
          <w:color w:val="auto"/>
          <w:kern w:val="2"/>
          <w:sz w:val="30"/>
          <w:szCs w:val="30"/>
          <w:highlight w:val="none"/>
          <w:lang w:val="en-US" w:eastAsia="zh-CN" w:bidi="ar-SA"/>
        </w:rPr>
      </w:pPr>
      <w:bookmarkStart w:id="32" w:name="_Toc16606"/>
      <w:r>
        <w:rPr>
          <w:rFonts w:hint="eastAsia" w:ascii="Times New Roman" w:hAnsi="Times New Roman" w:eastAsia="方正仿宋_GBK" w:cs="Times New Roman"/>
          <w:b/>
          <w:bCs/>
          <w:color w:val="auto"/>
          <w:kern w:val="2"/>
          <w:sz w:val="30"/>
          <w:szCs w:val="30"/>
          <w:highlight w:val="none"/>
          <w:lang w:val="en-US" w:eastAsia="zh-CN" w:bidi="ar-SA"/>
        </w:rPr>
        <w:t>1.雨水管网工程</w:t>
      </w:r>
      <w:bookmarkEnd w:id="32"/>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lang w:val="en-US" w:eastAsia="zh-CN"/>
        </w:rPr>
      </w:pPr>
      <w:r>
        <w:rPr>
          <w:rFonts w:hint="eastAsia" w:ascii="Times New Roman" w:hAnsi="Times New Roman" w:eastAsia="方正仿宋_GBK" w:cs="Times New Roman"/>
          <w:b w:val="0"/>
          <w:color w:val="auto"/>
          <w:kern w:val="2"/>
          <w:sz w:val="30"/>
          <w:szCs w:val="30"/>
          <w:highlight w:val="none"/>
          <w:lang w:val="en-US" w:eastAsia="zh-CN" w:bidi="ar-SA"/>
        </w:rPr>
        <w:t>排水采用雨污分流制。新建雨水管网，现状合流排水管道做污水管道用，在长征路（东兴街－红军路）段敷设一趟雨水管道，管道以民生街交叉口为界，在长征路与民生街岔口以东，将雨水管道敷设在道路中心线直指设计终点。本次设计雨水管</w:t>
      </w:r>
      <w:r>
        <w:rPr>
          <w:rFonts w:hint="eastAsia"/>
          <w:lang w:val="en-US" w:eastAsia="zh-CN"/>
        </w:rPr>
        <w:t>道均沿线状路面坡度敷设，管道埋深控制在1.7—4.0m左右。</w:t>
      </w:r>
    </w:p>
    <w:p>
      <w:pPr>
        <w:pStyle w:val="5"/>
        <w:pageBreakBefore w:val="0"/>
        <w:widowControl w:val="0"/>
        <w:kinsoku/>
        <w:wordWrap/>
        <w:overflowPunct w:val="0"/>
        <w:topLinePunct w:val="0"/>
        <w:autoSpaceDE/>
        <w:autoSpaceDN/>
        <w:bidi w:val="0"/>
        <w:adjustRightInd/>
        <w:spacing w:beforeLines="0" w:afterLines="0"/>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33" w:name="_Toc14913"/>
      <w:r>
        <w:rPr>
          <w:rFonts w:hint="eastAsia" w:ascii="Times New Roman" w:hAnsi="Times New Roman" w:eastAsia="方正仿宋_GBK" w:cs="Times New Roman"/>
          <w:b w:val="0"/>
          <w:color w:val="auto"/>
          <w:kern w:val="2"/>
          <w:sz w:val="30"/>
          <w:szCs w:val="30"/>
          <w:highlight w:val="none"/>
          <w:lang w:val="en-US" w:eastAsia="zh-CN" w:bidi="ar-SA"/>
        </w:rPr>
        <w:t>共铺设Ⅱ级钢筋混凝土雨水管道6161m，其中铺设d1600管道556m，铺设d1400管道720m，铺设d1200管道773m，铺设d1000管道448m，铺设d800管道480m，铺设d600管道244m，d500混凝土预留管225m，d400混凝土预留管465m，d300雨水口连接管2250m。雨水管道采用钢筋混凝土管（承插口）。d600-d800采用钢筋混凝土管（承插口），d1000-d1600采用预应力钢筋混凝土管（承插口），雨水口连接管采用钢筋混凝土管（承插口），雨水口连接管管径为d300mm。钢筋混凝土（承插口）管与预应力钢筋混凝土管道均采用橡胶圈接口。雨水管道基础采用180°钢筋混凝土基础。终点接入本次设计流入雨水收集池通过雨水出水口排入预海湖水系，溢流排入初期雨水弃流井；原有雨水口及连接管道挖除2000m，污水管道清淤3400m。</w:t>
      </w:r>
      <w:bookmarkEnd w:id="33"/>
    </w:p>
    <w:p>
      <w:pPr>
        <w:numPr>
          <w:ilvl w:val="0"/>
          <w:numId w:val="0"/>
        </w:numPr>
        <w:ind w:leftChars="200"/>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2.附属设施工程</w:t>
      </w:r>
    </w:p>
    <w:p>
      <w:pPr>
        <w:pStyle w:val="5"/>
        <w:keepNext/>
        <w:keepLines/>
        <w:pageBreakBefore w:val="0"/>
        <w:widowControl w:val="0"/>
        <w:numPr>
          <w:ilvl w:val="0"/>
          <w:numId w:val="0"/>
        </w:numPr>
        <w:kinsoku/>
        <w:wordWrap/>
        <w:overflowPunct w:val="0"/>
        <w:topLinePunct w:val="0"/>
        <w:autoSpaceDE/>
        <w:autoSpaceDN/>
        <w:bidi w:val="0"/>
        <w:adjustRightInd/>
        <w:snapToGrid w:val="0"/>
        <w:ind w:leftChars="0" w:firstLine="592" w:firstLineChars="200"/>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34" w:name="_Toc6855"/>
      <w:r>
        <w:rPr>
          <w:rFonts w:hint="eastAsia" w:ascii="Times New Roman" w:hAnsi="Times New Roman" w:eastAsia="方正仿宋_GBK" w:cs="Times New Roman"/>
          <w:b w:val="0"/>
          <w:color w:val="auto"/>
          <w:kern w:val="2"/>
          <w:sz w:val="30"/>
          <w:szCs w:val="30"/>
          <w:highlight w:val="none"/>
          <w:lang w:val="en-US" w:eastAsia="zh-CN" w:bidi="ar-SA"/>
        </w:rPr>
        <w:t>新建钢筋混凝土检查井65座（2.0m*1.1m—1.1m*1.1m），筋混凝土陈泥井10座（1.8m*1.1m），预制混凝土装配式偏沟式单箅雨水口145座，防坠落网75套，八字式出水口1座，雨水弃流井1座。</w:t>
      </w:r>
      <w:bookmarkEnd w:id="34"/>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（1）检查井：在管道交汇处、转弯处、管径或坡度改变处、跌水处及直线管道上每隔一定距离处设检查井，共新建矩形混凝土排水检查井65座（2.0m*1.1m—1.1m*1.1m）。</w:t>
      </w:r>
    </w:p>
    <w:p>
      <w:pPr>
        <w:pStyle w:val="5"/>
        <w:keepNext w:val="0"/>
        <w:keepLines w:val="0"/>
        <w:pageBreakBefore w:val="0"/>
        <w:widowControl w:val="0"/>
        <w:numPr>
          <w:ilvl w:val="0"/>
          <w:numId w:val="0"/>
        </w:numPr>
        <w:kinsoku/>
        <w:wordWrap/>
        <w:overflowPunct w:val="0"/>
        <w:topLinePunct w:val="0"/>
        <w:autoSpaceDE/>
        <w:autoSpaceDN/>
        <w:bidi w:val="0"/>
        <w:adjustRightInd/>
        <w:ind w:left="0" w:leftChars="0" w:firstLine="592" w:firstLineChars="200"/>
        <w:textAlignment w:val="auto"/>
        <w:rPr>
          <w:rFonts w:hint="default"/>
          <w:lang w:val="en-US" w:eastAsia="zh-CN"/>
        </w:rPr>
      </w:pPr>
      <w:bookmarkStart w:id="35" w:name="_Toc14611"/>
      <w:r>
        <w:rPr>
          <w:rFonts w:hint="eastAsia" w:ascii="Times New Roman" w:hAnsi="Times New Roman" w:eastAsia="方正仿宋_GBK" w:cs="Times New Roman"/>
          <w:b w:val="0"/>
          <w:color w:val="auto"/>
          <w:kern w:val="2"/>
          <w:sz w:val="30"/>
          <w:szCs w:val="30"/>
          <w:highlight w:val="none"/>
          <w:lang w:val="en-US" w:eastAsia="zh-CN" w:bidi="ar-SA"/>
        </w:rPr>
        <w:t>（2）沉泥井：在管道交汇处、转弯处、管径或坡度改变处、跌水处及直线管道上每隔一定距离处设沉泥井，共需要布置矩形混凝土排水沉泥井10座（1.8m*1.1m）。</w:t>
      </w:r>
      <w:bookmarkEnd w:id="35"/>
    </w:p>
    <w:p>
      <w:pPr>
        <w:pageBreakBefore w:val="0"/>
        <w:widowControl w:val="0"/>
        <w:numPr>
          <w:ilvl w:val="0"/>
          <w:numId w:val="0"/>
        </w:numPr>
        <w:kinsoku/>
        <w:wordWrap/>
        <w:overflowPunct w:val="0"/>
        <w:topLinePunct w:val="0"/>
        <w:autoSpaceDE/>
        <w:autoSpaceDN/>
        <w:bidi w:val="0"/>
        <w:adjustRightInd/>
        <w:ind w:left="0" w:leftChars="0" w:firstLine="592" w:firstLineChars="200"/>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（3）井盖及踏步：检查井采用高分子模压复合重型检查井盖（井盖应有防盗功能）及井座，承载荷载不小于40吨，检查井内爬梯（踏步）均采用2.9公斤的球墨铸铁爬梯额（300mm*180mm）。</w:t>
      </w:r>
    </w:p>
    <w:p>
      <w:pPr>
        <w:pStyle w:val="5"/>
        <w:pageBreakBefore w:val="0"/>
        <w:widowControl w:val="0"/>
        <w:numPr>
          <w:ilvl w:val="0"/>
          <w:numId w:val="0"/>
        </w:numPr>
        <w:kinsoku/>
        <w:wordWrap/>
        <w:overflowPunct w:val="0"/>
        <w:topLinePunct w:val="0"/>
        <w:autoSpaceDE/>
        <w:autoSpaceDN/>
        <w:bidi w:val="0"/>
        <w:adjustRightInd/>
        <w:ind w:left="0" w:leftChars="0" w:firstLine="592" w:firstLineChars="200"/>
        <w:textAlignment w:val="auto"/>
        <w:rPr>
          <w:rFonts w:hint="default"/>
          <w:lang w:val="en-US" w:eastAsia="zh-CN"/>
        </w:rPr>
      </w:pPr>
      <w:bookmarkStart w:id="36" w:name="_Toc27845"/>
      <w:r>
        <w:rPr>
          <w:rFonts w:hint="eastAsia" w:ascii="Times New Roman" w:hAnsi="Times New Roman" w:eastAsia="方正仿宋_GBK" w:cs="Times New Roman"/>
          <w:b w:val="0"/>
          <w:color w:val="auto"/>
          <w:kern w:val="2"/>
          <w:sz w:val="30"/>
          <w:szCs w:val="30"/>
          <w:highlight w:val="none"/>
          <w:lang w:val="en-US" w:eastAsia="zh-CN" w:bidi="ar-SA"/>
        </w:rPr>
        <w:t>（4）雨水口：新建雨水口145座。雨水口采用预制混凝土装配式偏沟式单箅雨水口，雨水口深度H≤1000mm，条件允许段均采用H=1000mm。</w:t>
      </w:r>
      <w:bookmarkEnd w:id="36"/>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（5）出水口：新建出水口一处。雨水管道末端接入豫海湖水系，管道末端设置出水口，出水口采用混凝土八字式出水口。</w:t>
      </w:r>
    </w:p>
    <w:p>
      <w:pPr>
        <w:pStyle w:val="5"/>
        <w:keepNext w:val="0"/>
        <w:keepLines w:val="0"/>
        <w:pageBreakBefore w:val="0"/>
        <w:widowControl w:val="0"/>
        <w:kinsoku/>
        <w:wordWrap/>
        <w:overflowPunct w:val="0"/>
        <w:topLinePunct w:val="0"/>
        <w:autoSpaceDE/>
        <w:autoSpaceDN/>
        <w:bidi w:val="0"/>
        <w:adjustRightInd/>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37" w:name="_Toc31579"/>
      <w:r>
        <w:rPr>
          <w:rFonts w:hint="eastAsia" w:ascii="Times New Roman" w:hAnsi="Times New Roman" w:eastAsia="方正仿宋_GBK" w:cs="Times New Roman"/>
          <w:b w:val="0"/>
          <w:color w:val="auto"/>
          <w:kern w:val="2"/>
          <w:sz w:val="30"/>
          <w:szCs w:val="30"/>
          <w:highlight w:val="none"/>
          <w:lang w:val="en-US" w:eastAsia="zh-CN" w:bidi="ar-SA"/>
        </w:rPr>
        <w:t>（6）雨水收集池及雨水处理设施：新建500mm³雨水收集池，埋深7.5米左右，设置在管道末端，靠近长征路北侧绿化带内，雨水收集池采用“PP模块蓄水池”后增加“一体化雨水回用设备”；新建一座初期雨水弃流井（2.63m*1.65m）。</w:t>
      </w:r>
      <w:bookmarkEnd w:id="37"/>
    </w:p>
    <w:p>
      <w:pPr>
        <w:keepNext w:val="0"/>
        <w:keepLines w:val="0"/>
        <w:pageBreakBefore w:val="0"/>
        <w:widowControl w:val="0"/>
        <w:kinsoku/>
        <w:wordWrap/>
        <w:overflowPunct w:val="0"/>
        <w:topLinePunct w:val="0"/>
        <w:autoSpaceDE/>
        <w:autoSpaceDN/>
        <w:bidi w:val="0"/>
        <w:adjustRightInd/>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3.道路破除及修复工程</w:t>
      </w:r>
    </w:p>
    <w:p>
      <w:pPr>
        <w:pStyle w:val="5"/>
        <w:keepNext w:val="0"/>
        <w:keepLines w:val="0"/>
        <w:pageBreakBefore w:val="0"/>
        <w:widowControl w:val="0"/>
        <w:kinsoku/>
        <w:wordWrap/>
        <w:overflowPunct w:val="0"/>
        <w:topLinePunct w:val="0"/>
        <w:autoSpaceDE/>
        <w:autoSpaceDN/>
        <w:bidi w:val="0"/>
        <w:adjustRightInd/>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38" w:name="_Toc4678"/>
      <w:r>
        <w:rPr>
          <w:rFonts w:hint="eastAsia" w:ascii="Times New Roman" w:hAnsi="Times New Roman" w:eastAsia="方正仿宋_GBK" w:cs="Times New Roman"/>
          <w:b w:val="0"/>
          <w:color w:val="auto"/>
          <w:kern w:val="2"/>
          <w:sz w:val="30"/>
          <w:szCs w:val="30"/>
          <w:highlight w:val="none"/>
          <w:lang w:val="en-US" w:eastAsia="zh-CN" w:bidi="ar-SA"/>
        </w:rPr>
        <w:t>长征路（东兴街－红军路）总长度3410m，车行道宽度26m，因雨水管道位于长征路车行道范围内，需沿道路方向开槽用以敷设雨水管道、破除后恢复路面至现状路面。机动车道破除及恢复道路27111㎡，人行道破除及恢复1200㎡；安装树框60个。</w:t>
      </w:r>
      <w:bookmarkEnd w:id="38"/>
    </w:p>
    <w:p>
      <w:pPr>
        <w:keepNext w:val="0"/>
        <w:keepLines w:val="0"/>
        <w:pageBreakBefore w:val="0"/>
        <w:widowControl w:val="0"/>
        <w:numPr>
          <w:ilvl w:val="0"/>
          <w:numId w:val="3"/>
        </w:numPr>
        <w:kinsoku/>
        <w:wordWrap/>
        <w:overflowPunct w:val="0"/>
        <w:topLinePunct w:val="0"/>
        <w:autoSpaceDE/>
        <w:autoSpaceDN/>
        <w:bidi w:val="0"/>
        <w:adjustRightInd/>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机动车道采用沥青混凝土高级路面。上面层采用4cm厚细粒式沥青混凝土（AC-13C），下面层采用6cm厚中粒式沥青砼（AC-20C），管槽恢复基层采用36cm水泥稳固碎石，底基层采用20cm级配砂砾30石灰土封水层，新建车行道的结构层总厚度96cm。</w:t>
      </w:r>
    </w:p>
    <w:p>
      <w:pPr>
        <w:pStyle w:val="5"/>
        <w:keepNext w:val="0"/>
        <w:keepLines w:val="0"/>
        <w:pageBreakBefore w:val="0"/>
        <w:widowControl w:val="0"/>
        <w:numPr>
          <w:ilvl w:val="0"/>
          <w:numId w:val="3"/>
        </w:numPr>
        <w:kinsoku/>
        <w:wordWrap/>
        <w:overflowPunct w:val="0"/>
        <w:topLinePunct w:val="0"/>
        <w:autoSpaceDE/>
        <w:autoSpaceDN/>
        <w:bidi w:val="0"/>
        <w:adjustRightInd/>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39" w:name="_Toc1650"/>
      <w:r>
        <w:rPr>
          <w:rFonts w:hint="eastAsia" w:ascii="Times New Roman" w:hAnsi="Times New Roman" w:eastAsia="方正仿宋_GBK" w:cs="Times New Roman"/>
          <w:b w:val="0"/>
          <w:color w:val="auto"/>
          <w:kern w:val="2"/>
          <w:sz w:val="30"/>
          <w:szCs w:val="30"/>
          <w:highlight w:val="none"/>
          <w:lang w:val="en-US" w:eastAsia="zh-CN" w:bidi="ar-SA"/>
        </w:rPr>
        <w:t>人行道：6cm厚20*10*6cm采用水泥混凝土道砖+3cmM水泥砂浆+15cm厚C30水泥混凝土+夯实土路基（压实度＞95%）。</w:t>
      </w:r>
      <w:bookmarkEnd w:id="39"/>
    </w:p>
    <w:p>
      <w:pPr>
        <w:keepNext w:val="0"/>
        <w:keepLines w:val="0"/>
        <w:pageBreakBefore w:val="0"/>
        <w:widowControl w:val="0"/>
        <w:numPr>
          <w:ilvl w:val="0"/>
          <w:numId w:val="3"/>
        </w:numPr>
        <w:kinsoku/>
        <w:wordWrap/>
        <w:overflowPunct w:val="0"/>
        <w:topLinePunct w:val="0"/>
        <w:autoSpaceDE/>
        <w:autoSpaceDN/>
        <w:bidi w:val="0"/>
        <w:adjustRightInd/>
        <w:ind w:left="0" w:leftChars="0" w:firstLine="592" w:firstLineChars="200"/>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路缘石：采用花岗岩材质。内外侧规格均为长*宽*高=100cm*15cm*27cm。</w:t>
      </w:r>
    </w:p>
    <w:p>
      <w:pPr>
        <w:pStyle w:val="5"/>
        <w:keepNext w:val="0"/>
        <w:keepLines w:val="0"/>
        <w:pageBreakBefore w:val="0"/>
        <w:widowControl w:val="0"/>
        <w:numPr>
          <w:ilvl w:val="0"/>
          <w:numId w:val="0"/>
        </w:numPr>
        <w:kinsoku/>
        <w:wordWrap/>
        <w:overflowPunct w:val="0"/>
        <w:topLinePunct w:val="0"/>
        <w:autoSpaceDE/>
        <w:autoSpaceDN/>
        <w:bidi w:val="0"/>
        <w:adjustRightInd/>
        <w:snapToGrid w:val="0"/>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bookmarkStart w:id="40" w:name="_Toc15447"/>
      <w:r>
        <w:rPr>
          <w:rFonts w:hint="eastAsia" w:ascii="Times New Roman" w:hAnsi="Times New Roman" w:eastAsia="方正仿宋_GBK" w:cs="Times New Roman"/>
          <w:b w:val="0"/>
          <w:color w:val="auto"/>
          <w:kern w:val="2"/>
          <w:sz w:val="30"/>
          <w:szCs w:val="30"/>
          <w:highlight w:val="none"/>
          <w:lang w:val="en-US" w:eastAsia="zh-CN" w:bidi="ar-SA"/>
        </w:rPr>
        <w:t>（4）树框：安装树框60个（规格为120cm*120cm）。</w:t>
      </w:r>
      <w:bookmarkEnd w:id="40"/>
    </w:p>
    <w:p>
      <w:pPr>
        <w:pStyle w:val="5"/>
        <w:keepNext w:val="0"/>
        <w:keepLines w:val="0"/>
        <w:pageBreakBefore w:val="0"/>
        <w:widowControl w:val="0"/>
        <w:kinsoku/>
        <w:wordWrap/>
        <w:overflowPunct w:val="0"/>
        <w:topLinePunct w:val="0"/>
        <w:autoSpaceDE/>
        <w:autoSpaceDN/>
        <w:bidi w:val="0"/>
        <w:adjustRightInd/>
        <w:snapToGrid w:val="0"/>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41" w:name="_Toc27617"/>
      <w:bookmarkStart w:id="42" w:name="_Toc22184"/>
      <w:bookmarkStart w:id="43" w:name="_Toc17160"/>
      <w:r>
        <w:rPr>
          <w:rFonts w:hint="eastAsia" w:ascii="Times New Roman" w:hAnsi="Times New Roman" w:eastAsia="方正仿宋_GBK" w:cs="Times New Roman"/>
          <w:b w:val="0"/>
          <w:color w:val="auto"/>
          <w:kern w:val="2"/>
          <w:sz w:val="30"/>
          <w:szCs w:val="30"/>
          <w:highlight w:val="none"/>
          <w:lang w:val="en-US" w:eastAsia="zh-CN" w:bidi="ar-SA"/>
        </w:rPr>
        <w:t>上述项目内容的任务建设期为2022年12月-2023年10月，共分为五个标段负责具体的项目实施。</w:t>
      </w:r>
      <w:bookmarkEnd w:id="41"/>
    </w:p>
    <w:p>
      <w:pPr>
        <w:pStyle w:val="5"/>
        <w:keepNext w:val="0"/>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44" w:name="_Toc4165"/>
      <w:r>
        <w:rPr>
          <w:rFonts w:hint="eastAsia" w:ascii="Times New Roman" w:hAnsi="Times New Roman" w:eastAsia="方正仿宋_GBK" w:cs="Times New Roman"/>
          <w:b w:val="0"/>
          <w:color w:val="auto"/>
          <w:kern w:val="2"/>
          <w:sz w:val="30"/>
          <w:szCs w:val="30"/>
          <w:highlight w:val="none"/>
          <w:lang w:val="en-US" w:eastAsia="zh-CN" w:bidi="ar-SA"/>
        </w:rPr>
        <w:t>其中：一标段由宁夏煜翔建设有限公司负责拆除原有混凝土路面，新安装雨水管道，恢复沥青道路，浇筑混凝土检查井等项目（详见工程量清单）。</w:t>
      </w:r>
      <w:bookmarkEnd w:id="44"/>
    </w:p>
    <w:p>
      <w:pPr>
        <w:pStyle w:val="5"/>
        <w:keepNext w:val="0"/>
        <w:keepLines w:val="0"/>
        <w:pageBreakBefore w:val="0"/>
        <w:widowControl w:val="0"/>
        <w:kinsoku/>
        <w:wordWrap/>
        <w:overflowPunct w:val="0"/>
        <w:topLinePunct w:val="0"/>
        <w:autoSpaceDE/>
        <w:autoSpaceDN/>
        <w:bidi w:val="0"/>
        <w:adjustRightInd/>
        <w:snapToGrid w:val="0"/>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 xml:space="preserve"> </w:t>
      </w:r>
      <w:bookmarkStart w:id="45" w:name="_Toc22018"/>
      <w:r>
        <w:rPr>
          <w:rFonts w:hint="eastAsia" w:ascii="Times New Roman" w:hAnsi="Times New Roman" w:eastAsia="方正仿宋_GBK" w:cs="Times New Roman"/>
          <w:b w:val="0"/>
          <w:color w:val="auto"/>
          <w:kern w:val="2"/>
          <w:sz w:val="30"/>
          <w:szCs w:val="30"/>
          <w:highlight w:val="none"/>
          <w:lang w:val="en-US" w:eastAsia="zh-CN" w:bidi="ar-SA"/>
        </w:rPr>
        <w:t>二标段由宁夏禹泽兴建设有限公司负责拆除原有混凝土路面，新安装雨水管道，恢复沥青道路，浇筑混凝土检查井等项目（详见工程量清单）。</w:t>
      </w:r>
      <w:bookmarkEnd w:id="45"/>
    </w:p>
    <w:p>
      <w:pPr>
        <w:pStyle w:val="5"/>
        <w:keepNext w:val="0"/>
        <w:keepLines w:val="0"/>
        <w:pageBreakBefore w:val="0"/>
        <w:widowControl w:val="0"/>
        <w:kinsoku/>
        <w:wordWrap/>
        <w:overflowPunct w:val="0"/>
        <w:topLinePunct w:val="0"/>
        <w:autoSpaceDE/>
        <w:autoSpaceDN/>
        <w:bidi w:val="0"/>
        <w:adjustRightInd/>
        <w:snapToGrid w:val="0"/>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 xml:space="preserve"> </w:t>
      </w:r>
      <w:bookmarkStart w:id="46" w:name="_Toc18496"/>
      <w:r>
        <w:rPr>
          <w:rFonts w:hint="eastAsia" w:ascii="Times New Roman" w:hAnsi="Times New Roman" w:eastAsia="方正仿宋_GBK" w:cs="Times New Roman"/>
          <w:b w:val="0"/>
          <w:color w:val="auto"/>
          <w:kern w:val="2"/>
          <w:sz w:val="30"/>
          <w:szCs w:val="30"/>
          <w:highlight w:val="none"/>
          <w:lang w:val="en-US" w:eastAsia="zh-CN" w:bidi="ar-SA"/>
        </w:rPr>
        <w:t>三标段由宁夏常博建设工程有限公司负责拆除原有混凝土路面，新安装雨水管道，恢复沥青道路，浇筑混凝土检查井等项目（详见工程量清单）。</w:t>
      </w:r>
      <w:bookmarkEnd w:id="46"/>
    </w:p>
    <w:p>
      <w:pPr>
        <w:keepNext w:val="0"/>
        <w:keepLines w:val="0"/>
        <w:pageBreakBefore w:val="0"/>
        <w:widowControl w:val="0"/>
        <w:kinsoku/>
        <w:wordWrap/>
        <w:overflowPunct w:val="0"/>
        <w:topLinePunct w:val="0"/>
        <w:autoSpaceDE/>
        <w:autoSpaceDN/>
        <w:bidi w:val="0"/>
        <w:adjustRightInd/>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四标段由宁夏新彩工程建设有限公司负责拆除原有混凝土路面，新安装雨水管道，恢复沥青道路，浇筑混凝土检查井等项目（详见工程量清单）。</w:t>
      </w:r>
    </w:p>
    <w:p>
      <w:pPr>
        <w:pStyle w:val="5"/>
        <w:keepNext w:val="0"/>
        <w:keepLines w:val="0"/>
        <w:pageBreakBefore w:val="0"/>
        <w:widowControl w:val="0"/>
        <w:kinsoku/>
        <w:wordWrap/>
        <w:overflowPunct w:val="0"/>
        <w:topLinePunct w:val="0"/>
        <w:autoSpaceDE/>
        <w:autoSpaceDN/>
        <w:bidi w:val="0"/>
        <w:adjustRightInd/>
        <w:textAlignment w:val="auto"/>
        <w:rPr>
          <w:rFonts w:hint="default"/>
          <w:lang w:val="en-US" w:eastAsia="zh-CN"/>
        </w:rPr>
      </w:pPr>
      <w:bookmarkStart w:id="47" w:name="_Toc21145"/>
      <w:r>
        <w:rPr>
          <w:rFonts w:hint="eastAsia" w:ascii="Times New Roman" w:hAnsi="Times New Roman" w:eastAsia="方正仿宋_GBK" w:cs="Times New Roman"/>
          <w:b w:val="0"/>
          <w:color w:val="auto"/>
          <w:kern w:val="2"/>
          <w:sz w:val="30"/>
          <w:szCs w:val="30"/>
          <w:highlight w:val="none"/>
          <w:lang w:val="en-US" w:eastAsia="zh-CN" w:bidi="ar-SA"/>
        </w:rPr>
        <w:t>五标段由宁夏五环建设咨询监理有限公司负责项目一至四标段施工全过程监理。</w:t>
      </w:r>
      <w:bookmarkEnd w:id="47"/>
    </w:p>
    <w:p>
      <w:pPr>
        <w:keepNext w:val="0"/>
        <w:keepLines w:val="0"/>
        <w:pageBreakBefore w:val="0"/>
        <w:widowControl w:val="0"/>
        <w:kinsoku/>
        <w:wordWrap/>
        <w:overflowPunct w:val="0"/>
        <w:topLinePunct w:val="0"/>
        <w:autoSpaceDE/>
        <w:autoSpaceDN/>
        <w:bidi w:val="0"/>
        <w:adjustRightInd/>
        <w:textAlignment w:val="auto"/>
        <w:rPr>
          <w:rFonts w:hint="default" w:ascii="Times New Roman" w:hAnsi="Times New Roman" w:eastAsia="方正仿宋_GBK" w:cs="Times New Roman"/>
          <w:b w:val="0"/>
          <w:color w:val="auto"/>
          <w:kern w:val="2"/>
          <w:sz w:val="30"/>
          <w:szCs w:val="30"/>
          <w:highlight w:val="none"/>
          <w:lang w:val="en-US" w:eastAsia="zh-CN" w:bidi="ar-SA"/>
        </w:rPr>
        <w:sectPr>
          <w:headerReference r:id="rId7" w:type="default"/>
          <w:footerReference r:id="rId8" w:type="default"/>
          <w:pgSz w:w="11906" w:h="16838"/>
          <w:pgMar w:top="2098" w:right="1587" w:bottom="2098" w:left="1587" w:header="1644" w:footer="935" w:gutter="0"/>
          <w:pgNumType w:fmt="decimal" w:start="1"/>
          <w:cols w:space="0" w:num="1"/>
          <w:rtlGutter w:val="0"/>
          <w:docGrid w:type="linesAndChars" w:linePitch="589" w:charSpace="-842"/>
        </w:sectPr>
      </w:pPr>
      <w:r>
        <w:rPr>
          <w:rFonts w:hint="default" w:ascii="Times New Roman" w:hAnsi="Times New Roman" w:eastAsia="方正仿宋_GBK" w:cs="Times New Roman"/>
          <w:b w:val="0"/>
          <w:color w:val="auto"/>
          <w:kern w:val="2"/>
          <w:sz w:val="30"/>
          <w:szCs w:val="30"/>
          <w:highlight w:val="none"/>
          <w:lang w:val="en-US" w:eastAsia="zh-CN" w:bidi="ar-SA"/>
        </w:rPr>
        <w:t>本次绩效评价系对</w:t>
      </w:r>
      <w:r>
        <w:rPr>
          <w:rFonts w:hint="eastAsia" w:ascii="Times New Roman" w:hAnsi="Times New Roman" w:eastAsia="方正仿宋_GBK" w:cs="Times New Roman"/>
          <w:b w:val="0"/>
          <w:color w:val="auto"/>
          <w:kern w:val="2"/>
          <w:sz w:val="30"/>
          <w:szCs w:val="30"/>
          <w:highlight w:val="none"/>
          <w:lang w:val="en-US" w:eastAsia="zh-CN" w:bidi="ar-SA"/>
        </w:rPr>
        <w:t>同心县长征路（东兴街～红军路）雨污分流项目</w:t>
      </w:r>
      <w:r>
        <w:rPr>
          <w:rFonts w:hint="default" w:ascii="Times New Roman" w:hAnsi="Times New Roman" w:eastAsia="方正仿宋_GBK" w:cs="Times New Roman"/>
          <w:b w:val="0"/>
          <w:color w:val="auto"/>
          <w:kern w:val="2"/>
          <w:sz w:val="30"/>
          <w:szCs w:val="30"/>
          <w:highlight w:val="none"/>
          <w:lang w:val="en-US" w:eastAsia="zh-CN" w:bidi="ar-SA"/>
        </w:rPr>
        <w:t>自 2022 年至202</w:t>
      </w:r>
      <w:r>
        <w:rPr>
          <w:rFonts w:hint="eastAsia" w:ascii="Times New Roman" w:hAnsi="Times New Roman" w:eastAsia="方正仿宋_GBK" w:cs="Times New Roman"/>
          <w:b w:val="0"/>
          <w:color w:val="auto"/>
          <w:kern w:val="2"/>
          <w:sz w:val="30"/>
          <w:szCs w:val="30"/>
          <w:highlight w:val="none"/>
          <w:lang w:val="en-US" w:eastAsia="zh-CN" w:bidi="ar-SA"/>
        </w:rPr>
        <w:t>2</w:t>
      </w:r>
      <w:r>
        <w:rPr>
          <w:rFonts w:hint="default" w:ascii="Times New Roman" w:hAnsi="Times New Roman" w:eastAsia="方正仿宋_GBK" w:cs="Times New Roman"/>
          <w:b w:val="0"/>
          <w:color w:val="auto"/>
          <w:kern w:val="2"/>
          <w:sz w:val="30"/>
          <w:szCs w:val="30"/>
          <w:highlight w:val="none"/>
          <w:lang w:val="en-US" w:eastAsia="zh-CN" w:bidi="ar-SA"/>
        </w:rPr>
        <w:t xml:space="preserve">年 </w:t>
      </w:r>
      <w:r>
        <w:rPr>
          <w:rFonts w:hint="eastAsia" w:ascii="Times New Roman" w:hAnsi="Times New Roman" w:eastAsia="方正仿宋_GBK" w:cs="Times New Roman"/>
          <w:b w:val="0"/>
          <w:color w:val="auto"/>
          <w:kern w:val="2"/>
          <w:sz w:val="30"/>
          <w:szCs w:val="30"/>
          <w:highlight w:val="none"/>
          <w:lang w:val="en-US" w:eastAsia="zh-CN" w:bidi="ar-SA"/>
        </w:rPr>
        <w:t>12</w:t>
      </w:r>
      <w:r>
        <w:rPr>
          <w:rFonts w:hint="default" w:ascii="Times New Roman" w:hAnsi="Times New Roman" w:eastAsia="方正仿宋_GBK" w:cs="Times New Roman"/>
          <w:b w:val="0"/>
          <w:color w:val="auto"/>
          <w:kern w:val="2"/>
          <w:sz w:val="30"/>
          <w:szCs w:val="30"/>
          <w:highlight w:val="none"/>
          <w:lang w:val="en-US" w:eastAsia="zh-CN" w:bidi="ar-SA"/>
        </w:rPr>
        <w:t xml:space="preserve"> 月31日期间项</w:t>
      </w:r>
      <w:r>
        <w:rPr>
          <w:rFonts w:hint="eastAsia" w:ascii="Times New Roman" w:hAnsi="Times New Roman" w:eastAsia="方正仿宋_GBK" w:cs="Times New Roman"/>
          <w:b w:val="0"/>
          <w:color w:val="auto"/>
          <w:kern w:val="2"/>
          <w:sz w:val="30"/>
          <w:szCs w:val="30"/>
          <w:highlight w:val="none"/>
          <w:lang w:val="en-US" w:eastAsia="zh-CN" w:bidi="ar-SA"/>
        </w:rPr>
        <w:t>目实</w:t>
      </w:r>
      <w:r>
        <w:rPr>
          <w:rFonts w:hint="default" w:ascii="Times New Roman" w:hAnsi="Times New Roman" w:eastAsia="方正仿宋_GBK" w:cs="Times New Roman"/>
          <w:b w:val="0"/>
          <w:color w:val="auto"/>
          <w:kern w:val="2"/>
          <w:sz w:val="30"/>
          <w:szCs w:val="30"/>
          <w:highlight w:val="none"/>
          <w:lang w:val="en-US" w:eastAsia="zh-CN" w:bidi="ar-SA"/>
        </w:rPr>
        <w:t>施情况进行的评价。</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b/>
          <w:bCs/>
          <w:color w:val="auto"/>
          <w:kern w:val="2"/>
          <w:sz w:val="32"/>
          <w:szCs w:val="32"/>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同心县长征路（东兴街～红军路）雨污分流项目主要建设内容</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计划完成情况</w:t>
      </w:r>
    </w:p>
    <w:p>
      <w:pPr>
        <w:keepNext/>
        <w:keepLines w:val="0"/>
        <w:pageBreakBefore w:val="0"/>
        <w:widowControl/>
        <w:kinsoku/>
        <w:wordWrap/>
        <w:overflowPunct/>
        <w:topLinePunct w:val="0"/>
        <w:autoSpaceDE/>
        <w:autoSpaceDN/>
        <w:bidi w:val="0"/>
        <w:adjustRightInd/>
        <w:snapToGrid/>
        <w:spacing w:after="0" w:line="240" w:lineRule="auto"/>
        <w:jc w:val="righ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等线" w:hAnsi="等线" w:eastAsia="等线" w:cs="等线"/>
          <w:b/>
          <w:bCs/>
          <w:kern w:val="0"/>
          <w:sz w:val="22"/>
          <w:lang w:val="en-US" w:eastAsia="zh-CN"/>
        </w:rPr>
        <w:t xml:space="preserve">                                                                         </w:t>
      </w:r>
      <w:r>
        <w:rPr>
          <w:rFonts w:hint="eastAsia" w:ascii="Times New Roman" w:hAnsi="Times New Roman" w:eastAsia="方正仿宋_GBK" w:cs="Times New Roman"/>
          <w:color w:val="auto"/>
          <w:kern w:val="2"/>
          <w:sz w:val="30"/>
          <w:szCs w:val="30"/>
          <w:highlight w:val="none"/>
          <w:lang w:val="en-US" w:eastAsia="zh-CN" w:bidi="ar-SA"/>
        </w:rPr>
        <w:t xml:space="preserve">单位：万元 </w:t>
      </w:r>
    </w:p>
    <w:tbl>
      <w:tblPr>
        <w:tblStyle w:val="23"/>
        <w:tblW w:w="482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2"/>
        <w:gridCol w:w="1083"/>
        <w:gridCol w:w="4634"/>
        <w:gridCol w:w="2109"/>
        <w:gridCol w:w="1311"/>
        <w:gridCol w:w="2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blHeader/>
          <w:jc w:val="center"/>
        </w:trPr>
        <w:tc>
          <w:tcPr>
            <w:tcW w:w="4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项目名称</w:t>
            </w:r>
          </w:p>
        </w:tc>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概算资金</w:t>
            </w:r>
          </w:p>
        </w:tc>
        <w:tc>
          <w:tcPr>
            <w:tcW w:w="1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建设内容、规模</w:t>
            </w:r>
          </w:p>
        </w:tc>
        <w:tc>
          <w:tcPr>
            <w:tcW w:w="8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计划工期</w:t>
            </w:r>
          </w:p>
        </w:tc>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是否验收</w:t>
            </w:r>
          </w:p>
        </w:tc>
        <w:tc>
          <w:tcPr>
            <w:tcW w:w="8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结算、财务决算情况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1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8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jc w:val="center"/>
        </w:trPr>
        <w:tc>
          <w:tcPr>
            <w:tcW w:w="480"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b w:val="0"/>
                <w:color w:val="auto"/>
                <w:kern w:val="2"/>
                <w:sz w:val="21"/>
                <w:szCs w:val="21"/>
                <w:highlight w:val="none"/>
                <w:lang w:val="en-US" w:eastAsia="zh-CN" w:bidi="ar-SA"/>
              </w:rPr>
            </w:pPr>
            <w:r>
              <w:rPr>
                <w:rFonts w:hint="eastAsia" w:ascii="Times New Roman" w:hAnsi="Times New Roman" w:eastAsia="方正仿宋_GBK" w:cs="Times New Roman"/>
                <w:b w:val="0"/>
                <w:color w:val="auto"/>
                <w:kern w:val="2"/>
                <w:sz w:val="21"/>
                <w:szCs w:val="21"/>
                <w:highlight w:val="none"/>
                <w:lang w:val="en-US" w:eastAsia="zh-CN" w:bidi="ar-SA"/>
              </w:rPr>
              <w:t>同心县长征路（东兴街～红军路）雨污分流项目</w:t>
            </w:r>
          </w:p>
        </w:tc>
        <w:tc>
          <w:tcPr>
            <w:tcW w:w="43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b w:val="0"/>
                <w:color w:val="auto"/>
                <w:kern w:val="2"/>
                <w:sz w:val="21"/>
                <w:szCs w:val="21"/>
                <w:highlight w:val="none"/>
                <w:lang w:val="en-US" w:eastAsia="zh-CN" w:bidi="ar-SA"/>
              </w:rPr>
            </w:pPr>
            <w:r>
              <w:rPr>
                <w:rFonts w:hint="eastAsia" w:ascii="Times New Roman" w:hAnsi="Times New Roman" w:eastAsia="方正仿宋_GBK" w:cs="Times New Roman"/>
                <w:b w:val="0"/>
                <w:color w:val="auto"/>
                <w:kern w:val="2"/>
                <w:sz w:val="21"/>
                <w:szCs w:val="21"/>
                <w:highlight w:val="none"/>
                <w:lang w:val="en-US" w:eastAsia="zh-CN" w:bidi="ar-SA"/>
              </w:rPr>
              <w:t>3076.00万元</w:t>
            </w:r>
          </w:p>
        </w:tc>
        <w:tc>
          <w:tcPr>
            <w:tcW w:w="1867" w:type="pct"/>
            <w:tcBorders>
              <w:top w:val="single" w:color="000000" w:sz="4" w:space="0"/>
              <w:left w:val="single" w:color="000000" w:sz="4" w:space="0"/>
              <w:bottom w:val="single" w:color="auto" w:sz="4" w:space="0"/>
              <w:right w:val="single" w:color="000000" w:sz="4" w:space="0"/>
            </w:tcBorders>
            <w:shd w:val="clear" w:color="auto" w:fill="auto"/>
            <w:vAlign w:val="center"/>
          </w:tcPr>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left="0" w:leftChars="0" w:firstLine="0" w:firstLineChars="0"/>
              <w:jc w:val="both"/>
              <w:textAlignment w:val="auto"/>
              <w:rPr>
                <w:rFonts w:hint="default" w:ascii="等线" w:hAnsi="等线" w:eastAsia="等线" w:cs="等线"/>
                <w:color w:val="000000"/>
                <w:kern w:val="0"/>
                <w:sz w:val="21"/>
                <w:szCs w:val="21"/>
                <w:lang w:val="en-US" w:eastAsia="zh-CN"/>
              </w:rPr>
            </w:pPr>
            <w:bookmarkStart w:id="48" w:name="_Toc19969"/>
            <w:r>
              <w:rPr>
                <w:rFonts w:hint="eastAsia" w:ascii="等线" w:hAnsi="等线" w:eastAsia="等线" w:cs="等线"/>
                <w:b/>
                <w:bCs/>
                <w:color w:val="000000"/>
                <w:kern w:val="0"/>
                <w:sz w:val="21"/>
                <w:szCs w:val="21"/>
                <w:lang w:val="en-US" w:eastAsia="zh-CN" w:bidi="ar-SA"/>
              </w:rPr>
              <w:t>一</w:t>
            </w:r>
            <w:r>
              <w:rPr>
                <w:rFonts w:hint="eastAsia" w:ascii="Times New Roman" w:hAnsi="Times New Roman" w:eastAsia="方正仿宋_GBK" w:cs="Times New Roman"/>
                <w:b/>
                <w:bCs/>
                <w:color w:val="auto"/>
                <w:kern w:val="2"/>
                <w:sz w:val="21"/>
                <w:szCs w:val="21"/>
                <w:highlight w:val="none"/>
                <w:lang w:val="en-US" w:eastAsia="zh-CN" w:bidi="ar-SA"/>
              </w:rPr>
              <w:t>标段</w:t>
            </w:r>
            <w:r>
              <w:rPr>
                <w:rFonts w:hint="eastAsia" w:ascii="Times New Roman" w:hAnsi="Times New Roman" w:eastAsia="方正仿宋_GBK" w:cs="Times New Roman"/>
                <w:b w:val="0"/>
                <w:color w:val="auto"/>
                <w:kern w:val="2"/>
                <w:sz w:val="21"/>
                <w:szCs w:val="21"/>
                <w:highlight w:val="none"/>
                <w:lang w:val="en-US" w:eastAsia="zh-CN" w:bidi="ar-SA"/>
              </w:rPr>
              <w:t>：一标段由宁夏煜翔建设有限公司负责雨污分流工程、排水管道建设附属工程。排水工程：新建d600排水主管道，管长约L=244m；预留管管径分别为d400、d500，管长分别为L=280m，L=95m；d300钢筋混凝土管（雨水口连接管），长约L=744m，d800钢筋混凝土管，长约L=480m。D1000预应力钢筋混凝土管，长约L=448m。排水管道建设附属工程：新建检查井30座，新建预制混凝土配装式偏沟式单簧雨水口60座，破除井恢复道路路面积约6494平方米，人行道恢复面积约440平方米，人行道牙及平测石恢复长度约110米；井盖更换、井筒上部升降、排水接户管改迁、拆除并封堵现状雨水口工程。</w:t>
            </w:r>
            <w:bookmarkEnd w:id="48"/>
          </w:p>
        </w:tc>
        <w:tc>
          <w:tcPr>
            <w:tcW w:w="84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FF0000"/>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2023.3.9-2023.9.5</w:t>
            </w:r>
          </w:p>
        </w:tc>
        <w:tc>
          <w:tcPr>
            <w:tcW w:w="52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是</w:t>
            </w:r>
          </w:p>
        </w:tc>
        <w:tc>
          <w:tcPr>
            <w:tcW w:w="83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未结算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480" w:type="pct"/>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412" w:firstLineChars="200"/>
              <w:jc w:val="both"/>
              <w:textAlignment w:val="auto"/>
              <w:rPr>
                <w:rFonts w:hint="eastAsia" w:ascii="Times New Roman" w:hAnsi="Times New Roman" w:eastAsia="方正仿宋_GBK" w:cs="Times New Roman"/>
                <w:color w:val="auto"/>
                <w:kern w:val="2"/>
                <w:sz w:val="21"/>
                <w:szCs w:val="21"/>
                <w:highlight w:val="none"/>
                <w:lang w:val="en-US" w:eastAsia="zh-CN" w:bidi="ar-SA"/>
              </w:rPr>
            </w:pPr>
            <w:bookmarkStart w:id="49" w:name="_Toc31374"/>
            <w:bookmarkStart w:id="50" w:name="_Toc3047"/>
          </w:p>
        </w:tc>
        <w:tc>
          <w:tcPr>
            <w:tcW w:w="436" w:type="pct"/>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412" w:firstLineChars="200"/>
              <w:jc w:val="both"/>
              <w:textAlignment w:val="auto"/>
              <w:rPr>
                <w:rFonts w:hint="eastAsia" w:ascii="等线" w:hAnsi="等线" w:eastAsia="等线" w:cs="等线"/>
                <w:color w:val="000000"/>
                <w:kern w:val="0"/>
                <w:sz w:val="21"/>
                <w:szCs w:val="21"/>
                <w:lang w:val="en-US" w:eastAsia="zh-CN"/>
              </w:rPr>
            </w:pPr>
          </w:p>
        </w:tc>
        <w:tc>
          <w:tcPr>
            <w:tcW w:w="1867" w:type="pct"/>
            <w:tcBorders>
              <w:top w:val="single" w:color="auto" w:sz="4" w:space="0"/>
              <w:left w:val="single" w:color="000000" w:sz="4" w:space="0"/>
              <w:bottom w:val="single" w:color="auto" w:sz="4" w:space="0"/>
              <w:right w:val="single" w:color="000000" w:sz="4" w:space="0"/>
            </w:tcBorders>
            <w:shd w:val="clear" w:color="auto" w:fill="auto"/>
            <w:vAlign w:val="center"/>
          </w:tcPr>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firstLine="0" w:firstLineChars="0"/>
              <w:textAlignment w:val="auto"/>
              <w:rPr>
                <w:rFonts w:hint="eastAsia" w:ascii="等线" w:hAnsi="等线" w:eastAsia="等线" w:cs="等线"/>
                <w:color w:val="000000"/>
                <w:kern w:val="0"/>
                <w:sz w:val="21"/>
                <w:szCs w:val="21"/>
                <w:lang w:val="en-US" w:eastAsia="zh-CN"/>
              </w:rPr>
            </w:pPr>
            <w:bookmarkStart w:id="51" w:name="_Toc4955"/>
            <w:r>
              <w:rPr>
                <w:rFonts w:hint="eastAsia" w:ascii="等线" w:hAnsi="等线" w:eastAsia="等线" w:cs="等线"/>
                <w:b/>
                <w:bCs/>
                <w:color w:val="000000"/>
                <w:kern w:val="0"/>
                <w:sz w:val="21"/>
                <w:szCs w:val="21"/>
                <w:lang w:val="en-US" w:eastAsia="zh-CN" w:bidi="ar-SA"/>
              </w:rPr>
              <w:t>二标段</w:t>
            </w:r>
            <w:r>
              <w:rPr>
                <w:rFonts w:hint="eastAsia" w:ascii="Times New Roman" w:hAnsi="Times New Roman" w:eastAsia="方正仿宋_GBK" w:cs="Times New Roman"/>
                <w:b w:val="0"/>
                <w:color w:val="auto"/>
                <w:kern w:val="2"/>
                <w:sz w:val="21"/>
                <w:szCs w:val="21"/>
                <w:highlight w:val="none"/>
                <w:lang w:val="en-US" w:eastAsia="zh-CN" w:bidi="ar-SA"/>
              </w:rPr>
              <w:t>：由宁夏禹泽兴建设有限公司负责拆除原有混凝土路面，新安装雨水管道，恢复沥青道路，浇筑混凝土检查井等项目。</w:t>
            </w:r>
            <w:bookmarkEnd w:id="51"/>
          </w:p>
        </w:tc>
        <w:tc>
          <w:tcPr>
            <w:tcW w:w="84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2023.3.10-2023.9.6</w:t>
            </w:r>
          </w:p>
        </w:tc>
        <w:tc>
          <w:tcPr>
            <w:tcW w:w="528"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否</w:t>
            </w:r>
          </w:p>
        </w:tc>
        <w:tc>
          <w:tcPr>
            <w:tcW w:w="837"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未结算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480" w:type="pct"/>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b w:val="0"/>
                <w:color w:val="auto"/>
                <w:kern w:val="2"/>
                <w:sz w:val="21"/>
                <w:szCs w:val="21"/>
                <w:highlight w:val="none"/>
                <w:lang w:val="en-US" w:eastAsia="zh-CN" w:bidi="ar-SA"/>
              </w:rPr>
              <w:t>同心县长征路（东兴街～红军路）雨污分流项目</w:t>
            </w:r>
          </w:p>
        </w:tc>
        <w:tc>
          <w:tcPr>
            <w:tcW w:w="436" w:type="pct"/>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等线" w:hAnsi="等线" w:eastAsia="等线" w:cs="等线"/>
                <w:color w:val="000000"/>
                <w:kern w:val="0"/>
                <w:sz w:val="21"/>
                <w:szCs w:val="21"/>
                <w:lang w:val="en-US" w:eastAsia="zh-CN"/>
              </w:rPr>
            </w:pPr>
            <w:r>
              <w:rPr>
                <w:rFonts w:hint="eastAsia" w:ascii="Times New Roman" w:hAnsi="Times New Roman" w:eastAsia="方正仿宋_GBK" w:cs="Times New Roman"/>
                <w:b w:val="0"/>
                <w:color w:val="000000" w:themeColor="text1"/>
                <w:kern w:val="2"/>
                <w:sz w:val="21"/>
                <w:szCs w:val="21"/>
                <w:highlight w:val="none"/>
                <w:lang w:val="en-US" w:eastAsia="zh-CN" w:bidi="ar-SA"/>
                <w14:textFill>
                  <w14:solidFill>
                    <w14:schemeClr w14:val="tx1"/>
                  </w14:solidFill>
                </w14:textFill>
              </w:rPr>
              <w:t>3076.00万元</w:t>
            </w:r>
          </w:p>
        </w:tc>
        <w:tc>
          <w:tcPr>
            <w:tcW w:w="1867" w:type="pct"/>
            <w:tcBorders>
              <w:top w:val="single" w:color="auto" w:sz="4" w:space="0"/>
              <w:left w:val="single" w:color="000000" w:sz="4" w:space="0"/>
              <w:bottom w:val="single" w:color="auto" w:sz="4" w:space="0"/>
              <w:right w:val="single" w:color="000000" w:sz="4" w:space="0"/>
            </w:tcBorders>
            <w:shd w:val="clear" w:color="auto" w:fill="auto"/>
            <w:vAlign w:val="center"/>
          </w:tcPr>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left="0" w:leftChars="0" w:firstLine="0" w:firstLineChars="0"/>
              <w:jc w:val="both"/>
              <w:textAlignment w:val="auto"/>
              <w:rPr>
                <w:rFonts w:hint="eastAsia" w:ascii="等线" w:hAnsi="等线" w:eastAsia="等线" w:cs="等线"/>
                <w:color w:val="000000"/>
                <w:kern w:val="0"/>
                <w:sz w:val="21"/>
                <w:szCs w:val="21"/>
                <w:lang w:val="en-US" w:eastAsia="zh-CN"/>
              </w:rPr>
            </w:pPr>
            <w:bookmarkStart w:id="52" w:name="_Toc18378"/>
            <w:r>
              <w:rPr>
                <w:rFonts w:hint="eastAsia" w:ascii="等线" w:hAnsi="等线" w:eastAsia="等线" w:cs="等线"/>
                <w:b/>
                <w:bCs/>
                <w:color w:val="000000"/>
                <w:kern w:val="0"/>
                <w:sz w:val="21"/>
                <w:szCs w:val="21"/>
                <w:lang w:val="en-US" w:eastAsia="zh-CN" w:bidi="ar-SA"/>
              </w:rPr>
              <w:t>三标段</w:t>
            </w:r>
            <w:r>
              <w:rPr>
                <w:rFonts w:hint="eastAsia" w:ascii="Times New Roman" w:hAnsi="Times New Roman" w:eastAsia="方正仿宋_GBK" w:cs="Times New Roman"/>
                <w:b w:val="0"/>
                <w:color w:val="auto"/>
                <w:kern w:val="2"/>
                <w:sz w:val="21"/>
                <w:szCs w:val="21"/>
                <w:highlight w:val="none"/>
                <w:lang w:val="en-US" w:eastAsia="zh-CN" w:bidi="ar-SA"/>
              </w:rPr>
              <w:t>：由宁夏常博建设工程有限公司负责拆除原有混凝土路面，新安装雨水管道，恢复沥青道路，浇筑混凝土检查井等项目。</w:t>
            </w:r>
            <w:bookmarkEnd w:id="52"/>
          </w:p>
        </w:tc>
        <w:tc>
          <w:tcPr>
            <w:tcW w:w="84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2023.3.10-2023.9.6</w:t>
            </w:r>
          </w:p>
        </w:tc>
        <w:tc>
          <w:tcPr>
            <w:tcW w:w="528"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否</w:t>
            </w:r>
          </w:p>
        </w:tc>
        <w:tc>
          <w:tcPr>
            <w:tcW w:w="837"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未结算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9" w:hRule="atLeast"/>
          <w:jc w:val="center"/>
        </w:trPr>
        <w:tc>
          <w:tcPr>
            <w:tcW w:w="480"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412" w:firstLineChars="200"/>
              <w:jc w:val="both"/>
              <w:textAlignment w:val="auto"/>
              <w:rPr>
                <w:rFonts w:hint="eastAsia" w:ascii="Times New Roman" w:hAnsi="Times New Roman" w:eastAsia="方正仿宋_GBK" w:cs="Times New Roman"/>
                <w:color w:val="auto"/>
                <w:kern w:val="2"/>
                <w:sz w:val="21"/>
                <w:szCs w:val="21"/>
                <w:highlight w:val="none"/>
                <w:lang w:val="en-US" w:eastAsia="zh-CN" w:bidi="ar-SA"/>
              </w:rPr>
            </w:pPr>
          </w:p>
        </w:tc>
        <w:tc>
          <w:tcPr>
            <w:tcW w:w="43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412" w:firstLineChars="200"/>
              <w:jc w:val="both"/>
              <w:textAlignment w:val="auto"/>
              <w:rPr>
                <w:rFonts w:hint="eastAsia" w:ascii="等线" w:hAnsi="等线" w:eastAsia="等线" w:cs="等线"/>
                <w:color w:val="000000"/>
                <w:kern w:val="0"/>
                <w:sz w:val="21"/>
                <w:szCs w:val="21"/>
                <w:lang w:val="en-US" w:eastAsia="zh-CN"/>
              </w:rPr>
            </w:pPr>
          </w:p>
        </w:tc>
        <w:tc>
          <w:tcPr>
            <w:tcW w:w="1867" w:type="pct"/>
            <w:tcBorders>
              <w:top w:val="single" w:color="auto" w:sz="4" w:space="0"/>
              <w:left w:val="single" w:color="000000" w:sz="4" w:space="0"/>
              <w:bottom w:val="single" w:color="auto" w:sz="4" w:space="0"/>
              <w:right w:val="single" w:color="000000" w:sz="4" w:space="0"/>
            </w:tcBorders>
            <w:shd w:val="clear" w:color="auto" w:fill="auto"/>
            <w:vAlign w:val="center"/>
          </w:tcPr>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left="0" w:leftChars="0" w:firstLine="0" w:firstLineChars="0"/>
              <w:jc w:val="both"/>
              <w:textAlignment w:val="auto"/>
              <w:rPr>
                <w:rFonts w:hint="eastAsia" w:ascii="等线" w:hAnsi="等线" w:eastAsia="等线" w:cs="等线"/>
                <w:b/>
                <w:bCs/>
                <w:color w:val="000000"/>
                <w:kern w:val="0"/>
                <w:sz w:val="21"/>
                <w:szCs w:val="21"/>
                <w:lang w:val="en-US" w:eastAsia="zh-CN" w:bidi="ar-SA"/>
              </w:rPr>
            </w:pPr>
            <w:bookmarkStart w:id="53" w:name="_Toc23414"/>
            <w:r>
              <w:rPr>
                <w:rFonts w:hint="eastAsia" w:ascii="等线" w:hAnsi="等线" w:eastAsia="等线" w:cs="等线"/>
                <w:b/>
                <w:bCs/>
                <w:color w:val="000000"/>
                <w:kern w:val="0"/>
                <w:sz w:val="21"/>
                <w:szCs w:val="21"/>
                <w:lang w:val="en-US" w:eastAsia="zh-CN" w:bidi="ar-SA"/>
              </w:rPr>
              <w:t>四标段</w:t>
            </w:r>
            <w:r>
              <w:rPr>
                <w:rFonts w:hint="eastAsia" w:ascii="Times New Roman" w:hAnsi="Times New Roman" w:eastAsia="方正仿宋_GBK" w:cs="Times New Roman"/>
                <w:b w:val="0"/>
                <w:color w:val="auto"/>
                <w:kern w:val="2"/>
                <w:sz w:val="21"/>
                <w:szCs w:val="21"/>
                <w:highlight w:val="none"/>
                <w:lang w:val="en-US" w:eastAsia="zh-CN" w:bidi="ar-SA"/>
              </w:rPr>
              <w:t>：由宁夏新彩工程建设有限公司负责拆除原有混凝土路面，新安装雨水管道，恢复沥青道路，浇筑混凝土检查井等项目。</w:t>
            </w:r>
            <w:bookmarkEnd w:id="53"/>
          </w:p>
        </w:tc>
        <w:tc>
          <w:tcPr>
            <w:tcW w:w="84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2023.3.9-2023.9.5</w:t>
            </w:r>
          </w:p>
        </w:tc>
        <w:tc>
          <w:tcPr>
            <w:tcW w:w="528"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是</w:t>
            </w:r>
          </w:p>
        </w:tc>
        <w:tc>
          <w:tcPr>
            <w:tcW w:w="837"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未结算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480" w:type="pct"/>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412" w:firstLineChars="200"/>
              <w:jc w:val="both"/>
              <w:textAlignment w:val="auto"/>
              <w:rPr>
                <w:rFonts w:hint="eastAsia" w:ascii="Times New Roman" w:hAnsi="Times New Roman" w:eastAsia="方正仿宋_GBK" w:cs="Times New Roman"/>
                <w:color w:val="auto"/>
                <w:kern w:val="2"/>
                <w:sz w:val="21"/>
                <w:szCs w:val="21"/>
                <w:highlight w:val="none"/>
                <w:lang w:val="en-US" w:eastAsia="zh-CN" w:bidi="ar-SA"/>
              </w:rPr>
            </w:pPr>
          </w:p>
        </w:tc>
        <w:tc>
          <w:tcPr>
            <w:tcW w:w="436" w:type="pct"/>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412" w:firstLineChars="200"/>
              <w:jc w:val="both"/>
              <w:textAlignment w:val="auto"/>
              <w:rPr>
                <w:rFonts w:hint="eastAsia" w:ascii="等线" w:hAnsi="等线" w:eastAsia="等线" w:cs="等线"/>
                <w:color w:val="000000"/>
                <w:kern w:val="0"/>
                <w:sz w:val="21"/>
                <w:szCs w:val="21"/>
                <w:lang w:val="en-US" w:eastAsia="zh-CN"/>
              </w:rPr>
            </w:pPr>
          </w:p>
        </w:tc>
        <w:tc>
          <w:tcPr>
            <w:tcW w:w="1867" w:type="pct"/>
            <w:tcBorders>
              <w:top w:val="single" w:color="auto" w:sz="4" w:space="0"/>
              <w:left w:val="single" w:color="000000" w:sz="4" w:space="0"/>
              <w:bottom w:val="single" w:color="auto" w:sz="4" w:space="0"/>
              <w:right w:val="single" w:color="000000" w:sz="4" w:space="0"/>
            </w:tcBorders>
            <w:shd w:val="clear" w:color="auto" w:fill="auto"/>
            <w:vAlign w:val="center"/>
          </w:tcPr>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left="0" w:leftChars="0" w:firstLine="0" w:firstLineChars="0"/>
              <w:jc w:val="both"/>
              <w:textAlignment w:val="auto"/>
              <w:rPr>
                <w:rFonts w:hint="eastAsia" w:ascii="等线" w:hAnsi="等线" w:eastAsia="等线" w:cs="等线"/>
                <w:b/>
                <w:bCs/>
                <w:color w:val="000000"/>
                <w:kern w:val="0"/>
                <w:sz w:val="21"/>
                <w:szCs w:val="21"/>
                <w:lang w:val="en-US" w:eastAsia="zh-CN" w:bidi="ar-SA"/>
              </w:rPr>
            </w:pPr>
            <w:bookmarkStart w:id="54" w:name="_Toc4662"/>
            <w:r>
              <w:rPr>
                <w:rFonts w:hint="eastAsia" w:ascii="等线" w:hAnsi="等线" w:eastAsia="等线" w:cs="等线"/>
                <w:b/>
                <w:bCs/>
                <w:color w:val="000000"/>
                <w:kern w:val="0"/>
                <w:sz w:val="21"/>
                <w:szCs w:val="21"/>
                <w:lang w:val="en-US" w:eastAsia="zh-CN" w:bidi="ar-SA"/>
              </w:rPr>
              <w:t>五标段：</w:t>
            </w:r>
            <w:r>
              <w:rPr>
                <w:rFonts w:hint="eastAsia" w:ascii="Times New Roman" w:hAnsi="Times New Roman" w:eastAsia="方正仿宋_GBK" w:cs="Times New Roman"/>
                <w:b w:val="0"/>
                <w:color w:val="auto"/>
                <w:kern w:val="2"/>
                <w:sz w:val="21"/>
                <w:szCs w:val="21"/>
                <w:highlight w:val="none"/>
                <w:lang w:val="en-US" w:eastAsia="zh-CN" w:bidi="ar-SA"/>
              </w:rPr>
              <w:t>由宁夏五环建设咨询监理有限公司负责项目一至四标段施工全过程监理。</w:t>
            </w:r>
            <w:bookmarkEnd w:id="54"/>
          </w:p>
        </w:tc>
        <w:tc>
          <w:tcPr>
            <w:tcW w:w="84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FF0000"/>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2023.3.9-2023.9.5</w:t>
            </w:r>
          </w:p>
        </w:tc>
        <w:tc>
          <w:tcPr>
            <w:tcW w:w="528"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否</w:t>
            </w:r>
          </w:p>
        </w:tc>
        <w:tc>
          <w:tcPr>
            <w:tcW w:w="837"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未结算</w:t>
            </w:r>
          </w:p>
        </w:tc>
      </w:tr>
      <w:bookmarkEnd w:id="42"/>
      <w:bookmarkEnd w:id="43"/>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sectPr>
          <w:pgSz w:w="16838" w:h="11906" w:orient="landscape"/>
          <w:pgMar w:top="1587" w:right="2098" w:bottom="1587" w:left="2098" w:header="1191" w:footer="935" w:gutter="0"/>
          <w:pgNumType w:fmt="decimal"/>
          <w:cols w:space="0" w:num="1"/>
          <w:rtlGutter w:val="0"/>
          <w:docGrid w:type="linesAndChars" w:linePitch="589" w:charSpace="-842"/>
        </w:sect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55" w:name="_Toc19098"/>
      <w:r>
        <w:rPr>
          <w:rFonts w:hint="eastAsia" w:asciiTheme="majorEastAsia" w:hAnsiTheme="majorEastAsia" w:eastAsiaTheme="majorEastAsia" w:cstheme="majorEastAsia"/>
          <w:b/>
          <w:bCs/>
          <w:sz w:val="30"/>
          <w:szCs w:val="30"/>
          <w:lang w:val="en-US" w:eastAsia="zh-CN"/>
        </w:rPr>
        <w:t>二、项目资金预算安排和使用情况</w:t>
      </w:r>
      <w:bookmarkEnd w:id="55"/>
    </w:p>
    <w:bookmarkEnd w:id="30"/>
    <w:bookmarkEnd w:id="31"/>
    <w:bookmarkEnd w:id="49"/>
    <w:bookmarkEnd w:id="50"/>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56" w:name="_Toc13745"/>
      <w:bookmarkStart w:id="57" w:name="_Toc21063"/>
      <w:bookmarkStart w:id="58" w:name="_Toc20409"/>
      <w:bookmarkStart w:id="59" w:name="_Toc9451"/>
      <w:bookmarkStart w:id="60" w:name="_Toc26094"/>
      <w:bookmarkStart w:id="61" w:name="_Toc31361"/>
      <w:bookmarkStart w:id="62" w:name="_Toc31216"/>
      <w:bookmarkStart w:id="63" w:name="_Toc2175"/>
      <w:bookmarkStart w:id="64" w:name="_Toc24442"/>
      <w:bookmarkStart w:id="65" w:name="_Toc19300"/>
      <w:bookmarkStart w:id="66" w:name="_Toc7963"/>
      <w:bookmarkStart w:id="67" w:name="_Toc29255"/>
      <w:bookmarkStart w:id="68" w:name="_Toc26903"/>
      <w:bookmarkStart w:id="69" w:name="_Toc1375"/>
      <w:bookmarkStart w:id="70" w:name="_Toc17609"/>
      <w:bookmarkStart w:id="71" w:name="_Toc14208"/>
      <w:bookmarkStart w:id="72" w:name="_Toc19237"/>
      <w:bookmarkStart w:id="73" w:name="_Toc29008"/>
      <w:bookmarkStart w:id="74" w:name="_Toc26741"/>
      <w:bookmarkStart w:id="75" w:name="_Toc19319"/>
      <w:bookmarkStart w:id="76" w:name="_Toc24129"/>
      <w:r>
        <w:rPr>
          <w:rFonts w:hint="eastAsia"/>
          <w:b/>
          <w:bCs/>
          <w:sz w:val="30"/>
          <w:szCs w:val="30"/>
          <w:lang w:val="en-US" w:eastAsia="zh-CN"/>
        </w:rPr>
        <w:t>（一）资金来源情况</w:t>
      </w:r>
      <w:bookmarkEnd w:id="56"/>
      <w:bookmarkEnd w:id="57"/>
    </w:p>
    <w:p>
      <w:pPr>
        <w:pStyle w:val="20"/>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77" w:name="_Toc13949"/>
      <w:bookmarkStart w:id="78" w:name="_Toc21684"/>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w:t>
      </w:r>
      <w:r>
        <w:rPr>
          <w:rFonts w:hint="eastAsia" w:ascii="Times New Roman" w:hAnsi="Times New Roman" w:eastAsia="方正仿宋_GB2312" w:cs="Times New Roman"/>
          <w:kern w:val="2"/>
          <w:sz w:val="30"/>
          <w:szCs w:val="30"/>
          <w:lang w:val="en-US" w:eastAsia="zh-CN" w:bidi="ar-SA"/>
        </w:rPr>
        <w:t>发展改革委关于下达2022年自治区预算内统筹第一批投资计划的通知</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2312" w:cs="Times New Roman"/>
          <w:kern w:val="2"/>
          <w:sz w:val="30"/>
          <w:szCs w:val="30"/>
          <w:lang w:val="en-US" w:eastAsia="zh-CN" w:bidi="ar-SA"/>
        </w:rPr>
        <w:t>（宁发改投资</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722号</w:t>
      </w:r>
      <w:r>
        <w:rPr>
          <w:rFonts w:hint="eastAsia" w:ascii="Times New Roman" w:hAnsi="Times New Roman" w:eastAsia="方正仿宋_GB2312" w:cs="Times New Roman"/>
          <w:kern w:val="2"/>
          <w:sz w:val="30"/>
          <w:szCs w:val="30"/>
          <w:lang w:val="en-US" w:eastAsia="zh-CN" w:bidi="ar-SA"/>
        </w:rPr>
        <w:t>）的</w:t>
      </w:r>
      <w:r>
        <w:rPr>
          <w:rFonts w:hint="eastAsia" w:ascii="Times New Roman" w:hAnsi="Times New Roman" w:eastAsia="方正仿宋_GBK" w:cs="Times New Roman"/>
          <w:color w:val="auto"/>
          <w:kern w:val="2"/>
          <w:sz w:val="30"/>
          <w:szCs w:val="30"/>
          <w:highlight w:val="none"/>
          <w:lang w:val="en-US" w:eastAsia="zh-CN" w:bidi="ar-SA"/>
        </w:rPr>
        <w:t>要求，自治区预算内统筹资金落实到具体项目，切实加强资金管理，提高资金使用效益。</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79" w:name="_Toc30999"/>
      <w:bookmarkStart w:id="80" w:name="_Toc13592"/>
      <w:r>
        <w:rPr>
          <w:rFonts w:hint="eastAsia"/>
          <w:b/>
          <w:bCs/>
          <w:sz w:val="30"/>
          <w:szCs w:val="30"/>
          <w:lang w:val="en-US" w:eastAsia="zh-CN"/>
        </w:rPr>
        <w:t>（二）资金到位情况</w:t>
      </w:r>
      <w:bookmarkEnd w:id="79"/>
      <w:bookmarkEnd w:id="80"/>
    </w:p>
    <w:p>
      <w:pPr>
        <w:pStyle w:val="5"/>
        <w:keepNext/>
        <w:keepLines/>
        <w:pageBreakBefore w:val="0"/>
        <w:widowControl w:val="0"/>
        <w:kinsoku/>
        <w:wordWrap/>
        <w:overflowPunct w:val="0"/>
        <w:topLinePunct w:val="0"/>
        <w:autoSpaceDE/>
        <w:autoSpaceDN/>
        <w:bidi w:val="0"/>
        <w:adjustRightInd/>
        <w:snapToGrid w:val="0"/>
        <w:ind w:left="0" w:leftChars="0" w:firstLine="592" w:firstLineChars="200"/>
        <w:textAlignment w:val="auto"/>
        <w:rPr>
          <w:rFonts w:hint="default" w:ascii="Times New Roman" w:hAnsi="Times New Roman" w:eastAsia="方正仿宋_GB2312" w:cs="Times New Roman"/>
          <w:b w:val="0"/>
          <w:kern w:val="2"/>
          <w:sz w:val="30"/>
          <w:szCs w:val="30"/>
          <w:lang w:val="en-US" w:eastAsia="zh-CN" w:bidi="ar-SA"/>
        </w:rPr>
      </w:pPr>
      <w:bookmarkStart w:id="81" w:name="_Toc7315"/>
      <w:r>
        <w:rPr>
          <w:rFonts w:hint="eastAsia" w:ascii="Times New Roman" w:hAnsi="Times New Roman" w:eastAsia="方正仿宋_GB2312" w:cs="Times New Roman"/>
          <w:b w:val="0"/>
          <w:kern w:val="2"/>
          <w:sz w:val="30"/>
          <w:szCs w:val="30"/>
          <w:lang w:val="en-US" w:eastAsia="zh-CN" w:bidi="ar-SA"/>
        </w:rPr>
        <w:t>2022年9月20日，根据《自治区发展改革委关于下达2022年自治区预算内统筹第一批投资计划的通知》（宁发改投资</w:t>
      </w:r>
      <w:r>
        <w:rPr>
          <w:rFonts w:hint="default" w:ascii="Times New Roman" w:hAnsi="Times New Roman" w:eastAsia="方正仿宋_GB2312" w:cs="Times New Roman"/>
          <w:b w:val="0"/>
          <w:kern w:val="2"/>
          <w:sz w:val="30"/>
          <w:szCs w:val="30"/>
          <w:lang w:val="en-US" w:eastAsia="zh-CN" w:bidi="ar-SA"/>
        </w:rPr>
        <w:t>〔202</w:t>
      </w:r>
      <w:r>
        <w:rPr>
          <w:rFonts w:hint="eastAsia" w:ascii="Times New Roman" w:hAnsi="Times New Roman" w:eastAsia="方正仿宋_GB2312" w:cs="Times New Roman"/>
          <w:b w:val="0"/>
          <w:kern w:val="2"/>
          <w:sz w:val="30"/>
          <w:szCs w:val="30"/>
          <w:lang w:val="en-US" w:eastAsia="zh-CN" w:bidi="ar-SA"/>
        </w:rPr>
        <w:t>2</w:t>
      </w:r>
      <w:r>
        <w:rPr>
          <w:rFonts w:hint="default" w:ascii="Times New Roman" w:hAnsi="Times New Roman" w:eastAsia="方正仿宋_GB2312" w:cs="Times New Roman"/>
          <w:b w:val="0"/>
          <w:kern w:val="2"/>
          <w:sz w:val="30"/>
          <w:szCs w:val="30"/>
          <w:lang w:val="en-US" w:eastAsia="zh-CN" w:bidi="ar-SA"/>
        </w:rPr>
        <w:t>〕</w:t>
      </w:r>
      <w:r>
        <w:rPr>
          <w:rFonts w:hint="eastAsia" w:ascii="Times New Roman" w:hAnsi="Times New Roman" w:eastAsia="方正仿宋_GB2312" w:cs="Times New Roman"/>
          <w:b w:val="0"/>
          <w:kern w:val="2"/>
          <w:sz w:val="30"/>
          <w:szCs w:val="30"/>
          <w:lang w:val="en-US" w:eastAsia="zh-CN" w:bidi="ar-SA"/>
        </w:rPr>
        <w:t>722号），下达自治区预算内统筹资金800万元用于同心县长征路（东兴街～红军路）雨污分流项目建设资金。截至评价时点，实际到位资金800万元，资金到位率100%。</w:t>
      </w:r>
      <w:bookmarkEnd w:id="81"/>
    </w:p>
    <w:p>
      <w:pPr>
        <w:pStyle w:val="4"/>
        <w:bidi w:val="0"/>
        <w:rPr>
          <w:rFonts w:hint="default"/>
          <w:lang w:val="en-US" w:eastAsia="zh-CN"/>
        </w:rPr>
      </w:pPr>
      <w:bookmarkStart w:id="82" w:name="_Toc3804"/>
      <w:bookmarkStart w:id="83" w:name="_Toc13828"/>
      <w:r>
        <w:rPr>
          <w:rFonts w:hint="eastAsia"/>
          <w:lang w:val="en-US" w:eastAsia="zh-CN"/>
        </w:rPr>
        <w:t>（三）资金管理情况</w:t>
      </w:r>
      <w:bookmarkEnd w:id="82"/>
      <w:bookmarkEnd w:id="83"/>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w:t>
      </w:r>
      <w:r>
        <w:rPr>
          <w:rFonts w:hint="eastAsia" w:ascii="Times New Roman" w:hAnsi="Times New Roman" w:eastAsia="方正仿宋_GB2312" w:cs="Times New Roman"/>
          <w:kern w:val="2"/>
          <w:sz w:val="30"/>
          <w:szCs w:val="30"/>
          <w:lang w:val="en-US" w:eastAsia="zh-CN" w:bidi="ar-SA"/>
        </w:rPr>
        <w:t>发展改革委关于下达2022年自治区预算内统筹第一批投资计划的通知</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2312" w:cs="Times New Roman"/>
          <w:kern w:val="2"/>
          <w:sz w:val="30"/>
          <w:szCs w:val="30"/>
          <w:lang w:val="en-US" w:eastAsia="zh-CN" w:bidi="ar-SA"/>
        </w:rPr>
        <w:t>（宁发改投资</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722号</w:t>
      </w:r>
      <w:r>
        <w:rPr>
          <w:rFonts w:hint="eastAsia" w:ascii="Times New Roman" w:hAnsi="Times New Roman" w:eastAsia="方正仿宋_GB2312" w:cs="Times New Roman"/>
          <w:kern w:val="2"/>
          <w:sz w:val="30"/>
          <w:szCs w:val="30"/>
          <w:lang w:val="en-US" w:eastAsia="zh-CN" w:bidi="ar-SA"/>
        </w:rPr>
        <w:t>）同心县发展改革局</w:t>
      </w:r>
      <w:r>
        <w:rPr>
          <w:rFonts w:hint="eastAsia" w:ascii="Times New Roman" w:hAnsi="Times New Roman" w:eastAsia="方正仿宋_GBK" w:cs="Times New Roman"/>
          <w:color w:val="auto"/>
          <w:kern w:val="2"/>
          <w:sz w:val="30"/>
          <w:szCs w:val="30"/>
          <w:highlight w:val="none"/>
          <w:lang w:val="en-US" w:eastAsia="zh-CN" w:bidi="ar-SA"/>
        </w:rPr>
        <w:t>结合项目方案的要求，对项目资金进行管理和分配，每笔资金在拨付使用过程中均能够严格执行各项管理制度。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专项资金使用不符合上级财政部门相关要求的，或有重大违规违纪的行为。资金的拨付有完整的审批程序和手续，严格按照财政国库管理制度有关规定执行，支出方向与批复的建议内容一致。未发现虚列支出、资金截留、挤占等现象。</w:t>
      </w:r>
    </w:p>
    <w:p>
      <w:pPr>
        <w:pStyle w:val="4"/>
        <w:keepNext w:val="0"/>
        <w:keepLines w:val="0"/>
        <w:pageBreakBefore w:val="0"/>
        <w:widowControl w:val="0"/>
        <w:kinsoku/>
        <w:wordWrap/>
        <w:overflowPunct w:val="0"/>
        <w:topLinePunct w:val="0"/>
        <w:autoSpaceDE/>
        <w:autoSpaceDN/>
        <w:bidi w:val="0"/>
        <w:textAlignment w:val="auto"/>
        <w:rPr>
          <w:rFonts w:hint="default"/>
          <w:lang w:val="en-US" w:eastAsia="zh-CN"/>
        </w:rPr>
      </w:pPr>
      <w:bookmarkStart w:id="84" w:name="_Toc14131"/>
      <w:bookmarkStart w:id="85" w:name="_Toc6553"/>
      <w:r>
        <w:rPr>
          <w:rFonts w:hint="eastAsia"/>
          <w:lang w:val="en-US" w:eastAsia="zh-CN"/>
        </w:rPr>
        <w:t>（四）资金使用情况</w:t>
      </w:r>
      <w:bookmarkEnd w:id="84"/>
      <w:bookmarkEnd w:id="85"/>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FF0000"/>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同心县长征路（东兴街～红军路）雨污分流项目实际到位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800.00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800.00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K" w:cs="Times New Roman"/>
          <w:color w:val="auto"/>
          <w:kern w:val="2"/>
          <w:sz w:val="30"/>
          <w:szCs w:val="30"/>
          <w:highlight w:val="none"/>
          <w:lang w:val="en-US" w:eastAsia="zh-CN" w:bidi="ar-SA"/>
        </w:rPr>
        <w:t>100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color w:val="auto"/>
          <w:kern w:val="44"/>
          <w:sz w:val="28"/>
          <w:szCs w:val="28"/>
          <w:lang w:eastAsia="zh-CN"/>
        </w:rPr>
        <w:t>。</w:t>
      </w:r>
      <w:bookmarkEnd w:id="77"/>
      <w:bookmarkEnd w:id="78"/>
      <w:bookmarkStart w:id="86" w:name="_Toc2578"/>
      <w:bookmarkStart w:id="87" w:name="_Toc31342"/>
    </w:p>
    <w:bookmarkEnd w:id="86"/>
    <w:bookmarkEnd w:id="87"/>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88" w:name="_Toc32657"/>
      <w:r>
        <w:rPr>
          <w:rFonts w:hint="eastAsia" w:asciiTheme="majorEastAsia" w:hAnsiTheme="majorEastAsia" w:eastAsiaTheme="majorEastAsia" w:cstheme="majorEastAsia"/>
          <w:b/>
          <w:bCs/>
          <w:sz w:val="30"/>
          <w:szCs w:val="30"/>
          <w:lang w:val="en-US" w:eastAsia="zh-CN"/>
        </w:rPr>
        <w:t>三、项目绩效</w:t>
      </w:r>
      <w:bookmarkEnd w:id="58"/>
      <w:bookmarkEnd w:id="59"/>
      <w:bookmarkEnd w:id="60"/>
      <w:bookmarkEnd w:id="61"/>
      <w:bookmarkEnd w:id="62"/>
      <w:bookmarkEnd w:id="63"/>
      <w:bookmarkEnd w:id="64"/>
      <w:bookmarkEnd w:id="65"/>
      <w:bookmarkEnd w:id="66"/>
      <w:bookmarkEnd w:id="67"/>
      <w:r>
        <w:rPr>
          <w:rFonts w:hint="eastAsia" w:asciiTheme="majorEastAsia" w:hAnsiTheme="majorEastAsia" w:eastAsiaTheme="majorEastAsia" w:cstheme="majorEastAsia"/>
          <w:b/>
          <w:bCs/>
          <w:sz w:val="30"/>
          <w:szCs w:val="30"/>
          <w:lang w:val="en-US" w:eastAsia="zh-CN"/>
        </w:rPr>
        <w:t>目标</w:t>
      </w:r>
      <w:bookmarkEnd w:id="88"/>
    </w:p>
    <w:p>
      <w:pPr>
        <w:pStyle w:val="4"/>
        <w:keepNext/>
        <w:keepLines/>
        <w:pageBreakBefore w:val="0"/>
        <w:widowControl/>
        <w:numPr>
          <w:ilvl w:val="-1"/>
          <w:numId w:val="0"/>
        </w:numPr>
        <w:kinsoku/>
        <w:wordWrap/>
        <w:overflowPunct w:val="0"/>
        <w:topLinePunct w:val="0"/>
        <w:autoSpaceDE/>
        <w:autoSpaceDN/>
        <w:bidi w:val="0"/>
        <w:adjustRightInd/>
        <w:snapToGrid w:val="0"/>
        <w:spacing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89" w:name="_Toc25963"/>
      <w:bookmarkStart w:id="90" w:name="_Toc8204"/>
      <w:bookmarkStart w:id="91" w:name="_Toc23578"/>
      <w:r>
        <w:rPr>
          <w:rFonts w:hint="eastAsia" w:ascii="方正楷体_GBK" w:hAnsi="方正楷体_GBK" w:eastAsia="方正楷体_GBK" w:cs="方正楷体_GBK"/>
          <w:sz w:val="30"/>
          <w:szCs w:val="30"/>
          <w:lang w:val="en-US" w:eastAsia="zh-CN"/>
        </w:rPr>
        <w:t>（一）绩效目标</w:t>
      </w:r>
      <w:bookmarkEnd w:id="89"/>
    </w:p>
    <w:bookmarkEnd w:id="90"/>
    <w:bookmarkEnd w:id="91"/>
    <w:p>
      <w:pPr>
        <w:pStyle w:val="2"/>
        <w:keepNext w:val="0"/>
        <w:keepLines w:val="0"/>
        <w:pageBreakBefore w:val="0"/>
        <w:widowControl w:val="0"/>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通过项目建设，改造段道路全长3.16公里，原有排水保留为污水管道，道路两侧非机动车道各增加一道雨水管道，完善排污等配套基础设施，改善同心县居住条件，改善人民群众的生活环境和生活水平，促进社会经济全面协调和可持续发展；改善城市面貌，提升城市形象，改善投资环境，促进招商引资，对城市的管理体制改革起到积极有益的推动作用，提升人民群众的获得感、幸福感和安全感。</w:t>
      </w:r>
      <w:bookmarkStart w:id="92" w:name="_Toc29105"/>
      <w:bookmarkStart w:id="93" w:name="_Toc6859"/>
    </w:p>
    <w:p>
      <w:pPr>
        <w:pStyle w:val="4"/>
        <w:numPr>
          <w:ilvl w:val="0"/>
          <w:numId w:val="4"/>
        </w:numPr>
        <w:bidi w:val="0"/>
        <w:rPr>
          <w:rFonts w:hint="eastAsia"/>
          <w:lang w:val="en-US" w:eastAsia="zh-CN"/>
        </w:rPr>
      </w:pPr>
      <w:bookmarkStart w:id="94" w:name="_Toc20205"/>
      <w:r>
        <w:rPr>
          <w:rFonts w:hint="eastAsia"/>
          <w:lang w:val="en-US" w:eastAsia="zh-CN"/>
        </w:rPr>
        <w:t>项目绩效</w:t>
      </w:r>
      <w:bookmarkEnd w:id="92"/>
      <w:bookmarkEnd w:id="93"/>
      <w:bookmarkStart w:id="95" w:name="_Toc14067"/>
      <w:bookmarkStart w:id="96" w:name="_Toc13598"/>
      <w:bookmarkStart w:id="97" w:name="_Toc11708"/>
      <w:r>
        <w:rPr>
          <w:rFonts w:hint="eastAsia"/>
          <w:lang w:val="en-US" w:eastAsia="zh-CN"/>
        </w:rPr>
        <w:t>目标</w:t>
      </w:r>
      <w:bookmarkEnd w:id="94"/>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通过前期实地调研，评价组与被评价单位进行充分、有效地沟通，依据项目的功能特性，明确项目在一定时期内的总体产出和效果，以定性和定量的方式确定所要实现的目标，明确了总体绩效目标。具体情况如下表：</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color w:val="FF0000"/>
          <w:lang w:val="en-US" w:eastAsia="zh-CN"/>
        </w:rPr>
      </w:pPr>
      <w:r>
        <w:rPr>
          <w:rFonts w:hint="eastAsia" w:ascii="Times New Roman" w:hAnsi="Times New Roman" w:eastAsia="方正仿宋_GBK" w:cs="Times New Roman"/>
          <w:b w:val="0"/>
          <w:bCs w:val="0"/>
          <w:color w:val="auto"/>
          <w:kern w:val="2"/>
          <w:sz w:val="30"/>
          <w:szCs w:val="30"/>
          <w:highlight w:val="none"/>
          <w:lang w:val="en-US" w:eastAsia="zh-CN" w:bidi="ar-SA"/>
        </w:rPr>
        <w:t>项目绩效目标完成表</w:t>
      </w:r>
    </w:p>
    <w:tbl>
      <w:tblPr>
        <w:tblStyle w:val="23"/>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val="en-US" w:eastAsia="zh-CN"/>
              </w:rPr>
              <w:t>同心县长征路（东兴街～红军路）雨污分流项目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eastAsia="zh-CN"/>
              </w:rPr>
              <w:t>同心县</w:t>
            </w:r>
            <w:r>
              <w:rPr>
                <w:rFonts w:hint="eastAsia" w:ascii="Times New Roman" w:hAnsi="Times New Roman" w:eastAsia="方正仿宋_GBK" w:cs="Times New Roman"/>
                <w:i w:val="0"/>
                <w:iCs w:val="0"/>
                <w:color w:val="000000"/>
                <w:sz w:val="21"/>
                <w:szCs w:val="21"/>
                <w:u w:val="none"/>
                <w:lang w:val="en-US" w:eastAsia="zh-CN"/>
              </w:rPr>
              <w:t>住房和城乡建设局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800.00万元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实施的新建项目全部按期开工建设并保质保量完成；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sz w:val="21"/>
                <w:szCs w:val="21"/>
                <w:u w:val="none"/>
                <w:lang w:val="en-US" w:eastAsia="zh-CN"/>
              </w:rPr>
              <w:t>完善排污等配套基础设施，改善同心县居住条件，改善人民群众的生活环境和生活水平。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一标段项目完成率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二标段项目完成率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未验收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三标段项目完成率</w:t>
            </w:r>
          </w:p>
        </w:tc>
        <w:tc>
          <w:tcPr>
            <w:tcW w:w="1207"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未验收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四标段项目完成率</w:t>
            </w:r>
          </w:p>
        </w:tc>
        <w:tc>
          <w:tcPr>
            <w:tcW w:w="1207"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五标段项目完成率</w:t>
            </w:r>
          </w:p>
        </w:tc>
        <w:tc>
          <w:tcPr>
            <w:tcW w:w="1207"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不及时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财务决算审核完成及时率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有效改善居民居住环境</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长效管理机制健全性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基本完备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≥95%</w:t>
            </w:r>
          </w:p>
        </w:tc>
      </w:tr>
      <w:bookmarkEnd w:id="95"/>
      <w:bookmarkEnd w:id="96"/>
      <w:bookmarkEnd w:id="97"/>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98" w:name="_Toc12031"/>
      <w:bookmarkStart w:id="99" w:name="_Toc2876"/>
      <w:bookmarkStart w:id="100" w:name="_Toc31078"/>
      <w:r>
        <w:rPr>
          <w:rFonts w:hint="eastAsia" w:asciiTheme="majorEastAsia" w:hAnsiTheme="majorEastAsia" w:eastAsiaTheme="majorEastAsia" w:cstheme="majorEastAsia"/>
          <w:b/>
          <w:bCs/>
          <w:sz w:val="30"/>
          <w:szCs w:val="30"/>
          <w:lang w:val="en-US" w:eastAsia="zh-CN"/>
        </w:rPr>
        <w:t>四、绩效评价工作开展情况</w:t>
      </w:r>
      <w:bookmarkEnd w:id="98"/>
      <w:bookmarkEnd w:id="99"/>
      <w:bookmarkEnd w:id="100"/>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1" w:name="_Toc30230"/>
      <w:bookmarkStart w:id="102" w:name="_Toc23289"/>
      <w:bookmarkStart w:id="103" w:name="_Toc23662"/>
      <w:r>
        <w:rPr>
          <w:rFonts w:hint="eastAsia" w:ascii="方正楷体_GBK" w:hAnsi="方正楷体_GBK" w:eastAsia="方正楷体_GBK" w:cs="方正楷体_GBK"/>
          <w:b/>
          <w:bCs/>
          <w:sz w:val="30"/>
          <w:szCs w:val="30"/>
          <w:lang w:val="en-US" w:eastAsia="zh-CN"/>
        </w:rPr>
        <w:t>（一）绩效评价目的</w:t>
      </w:r>
      <w:bookmarkEnd w:id="101"/>
      <w:bookmarkEnd w:id="102"/>
      <w:bookmarkEnd w:id="103"/>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1.</w:t>
      </w:r>
      <w:r>
        <w:rPr>
          <w:rFonts w:hint="default" w:ascii="Times New Roman" w:hAnsi="Times New Roman" w:eastAsia="方正仿宋_GBK" w:cs="Times New Roman"/>
          <w:sz w:val="30"/>
          <w:szCs w:val="30"/>
          <w:lang w:val="en-US" w:eastAsia="zh-CN"/>
        </w:rPr>
        <w:t>通过绩效评价，对预算资金的投入、过程、产出、效果四个方面进行绩效评价，反映项目规范性、绩效目标设立的合理性和科学性、资金到位、支出情况，形成真实完整数据准确、分析透彻、逻辑清晰、客观公正的绩效评价结论为项目后续资金投入、分配和管理提供决策依据</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同时作为以后年度</w:t>
      </w:r>
      <w:r>
        <w:rPr>
          <w:rFonts w:hint="eastAsia" w:ascii="Times New Roman" w:hAnsi="Times New Roman" w:eastAsia="方正仿宋_GBK" w:cs="Times New Roman"/>
          <w:sz w:val="30"/>
          <w:szCs w:val="30"/>
          <w:lang w:val="en-US" w:eastAsia="zh-CN"/>
        </w:rPr>
        <w:t>同心县</w:t>
      </w:r>
      <w:r>
        <w:rPr>
          <w:rFonts w:hint="default" w:ascii="Times New Roman" w:hAnsi="Times New Roman" w:eastAsia="方正仿宋_GBK" w:cs="Times New Roman"/>
          <w:sz w:val="30"/>
          <w:szCs w:val="30"/>
          <w:lang w:val="en-US" w:eastAsia="zh-CN"/>
        </w:rPr>
        <w:t>编制预算和安排财政项目资金的重要依据逐步树立以结果为导向、讲求绩效的观念。</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sz w:val="30"/>
          <w:szCs w:val="30"/>
          <w:lang w:val="en-US" w:eastAsia="zh-CN"/>
        </w:rPr>
        <w:t>通过绩效评价，考察同心县长征路（东兴街</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红军路）雨污分流项目资金使用的安全性、规范性和效益性。通过评价、总结项目实施的做法、经验和教训，提出改进措施和建设性意见，为项目绩效管理提供决策参考及政策制定依据。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val="0"/>
          <w:kern w:val="2"/>
          <w:sz w:val="30"/>
          <w:szCs w:val="30"/>
          <w:lang w:val="en-US" w:eastAsia="zh-CN" w:bidi="ar-SA"/>
        </w:rPr>
      </w:pPr>
      <w:r>
        <w:rPr>
          <w:rFonts w:hint="default" w:ascii="Times New Roman" w:hAnsi="Times New Roman" w:eastAsia="方正仿宋_GBK" w:cs="Times New Roman"/>
          <w:b/>
          <w:bCs/>
          <w:kern w:val="2"/>
          <w:sz w:val="30"/>
          <w:szCs w:val="30"/>
          <w:lang w:val="en-US" w:eastAsia="zh-CN" w:bidi="ar-SA"/>
        </w:rPr>
        <w:t>3.</w:t>
      </w:r>
      <w:r>
        <w:rPr>
          <w:rFonts w:hint="default" w:ascii="Times New Roman" w:hAnsi="Times New Roman" w:eastAsia="方正仿宋_GBK" w:cs="Times New Roman"/>
          <w:b w:val="0"/>
          <w:kern w:val="2"/>
          <w:sz w:val="30"/>
          <w:szCs w:val="30"/>
          <w:lang w:val="en-US" w:eastAsia="zh-CN" w:bidi="ar-SA"/>
        </w:rPr>
        <w:t>通过绩效评价，能够让各级工作人员认识到发挥项目资金效益的重要性，强化工作职责，能够更清晰地界定工作的内容与其需要达到的标准</w:t>
      </w:r>
      <w:r>
        <w:rPr>
          <w:rFonts w:hint="eastAsia" w:ascii="Times New Roman" w:hAnsi="Times New Roman" w:eastAsia="方正仿宋_GBK" w:cs="Times New Roman"/>
          <w:b w:val="0"/>
          <w:kern w:val="2"/>
          <w:sz w:val="30"/>
          <w:szCs w:val="30"/>
          <w:lang w:val="en-US" w:eastAsia="zh-CN" w:bidi="ar-SA"/>
        </w:rPr>
        <w:t>；</w:t>
      </w:r>
      <w:r>
        <w:rPr>
          <w:rFonts w:hint="default" w:ascii="Times New Roman" w:hAnsi="Times New Roman" w:eastAsia="方正仿宋_GBK" w:cs="Times New Roman"/>
          <w:b w:val="0"/>
          <w:kern w:val="2"/>
          <w:sz w:val="30"/>
          <w:szCs w:val="30"/>
          <w:lang w:val="en-US" w:eastAsia="zh-CN" w:bidi="ar-SA"/>
        </w:rPr>
        <w:t>能够让工作人员清楚认识到各自的问题和不足，激励加强项目管理、资金管理、绩效评价理论学习和实践活动，提高工作效率。同时也可在实践中检验绩效评价工作的针对性和可操作性，推动绩效评价的制度体系建设。</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4" w:name="_Toc1453"/>
      <w:r>
        <w:rPr>
          <w:rFonts w:hint="eastAsia" w:ascii="方正楷体_GBK" w:hAnsi="方正楷体_GBK" w:eastAsia="方正楷体_GBK" w:cs="方正楷体_GBK"/>
          <w:b/>
          <w:bCs/>
          <w:sz w:val="30"/>
          <w:szCs w:val="30"/>
          <w:lang w:val="en-US" w:eastAsia="zh-CN"/>
        </w:rPr>
        <w:t>（二）绩效评价对象</w:t>
      </w:r>
      <w:bookmarkEnd w:id="104"/>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 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文件要求，对同心县长征路（东兴街</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红军路）雨污分流项目开展绩效评价，本次绩效评价主要围绕项目决策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5" w:name="_Toc26073"/>
      <w:bookmarkStart w:id="106" w:name="_Toc4083"/>
      <w:bookmarkStart w:id="107" w:name="_Toc22702"/>
      <w:r>
        <w:rPr>
          <w:rFonts w:hint="eastAsia" w:ascii="方正楷体_GBK" w:hAnsi="方正楷体_GBK" w:eastAsia="方正楷体_GBK" w:cs="方正楷体_GBK"/>
          <w:b/>
          <w:bCs/>
          <w:sz w:val="30"/>
          <w:szCs w:val="30"/>
          <w:lang w:val="en-US" w:eastAsia="zh-CN"/>
        </w:rPr>
        <w:t>（三）评价依据</w:t>
      </w:r>
      <w:bookmarkEnd w:id="105"/>
      <w:bookmarkEnd w:id="106"/>
      <w:bookmarkEnd w:id="107"/>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pStyle w:val="2"/>
        <w:ind w:left="0" w:leftChars="0" w:firstLine="592" w:firstLineChars="200"/>
        <w:rPr>
          <w:rFonts w:hint="eastAsia"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9.</w:t>
      </w:r>
      <w:r>
        <w:rPr>
          <w:rFonts w:hint="eastAsia" w:ascii="Times New Roman" w:hAnsi="Times New Roman" w:eastAsia="方正仿宋_GB2312" w:cs="Times New Roman"/>
          <w:kern w:val="2"/>
          <w:sz w:val="30"/>
          <w:szCs w:val="30"/>
          <w:lang w:val="en-US" w:eastAsia="zh-CN" w:bidi="ar-SA"/>
        </w:rPr>
        <w:t>《关于</w:t>
      </w:r>
      <w:r>
        <w:rPr>
          <w:rFonts w:hint="default" w:ascii="Times New Roman" w:hAnsi="Times New Roman" w:eastAsia="方正仿宋_GBK" w:cs="Times New Roman"/>
          <w:sz w:val="30"/>
          <w:szCs w:val="30"/>
          <w:lang w:val="en-US" w:eastAsia="zh-CN"/>
        </w:rPr>
        <w:t>同心县长征路（东兴街</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红军路）雨污分流项目</w:t>
      </w:r>
      <w:r>
        <w:rPr>
          <w:rFonts w:hint="eastAsia" w:ascii="Times New Roman" w:hAnsi="Times New Roman" w:eastAsia="方正仿宋_GB2312" w:cs="Times New Roman"/>
          <w:kern w:val="2"/>
          <w:sz w:val="30"/>
          <w:szCs w:val="30"/>
          <w:lang w:val="en-US" w:eastAsia="zh-CN" w:bidi="ar-SA"/>
        </w:rPr>
        <w:t>可行性研究报告的批复》</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同发改审</w:t>
      </w:r>
      <w:r>
        <w:rPr>
          <w:rFonts w:hint="default" w:ascii="Times New Roman" w:hAnsi="Times New Roman" w:eastAsia="方正仿宋_GBK" w:cs="Times New Roman"/>
          <w:kern w:val="2"/>
          <w:sz w:val="30"/>
          <w:szCs w:val="30"/>
          <w:lang w:val="en-US" w:eastAsia="zh-CN" w:bidi="ar-SA"/>
        </w:rPr>
        <w:t>发〔202</w:t>
      </w:r>
      <w:r>
        <w:rPr>
          <w:rFonts w:hint="eastAsia" w:ascii="Times New Roman" w:hAnsi="Times New Roman" w:eastAsia="方正仿宋_GBK" w:cs="Times New Roman"/>
          <w:kern w:val="2"/>
          <w:sz w:val="30"/>
          <w:szCs w:val="30"/>
          <w:lang w:val="en-US" w:eastAsia="zh-CN" w:bidi="ar-SA"/>
        </w:rPr>
        <w:t>2</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166</w:t>
      </w:r>
      <w:r>
        <w:rPr>
          <w:rFonts w:hint="default" w:ascii="Times New Roman" w:hAnsi="Times New Roman" w:eastAsia="方正仿宋_GBK" w:cs="Times New Roman"/>
          <w:kern w:val="2"/>
          <w:sz w:val="30"/>
          <w:szCs w:val="30"/>
          <w:lang w:val="en-US" w:eastAsia="zh-CN" w:bidi="ar-SA"/>
        </w:rPr>
        <w:t>号）</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color w:val="auto"/>
          <w:kern w:val="2"/>
          <w:sz w:val="30"/>
          <w:szCs w:val="30"/>
          <w:lang w:val="en-US" w:eastAsia="zh-CN" w:bidi="ar-SA"/>
        </w:rPr>
        <w:t>10.《</w:t>
      </w:r>
      <w:r>
        <w:rPr>
          <w:rFonts w:hint="eastAsia" w:ascii="Times New Roman" w:hAnsi="Times New Roman" w:eastAsia="方正仿宋_GBK" w:cs="Times New Roman"/>
          <w:color w:val="auto"/>
          <w:kern w:val="2"/>
          <w:sz w:val="30"/>
          <w:szCs w:val="30"/>
          <w:highlight w:val="none"/>
          <w:lang w:val="en-US" w:eastAsia="zh-CN" w:bidi="ar-SA"/>
        </w:rPr>
        <w:t>自治区</w:t>
      </w:r>
      <w:r>
        <w:rPr>
          <w:rFonts w:hint="eastAsia" w:ascii="Times New Roman" w:hAnsi="Times New Roman" w:eastAsia="方正仿宋_GB2312" w:cs="Times New Roman"/>
          <w:kern w:val="2"/>
          <w:sz w:val="30"/>
          <w:szCs w:val="30"/>
          <w:lang w:val="en-US" w:eastAsia="zh-CN" w:bidi="ar-SA"/>
        </w:rPr>
        <w:t>发展改革委关于下达2022年自治区预算内统筹第一批投资计划的通知</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2312" w:cs="Times New Roman"/>
          <w:kern w:val="2"/>
          <w:sz w:val="30"/>
          <w:szCs w:val="30"/>
          <w:lang w:val="en-US" w:eastAsia="zh-CN" w:bidi="ar-SA"/>
        </w:rPr>
        <w:t>（宁发改投资</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722号</w:t>
      </w:r>
      <w:r>
        <w:rPr>
          <w:rFonts w:hint="eastAsia" w:ascii="Times New Roman" w:hAnsi="Times New Roman" w:eastAsia="方正仿宋_GB2312" w:cs="Times New Roman"/>
          <w:kern w:val="2"/>
          <w:sz w:val="30"/>
          <w:szCs w:val="30"/>
          <w:lang w:val="en-US" w:eastAsia="zh-CN" w:bidi="ar-SA"/>
        </w:rPr>
        <w:t>）</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11.相关行业政策、行业标准及专业技术规范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12.项目单位反映项目管理的有关资料，项目安排计划、资金拨付支出相关文件和凭证资料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8" w:name="_Toc30926"/>
      <w:bookmarkStart w:id="109" w:name="_Toc8570"/>
      <w:bookmarkStart w:id="110" w:name="_Toc17802"/>
      <w:r>
        <w:rPr>
          <w:rFonts w:hint="eastAsia" w:ascii="方正楷体_GBK" w:hAnsi="方正楷体_GBK" w:eastAsia="方正楷体_GBK" w:cs="方正楷体_GBK"/>
          <w:b/>
          <w:bCs/>
          <w:sz w:val="30"/>
          <w:szCs w:val="30"/>
          <w:lang w:val="en-US" w:eastAsia="zh-CN"/>
        </w:rPr>
        <w:t>（四）评价原则</w:t>
      </w:r>
      <w:bookmarkEnd w:id="108"/>
      <w:bookmarkEnd w:id="109"/>
      <w:bookmarkEnd w:id="110"/>
    </w:p>
    <w:p>
      <w:pPr>
        <w:rPr>
          <w:rFonts w:hint="default" w:ascii="Times New Roman" w:hAnsi="Times New Roman" w:eastAsia="方正仿宋_GBK" w:cs="Times New Roman"/>
          <w:b w:val="0"/>
          <w:bCs w:val="0"/>
          <w:kern w:val="0"/>
          <w:sz w:val="30"/>
          <w:szCs w:val="30"/>
          <w:lang w:val="en-US" w:eastAsia="zh-CN" w:bidi="zh-CN"/>
        </w:rPr>
      </w:pPr>
      <w:bookmarkStart w:id="111" w:name="_Toc14020"/>
      <w:bookmarkStart w:id="112"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sz w:val="30"/>
          <w:szCs w:val="30"/>
          <w:lang w:val="en-US" w:eastAsia="zh-CN"/>
        </w:rPr>
        <w:t>同心县长征路（东兴街</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红军路）雨污分流项目</w:t>
      </w:r>
      <w:r>
        <w:rPr>
          <w:rFonts w:hint="eastAsia" w:ascii="Times New Roman" w:hAnsi="Times New Roman" w:eastAsia="方正仿宋_GBK" w:cs="Times New Roman"/>
          <w:sz w:val="30"/>
          <w:szCs w:val="30"/>
          <w:lang w:val="en-US" w:eastAsia="zh-CN"/>
        </w:rPr>
        <w:t>可行性研究报告</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13" w:name="_Toc4086"/>
      <w:r>
        <w:rPr>
          <w:rFonts w:hint="eastAsia" w:ascii="方正楷体_GBK" w:hAnsi="方正楷体_GBK" w:eastAsia="方正楷体_GBK" w:cs="方正楷体_GBK"/>
          <w:b/>
          <w:bCs/>
          <w:sz w:val="30"/>
          <w:szCs w:val="30"/>
          <w:lang w:val="en-US" w:eastAsia="zh-CN"/>
        </w:rPr>
        <w:t>（五）评价标准</w:t>
      </w:r>
      <w:bookmarkEnd w:id="113"/>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114" w:name="_Toc23318"/>
      <w:bookmarkStart w:id="115" w:name="_Toc19737"/>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114"/>
      <w:bookmarkEnd w:id="115"/>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16" w:name="_Toc1504"/>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111"/>
      <w:bookmarkEnd w:id="112"/>
      <w:bookmarkEnd w:id="116"/>
    </w:p>
    <w:p>
      <w:pPr>
        <w:keepNext w:val="0"/>
        <w:keepLines w:val="0"/>
        <w:pageBreakBefore w:val="0"/>
        <w:widowControl w:val="0"/>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bookmarkStart w:id="117" w:name="_Toc31420"/>
      <w:bookmarkStart w:id="118" w:name="_Toc3585"/>
      <w:r>
        <w:rPr>
          <w:rFonts w:hint="default" w:ascii="Times New Roman" w:hAnsi="Times New Roman" w:eastAsia="方正仿宋_GBK" w:cs="Times New Roman"/>
          <w:sz w:val="30"/>
          <w:szCs w:val="30"/>
          <w:lang w:val="en-US" w:eastAsia="zh-CN"/>
        </w:rPr>
        <w:t>同心县长征路（东兴街</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红军路）雨污分流项目</w:t>
      </w:r>
      <w:r>
        <w:rPr>
          <w:rFonts w:hint="eastAsia" w:ascii="Times New Roman" w:hAnsi="Times New Roman" w:eastAsia="方正仿宋_GBK" w:cs="Times New Roman"/>
          <w:b w:val="0"/>
          <w:bCs w:val="0"/>
          <w:kern w:val="0"/>
          <w:sz w:val="30"/>
          <w:szCs w:val="30"/>
          <w:lang w:val="en-US" w:eastAsia="zh-CN" w:bidi="zh-CN"/>
        </w:rPr>
        <w:t>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评价对象、目标任务及资金管理要求，评价一级指标涵盖项目全周期，由决策、过程、产出和效益4个一级指标构成，同时对应分解并设置12个二级指标、23个三级指标。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权重占比20%，过程指标权重占比20%，产出指标权重占比3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决策类指标包括项目立项、绩效目标和资金投入3个二级指标，同时对应分解并选择设置实施依据充分性、实施程序规范性、绩效目标合理性、绩效目标明确性、预算编制科学性、资金分配合理性 6个三级指标，分别对项目立项、绩效目标和资金投入情况进行考察评判。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val="0"/>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产出类指标包括产出数量、产出质量、产出时效和产出成本4 个二级指标，同时对应分解并选择设置实施项目整体完成率、招投标程序合规率、工程验收质量达标率、项目开工及完工及时率、结算审核及竣工验收及时率、竣工财务决算完成及时率和工程建设投资总成本等8个三级指标，分别对项目产出情况进行考察评判。</w:t>
      </w:r>
    </w:p>
    <w:p>
      <w:pPr>
        <w:keepNext w:val="0"/>
        <w:keepLines w:val="0"/>
        <w:pageBreakBefore w:val="0"/>
        <w:widowControl w:val="0"/>
        <w:suppressLineNumbers w:val="0"/>
        <w:kinsoku/>
        <w:wordWrap/>
        <w:overflowPunct w:val="0"/>
        <w:topLinePunct w:val="0"/>
        <w:autoSpaceDE/>
        <w:autoSpaceDN/>
        <w:bidi w:val="0"/>
        <w:adjustRightInd/>
        <w:snapToGrid/>
        <w:jc w:val="both"/>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效益类指标包括项目社会效益、可持续影响和满意度3个二级指标，同时对应分解并选择设置解决长征路内涝问题、长效机制健全性、档案资料完备性和受益对象满意度4个三级指标进行考察评判。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19" w:name="_Toc13700"/>
      <w:bookmarkStart w:id="120" w:name="_Toc18428"/>
      <w:bookmarkStart w:id="121" w:name="_Toc26415"/>
      <w:bookmarkStart w:id="122" w:name="_Toc3290"/>
      <w:bookmarkStart w:id="123" w:name="_Toc11592"/>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19"/>
      <w:bookmarkEnd w:id="120"/>
      <w:bookmarkEnd w:id="121"/>
      <w:bookmarkEnd w:id="122"/>
      <w:bookmarkEnd w:id="123"/>
    </w:p>
    <w:tbl>
      <w:tblPr>
        <w:tblStyle w:val="23"/>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90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80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24" w:name="_Toc19373"/>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17"/>
      <w:bookmarkEnd w:id="118"/>
      <w:bookmarkEnd w:id="124"/>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25" w:name="_Toc10922"/>
      <w:bookmarkStart w:id="126" w:name="_Toc15525"/>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25"/>
      <w:bookmarkEnd w:id="126"/>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27" w:name="_Toc10071"/>
      <w:bookmarkStart w:id="128" w:name="_Toc2624"/>
      <w:r>
        <w:rPr>
          <w:rFonts w:hint="eastAsia" w:ascii="方正仿宋_GBK" w:hAnsi="方正仿宋_GBK" w:eastAsia="方正仿宋_GBK" w:cs="方正仿宋_GBK"/>
          <w:b w:val="0"/>
          <w:color w:val="auto"/>
          <w:kern w:val="2"/>
          <w:sz w:val="30"/>
          <w:szCs w:val="30"/>
          <w:highlight w:val="none"/>
          <w:lang w:val="en-US" w:eastAsia="zh-CN" w:bidi="ar-SA"/>
        </w:rPr>
        <w:t>同心县长征路（东兴街～红军路）雨污分流项目绩效评价主要采用因素分析法、比较法、现场核查法、公众评判法进行综合评价。具体评价方法如下：</w:t>
      </w:r>
      <w:bookmarkEnd w:id="127"/>
      <w:bookmarkEnd w:id="128"/>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是指综合分析影响绩效目标实现、实施效果的内外部因素的方法。我们通过案卷分析等方式综合分析影响同心县长征路（东兴街</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红军路）雨污分流项目资金使用效果、绩效实现的内外部因素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通过查阅整理同心县长征路（东兴街</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红军路）雨污分流项目使用管理过程中的基本资料、决策资料、过程管理资料及成果资料，分析影响</w:t>
      </w:r>
      <w:r>
        <w:rPr>
          <w:rFonts w:hint="default" w:ascii="Times New Roman" w:hAnsi="Times New Roman" w:eastAsia="方正仿宋_GBK" w:cs="Times New Roman"/>
          <w:sz w:val="30"/>
          <w:szCs w:val="30"/>
          <w:lang w:val="en-US" w:eastAsia="zh-CN"/>
        </w:rPr>
        <w:t>同心县长征路（东兴街</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红军路）雨污分流项目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default" w:ascii="Times New Roman" w:hAnsi="Times New Roman" w:eastAsia="方正仿宋_GBK" w:cs="Times New Roman"/>
          <w:sz w:val="30"/>
          <w:szCs w:val="30"/>
          <w:lang w:val="en-US" w:eastAsia="zh-CN"/>
        </w:rPr>
        <w:t>同心县长征路（东兴街</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红军路）雨污分流项目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29" w:name="_Toc14287"/>
      <w:bookmarkStart w:id="130" w:name="_Toc9120"/>
      <w:bookmarkStart w:id="131" w:name="_Toc15372"/>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29"/>
      <w:bookmarkEnd w:id="130"/>
      <w:bookmarkEnd w:id="131"/>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color w:val="auto"/>
          <w:sz w:val="32"/>
          <w:szCs w:val="32"/>
        </w:rPr>
      </w:pPr>
      <w:bookmarkStart w:id="132" w:name="_Toc23068"/>
      <w:bookmarkStart w:id="133" w:name="_Toc23927"/>
      <w:bookmarkStart w:id="134" w:name="_Toc15926"/>
      <w:r>
        <w:rPr>
          <w:rFonts w:hint="eastAsia" w:asciiTheme="majorEastAsia" w:hAnsiTheme="majorEastAsia" w:eastAsiaTheme="majorEastAsia" w:cstheme="majorEastAsia"/>
          <w:b/>
          <w:bCs/>
          <w:color w:val="auto"/>
          <w:sz w:val="32"/>
          <w:szCs w:val="32"/>
          <w:lang w:val="en-US" w:eastAsia="zh-CN"/>
        </w:rPr>
        <w:t>五</w:t>
      </w:r>
      <w:r>
        <w:rPr>
          <w:rFonts w:hint="eastAsia" w:asciiTheme="majorEastAsia" w:hAnsiTheme="majorEastAsia" w:eastAsiaTheme="majorEastAsia" w:cstheme="majorEastAsia"/>
          <w:b/>
          <w:bCs/>
          <w:color w:val="auto"/>
          <w:sz w:val="32"/>
          <w:szCs w:val="32"/>
        </w:rPr>
        <w:t>、综合评价情况及评价结论</w:t>
      </w:r>
      <w:bookmarkEnd w:id="132"/>
      <w:bookmarkEnd w:id="133"/>
      <w:bookmarkEnd w:id="134"/>
    </w:p>
    <w:p>
      <w:pPr>
        <w:pStyle w:val="4"/>
        <w:bidi w:val="0"/>
        <w:rPr>
          <w:rFonts w:hint="default"/>
          <w:lang w:val="en-US" w:eastAsia="zh-CN"/>
        </w:rPr>
      </w:pPr>
      <w:bookmarkStart w:id="135" w:name="_Toc21328"/>
      <w:r>
        <w:rPr>
          <w:rFonts w:hint="eastAsia"/>
          <w:lang w:val="en-US" w:eastAsia="zh-CN"/>
        </w:rPr>
        <w:t>（一）项目完成情况</w:t>
      </w:r>
      <w:bookmarkEnd w:id="135"/>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住房和城乡建设局的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w:t>
      </w:r>
      <w:r>
        <w:rPr>
          <w:rFonts w:hint="eastAsia" w:ascii="Times New Roman" w:hAnsi="Times New Roman" w:eastAsia="方正仿宋_GBK" w:cs="Times New Roman"/>
          <w:color w:val="auto"/>
          <w:kern w:val="2"/>
          <w:sz w:val="30"/>
          <w:szCs w:val="30"/>
          <w:highlight w:val="none"/>
          <w:lang w:val="en-US" w:eastAsia="zh-CN" w:bidi="ar-SA"/>
        </w:rPr>
        <w:t>自治区预算内统筹</w:t>
      </w:r>
      <w:r>
        <w:rPr>
          <w:rFonts w:hint="default" w:ascii="Times New Roman" w:hAnsi="Times New Roman" w:eastAsia="方正仿宋_GBK" w:cs="Times New Roman"/>
          <w:color w:val="auto"/>
          <w:kern w:val="2"/>
          <w:sz w:val="30"/>
          <w:szCs w:val="30"/>
          <w:highlight w:val="none"/>
          <w:lang w:val="en-US" w:eastAsia="zh-CN" w:bidi="ar-SA"/>
        </w:rPr>
        <w:t>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800.00.00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800.00.00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800.00.00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0000FF"/>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在项目产出方面：</w:t>
      </w:r>
      <w:r>
        <w:rPr>
          <w:rFonts w:hint="eastAsia" w:ascii="Times New Roman" w:hAnsi="Times New Roman" w:eastAsia="方正仿宋_GBK" w:cs="Times New Roman"/>
          <w:b w:val="0"/>
          <w:bCs w:val="0"/>
          <w:color w:val="auto"/>
          <w:kern w:val="2"/>
          <w:sz w:val="30"/>
          <w:szCs w:val="30"/>
          <w:highlight w:val="none"/>
          <w:lang w:val="en-US" w:eastAsia="zh-CN" w:bidi="ar-SA"/>
        </w:rPr>
        <w:t>同心县长征路（东兴街～红军路）雨污分流项目，严格落实“项目四制”。落实项目法人责任制，项目单位和法定代表人对项目建设的安全质量负总责；落实招标投标制，按照《招标投标法》《必须招标的工程项目规定》《必须招标的基础设施和公用事业项目范围规定》等要求做好项目招投标工作，并将强制性安全质量标准等作为招标文件的实质性要求和条件；落实工程监理制度，监理单位要认真履行监理职责，特别要加强对关键工序、重要部位和隐蔽工程的监督检查；落实合同管理制度，建设工程的勘察设计、施工、设备材料采购和工程监理等要依法订立合同，并明确安全质量要求以及违约责任等。</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近年来，</w:t>
      </w:r>
      <w:r>
        <w:rPr>
          <w:rFonts w:hint="default" w:ascii="Times New Roman" w:hAnsi="Times New Roman" w:eastAsia="方正仿宋_GBK" w:cs="Times New Roman"/>
          <w:b w:val="0"/>
          <w:bCs w:val="0"/>
          <w:color w:val="auto"/>
          <w:kern w:val="2"/>
          <w:sz w:val="30"/>
          <w:szCs w:val="30"/>
          <w:highlight w:val="none"/>
          <w:lang w:val="en-US" w:eastAsia="zh-CN" w:bidi="ar-SA"/>
        </w:rPr>
        <w:t>随着同心县自然环境质量的逐步提升</w:t>
      </w:r>
      <w:r>
        <w:rPr>
          <w:rFonts w:hint="eastAsia" w:ascii="Times New Roman" w:hAnsi="Times New Roman" w:eastAsia="方正仿宋_GBK" w:cs="Times New Roman"/>
          <w:b w:val="0"/>
          <w:bCs w:val="0"/>
          <w:color w:val="auto"/>
          <w:kern w:val="2"/>
          <w:sz w:val="30"/>
          <w:szCs w:val="30"/>
          <w:highlight w:val="none"/>
          <w:lang w:val="en-US" w:eastAsia="zh-CN" w:bidi="ar-SA"/>
        </w:rPr>
        <w:t>，</w:t>
      </w:r>
      <w:r>
        <w:rPr>
          <w:rFonts w:hint="default" w:ascii="Times New Roman" w:hAnsi="Times New Roman" w:eastAsia="方正仿宋_GBK" w:cs="Times New Roman"/>
          <w:b w:val="0"/>
          <w:bCs w:val="0"/>
          <w:color w:val="auto"/>
          <w:kern w:val="2"/>
          <w:sz w:val="30"/>
          <w:szCs w:val="30"/>
          <w:highlight w:val="none"/>
          <w:lang w:val="en-US" w:eastAsia="zh-CN" w:bidi="ar-SA"/>
        </w:rPr>
        <w:t>生态环境得到进一步改善。</w:t>
      </w:r>
      <w:r>
        <w:rPr>
          <w:rFonts w:hint="eastAsia" w:ascii="Times New Roman" w:hAnsi="Times New Roman" w:eastAsia="方正仿宋_GBK" w:cs="Times New Roman"/>
          <w:b w:val="0"/>
          <w:bCs w:val="0"/>
          <w:color w:val="auto"/>
          <w:kern w:val="2"/>
          <w:sz w:val="30"/>
          <w:szCs w:val="30"/>
          <w:highlight w:val="none"/>
          <w:lang w:val="en-US" w:eastAsia="zh-CN" w:bidi="ar-SA"/>
        </w:rPr>
        <w:t>项目的实施将</w:t>
      </w:r>
      <w:r>
        <w:rPr>
          <w:rFonts w:hint="default" w:ascii="Times New Roman" w:hAnsi="Times New Roman" w:eastAsia="方正仿宋_GBK" w:cs="Times New Roman"/>
          <w:b w:val="0"/>
          <w:bCs w:val="0"/>
          <w:color w:val="auto"/>
          <w:kern w:val="2"/>
          <w:sz w:val="30"/>
          <w:szCs w:val="30"/>
          <w:highlight w:val="none"/>
          <w:lang w:val="en-US" w:eastAsia="zh-CN" w:bidi="ar-SA"/>
        </w:rPr>
        <w:t>改善居民生活环境，提高居民生活质量，减少疾病传播，增加居民室外活动频率，全方位提高公众健康水平，促进社会和谐稳定。</w:t>
      </w:r>
      <w:r>
        <w:rPr>
          <w:rFonts w:hint="eastAsia" w:ascii="Times New Roman" w:hAnsi="Times New Roman" w:eastAsia="方正仿宋_GBK" w:cs="Times New Roman"/>
          <w:b w:val="0"/>
          <w:bCs w:val="0"/>
          <w:color w:val="auto"/>
          <w:kern w:val="2"/>
          <w:sz w:val="30"/>
          <w:szCs w:val="30"/>
          <w:highlight w:val="none"/>
          <w:lang w:val="en-US" w:eastAsia="zh-CN" w:bidi="ar-SA"/>
        </w:rPr>
        <w:t>经对项目实施地开展满意度问卷调查，整体满意度为95%。（附件1中满意度未改，不知打多少合适）</w:t>
      </w:r>
    </w:p>
    <w:p>
      <w:pPr>
        <w:pStyle w:val="4"/>
        <w:bidi w:val="0"/>
        <w:rPr>
          <w:rFonts w:hint="default"/>
          <w:lang w:val="en-US" w:eastAsia="zh-CN"/>
        </w:rPr>
      </w:pPr>
      <w:bookmarkStart w:id="136" w:name="_Toc30124"/>
      <w:r>
        <w:rPr>
          <w:rFonts w:hint="eastAsia"/>
          <w:lang w:val="en-US" w:eastAsia="zh-CN"/>
        </w:rPr>
        <w:t>（二）评价结论</w:t>
      </w:r>
      <w:bookmarkEnd w:id="136"/>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同心县长征路（东兴街</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红军路）雨污分流项目实施内容符合</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自治区预算内统筹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项目实施单位资金支出较规范</w:t>
      </w:r>
      <w:r>
        <w:rPr>
          <w:rFonts w:hint="eastAsia" w:ascii="Times New Roman" w:hAnsi="Times New Roman" w:eastAsia="方正仿宋_GBK" w:cs="Times New Roman"/>
          <w:spacing w:val="0"/>
          <w:kern w:val="0"/>
          <w:sz w:val="30"/>
          <w:szCs w:val="30"/>
          <w:lang w:bidi="zh-CN"/>
        </w:rPr>
        <w:t>，资金的拨付经单位主管领导、财政局业务科室，</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37" w:name="_Toc14682"/>
      <w:bookmarkStart w:id="138" w:name="_Toc9214"/>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 85.5”分，评定等级为“良”。</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3"/>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22.5.00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23.00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auto"/>
                <w:sz w:val="22"/>
                <w:szCs w:val="22"/>
                <w:u w:val="none"/>
                <w:lang w:val="en-US" w:eastAsia="zh-CN"/>
              </w:rPr>
            </w:pPr>
            <w:r>
              <w:rPr>
                <w:rFonts w:hint="eastAsia" w:ascii="Times New Roman" w:hAnsi="Times New Roman" w:eastAsia="方正仿宋_GBK" w:cs="Times New Roman"/>
                <w:i w:val="0"/>
                <w:iCs w:val="0"/>
                <w:color w:val="auto"/>
                <w:sz w:val="22"/>
                <w:szCs w:val="22"/>
                <w:u w:val="none"/>
                <w:lang w:val="en-US" w:eastAsia="zh-CN"/>
              </w:rPr>
              <w:t>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66.18%</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88.46%</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85.5%</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color w:val="auto"/>
          <w:sz w:val="32"/>
          <w:szCs w:val="32"/>
          <w:lang w:val="en-US" w:eastAsia="zh-CN"/>
        </w:rPr>
      </w:pPr>
      <w:bookmarkStart w:id="139" w:name="_Toc30945"/>
      <w:r>
        <w:rPr>
          <w:rFonts w:hint="eastAsia" w:asciiTheme="majorEastAsia" w:hAnsiTheme="majorEastAsia" w:eastAsiaTheme="majorEastAsia" w:cstheme="majorEastAsia"/>
          <w:b/>
          <w:bCs/>
          <w:color w:val="auto"/>
          <w:sz w:val="32"/>
          <w:szCs w:val="32"/>
          <w:lang w:val="en-US" w:eastAsia="zh-CN"/>
        </w:rPr>
        <w:t>六、绩效评价指标分析</w:t>
      </w:r>
      <w:bookmarkEnd w:id="137"/>
      <w:bookmarkEnd w:id="138"/>
      <w:bookmarkEnd w:id="139"/>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40" w:name="_Toc10789"/>
      <w:bookmarkStart w:id="141" w:name="_Toc13089"/>
      <w:bookmarkStart w:id="142" w:name="_Toc13268"/>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40"/>
      <w:bookmarkEnd w:id="141"/>
      <w:r>
        <w:rPr>
          <w:rFonts w:hint="eastAsia" w:ascii="方正楷体_GBK" w:hAnsi="方正楷体_GBK" w:eastAsia="方正楷体_GBK" w:cs="方正楷体_GBK"/>
          <w:b/>
          <w:bCs w:val="0"/>
          <w:color w:val="auto"/>
          <w:sz w:val="30"/>
          <w:szCs w:val="30"/>
          <w:lang w:eastAsia="zh-CN"/>
        </w:rPr>
        <w:t>分析</w:t>
      </w:r>
      <w:bookmarkEnd w:id="142"/>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spacing w:val="1"/>
          <w:sz w:val="30"/>
          <w:szCs w:val="30"/>
          <w:lang w:val="en-US" w:eastAsia="zh-CN"/>
        </w:rPr>
        <w:t>本</w:t>
      </w:r>
      <w:r>
        <w:rPr>
          <w:rFonts w:hint="eastAsia" w:ascii="Times New Roman" w:hAnsi="Times New Roman" w:eastAsia="方正仿宋_GB2312" w:cs="Times New Roman"/>
          <w:kern w:val="2"/>
          <w:sz w:val="30"/>
          <w:szCs w:val="30"/>
          <w:lang w:val="en-US" w:eastAsia="zh-CN" w:bidi="ar-SA"/>
        </w:rPr>
        <w:t>项指标共设3个二级指标、6个三级指标，权重分值20分，不扣分，评价得分20.00 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widowControl/>
        <w:suppressLineNumbers w:val="0"/>
        <w:jc w:val="left"/>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2022年12月6日，同心县发展和改革局印发了《关于同心县长征路（东兴街～红军路）雨污分流项目初步设计的批复》（同发改审发〔2022〕376号）批复同心县长征路（东兴街～红军路）雨污分流项目立项，用以规范项目的具体实施。</w:t>
      </w:r>
    </w:p>
    <w:p>
      <w:pPr>
        <w:keepNext w:val="0"/>
        <w:keepLines w:val="0"/>
        <w:pageBreakBefore w:val="0"/>
        <w:widowControl w:val="0"/>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本项目符合加快城市更新改造的重要要求，</w:t>
      </w:r>
      <w:r>
        <w:rPr>
          <w:rFonts w:hint="default" w:ascii="Times New Roman" w:hAnsi="Times New Roman" w:eastAsia="方正仿宋_GB2312" w:cs="Times New Roman"/>
          <w:kern w:val="2"/>
          <w:sz w:val="30"/>
          <w:szCs w:val="30"/>
          <w:lang w:val="en-US" w:eastAsia="zh-CN" w:bidi="ar-SA"/>
        </w:rPr>
        <w:t>按照自治区党委</w:t>
      </w:r>
      <w:r>
        <w:rPr>
          <w:rFonts w:hint="eastAsia" w:ascii="Times New Roman" w:hAnsi="Times New Roman" w:eastAsia="方正仿宋_GB2312" w:cs="Times New Roman"/>
          <w:kern w:val="2"/>
          <w:sz w:val="30"/>
          <w:szCs w:val="30"/>
          <w:lang w:val="en-US" w:eastAsia="zh-CN" w:bidi="ar-SA"/>
        </w:rPr>
        <w:t>、省</w:t>
      </w:r>
      <w:r>
        <w:rPr>
          <w:rFonts w:hint="default" w:ascii="Times New Roman" w:hAnsi="Times New Roman" w:eastAsia="方正仿宋_GB2312" w:cs="Times New Roman"/>
          <w:kern w:val="2"/>
          <w:sz w:val="30"/>
          <w:szCs w:val="30"/>
          <w:lang w:val="en-US" w:eastAsia="zh-CN" w:bidi="ar-SA"/>
        </w:rPr>
        <w:t>政府及吴忠市委</w:t>
      </w:r>
      <w:r>
        <w:rPr>
          <w:rFonts w:hint="eastAsia" w:ascii="Times New Roman" w:hAnsi="Times New Roman" w:eastAsia="方正仿宋_GB2312" w:cs="Times New Roman"/>
          <w:kern w:val="2"/>
          <w:sz w:val="30"/>
          <w:szCs w:val="30"/>
          <w:lang w:val="en-US" w:eastAsia="zh-CN" w:bidi="ar-SA"/>
        </w:rPr>
        <w:t>、市</w:t>
      </w:r>
      <w:r>
        <w:rPr>
          <w:rFonts w:hint="default" w:ascii="Times New Roman" w:hAnsi="Times New Roman" w:eastAsia="方正仿宋_GB2312" w:cs="Times New Roman"/>
          <w:kern w:val="2"/>
          <w:sz w:val="30"/>
          <w:szCs w:val="30"/>
          <w:lang w:val="en-US" w:eastAsia="zh-CN" w:bidi="ar-SA"/>
        </w:rPr>
        <w:t>政府工作部署，全面提升城市功能与品质，不断提高城市综合承载能力，进一步推动城市高质量发展，加快推进黄河流域生态保护和高质量发展先行区示范市建设的要求。</w:t>
      </w:r>
      <w:r>
        <w:rPr>
          <w:rFonts w:hint="eastAsia" w:ascii="Times New Roman" w:hAnsi="Times New Roman" w:eastAsia="方正仿宋_GB2312" w:cs="Times New Roman"/>
          <w:kern w:val="2"/>
          <w:sz w:val="30"/>
          <w:szCs w:val="30"/>
          <w:lang w:val="en-US" w:eastAsia="zh-CN" w:bidi="ar-SA"/>
        </w:rPr>
        <w:t>从经济效益上看，项目可以达到收支平衡，财务上可行。从社会效益上看，做好长征路（东兴街－红军路）的基础设施建设工作，是改善卫生条件，提高公众健康水平，构建和谐社会，社会效益良好，所以项目是可行的。</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2312" w:cs="Times New Roman"/>
          <w:kern w:val="2"/>
          <w:sz w:val="30"/>
          <w:szCs w:val="30"/>
          <w:lang w:val="en-US" w:eastAsia="zh-CN" w:bidi="ar-SA"/>
        </w:rPr>
        <w:t>项目立项与住房和城乡建设局职责相符，项目立项符合同心县基础设施发展的要求，项目建设对于解决同心县长征路内涝的问题，加快推进同心县</w:t>
      </w:r>
      <w:r>
        <w:rPr>
          <w:rFonts w:hint="default" w:ascii="Times New Roman" w:hAnsi="Times New Roman" w:eastAsia="方正仿宋_GB2312" w:cs="Times New Roman"/>
          <w:kern w:val="2"/>
          <w:sz w:val="30"/>
          <w:szCs w:val="30"/>
          <w:lang w:val="en-US" w:eastAsia="zh-CN" w:bidi="ar-SA"/>
        </w:rPr>
        <w:t>区域居民卫生环境质量</w:t>
      </w:r>
      <w:r>
        <w:rPr>
          <w:rFonts w:hint="eastAsia" w:ascii="Times New Roman" w:hAnsi="Times New Roman" w:eastAsia="方正仿宋_GB2312" w:cs="Times New Roman"/>
          <w:kern w:val="2"/>
          <w:sz w:val="30"/>
          <w:szCs w:val="30"/>
          <w:lang w:val="en-US" w:eastAsia="zh-CN" w:bidi="ar-SA"/>
        </w:rPr>
        <w:t>具有重大而现实的意义；项目立项属于自治区预算内统筹资金支持范围。</w:t>
      </w:r>
      <w:r>
        <w:rPr>
          <w:rFonts w:hint="default" w:ascii="Times New Roman" w:hAnsi="Times New Roman" w:eastAsia="方正仿宋_GB2312" w:cs="Times New Roman"/>
          <w:kern w:val="2"/>
          <w:sz w:val="30"/>
          <w:szCs w:val="30"/>
          <w:lang w:val="en-US" w:eastAsia="zh-CN" w:bidi="ar-SA"/>
        </w:rPr>
        <w:t>该指标满分</w:t>
      </w:r>
      <w:r>
        <w:rPr>
          <w:rFonts w:hint="eastAsia" w:ascii="Times New Roman" w:hAnsi="Times New Roman" w:eastAsia="方正仿宋_GB2312" w:cs="Times New Roman"/>
          <w:kern w:val="2"/>
          <w:sz w:val="30"/>
          <w:szCs w:val="30"/>
          <w:lang w:val="en-US" w:eastAsia="zh-CN" w:bidi="ar-SA"/>
        </w:rPr>
        <w:t>4</w:t>
      </w:r>
      <w:r>
        <w:rPr>
          <w:rFonts w:hint="default" w:ascii="Times New Roman" w:hAnsi="Times New Roman" w:eastAsia="仿宋" w:cs="Times New Roman"/>
          <w:color w:val="000000"/>
          <w:kern w:val="0"/>
          <w:sz w:val="30"/>
          <w:szCs w:val="30"/>
          <w:lang w:val="en-US" w:eastAsia="zh-CN" w:bidi="ar"/>
        </w:rPr>
        <w:t>分，根据评分标准得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widowControl/>
        <w:suppressLineNumbers w:val="0"/>
        <w:jc w:val="left"/>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该项目按照规定的程序审批，立项程序规范，同心县发展和改革局印发了《关于同心县长征路（东兴街</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红军路）雨污分流项目初步设计的批复》（同发改审发〔2022〕376号），所提交的文件、材料符合相关要求，事前已经过必要的可行性研究等。该指标满分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3</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分，根据评分标准得</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3</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（1）绩效目标合理</w:t>
      </w:r>
      <w:r>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性</w:t>
      </w:r>
    </w:p>
    <w:p>
      <w:pPr>
        <w:keepNext w:val="0"/>
        <w:keepLines w:val="0"/>
        <w:widowControl/>
        <w:suppressLineNumbers w:val="0"/>
        <w:jc w:val="left"/>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根据</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《项目支出绩效评价管理办法》（财预〔2020〕10号）、《自治区党委 人民政府关于全面实施预算绩效管理的实施意见》（宁党发〔2019〕9号）</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以及结合项目特性，</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设定绩效目标，对预期产出数量的描述，对预期实现效果和财政资金政策意图体</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现。</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满分4分，得4分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（2）</w:t>
      </w:r>
      <w:r>
        <w:rPr>
          <w:rFonts w:hint="default" w:ascii="Times New Roman" w:hAnsi="Times New Roman" w:cs="Times New Roman"/>
          <w:b/>
          <w:bCs/>
          <w:spacing w:val="1"/>
          <w:sz w:val="30"/>
          <w:szCs w:val="30"/>
          <w:lang w:val="en-US" w:eastAsia="zh-CN"/>
        </w:rPr>
        <w:t>绩效</w:t>
      </w:r>
      <w:r>
        <w:rPr>
          <w:rFonts w:hint="eastAsia" w:ascii="Times New Roman" w:hAnsi="Times New Roman" w:cs="Times New Roman"/>
          <w:b/>
          <w:bCs/>
          <w:spacing w:val="1"/>
          <w:sz w:val="30"/>
          <w:szCs w:val="30"/>
          <w:lang w:val="en-US" w:eastAsia="zh-CN"/>
        </w:rPr>
        <w:t>指标</w:t>
      </w:r>
      <w:r>
        <w:rPr>
          <w:rFonts w:hint="default" w:ascii="Times New Roman" w:hAnsi="Times New Roman" w:cs="Times New Roman"/>
          <w:b/>
          <w:bCs/>
          <w:spacing w:val="1"/>
          <w:sz w:val="30"/>
          <w:szCs w:val="30"/>
          <w:lang w:val="en-US" w:eastAsia="zh-CN"/>
        </w:rPr>
        <w:t>明确性</w:t>
      </w:r>
    </w:p>
    <w:p>
      <w:pPr>
        <w:spacing w:before="0" w:line="560" w:lineRule="exact"/>
        <w:ind w:right="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实施单位评价范围内的项目结合工作内容设置年度绩效目标，同时细化产出指标、效益指标、可持续影响和满意度指标。根据评分细则，</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w:t>
      </w:r>
      <w:r>
        <w:rPr>
          <w:rFonts w:hint="eastAsia" w:ascii="Times New Roman" w:hAnsi="Times New Roman" w:eastAsia="方正仿宋_GBK" w:cs="Times New Roman"/>
          <w:spacing w:val="-6"/>
          <w:sz w:val="30"/>
          <w:szCs w:val="30"/>
          <w:lang w:val="en-US" w:eastAsia="zh-CN"/>
        </w:rPr>
        <w:t>满分3分，得3分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3.资金投入方面</w:t>
      </w:r>
    </w:p>
    <w:p>
      <w:pPr>
        <w:pStyle w:val="4"/>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43" w:name="_Toc5795"/>
      <w:bookmarkStart w:id="144" w:name="_Toc27381"/>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43"/>
      <w:bookmarkEnd w:id="144"/>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本项目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同心县住房和城乡建设局</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根据具体项目建设实施内容与规模、经济技术指标和相关定额标准及规范要求，经对投资概算进行测算后，结合</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推进</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实施重点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工作计划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预算编制科学合理，前期开展了调查研究，积累了部分基础数据资料，投资预算编制得到了有效论证，投资预算内容与项目内容基本相匹配；经立项申请批复的建设项目，实施单位委托有资质的单位编制了可研报告、建设方案及投资概算，投资概算按照定额标准并结合项目年度目标编制，概算额度测算依据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审定后下发了资金使用计划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测算依据充分，预算内容与项目实施内容一致。本项满分4分，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spacing w:before="0" w:line="560" w:lineRule="exact"/>
        <w:ind w:right="0"/>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widowControl/>
        <w:suppressLineNumbers w:val="0"/>
        <w:jc w:val="left"/>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项目实施符合</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w:t>
      </w:r>
      <w:r>
        <w:rPr>
          <w:rFonts w:hint="eastAsia" w:ascii="Times New Roman" w:hAnsi="Times New Roman" w:eastAsia="方正仿宋_GB2312" w:cs="Times New Roman"/>
          <w:kern w:val="2"/>
          <w:sz w:val="30"/>
          <w:szCs w:val="30"/>
          <w:lang w:val="en-US" w:eastAsia="zh-CN" w:bidi="ar-SA"/>
        </w:rPr>
        <w:t>发展改革委关于下达2022年自治区预算内统筹第一批投资计划的通知</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2312" w:cs="Times New Roman"/>
          <w:kern w:val="2"/>
          <w:sz w:val="30"/>
          <w:szCs w:val="30"/>
          <w:lang w:val="en-US" w:eastAsia="zh-CN" w:bidi="ar-SA"/>
        </w:rPr>
        <w:t>（宁发改投资</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722号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资金分配办法，资金采取因素法分配，资金分配合理、合规。</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2</w:t>
      </w:r>
      <w:r>
        <w:rPr>
          <w:rFonts w:hint="default" w:ascii="Times New Roman" w:hAnsi="Times New Roman" w:eastAsia="仿宋" w:cs="Times New Roman"/>
          <w:color w:val="000000"/>
          <w:kern w:val="0"/>
          <w:sz w:val="30"/>
          <w:szCs w:val="30"/>
          <w:lang w:val="en-US" w:eastAsia="zh-CN" w:bidi="ar"/>
        </w:rPr>
        <w:t>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lang w:val="en-US" w:eastAsia="zh-CN"/>
        </w:rPr>
      </w:pPr>
      <w:bookmarkStart w:id="145" w:name="_Toc11410"/>
      <w:r>
        <w:rPr>
          <w:rFonts w:hint="eastAsia" w:ascii="方正楷体_GBK" w:hAnsi="方正楷体_GBK" w:eastAsia="方正楷体_GBK" w:cs="方正楷体_GBK"/>
          <w:color w:val="auto"/>
          <w:sz w:val="30"/>
          <w:szCs w:val="30"/>
          <w:lang w:val="en-US" w:eastAsia="zh-CN"/>
        </w:rPr>
        <w:t>（二）项目过程</w:t>
      </w:r>
      <w:bookmarkEnd w:id="145"/>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spacing w:before="0" w:line="560" w:lineRule="exact"/>
        <w:ind w:right="0"/>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经绩效评价组现场资料查阅</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仿宋" w:cs="Times New Roman"/>
          <w:color w:val="000000"/>
          <w:kern w:val="0"/>
          <w:sz w:val="30"/>
          <w:szCs w:val="30"/>
          <w:lang w:val="en-US" w:eastAsia="zh-CN" w:bidi="ar"/>
        </w:rPr>
        <w:t>同心县长征路（东兴街</w:t>
      </w:r>
      <w:r>
        <w:rPr>
          <w:rFonts w:hint="eastAsia" w:ascii="Times New Roman" w:hAnsi="Times New Roman" w:cs="Times New Roman"/>
          <w:color w:val="000000"/>
          <w:kern w:val="0"/>
          <w:sz w:val="30"/>
          <w:szCs w:val="30"/>
          <w:lang w:val="en-US" w:eastAsia="zh-CN" w:bidi="ar"/>
        </w:rPr>
        <w:t>～</w:t>
      </w:r>
      <w:r>
        <w:rPr>
          <w:rFonts w:hint="default" w:ascii="Times New Roman" w:hAnsi="Times New Roman" w:eastAsia="仿宋" w:cs="Times New Roman"/>
          <w:color w:val="000000"/>
          <w:kern w:val="0"/>
          <w:sz w:val="30"/>
          <w:szCs w:val="30"/>
          <w:lang w:val="en-US" w:eastAsia="zh-CN" w:bidi="ar"/>
        </w:rPr>
        <w:t>红军路）雨污分流项目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预算安排自治区预算内统筹资金800.00.00万元，实际到位资金800.00.00万元，资金到位率为100</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项目绩效评价涉及预算资金为800.00.00万元，经绩效评价小组对各预算单位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，截止评价前，预算执行金额为：800.00.00万元 ，经计算预算执行率为：100%。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%得满分。否则</w:t>
      </w:r>
      <w:r>
        <w:rPr>
          <w:rFonts w:hint="default" w:ascii="仿宋" w:hAnsi="仿宋" w:eastAsia="仿宋" w:cs="仿宋"/>
          <w:spacing w:val="-7"/>
          <w:sz w:val="30"/>
          <w:szCs w:val="30"/>
          <w:lang w:val="en-US" w:eastAsia="zh-CN"/>
        </w:rPr>
        <w:t>本指标得分=资金执行率×分值。</w:t>
      </w:r>
      <w:r>
        <w:rPr>
          <w:rFonts w:ascii="仿宋" w:hAnsi="仿宋" w:eastAsia="仿宋" w:cs="仿宋"/>
          <w:spacing w:val="-7"/>
          <w:sz w:val="30"/>
          <w:szCs w:val="30"/>
        </w:rPr>
        <w:t xml:space="preserve">该指标满分 </w:t>
      </w:r>
      <w:r>
        <w:rPr>
          <w:rFonts w:hint="eastAsia" w:cs="仿宋"/>
          <w:spacing w:val="-7"/>
          <w:sz w:val="30"/>
          <w:szCs w:val="30"/>
          <w:lang w:val="en-US" w:eastAsia="zh-CN"/>
        </w:rPr>
        <w:t>4</w:t>
      </w:r>
      <w:r>
        <w:rPr>
          <w:rFonts w:ascii="仿宋" w:hAnsi="仿宋" w:eastAsia="仿宋" w:cs="仿宋"/>
          <w:spacing w:val="-7"/>
          <w:sz w:val="30"/>
          <w:szCs w:val="30"/>
        </w:rPr>
        <w:t xml:space="preserve"> 分，根据评分标准得</w:t>
      </w:r>
      <w:r>
        <w:rPr>
          <w:rFonts w:hint="eastAsia" w:ascii="Times New Roman" w:hAnsi="Times New Roman" w:cs="Times New Roman"/>
          <w:spacing w:val="-3"/>
          <w:sz w:val="30"/>
          <w:szCs w:val="30"/>
          <w:u w:val="none"/>
          <w:lang w:val="en-US" w:eastAsia="zh-CN" w:bidi="ar"/>
        </w:rPr>
        <w:t>4</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jc w:val="both"/>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val="en-US" w:bidi="zh-CN"/>
        </w:rPr>
        <w:t>同心县住房和城乡建设局实施的</w:t>
      </w:r>
      <w:r>
        <w:rPr>
          <w:rFonts w:hint="default" w:ascii="Times New Roman" w:hAnsi="Times New Roman" w:eastAsia="仿宋" w:cs="Times New Roman"/>
          <w:color w:val="000000"/>
          <w:kern w:val="0"/>
          <w:sz w:val="30"/>
          <w:szCs w:val="30"/>
          <w:lang w:val="en-US" w:eastAsia="zh-CN" w:bidi="ar"/>
        </w:rPr>
        <w:t>长征路（东兴街</w:t>
      </w:r>
      <w:r>
        <w:rPr>
          <w:rFonts w:hint="eastAsia" w:ascii="Times New Roman" w:hAnsi="Times New Roman" w:cs="Times New Roman"/>
          <w:color w:val="000000"/>
          <w:kern w:val="0"/>
          <w:sz w:val="30"/>
          <w:szCs w:val="30"/>
          <w:lang w:val="en-US" w:eastAsia="zh-CN" w:bidi="ar"/>
        </w:rPr>
        <w:t>～</w:t>
      </w:r>
      <w:r>
        <w:rPr>
          <w:rFonts w:hint="default" w:ascii="Times New Roman" w:hAnsi="Times New Roman" w:eastAsia="仿宋" w:cs="Times New Roman"/>
          <w:color w:val="000000"/>
          <w:kern w:val="0"/>
          <w:sz w:val="30"/>
          <w:szCs w:val="30"/>
          <w:lang w:val="en-US" w:eastAsia="zh-CN" w:bidi="ar"/>
        </w:rPr>
        <w:t>红军路）雨污分流项目</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仿宋"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该指标本项满分4分，</w:t>
      </w:r>
      <w:r>
        <w:rPr>
          <w:rFonts w:ascii="仿宋" w:hAnsi="仿宋" w:eastAsia="仿宋" w:cs="仿宋"/>
          <w:spacing w:val="-7"/>
          <w:sz w:val="30"/>
          <w:szCs w:val="30"/>
        </w:rPr>
        <w:t>根据评分标准得</w:t>
      </w:r>
      <w:r>
        <w:rPr>
          <w:rFonts w:hint="eastAsia" w:cs="仿宋"/>
          <w:spacing w:val="-7"/>
          <w:sz w:val="30"/>
          <w:szCs w:val="30"/>
          <w:lang w:val="en-US" w:eastAsia="zh-CN"/>
        </w:rPr>
        <w:t>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jc w:val="both"/>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suppressLineNumbers w:val="0"/>
        <w:kinsoku/>
        <w:wordWrap/>
        <w:topLinePunct w:val="0"/>
        <w:autoSpaceDE/>
        <w:autoSpaceDN/>
        <w:bidi w:val="0"/>
        <w:adjustRightInd/>
        <w:snapToGrid/>
        <w:jc w:val="both"/>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同心县住房和城乡建设局</w:t>
      </w:r>
      <w:r>
        <w:rPr>
          <w:rFonts w:hint="default" w:ascii="Times New Roman" w:hAnsi="Times New Roman" w:eastAsia="方正仿宋_GBK" w:cs="Times New Roman"/>
          <w:spacing w:val="0"/>
          <w:kern w:val="0"/>
          <w:sz w:val="30"/>
          <w:szCs w:val="30"/>
          <w:lang w:val="en-US" w:bidi="zh-CN"/>
        </w:rPr>
        <w:t>印发</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《财务管理制度》，其中包括预算管理、采购管理、结算管理、资产管理、财务管理等的具体管理办法，</w:t>
      </w:r>
      <w:r>
        <w:rPr>
          <w:rFonts w:hint="default" w:ascii="Times New Roman" w:hAnsi="Times New Roman" w:eastAsia="方正仿宋_GBK" w:cs="Times New Roman"/>
        </w:rPr>
        <w:t>并且</w:t>
      </w:r>
      <w:r>
        <w:rPr>
          <w:rFonts w:hint="default" w:ascii="Times New Roman" w:hAnsi="Times New Roman" w:eastAsia="方正仿宋_GBK" w:cs="Times New Roman"/>
          <w:spacing w:val="0"/>
          <w:kern w:val="0"/>
          <w:sz w:val="30"/>
          <w:szCs w:val="30"/>
          <w:lang w:val="en-US" w:eastAsia="zh-CN" w:bidi="zh-CN"/>
        </w:rPr>
        <w:t>遵照《中华人民共和国预算法</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财政部关于贯彻落实〈中共中央 国务院关于全面实施预算绩效管理的意见〉的通知》（财预〔2018〕167号）、《自治区党委 人民政府关于全面实施预算绩效管理的实施意见》（宁党发〔2019〕9号）等文件的规定，对项目实施进行监管，财务和业务管理制度合法、合规、完整。</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 同心县住房和城乡建设局在项目的实施过程中支出管理、预算管理遵守相关法律法规、相关管理规定和财务管理制度；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widowControl/>
        <w:suppressLineNumbers w:val="0"/>
        <w:jc w:val="left"/>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r>
        <w:rPr>
          <w:rFonts w:hint="eastAsia" w:ascii="Times New Roman" w:hAnsi="Times New Roman" w:eastAsia="方正仿宋_GBK" w:cs="Times New Roman"/>
          <w:color w:val="0000FF"/>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color w:val="auto"/>
          <w:sz w:val="30"/>
          <w:szCs w:val="30"/>
        </w:rPr>
      </w:pPr>
      <w:bookmarkStart w:id="146" w:name="_Toc1945"/>
      <w:bookmarkStart w:id="147" w:name="_Toc5614"/>
      <w:bookmarkStart w:id="148" w:name="_Toc18498"/>
      <w:r>
        <w:rPr>
          <w:rFonts w:hint="eastAsia" w:ascii="方正楷体_GBK" w:hAnsi="方正楷体_GBK" w:eastAsia="方正楷体_GBK" w:cs="方正楷体_GBK"/>
          <w:color w:val="auto"/>
          <w:spacing w:val="0"/>
          <w:sz w:val="30"/>
          <w:szCs w:val="30"/>
          <w:lang w:eastAsia="zh-CN"/>
        </w:rPr>
        <w:t>（三）</w:t>
      </w:r>
      <w:r>
        <w:rPr>
          <w:rFonts w:hint="eastAsia" w:ascii="方正楷体_GBK" w:hAnsi="方正楷体_GBK" w:eastAsia="方正楷体_GBK" w:cs="方正楷体_GBK"/>
          <w:color w:val="auto"/>
          <w:spacing w:val="0"/>
          <w:sz w:val="30"/>
          <w:szCs w:val="30"/>
        </w:rPr>
        <w:t>项目</w:t>
      </w:r>
      <w:r>
        <w:rPr>
          <w:rFonts w:hint="eastAsia" w:ascii="方正楷体_GBK" w:hAnsi="方正楷体_GBK" w:eastAsia="方正楷体_GBK" w:cs="方正楷体_GBK"/>
          <w:color w:val="auto"/>
          <w:spacing w:val="0"/>
          <w:sz w:val="30"/>
          <w:szCs w:val="30"/>
          <w:lang w:eastAsia="zh-CN"/>
        </w:rPr>
        <w:t>产出</w:t>
      </w:r>
      <w:r>
        <w:rPr>
          <w:rFonts w:hint="eastAsia" w:ascii="方正楷体_GBK" w:hAnsi="方正楷体_GBK" w:eastAsia="方正楷体_GBK" w:cs="方正楷体_GBK"/>
          <w:color w:val="auto"/>
          <w:spacing w:val="0"/>
          <w:sz w:val="30"/>
          <w:szCs w:val="30"/>
        </w:rPr>
        <w:t>情况</w:t>
      </w:r>
      <w:bookmarkEnd w:id="146"/>
      <w:bookmarkEnd w:id="147"/>
      <w:bookmarkEnd w:id="148"/>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本项指标共设4个二级指标、8个三级指标，权重分值34分，评价得分22.5分，得分率为66.18%。具体评价指标分析如下：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1.产出数量方面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2022年12月6日，同心县住房和城乡建设局印发</w:t>
      </w:r>
      <w:r>
        <w:rPr>
          <w:rFonts w:hint="eastAsia" w:ascii="Times New Roman" w:hAnsi="Times New Roman" w:eastAsia="方正仿宋_GB2312" w:cs="Times New Roman"/>
          <w:kern w:val="2"/>
          <w:sz w:val="30"/>
          <w:szCs w:val="30"/>
          <w:lang w:val="en-US" w:eastAsia="zh-CN" w:bidi="ar-SA"/>
        </w:rPr>
        <w:t>《关于同心县长征路（东兴街～红军路）雨污分流项目初步设计的批复》（同发改审发〔2022〕376号）</w:t>
      </w:r>
      <w:r>
        <w:rPr>
          <w:rFonts w:hint="eastAsia" w:ascii="Times New Roman" w:hAnsi="Times New Roman" w:eastAsia="方正仿宋_GBK" w:cs="Times New Roman"/>
          <w:spacing w:val="0"/>
          <w:kern w:val="0"/>
          <w:sz w:val="30"/>
          <w:szCs w:val="30"/>
          <w:lang w:val="en-US" w:eastAsia="zh-CN" w:bidi="zh-CN"/>
        </w:rPr>
        <w:t>号，批复项目予以立项；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2023年2月21日，经过公开招标的方式确定一标段</w:t>
      </w:r>
      <w:r>
        <w:rPr>
          <w:rFonts w:hint="eastAsia" w:ascii="Times New Roman" w:hAnsi="Times New Roman" w:eastAsia="方正仿宋_GBK" w:cs="Times New Roman"/>
          <w:b w:val="0"/>
          <w:color w:val="auto"/>
          <w:kern w:val="2"/>
          <w:sz w:val="30"/>
          <w:szCs w:val="30"/>
          <w:highlight w:val="none"/>
          <w:lang w:val="en-US" w:eastAsia="zh-CN" w:bidi="ar-SA"/>
        </w:rPr>
        <w:t>宁夏煜翔建设有限公司、二标段宁夏禹泽兴建设有限公司、三标段宁夏常博建设工程有限公司、四标段宁夏新彩工程建设有限公司、五标段宁夏五环建设咨询监理有限公司</w:t>
      </w:r>
      <w:r>
        <w:rPr>
          <w:rFonts w:hint="eastAsia" w:ascii="Times New Roman" w:hAnsi="Times New Roman" w:eastAsia="方正仿宋_GBK" w:cs="Times New Roman"/>
          <w:spacing w:val="0"/>
          <w:kern w:val="0"/>
          <w:sz w:val="30"/>
          <w:szCs w:val="30"/>
          <w:lang w:val="en-US" w:eastAsia="zh-CN" w:bidi="zh-CN"/>
        </w:rPr>
        <w:t>为项目中标单位。</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截至评价时段，一标段、四标段完成验收工作，按既定内容完成工作，完成率50%。</w:t>
      </w:r>
      <w:r>
        <w:rPr>
          <w:rFonts w:hint="eastAsia" w:ascii="Times New Roman" w:hAnsi="Times New Roman" w:eastAsia="方正仿宋_GBK" w:cs="Times New Roman"/>
          <w:sz w:val="30"/>
          <w:szCs w:val="30"/>
          <w:lang w:val="en-US" w:eastAsia="zh-CN"/>
        </w:rPr>
        <w:t>该指标本项满分 8分，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color w:val="auto"/>
          <w:spacing w:val="-6"/>
          <w:sz w:val="30"/>
          <w:szCs w:val="30"/>
          <w:lang w:val="en-US" w:eastAsia="zh-CN"/>
        </w:rPr>
      </w:pPr>
      <w:r>
        <w:rPr>
          <w:rFonts w:hint="eastAsia" w:ascii="Times New Roman" w:hAnsi="Times New Roman" w:eastAsia="方正仿宋_GBK" w:cs="Times New Roman"/>
          <w:b/>
          <w:bCs/>
          <w:color w:val="auto"/>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5</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截至评价时段，项目第一标段、第四标段工程验收，验收结果合格，达到设计标准和质量要求，并在完工后投入使用，第二标段、第三标段未完成验收。该指标本项满分5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2.5分。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val="0"/>
        <w:keepLines w:val="0"/>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9" w:name="_Toc4341"/>
      <w:bookmarkStart w:id="150" w:name="_Toc25249"/>
      <w:bookmarkStart w:id="151" w:name="_Toc13818"/>
      <w:bookmarkStart w:id="152" w:name="_Toc26033"/>
      <w:r>
        <w:rPr>
          <w:rFonts w:hint="default" w:ascii="Times New Roman" w:hAnsi="Times New Roman" w:cs="Times New Roman"/>
          <w:lang w:val="en-US" w:eastAsia="zh-CN"/>
        </w:rPr>
        <w:t>（1）资金到位及时率</w:t>
      </w:r>
      <w:bookmarkEnd w:id="149"/>
      <w:bookmarkEnd w:id="150"/>
      <w:bookmarkEnd w:id="151"/>
      <w:bookmarkEnd w:id="152"/>
    </w:p>
    <w:p>
      <w:pPr>
        <w:keepNext w:val="0"/>
        <w:keepLines w:val="0"/>
        <w:pageBreakBefore w:val="0"/>
        <w:widowControl w:val="0"/>
        <w:suppressLineNumbers w:val="0"/>
        <w:kinsoku/>
        <w:wordWrap/>
        <w:overflowPunct w:val="0"/>
        <w:topLinePunct w:val="0"/>
        <w:autoSpaceDE/>
        <w:autoSpaceDN/>
        <w:bidi w:val="0"/>
        <w:adjustRightInd/>
        <w:snapToGrid/>
        <w:jc w:val="left"/>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通过对同心县长征路（东兴街</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红军路）雨污分流项目资金使用计划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53" w:name="_Toc21408"/>
      <w:bookmarkStart w:id="154" w:name="_Toc2959"/>
      <w:bookmarkStart w:id="155" w:name="_Toc20371"/>
      <w:bookmarkStart w:id="156" w:name="_Toc19549"/>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53"/>
      <w:bookmarkEnd w:id="154"/>
      <w:bookmarkEnd w:id="155"/>
      <w:bookmarkEnd w:id="156"/>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经现场资料审核，项目合同约定工期202</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年</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9</w:t>
      </w:r>
      <w:r>
        <w:rPr>
          <w:rFonts w:hint="default" w:ascii="Times New Roman" w:hAnsi="Times New Roman" w:eastAsia="方正仿宋_GBK" w:cs="Times New Roman"/>
          <w:spacing w:val="0"/>
          <w:kern w:val="0"/>
          <w:sz w:val="30"/>
          <w:szCs w:val="30"/>
          <w:lang w:val="en-US" w:eastAsia="zh-CN" w:bidi="zh-CN"/>
        </w:rPr>
        <w:t>日—</w:t>
      </w:r>
      <w:r>
        <w:rPr>
          <w:rFonts w:hint="eastAsia" w:ascii="Times New Roman" w:hAnsi="Times New Roman" w:eastAsia="方正仿宋_GBK" w:cs="Times New Roman"/>
          <w:spacing w:val="0"/>
          <w:kern w:val="0"/>
          <w:sz w:val="30"/>
          <w:szCs w:val="30"/>
          <w:lang w:val="en-US" w:eastAsia="zh-CN" w:bidi="zh-CN"/>
        </w:rPr>
        <w:t>2023年9</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日，工</w:t>
      </w:r>
      <w:r>
        <w:rPr>
          <w:rFonts w:hint="default" w:ascii="Times New Roman" w:hAnsi="Times New Roman" w:eastAsia="方正仿宋_GBK" w:cs="Times New Roman"/>
          <w:color w:val="auto"/>
          <w:spacing w:val="0"/>
          <w:kern w:val="0"/>
          <w:sz w:val="30"/>
          <w:szCs w:val="30"/>
          <w:lang w:val="en-US" w:eastAsia="zh-CN" w:bidi="zh-CN"/>
        </w:rPr>
        <w:t>期总天数为</w:t>
      </w:r>
      <w:r>
        <w:rPr>
          <w:rFonts w:hint="eastAsia" w:ascii="Times New Roman" w:hAnsi="Times New Roman" w:eastAsia="方正仿宋_GBK" w:cs="Times New Roman"/>
          <w:color w:val="auto"/>
          <w:spacing w:val="0"/>
          <w:kern w:val="0"/>
          <w:sz w:val="30"/>
          <w:szCs w:val="30"/>
          <w:lang w:val="en-US" w:eastAsia="zh-CN" w:bidi="zh-CN"/>
        </w:rPr>
        <w:t>180</w:t>
      </w:r>
      <w:r>
        <w:rPr>
          <w:rFonts w:hint="default" w:ascii="Times New Roman" w:hAnsi="Times New Roman" w:eastAsia="方正仿宋_GBK" w:cs="Times New Roman"/>
          <w:color w:val="auto"/>
          <w:spacing w:val="0"/>
          <w:kern w:val="0"/>
          <w:sz w:val="30"/>
          <w:szCs w:val="30"/>
          <w:lang w:val="en-US" w:eastAsia="zh-CN" w:bidi="zh-CN"/>
        </w:rPr>
        <w:t>天，项目实际开完工时间</w:t>
      </w:r>
      <w:r>
        <w:rPr>
          <w:rFonts w:hint="eastAsia" w:ascii="Times New Roman" w:hAnsi="Times New Roman" w:eastAsia="方正仿宋_GBK" w:cs="Times New Roman"/>
          <w:color w:val="auto"/>
          <w:spacing w:val="0"/>
          <w:kern w:val="0"/>
          <w:sz w:val="30"/>
          <w:szCs w:val="30"/>
          <w:lang w:val="en-US" w:eastAsia="zh-CN" w:bidi="zh-CN"/>
        </w:rPr>
        <w:t>2023年3</w:t>
      </w:r>
      <w:r>
        <w:rPr>
          <w:rFonts w:hint="default" w:ascii="Times New Roman" w:hAnsi="Times New Roman" w:eastAsia="方正仿宋_GBK" w:cs="Times New Roman"/>
          <w:color w:val="auto"/>
          <w:spacing w:val="0"/>
          <w:kern w:val="0"/>
          <w:sz w:val="30"/>
          <w:szCs w:val="30"/>
          <w:lang w:val="en-US" w:eastAsia="zh-CN" w:bidi="zh-CN"/>
        </w:rPr>
        <w:t>月</w:t>
      </w:r>
      <w:r>
        <w:rPr>
          <w:rFonts w:hint="eastAsia" w:ascii="Times New Roman" w:hAnsi="Times New Roman" w:eastAsia="方正仿宋_GBK" w:cs="Times New Roman"/>
          <w:color w:val="auto"/>
          <w:spacing w:val="0"/>
          <w:kern w:val="0"/>
          <w:sz w:val="30"/>
          <w:szCs w:val="30"/>
          <w:lang w:val="en-US" w:eastAsia="zh-CN" w:bidi="zh-CN"/>
        </w:rPr>
        <w:t>21</w:t>
      </w:r>
      <w:r>
        <w:rPr>
          <w:rFonts w:hint="default" w:ascii="Times New Roman" w:hAnsi="Times New Roman" w:eastAsia="方正仿宋_GBK" w:cs="Times New Roman"/>
          <w:color w:val="auto"/>
          <w:spacing w:val="0"/>
          <w:kern w:val="0"/>
          <w:sz w:val="30"/>
          <w:szCs w:val="30"/>
          <w:lang w:val="en-US" w:eastAsia="zh-CN" w:bidi="zh-CN"/>
        </w:rPr>
        <w:t>日</w:t>
      </w:r>
      <w:r>
        <w:rPr>
          <w:rFonts w:hint="default" w:ascii="Times New Roman" w:hAnsi="Times New Roman" w:eastAsia="方正仿宋_GBK" w:cs="Times New Roman"/>
          <w:spacing w:val="0"/>
          <w:kern w:val="0"/>
          <w:sz w:val="30"/>
          <w:szCs w:val="30"/>
          <w:lang w:val="en-US" w:eastAsia="zh-CN" w:bidi="zh-CN"/>
        </w:rPr>
        <w:t>未严格按照合同约定履行工期。该指标本项满分3分，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0</w:t>
      </w:r>
      <w:r>
        <w:rPr>
          <w:rFonts w:hint="default" w:ascii="Times New Roman" w:hAnsi="Times New Roman" w:eastAsia="仿宋" w:cs="Times New Roman"/>
          <w:color w:val="000000"/>
          <w:kern w:val="0"/>
          <w:sz w:val="30"/>
          <w:szCs w:val="30"/>
          <w:lang w:val="en-US" w:eastAsia="zh-CN" w:bidi="ar"/>
        </w:rPr>
        <w:t>分</w:t>
      </w:r>
      <w:r>
        <w:rPr>
          <w:rFonts w:hint="default" w:ascii="Times New Roman" w:hAnsi="Times New Roman" w:eastAsia="方正仿宋_GBK" w:cs="Times New Roman"/>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57" w:name="_Toc30038"/>
      <w:bookmarkStart w:id="158" w:name="_Toc13913"/>
      <w:bookmarkStart w:id="159" w:name="_Toc20574"/>
      <w:bookmarkStart w:id="160" w:name="_Toc4766"/>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57"/>
      <w:bookmarkEnd w:id="158"/>
      <w:bookmarkEnd w:id="159"/>
      <w:bookmarkEnd w:id="160"/>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w:t>
      </w:r>
      <w:r>
        <w:rPr>
          <w:rFonts w:hint="eastAsia" w:ascii="Times New Roman" w:hAnsi="Times New Roman" w:eastAsia="方正仿宋_GBK" w:cs="Times New Roman"/>
          <w:spacing w:val="0"/>
          <w:kern w:val="0"/>
          <w:sz w:val="30"/>
          <w:szCs w:val="30"/>
          <w:lang w:val="en-US" w:eastAsia="zh-CN" w:bidi="zh-CN"/>
        </w:rPr>
        <w:t>未</w:t>
      </w:r>
      <w:r>
        <w:rPr>
          <w:rFonts w:hint="default" w:ascii="Times New Roman" w:hAnsi="Times New Roman" w:eastAsia="方正仿宋_GBK" w:cs="Times New Roman"/>
          <w:spacing w:val="0"/>
          <w:kern w:val="0"/>
          <w:sz w:val="30"/>
          <w:szCs w:val="30"/>
          <w:lang w:val="en-US" w:eastAsia="zh-CN" w:bidi="zh-CN"/>
        </w:rPr>
        <w:t>按期完成结算审核并报审，结算审核</w:t>
      </w:r>
      <w:r>
        <w:rPr>
          <w:rFonts w:hint="eastAsia" w:ascii="Times New Roman" w:hAnsi="Times New Roman" w:eastAsia="方正仿宋_GBK" w:cs="Times New Roman"/>
          <w:spacing w:val="0"/>
          <w:kern w:val="0"/>
          <w:sz w:val="30"/>
          <w:szCs w:val="30"/>
          <w:lang w:val="en-US" w:eastAsia="zh-CN" w:bidi="zh-CN"/>
        </w:rPr>
        <w:t>较为滞后</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61" w:name="_Toc15238"/>
      <w:bookmarkStart w:id="162" w:name="_Toc29908"/>
      <w:bookmarkStart w:id="163" w:name="_Toc26427"/>
      <w:bookmarkStart w:id="164" w:name="_Toc9592"/>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61"/>
      <w:bookmarkEnd w:id="162"/>
      <w:bookmarkEnd w:id="163"/>
      <w:bookmarkEnd w:id="16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color w:val="FF0000"/>
          <w:spacing w:val="-6"/>
          <w:sz w:val="30"/>
          <w:szCs w:val="30"/>
          <w:lang w:val="en-US" w:eastAsia="zh-CN"/>
        </w:rPr>
      </w:pPr>
      <w:r>
        <w:rPr>
          <w:rFonts w:hint="eastAsia" w:ascii="Times New Roman" w:hAnsi="Times New Roman" w:eastAsia="方正仿宋_GBK" w:cs="Times New Roman"/>
          <w:b/>
          <w:bCs/>
          <w:color w:val="auto"/>
          <w:spacing w:val="-6"/>
          <w:sz w:val="30"/>
          <w:szCs w:val="30"/>
          <w:lang w:val="en-US" w:eastAsia="zh-CN"/>
        </w:rPr>
        <w:t>4.产出成本方面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3076万元、中标合同价总额2318.86万元。从施工单位提交的中标通知书结果来看，本项目建设投资成本总额控制在初步设计批复总额以内。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65" w:name="_Toc17947"/>
      <w:bookmarkStart w:id="166" w:name="_Toc11356"/>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65"/>
      <w:bookmarkEnd w:id="166"/>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spacing w:line="560" w:lineRule="exact"/>
        <w:ind w:left="0" w:right="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本项指标共设3个二级指标、4个三级指标，权重分值26分，评价得分23分，得分率为88.46%。具体评价指标分析如下：</w:t>
      </w:r>
    </w:p>
    <w:p>
      <w:pPr>
        <w:pStyle w:val="4"/>
        <w:pageBreakBefore w:val="0"/>
        <w:kinsoku/>
        <w:wordWrap/>
        <w:topLinePunct w:val="0"/>
        <w:autoSpaceDE/>
        <w:autoSpaceDN/>
        <w:bidi w:val="0"/>
        <w:adjustRightInd/>
        <w:spacing w:beforeLines="0" w:afterLines="0" w:line="560" w:lineRule="exact"/>
        <w:ind w:left="0" w:right="0"/>
        <w:textAlignment w:val="auto"/>
        <w:rPr>
          <w:rFonts w:hint="eastAsia" w:ascii="Times New Roman" w:hAnsi="Times New Roman" w:eastAsia="楷体" w:cs="Times New Roman"/>
          <w:b/>
          <w:kern w:val="2"/>
          <w:sz w:val="32"/>
          <w:szCs w:val="32"/>
          <w:lang w:val="en-US" w:eastAsia="zh-CN" w:bidi="ar-SA"/>
        </w:rPr>
      </w:pPr>
      <w:bookmarkStart w:id="167" w:name="_Toc19646"/>
      <w:bookmarkStart w:id="168" w:name="_Toc19818"/>
      <w:bookmarkStart w:id="169" w:name="_Toc12708"/>
      <w:bookmarkStart w:id="170" w:name="_Toc2746"/>
      <w:r>
        <w:rPr>
          <w:rFonts w:hint="eastAsia" w:ascii="Times New Roman" w:hAnsi="Times New Roman" w:eastAsia="楷体" w:cs="Times New Roman"/>
          <w:b/>
          <w:kern w:val="2"/>
          <w:sz w:val="32"/>
          <w:szCs w:val="32"/>
          <w:lang w:val="en-US" w:eastAsia="zh-CN" w:bidi="ar-SA"/>
        </w:rPr>
        <w:t>（1）</w:t>
      </w:r>
      <w:bookmarkEnd w:id="167"/>
      <w:bookmarkEnd w:id="168"/>
      <w:bookmarkEnd w:id="169"/>
      <w:r>
        <w:rPr>
          <w:rFonts w:hint="eastAsia" w:ascii="Times New Roman" w:hAnsi="Times New Roman" w:cs="Times New Roman"/>
          <w:b/>
          <w:kern w:val="2"/>
          <w:sz w:val="32"/>
          <w:szCs w:val="32"/>
          <w:lang w:val="en-US" w:eastAsia="zh-CN" w:bidi="ar-SA"/>
        </w:rPr>
        <w:t>解决</w:t>
      </w:r>
      <w:r>
        <w:rPr>
          <w:rFonts w:hint="eastAsia" w:ascii="Times New Roman" w:hAnsi="Times New Roman" w:eastAsia="楷体" w:cs="Times New Roman"/>
          <w:b/>
          <w:kern w:val="2"/>
          <w:sz w:val="32"/>
          <w:szCs w:val="32"/>
          <w:lang w:val="en-US" w:eastAsia="zh-CN" w:bidi="ar-SA"/>
        </w:rPr>
        <w:t>长征路内涝问题</w:t>
      </w:r>
      <w:bookmarkEnd w:id="170"/>
    </w:p>
    <w:p>
      <w:pPr>
        <w:pStyle w:val="9"/>
        <w:keepNext w:val="0"/>
        <w:keepLines w:val="0"/>
        <w:pageBreakBefore w:val="0"/>
        <w:widowControl w:val="0"/>
        <w:kinsoku/>
        <w:wordWrap/>
        <w:overflowPunct/>
        <w:topLinePunct w:val="0"/>
        <w:autoSpaceDE/>
        <w:autoSpaceDN/>
        <w:bidi w:val="0"/>
        <w:adjustRightInd/>
        <w:snapToGrid w:val="0"/>
        <w:spacing w:line="560" w:lineRule="exact"/>
        <w:ind w:left="0" w:right="0" w:firstLine="596" w:firstLineChars="200"/>
        <w:jc w:val="both"/>
        <w:textAlignment w:val="auto"/>
        <w:rPr>
          <w:rFonts w:hint="eastAsia" w:ascii="Times New Roman" w:hAnsi="Times New Roman" w:eastAsia="方正仿宋_GBK" w:cs="Times New Roman"/>
          <w:spacing w:val="1"/>
          <w:kern w:val="2"/>
          <w:sz w:val="30"/>
          <w:szCs w:val="30"/>
          <w:lang w:val="en-US" w:eastAsia="zh-CN" w:bidi="ar-SA"/>
        </w:rPr>
      </w:pPr>
      <w:r>
        <w:rPr>
          <w:rFonts w:hint="eastAsia" w:ascii="Times New Roman" w:hAnsi="Times New Roman" w:eastAsia="方正仿宋_GBK" w:cs="Times New Roman"/>
          <w:spacing w:val="1"/>
          <w:kern w:val="2"/>
          <w:sz w:val="30"/>
          <w:szCs w:val="30"/>
          <w:lang w:val="en-US" w:eastAsia="zh-CN" w:bidi="ar-SA"/>
        </w:rPr>
        <w:t>解决路面内涝问题是重大民生工程和发展工程，对满足人民群众美好生活需要、推进城市更新和开发建设方式转型、促进经济高质量发展具有十分重要的意义。</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0" w:leftChars="0" w:right="0" w:firstLine="596"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该项目按照同心县政府投资项目管理办法） 的要求，对长征路（东兴街－红军路）雨水管网工程、附属设施工程、道路破除及恢复工程进行改造，并优化排水管网系统，有效缓解长征路路面积水，雨水排不出去现象出现，减少污水的无组织排放，改善了生态环境，改善了同心县城市基础设施建设，极大地改善区域内人们的生活环境，逐步提升居民的幸福感。</w:t>
      </w:r>
    </w:p>
    <w:p>
      <w:pPr>
        <w:keepNext w:val="0"/>
        <w:keepLines w:val="0"/>
        <w:pageBreakBefore w:val="0"/>
        <w:widowControl/>
        <w:suppressLineNumbers w:val="0"/>
        <w:kinsoku/>
        <w:wordWrap/>
        <w:overflowPunct w:val="0"/>
        <w:topLinePunct w:val="0"/>
        <w:autoSpaceDE/>
        <w:autoSpaceDN/>
        <w:bidi w:val="0"/>
        <w:adjustRightInd/>
        <w:snapToGrid/>
        <w:ind w:left="0" w:leftChars="0" w:firstLine="596"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综上所述，本次改造使长征路（东兴街－红军路）居民的生活环境和人居环境舒适度普遍提高，并极大提高了居住社区的和谐程度。从完成改造情况看，达到了整洁干净、亮化美化的要求，较好地融入了海绵城市格局，不仅增强了城市的吸引力和辐射力，实现了保值增值，而且也为展示城市形象锦上添花，居民普遍反映良好。</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10</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10</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bookmarkStart w:id="171" w:name="_Toc11426"/>
      <w:bookmarkStart w:id="172" w:name="_Toc26089"/>
      <w:r>
        <w:rPr>
          <w:rFonts w:hint="eastAsia" w:ascii="Times New Roman" w:hAnsi="Times New Roman" w:eastAsia="方正仿宋_GBK" w:cs="Times New Roman"/>
          <w:b/>
          <w:bCs/>
          <w:spacing w:val="-6"/>
          <w:sz w:val="30"/>
          <w:szCs w:val="30"/>
          <w:lang w:val="en-US" w:eastAsia="zh-CN"/>
        </w:rPr>
        <w:t>2.可持续影响性</w:t>
      </w:r>
      <w:bookmarkEnd w:id="171"/>
      <w:bookmarkEnd w:id="17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楷体" w:cs="Times New Roman"/>
          <w:b/>
          <w:kern w:val="2"/>
          <w:sz w:val="30"/>
          <w:szCs w:val="30"/>
          <w:lang w:val="en-US" w:eastAsia="zh-CN" w:bidi="ar-SA"/>
        </w:rPr>
      </w:pPr>
      <w:r>
        <w:rPr>
          <w:rFonts w:hint="eastAsia" w:ascii="Times New Roman" w:hAnsi="Times New Roman" w:eastAsia="楷体" w:cs="Times New Roman"/>
          <w:b/>
          <w:kern w:val="2"/>
          <w:sz w:val="30"/>
          <w:szCs w:val="30"/>
          <w:lang w:val="en-US" w:eastAsia="zh-CN" w:bidi="ar-SA"/>
        </w:rPr>
        <w:t>（1）</w:t>
      </w:r>
      <w:r>
        <w:rPr>
          <w:rFonts w:hint="eastAsia" w:ascii="仿宋" w:hAnsi="仿宋" w:eastAsia="仿宋" w:cs="仿宋"/>
          <w:b/>
          <w:bCs/>
          <w:color w:val="000000" w:themeColor="text1"/>
          <w:kern w:val="2"/>
          <w:sz w:val="32"/>
          <w:szCs w:val="32"/>
          <w:lang w:val="en-US" w:eastAsia="zh-CN" w:bidi="ar-SA"/>
          <w14:textFill>
            <w14:solidFill>
              <w14:schemeClr w14:val="tx1"/>
            </w14:solidFill>
          </w14:textFill>
        </w:rPr>
        <w:t>长效机制健全性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①是否建立或具备长期维护机制、方案；②是否明确养护责任部门、配备维护管理人员；③养护维护支持经费来源是否有保障。项目在竣工后未定制细化可操作执行的维护方案。</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分，根据评分标准</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（2）档案资料完备性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项目经验收投入使用后，项目实施单位的档案管理人员同工程项目管理人员，按照相关规定对建筑工程中的所有文件进行全面审核检查，竣工材料真实、较完善，全面符合档案归档的要求。并且应该积极严格地贯彻相关规定，将竣工档案验收作为整个工程验收的关键环节，保证工程建筑档案资料的完整准确。</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73" w:name="_Toc9957"/>
      <w:bookmarkStart w:id="174" w:name="_Toc16497"/>
      <w:bookmarkStart w:id="175" w:name="_Toc17841"/>
      <w:bookmarkStart w:id="176" w:name="_Toc3765"/>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73"/>
      <w:bookmarkEnd w:id="174"/>
      <w:bookmarkEnd w:id="175"/>
      <w:bookmarkEnd w:id="176"/>
    </w:p>
    <w:p>
      <w:pPr>
        <w:keepNext w:val="0"/>
        <w:keepLines w:val="0"/>
        <w:pageBreakBefore w:val="0"/>
        <w:widowControl w:val="0"/>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我们通过发放调查问卷的方式，对项目实施地区人员进行了满意度调查，调查问卷内容包括项目建设情况、项目设计、历史要素、人文环境等方面。经统计，项目整体的</w:t>
      </w:r>
      <w:r>
        <w:rPr>
          <w:rFonts w:hint="default" w:ascii="Times New Roman" w:hAnsi="Times New Roman" w:eastAsia="方正仿宋_GBK" w:cs="Times New Roman"/>
          <w:spacing w:val="0"/>
          <w:kern w:val="0"/>
          <w:sz w:val="30"/>
          <w:szCs w:val="30"/>
          <w:lang w:val="en-US" w:eastAsia="zh-CN" w:bidi="zh-CN"/>
        </w:rPr>
        <w:t>满意度≥90分。该指标本项满分10分，根据评分标准得10分。</w:t>
      </w:r>
    </w:p>
    <w:p>
      <w:pPr>
        <w:pStyle w:val="3"/>
        <w:keepNext w:val="0"/>
        <w:keepLines w:val="0"/>
        <w:pageBreakBefore w:val="0"/>
        <w:widowControl w:val="0"/>
        <w:kinsoku/>
        <w:wordWrap/>
        <w:topLinePunct w:val="0"/>
        <w:autoSpaceDE/>
        <w:autoSpaceDN/>
        <w:bidi w:val="0"/>
        <w:ind w:firstLine="592" w:firstLineChars="200"/>
        <w:textAlignment w:val="auto"/>
        <w:rPr>
          <w:rFonts w:hint="eastAsia" w:asciiTheme="majorEastAsia" w:hAnsiTheme="majorEastAsia" w:eastAsiaTheme="majorEastAsia" w:cstheme="majorEastAsia"/>
          <w:b/>
          <w:bCs/>
          <w:sz w:val="30"/>
          <w:szCs w:val="30"/>
        </w:rPr>
      </w:pPr>
      <w:bookmarkStart w:id="177" w:name="_Toc9156"/>
      <w:bookmarkStart w:id="178" w:name="_Toc1561"/>
      <w:bookmarkStart w:id="179" w:name="_Toc31782"/>
      <w:r>
        <w:rPr>
          <w:rFonts w:hint="eastAsia" w:asciiTheme="majorEastAsia" w:hAnsiTheme="majorEastAsia" w:eastAsiaTheme="majorEastAsia" w:cstheme="majorEastAsia"/>
          <w:b/>
          <w:bCs/>
          <w:sz w:val="30"/>
          <w:szCs w:val="30"/>
          <w:lang w:val="en-US" w:eastAsia="zh-CN"/>
        </w:rPr>
        <w:t>七</w:t>
      </w:r>
      <w:r>
        <w:rPr>
          <w:rFonts w:hint="eastAsia" w:asciiTheme="majorEastAsia" w:hAnsiTheme="majorEastAsia" w:eastAsiaTheme="majorEastAsia" w:cstheme="majorEastAsia"/>
          <w:b/>
          <w:bCs/>
          <w:sz w:val="30"/>
          <w:szCs w:val="30"/>
        </w:rPr>
        <w:t>、主要经验做法、存在问题及建议</w:t>
      </w:r>
      <w:bookmarkEnd w:id="177"/>
      <w:bookmarkEnd w:id="178"/>
      <w:bookmarkEnd w:id="179"/>
    </w:p>
    <w:p>
      <w:pPr>
        <w:pStyle w:val="4"/>
        <w:keepNext w:val="0"/>
        <w:keepLines w:val="0"/>
        <w:pageBreakBefore w:val="0"/>
        <w:widowControl w:val="0"/>
        <w:kinsoku/>
        <w:wordWrap/>
        <w:topLinePunct w:val="0"/>
        <w:autoSpaceDE/>
        <w:autoSpaceDN/>
        <w:bidi w:val="0"/>
        <w:ind w:firstLine="562"/>
        <w:textAlignment w:val="auto"/>
        <w:rPr>
          <w:rFonts w:ascii="方正楷体_GBK" w:hAnsi="方正楷体_GBK" w:eastAsia="方正楷体_GBK" w:cs="方正楷体_GBK"/>
          <w:b/>
          <w:bCs w:val="0"/>
          <w:sz w:val="32"/>
          <w:szCs w:val="32"/>
        </w:rPr>
      </w:pPr>
      <w:bookmarkStart w:id="180" w:name="_Toc4904"/>
      <w:bookmarkStart w:id="181" w:name="_Toc19800"/>
      <w:bookmarkStart w:id="182" w:name="_Toc26899"/>
      <w:r>
        <w:rPr>
          <w:rFonts w:hint="eastAsia" w:ascii="方正楷体_GBK" w:hAnsi="方正楷体_GBK" w:eastAsia="方正楷体_GBK" w:cs="方正楷体_GBK"/>
          <w:b/>
          <w:bCs w:val="0"/>
          <w:sz w:val="32"/>
          <w:szCs w:val="32"/>
        </w:rPr>
        <w:t>（一）经验做法</w:t>
      </w:r>
      <w:bookmarkEnd w:id="180"/>
      <w:bookmarkEnd w:id="181"/>
      <w:bookmarkEnd w:id="182"/>
    </w:p>
    <w:p>
      <w:pPr>
        <w:keepNext w:val="0"/>
        <w:keepLines w:val="0"/>
        <w:pageBreakBefore w:val="0"/>
        <w:widowControl w:val="0"/>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本次绩效评价，通过现场资料收集、实地调查和现场访谈，总结了同心县长征路（东兴街</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红军路）雨污分流项目实施方面取得了一定的成就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val="0"/>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全面推行工程项目法人制、合同制、招标制和质量终身制，严格按照工程设计要求和施工标准进行施工，并聘请工程监理现场监督，发现问题，及时纠正，确保工程进度和质量；</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不断推动进展情况定期调度和督查通报机制；</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组织监理公司和施工公司定期召开工地例会，针对工程质量、安全进度方面进行沟通，对存在的问题各方进行商讨解决，落实质量，严抓工程质量关，保证施工进度，努力创建标准化工地；</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立足现场，通过经常性的监督以保证整个项目和各工程活动按照计划和合同有效地实施，达到预定的目标。</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五是</w:t>
      </w:r>
      <w:r>
        <w:rPr>
          <w:rFonts w:hint="eastAsia" w:ascii="Times New Roman" w:hAnsi="Times New Roman" w:eastAsia="方正仿宋_GBK" w:cs="Times New Roman"/>
          <w:color w:val="auto"/>
          <w:kern w:val="0"/>
          <w:sz w:val="30"/>
          <w:szCs w:val="30"/>
          <w:lang w:val="en-US" w:eastAsia="zh-CN" w:bidi="zh-CN"/>
        </w:rPr>
        <w:t>按时记录项目台账，及时控制和掌握资金使用情况，科学合理安排项目事务。</w:t>
      </w:r>
    </w:p>
    <w:p>
      <w:pPr>
        <w:pStyle w:val="4"/>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83" w:name="_Toc13811"/>
      <w:bookmarkStart w:id="184" w:name="_Toc14234"/>
      <w:bookmarkStart w:id="185" w:name="_Toc5440"/>
      <w:r>
        <w:rPr>
          <w:rFonts w:hint="eastAsia" w:ascii="方正楷体_GBK" w:hAnsi="方正楷体_GBK" w:eastAsia="方正楷体_GBK" w:cs="方正楷体_GBK"/>
          <w:b/>
          <w:bCs w:val="0"/>
          <w:sz w:val="32"/>
          <w:szCs w:val="32"/>
        </w:rPr>
        <w:t>（二）存在的问题</w:t>
      </w:r>
      <w:bookmarkEnd w:id="183"/>
      <w:bookmarkEnd w:id="184"/>
      <w:bookmarkEnd w:id="185"/>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1.项目实施后，未对项目所有标段进行及时验收。</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截至评价时段，在资料审阅过程中发现，项目完工后，仅仅对第一标段、第四标段进行验收，第二标段、第三标段未进行验收。</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2.项目完工后，久拖不“决”。</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在资料审阅过程中发现，项目在结算审核、竣工财务决算编制、会计核算、在建工程“转固”等方面存在一些亟待解决的问题。竣工财务决算工作严重滞后，导致新增资产价值难以确认。</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tabs>
          <w:tab w:val="left" w:pos="832"/>
        </w:tabs>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3.项目未建立长效机制。</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经查阅资料，项目未建立或具备长期维护机制、方案；未明确</w:t>
      </w:r>
      <w:r>
        <w:rPr>
          <w:rFonts w:hint="eastAsia" w:ascii="Times New Roman" w:hAnsi="Times New Roman" w:eastAsia="方正仿宋_GBK" w:cs="Times New Roman"/>
          <w:color w:val="auto"/>
          <w:kern w:val="0"/>
          <w:sz w:val="30"/>
          <w:szCs w:val="30"/>
          <w:lang w:val="en-US" w:eastAsia="zh-CN" w:bidi="zh-CN"/>
        </w:rPr>
        <w:t>养护责任部门、配备维护管理人员；养护维护支持经费来源没有保障；项目在竣工后也未定制细化可操作执行的维护方案。</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86" w:name="_Toc3160"/>
      <w:r>
        <w:rPr>
          <w:rFonts w:hint="eastAsia" w:ascii="方正楷体_GBK" w:hAnsi="方正楷体_GBK" w:eastAsia="方正楷体_GBK" w:cs="方正楷体_GBK"/>
          <w:color w:val="333333"/>
          <w:sz w:val="30"/>
          <w:szCs w:val="30"/>
          <w:shd w:val="clear" w:fill="FFFFFF"/>
          <w:lang w:val="en-US" w:eastAsia="zh-CN" w:bidi="zh-CN"/>
        </w:rPr>
        <w:t>（三）建议</w:t>
      </w:r>
      <w:bookmarkEnd w:id="186"/>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1.强化项目管理要求，提升管理水平。</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92" w:firstLineChars="200"/>
        <w:textAlignment w:val="auto"/>
        <w:outlineLvl w:val="9"/>
        <w:rPr>
          <w:rFonts w:hint="default"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对暂未完成的项目，应督促项目实施单位加快工程进度，在确保工程质量的前提下，尽早形成实物工作量；对已完工的项目，督促项目实施单位尽快与第三方机构协同完成项目验收。</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2.提升决算意识，履行决算职能。</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92" w:firstLineChars="200"/>
        <w:textAlignment w:val="auto"/>
        <w:outlineLvl w:val="9"/>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92" w:firstLineChars="200"/>
        <w:textAlignment w:val="auto"/>
        <w:outlineLvl w:val="9"/>
        <w:rPr>
          <w:rFonts w:hint="eastAsia"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color w:val="auto"/>
          <w:kern w:val="0"/>
          <w:sz w:val="30"/>
          <w:szCs w:val="30"/>
          <w:lang w:val="en-US" w:eastAsia="zh-CN" w:bidi="zh-CN"/>
        </w:rPr>
        <w:t>完工</w:t>
      </w:r>
      <w:r>
        <w:rPr>
          <w:rFonts w:hint="default" w:ascii="Times New Roman" w:hAnsi="Times New Roman" w:eastAsia="方正仿宋_GBK" w:cs="Times New Roman"/>
          <w:color w:val="auto"/>
          <w:kern w:val="0"/>
          <w:sz w:val="30"/>
          <w:szCs w:val="30"/>
          <w:lang w:val="en-US" w:eastAsia="zh-CN" w:bidi="zh-CN"/>
        </w:rPr>
        <w:t>投入使用后的3个月内编制竣工财务决算，特殊情况可延长，中小型项目不超过2个月，大型项目不超过6个月</w:t>
      </w:r>
      <w:r>
        <w:rPr>
          <w:rFonts w:hint="eastAsia" w:ascii="Times New Roman" w:hAnsi="Times New Roman" w:eastAsia="方正仿宋_GBK" w:cs="Times New Roman"/>
          <w:color w:val="auto"/>
          <w:kern w:val="0"/>
          <w:sz w:val="30"/>
          <w:szCs w:val="30"/>
          <w:lang w:val="en-US" w:eastAsia="zh-CN" w:bidi="zh-CN"/>
        </w:rPr>
        <w:t>。</w:t>
      </w:r>
    </w:p>
    <w:p>
      <w:pPr>
        <w:pStyle w:val="12"/>
        <w:keepNext w:val="0"/>
        <w:keepLines w:val="0"/>
        <w:pageBreakBefore w:val="0"/>
        <w:widowControl w:val="0"/>
        <w:numPr>
          <w:ilvl w:val="0"/>
          <w:numId w:val="0"/>
        </w:numPr>
        <w:kinsoku/>
        <w:wordWrap/>
        <w:overflowPunct w:val="0"/>
        <w:topLinePunct w:val="0"/>
        <w:autoSpaceDE/>
        <w:autoSpaceDN/>
        <w:bidi w:val="0"/>
        <w:adjustRightInd/>
        <w:snapToGrid/>
        <w:ind w:leftChars="200"/>
        <w:textAlignment w:val="auto"/>
        <w:outlineLvl w:val="9"/>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3.建立长效维护机制，提升项目经济价值。</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lang w:val="en-US" w:eastAsia="zh-CN"/>
        </w:rPr>
      </w:pPr>
      <w:r>
        <w:rPr>
          <w:rFonts w:hint="eastAsia" w:ascii="Times New Roman" w:hAnsi="Times New Roman" w:eastAsia="方正仿宋_GBK" w:cs="Times New Roman"/>
          <w:spacing w:val="0"/>
          <w:kern w:val="0"/>
          <w:sz w:val="30"/>
          <w:szCs w:val="30"/>
          <w:lang w:val="en-US" w:eastAsia="zh-CN" w:bidi="zh-CN"/>
        </w:rPr>
        <w:t>项目要建立或具备长期维护机制、方案；明确养护责任部门、同时配备维护管理人员；确定养护维护支持经费；项目在竣工后制定细化可操作执行的维护方案，增加使用年限，提升项目的经济价值。</w:t>
      </w:r>
    </w:p>
    <w:p>
      <w:pPr>
        <w:pStyle w:val="3"/>
        <w:keepNext w:val="0"/>
        <w:keepLines w:val="0"/>
        <w:pageBreakBefore w:val="0"/>
        <w:widowControl w:val="0"/>
        <w:kinsoku/>
        <w:wordWrap/>
        <w:topLinePunct w:val="0"/>
        <w:autoSpaceDE/>
        <w:autoSpaceDN/>
        <w:bidi w:val="0"/>
        <w:ind w:firstLine="592" w:firstLineChars="200"/>
        <w:textAlignment w:val="auto"/>
        <w:rPr>
          <w:rFonts w:hint="eastAsia" w:asciiTheme="majorEastAsia" w:hAnsiTheme="majorEastAsia" w:eastAsiaTheme="majorEastAsia" w:cstheme="majorEastAsia"/>
          <w:b/>
          <w:bCs/>
          <w:sz w:val="30"/>
          <w:szCs w:val="30"/>
          <w:lang w:val="en-US" w:eastAsia="zh-CN"/>
        </w:rPr>
      </w:pPr>
    </w:p>
    <w:p>
      <w:pPr>
        <w:pStyle w:val="3"/>
        <w:keepNext w:val="0"/>
        <w:keepLines w:val="0"/>
        <w:pageBreakBefore w:val="0"/>
        <w:widowControl w:val="0"/>
        <w:kinsoku/>
        <w:wordWrap/>
        <w:topLinePunct w:val="0"/>
        <w:autoSpaceDE/>
        <w:autoSpaceDN/>
        <w:bidi w:val="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187" w:name="_Toc9318"/>
      <w:r>
        <w:rPr>
          <w:rFonts w:hint="eastAsia" w:asciiTheme="majorEastAsia" w:hAnsiTheme="majorEastAsia" w:eastAsiaTheme="majorEastAsia" w:cstheme="majorEastAsia"/>
          <w:b/>
          <w:bCs/>
          <w:sz w:val="30"/>
          <w:szCs w:val="30"/>
          <w:lang w:val="en-US" w:eastAsia="zh-CN"/>
        </w:rPr>
        <w:t>八、其他需要说明的问题</w:t>
      </w:r>
      <w:bookmarkEnd w:id="187"/>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val="0"/>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本绩效评价报告是在被评价单位提供项目资料的基础上核实、分析而完成的，评价工作组现场核实的事项仅限于同心县长征路（东兴街</w:t>
      </w:r>
      <w:r>
        <w:rPr>
          <w:rFonts w:hint="eastAsia" w:ascii="Times New Roman" w:hAnsi="Times New Roman" w:eastAsia="方正仿宋_GBK" w:cs="Times New Roman"/>
          <w:color w:val="000000"/>
          <w:kern w:val="0"/>
          <w:sz w:val="30"/>
          <w:szCs w:val="30"/>
          <w:lang w:val="en-US" w:eastAsia="zh-CN" w:bidi="ar"/>
        </w:rPr>
        <w:t>～</w:t>
      </w:r>
      <w:r>
        <w:rPr>
          <w:rFonts w:hint="default" w:ascii="Times New Roman" w:hAnsi="Times New Roman" w:eastAsia="方正仿宋_GBK" w:cs="Times New Roman"/>
          <w:color w:val="000000"/>
          <w:kern w:val="0"/>
          <w:sz w:val="30"/>
          <w:szCs w:val="30"/>
          <w:lang w:val="en-US" w:eastAsia="zh-CN" w:bidi="ar"/>
        </w:rPr>
        <w:t>红军路）雨污分流项目补助资金有关的方面。同时评价报告及结论也受评价人员对项目的了解程度、专业知识和评价能力的限制，因此，本绩效评价报告仅对同心县长征路（东兴街</w:t>
      </w:r>
      <w:r>
        <w:rPr>
          <w:rFonts w:hint="eastAsia" w:ascii="Times New Roman" w:hAnsi="Times New Roman" w:eastAsia="方正仿宋_GBK" w:cs="Times New Roman"/>
          <w:color w:val="000000"/>
          <w:kern w:val="0"/>
          <w:sz w:val="30"/>
          <w:szCs w:val="30"/>
          <w:lang w:val="en-US" w:eastAsia="zh-CN" w:bidi="ar"/>
        </w:rPr>
        <w:t>～</w:t>
      </w:r>
      <w:r>
        <w:rPr>
          <w:rFonts w:hint="default" w:ascii="Times New Roman" w:hAnsi="Times New Roman" w:eastAsia="方正仿宋_GBK" w:cs="Times New Roman"/>
          <w:color w:val="000000"/>
          <w:kern w:val="0"/>
          <w:sz w:val="30"/>
          <w:szCs w:val="30"/>
          <w:lang w:val="en-US" w:eastAsia="zh-CN" w:bidi="ar"/>
        </w:rPr>
        <w:t>红军路）雨污分流项目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val="0"/>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Style w:val="5"/>
        <w:rPr>
          <w:rFonts w:hint="eastAsia" w:ascii="方正仿宋_GBK" w:hAnsi="方正仿宋_GBK" w:eastAsia="方正仿宋_GBK" w:cs="方正仿宋_GBK"/>
          <w:color w:val="000000"/>
          <w:kern w:val="0"/>
          <w:sz w:val="30"/>
          <w:szCs w:val="30"/>
          <w:lang w:val="en-US" w:eastAsia="zh-CN" w:bidi="ar"/>
        </w:rPr>
      </w:pPr>
    </w:p>
    <w:p>
      <w:pPr>
        <w:rPr>
          <w:rFonts w:hint="eastAsia" w:ascii="方正仿宋_GBK" w:hAnsi="方正仿宋_GBK" w:eastAsia="方正仿宋_GBK" w:cs="方正仿宋_GBK"/>
          <w:color w:val="000000"/>
          <w:kern w:val="0"/>
          <w:sz w:val="30"/>
          <w:szCs w:val="30"/>
          <w:lang w:val="en-US" w:eastAsia="zh-CN" w:bidi="ar"/>
        </w:rPr>
      </w:pPr>
    </w:p>
    <w:p>
      <w:pPr>
        <w:pStyle w:val="5"/>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pStyle w:val="5"/>
        <w:rPr>
          <w:rFonts w:hint="eastAsia" w:ascii="Times New Roman" w:hAnsi="Times New Roman" w:eastAsia="方正仿宋_GB2312" w:cs="Times New Roman"/>
          <w:sz w:val="28"/>
          <w:szCs w:val="28"/>
          <w:lang w:val="zh-CN"/>
        </w:rPr>
      </w:pPr>
    </w:p>
    <w:p>
      <w:pPr>
        <w:rPr>
          <w:rFonts w:hint="eastAsia"/>
          <w:lang w:val="zh-CN"/>
        </w:rPr>
      </w:pPr>
    </w:p>
    <w:p>
      <w:pPr>
        <w:pStyle w:val="5"/>
        <w:rPr>
          <w:rFonts w:hint="eastAsia"/>
          <w:lang w:val="zh-CN"/>
        </w:rPr>
      </w:pPr>
    </w:p>
    <w:p>
      <w:pPr>
        <w:rPr>
          <w:rFonts w:hint="eastAsia"/>
          <w:lang w:val="zh-CN"/>
        </w:rPr>
      </w:pPr>
    </w:p>
    <w:p>
      <w:pPr>
        <w:pStyle w:val="2"/>
        <w:rPr>
          <w:rFonts w:hint="eastAsia"/>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w:t>
      </w:r>
      <w:r>
        <w:rPr>
          <w:rFonts w:hint="eastAsia" w:ascii="Times New Roman" w:hAnsi="Times New Roman" w:eastAsia="方正仿宋_GB2312" w:cs="Times New Roman"/>
          <w:b w:val="0"/>
          <w:color w:val="000000" w:themeColor="text1"/>
          <w:sz w:val="28"/>
          <w:szCs w:val="28"/>
          <w:lang w:val="en-US" w:eastAsia="zh-CN"/>
          <w14:textFill>
            <w14:solidFill>
              <w14:schemeClr w14:val="tx1"/>
            </w14:solidFill>
          </w14:textFill>
        </w:rPr>
        <w:t xml:space="preserve">        </w:t>
      </w:r>
      <w:bookmarkEnd w:id="68"/>
      <w:bookmarkEnd w:id="69"/>
      <w:bookmarkEnd w:id="70"/>
      <w:bookmarkEnd w:id="71"/>
      <w:bookmarkEnd w:id="72"/>
      <w:bookmarkEnd w:id="73"/>
      <w:bookmarkEnd w:id="74"/>
      <w:bookmarkEnd w:id="75"/>
      <w:r>
        <w:rPr>
          <w:rFonts w:hint="eastAsia" w:ascii="Times New Roman" w:hAnsi="Times New Roman" w:eastAsia="方正仿宋_GB2312" w:cs="Times New Roman"/>
          <w:b w:val="0"/>
          <w:color w:val="000000" w:themeColor="text1"/>
          <w:sz w:val="28"/>
          <w:szCs w:val="28"/>
          <w:lang w:val="en-US" w:eastAsia="zh-CN"/>
          <w14:textFill>
            <w14:solidFill>
              <w14:schemeClr w14:val="tx1"/>
            </w14:solidFill>
          </w14:textFill>
        </w:rPr>
        <w:t>2023年12月31日</w:t>
      </w:r>
      <w:bookmarkEnd w:id="28"/>
      <w:bookmarkEnd w:id="76"/>
      <w:bookmarkStart w:id="188" w:name="_Toc20313"/>
      <w:bookmarkStart w:id="189" w:name="_Toc5302"/>
      <w:r>
        <w:rPr>
          <w:rFonts w:hint="eastAsia" w:ascii="方正仿宋_GBK" w:hAnsi="方正仿宋_GBK" w:eastAsia="方正仿宋_GBK" w:cs="方正仿宋_GBK"/>
          <w:b w:val="0"/>
          <w:bCs w:val="0"/>
          <w:color w:val="000000" w:themeColor="text1"/>
          <w:kern w:val="2"/>
          <w:sz w:val="30"/>
          <w:szCs w:val="30"/>
          <w:lang w:val="en-US" w:eastAsia="zh-CN" w:bidi="ar-SA"/>
          <w14:textFill>
            <w14:solidFill>
              <w14:schemeClr w14:val="tx1"/>
            </w14:solidFill>
          </w14:textFill>
        </w:rPr>
        <w:t xml:space="preserve">  </w:t>
      </w:r>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pgSz w:w="11906" w:h="16838"/>
          <w:pgMar w:top="2098" w:right="1587" w:bottom="2098" w:left="1587" w:header="1587" w:footer="935" w:gutter="0"/>
          <w:pgNumType w:fmt="decimal"/>
          <w:cols w:space="0" w:num="1"/>
          <w:rtlGutter w:val="0"/>
          <w:docGrid w:type="linesAndChars" w:linePitch="589" w:charSpace="-842"/>
        </w:sectPr>
      </w:pPr>
    </w:p>
    <w:bookmarkEnd w:id="188"/>
    <w:bookmarkEnd w:id="189"/>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同心县长征路（东兴街～红军路）雨污分流项目绩效评价指标体系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3"/>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5"/>
                <w:rFonts w:hint="default" w:ascii="Times New Roman" w:hAnsi="Times New Roman" w:cs="Times New Roman"/>
                <w:lang w:val="en-US" w:eastAsia="zh-CN" w:bidi="ar"/>
              </w:rPr>
              <w:t>项目是否属于公共财政支持范围，是否符合中央地方事权支出责任划分原则</w:t>
            </w:r>
            <w:r>
              <w:rPr>
                <w:rStyle w:val="35"/>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5"/>
                <w:rFonts w:hint="default" w:ascii="Times New Roman" w:hAnsi="Times New Roman" w:cs="Times New Roman"/>
                <w:lang w:val="en-US" w:eastAsia="zh-CN" w:bidi="ar"/>
              </w:rPr>
              <w:t>项目是否与相关部门同类项目或部门内部相关项目重复</w:t>
            </w:r>
            <w:r>
              <w:rPr>
                <w:rStyle w:val="35"/>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编制</w:t>
            </w:r>
            <w:r>
              <w:rPr>
                <w:rFonts w:hint="default" w:ascii="Times New Roman" w:hAnsi="Times New Roman" w:eastAsia="方正仿宋_GBK" w:cs="Times New Roman"/>
                <w:i w:val="0"/>
                <w:iCs w:val="0"/>
                <w:color w:val="000000"/>
                <w:kern w:val="0"/>
                <w:sz w:val="22"/>
                <w:szCs w:val="22"/>
                <w:u w:val="none"/>
                <w:lang w:val="en-US" w:eastAsia="zh-CN" w:bidi="ar"/>
              </w:rPr>
              <w:t>绩效目标，</w:t>
            </w:r>
            <w:r>
              <w:rPr>
                <w:rFonts w:hint="eastAsia" w:ascii="Times New Roman" w:hAnsi="Times New Roman" w:eastAsia="方正仿宋_GBK" w:cs="Times New Roman"/>
                <w:i w:val="0"/>
                <w:iCs w:val="0"/>
                <w:color w:val="000000"/>
                <w:kern w:val="0"/>
                <w:sz w:val="22"/>
                <w:szCs w:val="22"/>
                <w:u w:val="none"/>
                <w:lang w:val="en-US" w:eastAsia="zh-CN" w:bidi="ar"/>
              </w:rPr>
              <w:t>指标</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9"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资金到位率</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实际到位资金与预算资金的比率，用以反映和考核资金落实情况对项目实施的总体保障程度。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auto"/>
                <w:kern w:val="0"/>
                <w:sz w:val="22"/>
                <w:szCs w:val="22"/>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资金到位率=100%，得权重分满分，每降低 1%，扣除 5%权重分，扣完为止。</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color w:val="auto"/>
                <w:lang w:val="en-US" w:eastAsia="zh-CN"/>
              </w:rPr>
            </w:pPr>
            <w:r>
              <w:rPr>
                <w:rFonts w:hint="default" w:ascii="Times New Roman" w:hAnsi="Times New Roman" w:eastAsia="方正仿宋_GBK" w:cs="Times New Roman"/>
                <w:i w:val="0"/>
                <w:iCs w:val="0"/>
                <w:color w:val="auto"/>
                <w:kern w:val="0"/>
                <w:sz w:val="22"/>
                <w:szCs w:val="22"/>
                <w:u w:val="none"/>
                <w:lang w:val="en-US" w:eastAsia="zh-CN" w:bidi="ar"/>
              </w:rPr>
              <w:t>项目</w:t>
            </w:r>
            <w:r>
              <w:rPr>
                <w:rFonts w:hint="eastAsia" w:ascii="Times New Roman" w:hAnsi="Times New Roman" w:eastAsia="方正仿宋_GBK" w:cs="Times New Roman"/>
                <w:i w:val="0"/>
                <w:iCs w:val="0"/>
                <w:color w:val="auto"/>
                <w:kern w:val="0"/>
                <w:sz w:val="22"/>
                <w:szCs w:val="22"/>
                <w:u w:val="none"/>
                <w:lang w:val="en-US" w:eastAsia="zh-CN" w:bidi="ar"/>
              </w:rPr>
              <w:t>预算</w:t>
            </w:r>
            <w:r>
              <w:rPr>
                <w:rFonts w:hint="default" w:ascii="Times New Roman" w:hAnsi="Times New Roman" w:eastAsia="方正仿宋_GBK" w:cs="Times New Roman"/>
                <w:i w:val="0"/>
                <w:iCs w:val="0"/>
                <w:color w:val="auto"/>
                <w:kern w:val="0"/>
                <w:sz w:val="22"/>
                <w:szCs w:val="22"/>
                <w:u w:val="none"/>
                <w:lang w:val="en-US" w:eastAsia="zh-CN" w:bidi="ar"/>
              </w:rPr>
              <w:t>资金全部到位</w:t>
            </w:r>
            <w:r>
              <w:rPr>
                <w:rFonts w:hint="eastAsia" w:ascii="Times New Roman" w:hAnsi="Times New Roman" w:eastAsia="方正仿宋_GBK" w:cs="Times New Roman"/>
                <w:i w:val="0"/>
                <w:iCs w:val="0"/>
                <w:color w:val="auto"/>
                <w:kern w:val="0"/>
                <w:sz w:val="22"/>
                <w:szCs w:val="22"/>
                <w:u w:val="none"/>
                <w:lang w:val="en-US" w:eastAsia="zh-CN" w:bidi="ar"/>
              </w:rPr>
              <w:t>，资金到位率100%。</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预算执行率</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项目预算资金是否按照计划执行，用以反映或考核项目预算执行情况。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auto"/>
                <w:kern w:val="0"/>
                <w:sz w:val="22"/>
                <w:szCs w:val="22"/>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2022年预算执行率≥97.2%得2分，＜97.2则不得分；2023年预算执行率≥98.5%得2分，＜98.5则不得分。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同心县长征路（东兴街～红军路）雨污分流项目2022年实际到位资金800万元，2022年实际支出800万元，预算执行率100%。</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auto"/>
                <w:sz w:val="22"/>
                <w:szCs w:val="22"/>
                <w:u w:val="none"/>
                <w:lang w:val="en-US"/>
              </w:rPr>
            </w:pPr>
            <w:r>
              <w:rPr>
                <w:rFonts w:hint="eastAsia" w:ascii="Times New Roman" w:hAnsi="Times New Roman" w:eastAsia="宋体" w:cs="Times New Roman"/>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auto"/>
                <w:sz w:val="22"/>
                <w:szCs w:val="22"/>
                <w:u w:val="none"/>
              </w:rPr>
            </w:pPr>
            <w:r>
              <w:rPr>
                <w:rFonts w:hint="eastAsia" w:ascii="方正仿宋_GBK" w:hAnsi="方正仿宋_GBK" w:eastAsia="方正仿宋_GBK" w:cs="方正仿宋_GBK"/>
                <w:i w:val="0"/>
                <w:iCs w:val="0"/>
                <w:color w:val="auto"/>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auto"/>
                <w:kern w:val="0"/>
                <w:sz w:val="22"/>
                <w:szCs w:val="22"/>
                <w:u w:val="none"/>
                <w:lang w:val="en-US" w:eastAsia="zh-CN" w:bidi="ar"/>
              </w:rPr>
            </w:pPr>
            <w:r>
              <w:rPr>
                <w:rFonts w:hint="eastAsia" w:ascii="方正仿宋_GBK" w:hAnsi="方正仿宋_GBK" w:eastAsia="方正仿宋_GBK" w:cs="方正仿宋_GBK"/>
                <w:i w:val="0"/>
                <w:iCs w:val="0"/>
                <w:color w:val="auto"/>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用以反映和考核实施项</w:t>
            </w:r>
            <w:r>
              <w:rPr>
                <w:rFonts w:hint="eastAsia" w:ascii="Times New Roman" w:hAnsi="Times New Roman" w:eastAsia="方正仿宋_GBK" w:cs="Times New Roman"/>
                <w:i w:val="0"/>
                <w:iCs w:val="0"/>
                <w:color w:val="auto"/>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auto"/>
                <w:sz w:val="22"/>
                <w:szCs w:val="22"/>
                <w:u w:val="none"/>
              </w:rPr>
            </w:pPr>
            <w:r>
              <w:rPr>
                <w:rFonts w:hint="eastAsia" w:ascii="Times New Roman" w:hAnsi="Times New Roman" w:eastAsia="方正仿宋_GBK" w:cs="Times New Roman"/>
                <w:i w:val="0"/>
                <w:iCs w:val="0"/>
                <w:color w:val="auto"/>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auto"/>
                <w:sz w:val="22"/>
                <w:szCs w:val="22"/>
                <w:u w:val="none"/>
                <w:lang w:val="en-US" w:eastAsia="zh-CN"/>
              </w:rPr>
            </w:pPr>
            <w:r>
              <w:rPr>
                <w:rFonts w:hint="eastAsia" w:ascii="Times New Roman" w:hAnsi="Times New Roman" w:eastAsia="方正仿宋_GBK" w:cs="Times New Roman"/>
                <w:i w:val="0"/>
                <w:iCs w:val="0"/>
                <w:color w:val="auto"/>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auto"/>
                <w:sz w:val="22"/>
                <w:szCs w:val="22"/>
                <w:u w:val="none"/>
              </w:rPr>
            </w:pPr>
            <w:r>
              <w:rPr>
                <w:rFonts w:hint="eastAsia" w:ascii="Times New Roman" w:hAnsi="Times New Roman" w:eastAsia="方正仿宋_GBK" w:cs="Times New Roman"/>
                <w:i w:val="0"/>
                <w:iCs w:val="0"/>
                <w:color w:val="auto"/>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auto"/>
                <w:sz w:val="22"/>
                <w:szCs w:val="22"/>
                <w:u w:val="none"/>
                <w:lang w:val="en-US" w:eastAsia="zh-CN"/>
              </w:rPr>
            </w:pPr>
            <w:r>
              <w:rPr>
                <w:rFonts w:hint="eastAsia" w:ascii="Times New Roman" w:hAnsi="Times New Roman" w:eastAsia="方正仿宋_GBK" w:cs="Times New Roman"/>
                <w:i w:val="0"/>
                <w:iCs w:val="0"/>
                <w:color w:val="auto"/>
                <w:sz w:val="22"/>
                <w:szCs w:val="22"/>
                <w:u w:val="none"/>
                <w:lang w:val="en-US" w:eastAsia="zh-CN"/>
              </w:rPr>
              <w:t>项目建设分四个标段实施，截至评价时段，完成第一，第四标段验收，按既定内容完成工作，第二、第三标段未完成验收，根据指标体系，得一半分。</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auto"/>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sz w:val="22"/>
                <w:szCs w:val="22"/>
                <w:u w:val="none"/>
                <w:lang w:val="en-US" w:eastAsia="zh-CN"/>
              </w:rPr>
              <w:t>项目建设分四个标段实施，截至评价时段，完成第一，第四标段验收，第二、第三标段未完成验收，根据指标体系，得一半分。</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FF0000"/>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资金及时足额到位。</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auto"/>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FF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FF0000"/>
                <w:sz w:val="22"/>
                <w:szCs w:val="22"/>
                <w:u w:val="none"/>
                <w:lang w:val="en-US" w:eastAsia="zh-CN"/>
              </w:rPr>
            </w:pPr>
            <w:r>
              <w:rPr>
                <w:rFonts w:hint="eastAsia" w:ascii="Times New Roman" w:hAnsi="Times New Roman" w:eastAsia="方正仿宋_GBK" w:cs="Times New Roman"/>
                <w:i w:val="0"/>
                <w:iCs w:val="0"/>
                <w:color w:val="auto"/>
                <w:sz w:val="22"/>
                <w:szCs w:val="22"/>
                <w:u w:val="none"/>
                <w:lang w:val="en-US" w:eastAsia="zh-CN"/>
              </w:rPr>
              <w:t>项目中标通知书于2023.3.9日开工，实际于2023.3.21日开工，开工不及时，根据指标体系，不得分。</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FF0000"/>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未</w:t>
            </w:r>
            <w:r>
              <w:rPr>
                <w:rFonts w:hint="eastAsia" w:ascii="Times New Roman" w:hAnsi="Times New Roman" w:eastAsia="方正仿宋_GBK" w:cs="Times New Roman"/>
                <w:i w:val="0"/>
                <w:iCs w:val="0"/>
                <w:color w:val="000000"/>
                <w:sz w:val="22"/>
                <w:szCs w:val="22"/>
                <w:u w:val="none"/>
                <w:lang w:eastAsia="zh-CN"/>
              </w:rPr>
              <w:t>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7"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解决长征路内涝问题</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实现长征路雨污分流，实现水资源高效利用。</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长效机制健全性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考察项目结束后档案归档情况。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：项目档案管理机制是否健全且执行有效。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themeColor="text1"/>
                <w:kern w:val="0"/>
                <w:sz w:val="22"/>
                <w:szCs w:val="22"/>
                <w:u w:val="none"/>
                <w:lang w:val="en-US" w:eastAsia="zh-CN" w:bidi="ar"/>
                <w14:textFill>
                  <w14:solidFill>
                    <w14:schemeClr w14:val="tx1"/>
                  </w14:solidFill>
                </w14:textFill>
              </w:rPr>
            </w:pPr>
            <w:r>
              <w:rPr>
                <w:rFonts w:hint="eastAsia" w:ascii="方正仿宋_GBK" w:hAnsi="方正仿宋_GBK" w:eastAsia="方正仿宋_GBK" w:cs="方正仿宋_GBK"/>
                <w:i w:val="0"/>
                <w:iCs w:val="0"/>
                <w:color w:val="000000" w:themeColor="text1"/>
                <w:kern w:val="0"/>
                <w:sz w:val="22"/>
                <w:szCs w:val="22"/>
                <w:u w:val="none"/>
                <w:lang w:val="en-US" w:eastAsia="zh-CN" w:bidi="ar"/>
                <w14:textFill>
                  <w14:solidFill>
                    <w14:schemeClr w14:val="tx1"/>
                  </w14:solidFill>
                </w14:textFill>
              </w:rPr>
              <w:t>评价要点：通</w:t>
            </w: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themeColor="text1"/>
                <w:sz w:val="22"/>
                <w:szCs w:val="22"/>
                <w:u w:val="none"/>
                <w:lang w:val="en-US"/>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≥95%</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themeColor="text1"/>
                <w:sz w:val="22"/>
                <w:szCs w:val="22"/>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3"/>
                <w:rFonts w:hint="default"/>
                <w:lang w:val="en-US" w:eastAsia="zh-CN" w:bidi="ar"/>
              </w:rPr>
            </w:pPr>
            <w:r>
              <w:rPr>
                <w:rStyle w:val="33"/>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3"/>
                <w:rFonts w:hint="default"/>
                <w:lang w:val="en-US" w:eastAsia="zh-CN" w:bidi="ar"/>
              </w:rPr>
            </w:pPr>
            <w:r>
              <w:rPr>
                <w:rStyle w:val="33"/>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3"/>
                <w:rFonts w:hint="default"/>
                <w:lang w:val="en-US" w:eastAsia="zh-CN" w:bidi="ar"/>
              </w:rPr>
            </w:pPr>
            <w:r>
              <w:rPr>
                <w:rStyle w:val="33"/>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3"/>
                <w:rFonts w:hint="default"/>
                <w:lang w:val="en-US" w:eastAsia="zh-CN" w:bidi="ar"/>
              </w:rPr>
            </w:pPr>
            <w:r>
              <w:rPr>
                <w:rStyle w:val="33"/>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3"/>
                <w:rFonts w:hint="default"/>
                <w:lang w:val="en-US" w:eastAsia="zh-CN" w:bidi="ar"/>
              </w:rPr>
            </w:pPr>
            <w:r>
              <w:rPr>
                <w:rStyle w:val="33"/>
                <w:rFonts w:hint="eastAsia"/>
                <w:lang w:val="en-US" w:eastAsia="zh-CN" w:bidi="ar"/>
              </w:rPr>
              <w:t>-</w:t>
            </w:r>
            <w:bookmarkStart w:id="197" w:name="_GoBack"/>
            <w:bookmarkEnd w:id="197"/>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lang w:val="en-US" w:eastAsia="zh-CN"/>
              </w:rPr>
            </w:pPr>
            <w:r>
              <w:rPr>
                <w:rFonts w:hint="eastAsia" w:ascii="Times New Roman" w:hAnsi="Times New Roman" w:eastAsia="宋体" w:cs="Times New Roman"/>
                <w:i w:val="0"/>
                <w:iCs w:val="0"/>
                <w:color w:val="000000"/>
                <w:kern w:val="0"/>
                <w:sz w:val="22"/>
                <w:szCs w:val="22"/>
                <w:u w:val="none"/>
                <w:lang w:val="en-US" w:eastAsia="zh-CN" w:bidi="ar"/>
              </w:rPr>
              <w:t>85.5</w:t>
            </w:r>
          </w:p>
        </w:tc>
      </w:tr>
    </w:tbl>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同心县长征路（东兴街～红军路）雨污分流项目访谈方案</w:t>
      </w:r>
    </w:p>
    <w:p>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专项资金项目的组织、实施、管理的具体情况，发现部门运行和管理中的问题，评估财政部门资金的使用以及部门职能，了解和评估财政资金使用的效率和效益，发现资金使用和管理中的问题，为项目的管理和执行提供充分的决策依据。</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lang w:val="en-US" w:eastAsia="zh-CN"/>
        </w:rPr>
        <w:t>一</w:t>
      </w: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同心县住房和城乡建设局财务科室负责人</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6"/>
          <w:rFonts w:hint="eastAsia" w:ascii="方正仿宋_GBK" w:hAnsi="方正仿宋_GBK" w:eastAsia="方正仿宋_GBK" w:cs="方正仿宋_GBK"/>
          <w:color w:val="000000"/>
          <w:sz w:val="30"/>
          <w:szCs w:val="30"/>
        </w:rPr>
      </w:pP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lang w:val="en-US" w:eastAsia="zh-CN"/>
        </w:rPr>
        <w:t>二</w:t>
      </w: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lang w:val="en-US" w:eastAsia="zh-CN"/>
        </w:rPr>
        <w:t>三</w:t>
      </w: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6"/>
          <w:rFonts w:hint="eastAsia" w:ascii="方正仿宋_GBK" w:hAnsi="方正仿宋_GBK" w:eastAsia="方正仿宋_GBK" w:cs="方正仿宋_GBK"/>
          <w:color w:val="000000"/>
          <w:sz w:val="30"/>
          <w:szCs w:val="30"/>
          <w:lang w:val="en-US" w:eastAsia="zh-CN"/>
        </w:rPr>
      </w:pP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lang w:val="en-US" w:eastAsia="zh-CN"/>
        </w:rPr>
        <w:t>四</w:t>
      </w:r>
      <w:r>
        <w:rPr>
          <w:rStyle w:val="26"/>
          <w:rFonts w:hint="eastAsia" w:ascii="方正仿宋_GBK" w:hAnsi="方正仿宋_GBK" w:eastAsia="方正仿宋_GBK" w:cs="方正仿宋_GBK"/>
          <w:color w:val="000000"/>
          <w:sz w:val="30"/>
          <w:szCs w:val="30"/>
          <w:lang w:eastAsia="zh-CN"/>
        </w:rPr>
        <w:t>）访谈</w:t>
      </w:r>
      <w:r>
        <w:rPr>
          <w:rStyle w:val="26"/>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请简要介绍一下同心县长征路（东兴街～红军路）雨污分流项目实施中主要负责的工作内容？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90" w:name="_Toc387361423"/>
      <w:bookmarkStart w:id="191" w:name="_Toc390983233"/>
      <w:bookmarkStart w:id="192" w:name="_Toc385522401"/>
      <w:bookmarkStart w:id="193" w:name="_Toc385352814"/>
      <w:bookmarkStart w:id="194" w:name="_Toc393466358"/>
      <w:bookmarkStart w:id="195" w:name="_Toc385521993"/>
      <w:bookmarkStart w:id="196" w:name="_Toc396323558"/>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6.项目实施过程中采取了哪些控制措施？例如：物资采购进度、物资质量规范等。</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bookmarkEnd w:id="190"/>
      <w:bookmarkEnd w:id="191"/>
      <w:bookmarkEnd w:id="192"/>
      <w:bookmarkEnd w:id="193"/>
      <w:bookmarkEnd w:id="194"/>
      <w:bookmarkEnd w:id="195"/>
      <w:bookmarkEnd w:id="196"/>
      <w:r>
        <w:rPr>
          <w:rFonts w:hint="eastAsia" w:ascii="仿宋" w:hAnsi="仿宋" w:eastAsia="仿宋" w:cs="仿宋"/>
          <w:b w:val="0"/>
          <w:bCs w:val="0"/>
          <w:sz w:val="32"/>
          <w:szCs w:val="32"/>
          <w:lang w:val="en-US" w:eastAsia="zh-CN"/>
        </w:rPr>
        <w:t>项目过程中都有哪些好的经验做法？项目开展都有哪些难点和建议？</w:t>
      </w:r>
    </w:p>
    <w:p>
      <w:pPr>
        <w:pStyle w:val="4"/>
        <w:pageBreakBefore w:val="0"/>
        <w:widowControl w:val="0"/>
        <w:kinsoku/>
        <w:wordWrap/>
        <w:topLinePunct w:val="0"/>
        <w:bidi w:val="0"/>
        <w:adjustRightInd/>
        <w:snapToGrid/>
        <w:spacing w:beforeLines="0" w:afterLines="0"/>
        <w:textAlignment w:val="auto"/>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同心县长征路（东兴街～红军路）雨污分流项目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长征路（东兴街～红军路）雨污分流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1.请问您得年龄？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□20岁以下   □21-40岁  □41-60岁  □61岁以上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2.请问您的文化程度？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□中专及以下 □大专   □本科     □研究生及以上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3.请问您是否为同心县当地居民？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□是     □否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1.对于日常生活污水，您一般是如何处理的？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□全部收集，用于日常生活使用（例如冲马桶）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□直接倒掉</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□其他</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2.下雨天您对雨水是如何处理的？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□收集起来，用于日常生活</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□任由雨水流弃</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3.针对目前雨污分流处理现状，您认为成效如何？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□非常满意，街道干净整洁</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□成效一般，街道没有明显改变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1.您对同心县长征路（东兴街～红军路）雨污分流项目建设是否满意？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2.您对同心县长征路（东兴街～红军路）雨污分流项目施工过程的管理是否满意？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3.您对同心县长征路（东兴街～红军路）雨污分流项目工程总体进度是否满意？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（三）开放问题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您对同心县长征路（东兴街～红军路）雨污分流项目还有什么意见和建议？</w:t>
      </w: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0" w:leftChars="0" w:firstLine="0" w:firstLineChars="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附件4</w:t>
      </w: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0" w:leftChars="0" w:firstLine="0" w:firstLineChars="0"/>
        <w:jc w:val="center"/>
        <w:textAlignment w:val="auto"/>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default" w:ascii="Times New Roman" w:hAnsi="Times New Roman" w:eastAsia="仿宋" w:cs="Times New Roman"/>
          <w:kern w:val="2"/>
          <w:sz w:val="30"/>
          <w:szCs w:val="30"/>
          <w:lang w:val="en-US" w:eastAsia="zh-CN" w:bidi="ar-SA"/>
        </w:rPr>
      </w:pPr>
      <w:r>
        <w:rPr>
          <w:rFonts w:hint="default" w:ascii="Times New Roman" w:hAnsi="Times New Roman" w:eastAsia="仿宋" w:cs="Times New Roman"/>
          <w:kern w:val="2"/>
          <w:sz w:val="30"/>
          <w:szCs w:val="30"/>
          <w:lang w:val="en-US" w:eastAsia="zh-CN" w:bidi="ar-SA"/>
        </w:rPr>
        <w:drawing>
          <wp:anchor distT="0" distB="0" distL="114300" distR="114300" simplePos="0" relativeHeight="251659264" behindDoc="1" locked="0" layoutInCell="1" allowOverlap="1">
            <wp:simplePos x="0" y="0"/>
            <wp:positionH relativeFrom="column">
              <wp:posOffset>194310</wp:posOffset>
            </wp:positionH>
            <wp:positionV relativeFrom="paragraph">
              <wp:posOffset>587375</wp:posOffset>
            </wp:positionV>
            <wp:extent cx="5039995" cy="6120130"/>
            <wp:effectExtent l="0" t="0" r="8255" b="13970"/>
            <wp:wrapNone/>
            <wp:docPr id="1" name="图片 1" descr="45d2f243b5c20f8103a3b6dba59492b"/>
            <wp:cNvGraphicFramePr/>
            <a:graphic xmlns:a="http://schemas.openxmlformats.org/drawingml/2006/main">
              <a:graphicData uri="http://schemas.openxmlformats.org/drawingml/2006/picture">
                <pic:pic xmlns:pic="http://schemas.openxmlformats.org/drawingml/2006/picture">
                  <pic:nvPicPr>
                    <pic:cNvPr id="1" name="图片 1" descr="45d2f243b5c20f8103a3b6dba59492b"/>
                    <pic:cNvPicPr/>
                  </pic:nvPicPr>
                  <pic:blipFill>
                    <a:blip r:embed="rId11"/>
                    <a:stretch>
                      <a:fillRect/>
                    </a:stretch>
                  </pic:blipFill>
                  <pic:spPr>
                    <a:xfrm>
                      <a:off x="0" y="0"/>
                      <a:ext cx="5039995" cy="6120130"/>
                    </a:xfrm>
                    <a:prstGeom prst="rect">
                      <a:avLst/>
                    </a:prstGeom>
                  </pic:spPr>
                </pic:pic>
              </a:graphicData>
            </a:graphic>
          </wp:anchor>
        </w:drawing>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9B2C12-3603-4B48-9C8B-C50EB382C6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DA6D756B-5592-4161-B986-9074BF45C201}"/>
  </w:font>
  <w:font w:name="楷体">
    <w:panose1 w:val="02010609060101010101"/>
    <w:charset w:val="86"/>
    <w:family w:val="auto"/>
    <w:pitch w:val="default"/>
    <w:sig w:usb0="800002BF" w:usb1="38CF7CFA" w:usb2="00000016" w:usb3="00000000" w:csb0="00040001" w:csb1="00000000"/>
    <w:embedRegular r:id="rId3" w:fontKey="{7E92CA3D-60F3-460B-9451-AEB30CAF7AE9}"/>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C2A227D1-A41C-46CA-96F4-7E6C10C40B19}"/>
  </w:font>
  <w:font w:name="方正仿宋_GBK">
    <w:panose1 w:val="02000000000000000000"/>
    <w:charset w:val="86"/>
    <w:family w:val="auto"/>
    <w:pitch w:val="default"/>
    <w:sig w:usb0="A00002BF" w:usb1="38CF7CFA" w:usb2="00082016" w:usb3="00000000" w:csb0="00040001" w:csb1="00000000"/>
    <w:embedRegular r:id="rId5" w:fontKey="{68E4EE05-7B3A-4EF5-9C21-76D7E28F08F5}"/>
  </w:font>
  <w:font w:name="方正小标宋_GBK">
    <w:panose1 w:val="02000000000000000000"/>
    <w:charset w:val="86"/>
    <w:family w:val="auto"/>
    <w:pitch w:val="default"/>
    <w:sig w:usb0="A00002BF" w:usb1="38CF7CFA" w:usb2="00082016" w:usb3="00000000" w:csb0="00040001" w:csb1="00000000"/>
    <w:embedRegular r:id="rId6" w:fontKey="{F8508DCB-1DE7-4C32-ABBC-BE2BC2EE7AAD}"/>
  </w:font>
  <w:font w:name="方正小标宋简体">
    <w:panose1 w:val="02000000000000000000"/>
    <w:charset w:val="86"/>
    <w:family w:val="auto"/>
    <w:pitch w:val="default"/>
    <w:sig w:usb0="00000001" w:usb1="08000000" w:usb2="00000000" w:usb3="00000000" w:csb0="00040000" w:csb1="00000000"/>
    <w:embedRegular r:id="rId7" w:fontKey="{706B79E0-3D52-483D-8018-3BDBFA53A984}"/>
  </w:font>
  <w:font w:name="方正正黑_GBK">
    <w:panose1 w:val="02000000000000000000"/>
    <w:charset w:val="86"/>
    <w:family w:val="auto"/>
    <w:pitch w:val="default"/>
    <w:sig w:usb0="A00002BF" w:usb1="38CF7CFA" w:usb2="00082016" w:usb3="00000000" w:csb0="00040001" w:csb1="00000000"/>
    <w:embedRegular r:id="rId8" w:fontKey="{93795959-CFB3-42F7-8FCE-DCB41AD3842A}"/>
  </w:font>
  <w:font w:name="方正仿宋_GB2312">
    <w:panose1 w:val="02000000000000000000"/>
    <w:charset w:val="86"/>
    <w:family w:val="auto"/>
    <w:pitch w:val="default"/>
    <w:sig w:usb0="A00002BF" w:usb1="184F6CFA" w:usb2="00000012" w:usb3="00000000" w:csb0="00040001" w:csb1="00000000"/>
    <w:embedRegular r:id="rId9" w:fontKey="{31E92E23-BF0E-40C7-BDAF-BE329EA4BA7C}"/>
  </w:font>
  <w:font w:name="Microsoft YaHei UI">
    <w:panose1 w:val="020B0503020204020204"/>
    <w:charset w:val="86"/>
    <w:family w:val="auto"/>
    <w:pitch w:val="default"/>
    <w:sig w:usb0="80000287" w:usb1="2ACF3C50" w:usb2="00000016" w:usb3="00000000" w:csb0="0004001F" w:csb1="00000000"/>
    <w:embedRegular r:id="rId10" w:fontKey="{346663F5-5D30-423F-9C60-7A35A8B2001A}"/>
  </w:font>
  <w:font w:name="方正楷体_GBK">
    <w:panose1 w:val="02000000000000000000"/>
    <w:charset w:val="86"/>
    <w:family w:val="auto"/>
    <w:pitch w:val="default"/>
    <w:sig w:usb0="800002BF" w:usb1="38CF7CFA" w:usb2="00000016" w:usb3="00000000" w:csb0="00040000" w:csb1="00000000"/>
    <w:embedRegular r:id="rId11" w:fontKey="{E2D585C3-DD23-4A16-B527-AF3BCF2477D8}"/>
  </w:font>
  <w:font w:name="方正公文小标宋">
    <w:panose1 w:val="02000500000000000000"/>
    <w:charset w:val="86"/>
    <w:family w:val="auto"/>
    <w:pitch w:val="default"/>
    <w:sig w:usb0="A00002BF" w:usb1="38CF7CFA" w:usb2="00000016" w:usb3="00000000" w:csb0="00040001" w:csb1="00000000"/>
    <w:embedRegular r:id="rId12" w:fontKey="{F429BA16-C8AE-4260-892C-AC098F52E4E4}"/>
  </w:font>
  <w:font w:name="微软雅黑">
    <w:panose1 w:val="020B0503020204020204"/>
    <w:charset w:val="86"/>
    <w:family w:val="auto"/>
    <w:pitch w:val="default"/>
    <w:sig w:usb0="80000287" w:usb1="2ACF3C50" w:usb2="00000016" w:usb3="00000000" w:csb0="0004001F" w:csb1="00000000"/>
    <w:embedRegular r:id="rId13" w:fontKey="{9339FF47-7343-419D-9794-C17A301F6D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同心县长征路（东兴街-红军路）雨污分流项目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7"/>
      <w:pBdr>
        <w:bottom w:val="double" w:color="auto" w:sz="8"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2"/>
        <w:szCs w:val="22"/>
        <w:lang w:val="en-US" w:eastAsia="zh-CN"/>
      </w:rPr>
      <w:t>同心县长征路（东兴街-红军路）雨污分流项目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F73923"/>
    <w:multiLevelType w:val="singleLevel"/>
    <w:tmpl w:val="C5F73923"/>
    <w:lvl w:ilvl="0" w:tentative="0">
      <w:start w:val="3"/>
      <w:numFmt w:val="decimal"/>
      <w:lvlText w:val="%1."/>
      <w:lvlJc w:val="left"/>
      <w:pPr>
        <w:tabs>
          <w:tab w:val="left" w:pos="312"/>
        </w:tabs>
      </w:pPr>
    </w:lvl>
  </w:abstractNum>
  <w:abstractNum w:abstractNumId="1">
    <w:nsid w:val="E0B2C9DB"/>
    <w:multiLevelType w:val="singleLevel"/>
    <w:tmpl w:val="E0B2C9DB"/>
    <w:lvl w:ilvl="0" w:tentative="0">
      <w:start w:val="2"/>
      <w:numFmt w:val="chineseCounting"/>
      <w:suff w:val="nothing"/>
      <w:lvlText w:val="（%1）"/>
      <w:lvlJc w:val="left"/>
      <w:rPr>
        <w:rFonts w:hint="eastAsia"/>
      </w:rPr>
    </w:lvl>
  </w:abstractNum>
  <w:abstractNum w:abstractNumId="2">
    <w:nsid w:val="FB20EEF5"/>
    <w:multiLevelType w:val="singleLevel"/>
    <w:tmpl w:val="FB20EEF5"/>
    <w:lvl w:ilvl="0" w:tentative="0">
      <w:start w:val="3"/>
      <w:numFmt w:val="chineseCounting"/>
      <w:suff w:val="nothing"/>
      <w:lvlText w:val="%1、"/>
      <w:lvlJc w:val="left"/>
      <w:rPr>
        <w:rFonts w:hint="eastAsia"/>
        <w:color w:val="auto"/>
      </w:rPr>
    </w:lvl>
  </w:abstractNum>
  <w:abstractNum w:abstractNumId="3">
    <w:nsid w:val="343FE16D"/>
    <w:multiLevelType w:val="singleLevel"/>
    <w:tmpl w:val="343FE16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201518"/>
    <w:rsid w:val="002E1F6F"/>
    <w:rsid w:val="003A4DF7"/>
    <w:rsid w:val="008F6EB2"/>
    <w:rsid w:val="00C83FFA"/>
    <w:rsid w:val="00C90E0C"/>
    <w:rsid w:val="00F1191B"/>
    <w:rsid w:val="010351AA"/>
    <w:rsid w:val="010C7928"/>
    <w:rsid w:val="01277E1F"/>
    <w:rsid w:val="013B0A52"/>
    <w:rsid w:val="01711D58"/>
    <w:rsid w:val="017A7D53"/>
    <w:rsid w:val="019978BC"/>
    <w:rsid w:val="01A22C15"/>
    <w:rsid w:val="01C25C5B"/>
    <w:rsid w:val="02693F89"/>
    <w:rsid w:val="027C2EB7"/>
    <w:rsid w:val="02B726F0"/>
    <w:rsid w:val="02D908B8"/>
    <w:rsid w:val="031F0282"/>
    <w:rsid w:val="03321D76"/>
    <w:rsid w:val="03782AE9"/>
    <w:rsid w:val="038D38F1"/>
    <w:rsid w:val="038F5644"/>
    <w:rsid w:val="03C350C4"/>
    <w:rsid w:val="03EA5065"/>
    <w:rsid w:val="04673092"/>
    <w:rsid w:val="047634C9"/>
    <w:rsid w:val="047C6EF7"/>
    <w:rsid w:val="049979AA"/>
    <w:rsid w:val="04C33478"/>
    <w:rsid w:val="04CB2483"/>
    <w:rsid w:val="04E27272"/>
    <w:rsid w:val="05127FF8"/>
    <w:rsid w:val="05373674"/>
    <w:rsid w:val="0541375B"/>
    <w:rsid w:val="057E08FD"/>
    <w:rsid w:val="05900713"/>
    <w:rsid w:val="05DE7F94"/>
    <w:rsid w:val="05E661B9"/>
    <w:rsid w:val="06310741"/>
    <w:rsid w:val="067B3A34"/>
    <w:rsid w:val="06935222"/>
    <w:rsid w:val="0736353E"/>
    <w:rsid w:val="07752028"/>
    <w:rsid w:val="079B438E"/>
    <w:rsid w:val="07B83E73"/>
    <w:rsid w:val="07C669DF"/>
    <w:rsid w:val="07DC0B0F"/>
    <w:rsid w:val="07F7533D"/>
    <w:rsid w:val="07F97C28"/>
    <w:rsid w:val="084314D4"/>
    <w:rsid w:val="08670714"/>
    <w:rsid w:val="08A2629B"/>
    <w:rsid w:val="08A54D99"/>
    <w:rsid w:val="08D765EB"/>
    <w:rsid w:val="08D76EEE"/>
    <w:rsid w:val="09087391"/>
    <w:rsid w:val="091C4700"/>
    <w:rsid w:val="093F146D"/>
    <w:rsid w:val="09450925"/>
    <w:rsid w:val="094E2BC9"/>
    <w:rsid w:val="09560D5F"/>
    <w:rsid w:val="0978425B"/>
    <w:rsid w:val="09B36186"/>
    <w:rsid w:val="09C91745"/>
    <w:rsid w:val="09EE451A"/>
    <w:rsid w:val="0A104DC5"/>
    <w:rsid w:val="0A1421D6"/>
    <w:rsid w:val="0A1441B8"/>
    <w:rsid w:val="0A482F82"/>
    <w:rsid w:val="0A9E5F43"/>
    <w:rsid w:val="0AA96DC2"/>
    <w:rsid w:val="0B1A65E0"/>
    <w:rsid w:val="0BA37CB5"/>
    <w:rsid w:val="0C063DA0"/>
    <w:rsid w:val="0C126BE9"/>
    <w:rsid w:val="0C282D88"/>
    <w:rsid w:val="0D112862"/>
    <w:rsid w:val="0D1B3E33"/>
    <w:rsid w:val="0D8710B2"/>
    <w:rsid w:val="0DA75E3E"/>
    <w:rsid w:val="0DF16443"/>
    <w:rsid w:val="0DF27CB1"/>
    <w:rsid w:val="0E034675"/>
    <w:rsid w:val="0E2520B0"/>
    <w:rsid w:val="0E294B7B"/>
    <w:rsid w:val="0E3B683E"/>
    <w:rsid w:val="0E411EBB"/>
    <w:rsid w:val="0E6B4917"/>
    <w:rsid w:val="0E736CB5"/>
    <w:rsid w:val="0EA855E3"/>
    <w:rsid w:val="0EB437A1"/>
    <w:rsid w:val="0EE8142C"/>
    <w:rsid w:val="0F0355A7"/>
    <w:rsid w:val="0F046CBD"/>
    <w:rsid w:val="0F812D08"/>
    <w:rsid w:val="0FBA6D07"/>
    <w:rsid w:val="0FC1070A"/>
    <w:rsid w:val="0FC2315B"/>
    <w:rsid w:val="0FC65D57"/>
    <w:rsid w:val="0FE268D2"/>
    <w:rsid w:val="104430E9"/>
    <w:rsid w:val="10594DE6"/>
    <w:rsid w:val="107F4121"/>
    <w:rsid w:val="10923E54"/>
    <w:rsid w:val="10B25245"/>
    <w:rsid w:val="10B4026F"/>
    <w:rsid w:val="10C80003"/>
    <w:rsid w:val="10C84E97"/>
    <w:rsid w:val="10F70CB9"/>
    <w:rsid w:val="10F77955"/>
    <w:rsid w:val="11056146"/>
    <w:rsid w:val="11326D9C"/>
    <w:rsid w:val="11576F43"/>
    <w:rsid w:val="11877731"/>
    <w:rsid w:val="11B77E8A"/>
    <w:rsid w:val="12057474"/>
    <w:rsid w:val="123478B9"/>
    <w:rsid w:val="12780A7F"/>
    <w:rsid w:val="12A803F6"/>
    <w:rsid w:val="12B800BB"/>
    <w:rsid w:val="12FD628C"/>
    <w:rsid w:val="1306193D"/>
    <w:rsid w:val="1318456C"/>
    <w:rsid w:val="136A10B9"/>
    <w:rsid w:val="138163C4"/>
    <w:rsid w:val="1394409D"/>
    <w:rsid w:val="13D16037"/>
    <w:rsid w:val="14052277"/>
    <w:rsid w:val="140762D7"/>
    <w:rsid w:val="14246F26"/>
    <w:rsid w:val="14642D3C"/>
    <w:rsid w:val="14A86D78"/>
    <w:rsid w:val="14AD3953"/>
    <w:rsid w:val="14D16908"/>
    <w:rsid w:val="14D659B8"/>
    <w:rsid w:val="14EB6229"/>
    <w:rsid w:val="14FB253E"/>
    <w:rsid w:val="151B68BE"/>
    <w:rsid w:val="152E495E"/>
    <w:rsid w:val="157F13EB"/>
    <w:rsid w:val="15BC373C"/>
    <w:rsid w:val="15D25F85"/>
    <w:rsid w:val="15D614F9"/>
    <w:rsid w:val="15E50ECA"/>
    <w:rsid w:val="15EE7D7F"/>
    <w:rsid w:val="16201F02"/>
    <w:rsid w:val="164125A5"/>
    <w:rsid w:val="164E6403"/>
    <w:rsid w:val="165E3157"/>
    <w:rsid w:val="169D3553"/>
    <w:rsid w:val="17C26244"/>
    <w:rsid w:val="18070836"/>
    <w:rsid w:val="182F2E27"/>
    <w:rsid w:val="18660DB4"/>
    <w:rsid w:val="18B25451"/>
    <w:rsid w:val="18CC35FF"/>
    <w:rsid w:val="18D555BD"/>
    <w:rsid w:val="190012D5"/>
    <w:rsid w:val="19041ACF"/>
    <w:rsid w:val="197D3E63"/>
    <w:rsid w:val="19A1361E"/>
    <w:rsid w:val="19A5758A"/>
    <w:rsid w:val="19A84F19"/>
    <w:rsid w:val="19AD7F51"/>
    <w:rsid w:val="1A11557B"/>
    <w:rsid w:val="1A2F552A"/>
    <w:rsid w:val="1A394CFA"/>
    <w:rsid w:val="1A725422"/>
    <w:rsid w:val="1ABD2416"/>
    <w:rsid w:val="1AED2CFB"/>
    <w:rsid w:val="1B0B13D3"/>
    <w:rsid w:val="1B587F55"/>
    <w:rsid w:val="1B682381"/>
    <w:rsid w:val="1B6D0497"/>
    <w:rsid w:val="1B7B1CF8"/>
    <w:rsid w:val="1BBE1FA1"/>
    <w:rsid w:val="1BED0AD9"/>
    <w:rsid w:val="1C741C79"/>
    <w:rsid w:val="1CB554E1"/>
    <w:rsid w:val="1CE014E1"/>
    <w:rsid w:val="1CFE5775"/>
    <w:rsid w:val="1D2F4821"/>
    <w:rsid w:val="1D4F132F"/>
    <w:rsid w:val="1D501C9D"/>
    <w:rsid w:val="1D5C5F16"/>
    <w:rsid w:val="1D5F1562"/>
    <w:rsid w:val="1D7B132A"/>
    <w:rsid w:val="1D8B2357"/>
    <w:rsid w:val="1DBB5310"/>
    <w:rsid w:val="1DC45FEE"/>
    <w:rsid w:val="1DFC45E7"/>
    <w:rsid w:val="1E3D7AF5"/>
    <w:rsid w:val="1E7B05EF"/>
    <w:rsid w:val="1EE937D9"/>
    <w:rsid w:val="1F051A31"/>
    <w:rsid w:val="1F191147"/>
    <w:rsid w:val="1F3724EF"/>
    <w:rsid w:val="1F4629DA"/>
    <w:rsid w:val="1F750731"/>
    <w:rsid w:val="1F955F35"/>
    <w:rsid w:val="1F9F033C"/>
    <w:rsid w:val="1FB4604C"/>
    <w:rsid w:val="1FC05264"/>
    <w:rsid w:val="1FCC06CD"/>
    <w:rsid w:val="20040FA2"/>
    <w:rsid w:val="203E32AB"/>
    <w:rsid w:val="207812B9"/>
    <w:rsid w:val="20987265"/>
    <w:rsid w:val="2103414C"/>
    <w:rsid w:val="21120767"/>
    <w:rsid w:val="215108D1"/>
    <w:rsid w:val="21577FE6"/>
    <w:rsid w:val="218D141D"/>
    <w:rsid w:val="21920158"/>
    <w:rsid w:val="219353AC"/>
    <w:rsid w:val="21D104AE"/>
    <w:rsid w:val="22111139"/>
    <w:rsid w:val="221E4098"/>
    <w:rsid w:val="223C7432"/>
    <w:rsid w:val="22407BB4"/>
    <w:rsid w:val="227F1403"/>
    <w:rsid w:val="23244678"/>
    <w:rsid w:val="23256680"/>
    <w:rsid w:val="23487B6D"/>
    <w:rsid w:val="23584854"/>
    <w:rsid w:val="23637058"/>
    <w:rsid w:val="23687A05"/>
    <w:rsid w:val="23825220"/>
    <w:rsid w:val="23E8200D"/>
    <w:rsid w:val="23EB612F"/>
    <w:rsid w:val="23FA0237"/>
    <w:rsid w:val="24015121"/>
    <w:rsid w:val="242B2707"/>
    <w:rsid w:val="24455956"/>
    <w:rsid w:val="24533EA6"/>
    <w:rsid w:val="24A44DE5"/>
    <w:rsid w:val="24AD72EE"/>
    <w:rsid w:val="24AF2BFF"/>
    <w:rsid w:val="25113E0C"/>
    <w:rsid w:val="25385710"/>
    <w:rsid w:val="253D61DA"/>
    <w:rsid w:val="25567AC1"/>
    <w:rsid w:val="25796D0E"/>
    <w:rsid w:val="25963936"/>
    <w:rsid w:val="25A965A9"/>
    <w:rsid w:val="25FF2DD9"/>
    <w:rsid w:val="26031BE1"/>
    <w:rsid w:val="26087208"/>
    <w:rsid w:val="26100882"/>
    <w:rsid w:val="265C0D35"/>
    <w:rsid w:val="26993D37"/>
    <w:rsid w:val="26D12065"/>
    <w:rsid w:val="26E34FB2"/>
    <w:rsid w:val="272621AB"/>
    <w:rsid w:val="273264EE"/>
    <w:rsid w:val="27341AD8"/>
    <w:rsid w:val="274F43F6"/>
    <w:rsid w:val="279A52BC"/>
    <w:rsid w:val="27CE7A10"/>
    <w:rsid w:val="27E62FAC"/>
    <w:rsid w:val="281D6102"/>
    <w:rsid w:val="28A11882"/>
    <w:rsid w:val="28B13905"/>
    <w:rsid w:val="28D2314B"/>
    <w:rsid w:val="28D23530"/>
    <w:rsid w:val="28D47992"/>
    <w:rsid w:val="28E04120"/>
    <w:rsid w:val="28EC2844"/>
    <w:rsid w:val="291B2506"/>
    <w:rsid w:val="291E3C63"/>
    <w:rsid w:val="29387837"/>
    <w:rsid w:val="295D5A2E"/>
    <w:rsid w:val="2961229A"/>
    <w:rsid w:val="298E6086"/>
    <w:rsid w:val="29972B84"/>
    <w:rsid w:val="299B03D8"/>
    <w:rsid w:val="299F1664"/>
    <w:rsid w:val="29B35110"/>
    <w:rsid w:val="29E67293"/>
    <w:rsid w:val="2A08236A"/>
    <w:rsid w:val="2A3744E2"/>
    <w:rsid w:val="2A4468E8"/>
    <w:rsid w:val="2A7A0614"/>
    <w:rsid w:val="2A88139D"/>
    <w:rsid w:val="2B04761D"/>
    <w:rsid w:val="2B31540B"/>
    <w:rsid w:val="2BF612E4"/>
    <w:rsid w:val="2C036099"/>
    <w:rsid w:val="2C07626C"/>
    <w:rsid w:val="2C1B6AD8"/>
    <w:rsid w:val="2C265B3F"/>
    <w:rsid w:val="2C365B84"/>
    <w:rsid w:val="2C54430A"/>
    <w:rsid w:val="2C75342B"/>
    <w:rsid w:val="2C950AFD"/>
    <w:rsid w:val="2CD07D87"/>
    <w:rsid w:val="2D023ACE"/>
    <w:rsid w:val="2D3477DA"/>
    <w:rsid w:val="2D921854"/>
    <w:rsid w:val="2DB73DD3"/>
    <w:rsid w:val="2DBA5D46"/>
    <w:rsid w:val="2DC2093D"/>
    <w:rsid w:val="2DDE3B1B"/>
    <w:rsid w:val="2DEA5335"/>
    <w:rsid w:val="2E0E34EA"/>
    <w:rsid w:val="2E167542"/>
    <w:rsid w:val="2E512AC0"/>
    <w:rsid w:val="2E59154F"/>
    <w:rsid w:val="2E643D0B"/>
    <w:rsid w:val="2E7C1412"/>
    <w:rsid w:val="2E8D2405"/>
    <w:rsid w:val="2E906246"/>
    <w:rsid w:val="2E96490B"/>
    <w:rsid w:val="2EB82AC2"/>
    <w:rsid w:val="2EDF2503"/>
    <w:rsid w:val="2EF064BE"/>
    <w:rsid w:val="2F666780"/>
    <w:rsid w:val="2F96257F"/>
    <w:rsid w:val="2F9953DE"/>
    <w:rsid w:val="3034687E"/>
    <w:rsid w:val="304940ED"/>
    <w:rsid w:val="308C3833"/>
    <w:rsid w:val="3095731D"/>
    <w:rsid w:val="30B06230"/>
    <w:rsid w:val="30D50061"/>
    <w:rsid w:val="31164343"/>
    <w:rsid w:val="317928C0"/>
    <w:rsid w:val="317D7F2F"/>
    <w:rsid w:val="31980977"/>
    <w:rsid w:val="31A041CB"/>
    <w:rsid w:val="31E5120A"/>
    <w:rsid w:val="31EB3B69"/>
    <w:rsid w:val="31FC6110"/>
    <w:rsid w:val="32094867"/>
    <w:rsid w:val="320C589F"/>
    <w:rsid w:val="32C75788"/>
    <w:rsid w:val="3301513E"/>
    <w:rsid w:val="33016EEC"/>
    <w:rsid w:val="3305508A"/>
    <w:rsid w:val="330E3209"/>
    <w:rsid w:val="33210D4B"/>
    <w:rsid w:val="333C6176"/>
    <w:rsid w:val="33753436"/>
    <w:rsid w:val="338B4A07"/>
    <w:rsid w:val="33AE6A83"/>
    <w:rsid w:val="33DE4B65"/>
    <w:rsid w:val="33F20148"/>
    <w:rsid w:val="34326032"/>
    <w:rsid w:val="344C36D7"/>
    <w:rsid w:val="34790D04"/>
    <w:rsid w:val="347D25A2"/>
    <w:rsid w:val="349124F1"/>
    <w:rsid w:val="34CF6284"/>
    <w:rsid w:val="34D10B40"/>
    <w:rsid w:val="34D94D78"/>
    <w:rsid w:val="34E43BF0"/>
    <w:rsid w:val="34FA0BAE"/>
    <w:rsid w:val="351A64B4"/>
    <w:rsid w:val="356C2617"/>
    <w:rsid w:val="35A77929"/>
    <w:rsid w:val="360B791F"/>
    <w:rsid w:val="3666011F"/>
    <w:rsid w:val="366C6D72"/>
    <w:rsid w:val="36794130"/>
    <w:rsid w:val="36A04C6E"/>
    <w:rsid w:val="36B23CFD"/>
    <w:rsid w:val="36CC15BF"/>
    <w:rsid w:val="3711163C"/>
    <w:rsid w:val="373A57E1"/>
    <w:rsid w:val="375A12C0"/>
    <w:rsid w:val="379D4EBE"/>
    <w:rsid w:val="37D93A30"/>
    <w:rsid w:val="37F010D8"/>
    <w:rsid w:val="380B25BB"/>
    <w:rsid w:val="3814659C"/>
    <w:rsid w:val="38250B51"/>
    <w:rsid w:val="3846715C"/>
    <w:rsid w:val="38D9614F"/>
    <w:rsid w:val="39513FFD"/>
    <w:rsid w:val="39651647"/>
    <w:rsid w:val="3999642E"/>
    <w:rsid w:val="399A16BA"/>
    <w:rsid w:val="39EC58CA"/>
    <w:rsid w:val="39FB2B8C"/>
    <w:rsid w:val="3A1F1BFC"/>
    <w:rsid w:val="3A3F02FA"/>
    <w:rsid w:val="3A5D44DB"/>
    <w:rsid w:val="3A887938"/>
    <w:rsid w:val="3A9262F0"/>
    <w:rsid w:val="3AA730DA"/>
    <w:rsid w:val="3ABF7459"/>
    <w:rsid w:val="3AC30F2B"/>
    <w:rsid w:val="3ACE0312"/>
    <w:rsid w:val="3AE54968"/>
    <w:rsid w:val="3AED2368"/>
    <w:rsid w:val="3B261658"/>
    <w:rsid w:val="3B405F4E"/>
    <w:rsid w:val="3B500B8C"/>
    <w:rsid w:val="3B6A58C7"/>
    <w:rsid w:val="3BB05953"/>
    <w:rsid w:val="3BCB0097"/>
    <w:rsid w:val="3C44609B"/>
    <w:rsid w:val="3C460065"/>
    <w:rsid w:val="3C653FC1"/>
    <w:rsid w:val="3CA32DC2"/>
    <w:rsid w:val="3D2757A1"/>
    <w:rsid w:val="3D3A3FFF"/>
    <w:rsid w:val="3D430101"/>
    <w:rsid w:val="3D5F5ADC"/>
    <w:rsid w:val="3D7E4565"/>
    <w:rsid w:val="3DB50FFF"/>
    <w:rsid w:val="3DCC1004"/>
    <w:rsid w:val="3DED69EA"/>
    <w:rsid w:val="3E4A5E49"/>
    <w:rsid w:val="3E505673"/>
    <w:rsid w:val="3E6D2B8B"/>
    <w:rsid w:val="3E783CB3"/>
    <w:rsid w:val="3EBE2D5F"/>
    <w:rsid w:val="3EDE4585"/>
    <w:rsid w:val="3EE17BD1"/>
    <w:rsid w:val="3EEF0540"/>
    <w:rsid w:val="3EF96114"/>
    <w:rsid w:val="3F1964EA"/>
    <w:rsid w:val="3F4A06EC"/>
    <w:rsid w:val="3F6E5909"/>
    <w:rsid w:val="3F8E7913"/>
    <w:rsid w:val="3F8E7D59"/>
    <w:rsid w:val="3F8F3AD1"/>
    <w:rsid w:val="3FB83028"/>
    <w:rsid w:val="3FBE4FEF"/>
    <w:rsid w:val="40453D92"/>
    <w:rsid w:val="405A5E8D"/>
    <w:rsid w:val="405B60A8"/>
    <w:rsid w:val="409C3B18"/>
    <w:rsid w:val="409C64A6"/>
    <w:rsid w:val="40B01ADB"/>
    <w:rsid w:val="40B732E0"/>
    <w:rsid w:val="40D03C01"/>
    <w:rsid w:val="40D90DBF"/>
    <w:rsid w:val="40DA38D7"/>
    <w:rsid w:val="40E81398"/>
    <w:rsid w:val="40F40090"/>
    <w:rsid w:val="4101455B"/>
    <w:rsid w:val="410336E1"/>
    <w:rsid w:val="4110479E"/>
    <w:rsid w:val="41553248"/>
    <w:rsid w:val="417052AF"/>
    <w:rsid w:val="418A4550"/>
    <w:rsid w:val="41931C61"/>
    <w:rsid w:val="419D4F33"/>
    <w:rsid w:val="41D70E14"/>
    <w:rsid w:val="41E7246F"/>
    <w:rsid w:val="41F30D48"/>
    <w:rsid w:val="42500DFE"/>
    <w:rsid w:val="4262727B"/>
    <w:rsid w:val="428423CE"/>
    <w:rsid w:val="42E3660E"/>
    <w:rsid w:val="430A1DED"/>
    <w:rsid w:val="435E7A42"/>
    <w:rsid w:val="43654FAA"/>
    <w:rsid w:val="437B6846"/>
    <w:rsid w:val="439A2BC7"/>
    <w:rsid w:val="43F54BF4"/>
    <w:rsid w:val="44112D07"/>
    <w:rsid w:val="446A7A9E"/>
    <w:rsid w:val="44A818BD"/>
    <w:rsid w:val="44D02BC2"/>
    <w:rsid w:val="44D67B06"/>
    <w:rsid w:val="44F77015"/>
    <w:rsid w:val="45034416"/>
    <w:rsid w:val="450F36EA"/>
    <w:rsid w:val="45156827"/>
    <w:rsid w:val="45580516"/>
    <w:rsid w:val="455C18CC"/>
    <w:rsid w:val="459C4B6B"/>
    <w:rsid w:val="459F5674"/>
    <w:rsid w:val="45F418B3"/>
    <w:rsid w:val="45FD79E7"/>
    <w:rsid w:val="463C0759"/>
    <w:rsid w:val="464511E4"/>
    <w:rsid w:val="46624259"/>
    <w:rsid w:val="46C155FF"/>
    <w:rsid w:val="46C44060"/>
    <w:rsid w:val="46DF5F90"/>
    <w:rsid w:val="471E751C"/>
    <w:rsid w:val="472900CD"/>
    <w:rsid w:val="473311D8"/>
    <w:rsid w:val="47384869"/>
    <w:rsid w:val="47530F1F"/>
    <w:rsid w:val="4766440C"/>
    <w:rsid w:val="47A33126"/>
    <w:rsid w:val="47A76A1D"/>
    <w:rsid w:val="47B70069"/>
    <w:rsid w:val="47B95B8F"/>
    <w:rsid w:val="47D334DC"/>
    <w:rsid w:val="481D292E"/>
    <w:rsid w:val="48534CDB"/>
    <w:rsid w:val="48735D3E"/>
    <w:rsid w:val="488F195B"/>
    <w:rsid w:val="48A2254D"/>
    <w:rsid w:val="49047659"/>
    <w:rsid w:val="49072C4A"/>
    <w:rsid w:val="493F20C4"/>
    <w:rsid w:val="496D1725"/>
    <w:rsid w:val="498C7B7B"/>
    <w:rsid w:val="49A80A70"/>
    <w:rsid w:val="49A91AEF"/>
    <w:rsid w:val="49EE685A"/>
    <w:rsid w:val="49F25388"/>
    <w:rsid w:val="4A045B66"/>
    <w:rsid w:val="4A0D5D1E"/>
    <w:rsid w:val="4A1470AD"/>
    <w:rsid w:val="4A330F8F"/>
    <w:rsid w:val="4A471230"/>
    <w:rsid w:val="4A6E0EB3"/>
    <w:rsid w:val="4A755EA0"/>
    <w:rsid w:val="4A990A3F"/>
    <w:rsid w:val="4AB663B6"/>
    <w:rsid w:val="4AC24D5B"/>
    <w:rsid w:val="4B700C5B"/>
    <w:rsid w:val="4BA20AB1"/>
    <w:rsid w:val="4C07336D"/>
    <w:rsid w:val="4C126731"/>
    <w:rsid w:val="4C1B5BC3"/>
    <w:rsid w:val="4C561BFF"/>
    <w:rsid w:val="4C6C277D"/>
    <w:rsid w:val="4C80439B"/>
    <w:rsid w:val="4CD82614"/>
    <w:rsid w:val="4D0C672C"/>
    <w:rsid w:val="4D161DBB"/>
    <w:rsid w:val="4D283D09"/>
    <w:rsid w:val="4D650BDF"/>
    <w:rsid w:val="4D666D5C"/>
    <w:rsid w:val="4DAE09A0"/>
    <w:rsid w:val="4DB841F3"/>
    <w:rsid w:val="4DE92870"/>
    <w:rsid w:val="4E10402F"/>
    <w:rsid w:val="4E1F474B"/>
    <w:rsid w:val="4E2A0721"/>
    <w:rsid w:val="4E612ADD"/>
    <w:rsid w:val="4E8651D3"/>
    <w:rsid w:val="4EA2112B"/>
    <w:rsid w:val="4EB35342"/>
    <w:rsid w:val="4EC512BE"/>
    <w:rsid w:val="4F3750BB"/>
    <w:rsid w:val="4F5E6B81"/>
    <w:rsid w:val="4F813436"/>
    <w:rsid w:val="4FC73DE1"/>
    <w:rsid w:val="4FF27E90"/>
    <w:rsid w:val="50485D02"/>
    <w:rsid w:val="507E7856"/>
    <w:rsid w:val="5080118E"/>
    <w:rsid w:val="50826CFE"/>
    <w:rsid w:val="509C7DFC"/>
    <w:rsid w:val="50F9524E"/>
    <w:rsid w:val="514507F5"/>
    <w:rsid w:val="51656007"/>
    <w:rsid w:val="516F72BF"/>
    <w:rsid w:val="519D207E"/>
    <w:rsid w:val="51CF6940"/>
    <w:rsid w:val="51D610EC"/>
    <w:rsid w:val="51E7154B"/>
    <w:rsid w:val="52132340"/>
    <w:rsid w:val="522B58DB"/>
    <w:rsid w:val="523508CE"/>
    <w:rsid w:val="52467A28"/>
    <w:rsid w:val="526910A0"/>
    <w:rsid w:val="527340DC"/>
    <w:rsid w:val="527A2773"/>
    <w:rsid w:val="527F195C"/>
    <w:rsid w:val="52A167DD"/>
    <w:rsid w:val="52C44910"/>
    <w:rsid w:val="52FE4D9E"/>
    <w:rsid w:val="530312CF"/>
    <w:rsid w:val="530F2210"/>
    <w:rsid w:val="53146370"/>
    <w:rsid w:val="53487DC7"/>
    <w:rsid w:val="534C038B"/>
    <w:rsid w:val="53590226"/>
    <w:rsid w:val="53620E89"/>
    <w:rsid w:val="53837B15"/>
    <w:rsid w:val="53901D3A"/>
    <w:rsid w:val="53BB54EB"/>
    <w:rsid w:val="541C372E"/>
    <w:rsid w:val="545D78A2"/>
    <w:rsid w:val="545F7A68"/>
    <w:rsid w:val="54871D18"/>
    <w:rsid w:val="55636855"/>
    <w:rsid w:val="55E53FF3"/>
    <w:rsid w:val="55F43C7C"/>
    <w:rsid w:val="56150435"/>
    <w:rsid w:val="56250D50"/>
    <w:rsid w:val="566C4581"/>
    <w:rsid w:val="56815ACA"/>
    <w:rsid w:val="5684380C"/>
    <w:rsid w:val="56C62FC9"/>
    <w:rsid w:val="56C86EBE"/>
    <w:rsid w:val="5746093D"/>
    <w:rsid w:val="57B22162"/>
    <w:rsid w:val="57F64296"/>
    <w:rsid w:val="5825050B"/>
    <w:rsid w:val="58366D88"/>
    <w:rsid w:val="5855178F"/>
    <w:rsid w:val="58B8408C"/>
    <w:rsid w:val="58C53371"/>
    <w:rsid w:val="592503CD"/>
    <w:rsid w:val="592A0B9B"/>
    <w:rsid w:val="596F37BB"/>
    <w:rsid w:val="59883613"/>
    <w:rsid w:val="59DD74BB"/>
    <w:rsid w:val="59E85E60"/>
    <w:rsid w:val="5A105AE3"/>
    <w:rsid w:val="5A4B36A6"/>
    <w:rsid w:val="5A643739"/>
    <w:rsid w:val="5A851514"/>
    <w:rsid w:val="5AC71F19"/>
    <w:rsid w:val="5ADC3C17"/>
    <w:rsid w:val="5B2737C9"/>
    <w:rsid w:val="5B4672E2"/>
    <w:rsid w:val="5B48305A"/>
    <w:rsid w:val="5BA00781"/>
    <w:rsid w:val="5BAC2854"/>
    <w:rsid w:val="5BB1420F"/>
    <w:rsid w:val="5BC052E6"/>
    <w:rsid w:val="5BE54D4D"/>
    <w:rsid w:val="5BED775E"/>
    <w:rsid w:val="5BF34169"/>
    <w:rsid w:val="5BF35F38"/>
    <w:rsid w:val="5C0F1DCA"/>
    <w:rsid w:val="5C2F0C39"/>
    <w:rsid w:val="5C3655A9"/>
    <w:rsid w:val="5C3B5124"/>
    <w:rsid w:val="5CAF7795"/>
    <w:rsid w:val="5CB00EB7"/>
    <w:rsid w:val="5D086F45"/>
    <w:rsid w:val="5D323FC2"/>
    <w:rsid w:val="5D447851"/>
    <w:rsid w:val="5D69550A"/>
    <w:rsid w:val="5D6B3030"/>
    <w:rsid w:val="5D853F47"/>
    <w:rsid w:val="5DB23274"/>
    <w:rsid w:val="5DCB22E0"/>
    <w:rsid w:val="5DE828D3"/>
    <w:rsid w:val="5DFE15E4"/>
    <w:rsid w:val="5E08551F"/>
    <w:rsid w:val="5E316028"/>
    <w:rsid w:val="5E334E9B"/>
    <w:rsid w:val="5E465887"/>
    <w:rsid w:val="5E525F9E"/>
    <w:rsid w:val="5E6F08FE"/>
    <w:rsid w:val="5E80488C"/>
    <w:rsid w:val="5EBA2711"/>
    <w:rsid w:val="5EFD5F0A"/>
    <w:rsid w:val="5F4B50B2"/>
    <w:rsid w:val="5F745E66"/>
    <w:rsid w:val="5FA171DD"/>
    <w:rsid w:val="5FD749AD"/>
    <w:rsid w:val="6040150D"/>
    <w:rsid w:val="60936B26"/>
    <w:rsid w:val="60AB19AD"/>
    <w:rsid w:val="60C2740B"/>
    <w:rsid w:val="611A0FF5"/>
    <w:rsid w:val="6126799A"/>
    <w:rsid w:val="61495849"/>
    <w:rsid w:val="614C1849"/>
    <w:rsid w:val="615A19EE"/>
    <w:rsid w:val="61675068"/>
    <w:rsid w:val="61797ACD"/>
    <w:rsid w:val="61A60F09"/>
    <w:rsid w:val="61B6264D"/>
    <w:rsid w:val="61B72CE8"/>
    <w:rsid w:val="61CA2D38"/>
    <w:rsid w:val="61D847E7"/>
    <w:rsid w:val="61EA1B28"/>
    <w:rsid w:val="620B4BE9"/>
    <w:rsid w:val="620F40DE"/>
    <w:rsid w:val="620F4F28"/>
    <w:rsid w:val="621041A6"/>
    <w:rsid w:val="621C3593"/>
    <w:rsid w:val="622019C2"/>
    <w:rsid w:val="62516C98"/>
    <w:rsid w:val="62BC2B3E"/>
    <w:rsid w:val="62D022B3"/>
    <w:rsid w:val="62EC7EBD"/>
    <w:rsid w:val="62F35FA1"/>
    <w:rsid w:val="63103B19"/>
    <w:rsid w:val="63222431"/>
    <w:rsid w:val="6338222B"/>
    <w:rsid w:val="634376F0"/>
    <w:rsid w:val="63492023"/>
    <w:rsid w:val="6392405C"/>
    <w:rsid w:val="6393578D"/>
    <w:rsid w:val="63AD0F1B"/>
    <w:rsid w:val="63B9165A"/>
    <w:rsid w:val="63DA61F3"/>
    <w:rsid w:val="643939F0"/>
    <w:rsid w:val="646D6915"/>
    <w:rsid w:val="64A04721"/>
    <w:rsid w:val="64A5151D"/>
    <w:rsid w:val="64DA6254"/>
    <w:rsid w:val="64EA183C"/>
    <w:rsid w:val="652E5FF6"/>
    <w:rsid w:val="654757DE"/>
    <w:rsid w:val="654F3237"/>
    <w:rsid w:val="655C7097"/>
    <w:rsid w:val="65624D19"/>
    <w:rsid w:val="6582360D"/>
    <w:rsid w:val="658A05B5"/>
    <w:rsid w:val="660576BF"/>
    <w:rsid w:val="66307F76"/>
    <w:rsid w:val="66770C98"/>
    <w:rsid w:val="66F23DAD"/>
    <w:rsid w:val="675B4115"/>
    <w:rsid w:val="67AB0D31"/>
    <w:rsid w:val="68242759"/>
    <w:rsid w:val="68324E76"/>
    <w:rsid w:val="6832790E"/>
    <w:rsid w:val="684257ED"/>
    <w:rsid w:val="68672CFF"/>
    <w:rsid w:val="6873723D"/>
    <w:rsid w:val="68B313F6"/>
    <w:rsid w:val="68B64FF8"/>
    <w:rsid w:val="68BC0F70"/>
    <w:rsid w:val="68BC56C0"/>
    <w:rsid w:val="68FE1981"/>
    <w:rsid w:val="690D33B0"/>
    <w:rsid w:val="691E5BA6"/>
    <w:rsid w:val="694105EE"/>
    <w:rsid w:val="698C6256"/>
    <w:rsid w:val="6A384F73"/>
    <w:rsid w:val="6A4B035D"/>
    <w:rsid w:val="6A5437CA"/>
    <w:rsid w:val="6A917936"/>
    <w:rsid w:val="6AC16985"/>
    <w:rsid w:val="6ACA3A8C"/>
    <w:rsid w:val="6AD14E1A"/>
    <w:rsid w:val="6AF23C66"/>
    <w:rsid w:val="6B013226"/>
    <w:rsid w:val="6B1A20D3"/>
    <w:rsid w:val="6B3C483D"/>
    <w:rsid w:val="6B6B233A"/>
    <w:rsid w:val="6BC7335C"/>
    <w:rsid w:val="6BCF1B6D"/>
    <w:rsid w:val="6BDA5E9C"/>
    <w:rsid w:val="6BDB75D3"/>
    <w:rsid w:val="6BEC38B2"/>
    <w:rsid w:val="6C2076DB"/>
    <w:rsid w:val="6C225294"/>
    <w:rsid w:val="6C512C31"/>
    <w:rsid w:val="6D080C39"/>
    <w:rsid w:val="6D67760E"/>
    <w:rsid w:val="6DAD31F1"/>
    <w:rsid w:val="6E227042"/>
    <w:rsid w:val="6E3D4544"/>
    <w:rsid w:val="6E4C2A0A"/>
    <w:rsid w:val="6E641B01"/>
    <w:rsid w:val="6E772DA4"/>
    <w:rsid w:val="6E7D43D0"/>
    <w:rsid w:val="6EEC38DF"/>
    <w:rsid w:val="6F370F76"/>
    <w:rsid w:val="6F5D571E"/>
    <w:rsid w:val="6F965839"/>
    <w:rsid w:val="6FB36D7A"/>
    <w:rsid w:val="6FE216A6"/>
    <w:rsid w:val="70266E22"/>
    <w:rsid w:val="70645DE9"/>
    <w:rsid w:val="709A7A5C"/>
    <w:rsid w:val="70AF0549"/>
    <w:rsid w:val="70D3575F"/>
    <w:rsid w:val="712544FD"/>
    <w:rsid w:val="71302009"/>
    <w:rsid w:val="71324139"/>
    <w:rsid w:val="71387B02"/>
    <w:rsid w:val="717464FF"/>
    <w:rsid w:val="717C4B0F"/>
    <w:rsid w:val="718801FD"/>
    <w:rsid w:val="719808DD"/>
    <w:rsid w:val="71BB65F3"/>
    <w:rsid w:val="71DC41B9"/>
    <w:rsid w:val="71EF02C9"/>
    <w:rsid w:val="71FA34E4"/>
    <w:rsid w:val="723F628B"/>
    <w:rsid w:val="72C9287B"/>
    <w:rsid w:val="72DF4AB8"/>
    <w:rsid w:val="72EC55D7"/>
    <w:rsid w:val="72EF679F"/>
    <w:rsid w:val="72FF004B"/>
    <w:rsid w:val="730B450D"/>
    <w:rsid w:val="7343262D"/>
    <w:rsid w:val="735B6369"/>
    <w:rsid w:val="737C5B3F"/>
    <w:rsid w:val="740A20FF"/>
    <w:rsid w:val="742E4065"/>
    <w:rsid w:val="743838A1"/>
    <w:rsid w:val="74512B28"/>
    <w:rsid w:val="74836A59"/>
    <w:rsid w:val="74BB05BD"/>
    <w:rsid w:val="74DA512E"/>
    <w:rsid w:val="74F160B9"/>
    <w:rsid w:val="75356066"/>
    <w:rsid w:val="759F09EE"/>
    <w:rsid w:val="75E27AD0"/>
    <w:rsid w:val="76554C45"/>
    <w:rsid w:val="767C258A"/>
    <w:rsid w:val="76845A85"/>
    <w:rsid w:val="76AA651F"/>
    <w:rsid w:val="76DD54BE"/>
    <w:rsid w:val="774226B2"/>
    <w:rsid w:val="774A1F82"/>
    <w:rsid w:val="777A6824"/>
    <w:rsid w:val="778F713D"/>
    <w:rsid w:val="77943863"/>
    <w:rsid w:val="77974CF6"/>
    <w:rsid w:val="779E42D6"/>
    <w:rsid w:val="77CE623E"/>
    <w:rsid w:val="77D53A70"/>
    <w:rsid w:val="7800592B"/>
    <w:rsid w:val="782B622E"/>
    <w:rsid w:val="786B4915"/>
    <w:rsid w:val="788F1AD5"/>
    <w:rsid w:val="790627D2"/>
    <w:rsid w:val="793E0D61"/>
    <w:rsid w:val="795E5C05"/>
    <w:rsid w:val="795F1F28"/>
    <w:rsid w:val="795F5CE7"/>
    <w:rsid w:val="796E7CD8"/>
    <w:rsid w:val="79711576"/>
    <w:rsid w:val="79B04931"/>
    <w:rsid w:val="79D87A64"/>
    <w:rsid w:val="79EA19A7"/>
    <w:rsid w:val="7A033FC5"/>
    <w:rsid w:val="7A245FAC"/>
    <w:rsid w:val="7A6B246A"/>
    <w:rsid w:val="7A755C23"/>
    <w:rsid w:val="7A892CDD"/>
    <w:rsid w:val="7AE5221C"/>
    <w:rsid w:val="7AED2E7F"/>
    <w:rsid w:val="7AFB559C"/>
    <w:rsid w:val="7B0270AF"/>
    <w:rsid w:val="7B1E65BC"/>
    <w:rsid w:val="7BB86445"/>
    <w:rsid w:val="7BC6300F"/>
    <w:rsid w:val="7BE451AA"/>
    <w:rsid w:val="7C137A39"/>
    <w:rsid w:val="7C300C55"/>
    <w:rsid w:val="7C662EE9"/>
    <w:rsid w:val="7C8D201B"/>
    <w:rsid w:val="7C9534B9"/>
    <w:rsid w:val="7CB00608"/>
    <w:rsid w:val="7D0C5732"/>
    <w:rsid w:val="7D484972"/>
    <w:rsid w:val="7DA34BE9"/>
    <w:rsid w:val="7DC002CC"/>
    <w:rsid w:val="7DCC321F"/>
    <w:rsid w:val="7E401EC6"/>
    <w:rsid w:val="7E4A6CF6"/>
    <w:rsid w:val="7E550EF8"/>
    <w:rsid w:val="7ECD699E"/>
    <w:rsid w:val="7F100181"/>
    <w:rsid w:val="7F132E6F"/>
    <w:rsid w:val="7F437511"/>
    <w:rsid w:val="7F596D35"/>
    <w:rsid w:val="7F630D7E"/>
    <w:rsid w:val="7F77335A"/>
    <w:rsid w:val="7F855C44"/>
    <w:rsid w:val="7F9B5CCD"/>
    <w:rsid w:val="7FAC2F4F"/>
    <w:rsid w:val="7FAE5B5D"/>
    <w:rsid w:val="7FCB6A63"/>
    <w:rsid w:val="7FE074E7"/>
    <w:rsid w:val="7FEC3E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31"/>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30"/>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2"/>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Body Text Indent 2"/>
    <w:basedOn w:val="1"/>
    <w:next w:val="16"/>
    <w:autoRedefine/>
    <w:qFormat/>
    <w:uiPriority w:val="0"/>
    <w:pPr>
      <w:spacing w:after="120" w:line="480" w:lineRule="auto"/>
      <w:ind w:left="420" w:leftChars="200"/>
    </w:pPr>
    <w:rPr>
      <w:rFonts w:ascii="Times New Roman" w:hAnsi="Times New Roman"/>
    </w:rPr>
  </w:style>
  <w:style w:type="paragraph" w:customStyle="1" w:styleId="16">
    <w:name w:val="样式 样式 样式 样式 小四 行距: 1.5 倍行距 + 首行缩进:  2 字符 + 首行缩进:  2 字符 + 首行缩进:  ..."/>
    <w:basedOn w:val="1"/>
    <w:autoRedefine/>
    <w:qFormat/>
    <w:uiPriority w:val="0"/>
    <w:pPr>
      <w:ind w:firstLine="592"/>
    </w:pPr>
    <w:rPr>
      <w:rFonts w:cs="宋体"/>
      <w:spacing w:val="8"/>
      <w:sz w:val="24"/>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0"/>
  </w:style>
  <w:style w:type="paragraph" w:styleId="19">
    <w:name w:val="toc 2"/>
    <w:basedOn w:val="1"/>
    <w:next w:val="1"/>
    <w:autoRedefine/>
    <w:qFormat/>
    <w:uiPriority w:val="0"/>
    <w:pPr>
      <w:ind w:left="420" w:leftChars="200"/>
    </w:pPr>
  </w:style>
  <w:style w:type="paragraph" w:styleId="20">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1">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2">
    <w:name w:val="Title"/>
    <w:basedOn w:val="1"/>
    <w:next w:val="1"/>
    <w:autoRedefine/>
    <w:qFormat/>
    <w:uiPriority w:val="99"/>
    <w:pPr>
      <w:spacing w:before="240" w:after="60"/>
      <w:jc w:val="center"/>
      <w:outlineLvl w:val="0"/>
    </w:pPr>
    <w:rPr>
      <w:rFonts w:ascii="Cambria" w:hAnsi="Cambria" w:eastAsia="宋体"/>
      <w:b/>
      <w:bCs/>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Emphasis"/>
    <w:basedOn w:val="25"/>
    <w:autoRedefine/>
    <w:qFormat/>
    <w:uiPriority w:val="0"/>
    <w:rPr>
      <w:i/>
    </w:rPr>
  </w:style>
  <w:style w:type="character" w:styleId="28">
    <w:name w:val="Hyperlink"/>
    <w:basedOn w:val="25"/>
    <w:autoRedefine/>
    <w:qFormat/>
    <w:uiPriority w:val="0"/>
    <w:rPr>
      <w:color w:val="0000FF"/>
      <w:u w:val="single"/>
    </w:rPr>
  </w:style>
  <w:style w:type="paragraph" w:customStyle="1" w:styleId="29">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30">
    <w:name w:val="标题 2 Char"/>
    <w:link w:val="4"/>
    <w:autoRedefine/>
    <w:qFormat/>
    <w:uiPriority w:val="0"/>
    <w:rPr>
      <w:rFonts w:ascii="Arial" w:hAnsi="Arial" w:eastAsia="楷体"/>
      <w:b/>
    </w:rPr>
  </w:style>
  <w:style w:type="character" w:customStyle="1" w:styleId="31">
    <w:name w:val="标题 1 Char"/>
    <w:link w:val="3"/>
    <w:autoRedefine/>
    <w:qFormat/>
    <w:uiPriority w:val="0"/>
    <w:rPr>
      <w:rFonts w:eastAsia="黑体"/>
      <w:kern w:val="44"/>
    </w:rPr>
  </w:style>
  <w:style w:type="character" w:customStyle="1" w:styleId="32">
    <w:name w:val="标题 3 Char"/>
    <w:link w:val="5"/>
    <w:autoRedefine/>
    <w:qFormat/>
    <w:uiPriority w:val="0"/>
    <w:rPr>
      <w:b/>
    </w:rPr>
  </w:style>
  <w:style w:type="character" w:customStyle="1" w:styleId="33">
    <w:name w:val="font21"/>
    <w:basedOn w:val="25"/>
    <w:autoRedefine/>
    <w:qFormat/>
    <w:uiPriority w:val="0"/>
    <w:rPr>
      <w:rFonts w:hint="eastAsia" w:ascii="等线" w:hAnsi="等线" w:eastAsia="等线" w:cs="等线"/>
      <w:color w:val="000000"/>
      <w:sz w:val="22"/>
      <w:szCs w:val="22"/>
      <w:u w:val="none"/>
    </w:rPr>
  </w:style>
  <w:style w:type="character" w:customStyle="1" w:styleId="34">
    <w:name w:val="font11"/>
    <w:basedOn w:val="25"/>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5">
    <w:name w:val="font31"/>
    <w:basedOn w:val="25"/>
    <w:autoRedefine/>
    <w:qFormat/>
    <w:uiPriority w:val="0"/>
    <w:rPr>
      <w:rFonts w:hint="eastAsia" w:ascii="方正仿宋_GBK" w:hAnsi="方正仿宋_GBK" w:eastAsia="方正仿宋_GBK" w:cs="方正仿宋_GBK"/>
      <w:color w:val="000000"/>
      <w:sz w:val="22"/>
      <w:szCs w:val="22"/>
      <w:u w:val="none"/>
    </w:rPr>
  </w:style>
  <w:style w:type="table" w:customStyle="1" w:styleId="36">
    <w:name w:val="Table Normal"/>
    <w:autoRedefine/>
    <w:semiHidden/>
    <w:unhideWhenUsed/>
    <w:qFormat/>
    <w:uiPriority w:val="0"/>
    <w:tblPr>
      <w:tblCellMar>
        <w:top w:w="0" w:type="dxa"/>
        <w:left w:w="0" w:type="dxa"/>
        <w:bottom w:w="0" w:type="dxa"/>
        <w:right w:w="0" w:type="dxa"/>
      </w:tblCellMar>
    </w:tblPr>
  </w:style>
  <w:style w:type="character" w:customStyle="1" w:styleId="37">
    <w:name w:val="font81"/>
    <w:basedOn w:val="25"/>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8">
    <w:name w:val="font51"/>
    <w:basedOn w:val="25"/>
    <w:autoRedefine/>
    <w:qFormat/>
    <w:uiPriority w:val="0"/>
    <w:rPr>
      <w:rFonts w:hint="eastAsia" w:ascii="方正仿宋_GBK" w:hAnsi="方正仿宋_GBK" w:eastAsia="方正仿宋_GBK" w:cs="方正仿宋_GBK"/>
      <w:color w:val="000000"/>
      <w:sz w:val="21"/>
      <w:szCs w:val="21"/>
      <w:u w:val="none"/>
    </w:rPr>
  </w:style>
  <w:style w:type="character" w:customStyle="1" w:styleId="39">
    <w:name w:val="font41"/>
    <w:basedOn w:val="25"/>
    <w:autoRedefine/>
    <w:qFormat/>
    <w:uiPriority w:val="0"/>
    <w:rPr>
      <w:rFonts w:hint="default" w:ascii="Times New Roman" w:hAnsi="Times New Roman" w:cs="Times New Roman"/>
      <w:color w:val="000000"/>
      <w:sz w:val="22"/>
      <w:szCs w:val="22"/>
      <w:u w:val="none"/>
    </w:rPr>
  </w:style>
  <w:style w:type="character" w:customStyle="1" w:styleId="40">
    <w:name w:val="font61"/>
    <w:basedOn w:val="25"/>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23048</Words>
  <Characters>24356</Characters>
  <Lines>0</Lines>
  <Paragraphs>0</Paragraphs>
  <TotalTime>26</TotalTime>
  <ScaleCrop>false</ScaleCrop>
  <LinksUpToDate>false</LinksUpToDate>
  <CharactersWithSpaces>24818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2024-01-29T02:56:07Z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9E1DE3E1E19A47888DE808F44275B7CC_13</vt:lpwstr>
  </property>
</Properties>
</file>