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overflowPunct/>
        <w:spacing w:after="0" w:line="276" w:lineRule="auto"/>
        <w:ind w:left="0" w:leftChars="0" w:firstLine="420" w:firstLineChars="0"/>
        <w:jc w:val="center"/>
        <w:rPr>
          <w:rFonts w:hint="eastAsia" w:ascii="黑体" w:hAnsi="黑体" w:eastAsia="黑体" w:cs="Times New Roman"/>
          <w:w w:val="90"/>
          <w:kern w:val="0"/>
          <w:sz w:val="44"/>
          <w:szCs w:val="44"/>
          <w:lang w:val="en-US" w:eastAsia="zh-CN" w:bidi="en-US"/>
        </w:rPr>
      </w:pPr>
    </w:p>
    <w:p>
      <w:pPr>
        <w:pStyle w:val="2"/>
        <w:widowControl/>
        <w:overflowPunct/>
        <w:spacing w:after="0" w:line="276" w:lineRule="auto"/>
        <w:ind w:left="0" w:leftChars="0" w:firstLine="420" w:firstLineChars="0"/>
        <w:jc w:val="center"/>
        <w:rPr>
          <w:rFonts w:hint="eastAsia" w:ascii="黑体" w:hAnsi="黑体" w:eastAsia="黑体" w:cs="Times New Roman"/>
          <w:w w:val="90"/>
          <w:kern w:val="0"/>
          <w:sz w:val="44"/>
          <w:szCs w:val="44"/>
          <w:lang w:val="en-US" w:eastAsia="zh-CN" w:bidi="en-US"/>
        </w:rPr>
      </w:pPr>
    </w:p>
    <w:p>
      <w:pPr>
        <w:pStyle w:val="2"/>
        <w:keepNext w:val="0"/>
        <w:keepLines w:val="0"/>
        <w:pageBreakBefore w:val="0"/>
        <w:widowControl/>
        <w:kinsoku/>
        <w:wordWrap/>
        <w:overflowPunct/>
        <w:topLinePunct w:val="0"/>
        <w:autoSpaceDE/>
        <w:autoSpaceDN/>
        <w:bidi w:val="0"/>
        <w:adjustRightInd/>
        <w:snapToGrid/>
        <w:spacing w:after="0" w:line="760" w:lineRule="exact"/>
        <w:ind w:left="0" w:leftChars="0" w:firstLine="420" w:firstLineChars="0"/>
        <w:jc w:val="center"/>
        <w:textAlignment w:val="auto"/>
        <w:rPr>
          <w:rFonts w:hint="eastAsia" w:ascii="黑体" w:hAnsi="黑体" w:eastAsia="黑体" w:cs="Times New Roman"/>
          <w:kern w:val="0"/>
          <w:sz w:val="44"/>
          <w:szCs w:val="44"/>
          <w:lang w:val="en-US" w:eastAsia="zh-CN" w:bidi="ar-SA"/>
        </w:rPr>
      </w:pPr>
      <w:r>
        <w:rPr>
          <w:rFonts w:hint="eastAsia" w:ascii="黑体" w:hAnsi="黑体" w:eastAsia="黑体" w:cs="Times New Roman"/>
          <w:kern w:val="0"/>
          <w:sz w:val="44"/>
          <w:szCs w:val="44"/>
          <w:lang w:val="en-US" w:eastAsia="zh-CN" w:bidi="ar-SA"/>
        </w:rPr>
        <w:t>同心县卫生健康局基本公共卫生服务</w:t>
      </w:r>
    </w:p>
    <w:p>
      <w:pPr>
        <w:pStyle w:val="2"/>
        <w:keepNext w:val="0"/>
        <w:keepLines w:val="0"/>
        <w:pageBreakBefore w:val="0"/>
        <w:widowControl/>
        <w:kinsoku/>
        <w:wordWrap/>
        <w:overflowPunct/>
        <w:topLinePunct w:val="0"/>
        <w:autoSpaceDE/>
        <w:autoSpaceDN/>
        <w:bidi w:val="0"/>
        <w:adjustRightInd/>
        <w:snapToGrid/>
        <w:spacing w:after="0" w:line="760" w:lineRule="exact"/>
        <w:ind w:left="0" w:leftChars="0" w:firstLine="420" w:firstLineChars="0"/>
        <w:jc w:val="center"/>
        <w:textAlignment w:val="auto"/>
        <w:rPr>
          <w:rFonts w:hint="eastAsia" w:ascii="黑体" w:hAnsi="黑体" w:eastAsia="黑体" w:cs="Times New Roman"/>
          <w:kern w:val="0"/>
          <w:sz w:val="44"/>
          <w:szCs w:val="44"/>
          <w:lang w:val="en-US" w:eastAsia="zh-CN" w:bidi="ar-SA"/>
        </w:rPr>
      </w:pPr>
      <w:r>
        <w:rPr>
          <w:rFonts w:hint="eastAsia" w:ascii="黑体" w:hAnsi="黑体" w:eastAsia="黑体" w:cs="Times New Roman"/>
          <w:kern w:val="0"/>
          <w:sz w:val="44"/>
          <w:szCs w:val="44"/>
          <w:lang w:val="en-US" w:eastAsia="zh-CN" w:bidi="ar-SA"/>
        </w:rPr>
        <w:t>项目绩效评价报告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560" w:firstLineChars="800"/>
        <w:jc w:val="both"/>
        <w:textAlignment w:val="auto"/>
        <w:rPr>
          <w:rFonts w:hint="default" w:ascii="Times New Roman" w:hAnsi="Times New Roman" w:eastAsia="楷体" w:cs="Times New Roman"/>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color w:val="auto"/>
          <w:kern w:val="2"/>
          <w:sz w:val="30"/>
          <w:szCs w:val="30"/>
          <w:highlight w:val="none"/>
          <w:lang w:val="en-US"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bookmarkStart w:id="158" w:name="_GoBack"/>
      <w:bookmarkEnd w:id="158"/>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010</w:t>
      </w:r>
      <w:r>
        <w:rPr>
          <w:rFonts w:hint="default" w:ascii="Times New Roman" w:hAnsi="Times New Roman" w:eastAsia="楷体" w:cs="Times New Roman"/>
          <w:b w:val="0"/>
          <w:bCs w:val="0"/>
          <w:i w:val="0"/>
          <w:iCs w:val="0"/>
          <w:sz w:val="32"/>
          <w:szCs w:val="32"/>
          <w:highlight w:val="none"/>
        </w:rPr>
        <w:t>号</w:t>
      </w: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40" w:firstLineChars="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40" w:firstLineChars="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黑体" w:hAnsi="黑体" w:eastAsia="黑体" w:cs="黑体"/>
          <w:b w:val="0"/>
          <w:bCs w:val="0"/>
          <w:kern w:val="0"/>
          <w:sz w:val="30"/>
          <w:szCs w:val="30"/>
          <w:lang w:val="en-US" w:eastAsia="zh-CN" w:bidi="en-US"/>
        </w:rPr>
        <w:t>评价机构名称：宁夏万协项目管理有限公司</w:t>
      </w:r>
      <w:r>
        <w:rPr>
          <w:rFonts w:hint="eastAsia" w:ascii="方正小标宋_GBK" w:hAnsi="方正小标宋_GBK" w:eastAsia="方正小标宋_GBK" w:cs="方正小标宋_GBK"/>
          <w:b w:val="0"/>
          <w:bCs w:val="0"/>
          <w:color w:val="1E1C11"/>
          <w:kern w:val="0"/>
          <w:sz w:val="30"/>
          <w:szCs w:val="30"/>
          <w:lang w:val="en-US" w:eastAsia="zh-CN" w:bidi="ar"/>
        </w:rPr>
        <w:t xml:space="preserve"> </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评价报告时间：二〇二三年十二月</w:t>
      </w: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val="0"/>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同心县卫生健康局基本公共卫生服务项目</w:t>
      </w:r>
    </w:p>
    <w:p>
      <w:pPr>
        <w:keepNext w:val="0"/>
        <w:keepLines w:val="0"/>
        <w:pageBreakBefore w:val="0"/>
        <w:widowControl w:val="0"/>
        <w:kinsoku/>
        <w:wordWrap/>
        <w:overflowPunct w:val="0"/>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绩效评价报告</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default" w:ascii="Times New Roman" w:hAnsi="Times New Roman" w:cs="Times New Roman"/>
        </w:rPr>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color w:val="auto"/>
          <w:kern w:val="2"/>
          <w:sz w:val="30"/>
          <w:szCs w:val="30"/>
          <w:highlight w:val="none"/>
          <w:lang w:val="en-US"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color w:val="auto"/>
          <w:kern w:val="0"/>
          <w:sz w:val="31"/>
          <w:szCs w:val="31"/>
          <w:lang w:val="en-US" w:eastAsia="zh-CN" w:bidi="ar"/>
        </w:rPr>
        <w:t>第010</w:t>
      </w:r>
      <w:r>
        <w:rPr>
          <w:rFonts w:hint="default" w:ascii="Times New Roman" w:hAnsi="Times New Roman" w:eastAsia="楷体" w:cs="Times New Roman"/>
          <w:color w:val="000000"/>
          <w:kern w:val="0"/>
          <w:sz w:val="31"/>
          <w:szCs w:val="31"/>
          <w:lang w:val="en-US" w:eastAsia="zh-CN" w:bidi="ar"/>
        </w:rPr>
        <w:t>号</w:t>
      </w:r>
    </w:p>
    <w:p>
      <w:pPr>
        <w:keepNext w:val="0"/>
        <w:keepLines w:val="0"/>
        <w:pageBreakBefore w:val="0"/>
        <w:widowControl/>
        <w:suppressLineNumbers w:val="0"/>
        <w:kinsoku/>
        <w:wordWrap/>
        <w:topLinePunct w:val="0"/>
        <w:autoSpaceDE/>
        <w:autoSpaceDN/>
        <w:bidi w:val="0"/>
        <w:adjustRightInd/>
        <w:snapToGrid/>
        <w:spacing w:line="760" w:lineRule="exact"/>
        <w:jc w:val="left"/>
        <w:textAlignment w:val="auto"/>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firstLine="1400" w:firstLineChars="500"/>
        <w:jc w:val="both"/>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firstLine="1400" w:firstLineChars="500"/>
        <w:jc w:val="both"/>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称：同心县卫生健康局</w:t>
      </w:r>
    </w:p>
    <w:p>
      <w:pPr>
        <w:keepNext w:val="0"/>
        <w:keepLines w:val="0"/>
        <w:pageBreakBefore w:val="0"/>
        <w:widowControl/>
        <w:suppressLineNumbers w:val="0"/>
        <w:kinsoku/>
        <w:wordWrap/>
        <w:overflowPunct w:val="0"/>
        <w:topLinePunct w:val="0"/>
        <w:autoSpaceDE/>
        <w:autoSpaceDN/>
        <w:bidi w:val="0"/>
        <w:adjustRightInd/>
        <w:snapToGrid/>
        <w:ind w:firstLine="1400" w:firstLineChars="500"/>
        <w:jc w:val="both"/>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评价机构名称：宁夏万协项目管理有限公司</w:t>
      </w:r>
    </w:p>
    <w:p>
      <w:pPr>
        <w:keepNext w:val="0"/>
        <w:keepLines w:val="0"/>
        <w:pageBreakBefore w:val="0"/>
        <w:widowControl/>
        <w:suppressLineNumbers w:val="0"/>
        <w:kinsoku/>
        <w:wordWrap/>
        <w:overflowPunct w:val="0"/>
        <w:topLinePunct w:val="0"/>
        <w:autoSpaceDE/>
        <w:autoSpaceDN/>
        <w:bidi w:val="0"/>
        <w:adjustRightInd/>
        <w:snapToGrid/>
        <w:ind w:firstLine="1400" w:firstLineChars="500"/>
        <w:jc w:val="both"/>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2652"/>
      <w:r>
        <w:rPr>
          <w:rFonts w:hint="eastAsia" w:asciiTheme="majorEastAsia" w:hAnsiTheme="majorEastAsia" w:eastAsiaTheme="majorEastAsia" w:cstheme="majorEastAsia"/>
          <w:b/>
          <w:bCs/>
          <w:sz w:val="30"/>
          <w:szCs w:val="30"/>
          <w:lang w:val="en-US" w:eastAsia="zh-CN"/>
        </w:rPr>
        <w:t>一、项目背景</w:t>
      </w:r>
      <w:bookmarkEnd w:id="0"/>
    </w:p>
    <w:p>
      <w:pPr>
        <w:pStyle w:val="39"/>
        <w:pageBreakBefore w:val="0"/>
        <w:widowControl w:val="0"/>
        <w:kinsoku/>
        <w:wordWrap/>
        <w:topLinePunct w:val="0"/>
        <w:autoSpaceDE/>
        <w:autoSpaceDN/>
        <w:bidi w:val="0"/>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bookmarkStart w:id="1" w:name="_Toc13114"/>
      <w:bookmarkStart w:id="2" w:name="_Toc18303"/>
      <w:bookmarkStart w:id="3" w:name="_Toc32242"/>
      <w:r>
        <w:rPr>
          <w:rFonts w:hint="default" w:ascii="Times New Roman" w:hAnsi="Times New Roman" w:eastAsia="方正仿宋_GBK" w:cs="Times New Roman"/>
          <w:color w:val="auto"/>
          <w:kern w:val="0"/>
          <w:sz w:val="30"/>
          <w:szCs w:val="30"/>
          <w:lang w:val="en-US" w:eastAsia="zh-CN" w:bidi="zh-CN"/>
        </w:rPr>
        <w:t>国家基本公共卫生服务项目，是促进基本公共卫生服务逐步均等化的重要内容，是深化医药卫生体制改革的重要工作。是我国政府针对当前城乡居民存在的主要健康问题，以儿童、孕产妇、老年人、慢性疾病患者为重点人群，面向全体居民免费提供的最基本的公共卫生服务。开展服务项目所需资金主要由政府承担，城乡居民可直接受益。</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2009年，国家基本公共卫生服务项目开始启动，在基层医疗卫生机构得到了普遍开展，取得了一定成效。实施国家基本公共卫生服务项目是促进基本公共卫生服务逐步均等化的重要内容，是我国公共卫生制度建设的重要组成部分。基本公共卫生服务是实现基本公共卫生均等化的重大举措，是实现城乡居民享有基本医疗卫生服务的有效途径。对落实预防为主的卫生工作方针，有效控制疾病流行，改善居民健康状况，促进社会和谐具有重要意义。</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为深化医药卫生体制改革，进一步做好基本公共卫生服务工作，根据《国家基本公共卫生服务规范》</w:t>
      </w:r>
      <w:r>
        <w:rPr>
          <w:rFonts w:hint="eastAsia" w:ascii="Times New Roman" w:hAnsi="Times New Roman" w:eastAsia="方正仿宋_GBK" w:cs="Times New Roman"/>
          <w:sz w:val="30"/>
          <w:szCs w:val="30"/>
          <w:lang w:eastAsia="zh-CN"/>
        </w:rPr>
        <w:t>，同心县卫生健康局</w:t>
      </w:r>
      <w:r>
        <w:rPr>
          <w:rFonts w:hint="default" w:ascii="Times New Roman" w:hAnsi="Times New Roman" w:eastAsia="方正仿宋_GBK" w:cs="Times New Roman"/>
          <w:sz w:val="30"/>
          <w:szCs w:val="30"/>
        </w:rPr>
        <w:t>制</w:t>
      </w:r>
      <w:r>
        <w:rPr>
          <w:rFonts w:hint="eastAsia" w:ascii="Times New Roman" w:hAnsi="Times New Roman" w:eastAsia="方正仿宋_GBK" w:cs="Times New Roman"/>
          <w:sz w:val="30"/>
          <w:szCs w:val="30"/>
          <w:lang w:eastAsia="zh-CN"/>
        </w:rPr>
        <w:t>定</w:t>
      </w:r>
      <w:r>
        <w:rPr>
          <w:rFonts w:hint="default" w:ascii="Times New Roman" w:hAnsi="Times New Roman" w:eastAsia="方正仿宋_GBK" w:cs="Times New Roman"/>
          <w:sz w:val="30"/>
          <w:szCs w:val="30"/>
        </w:rPr>
        <w:t>《</w:t>
      </w:r>
      <w:r>
        <w:rPr>
          <w:rFonts w:hint="eastAsia" w:ascii="Times New Roman" w:hAnsi="Times New Roman" w:eastAsia="方正仿宋_GBK" w:cs="Times New Roman"/>
          <w:sz w:val="30"/>
          <w:szCs w:val="30"/>
          <w:lang w:val="en-US" w:eastAsia="zh-CN"/>
        </w:rPr>
        <w:t>2022年基本公共卫生服务项</w:t>
      </w:r>
      <w:r>
        <w:rPr>
          <w:rFonts w:hint="default" w:ascii="Times New Roman" w:hAnsi="Times New Roman" w:eastAsia="方正仿宋_GBK" w:cs="Times New Roman"/>
          <w:sz w:val="30"/>
          <w:szCs w:val="30"/>
          <w:lang w:val="en-US" w:eastAsia="zh-CN"/>
        </w:rPr>
        <w:t>目实施方案</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b w:val="0"/>
          <w:kern w:val="2"/>
          <w:sz w:val="30"/>
          <w:szCs w:val="30"/>
        </w:rPr>
        <w:t>（</w:t>
      </w:r>
      <w:r>
        <w:rPr>
          <w:rFonts w:hint="eastAsia" w:ascii="Times New Roman" w:hAnsi="Times New Roman" w:eastAsia="方正仿宋_GBK" w:cs="Times New Roman"/>
          <w:b w:val="0"/>
          <w:kern w:val="2"/>
          <w:sz w:val="30"/>
          <w:szCs w:val="30"/>
          <w:lang w:eastAsia="zh-CN"/>
        </w:rPr>
        <w:t>同</w:t>
      </w:r>
      <w:r>
        <w:rPr>
          <w:rFonts w:hint="default" w:ascii="Times New Roman" w:hAnsi="Times New Roman" w:eastAsia="方正仿宋_GBK" w:cs="Times New Roman"/>
          <w:b w:val="0"/>
          <w:kern w:val="2"/>
          <w:sz w:val="30"/>
          <w:szCs w:val="30"/>
          <w:lang w:eastAsia="zh-CN"/>
        </w:rPr>
        <w:t>卫健发</w:t>
      </w:r>
      <w:r>
        <w:rPr>
          <w:rFonts w:hint="default" w:ascii="Times New Roman" w:hAnsi="Times New Roman" w:eastAsia="方正仿宋_GBK" w:cs="Times New Roman"/>
          <w:b w:val="0"/>
          <w:kern w:val="2"/>
          <w:sz w:val="30"/>
          <w:szCs w:val="30"/>
          <w:lang w:bidi="ar-SA"/>
        </w:rPr>
        <w:t>〔202</w:t>
      </w:r>
      <w:r>
        <w:rPr>
          <w:rFonts w:hint="eastAsia" w:ascii="Times New Roman" w:hAnsi="Times New Roman" w:eastAsia="方正仿宋_GBK" w:cs="Times New Roman"/>
          <w:b w:val="0"/>
          <w:kern w:val="2"/>
          <w:sz w:val="30"/>
          <w:szCs w:val="30"/>
          <w:lang w:val="en-US" w:eastAsia="zh-CN" w:bidi="ar-SA"/>
        </w:rPr>
        <w:t>2</w:t>
      </w:r>
      <w:r>
        <w:rPr>
          <w:rFonts w:hint="default" w:ascii="Times New Roman" w:hAnsi="Times New Roman" w:eastAsia="方正仿宋_GBK" w:cs="Times New Roman"/>
          <w:b w:val="0"/>
          <w:kern w:val="2"/>
          <w:sz w:val="30"/>
          <w:szCs w:val="30"/>
          <w:lang w:bidi="ar-SA"/>
        </w:rPr>
        <w:t>〕</w:t>
      </w:r>
      <w:r>
        <w:rPr>
          <w:rFonts w:hint="eastAsia" w:ascii="Times New Roman" w:hAnsi="Times New Roman" w:eastAsia="方正仿宋_GBK" w:cs="Times New Roman"/>
          <w:b w:val="0"/>
          <w:kern w:val="2"/>
          <w:sz w:val="30"/>
          <w:szCs w:val="30"/>
          <w:lang w:val="en-US" w:eastAsia="zh-CN" w:bidi="ar-SA"/>
        </w:rPr>
        <w:t>115</w:t>
      </w:r>
      <w:r>
        <w:rPr>
          <w:rFonts w:hint="default" w:ascii="Times New Roman" w:hAnsi="Times New Roman" w:eastAsia="方正仿宋_GBK" w:cs="Times New Roman"/>
          <w:b w:val="0"/>
          <w:kern w:val="2"/>
          <w:sz w:val="30"/>
          <w:szCs w:val="30"/>
          <w:lang w:val="en-US" w:bidi="ar-SA"/>
        </w:rPr>
        <w:t>号），</w:t>
      </w:r>
      <w:r>
        <w:rPr>
          <w:rFonts w:hint="eastAsia" w:ascii="Times New Roman" w:hAnsi="Times New Roman" w:eastAsia="方正仿宋_GBK" w:cs="Times New Roman"/>
          <w:b w:val="0"/>
          <w:kern w:val="2"/>
          <w:sz w:val="30"/>
          <w:szCs w:val="30"/>
          <w:lang w:val="en-US" w:eastAsia="zh-CN" w:bidi="ar-SA"/>
        </w:rPr>
        <w:t>并于2022年5月5日印发，用以规范项目的具体实施，</w:t>
      </w:r>
      <w:r>
        <w:rPr>
          <w:rFonts w:hint="default" w:ascii="Times New Roman" w:hAnsi="Times New Roman" w:eastAsia="方正仿宋_GBK" w:cs="Times New Roman"/>
          <w:b w:val="0"/>
          <w:kern w:val="2"/>
          <w:sz w:val="30"/>
          <w:szCs w:val="30"/>
          <w:lang w:val="en-US" w:bidi="ar-SA"/>
        </w:rPr>
        <w:t>持续推进国家基本公共卫生服务项目，积极干预城乡居民健康问题，有效预防和控制主要传染病及慢性病，不断提高公共服务和突发公共事件应急处置能力，基本公共卫生服务均等化机制不断完善，重大疾病和主要健康危险因素得到有效控制，城乡居民健康水平得到进一步提升</w:t>
      </w:r>
      <w:r>
        <w:rPr>
          <w:rFonts w:hint="default" w:ascii="Times New Roman" w:hAnsi="Times New Roman" w:eastAsia="方正仿宋_GBK" w:cs="Times New Roman"/>
          <w:sz w:val="30"/>
          <w:szCs w:val="30"/>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1"/>
      <w:bookmarkEnd w:id="2"/>
      <w:bookmarkEnd w:id="3"/>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4" w:name="_Toc3837"/>
      <w:r>
        <w:rPr>
          <w:rFonts w:hint="eastAsia" w:ascii="Times New Roman" w:hAnsi="Times New Roman" w:eastAsia="方正仿宋_GBK" w:cs="Times New Roman"/>
          <w:color w:val="auto"/>
          <w:sz w:val="30"/>
          <w:szCs w:val="30"/>
          <w:u w:val="none"/>
          <w:lang w:val="en-US" w:bidi="zh-CN"/>
        </w:rPr>
        <w:t>2021年12月18日，</w:t>
      </w:r>
      <w:r>
        <w:rPr>
          <w:rFonts w:hint="default" w:ascii="Times New Roman" w:hAnsi="Times New Roman" w:eastAsia="方正仿宋_GBK" w:cs="Times New Roman"/>
          <w:color w:val="auto"/>
          <w:sz w:val="30"/>
          <w:szCs w:val="30"/>
          <w:u w:val="none"/>
          <w:lang w:val="zh-CN" w:bidi="zh-CN"/>
        </w:rPr>
        <w:t>根据</w:t>
      </w:r>
      <w:r>
        <w:rPr>
          <w:rFonts w:hint="default" w:ascii="Times New Roman" w:hAnsi="Times New Roman" w:eastAsia="方正仿宋_GBK" w:cs="Times New Roman"/>
          <w:color w:val="auto"/>
          <w:sz w:val="30"/>
          <w:szCs w:val="30"/>
          <w:u w:val="none"/>
          <w:lang w:val="zh-CN" w:eastAsia="zh-CN" w:bidi="zh-CN"/>
        </w:rPr>
        <w:t>《自治区财政厅卫生健康委关于提前下达2022年基本公共卫生服务补助资金预算的通知》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1</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685</w:t>
      </w:r>
      <w:r>
        <w:rPr>
          <w:rFonts w:hint="default" w:ascii="Times New Roman" w:hAnsi="Times New Roman" w:eastAsia="方正仿宋_GBK" w:cs="Times New Roman"/>
          <w:color w:val="auto"/>
          <w:sz w:val="30"/>
          <w:szCs w:val="30"/>
          <w:u w:val="none"/>
          <w:lang w:val="zh-CN" w:bidi="zh-CN"/>
        </w:rPr>
        <w:t>号）</w:t>
      </w:r>
      <w:r>
        <w:rPr>
          <w:rFonts w:hint="default" w:ascii="Times New Roman" w:hAnsi="Times New Roman" w:eastAsia="方正仿宋_GBK" w:cs="Times New Roman"/>
          <w:color w:val="auto"/>
          <w:sz w:val="30"/>
          <w:szCs w:val="30"/>
          <w:u w:val="none"/>
          <w:lang w:val="zh-CN" w:eastAsia="zh-CN" w:bidi="zh-CN"/>
        </w:rPr>
        <w:t>、《自治区财政厅 卫生健康委关于下达2022年</w:t>
      </w:r>
      <w:r>
        <w:rPr>
          <w:rFonts w:hint="eastAsia" w:ascii="Times New Roman" w:hAnsi="Times New Roman" w:eastAsia="方正仿宋_GBK" w:cs="Times New Roman"/>
          <w:color w:val="auto"/>
          <w:sz w:val="30"/>
          <w:szCs w:val="30"/>
          <w:u w:val="none"/>
          <w:lang w:val="en-US" w:eastAsia="zh-CN" w:bidi="zh-CN"/>
        </w:rPr>
        <w:t>基本公共卫生服务补助资金预</w:t>
      </w:r>
      <w:r>
        <w:rPr>
          <w:rFonts w:hint="default" w:ascii="Times New Roman" w:hAnsi="Times New Roman" w:eastAsia="方正仿宋_GBK" w:cs="Times New Roman"/>
          <w:color w:val="auto"/>
          <w:sz w:val="30"/>
          <w:szCs w:val="30"/>
          <w:u w:val="none"/>
          <w:lang w:val="zh-CN" w:eastAsia="zh-CN" w:bidi="zh-CN"/>
        </w:rPr>
        <w:t>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2</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274</w:t>
      </w:r>
      <w:r>
        <w:rPr>
          <w:rFonts w:hint="default" w:ascii="Times New Roman" w:hAnsi="Times New Roman" w:eastAsia="方正仿宋_GBK" w:cs="Times New Roman"/>
          <w:color w:val="auto"/>
          <w:sz w:val="30"/>
          <w:szCs w:val="30"/>
          <w:u w:val="none"/>
          <w:lang w:val="zh-CN" w:bidi="zh-CN"/>
        </w:rPr>
        <w:t>号）</w:t>
      </w:r>
      <w:r>
        <w:rPr>
          <w:rFonts w:hint="default" w:ascii="Times New Roman" w:hAnsi="Times New Roman" w:eastAsia="方正仿宋_GBK" w:cs="Times New Roman"/>
          <w:color w:val="auto"/>
          <w:sz w:val="30"/>
          <w:szCs w:val="30"/>
          <w:lang w:val="zh-CN" w:bidi="zh-CN"/>
        </w:rPr>
        <w:t>文件</w:t>
      </w:r>
      <w:r>
        <w:rPr>
          <w:rFonts w:hint="eastAsia" w:ascii="Times New Roman" w:hAnsi="Times New Roman" w:eastAsia="方正仿宋_GBK" w:cs="Times New Roman"/>
          <w:color w:val="auto"/>
          <w:sz w:val="30"/>
          <w:szCs w:val="30"/>
          <w:lang w:val="en-US" w:bidi="zh-CN"/>
        </w:rPr>
        <w:t>下达同心县卫生健康局2022年基本公共卫生服务项目预算资金2582.00</w:t>
      </w:r>
      <w:r>
        <w:rPr>
          <w:rFonts w:hint="default" w:ascii="Times New Roman" w:hAnsi="Times New Roman" w:eastAsia="方正仿宋_GBK" w:cs="Times New Roman"/>
          <w:color w:val="auto"/>
          <w:sz w:val="30"/>
          <w:szCs w:val="30"/>
          <w:lang w:val="zh-CN" w:bidi="zh-CN"/>
        </w:rPr>
        <w:t>万</w:t>
      </w:r>
      <w:r>
        <w:rPr>
          <w:rFonts w:hint="default" w:ascii="Times New Roman" w:hAnsi="Times New Roman" w:eastAsia="方正仿宋_GBK" w:cs="Times New Roman"/>
          <w:sz w:val="30"/>
          <w:szCs w:val="30"/>
        </w:rPr>
        <w:t>元</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截至目前，实际安排到各项目2582.00万元，预算执行率100%。</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5" w:name="_Toc20361"/>
      <w:r>
        <w:rPr>
          <w:rFonts w:hint="eastAsia" w:asciiTheme="majorEastAsia" w:hAnsiTheme="majorEastAsia" w:eastAsiaTheme="majorEastAsia" w:cstheme="majorEastAsia"/>
          <w:b/>
          <w:bCs/>
          <w:kern w:val="44"/>
          <w:sz w:val="30"/>
          <w:szCs w:val="30"/>
          <w:lang w:val="en-US" w:eastAsia="zh-CN" w:bidi="ar-SA"/>
        </w:rPr>
        <w:t>二、评价结论</w:t>
      </w:r>
      <w:bookmarkEnd w:id="4"/>
      <w:bookmarkEnd w:id="5"/>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eastAsia" w:ascii="Times New Roman" w:hAnsi="Times New Roman" w:eastAsia="方正仿宋_GBK" w:cs="Times New Roman"/>
          <w:color w:val="auto"/>
          <w:kern w:val="0"/>
          <w:sz w:val="30"/>
          <w:szCs w:val="30"/>
          <w:lang w:val="en-US" w:eastAsia="zh-CN" w:bidi="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0000FF"/>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通过资料收集、现场访谈和问卷调查获取的数据，评价组对</w:t>
      </w:r>
      <w:r>
        <w:rPr>
          <w:rFonts w:hint="eastAsia" w:ascii="Times New Roman" w:hAnsi="Times New Roman" w:eastAsia="方正仿宋_GBK" w:cs="Times New Roman"/>
          <w:color w:val="auto"/>
          <w:kern w:val="0"/>
          <w:sz w:val="30"/>
          <w:szCs w:val="30"/>
          <w:lang w:val="en-US" w:eastAsia="zh-CN" w:bidi="zh-CN"/>
        </w:rPr>
        <w:t>同心县卫生健康局基本公共卫生服务项目</w:t>
      </w:r>
      <w:r>
        <w:rPr>
          <w:rFonts w:hint="default" w:ascii="Times New Roman" w:hAnsi="Times New Roman" w:eastAsia="方正仿宋_GBK" w:cs="Times New Roman"/>
          <w:color w:val="auto"/>
          <w:kern w:val="0"/>
          <w:sz w:val="30"/>
          <w:szCs w:val="30"/>
          <w:lang w:val="en-US" w:eastAsia="zh-CN" w:bidi="zh-CN"/>
        </w:rPr>
        <w:t>进行了独立客观公正的评价，最终得分为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90.00</w:t>
      </w:r>
      <w:r>
        <w:rPr>
          <w:rFonts w:hint="default" w:ascii="Times New Roman" w:hAnsi="Times New Roman" w:eastAsia="方正仿宋_GBK" w:cs="Times New Roman"/>
          <w:b/>
          <w:bCs/>
          <w:color w:val="auto"/>
          <w:kern w:val="0"/>
          <w:sz w:val="30"/>
          <w:szCs w:val="30"/>
          <w:lang w:val="en-US" w:eastAsia="zh-CN" w:bidi="zh-CN"/>
        </w:rPr>
        <w:t>分”</w:t>
      </w:r>
      <w:r>
        <w:rPr>
          <w:rFonts w:hint="default" w:ascii="Times New Roman" w:hAnsi="Times New Roman" w:eastAsia="方正仿宋_GBK" w:cs="Times New Roman"/>
          <w:color w:val="auto"/>
          <w:kern w:val="0"/>
          <w:sz w:val="30"/>
          <w:szCs w:val="30"/>
          <w:lang w:val="en-US" w:eastAsia="zh-CN" w:bidi="zh-CN"/>
        </w:rPr>
        <w:t>，评价结果为</w:t>
      </w:r>
      <w:r>
        <w:rPr>
          <w:rFonts w:hint="default" w:ascii="Times New Roman" w:hAnsi="Times New Roman" w:eastAsia="方正仿宋_GBK" w:cs="Times New Roman"/>
          <w:b/>
          <w:bCs/>
          <w:color w:val="auto"/>
          <w:kern w:val="0"/>
          <w:sz w:val="30"/>
          <w:szCs w:val="30"/>
          <w:lang w:val="en-US" w:eastAsia="zh-CN" w:bidi="zh-CN"/>
        </w:rPr>
        <w:t>“</w:t>
      </w:r>
      <w:r>
        <w:rPr>
          <w:rFonts w:hint="eastAsia" w:ascii="Times New Roman" w:hAnsi="Times New Roman" w:eastAsia="方正仿宋_GBK" w:cs="Times New Roman"/>
          <w:b/>
          <w:bCs/>
          <w:color w:val="auto"/>
          <w:kern w:val="0"/>
          <w:sz w:val="30"/>
          <w:szCs w:val="30"/>
          <w:lang w:val="en-US" w:eastAsia="zh-CN" w:bidi="zh-CN"/>
        </w:rPr>
        <w:t>优</w:t>
      </w:r>
      <w:r>
        <w:rPr>
          <w:rFonts w:hint="default" w:ascii="Times New Roman" w:hAnsi="Times New Roman" w:eastAsia="方正仿宋_GBK" w:cs="Times New Roman"/>
          <w:b/>
          <w:bCs/>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6" w:name="_Toc12376"/>
      <w:bookmarkStart w:id="7" w:name="_Toc10088"/>
      <w:bookmarkStart w:id="8" w:name="_Toc21407"/>
      <w:bookmarkStart w:id="9" w:name="_Toc16100"/>
      <w:bookmarkStart w:id="10" w:name="_Toc19427"/>
      <w:r>
        <w:rPr>
          <w:rFonts w:hint="eastAsia" w:asciiTheme="majorEastAsia" w:hAnsiTheme="majorEastAsia" w:eastAsiaTheme="majorEastAsia" w:cstheme="majorEastAsia"/>
          <w:b/>
          <w:bCs/>
          <w:kern w:val="44"/>
          <w:sz w:val="30"/>
          <w:szCs w:val="30"/>
          <w:lang w:val="en-US" w:eastAsia="zh-CN" w:bidi="ar-SA"/>
        </w:rPr>
        <w:t>三、主要经验</w:t>
      </w:r>
      <w:bookmarkEnd w:id="6"/>
      <w:bookmarkEnd w:id="7"/>
      <w:bookmarkEnd w:id="8"/>
      <w:bookmarkEnd w:id="9"/>
      <w:bookmarkEnd w:id="1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11" w:name="_Toc29010"/>
      <w:bookmarkStart w:id="12" w:name="_Toc3362"/>
      <w:bookmarkStart w:id="13" w:name="_Toc5586"/>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同心县卫生健康局2022年基本公共卫生服务项目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bookmarkEnd w:id="11"/>
    <w:bookmarkEnd w:id="12"/>
    <w:bookmarkEnd w:id="13"/>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rPr>
        <w:t>（一）经验做法</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1.多措并举，科学谋划。</w:t>
      </w:r>
    </w:p>
    <w:p>
      <w:pPr>
        <w:pStyle w:val="18"/>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同心县卫生健康局按照区、市卫生健康行政部门要求，联合县财政局共同制定了《同心县 2022年基本公共卫生服务项目实施方案和考核办法》，成立了相关组织机构，明确了卫健部门、各专业公共卫生单位、各基层医疗卫生机构的职责和目标任务，同时与各专业公共卫生单位和基层医疗卫生机构签订了目标责任书，部署有序，持续向好。</w:t>
      </w:r>
    </w:p>
    <w:p>
      <w:pPr>
        <w:pStyle w:val="18"/>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2.巩固提升，加强学习。</w:t>
      </w:r>
    </w:p>
    <w:p>
      <w:pPr>
        <w:pStyle w:val="18"/>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 xml:space="preserve">以每月例会和集中培训相结合的方式进一步提升乡、村级医务人员的综合服务能力，全年累计有 1000 余人次接受了培训； </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3家专业公共卫生单位结合各自工作职责，分别举办了妇幼卫生保健、慢病管理、传染病防控、重性精神疾病管理、健康档案系统运用等各类专项培训班，全年累计举办4 期，受培训人员达 600 余人次，有效地提高了基层医疗卫生机构业务人员的综合服务能力。</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3.靶向督导，提质增效。</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按照实施方案要求，我局和各专业公共卫生单位每季度对各乡镇卫生院和社区卫生服务站基本公共卫生服务项目工作进展情况进行督查指导，对存在的问题进行通报并及时进行了整改。全年共开展督导检查 12 次，确保了项目工作的进度和质量。</w:t>
      </w:r>
    </w:p>
    <w:p>
      <w:pPr>
        <w:pageBreakBefore w:val="0"/>
        <w:widowControl w:val="0"/>
        <w:numPr>
          <w:ilvl w:val="0"/>
          <w:numId w:val="0"/>
        </w:numPr>
        <w:kinsoku/>
        <w:wordWrap/>
        <w:overflowPunct w:val="0"/>
        <w:topLinePunct w:val="0"/>
        <w:autoSpaceDE/>
        <w:autoSpaceDN/>
        <w:bidi w:val="0"/>
        <w:adjustRightInd/>
        <w:snapToGrid/>
        <w:ind w:leftChars="200"/>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4.多措并举，广泛宣传。</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大力开展公共卫生宣传月活动。举办健康知识讲座 185 场次、受益群众 10万余人次，设置健康教育宣传栏 235 个，举办健康教育咨询活动 130 次，咨询人数达 5 万余人次，</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健康同心微信公众号发送各类健康知识 350 余篇，制作播放宣传短视频 8 部，利用电子屏播放公益广告 15 部，受教育群众达 15 万余人次，进一步提高了项目的知晓率。</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leftChars="0"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b/>
          <w:bCs/>
          <w:sz w:val="30"/>
          <w:szCs w:val="30"/>
          <w:lang w:bidi="zh-CN"/>
        </w:rPr>
        <w:t>（二）存在的问题</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1.专业人员紧缺，学科建设需加强。</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一是基层专业医务人员匮乏，人员配备不合理，中医科、精神科、妇产科专业人员严重不足，导致中医药服务项目、严重精神障碍患者用药等健康指导不到位；二是受村医服务能力限制，部分重点人群健康管理不到位。</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2.宣教工作思路没有打开。</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群众健康理念的转变还不到位。多数群众认识不到健康管理的重要性，把基本公共卫生服务等同于基本医疗、健康查体，对于健康教育等依从性不高。</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r>
        <w:rPr>
          <w:rFonts w:hint="eastAsia" w:ascii="方正楷体_GBK" w:hAnsi="方正楷体_GBK" w:eastAsia="方正楷体_GBK" w:cs="方正楷体_GBK"/>
          <w:color w:val="333333"/>
          <w:sz w:val="30"/>
          <w:szCs w:val="30"/>
          <w:shd w:val="clear" w:fill="FFFFFF"/>
          <w:lang w:val="en-US" w:eastAsia="zh-CN" w:bidi="zh-CN"/>
        </w:rPr>
        <w:t>（三）建议</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w:t>
      </w:r>
      <w:r>
        <w:rPr>
          <w:rFonts w:hint="default" w:ascii="Times New Roman" w:hAnsi="Times New Roman" w:eastAsia="方正仿宋_GBK" w:cs="Times New Roman"/>
          <w:b/>
          <w:bCs/>
          <w:kern w:val="2"/>
          <w:sz w:val="30"/>
          <w:szCs w:val="30"/>
          <w:lang w:val="en-US" w:eastAsia="zh-CN" w:bidi="zh-CN"/>
        </w:rPr>
        <w:t>完善人事激励机制</w:t>
      </w:r>
      <w:r>
        <w:rPr>
          <w:rFonts w:hint="eastAsia" w:ascii="Times New Roman" w:hAnsi="Times New Roman" w:eastAsia="方正仿宋_GBK" w:cs="Times New Roman"/>
          <w:b/>
          <w:bCs/>
          <w:kern w:val="2"/>
          <w:sz w:val="30"/>
          <w:szCs w:val="30"/>
          <w:lang w:val="en-US" w:eastAsia="zh-CN" w:bidi="zh-CN"/>
        </w:rPr>
        <w:t>。</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default" w:ascii="Times New Roman" w:hAnsi="Times New Roman" w:eastAsia="方正仿宋_GBK" w:cs="Times New Roman"/>
          <w:kern w:val="2"/>
          <w:sz w:val="30"/>
          <w:szCs w:val="30"/>
          <w:lang w:val="en-US" w:eastAsia="zh-CN" w:bidi="zh-CN"/>
        </w:rPr>
        <w:t>医院在制度激励环节，必须制定内容完善的人事制度和分配制度，发挥激励制度对人才的挽留作用，从而加强内部凝聚力，保证医院员工可以积极主动完成自身的本职工作</w:t>
      </w:r>
      <w:r>
        <w:rPr>
          <w:rFonts w:hint="eastAsia" w:ascii="Times New Roman" w:hAnsi="Times New Roman" w:eastAsia="方正仿宋_GBK" w:cs="Times New Roman"/>
          <w:kern w:val="2"/>
          <w:sz w:val="30"/>
          <w:szCs w:val="30"/>
          <w:lang w:val="en-US" w:eastAsia="zh-CN" w:bidi="zh-CN"/>
        </w:rPr>
        <w:t>；</w:t>
      </w:r>
      <w:r>
        <w:rPr>
          <w:rFonts w:hint="eastAsia" w:ascii="Times New Roman" w:hAnsi="Times New Roman" w:eastAsia="方正仿宋_GBK" w:cs="Times New Roman"/>
          <w:b/>
          <w:bCs/>
          <w:kern w:val="2"/>
          <w:sz w:val="30"/>
          <w:szCs w:val="30"/>
          <w:lang w:val="en-US" w:eastAsia="zh-CN" w:bidi="zh-CN"/>
        </w:rPr>
        <w:t>二是</w:t>
      </w:r>
      <w:r>
        <w:rPr>
          <w:rFonts w:hint="default" w:ascii="Times New Roman" w:hAnsi="Times New Roman" w:eastAsia="方正仿宋_GBK" w:cs="Times New Roman"/>
          <w:kern w:val="2"/>
          <w:sz w:val="30"/>
          <w:szCs w:val="30"/>
          <w:lang w:val="en-US" w:eastAsia="zh-CN" w:bidi="zh-CN"/>
        </w:rPr>
        <w:t>制定可以吸引和留住人才的制度，才可以保证医院的稳定发展。在实施制度激励期间，医院应当科学设计各工作岗位，关注员工个体差异，尽量制定灵活的制度内容，避免管理制度僵化。</w:t>
      </w:r>
    </w:p>
    <w:p>
      <w:pPr>
        <w:pageBreakBefore w:val="0"/>
        <w:widowControl w:val="0"/>
        <w:shd w:val="clear"/>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2.进一步加大宣传力度。</w:t>
      </w:r>
    </w:p>
    <w:p>
      <w:pPr>
        <w:keepNext w:val="0"/>
        <w:keepLines w:val="0"/>
        <w:pageBreakBefore w:val="0"/>
        <w:widowControl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根据调查了解情况，群众虽然对基本公共卫生服务项目了解，但了解不够详细、不够深入，充分利用短视频、抖音等现代化网络力量加大宣传力度、拓展宣传途径，使群众享受到更加精准了解基本公共卫生服务项目。</w:t>
      </w:r>
    </w:p>
    <w:p>
      <w:pPr>
        <w:pageBreakBefore w:val="0"/>
        <w:kinsoku/>
        <w:wordWrap/>
        <w:overflowPunct w:val="0"/>
        <w:topLinePunct w:val="0"/>
        <w:autoSpaceDE/>
        <w:autoSpaceDN/>
        <w:bidi w:val="0"/>
        <w:adjustRightInd/>
        <w:snapToGrid/>
        <w:spacing w:line="560" w:lineRule="exact"/>
        <w:ind w:left="0" w:leftChars="0" w:firstLine="0" w:firstLineChars="0"/>
        <w:jc w:val="both"/>
        <w:textAlignment w:val="auto"/>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目</w:t>
      </w: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录</w:t>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_Toc2140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_Toc2140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_Toc31630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_Toc31630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_Toc28915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_Toc28915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_Toc1031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二、资金情况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_Toc1031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_Toc4215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_Toc4215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_Toc31697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_Toc31697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_Toc8883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_Toc8883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_Toc30895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_Toc30895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_Toc7774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_Toc7774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7</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_Toc31144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_Toc31144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_Toc25834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_Toc25834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_Toc9073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_Toc9073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_Toc26347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_Toc26347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_Toc12142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_Toc12142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_Toc9152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_Toc9152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_Toc19097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_Toc19097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_Toc7092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w:t>
      </w:r>
      <w:r>
        <w:rPr>
          <w:rFonts w:hint="eastAsia" w:cs="仿宋"/>
          <w:bCs/>
          <w:sz w:val="24"/>
          <w:szCs w:val="24"/>
          <w:lang w:val="en-US" w:eastAsia="zh-CN"/>
        </w:rPr>
        <w:t>五</w:t>
      </w:r>
      <w:r>
        <w:rPr>
          <w:rFonts w:hint="eastAsia" w:ascii="仿宋" w:hAnsi="仿宋" w:eastAsia="仿宋" w:cs="仿宋"/>
          <w:bCs/>
          <w:sz w:val="24"/>
          <w:szCs w:val="24"/>
          <w:lang w:val="en-US" w:eastAsia="zh-CN"/>
        </w:rPr>
        <w:t>）评价标准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_Toc7092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_Toc29819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_Toc29819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_Toc30162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cs="仿宋"/>
          <w:sz w:val="24"/>
          <w:szCs w:val="24"/>
          <w:lang w:eastAsia="zh-CN"/>
        </w:rPr>
        <w:t>七</w:t>
      </w:r>
      <w:r>
        <w:rPr>
          <w:rFonts w:hint="eastAsia" w:ascii="仿宋" w:hAnsi="仿宋" w:eastAsia="仿宋" w:cs="仿宋"/>
          <w:sz w:val="24"/>
          <w:szCs w:val="24"/>
        </w:rPr>
        <w:t>） 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_Toc30162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_Toc1227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w:t>
      </w:r>
      <w:r>
        <w:rPr>
          <w:rFonts w:hint="eastAsia" w:cs="仿宋"/>
          <w:sz w:val="24"/>
          <w:szCs w:val="24"/>
          <w:lang w:val="en-US" w:eastAsia="zh-CN"/>
        </w:rPr>
        <w:t>八</w:t>
      </w:r>
      <w:r>
        <w:rPr>
          <w:rFonts w:hint="eastAsia" w:ascii="仿宋" w:hAnsi="仿宋" w:eastAsia="仿宋" w:cs="仿宋"/>
          <w:sz w:val="24"/>
          <w:szCs w:val="24"/>
          <w:lang w:val="en-US" w:eastAsia="zh-CN"/>
        </w:rPr>
        <w:t>）绩效评价工作过程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_Toc1227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_Toc6888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_Toc6888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18</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_Toc32552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_Toc32552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_Toc22035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_Toc22035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_Toc8192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_Toc8192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20</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_Toc2329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（一）项目决策情况分析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_Toc2329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_Toc11595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_Toc11595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_Toc28407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_Toc28407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_Toc3734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w:t>
      </w:r>
      <w:r>
        <w:rPr>
          <w:rFonts w:hint="eastAsia" w:cs="仿宋"/>
          <w:spacing w:val="0"/>
          <w:sz w:val="24"/>
          <w:szCs w:val="24"/>
          <w:lang w:eastAsia="zh-CN"/>
        </w:rPr>
        <w:t>四</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_Toc3734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_Toc16487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七、主要经验做法、存在问题及建议</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_Toc16487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30</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_Toc8439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_Toc8439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_Toc1817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bidi="zh-CN"/>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_Toc1817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472" w:firstLineChars="20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 HYPERLINK \l _Toc21655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val="0"/>
          <w:bCs w:val="0"/>
          <w:kern w:val="0"/>
          <w:sz w:val="24"/>
          <w:szCs w:val="24"/>
          <w:lang w:val="en-US" w:eastAsia="zh-CN" w:bidi="zh-CN"/>
        </w:rPr>
        <w:t>（三）建议</w:t>
      </w:r>
      <w:r>
        <w:rPr>
          <w:rFonts w:hint="eastAsia" w:ascii="仿宋" w:hAnsi="仿宋" w:eastAsia="仿宋" w:cs="仿宋"/>
          <w:b w:val="0"/>
          <w:bCs w:val="0"/>
          <w:kern w:val="0"/>
          <w:sz w:val="24"/>
          <w:szCs w:val="24"/>
          <w:lang w:val="en-US" w:eastAsia="zh-CN" w:bidi="zh-CN"/>
        </w:rPr>
        <w:tab/>
      </w: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 PAGEREF _Toc21655 \h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val="0"/>
          <w:bCs w:val="0"/>
          <w:kern w:val="0"/>
          <w:sz w:val="24"/>
          <w:szCs w:val="24"/>
          <w:lang w:val="en-US" w:eastAsia="zh-CN" w:bidi="zh-CN"/>
        </w:rPr>
        <w:t>32</w:t>
      </w:r>
      <w:r>
        <w:rPr>
          <w:rFonts w:hint="eastAsia" w:ascii="仿宋" w:hAnsi="仿宋" w:eastAsia="仿宋" w:cs="仿宋"/>
          <w:b w:val="0"/>
          <w:bCs w:val="0"/>
          <w:kern w:val="0"/>
          <w:sz w:val="24"/>
          <w:szCs w:val="24"/>
          <w:lang w:val="en-US" w:eastAsia="zh-CN" w:bidi="zh-CN"/>
        </w:rPr>
        <w:fldChar w:fldCharType="end"/>
      </w:r>
      <w:r>
        <w:rPr>
          <w:rFonts w:hint="eastAsia" w:ascii="仿宋" w:hAnsi="仿宋" w:eastAsia="仿宋" w:cs="仿宋"/>
          <w:b w:val="0"/>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_Toc20079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八、其他需要说明的问题</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_Toc20079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33</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同心县卫生健康局基本公共卫生服务项目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4" w:name="_Toc30196"/>
      <w:bookmarkStart w:id="15" w:name="_Toc12033"/>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，宁夏万协项目管理有限公司受同心县财政局委托，对同心县卫生健康局基本公共卫生服务项目开展绩效评价相关工作。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16" w:name="_Toc2140"/>
      <w:r>
        <w:rPr>
          <w:rFonts w:hint="eastAsia" w:asciiTheme="majorEastAsia" w:hAnsiTheme="majorEastAsia" w:eastAsiaTheme="majorEastAsia" w:cstheme="majorEastAsia"/>
          <w:b/>
          <w:bCs/>
          <w:sz w:val="30"/>
          <w:szCs w:val="30"/>
          <w:lang w:val="en-US" w:eastAsia="zh-CN"/>
        </w:rPr>
        <w:t>一、项目基本情况</w:t>
      </w:r>
      <w:bookmarkEnd w:id="14"/>
      <w:bookmarkEnd w:id="15"/>
      <w:bookmarkEnd w:id="16"/>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17" w:name="_Toc5690"/>
      <w:bookmarkStart w:id="18" w:name="_Toc25760"/>
      <w:bookmarkStart w:id="19" w:name="_Toc31630"/>
      <w:r>
        <w:rPr>
          <w:rFonts w:hint="eastAsia"/>
          <w:b/>
          <w:bCs/>
          <w:sz w:val="30"/>
          <w:szCs w:val="30"/>
          <w:lang w:val="en-US" w:eastAsia="zh-CN"/>
        </w:rPr>
        <w:t>（一）项目</w:t>
      </w:r>
      <w:bookmarkEnd w:id="17"/>
      <w:bookmarkEnd w:id="18"/>
      <w:r>
        <w:rPr>
          <w:rFonts w:hint="eastAsia"/>
          <w:b/>
          <w:bCs/>
          <w:sz w:val="30"/>
          <w:szCs w:val="30"/>
          <w:lang w:val="en-US" w:eastAsia="zh-CN"/>
        </w:rPr>
        <w:t>背景</w:t>
      </w:r>
      <w:bookmarkEnd w:id="19"/>
    </w:p>
    <w:p>
      <w:pPr>
        <w:pStyle w:val="39"/>
        <w:widowControl w:val="0"/>
        <w:spacing w:line="560" w:lineRule="exact"/>
        <w:ind w:firstLine="592" w:firstLineChars="200"/>
        <w:rPr>
          <w:rFonts w:hint="default" w:ascii="Times New Roman" w:hAnsi="Times New Roman" w:eastAsia="方正仿宋_GBK" w:cs="Times New Roman"/>
          <w:color w:val="auto"/>
          <w:kern w:val="0"/>
          <w:sz w:val="30"/>
          <w:szCs w:val="30"/>
          <w:lang w:val="en-US" w:eastAsia="zh-CN" w:bidi="zh-CN"/>
        </w:rPr>
      </w:pPr>
      <w:bookmarkStart w:id="20" w:name="_Toc25776"/>
      <w:bookmarkStart w:id="21" w:name="_Toc24381"/>
      <w:bookmarkStart w:id="22" w:name="_Toc5111"/>
      <w:r>
        <w:rPr>
          <w:rFonts w:hint="default" w:ascii="Times New Roman" w:hAnsi="Times New Roman" w:eastAsia="方正仿宋_GBK" w:cs="Times New Roman"/>
          <w:color w:val="auto"/>
          <w:kern w:val="0"/>
          <w:sz w:val="30"/>
          <w:szCs w:val="30"/>
          <w:lang w:val="en-US" w:eastAsia="zh-CN" w:bidi="zh-CN"/>
        </w:rPr>
        <w:t>国家基本公共卫生服务项目，是促进基本公共卫生服务逐步均等化的重要内容，是深化医药卫生体制改革的重要工作。是我国政府针对当前城乡居民存在的主要健康问题，以儿童、孕产妇、老年人、慢性疾病患者为重点人群，面向全体居民免费提供的最基本的公共卫生服务。开展服务项目所需资金主要由政府承担，城乡居民可直接受益。</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2009年，国家基本公共卫生服务项目开始启动，在基层医疗卫生机构得到了普遍开展，取得了一定成效。实施国家基本公共卫生服务项目是促进基本公共卫生服务逐步均等化的重要内容，是我国公共卫生制度建设的重要组成部分。基本公共卫生服务是实现基本公共卫生均等化的重大举措，是实现城乡居民享有基本医疗卫生服务的有效途径。对落实预防为主的卫生工作方针，有效控制疾病流行，改善居民健康状况，促进社会和谐具有重要意义。</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为深化医药卫生体制改革，进一步做好基本公共卫生服务工作，根据《国家基本公共卫生服务规范》</w:t>
      </w:r>
      <w:r>
        <w:rPr>
          <w:rFonts w:hint="eastAsia" w:ascii="Times New Roman" w:hAnsi="Times New Roman" w:eastAsia="方正仿宋_GBK" w:cs="Times New Roman"/>
          <w:sz w:val="30"/>
          <w:szCs w:val="30"/>
          <w:lang w:eastAsia="zh-CN"/>
        </w:rPr>
        <w:t>，同心县卫生健康局</w:t>
      </w:r>
      <w:r>
        <w:rPr>
          <w:rFonts w:hint="default" w:ascii="Times New Roman" w:hAnsi="Times New Roman" w:eastAsia="方正仿宋_GBK" w:cs="Times New Roman"/>
          <w:sz w:val="30"/>
          <w:szCs w:val="30"/>
        </w:rPr>
        <w:t>制</w:t>
      </w:r>
      <w:r>
        <w:rPr>
          <w:rFonts w:hint="eastAsia" w:ascii="Times New Roman" w:hAnsi="Times New Roman" w:eastAsia="方正仿宋_GBK" w:cs="Times New Roman"/>
          <w:sz w:val="30"/>
          <w:szCs w:val="30"/>
          <w:lang w:eastAsia="zh-CN"/>
        </w:rPr>
        <w:t>定</w:t>
      </w:r>
      <w:r>
        <w:rPr>
          <w:rFonts w:hint="default" w:ascii="Times New Roman" w:hAnsi="Times New Roman" w:eastAsia="方正仿宋_GBK" w:cs="Times New Roman"/>
          <w:sz w:val="30"/>
          <w:szCs w:val="30"/>
        </w:rPr>
        <w:t>《</w:t>
      </w:r>
      <w:r>
        <w:rPr>
          <w:rFonts w:hint="eastAsia" w:ascii="Times New Roman" w:hAnsi="Times New Roman" w:eastAsia="方正仿宋_GBK" w:cs="Times New Roman"/>
          <w:sz w:val="30"/>
          <w:szCs w:val="30"/>
          <w:lang w:val="en-US" w:eastAsia="zh-CN"/>
        </w:rPr>
        <w:t>2022年基本公共卫生服务项</w:t>
      </w:r>
      <w:r>
        <w:rPr>
          <w:rFonts w:hint="default" w:ascii="Times New Roman" w:hAnsi="Times New Roman" w:eastAsia="方正仿宋_GBK" w:cs="Times New Roman"/>
          <w:sz w:val="30"/>
          <w:szCs w:val="30"/>
          <w:lang w:val="en-US" w:eastAsia="zh-CN"/>
        </w:rPr>
        <w:t>目实施方案</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b w:val="0"/>
          <w:kern w:val="2"/>
          <w:sz w:val="30"/>
          <w:szCs w:val="30"/>
        </w:rPr>
        <w:t>（</w:t>
      </w:r>
      <w:r>
        <w:rPr>
          <w:rFonts w:hint="eastAsia" w:ascii="Times New Roman" w:hAnsi="Times New Roman" w:eastAsia="方正仿宋_GBK" w:cs="Times New Roman"/>
          <w:b w:val="0"/>
          <w:kern w:val="2"/>
          <w:sz w:val="30"/>
          <w:szCs w:val="30"/>
          <w:lang w:eastAsia="zh-CN"/>
        </w:rPr>
        <w:t>同</w:t>
      </w:r>
      <w:r>
        <w:rPr>
          <w:rFonts w:hint="default" w:ascii="Times New Roman" w:hAnsi="Times New Roman" w:eastAsia="方正仿宋_GBK" w:cs="Times New Roman"/>
          <w:b w:val="0"/>
          <w:kern w:val="2"/>
          <w:sz w:val="30"/>
          <w:szCs w:val="30"/>
          <w:lang w:eastAsia="zh-CN"/>
        </w:rPr>
        <w:t>卫健发</w:t>
      </w:r>
      <w:r>
        <w:rPr>
          <w:rFonts w:hint="default" w:ascii="Times New Roman" w:hAnsi="Times New Roman" w:eastAsia="方正仿宋_GBK" w:cs="Times New Roman"/>
          <w:b w:val="0"/>
          <w:kern w:val="2"/>
          <w:sz w:val="30"/>
          <w:szCs w:val="30"/>
          <w:lang w:bidi="ar-SA"/>
        </w:rPr>
        <w:t>〔202</w:t>
      </w:r>
      <w:r>
        <w:rPr>
          <w:rFonts w:hint="eastAsia" w:ascii="Times New Roman" w:hAnsi="Times New Roman" w:eastAsia="方正仿宋_GBK" w:cs="Times New Roman"/>
          <w:b w:val="0"/>
          <w:kern w:val="2"/>
          <w:sz w:val="30"/>
          <w:szCs w:val="30"/>
          <w:lang w:val="en-US" w:eastAsia="zh-CN" w:bidi="ar-SA"/>
        </w:rPr>
        <w:t>2</w:t>
      </w:r>
      <w:r>
        <w:rPr>
          <w:rFonts w:hint="default" w:ascii="Times New Roman" w:hAnsi="Times New Roman" w:eastAsia="方正仿宋_GBK" w:cs="Times New Roman"/>
          <w:b w:val="0"/>
          <w:kern w:val="2"/>
          <w:sz w:val="30"/>
          <w:szCs w:val="30"/>
          <w:lang w:bidi="ar-SA"/>
        </w:rPr>
        <w:t>〕</w:t>
      </w:r>
      <w:r>
        <w:rPr>
          <w:rFonts w:hint="eastAsia" w:ascii="Times New Roman" w:hAnsi="Times New Roman" w:eastAsia="方正仿宋_GBK" w:cs="Times New Roman"/>
          <w:b w:val="0"/>
          <w:kern w:val="2"/>
          <w:sz w:val="30"/>
          <w:szCs w:val="30"/>
          <w:lang w:val="en-US" w:eastAsia="zh-CN" w:bidi="ar-SA"/>
        </w:rPr>
        <w:t>115</w:t>
      </w:r>
      <w:r>
        <w:rPr>
          <w:rFonts w:hint="default" w:ascii="Times New Roman" w:hAnsi="Times New Roman" w:eastAsia="方正仿宋_GBK" w:cs="Times New Roman"/>
          <w:b w:val="0"/>
          <w:kern w:val="2"/>
          <w:sz w:val="30"/>
          <w:szCs w:val="30"/>
          <w:lang w:val="en-US" w:bidi="ar-SA"/>
        </w:rPr>
        <w:t>号），</w:t>
      </w:r>
      <w:r>
        <w:rPr>
          <w:rFonts w:hint="eastAsia" w:ascii="Times New Roman" w:hAnsi="Times New Roman" w:eastAsia="方正仿宋_GBK" w:cs="Times New Roman"/>
          <w:b w:val="0"/>
          <w:kern w:val="2"/>
          <w:sz w:val="30"/>
          <w:szCs w:val="30"/>
          <w:lang w:val="en-US" w:eastAsia="zh-CN" w:bidi="ar-SA"/>
        </w:rPr>
        <w:t>并于2022年5月5日印发，用以规范项目的具体实施，</w:t>
      </w:r>
      <w:r>
        <w:rPr>
          <w:rFonts w:hint="default" w:ascii="Times New Roman" w:hAnsi="Times New Roman" w:eastAsia="方正仿宋_GBK" w:cs="Times New Roman"/>
          <w:b w:val="0"/>
          <w:kern w:val="2"/>
          <w:sz w:val="30"/>
          <w:szCs w:val="30"/>
          <w:lang w:val="en-US" w:bidi="ar-SA"/>
        </w:rPr>
        <w:t>持续推进国家基本公共卫生服务项目，积极干预城乡居民健康问题，有效预防和控制主要传染病及慢性病，不断提高公共服务和突发公共事件应急处置能力，基本公共卫生服务均等化机制不断完善，重大疾病和主要健康危险因素得到有效控制，城乡居民健康水平得到进一步提升</w:t>
      </w:r>
      <w:r>
        <w:rPr>
          <w:rFonts w:hint="default" w:ascii="Times New Roman" w:hAnsi="Times New Roman" w:eastAsia="方正仿宋_GBK" w:cs="Times New Roman"/>
          <w:sz w:val="30"/>
          <w:szCs w:val="30"/>
        </w:rPr>
        <w:t>。</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3" w:name="_Toc28915"/>
      <w:r>
        <w:rPr>
          <w:rFonts w:hint="eastAsia" w:ascii="方正楷体_GBK" w:hAnsi="方正楷体_GBK" w:eastAsia="方正楷体_GBK" w:cs="方正楷体_GBK"/>
          <w:sz w:val="30"/>
          <w:szCs w:val="30"/>
          <w:lang w:val="en-US" w:eastAsia="zh-CN"/>
        </w:rPr>
        <w:t>（二）项目实施主要内容</w:t>
      </w:r>
      <w:bookmarkEnd w:id="20"/>
      <w:bookmarkEnd w:id="21"/>
      <w:bookmarkEnd w:id="23"/>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4" w:name="_Toc8550"/>
      <w:bookmarkStart w:id="25" w:name="_Toc1917"/>
      <w:r>
        <w:rPr>
          <w:rFonts w:hint="eastAsia" w:ascii="Times New Roman" w:hAnsi="Times New Roman" w:eastAsia="方正仿宋_GBK" w:cs="Times New Roman"/>
          <w:color w:val="auto"/>
          <w:kern w:val="2"/>
          <w:sz w:val="30"/>
          <w:szCs w:val="30"/>
          <w:highlight w:val="none"/>
          <w:lang w:val="en-US" w:eastAsia="zh-CN" w:bidi="ar-SA"/>
        </w:rPr>
        <w:t>由同心县卫生健康局实施的2022年基本公共卫生服务项目涵盖以下内容：</w:t>
      </w:r>
      <w:bookmarkStart w:id="26" w:name="_Toc17160"/>
      <w:bookmarkStart w:id="27" w:name="_Toc22184"/>
    </w:p>
    <w:p>
      <w:pPr>
        <w:pStyle w:val="39"/>
        <w:widowControl w:val="0"/>
        <w:spacing w:line="560" w:lineRule="exact"/>
        <w:ind w:firstLine="592" w:firstLineChars="200"/>
        <w:rPr>
          <w:rFonts w:hint="default" w:ascii="Times New Roman" w:hAnsi="Times New Roman" w:eastAsia="方正仿宋_GBK" w:cs="Times New Roman"/>
          <w:sz w:val="30"/>
          <w:szCs w:val="30"/>
          <w:u w:val="none"/>
        </w:rPr>
      </w:pPr>
      <w:r>
        <w:rPr>
          <w:rFonts w:hint="eastAsia" w:ascii="Times New Roman" w:hAnsi="Times New Roman" w:eastAsia="方正仿宋_GBK" w:cs="Times New Roman"/>
          <w:sz w:val="30"/>
          <w:szCs w:val="30"/>
          <w:u w:val="none"/>
          <w:lang w:eastAsia="zh-CN"/>
        </w:rPr>
        <w:t>公共卫生服务方面：</w:t>
      </w:r>
      <w:r>
        <w:rPr>
          <w:rFonts w:hint="default" w:ascii="Times New Roman" w:hAnsi="Times New Roman" w:eastAsia="方正仿宋_GBK" w:cs="Times New Roman"/>
          <w:sz w:val="30"/>
          <w:szCs w:val="30"/>
          <w:u w:val="none"/>
        </w:rPr>
        <w:t>根据《国家基本公共卫生服务规范（</w:t>
      </w:r>
      <w:r>
        <w:rPr>
          <w:rFonts w:hint="eastAsia" w:ascii="Times New Roman" w:hAnsi="Times New Roman" w:eastAsia="方正仿宋_GBK" w:cs="Times New Roman"/>
          <w:sz w:val="30"/>
          <w:szCs w:val="30"/>
          <w:u w:val="none"/>
          <w:lang w:eastAsia="zh-CN"/>
        </w:rPr>
        <w:t>第三版</w:t>
      </w:r>
      <w:r>
        <w:rPr>
          <w:rFonts w:hint="default" w:ascii="Times New Roman" w:hAnsi="Times New Roman" w:eastAsia="方正仿宋_GBK" w:cs="Times New Roman"/>
          <w:sz w:val="30"/>
          <w:szCs w:val="30"/>
          <w:u w:val="none"/>
        </w:rPr>
        <w:t>）》</w:t>
      </w:r>
      <w:r>
        <w:rPr>
          <w:rFonts w:hint="eastAsia" w:ascii="Times New Roman" w:hAnsi="Times New Roman" w:eastAsia="方正仿宋_GBK" w:cs="Times New Roman"/>
          <w:sz w:val="30"/>
          <w:szCs w:val="30"/>
          <w:u w:val="none"/>
          <w:lang w:eastAsia="zh-CN"/>
        </w:rPr>
        <w:t>和</w:t>
      </w:r>
      <w:r>
        <w:rPr>
          <w:rFonts w:hint="default" w:ascii="Times New Roman" w:hAnsi="Times New Roman" w:eastAsia="方正仿宋_GBK" w:cs="Times New Roman"/>
          <w:sz w:val="30"/>
          <w:szCs w:val="30"/>
        </w:rPr>
        <w:t>《</w:t>
      </w:r>
      <w:r>
        <w:rPr>
          <w:rFonts w:hint="eastAsia" w:ascii="Times New Roman" w:hAnsi="Times New Roman" w:eastAsia="方正仿宋_GBK" w:cs="Times New Roman"/>
          <w:sz w:val="30"/>
          <w:szCs w:val="30"/>
          <w:lang w:val="en-US" w:eastAsia="zh-CN"/>
        </w:rPr>
        <w:t>2022年基本公共卫生服务项</w:t>
      </w:r>
      <w:r>
        <w:rPr>
          <w:rFonts w:hint="default" w:ascii="Times New Roman" w:hAnsi="Times New Roman" w:eastAsia="方正仿宋_GBK" w:cs="Times New Roman"/>
          <w:sz w:val="30"/>
          <w:szCs w:val="30"/>
          <w:lang w:val="en-US" w:eastAsia="zh-CN"/>
        </w:rPr>
        <w:t>目实施方案</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b w:val="0"/>
          <w:kern w:val="2"/>
          <w:sz w:val="30"/>
          <w:szCs w:val="30"/>
        </w:rPr>
        <w:t>（</w:t>
      </w:r>
      <w:r>
        <w:rPr>
          <w:rFonts w:hint="eastAsia" w:ascii="Times New Roman" w:hAnsi="Times New Roman" w:eastAsia="方正仿宋_GBK" w:cs="Times New Roman"/>
          <w:b w:val="0"/>
          <w:kern w:val="2"/>
          <w:sz w:val="30"/>
          <w:szCs w:val="30"/>
          <w:lang w:eastAsia="zh-CN"/>
        </w:rPr>
        <w:t>同</w:t>
      </w:r>
      <w:r>
        <w:rPr>
          <w:rFonts w:hint="default" w:ascii="Times New Roman" w:hAnsi="Times New Roman" w:eastAsia="方正仿宋_GBK" w:cs="Times New Roman"/>
          <w:b w:val="0"/>
          <w:kern w:val="2"/>
          <w:sz w:val="30"/>
          <w:szCs w:val="30"/>
          <w:lang w:eastAsia="zh-CN"/>
        </w:rPr>
        <w:t>卫健发</w:t>
      </w:r>
      <w:r>
        <w:rPr>
          <w:rFonts w:hint="default" w:ascii="Times New Roman" w:hAnsi="Times New Roman" w:eastAsia="方正仿宋_GBK" w:cs="Times New Roman"/>
          <w:b w:val="0"/>
          <w:kern w:val="2"/>
          <w:sz w:val="30"/>
          <w:szCs w:val="30"/>
          <w:lang w:bidi="ar-SA"/>
        </w:rPr>
        <w:t>〔202</w:t>
      </w:r>
      <w:r>
        <w:rPr>
          <w:rFonts w:hint="eastAsia" w:ascii="Times New Roman" w:hAnsi="Times New Roman" w:eastAsia="方正仿宋_GBK" w:cs="Times New Roman"/>
          <w:b w:val="0"/>
          <w:kern w:val="2"/>
          <w:sz w:val="30"/>
          <w:szCs w:val="30"/>
          <w:lang w:val="en-US" w:eastAsia="zh-CN" w:bidi="ar-SA"/>
        </w:rPr>
        <w:t>2</w:t>
      </w:r>
      <w:r>
        <w:rPr>
          <w:rFonts w:hint="default" w:ascii="Times New Roman" w:hAnsi="Times New Roman" w:eastAsia="方正仿宋_GBK" w:cs="Times New Roman"/>
          <w:b w:val="0"/>
          <w:kern w:val="2"/>
          <w:sz w:val="30"/>
          <w:szCs w:val="30"/>
          <w:lang w:bidi="ar-SA"/>
        </w:rPr>
        <w:t>〕</w:t>
      </w:r>
      <w:r>
        <w:rPr>
          <w:rFonts w:hint="eastAsia" w:ascii="Times New Roman" w:hAnsi="Times New Roman" w:eastAsia="方正仿宋_GBK" w:cs="Times New Roman"/>
          <w:b w:val="0"/>
          <w:kern w:val="2"/>
          <w:sz w:val="30"/>
          <w:szCs w:val="30"/>
          <w:lang w:val="en-US" w:eastAsia="zh-CN" w:bidi="ar-SA"/>
        </w:rPr>
        <w:t>115</w:t>
      </w:r>
      <w:r>
        <w:rPr>
          <w:rFonts w:hint="default" w:ascii="Times New Roman" w:hAnsi="Times New Roman" w:eastAsia="方正仿宋_GBK" w:cs="Times New Roman"/>
          <w:b w:val="0"/>
          <w:kern w:val="2"/>
          <w:sz w:val="30"/>
          <w:szCs w:val="30"/>
          <w:lang w:val="en-US" w:bidi="ar-SA"/>
        </w:rPr>
        <w:t>号）</w:t>
      </w:r>
      <w:r>
        <w:rPr>
          <w:rFonts w:hint="default" w:ascii="Times New Roman" w:hAnsi="Times New Roman" w:eastAsia="方正仿宋_GBK" w:cs="Times New Roman"/>
          <w:sz w:val="30"/>
          <w:szCs w:val="30"/>
          <w:u w:val="none"/>
        </w:rPr>
        <w:t>项目实施内容包括12类内容，即居民</w:t>
      </w:r>
      <w:r>
        <w:rPr>
          <w:rFonts w:hint="eastAsia" w:ascii="Times New Roman" w:hAnsi="Times New Roman" w:eastAsia="方正仿宋_GBK" w:cs="Times New Roman"/>
          <w:sz w:val="30"/>
          <w:szCs w:val="30"/>
          <w:u w:val="none"/>
          <w:lang w:val="en-US" w:eastAsia="zh-CN"/>
        </w:rPr>
        <w:t xml:space="preserve"> </w:t>
      </w:r>
      <w:r>
        <w:rPr>
          <w:rFonts w:hint="default" w:ascii="Times New Roman" w:hAnsi="Times New Roman" w:eastAsia="方正仿宋_GBK" w:cs="Times New Roman"/>
          <w:sz w:val="30"/>
          <w:szCs w:val="30"/>
          <w:u w:val="none"/>
        </w:rPr>
        <w:t>档案管理、健康教育、孕产妇健康管理、0-6岁儿童健康管理、预防接种、老年人健康管理、慢性病患者健康管理（包括高血压患者健康管理和2型糖尿病患者健康管理、减盐防控高血压综合干预）、严重精神障碍患者管理、慢性传染性患者健康管理（肺结核患者健康管理、基层医疗卫生机构艾滋病预防控制服务规范）、中</w:t>
      </w:r>
      <w:r>
        <w:rPr>
          <w:rFonts w:hint="default" w:ascii="Times New Roman" w:hAnsi="Times New Roman" w:eastAsia="方正仿宋_GBK" w:cs="Times New Roman"/>
          <w:sz w:val="30"/>
          <w:szCs w:val="30"/>
        </w:rPr>
        <w:t>医药健康管理、传染病及</w:t>
      </w:r>
      <w:r>
        <w:rPr>
          <w:rFonts w:hint="default" w:ascii="Times New Roman" w:hAnsi="Times New Roman" w:eastAsia="方正仿宋_GBK" w:cs="Times New Roman"/>
          <w:sz w:val="30"/>
          <w:szCs w:val="30"/>
          <w:u w:val="none"/>
        </w:rPr>
        <w:t>突发公共卫生事件报告和处理、卫生计生监督协管。</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eastAsia" w:ascii="Times New Roman" w:hAnsi="Times New Roman" w:eastAsia="方正仿宋_GBK" w:cs="Times New Roman"/>
          <w:sz w:val="30"/>
          <w:szCs w:val="30"/>
          <w:u w:val="none"/>
          <w:lang w:eastAsia="zh-CN"/>
        </w:rPr>
      </w:pPr>
      <w:r>
        <w:rPr>
          <w:rFonts w:hint="default" w:ascii="Times New Roman" w:hAnsi="Times New Roman" w:eastAsia="方正仿宋_GBK" w:cs="Times New Roman"/>
          <w:sz w:val="30"/>
          <w:szCs w:val="30"/>
          <w:u w:val="none"/>
        </w:rPr>
        <w:t>上述项目</w:t>
      </w:r>
      <w:r>
        <w:rPr>
          <w:rFonts w:hint="eastAsia" w:ascii="Times New Roman" w:hAnsi="Times New Roman" w:eastAsia="方正仿宋_GBK" w:cs="Times New Roman"/>
          <w:sz w:val="30"/>
          <w:szCs w:val="30"/>
          <w:u w:val="none"/>
          <w:lang w:eastAsia="zh-CN"/>
        </w:rPr>
        <w:t>由同心县卫生健康局具体负责基本公共卫生服务项目中的组织管理、资金管理、健康教育、中医药服务项目管理以及满意度调查等工作；</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eastAsia" w:ascii="Times New Roman" w:hAnsi="Times New Roman" w:eastAsia="方正仿宋_GBK" w:cs="Times New Roman"/>
          <w:sz w:val="30"/>
          <w:szCs w:val="30"/>
          <w:u w:val="none"/>
          <w:lang w:eastAsia="zh-CN"/>
        </w:rPr>
      </w:pPr>
      <w:r>
        <w:rPr>
          <w:rFonts w:hint="eastAsia" w:ascii="Times New Roman" w:hAnsi="Times New Roman" w:eastAsia="方正仿宋_GBK" w:cs="Times New Roman"/>
          <w:sz w:val="30"/>
          <w:szCs w:val="30"/>
          <w:u w:val="none"/>
          <w:lang w:eastAsia="zh-CN"/>
        </w:rPr>
        <w:t>具体各分项工作实施则由县疾病预防控制中心、县妇幼保健计划生育服务中心、县卫生监督执法所、乡镇卫生院和社区卫生服务中心负责实施与管理。</w:t>
      </w:r>
      <w:r>
        <w:rPr>
          <w:rFonts w:hint="default" w:ascii="Times New Roman" w:hAnsi="Times New Roman" w:eastAsia="方正仿宋_GBK" w:cs="Times New Roman"/>
          <w:sz w:val="30"/>
          <w:szCs w:val="30"/>
          <w:u w:val="none"/>
        </w:rPr>
        <w:t>对照工作任务制定具体措施，明确责任小组、完成时限，为各项任务落实落地打下基础</w:t>
      </w:r>
      <w:r>
        <w:rPr>
          <w:rFonts w:hint="eastAsia" w:ascii="Times New Roman" w:hAnsi="Times New Roman" w:eastAsia="方正仿宋_GBK" w:cs="Times New Roman"/>
          <w:sz w:val="30"/>
          <w:szCs w:val="30"/>
          <w:u w:val="none"/>
          <w:lang w:eastAsia="zh-CN"/>
        </w:rPr>
        <w:t>，</w:t>
      </w:r>
      <w:r>
        <w:rPr>
          <w:rFonts w:hint="default" w:ascii="Times New Roman" w:hAnsi="Times New Roman" w:eastAsia="方正仿宋_GBK" w:cs="Times New Roman"/>
          <w:sz w:val="30"/>
          <w:szCs w:val="30"/>
          <w:u w:val="none"/>
        </w:rPr>
        <w:t>各</w:t>
      </w:r>
      <w:r>
        <w:rPr>
          <w:rFonts w:hint="eastAsia" w:ascii="Times New Roman" w:hAnsi="Times New Roman" w:eastAsia="方正仿宋_GBK" w:cs="Times New Roman"/>
          <w:sz w:val="30"/>
          <w:szCs w:val="30"/>
          <w:u w:val="none"/>
          <w:lang w:eastAsia="zh-CN"/>
        </w:rPr>
        <w:t>项目实施单位</w:t>
      </w:r>
      <w:r>
        <w:rPr>
          <w:rFonts w:hint="default" w:ascii="Times New Roman" w:hAnsi="Times New Roman" w:eastAsia="方正仿宋_GBK" w:cs="Times New Roman"/>
          <w:sz w:val="30"/>
          <w:szCs w:val="30"/>
          <w:u w:val="none"/>
        </w:rPr>
        <w:t>按照《方案》积极开展项目实施准备工作，起草配套子方案，稳步推进各项工作实施，并建立项目推进督导工作机制，定期组织督查指导项目实施情况，动态监测项目指标运行情况，及时研究解决项目推进过程中的困难和问题确保项目顺利实施</w:t>
      </w:r>
      <w:r>
        <w:rPr>
          <w:rFonts w:hint="eastAsia" w:ascii="Times New Roman" w:hAnsi="Times New Roman" w:eastAsia="方正仿宋_GBK" w:cs="Times New Roman"/>
          <w:sz w:val="30"/>
          <w:szCs w:val="30"/>
          <w:u w:val="none"/>
          <w:lang w:eastAsia="zh-CN"/>
        </w:rPr>
        <w:t>。</w:t>
      </w:r>
    </w:p>
    <w:p>
      <w:pPr>
        <w:pStyle w:val="39"/>
        <w:keepNext w:val="0"/>
        <w:keepLines w:val="0"/>
        <w:pageBreakBefore w:val="0"/>
        <w:widowControl w:val="0"/>
        <w:kinsoku/>
        <w:wordWrap/>
        <w:topLinePunct w:val="0"/>
        <w:autoSpaceDE/>
        <w:autoSpaceDN/>
        <w:bidi w:val="0"/>
        <w:adjustRightInd/>
        <w:spacing w:line="560" w:lineRule="exact"/>
        <w:ind w:firstLine="592" w:firstLineChars="200"/>
        <w:jc w:val="both"/>
        <w:textAlignment w:val="auto"/>
        <w:rPr>
          <w:rFonts w:hint="default" w:ascii="Times New Roman" w:hAnsi="Times New Roman" w:eastAsia="方正仿宋_GBK" w:cs="Times New Roman"/>
          <w:sz w:val="30"/>
          <w:szCs w:val="30"/>
          <w:u w:val="none"/>
        </w:rPr>
      </w:pPr>
      <w:r>
        <w:rPr>
          <w:rFonts w:hint="default" w:ascii="Times New Roman" w:hAnsi="Times New Roman" w:eastAsia="方正仿宋_GBK" w:cs="Times New Roman"/>
          <w:sz w:val="30"/>
          <w:szCs w:val="30"/>
          <w:u w:val="none"/>
        </w:rPr>
        <w:t>本次绩效评价系对</w:t>
      </w:r>
      <w:r>
        <w:rPr>
          <w:rFonts w:hint="eastAsia" w:ascii="Times New Roman" w:hAnsi="Times New Roman" w:eastAsia="方正仿宋_GBK" w:cs="Times New Roman"/>
          <w:sz w:val="30"/>
          <w:szCs w:val="30"/>
          <w:u w:val="none"/>
          <w:lang w:eastAsia="zh-CN"/>
        </w:rPr>
        <w:t>同心县卫生健康局</w:t>
      </w:r>
      <w:r>
        <w:rPr>
          <w:rFonts w:hint="eastAsia" w:ascii="Times New Roman" w:hAnsi="Times New Roman" w:eastAsia="方正仿宋_GBK" w:cs="Times New Roman"/>
          <w:sz w:val="30"/>
          <w:szCs w:val="30"/>
          <w:u w:val="none"/>
          <w:lang w:val="en-US" w:eastAsia="zh-CN"/>
        </w:rPr>
        <w:t>2022年基本公共卫生服务</w:t>
      </w:r>
      <w:r>
        <w:rPr>
          <w:rFonts w:hint="default" w:ascii="Times New Roman" w:hAnsi="Times New Roman" w:eastAsia="方正仿宋_GBK" w:cs="Times New Roman"/>
          <w:sz w:val="30"/>
          <w:szCs w:val="30"/>
          <w:u w:val="none"/>
        </w:rPr>
        <w:t>项目自 2022 年</w:t>
      </w:r>
      <w:r>
        <w:rPr>
          <w:rFonts w:hint="eastAsia" w:ascii="Times New Roman" w:hAnsi="Times New Roman" w:eastAsia="方正仿宋_GBK" w:cs="Times New Roman"/>
          <w:sz w:val="30"/>
          <w:szCs w:val="30"/>
          <w:u w:val="none"/>
          <w:lang w:eastAsia="zh-CN"/>
        </w:rPr>
        <w:t>初</w:t>
      </w:r>
      <w:r>
        <w:rPr>
          <w:rFonts w:hint="default" w:ascii="Times New Roman" w:hAnsi="Times New Roman" w:eastAsia="方正仿宋_GBK" w:cs="Times New Roman"/>
          <w:sz w:val="30"/>
          <w:szCs w:val="30"/>
          <w:u w:val="none"/>
        </w:rPr>
        <w:t>至 202</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年 1</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 xml:space="preserve"> 月31日期间项目实施情况进行的评价。</w:t>
      </w:r>
    </w:p>
    <w:p>
      <w:pPr>
        <w:keepNext w:val="0"/>
        <w:keepLines w:val="0"/>
        <w:pageBreakBefore w:val="0"/>
        <w:widowControl/>
        <w:kinsoku/>
        <w:wordWrap/>
        <w:overflowPunct/>
        <w:topLinePunct w:val="0"/>
        <w:autoSpaceDE/>
        <w:autoSpaceDN/>
        <w:bidi w:val="0"/>
        <w:adjustRightInd/>
        <w:snapToGrid w:val="0"/>
        <w:spacing w:after="0" w:line="560" w:lineRule="exact"/>
        <w:jc w:val="both"/>
        <w:textAlignment w:val="auto"/>
        <w:rPr>
          <w:rFonts w:hint="eastAsia" w:ascii="等线" w:hAnsi="等线" w:eastAsia="等线" w:cs="等线"/>
          <w:b/>
          <w:bCs/>
          <w:color w:val="auto"/>
          <w:kern w:val="0"/>
          <w:sz w:val="22"/>
          <w:highlight w:val="none"/>
          <w:u w:color="000000"/>
          <w:lang w:val="en-US" w:eastAsia="zh-CN"/>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p>
    <w:p>
      <w:pPr>
        <w:keepNext w:val="0"/>
        <w:keepLines w:val="0"/>
        <w:pageBreakBefore w:val="0"/>
        <w:widowControl/>
        <w:kinsoku/>
        <w:wordWrap/>
        <w:overflowPunct/>
        <w:topLinePunct w:val="0"/>
        <w:autoSpaceDE/>
        <w:autoSpaceDN/>
        <w:bidi w:val="0"/>
        <w:adjustRightInd/>
        <w:snapToGrid w:val="0"/>
        <w:spacing w:before="156" w:beforeLines="50" w:after="0" w:line="240" w:lineRule="auto"/>
        <w:jc w:val="center"/>
        <w:textAlignment w:val="auto"/>
        <w:rPr>
          <w:rFonts w:hint="eastAsia" w:ascii="Times New Roman" w:hAnsi="Times New Roman" w:eastAsia="方正仿宋_GBK" w:cs="Times New Roman"/>
          <w:b/>
          <w:bCs/>
          <w:kern w:val="2"/>
          <w:sz w:val="30"/>
          <w:szCs w:val="30"/>
          <w:u w:val="none"/>
          <w:lang w:val="en-US" w:eastAsia="zh-CN" w:bidi="ar-SA"/>
        </w:rPr>
      </w:pPr>
      <w:r>
        <w:rPr>
          <w:rFonts w:hint="eastAsia" w:ascii="Times New Roman" w:hAnsi="Times New Roman" w:eastAsia="方正仿宋_GBK" w:cs="Times New Roman"/>
          <w:b/>
          <w:bCs/>
          <w:kern w:val="2"/>
          <w:sz w:val="30"/>
          <w:szCs w:val="30"/>
          <w:u w:val="none"/>
          <w:lang w:val="en-US" w:eastAsia="zh-CN" w:bidi="ar-SA"/>
        </w:rPr>
        <w:t xml:space="preserve"> 2022年同心县基本公共卫生服务项目实施内容及执行情况</w:t>
      </w:r>
    </w:p>
    <w:tbl>
      <w:tblPr>
        <w:tblStyle w:val="21"/>
        <w:tblW w:w="498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5"/>
        <w:gridCol w:w="1663"/>
        <w:gridCol w:w="6931"/>
        <w:gridCol w:w="4078"/>
        <w:gridCol w:w="6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18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b/>
                <w:bCs/>
                <w:kern w:val="2"/>
                <w:sz w:val="24"/>
                <w:szCs w:val="24"/>
                <w:u w:val="none"/>
                <w:lang w:val="en-US" w:eastAsia="zh-CN" w:bidi="ar-SA"/>
              </w:rPr>
            </w:pPr>
            <w:r>
              <w:rPr>
                <w:rFonts w:hint="eastAsia" w:ascii="Times New Roman" w:hAnsi="Times New Roman" w:eastAsia="方正仿宋_GBK" w:cs="Times New Roman"/>
                <w:b/>
                <w:bCs/>
                <w:kern w:val="2"/>
                <w:sz w:val="24"/>
                <w:szCs w:val="24"/>
                <w:u w:val="none"/>
                <w:lang w:val="en-US" w:eastAsia="zh-CN" w:bidi="ar-SA"/>
              </w:rPr>
              <w:t>序号</w:t>
            </w:r>
          </w:p>
        </w:tc>
        <w:tc>
          <w:tcPr>
            <w:tcW w:w="42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jc w:val="both"/>
              <w:textAlignment w:val="center"/>
              <w:rPr>
                <w:rFonts w:hint="eastAsia" w:ascii="Times New Roman" w:hAnsi="Times New Roman" w:eastAsia="方正仿宋_GBK" w:cs="Times New Roman"/>
                <w:b/>
                <w:bCs/>
                <w:kern w:val="2"/>
                <w:sz w:val="24"/>
                <w:szCs w:val="24"/>
                <w:u w:val="none"/>
                <w:lang w:val="en-US" w:eastAsia="zh-CN" w:bidi="ar-SA"/>
              </w:rPr>
            </w:pPr>
            <w:r>
              <w:rPr>
                <w:rFonts w:hint="eastAsia" w:ascii="Times New Roman" w:hAnsi="Times New Roman" w:eastAsia="方正仿宋_GBK" w:cs="Times New Roman"/>
                <w:b/>
                <w:bCs/>
                <w:kern w:val="2"/>
                <w:sz w:val="24"/>
                <w:szCs w:val="24"/>
                <w:u w:val="none"/>
                <w:lang w:val="en-US" w:eastAsia="zh-CN" w:bidi="ar-SA"/>
              </w:rPr>
              <w:t>项目名称</w:t>
            </w:r>
          </w:p>
        </w:tc>
        <w:tc>
          <w:tcPr>
            <w:tcW w:w="175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jc w:val="center"/>
              <w:textAlignment w:val="center"/>
              <w:rPr>
                <w:rFonts w:hint="eastAsia" w:ascii="Times New Roman" w:hAnsi="Times New Roman" w:eastAsia="方正仿宋_GBK" w:cs="Times New Roman"/>
                <w:b/>
                <w:bCs/>
                <w:kern w:val="2"/>
                <w:sz w:val="24"/>
                <w:szCs w:val="24"/>
                <w:u w:val="none"/>
                <w:lang w:val="en-US" w:eastAsia="zh-CN" w:bidi="ar-SA"/>
              </w:rPr>
            </w:pPr>
            <w:r>
              <w:rPr>
                <w:rFonts w:hint="eastAsia" w:ascii="Times New Roman" w:hAnsi="Times New Roman" w:eastAsia="方正仿宋_GBK" w:cs="Times New Roman"/>
                <w:b/>
                <w:bCs/>
                <w:kern w:val="2"/>
                <w:sz w:val="24"/>
                <w:szCs w:val="24"/>
                <w:u w:val="none"/>
                <w:lang w:val="en-US" w:eastAsia="zh-CN" w:bidi="ar-SA"/>
              </w:rPr>
              <w:t>主要内容</w:t>
            </w:r>
          </w:p>
        </w:tc>
        <w:tc>
          <w:tcPr>
            <w:tcW w:w="10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jc w:val="center"/>
              <w:textAlignment w:val="center"/>
              <w:rPr>
                <w:rFonts w:hint="eastAsia" w:ascii="Times New Roman" w:hAnsi="Times New Roman" w:eastAsia="方正仿宋_GBK" w:cs="Times New Roman"/>
                <w:b/>
                <w:bCs/>
                <w:kern w:val="2"/>
                <w:sz w:val="24"/>
                <w:szCs w:val="24"/>
                <w:u w:val="none"/>
                <w:lang w:val="en-US" w:eastAsia="zh-CN" w:bidi="ar-SA"/>
              </w:rPr>
            </w:pPr>
            <w:r>
              <w:rPr>
                <w:rFonts w:hint="eastAsia" w:ascii="Times New Roman" w:hAnsi="Times New Roman" w:eastAsia="方正仿宋_GBK" w:cs="Times New Roman"/>
                <w:b/>
                <w:bCs/>
                <w:kern w:val="2"/>
                <w:sz w:val="24"/>
                <w:szCs w:val="24"/>
                <w:u w:val="none"/>
                <w:lang w:val="en-US" w:eastAsia="zh-CN" w:bidi="ar-SA"/>
              </w:rPr>
              <w:t>任务要求</w:t>
            </w:r>
          </w:p>
        </w:tc>
        <w:tc>
          <w:tcPr>
            <w:tcW w:w="160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jc w:val="center"/>
              <w:textAlignment w:val="center"/>
              <w:rPr>
                <w:rFonts w:hint="eastAsia" w:ascii="Times New Roman" w:hAnsi="Times New Roman" w:eastAsia="方正仿宋_GBK" w:cs="Times New Roman"/>
                <w:b/>
                <w:bCs/>
                <w:kern w:val="2"/>
                <w:sz w:val="24"/>
                <w:szCs w:val="24"/>
                <w:u w:val="none"/>
                <w:lang w:val="en-US" w:eastAsia="zh-CN" w:bidi="ar-SA"/>
              </w:rPr>
            </w:pPr>
            <w:r>
              <w:rPr>
                <w:rFonts w:hint="eastAsia" w:ascii="Times New Roman" w:hAnsi="Times New Roman" w:eastAsia="方正仿宋_GBK" w:cs="Times New Roman"/>
                <w:b/>
                <w:bCs/>
                <w:kern w:val="2"/>
                <w:sz w:val="24"/>
                <w:szCs w:val="24"/>
                <w:u w:val="none"/>
                <w:lang w:val="en-US" w:eastAsia="zh-CN" w:bidi="ar-SA"/>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206" w:firstLineChars="100"/>
              <w:jc w:val="left"/>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居民健康档案管理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按照国家城乡居民健康档案管理服务规范要求，加快建立城乡居民电子健康档案，记录内容应齐全完整、真实准确、基础内容无缺失、各类检查报告等记录完整，并及时更新、补充。</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城乡居民规范化电子健康档案建档率不低于80%；档案抽查合格率不低于90%；动态使用率不低于50%。</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color w:val="FF0000"/>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全县累计建立城乡居民电子健康档案29.03万份，电子建档率为90.51%，动态管理的健康档案为21.06万份，动态管理率65.66%。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206" w:firstLineChars="100"/>
              <w:jc w:val="left"/>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健康教育</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针对健康素养基本知识和技能、优生优育及辖区重点健康问题等内容，向辖区内居民提供健康教育宣传信息和健康教育咨询服务，设置健康教育宣传栏并定期更新内容，开展健康知识讲座等健康教育活动。</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乡镇卫生院健康教育宣传栏不少于2个，村卫生室和社区卫生服务站宣传栏不少于1个，乡镇卫生院和社区卫生服务站全年健康教育讲座不少于12次，宣传栏不少于6期。</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各实施单位举办健康知识讲座 185 场次、受益群众 10 万余人次，设置健康教育宣传栏 235 个，举办健康教育咨询活动130 次，咨询人数达 5 万余人次，健康同心微信公众号发送各类健康知识 350 余篇，制作播放宣传短视频 8部，利用电子屏播放公益广告 15 部，受教育群众达 15 万余人次。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206" w:firstLineChars="100"/>
              <w:jc w:val="left"/>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预防接种</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为辖区内居住满3个月的0-6岁儿童建立预防接种证和预防接种卡等儿童预防接种档案，开展国家免疫规划疫苗的接种工作；发现、报告预防接种中的疑似异常反应，并协助调查处理.</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儿童预防接种建证率达到95%以上；纳入国家免疫规划的疫苗接种率达到90%以上。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color w:val="FF0000"/>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全县冷链运转 12 轮次，累计接种国家免疫规划疫苗118493 剂次，报告接种率均达到 98%以上，共监测到预防接种异常反应 38 例，均为一般反应。全县预防接种个案基本信息完整性和接种信息完整性均达到 99%以上。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儿童健康管理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为辖区0-6岁儿童建立儿童健康管理手册，开展新生儿访视及儿童健康管理，新生儿访视至少2次；婴幼儿保健1岁以内至少4次，第2年和第3年每年至少2次．为4-6岁儿童每年提供一次健康管理服务。</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新生儿访视率和儿童健康管理率均达到90%以上。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color w:val="FF0000"/>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7岁以下儿童数32155人，健康管理人数29843人，健康管理率达92.81%，3岁以下儿童数14220人，系统管理13709人，系统管理率为96.41%。5岁以下儿童死亡20人，死亡率5.0‰，婴儿死亡11人，婴儿死亡率2.75‰。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孕产妇健康管理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为辖区内孕产妇在孕12周前建立健康管理手册，开展至少5次孕期保健服务和2次产后访视.</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健康管理率达到90%以上。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color w:val="FF0000"/>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产妇3963人，活产3995人，住院分娩3995人，住院分娩率100%，孕产妇系统管理3872人，系统管理率96.62%，产后访视3959人，产后访视率99.10%，高危孕产妇2314人，高危管理率100%，早孕建卡3876人，早孕建卡率97.02%，产前检查3963人，产前检查率为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老年人健康管理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对辖区65岁及以上老年人进行登记管理，每年提供1次健康管理，进行—般体格检查和辅助检查，提供疾病预防、自我保健等健康指导。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老年人健康管理率达到70%以上，体检率达75以上。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老年人健康管理任务数 17203 人，老年人健康管理数 17395 人，任务完成率 101.12%，老年人健康管理率 70.77%。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206" w:firstLineChars="100"/>
              <w:jc w:val="both"/>
              <w:textAlignment w:val="center"/>
              <w:rPr>
                <w:rFonts w:hint="eastAsia" w:ascii="等线" w:hAnsi="等线" w:eastAsia="等线" w:cs="等线"/>
                <w:i w:val="0"/>
                <w:iCs w:val="0"/>
                <w:color w:val="auto"/>
                <w:sz w:val="21"/>
                <w:szCs w:val="21"/>
                <w:highlight w:val="none"/>
                <w:u w:val="none"/>
              </w:rPr>
            </w:pPr>
            <w:r>
              <w:rPr>
                <w:rFonts w:hint="eastAsia" w:ascii="Times New Roman" w:hAnsi="Times New Roman" w:eastAsia="方正仿宋_GBK" w:cs="Times New Roman"/>
                <w:kern w:val="2"/>
                <w:sz w:val="21"/>
                <w:szCs w:val="21"/>
                <w:u w:val="none"/>
                <w:lang w:val="en-US" w:eastAsia="zh-CN" w:bidi="ar-SA"/>
              </w:rPr>
              <w:t>7</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慢性病患者健康管理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对35岁及以上人群实行门诊首诊测血压。对确诊高血压患者进行登记管理，定期进行随访。</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高血压患者健康管理率达到100%；高血压患者规范管理率达到75%以上；管理人群血压控制率达到60%以上。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高血压患者管理任务数 18261 人，已管理高血压患者 21396 人，高血压患者管理任务完成率 117.16%，共抽查高血压患者健康档案 140 份，其中规范管理档案 123 份，规范管理率 87.86%。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80" w:lineRule="exact"/>
              <w:jc w:val="center"/>
              <w:textAlignment w:val="center"/>
              <w:rPr>
                <w:rFonts w:hint="eastAsia" w:ascii="等线" w:hAnsi="等线" w:eastAsia="等线" w:cs="等线"/>
                <w:i w:val="0"/>
                <w:iCs w:val="0"/>
                <w:color w:val="auto"/>
                <w:sz w:val="21"/>
                <w:szCs w:val="21"/>
                <w:highlight w:val="none"/>
                <w:u w:val="none"/>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80" w:lineRule="exact"/>
              <w:jc w:val="center"/>
              <w:textAlignment w:val="center"/>
              <w:rPr>
                <w:rFonts w:hint="eastAsia" w:ascii="等线" w:hAnsi="等线" w:eastAsia="等线" w:cs="等线"/>
                <w:i w:val="0"/>
                <w:iCs w:val="0"/>
                <w:color w:val="auto"/>
                <w:sz w:val="21"/>
                <w:szCs w:val="21"/>
                <w:highlight w:val="none"/>
                <w:u w:val="none"/>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对35岁及以上确诊糖尿病患者进行登记管理，定期进行随访。</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糖尿病患者健康管理率达到100%；糖尿病患者规范管理率达到75%以上；管理人群血糖控制率达到60%以上。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2型糖尿病患者管理任务数 4677 人，已管理 2型糖尿病患者 5615 人2型糖尿病患者管理任务完成率 120.06%，共抽查 2型糖尿病患者电子健康档案 140 份，其中规范管理档案 117 份，规范管理率为 83.57%。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8</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重性精神疾病及惊厥型癫痫患者管理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对辖区重性精神疾病患者进行登记管理；在专业机构指导下对在家居住的重性精神疾病患者进行治疗随访和康复指导。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重性精神病患者发现率为4%‰，重性精神病患者管理率达到90%以上；规范管理率达到90%以上。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在册精神分裂症患者服药人数405 人，在册精神分裂症患者服药率 89.40%，达到指标要求80%，在册精神分裂症患者规律服药人数 339 人，规律服药率 74.83%，达到指标要求的 70%，应急处置任务数 15 例完成应急处置 16 例，任务完成率 106.67%。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8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对辖区内常住人口中明确诊断为惊厥性癫痫的患者进行管理，定期进行随访。</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对辖区内已发现的惊厥型癫痫病人免费发放治疗药品，提供随访管理，管理患者癫痫发作有效控制率达60%以上。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jc w:val="center"/>
              <w:textAlignment w:val="center"/>
              <w:rPr>
                <w:rFonts w:hint="eastAsia" w:ascii="Times New Roman" w:hAnsi="Times New Roman" w:eastAsia="方正仿宋_GBK" w:cs="Times New Roman"/>
                <w:color w:val="FF0000"/>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癫痫患者管理413人，管理率1.29%，达到指标要求的1</w:t>
            </w:r>
            <w:r>
              <w:rPr>
                <w:rFonts w:hint="default" w:ascii="Times New Roman" w:hAnsi="Times New Roman" w:eastAsia="方正仿宋_GBK" w:cs="Times New Roman"/>
                <w:kern w:val="2"/>
                <w:sz w:val="21"/>
                <w:szCs w:val="21"/>
                <w:u w:val="none"/>
                <w:lang w:val="en-US" w:eastAsia="zh-CN" w:bidi="ar-SA"/>
              </w:rPr>
              <w:t>‰</w:t>
            </w:r>
            <w:r>
              <w:rPr>
                <w:rFonts w:hint="eastAsia" w:ascii="Times New Roman" w:hAnsi="Times New Roman" w:eastAsia="方正仿宋_GBK" w:cs="Times New Roman"/>
                <w:kern w:val="2"/>
                <w:sz w:val="21"/>
                <w:szCs w:val="21"/>
                <w:u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传染病防治及突发公共卫生事件报告和处理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及时发现、登记并报告辖区内发现的传染病病例、疑似病例和突发公共卫生事件．参与突发公共卫生事件处置。及时对辖区居民死亡信息进行登记与网络报告。</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传染病疫情报告率100%；传染病疫情报告及时率达到100%；突发公共卫生事件参与处置率100%；报告死亡率达到6‰及以上。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jc w:val="center"/>
              <w:textAlignment w:val="center"/>
              <w:rPr>
                <w:rFonts w:hint="eastAsia" w:ascii="Times New Roman" w:hAnsi="Times New Roman" w:eastAsia="方正仿宋_GBK" w:cs="Times New Roman"/>
                <w:color w:val="FF0000"/>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全县各级医疗机构共报告乙、丙类传染病 1299 例，传染病报告发病率为 404.92/10万；确诊治疗肺结核 93 例，规范治疗率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10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结核病患者健康管理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对辖区内肺结核病可疑者及诊断明确的患者（包括耐多药患者）进行推介转诊和随访管理。</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以乡镇、社区为单位转诊率不低于辖区服务人口数的2‰，推荐转诊可疑者确诊率不低于20%，患者的系统管理率达到90%以上，患者规则服药率达到95%以上。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确诊治疗肺结核 93 例，规范治疗率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11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卫生监督协管</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及时发现或怀疑有食物中毒、食源性疾病、食品污染等对人体健康造成危害或可能造成危害的线索和事件，及时报告卫生监督机构并协助调查；协助开展饮用水卫生安全、学校卫生、非法行医和非法采供血的实地巡查。</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卫生监督协管报告率达到95%以上。</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各基层卫生机构共开展卫生巡查 162 次，报送监督协管线索 0条，未发生突发公共卫生事件。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206" w:firstLineChars="10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12</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中医药健康管理</w:t>
            </w: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按照《中医体质分类与判定》（ZYYXH/T157-2009）量表对辖区内居民进行中医体质辨识，并将判定结果记录在居民健康档案“中医体质辨识”栏内。</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中医体质辨识率达10%以上.</w:t>
            </w:r>
          </w:p>
        </w:tc>
        <w:tc>
          <w:tcPr>
            <w:tcW w:w="16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6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接受中医药服务群众2.9万余人次，健康管理未达到项目要求。</w:t>
            </w:r>
          </w:p>
          <w:p>
            <w:pPr>
              <w:keepNext w:val="0"/>
              <w:keepLines w:val="0"/>
              <w:pageBreakBefore w:val="0"/>
              <w:widowControl/>
              <w:suppressLineNumbers w:val="0"/>
              <w:kinsoku/>
              <w:wordWrap/>
              <w:overflowPunct w:val="0"/>
              <w:topLinePunct w:val="0"/>
              <w:autoSpaceDE/>
              <w:autoSpaceDN/>
              <w:bidi w:val="0"/>
              <w:adjustRightInd/>
              <w:snapToGrid/>
              <w:spacing w:line="38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对管理的高血压患者每年进行一次中医健康管理服务，运用中医四诊合参进行证候辨识，进行饮食调养、起居活动指导，传授四季养生、常用保健方法指导，并记录在健康档案中。</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高血压患者中医药健康管理率达45%以上。</w:t>
            </w:r>
          </w:p>
        </w:tc>
        <w:tc>
          <w:tcPr>
            <w:tcW w:w="1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对管理的2型糖尿病患者每年进行一次中医健康管理服务，运用中医四诊合参进行证候辨识，进行饮食调养、起居活动指导，传授四季养生、常用保健方法指导，并记录在健康档案中。</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②型糖尿病患者中医药健康管理率达45%以上。</w:t>
            </w:r>
          </w:p>
        </w:tc>
        <w:tc>
          <w:tcPr>
            <w:tcW w:w="1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辖区内儿童6、12、18、24、30、36个月龄时，对儿童家长进行儿童中医药健康指导，提供儿童中医饮食调养、起居活动指导，对各月龄段传授摩腹、捏脊和迎香穴、足三里及神聪等穴位按揉的方法，并记录在健康档案中。</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0-3岁儿童中医健康管理率达65%以上。</w:t>
            </w:r>
          </w:p>
        </w:tc>
        <w:tc>
          <w:tcPr>
            <w:tcW w:w="1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对每个65岁以上老年人每年进行一次中医健康指导，运用中医体质辨识理论进行健康状态评估，根据不同体质和健康状态提供中医养生保健和疾病防治等健康指导，并记录在健康档案中。</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360" w:lineRule="exact"/>
              <w:ind w:left="0" w:leftChars="0" w:firstLine="206" w:firstLineChars="10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老年人中医健康管理率达65%以上。</w:t>
            </w:r>
          </w:p>
        </w:tc>
        <w:tc>
          <w:tcPr>
            <w:tcW w:w="1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对每个孕产妇孕期和产后各进行一次中医健康指导：根据孕产妇的健康状态提供心理调摄、饮食调养、起居调摄、运动指导和传授常用穴位按揉、产后恢复操等，并记录在健康档案中。</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孕产妇中医健康管理率达40%以上.</w:t>
            </w:r>
          </w:p>
        </w:tc>
        <w:tc>
          <w:tcPr>
            <w:tcW w:w="1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c>
          <w:tcPr>
            <w:tcW w:w="1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ind w:left="0" w:leftChars="0" w:firstLine="0" w:firstLineChars="0"/>
              <w:jc w:val="both"/>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在饮食、起居、情志调摄、食疗药膳、运动锻炼等方面，基层医疗卫生机构能够运用中医药理论知识，对城乡居民通过发放中医健康教育资料，播放音像资料、制作宣教栏、开展讲座和咨询活动开展中医药健康教育。</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健康教育中医药内容不少于50%。</w:t>
            </w:r>
          </w:p>
        </w:tc>
        <w:tc>
          <w:tcPr>
            <w:tcW w:w="1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tc>
      </w:tr>
    </w:tbl>
    <w:p>
      <w:pPr>
        <w:keepNext w:val="0"/>
        <w:keepLines w:val="0"/>
        <w:pageBreakBefore w:val="0"/>
        <w:widowControl/>
        <w:suppressLineNumbers w:val="0"/>
        <w:kinsoku/>
        <w:wordWrap/>
        <w:overflowPunct w:val="0"/>
        <w:topLinePunct w:val="0"/>
        <w:autoSpaceDE/>
        <w:autoSpaceDN/>
        <w:bidi w:val="0"/>
        <w:adjustRightInd/>
        <w:snapToGrid/>
        <w:spacing w:line="400" w:lineRule="exact"/>
        <w:jc w:val="center"/>
        <w:textAlignment w:val="center"/>
        <w:rPr>
          <w:rFonts w:hint="eastAsia" w:ascii="Times New Roman" w:hAnsi="Times New Roman" w:eastAsia="方正仿宋_GBK" w:cs="Times New Roman"/>
          <w:kern w:val="2"/>
          <w:sz w:val="21"/>
          <w:szCs w:val="21"/>
          <w:u w:val="none"/>
          <w:lang w:val="en-US" w:eastAsia="zh-CN" w:bidi="ar-SA"/>
        </w:rPr>
      </w:pPr>
    </w:p>
    <w:p>
      <w:pPr>
        <w:rPr>
          <w:rFonts w:hint="eastAsia"/>
          <w:lang w:val="en-US" w:eastAsia="zh-CN"/>
        </w:rPr>
        <w:sectPr>
          <w:pgSz w:w="23811" w:h="16838" w:orient="landscape"/>
          <w:pgMar w:top="1587" w:right="2098" w:bottom="1587" w:left="2098" w:header="624" w:footer="935" w:gutter="0"/>
          <w:pgNumType w:fmt="decimal"/>
          <w:cols w:space="0" w:num="1"/>
          <w:rtlGutter w:val="0"/>
          <w:docGrid w:type="linesAndChars" w:linePitch="589" w:charSpace="-842"/>
        </w:sect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28" w:name="_Toc1031"/>
      <w:r>
        <w:rPr>
          <w:rFonts w:hint="eastAsia" w:asciiTheme="majorEastAsia" w:hAnsiTheme="majorEastAsia" w:eastAsiaTheme="majorEastAsia" w:cstheme="majorEastAsia"/>
          <w:b/>
          <w:bCs/>
          <w:sz w:val="30"/>
          <w:szCs w:val="30"/>
          <w:lang w:val="en-US" w:eastAsia="zh-CN"/>
        </w:rPr>
        <w:t>二、资金情况</w:t>
      </w:r>
      <w:bookmarkEnd w:id="26"/>
      <w:bookmarkEnd w:id="27"/>
      <w:bookmarkEnd w:id="28"/>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9" w:name="_Toc4215"/>
      <w:bookmarkStart w:id="30" w:name="_Toc3047"/>
      <w:bookmarkStart w:id="31" w:name="_Toc31374"/>
      <w:r>
        <w:rPr>
          <w:rFonts w:hint="eastAsia"/>
          <w:b/>
          <w:bCs/>
          <w:sz w:val="30"/>
          <w:szCs w:val="30"/>
          <w:lang w:val="en-US" w:eastAsia="zh-CN"/>
        </w:rPr>
        <w:t>（一）资金来源情况</w:t>
      </w:r>
      <w:bookmarkEnd w:id="29"/>
      <w:bookmarkEnd w:id="30"/>
      <w:bookmarkEnd w:id="31"/>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val="en-US" w:bidi="zh-CN"/>
        </w:rPr>
      </w:pPr>
      <w:bookmarkStart w:id="32" w:name="_Toc21684"/>
      <w:bookmarkStart w:id="33" w:name="_Toc13949"/>
      <w:r>
        <w:rPr>
          <w:rFonts w:hint="eastAsia" w:ascii="Times New Roman" w:hAnsi="Times New Roman" w:eastAsia="方正仿宋_GBK" w:cs="Times New Roman"/>
          <w:color w:val="auto"/>
          <w:sz w:val="30"/>
          <w:szCs w:val="30"/>
          <w:u w:val="none"/>
          <w:lang w:val="en-US" w:bidi="zh-CN"/>
        </w:rPr>
        <w:t>2021年12月18日，</w:t>
      </w:r>
      <w:r>
        <w:rPr>
          <w:rFonts w:hint="default" w:ascii="Times New Roman" w:hAnsi="Times New Roman" w:eastAsia="方正仿宋_GBK" w:cs="Times New Roman"/>
          <w:color w:val="auto"/>
          <w:sz w:val="30"/>
          <w:szCs w:val="30"/>
          <w:u w:val="none"/>
          <w:lang w:val="zh-CN" w:bidi="zh-CN"/>
        </w:rPr>
        <w:t>根据</w:t>
      </w:r>
      <w:r>
        <w:rPr>
          <w:rFonts w:hint="default" w:ascii="Times New Roman" w:hAnsi="Times New Roman" w:eastAsia="方正仿宋_GBK" w:cs="Times New Roman"/>
          <w:color w:val="auto"/>
          <w:sz w:val="30"/>
          <w:szCs w:val="30"/>
          <w:u w:val="none"/>
          <w:lang w:val="zh-CN" w:eastAsia="zh-CN" w:bidi="zh-CN"/>
        </w:rPr>
        <w:t>《自治区财政厅卫生健康委关于提前下达2022年基本公共卫生服务补助资金预算的通知》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1</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685</w:t>
      </w:r>
      <w:r>
        <w:rPr>
          <w:rFonts w:hint="default" w:ascii="Times New Roman" w:hAnsi="Times New Roman" w:eastAsia="方正仿宋_GBK" w:cs="Times New Roman"/>
          <w:color w:val="auto"/>
          <w:sz w:val="30"/>
          <w:szCs w:val="30"/>
          <w:u w:val="none"/>
          <w:lang w:val="zh-CN" w:bidi="zh-CN"/>
        </w:rPr>
        <w:t>号）</w:t>
      </w:r>
      <w:r>
        <w:rPr>
          <w:rFonts w:hint="default" w:ascii="Times New Roman" w:hAnsi="Times New Roman" w:eastAsia="方正仿宋_GBK" w:cs="Times New Roman"/>
          <w:color w:val="auto"/>
          <w:sz w:val="30"/>
          <w:szCs w:val="30"/>
          <w:u w:val="none"/>
          <w:lang w:val="zh-CN" w:eastAsia="zh-CN" w:bidi="zh-CN"/>
        </w:rPr>
        <w:t>、《自治区财政厅 卫生健康委关于下达2022年</w:t>
      </w:r>
      <w:r>
        <w:rPr>
          <w:rFonts w:hint="eastAsia" w:ascii="Times New Roman" w:hAnsi="Times New Roman" w:eastAsia="方正仿宋_GBK" w:cs="Times New Roman"/>
          <w:color w:val="auto"/>
          <w:sz w:val="30"/>
          <w:szCs w:val="30"/>
          <w:u w:val="none"/>
          <w:lang w:val="en-US" w:eastAsia="zh-CN" w:bidi="zh-CN"/>
        </w:rPr>
        <w:t>基本公共卫生服务补助资金预</w:t>
      </w:r>
      <w:r>
        <w:rPr>
          <w:rFonts w:hint="default" w:ascii="Times New Roman" w:hAnsi="Times New Roman" w:eastAsia="方正仿宋_GBK" w:cs="Times New Roman"/>
          <w:color w:val="auto"/>
          <w:sz w:val="30"/>
          <w:szCs w:val="30"/>
          <w:u w:val="none"/>
          <w:lang w:val="zh-CN" w:eastAsia="zh-CN" w:bidi="zh-CN"/>
        </w:rPr>
        <w:t>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2</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274</w:t>
      </w:r>
      <w:r>
        <w:rPr>
          <w:rFonts w:hint="default" w:ascii="Times New Roman" w:hAnsi="Times New Roman" w:eastAsia="方正仿宋_GBK" w:cs="Times New Roman"/>
          <w:color w:val="auto"/>
          <w:sz w:val="30"/>
          <w:szCs w:val="30"/>
          <w:u w:val="none"/>
          <w:lang w:val="zh-CN" w:bidi="zh-CN"/>
        </w:rPr>
        <w:t>号）</w:t>
      </w:r>
      <w:r>
        <w:rPr>
          <w:rFonts w:hint="default" w:ascii="Times New Roman" w:hAnsi="Times New Roman" w:eastAsia="方正仿宋_GBK" w:cs="Times New Roman"/>
          <w:color w:val="auto"/>
          <w:sz w:val="30"/>
          <w:szCs w:val="30"/>
          <w:lang w:val="zh-CN" w:bidi="zh-CN"/>
        </w:rPr>
        <w:t>文件</w:t>
      </w:r>
      <w:r>
        <w:rPr>
          <w:rFonts w:hint="eastAsia" w:ascii="Times New Roman" w:hAnsi="Times New Roman" w:eastAsia="方正仿宋_GBK" w:cs="Times New Roman"/>
          <w:color w:val="auto"/>
          <w:sz w:val="30"/>
          <w:szCs w:val="30"/>
          <w:lang w:val="en-US" w:bidi="zh-CN"/>
        </w:rPr>
        <w:t>下达同心县卫生健康局2022年基本公共卫生服务项目预算资金2582.00</w:t>
      </w:r>
      <w:r>
        <w:rPr>
          <w:rFonts w:hint="default" w:ascii="Times New Roman" w:hAnsi="Times New Roman" w:eastAsia="方正仿宋_GBK" w:cs="Times New Roman"/>
          <w:color w:val="auto"/>
          <w:sz w:val="30"/>
          <w:szCs w:val="30"/>
          <w:lang w:val="zh-CN" w:bidi="zh-CN"/>
        </w:rPr>
        <w:t>万</w:t>
      </w:r>
      <w:r>
        <w:rPr>
          <w:rFonts w:hint="default" w:ascii="Times New Roman" w:hAnsi="Times New Roman" w:eastAsia="方正仿宋_GBK" w:cs="Times New Roman"/>
          <w:sz w:val="30"/>
          <w:szCs w:val="30"/>
        </w:rPr>
        <w:t>元</w:t>
      </w:r>
      <w:r>
        <w:rPr>
          <w:rFonts w:hint="default"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eastAsia="zh-CN"/>
        </w:rPr>
        <w:t>分别用于</w:t>
      </w:r>
      <w:r>
        <w:rPr>
          <w:rFonts w:hint="default" w:ascii="Times New Roman" w:hAnsi="Times New Roman" w:eastAsia="方正仿宋_GBK" w:cs="Times New Roman"/>
          <w:kern w:val="0"/>
          <w:sz w:val="30"/>
          <w:szCs w:val="30"/>
          <w:lang w:eastAsia="zh-CN" w:bidi="zh-CN"/>
        </w:rPr>
        <w:t>实施方案中所明确的</w:t>
      </w:r>
      <w:r>
        <w:rPr>
          <w:rFonts w:hint="default" w:ascii="Times New Roman" w:hAnsi="Times New Roman" w:eastAsia="方正仿宋_GBK" w:cs="Times New Roman"/>
          <w:kern w:val="0"/>
          <w:sz w:val="30"/>
          <w:szCs w:val="30"/>
          <w:lang w:val="en-US" w:eastAsia="zh-CN" w:bidi="zh-CN"/>
        </w:rPr>
        <w:t>具体项目</w:t>
      </w:r>
      <w:r>
        <w:rPr>
          <w:rFonts w:hint="default" w:ascii="Times New Roman" w:hAnsi="Times New Roman" w:eastAsia="方正仿宋_GBK" w:cs="Times New Roman"/>
          <w:kern w:val="0"/>
          <w:sz w:val="30"/>
          <w:szCs w:val="30"/>
          <w:lang w:val="en-US" w:bidi="zh-CN"/>
        </w:rPr>
        <w:t>。</w:t>
      </w:r>
    </w:p>
    <w:tbl>
      <w:tblPr>
        <w:tblStyle w:val="22"/>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86"/>
        <w:gridCol w:w="1176"/>
        <w:gridCol w:w="1368"/>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18" w:type="pct"/>
            <w:vMerge w:val="restar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序号</w:t>
            </w:r>
          </w:p>
        </w:tc>
        <w:tc>
          <w:tcPr>
            <w:tcW w:w="1938" w:type="pct"/>
            <w:gridSpan w:val="3"/>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资金来源</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指标文件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18" w:type="pct"/>
            <w:vMerge w:val="continue"/>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p>
        </w:tc>
        <w:tc>
          <w:tcPr>
            <w:tcW w:w="541" w:type="pct"/>
            <w:vAlign w:val="center"/>
          </w:tcPr>
          <w:p>
            <w:pPr>
              <w:keepNext w:val="0"/>
              <w:keepLines w:val="0"/>
              <w:widowControl/>
              <w:suppressLineNumbers w:val="0"/>
              <w:spacing w:before="0" w:beforeAutospacing="0" w:after="0" w:afterAutospacing="0" w:line="300" w:lineRule="exact"/>
              <w:ind w:left="0" w:leftChars="0" w:right="0" w:firstLine="206" w:firstLineChars="10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小计</w:t>
            </w:r>
          </w:p>
        </w:tc>
        <w:tc>
          <w:tcPr>
            <w:tcW w:w="645"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中央</w:t>
            </w:r>
            <w:r>
              <w:rPr>
                <w:rFonts w:hint="eastAsia" w:ascii="方正仿宋_GBK" w:hAnsi="方正仿宋_GBK" w:eastAsia="方正仿宋_GBK" w:cs="方正仿宋_GBK"/>
                <w:b/>
                <w:color w:val="000000"/>
                <w:sz w:val="21"/>
                <w:szCs w:val="21"/>
                <w:lang w:eastAsia="zh-CN"/>
              </w:rPr>
              <w:t>资金</w:t>
            </w:r>
          </w:p>
        </w:tc>
        <w:tc>
          <w:tcPr>
            <w:tcW w:w="751"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自治区</w:t>
            </w:r>
            <w:r>
              <w:rPr>
                <w:rFonts w:hint="eastAsia" w:ascii="方正仿宋_GBK" w:hAnsi="方正仿宋_GBK" w:eastAsia="方正仿宋_GBK" w:cs="方正仿宋_GBK"/>
                <w:b/>
                <w:color w:val="000000"/>
                <w:sz w:val="21"/>
                <w:szCs w:val="21"/>
                <w:lang w:eastAsia="zh-CN"/>
              </w:rPr>
              <w:t>资金</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18"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1</w:t>
            </w:r>
          </w:p>
        </w:tc>
        <w:tc>
          <w:tcPr>
            <w:tcW w:w="541"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Cs/>
                <w:color w:val="000000"/>
                <w:sz w:val="24"/>
                <w:szCs w:val="20"/>
                <w:lang w:val="en-US" w:eastAsia="zh-CN"/>
              </w:rPr>
            </w:pPr>
            <w:r>
              <w:rPr>
                <w:rFonts w:hint="eastAsia" w:ascii="Times New Roman" w:hAnsi="Times New Roman" w:cs="Times New Roman"/>
                <w:bCs/>
                <w:color w:val="000000"/>
                <w:sz w:val="21"/>
                <w:szCs w:val="21"/>
                <w:lang w:val="en-US" w:eastAsia="zh-CN"/>
              </w:rPr>
              <w:t>2166.00</w:t>
            </w:r>
          </w:p>
        </w:tc>
        <w:tc>
          <w:tcPr>
            <w:tcW w:w="645"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仿宋" w:hAnsi="仿宋" w:eastAsia="仿宋" w:cs="仿宋"/>
                <w:bCs/>
                <w:color w:val="000000"/>
                <w:sz w:val="24"/>
                <w:szCs w:val="24"/>
                <w:lang w:val="en-US" w:eastAsia="zh-CN"/>
              </w:rPr>
            </w:pPr>
            <w:r>
              <w:rPr>
                <w:rFonts w:hint="eastAsia" w:cs="仿宋"/>
                <w:bCs/>
                <w:color w:val="000000"/>
                <w:sz w:val="24"/>
                <w:szCs w:val="24"/>
                <w:lang w:val="en-US" w:eastAsia="zh-CN"/>
              </w:rPr>
              <w:t>1761.00</w:t>
            </w:r>
          </w:p>
        </w:tc>
        <w:tc>
          <w:tcPr>
            <w:tcW w:w="751" w:type="pct"/>
            <w:vAlign w:val="center"/>
          </w:tcPr>
          <w:p>
            <w:pPr>
              <w:keepNext w:val="0"/>
              <w:keepLines w:val="0"/>
              <w:pageBreakBefore w:val="0"/>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236" w:firstLineChars="100"/>
              <w:jc w:val="both"/>
              <w:rPr>
                <w:rFonts w:hint="default" w:ascii="仿宋" w:hAnsi="仿宋" w:eastAsia="仿宋" w:cs="仿宋"/>
                <w:bCs/>
                <w:color w:val="000000" w:themeColor="text1"/>
                <w:sz w:val="24"/>
                <w:szCs w:val="24"/>
                <w:lang w:val="en-US" w:eastAsia="zh-CN"/>
                <w14:textFill>
                  <w14:solidFill>
                    <w14:schemeClr w14:val="tx1"/>
                  </w14:solidFill>
                </w14:textFill>
              </w:rPr>
            </w:pPr>
            <w:r>
              <w:rPr>
                <w:rFonts w:hint="eastAsia" w:cs="仿宋"/>
                <w:bCs/>
                <w:color w:val="000000" w:themeColor="text1"/>
                <w:sz w:val="24"/>
                <w:szCs w:val="24"/>
                <w:lang w:val="en-US" w:eastAsia="zh-CN"/>
                <w14:textFill>
                  <w14:solidFill>
                    <w14:schemeClr w14:val="tx1"/>
                  </w14:solidFill>
                </w14:textFill>
              </w:rPr>
              <w:t>405.00</w:t>
            </w:r>
          </w:p>
        </w:tc>
        <w:tc>
          <w:tcPr>
            <w:tcW w:w="2642"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center"/>
              <w:rPr>
                <w:rFonts w:hint="eastAsia" w:ascii="仿宋" w:hAnsi="仿宋" w:eastAsia="仿宋" w:cs="仿宋"/>
                <w:bCs/>
                <w:color w:val="000000" w:themeColor="text1"/>
                <w:sz w:val="24"/>
                <w:szCs w:val="24"/>
                <w14:textFill>
                  <w14:solidFill>
                    <w14:schemeClr w14:val="tx1"/>
                  </w14:solidFill>
                </w14:textFill>
              </w:rPr>
            </w:pPr>
            <w:r>
              <w:rPr>
                <w:rFonts w:hint="default" w:ascii="Times New Roman" w:hAnsi="Times New Roman" w:eastAsia="仿宋" w:cs="Times New Roman"/>
                <w:kern w:val="0"/>
                <w:sz w:val="21"/>
                <w:szCs w:val="21"/>
                <w:lang w:val="zh-CN" w:eastAsia="zh-CN" w:bidi="zh-CN"/>
              </w:rPr>
              <w:t>《自治区财政厅卫生健康委关于提前下达2022年基本公共卫生服务补助资金预算的通知》</w:t>
            </w:r>
            <w:r>
              <w:rPr>
                <w:rFonts w:hint="default" w:ascii="Times New Roman" w:hAnsi="Times New Roman" w:eastAsia="仿宋" w:cs="Times New Roman"/>
                <w:kern w:val="0"/>
                <w:sz w:val="21"/>
                <w:szCs w:val="21"/>
                <w:lang w:val="zh-CN" w:bidi="zh-CN"/>
              </w:rPr>
              <w:t>（</w:t>
            </w:r>
            <w:r>
              <w:rPr>
                <w:rFonts w:hint="default" w:ascii="Times New Roman" w:hAnsi="Times New Roman" w:eastAsia="仿宋" w:cs="Times New Roman"/>
                <w:kern w:val="0"/>
                <w:sz w:val="21"/>
                <w:szCs w:val="21"/>
                <w:lang w:val="zh-CN" w:eastAsia="zh-CN" w:bidi="zh-CN"/>
              </w:rPr>
              <w:t>宁财（社）指标</w:t>
            </w:r>
            <w:r>
              <w:rPr>
                <w:rFonts w:hint="default" w:ascii="Times New Roman" w:hAnsi="Times New Roman" w:eastAsia="仿宋" w:cs="Times New Roman"/>
                <w:kern w:val="0"/>
                <w:sz w:val="21"/>
                <w:szCs w:val="21"/>
                <w:lang w:val="zh-CN" w:bidi="zh-CN"/>
              </w:rPr>
              <w:t>〔202</w:t>
            </w:r>
            <w:r>
              <w:rPr>
                <w:rFonts w:hint="eastAsia" w:ascii="Times New Roman" w:hAnsi="Times New Roman" w:eastAsia="仿宋" w:cs="Times New Roman"/>
                <w:kern w:val="0"/>
                <w:sz w:val="21"/>
                <w:szCs w:val="21"/>
                <w:lang w:val="en-US" w:bidi="zh-CN"/>
              </w:rPr>
              <w:t>1</w:t>
            </w:r>
            <w:r>
              <w:rPr>
                <w:rFonts w:hint="default" w:ascii="Times New Roman" w:hAnsi="Times New Roman" w:eastAsia="仿宋" w:cs="Times New Roman"/>
                <w:kern w:val="0"/>
                <w:sz w:val="21"/>
                <w:szCs w:val="21"/>
                <w:lang w:val="zh-CN" w:bidi="zh-CN"/>
              </w:rPr>
              <w:t>〕</w:t>
            </w:r>
            <w:r>
              <w:rPr>
                <w:rFonts w:hint="eastAsia" w:ascii="Times New Roman" w:hAnsi="Times New Roman" w:eastAsia="仿宋" w:cs="Times New Roman"/>
                <w:kern w:val="0"/>
                <w:sz w:val="21"/>
                <w:szCs w:val="21"/>
                <w:lang w:val="en-US" w:bidi="zh-CN"/>
              </w:rPr>
              <w:t>685</w:t>
            </w:r>
            <w:r>
              <w:rPr>
                <w:rFonts w:hint="default" w:ascii="Times New Roman" w:hAnsi="Times New Roman" w:eastAsia="仿宋" w:cs="Times New Roman"/>
                <w:kern w:val="0"/>
                <w:sz w:val="21"/>
                <w:szCs w:val="21"/>
                <w:lang w:val="zh-CN" w:bidi="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418" w:type="pct"/>
            <w:vAlign w:val="center"/>
          </w:tcPr>
          <w:p>
            <w:pPr>
              <w:keepNext w:val="0"/>
              <w:keepLines w:val="0"/>
              <w:widowControl/>
              <w:suppressLineNumbers w:val="0"/>
              <w:spacing w:before="0" w:beforeAutospacing="0" w:after="0" w:afterAutospacing="0" w:line="28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2</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仿宋" w:cs="Times New Roman"/>
                <w:bCs/>
                <w:color w:val="000000"/>
                <w:sz w:val="21"/>
                <w:szCs w:val="21"/>
              </w:rPr>
            </w:pPr>
            <w:r>
              <w:rPr>
                <w:rFonts w:hint="eastAsia" w:ascii="Times New Roman" w:hAnsi="Times New Roman" w:cs="Times New Roman"/>
                <w:bCs/>
                <w:color w:val="000000"/>
                <w:sz w:val="21"/>
                <w:szCs w:val="21"/>
                <w:lang w:val="en-US" w:eastAsia="zh-CN"/>
              </w:rPr>
              <w:t>416</w:t>
            </w:r>
            <w:r>
              <w:rPr>
                <w:rFonts w:hint="eastAsia" w:ascii="Times New Roman" w:hAnsi="Times New Roman" w:eastAsia="仿宋" w:cs="Times New Roman"/>
                <w:bCs/>
                <w:color w:val="000000"/>
                <w:sz w:val="21"/>
                <w:szCs w:val="21"/>
                <w:lang w:val="en-US" w:eastAsia="zh-CN"/>
              </w:rPr>
              <w:t>.00</w:t>
            </w:r>
          </w:p>
        </w:tc>
        <w:tc>
          <w:tcPr>
            <w:tcW w:w="645" w:type="pct"/>
            <w:vAlign w:val="center"/>
          </w:tcPr>
          <w:p>
            <w:pPr>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仿宋" w:cs="Times New Roman"/>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367</w:t>
            </w:r>
            <w:r>
              <w:rPr>
                <w:rFonts w:hint="default" w:ascii="Times New Roman" w:hAnsi="Times New Roman" w:eastAsia="仿宋" w:cs="Times New Roman"/>
                <w:bCs/>
                <w:color w:val="000000"/>
                <w:sz w:val="21"/>
                <w:szCs w:val="21"/>
                <w:lang w:val="en-US" w:eastAsia="zh-CN"/>
              </w:rPr>
              <w:t>.00</w:t>
            </w:r>
          </w:p>
        </w:tc>
        <w:tc>
          <w:tcPr>
            <w:tcW w:w="751" w:type="pct"/>
            <w:vAlign w:val="center"/>
          </w:tcPr>
          <w:p>
            <w:pPr>
              <w:keepNext w:val="0"/>
              <w:keepLines w:val="0"/>
              <w:suppressLineNumbers w:val="0"/>
              <w:spacing w:before="0" w:beforeAutospacing="0" w:after="0" w:afterAutospacing="0"/>
              <w:ind w:left="0" w:leftChars="0" w:right="0" w:firstLine="206" w:firstLineChars="100"/>
              <w:jc w:val="both"/>
              <w:rPr>
                <w:rFonts w:hint="eastAsia" w:ascii="Times New Roman" w:hAnsi="Times New Roman" w:eastAsia="仿宋"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49</w:t>
            </w:r>
            <w:r>
              <w:rPr>
                <w:rFonts w:hint="default" w:ascii="Times New Roman" w:hAnsi="Times New Roman" w:eastAsia="仿宋" w:cs="Times New Roman"/>
                <w:bCs/>
                <w:color w:val="000000" w:themeColor="text1"/>
                <w:sz w:val="21"/>
                <w:szCs w:val="21"/>
                <w:lang w:val="en-US" w:eastAsia="zh-CN"/>
                <w14:textFill>
                  <w14:solidFill>
                    <w14:schemeClr w14:val="tx1"/>
                  </w14:solidFill>
                </w14:textFill>
              </w:rPr>
              <w:t>.00</w:t>
            </w:r>
          </w:p>
        </w:tc>
        <w:tc>
          <w:tcPr>
            <w:tcW w:w="2642" w:type="pct"/>
            <w:vAlign w:val="center"/>
          </w:tcPr>
          <w:p>
            <w:pPr>
              <w:keepNext w:val="0"/>
              <w:keepLines w:val="0"/>
              <w:widowControl/>
              <w:suppressLineNumbers w:val="0"/>
              <w:spacing w:before="0" w:beforeAutospacing="0" w:after="0" w:afterAutospacing="0" w:line="320" w:lineRule="exact"/>
              <w:ind w:left="0" w:leftChars="0" w:right="0" w:rightChars="0" w:firstLine="0" w:firstLineChars="0"/>
              <w:jc w:val="left"/>
              <w:textAlignment w:val="center"/>
              <w:rPr>
                <w:rFonts w:hint="eastAsia" w:ascii="仿宋" w:hAnsi="仿宋" w:eastAsia="仿宋" w:cs="仿宋"/>
                <w:bCs/>
                <w:color w:val="000000" w:themeColor="text1"/>
                <w:sz w:val="24"/>
                <w:szCs w:val="24"/>
                <w14:textFill>
                  <w14:solidFill>
                    <w14:schemeClr w14:val="tx1"/>
                  </w14:solidFill>
                </w14:textFill>
              </w:rPr>
            </w:pPr>
            <w:r>
              <w:rPr>
                <w:rFonts w:hint="default" w:ascii="Times New Roman" w:hAnsi="Times New Roman" w:eastAsia="仿宋" w:cs="Times New Roman"/>
                <w:kern w:val="0"/>
                <w:sz w:val="21"/>
                <w:szCs w:val="21"/>
                <w:lang w:val="zh-CN" w:eastAsia="zh-CN" w:bidi="zh-CN"/>
              </w:rPr>
              <w:t>《自治区财政厅 卫生健康委关于下达2022年</w:t>
            </w:r>
            <w:r>
              <w:rPr>
                <w:rFonts w:hint="eastAsia" w:ascii="Times New Roman" w:hAnsi="Times New Roman" w:eastAsia="仿宋" w:cs="Times New Roman"/>
                <w:kern w:val="0"/>
                <w:sz w:val="21"/>
                <w:szCs w:val="21"/>
                <w:lang w:val="en-US" w:eastAsia="zh-CN" w:bidi="zh-CN"/>
              </w:rPr>
              <w:t>基本公共卫生服务补助资金预</w:t>
            </w:r>
            <w:r>
              <w:rPr>
                <w:rFonts w:hint="default" w:ascii="Times New Roman" w:hAnsi="Times New Roman" w:eastAsia="仿宋" w:cs="Times New Roman"/>
                <w:kern w:val="0"/>
                <w:sz w:val="21"/>
                <w:szCs w:val="21"/>
                <w:lang w:val="zh-CN" w:eastAsia="zh-CN" w:bidi="zh-CN"/>
              </w:rPr>
              <w:t>算的通知》（宁财（社）指标〔202</w:t>
            </w:r>
            <w:r>
              <w:rPr>
                <w:rFonts w:hint="eastAsia" w:ascii="Times New Roman" w:hAnsi="Times New Roman" w:eastAsia="仿宋" w:cs="Times New Roman"/>
                <w:kern w:val="0"/>
                <w:sz w:val="21"/>
                <w:szCs w:val="21"/>
                <w:lang w:val="en-US" w:eastAsia="zh-CN" w:bidi="zh-CN"/>
              </w:rPr>
              <w:t>2</w:t>
            </w:r>
            <w:r>
              <w:rPr>
                <w:rFonts w:hint="default" w:ascii="Times New Roman" w:hAnsi="Times New Roman" w:eastAsia="仿宋" w:cs="Times New Roman"/>
                <w:kern w:val="0"/>
                <w:sz w:val="21"/>
                <w:szCs w:val="21"/>
                <w:lang w:val="zh-CN" w:eastAsia="zh-CN" w:bidi="zh-CN"/>
              </w:rPr>
              <w:t>〕</w:t>
            </w:r>
            <w:r>
              <w:rPr>
                <w:rFonts w:hint="eastAsia" w:ascii="Times New Roman" w:hAnsi="Times New Roman" w:eastAsia="仿宋" w:cs="Times New Roman"/>
                <w:kern w:val="0"/>
                <w:sz w:val="21"/>
                <w:szCs w:val="21"/>
                <w:lang w:val="en-US" w:eastAsia="zh-CN" w:bidi="zh-CN"/>
              </w:rPr>
              <w:t>274</w:t>
            </w:r>
            <w:r>
              <w:rPr>
                <w:rFonts w:hint="default" w:ascii="Times New Roman" w:hAnsi="Times New Roman" w:eastAsia="仿宋" w:cs="Times New Roman"/>
                <w:kern w:val="0"/>
                <w:sz w:val="21"/>
                <w:szCs w:val="21"/>
                <w:lang w:val="zh-CN" w:eastAsia="zh-CN" w:bidi="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18" w:type="pct"/>
            <w:vAlign w:val="center"/>
          </w:tcPr>
          <w:p>
            <w:pPr>
              <w:keepNext w:val="0"/>
              <w:keepLines w:val="0"/>
              <w:widowControl/>
              <w:suppressLineNumbers w:val="0"/>
              <w:spacing w:before="0" w:beforeAutospacing="0" w:after="0" w:afterAutospacing="0" w:line="280" w:lineRule="exact"/>
              <w:ind w:left="0" w:leftChars="0" w:right="0" w:firstLine="0" w:firstLineChars="0"/>
              <w:jc w:val="both"/>
              <w:rPr>
                <w:rFonts w:hint="default" w:ascii="Times New Roman" w:hAnsi="Times New Roman" w:eastAsia="仿宋"/>
                <w:b/>
                <w:color w:val="000000"/>
                <w:sz w:val="21"/>
                <w:szCs w:val="21"/>
              </w:rPr>
            </w:pPr>
            <w:r>
              <w:rPr>
                <w:rFonts w:hint="default" w:ascii="Times New Roman" w:hAnsi="Times New Roman" w:eastAsia="仿宋"/>
                <w:b/>
                <w:color w:val="000000"/>
                <w:sz w:val="21"/>
                <w:szCs w:val="21"/>
              </w:rPr>
              <w:t>合计</w:t>
            </w:r>
          </w:p>
        </w:tc>
        <w:tc>
          <w:tcPr>
            <w:tcW w:w="541"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仿宋" w:hAnsi="仿宋" w:eastAsia="仿宋" w:cs="仿宋"/>
                <w:b/>
                <w:color w:val="000000"/>
                <w:sz w:val="21"/>
                <w:szCs w:val="21"/>
                <w:lang w:val="en-US" w:eastAsia="zh-CN"/>
              </w:rPr>
            </w:pPr>
            <w:r>
              <w:rPr>
                <w:rFonts w:hint="default" w:ascii="仿宋" w:hAnsi="仿宋" w:eastAsia="仿宋" w:cs="仿宋"/>
                <w:b/>
                <w:color w:val="000000"/>
                <w:sz w:val="21"/>
                <w:szCs w:val="21"/>
                <w:lang w:val="en-US" w:eastAsia="zh-CN"/>
              </w:rPr>
              <w:fldChar w:fldCharType="begin"/>
            </w:r>
            <w:r>
              <w:rPr>
                <w:rFonts w:hint="default" w:ascii="仿宋" w:hAnsi="仿宋" w:eastAsia="仿宋" w:cs="仿宋"/>
                <w:b/>
                <w:color w:val="000000"/>
                <w:sz w:val="21"/>
                <w:szCs w:val="21"/>
                <w:lang w:val="en-US" w:eastAsia="zh-CN"/>
              </w:rPr>
              <w:instrText xml:space="preserve"> = sum(B3:B4) \* MERGEFORMAT </w:instrText>
            </w:r>
            <w:r>
              <w:rPr>
                <w:rFonts w:hint="default" w:ascii="仿宋" w:hAnsi="仿宋" w:eastAsia="仿宋" w:cs="仿宋"/>
                <w:b/>
                <w:color w:val="000000"/>
                <w:sz w:val="21"/>
                <w:szCs w:val="21"/>
                <w:lang w:val="en-US" w:eastAsia="zh-CN"/>
              </w:rPr>
              <w:fldChar w:fldCharType="separate"/>
            </w:r>
            <w:r>
              <w:rPr>
                <w:rFonts w:hint="default" w:ascii="仿宋" w:hAnsi="仿宋" w:eastAsia="仿宋" w:cs="仿宋"/>
                <w:b/>
                <w:color w:val="000000"/>
                <w:sz w:val="21"/>
                <w:szCs w:val="21"/>
                <w:lang w:val="en-US" w:eastAsia="zh-CN"/>
              </w:rPr>
              <w:t>2582</w:t>
            </w:r>
            <w:r>
              <w:rPr>
                <w:rFonts w:hint="default" w:ascii="仿宋" w:hAnsi="仿宋" w:eastAsia="仿宋" w:cs="仿宋"/>
                <w:b/>
                <w:color w:val="000000"/>
                <w:sz w:val="21"/>
                <w:szCs w:val="21"/>
                <w:lang w:val="en-US" w:eastAsia="zh-CN"/>
              </w:rPr>
              <w:fldChar w:fldCharType="end"/>
            </w:r>
            <w:r>
              <w:rPr>
                <w:rFonts w:hint="eastAsia" w:cs="仿宋"/>
                <w:b/>
                <w:color w:val="000000"/>
                <w:sz w:val="21"/>
                <w:szCs w:val="21"/>
                <w:lang w:val="en-US" w:eastAsia="zh-CN"/>
              </w:rPr>
              <w:t>.00</w:t>
            </w:r>
          </w:p>
        </w:tc>
        <w:tc>
          <w:tcPr>
            <w:tcW w:w="645" w:type="pct"/>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仿宋" w:hAnsi="仿宋" w:eastAsia="仿宋" w:cs="仿宋"/>
                <w:b/>
                <w:color w:val="000000"/>
                <w:sz w:val="21"/>
                <w:szCs w:val="21"/>
                <w:lang w:val="en-US" w:eastAsia="zh-CN"/>
              </w:rPr>
            </w:pPr>
            <w:r>
              <w:rPr>
                <w:rFonts w:hint="default" w:ascii="仿宋" w:hAnsi="仿宋" w:eastAsia="仿宋" w:cs="仿宋"/>
                <w:b/>
                <w:color w:val="000000"/>
                <w:sz w:val="21"/>
                <w:szCs w:val="21"/>
                <w:lang w:val="en-US" w:eastAsia="zh-CN"/>
              </w:rPr>
              <w:fldChar w:fldCharType="begin"/>
            </w:r>
            <w:r>
              <w:rPr>
                <w:rFonts w:hint="default" w:ascii="仿宋" w:hAnsi="仿宋" w:eastAsia="仿宋" w:cs="仿宋"/>
                <w:b/>
                <w:color w:val="000000"/>
                <w:sz w:val="21"/>
                <w:szCs w:val="21"/>
                <w:lang w:val="en-US" w:eastAsia="zh-CN"/>
              </w:rPr>
              <w:instrText xml:space="preserve"> = sum(C3:C4) \* MERGEFORMAT </w:instrText>
            </w:r>
            <w:r>
              <w:rPr>
                <w:rFonts w:hint="default" w:ascii="仿宋" w:hAnsi="仿宋" w:eastAsia="仿宋" w:cs="仿宋"/>
                <w:b/>
                <w:color w:val="000000"/>
                <w:sz w:val="21"/>
                <w:szCs w:val="21"/>
                <w:lang w:val="en-US" w:eastAsia="zh-CN"/>
              </w:rPr>
              <w:fldChar w:fldCharType="separate"/>
            </w:r>
            <w:r>
              <w:rPr>
                <w:rFonts w:hint="default" w:ascii="仿宋" w:hAnsi="仿宋" w:eastAsia="仿宋" w:cs="仿宋"/>
                <w:b/>
                <w:color w:val="000000"/>
                <w:sz w:val="21"/>
                <w:szCs w:val="21"/>
                <w:lang w:val="en-US" w:eastAsia="zh-CN"/>
              </w:rPr>
              <w:t>2128</w:t>
            </w:r>
            <w:r>
              <w:rPr>
                <w:rFonts w:hint="default" w:ascii="仿宋" w:hAnsi="仿宋" w:eastAsia="仿宋" w:cs="仿宋"/>
                <w:b/>
                <w:color w:val="000000"/>
                <w:sz w:val="21"/>
                <w:szCs w:val="21"/>
                <w:lang w:val="en-US" w:eastAsia="zh-CN"/>
              </w:rPr>
              <w:fldChar w:fldCharType="end"/>
            </w:r>
            <w:r>
              <w:rPr>
                <w:rFonts w:hint="eastAsia" w:cs="仿宋"/>
                <w:b/>
                <w:color w:val="000000"/>
                <w:sz w:val="21"/>
                <w:szCs w:val="21"/>
                <w:lang w:val="en-US" w:eastAsia="zh-CN"/>
              </w:rPr>
              <w:t>.00</w:t>
            </w:r>
          </w:p>
        </w:tc>
        <w:tc>
          <w:tcPr>
            <w:tcW w:w="751" w:type="pct"/>
            <w:vAlign w:val="center"/>
          </w:tcPr>
          <w:p>
            <w:pPr>
              <w:keepNext w:val="0"/>
              <w:keepLines w:val="0"/>
              <w:widowControl/>
              <w:suppressLineNumbers w:val="0"/>
              <w:spacing w:before="0" w:beforeAutospacing="0" w:after="0" w:afterAutospacing="0"/>
              <w:ind w:left="0" w:leftChars="0" w:right="0" w:firstLine="206" w:firstLineChars="100"/>
              <w:jc w:val="both"/>
              <w:textAlignment w:val="center"/>
              <w:rPr>
                <w:rFonts w:hint="default" w:ascii="仿宋" w:hAnsi="仿宋" w:eastAsia="仿宋" w:cs="仿宋"/>
                <w:b/>
                <w:color w:val="000000"/>
                <w:kern w:val="0"/>
                <w:sz w:val="21"/>
                <w:szCs w:val="21"/>
                <w:lang w:val="en-US" w:eastAsia="zh-CN"/>
              </w:rPr>
            </w:pPr>
            <w:r>
              <w:rPr>
                <w:rFonts w:hint="default" w:ascii="仿宋" w:hAnsi="仿宋" w:eastAsia="仿宋" w:cs="仿宋"/>
                <w:b/>
                <w:color w:val="000000"/>
                <w:kern w:val="0"/>
                <w:sz w:val="21"/>
                <w:szCs w:val="21"/>
                <w:lang w:val="en-US" w:eastAsia="zh-CN"/>
              </w:rPr>
              <w:fldChar w:fldCharType="begin"/>
            </w:r>
            <w:r>
              <w:rPr>
                <w:rFonts w:hint="default" w:ascii="仿宋" w:hAnsi="仿宋" w:eastAsia="仿宋" w:cs="仿宋"/>
                <w:b/>
                <w:color w:val="000000"/>
                <w:kern w:val="0"/>
                <w:sz w:val="21"/>
                <w:szCs w:val="21"/>
                <w:lang w:val="en-US" w:eastAsia="zh-CN"/>
              </w:rPr>
              <w:instrText xml:space="preserve"> = sum(D3:D4) \* MERGEFORMAT </w:instrText>
            </w:r>
            <w:r>
              <w:rPr>
                <w:rFonts w:hint="default" w:ascii="仿宋" w:hAnsi="仿宋" w:eastAsia="仿宋" w:cs="仿宋"/>
                <w:b/>
                <w:color w:val="000000"/>
                <w:kern w:val="0"/>
                <w:sz w:val="21"/>
                <w:szCs w:val="21"/>
                <w:lang w:val="en-US" w:eastAsia="zh-CN"/>
              </w:rPr>
              <w:fldChar w:fldCharType="separate"/>
            </w:r>
            <w:r>
              <w:rPr>
                <w:rFonts w:hint="default" w:ascii="仿宋" w:hAnsi="仿宋" w:eastAsia="仿宋" w:cs="仿宋"/>
                <w:b/>
                <w:color w:val="000000"/>
                <w:kern w:val="0"/>
                <w:sz w:val="21"/>
                <w:szCs w:val="21"/>
                <w:lang w:val="en-US" w:eastAsia="zh-CN"/>
              </w:rPr>
              <w:t>454</w:t>
            </w:r>
            <w:r>
              <w:rPr>
                <w:rFonts w:hint="default" w:ascii="仿宋" w:hAnsi="仿宋" w:eastAsia="仿宋" w:cs="仿宋"/>
                <w:b/>
                <w:color w:val="000000"/>
                <w:kern w:val="0"/>
                <w:sz w:val="21"/>
                <w:szCs w:val="21"/>
                <w:lang w:val="en-US" w:eastAsia="zh-CN"/>
              </w:rPr>
              <w:fldChar w:fldCharType="end"/>
            </w:r>
            <w:r>
              <w:rPr>
                <w:rFonts w:hint="eastAsia" w:cs="仿宋"/>
                <w:b/>
                <w:color w:val="000000"/>
                <w:kern w:val="0"/>
                <w:sz w:val="21"/>
                <w:szCs w:val="21"/>
                <w:lang w:val="en-US" w:eastAsia="zh-CN"/>
              </w:rPr>
              <w:t>.00</w:t>
            </w:r>
          </w:p>
        </w:tc>
        <w:tc>
          <w:tcPr>
            <w:tcW w:w="2642" w:type="pct"/>
            <w:vAlign w:val="center"/>
          </w:tcPr>
          <w:p>
            <w:pPr>
              <w:keepNext w:val="0"/>
              <w:keepLines w:val="0"/>
              <w:widowControl/>
              <w:suppressLineNumbers w:val="0"/>
              <w:spacing w:before="0" w:beforeAutospacing="0" w:after="0" w:afterAutospacing="0" w:line="280" w:lineRule="exact"/>
              <w:ind w:left="0" w:right="0"/>
              <w:jc w:val="center"/>
              <w:rPr>
                <w:rFonts w:hint="eastAsia" w:ascii="仿宋" w:hAnsi="仿宋" w:eastAsia="仿宋" w:cs="仿宋"/>
                <w:bCs/>
                <w:color w:val="000000"/>
                <w:sz w:val="24"/>
                <w:szCs w:val="24"/>
                <w:lang w:val="en-US" w:eastAsia="zh-CN"/>
              </w:rPr>
            </w:pPr>
            <w:r>
              <w:rPr>
                <w:rFonts w:hint="eastAsia" w:cs="仿宋"/>
                <w:bCs/>
                <w:color w:val="000000"/>
                <w:sz w:val="24"/>
                <w:szCs w:val="24"/>
                <w:lang w:val="en-US" w:eastAsia="zh-CN"/>
              </w:rPr>
              <w:t>-</w:t>
            </w:r>
          </w:p>
        </w:tc>
      </w:tr>
    </w:tbl>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4" w:name="_Toc31697"/>
      <w:r>
        <w:rPr>
          <w:rFonts w:hint="eastAsia"/>
          <w:b/>
          <w:bCs/>
          <w:sz w:val="30"/>
          <w:szCs w:val="30"/>
          <w:lang w:val="en-US" w:eastAsia="zh-CN"/>
        </w:rPr>
        <w:t>（二）资金到位情况</w:t>
      </w:r>
      <w:bookmarkEnd w:id="34"/>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2312" w:cs="Times New Roman"/>
          <w:sz w:val="30"/>
          <w:szCs w:val="30"/>
          <w:lang w:val="en-US" w:eastAsia="zh-CN"/>
        </w:rPr>
        <w:t>2022年同心县卫生健康局基本公共卫生服务项目实际到位资金为2582.00万元。</w:t>
      </w:r>
      <w:r>
        <w:rPr>
          <w:rFonts w:hint="eastAsia" w:ascii="Times New Roman" w:hAnsi="Times New Roman" w:eastAsia="方正仿宋_GBK" w:cs="Times New Roman"/>
          <w:color w:val="auto"/>
          <w:kern w:val="2"/>
          <w:sz w:val="30"/>
          <w:szCs w:val="30"/>
          <w:highlight w:val="none"/>
          <w:lang w:val="en-US" w:eastAsia="zh-CN" w:bidi="ar-SA"/>
        </w:rPr>
        <w:t>其中，中央资金2182.00万元，自治区454.00 万元，资金到位率100%。</w:t>
      </w:r>
    </w:p>
    <w:p>
      <w:pPr>
        <w:pStyle w:val="4"/>
        <w:bidi w:val="0"/>
        <w:rPr>
          <w:rFonts w:hint="default"/>
          <w:lang w:val="en-US" w:eastAsia="zh-CN"/>
        </w:rPr>
      </w:pPr>
      <w:bookmarkStart w:id="35" w:name="_Toc8883"/>
      <w:r>
        <w:rPr>
          <w:rFonts w:hint="eastAsia"/>
          <w:lang w:val="en-US" w:eastAsia="zh-CN"/>
        </w:rPr>
        <w:t>（三）资金管理情况</w:t>
      </w:r>
      <w:bookmarkEnd w:id="35"/>
    </w:p>
    <w:p>
      <w:pPr>
        <w:pStyle w:val="20"/>
        <w:spacing w:before="0" w:after="0" w:line="560" w:lineRule="exact"/>
        <w:ind w:firstLine="592" w:firstLineChars="200"/>
        <w:jc w:val="both"/>
        <w:rPr>
          <w:rFonts w:hint="eastAsia" w:ascii="Times New Roman" w:hAnsi="Times New Roman" w:eastAsia="方正仿宋_GBK" w:cs="Times New Roman"/>
          <w:b w:val="0"/>
          <w:bCs w:val="0"/>
          <w:color w:val="auto"/>
          <w:kern w:val="44"/>
          <w:sz w:val="30"/>
          <w:szCs w:val="30"/>
        </w:rPr>
      </w:pPr>
      <w:bookmarkStart w:id="36" w:name="_Toc6334"/>
      <w:bookmarkStart w:id="37" w:name="_Toc25191"/>
      <w:bookmarkStart w:id="38" w:name="_Toc11067"/>
      <w:r>
        <w:rPr>
          <w:rFonts w:hint="eastAsia" w:ascii="方正仿宋_GBK" w:hAnsi="方正仿宋_GBK" w:eastAsia="方正仿宋_GBK" w:cs="方正仿宋_GBK"/>
          <w:b w:val="0"/>
          <w:bCs w:val="0"/>
          <w:kern w:val="44"/>
          <w:sz w:val="30"/>
          <w:szCs w:val="30"/>
        </w:rPr>
        <w:t>根据</w:t>
      </w:r>
      <w:r>
        <w:rPr>
          <w:rFonts w:hint="eastAsia" w:ascii="方正仿宋_GBK" w:hAnsi="方正仿宋_GBK" w:eastAsia="方正仿宋_GBK" w:cs="方正仿宋_GBK"/>
          <w:b w:val="0"/>
          <w:bCs w:val="0"/>
          <w:kern w:val="44"/>
          <w:sz w:val="30"/>
          <w:szCs w:val="30"/>
          <w:lang w:eastAsia="zh-CN"/>
        </w:rPr>
        <w:t>国家卫生健康委员会制定的</w:t>
      </w:r>
      <w:r>
        <w:rPr>
          <w:rFonts w:hint="eastAsia" w:ascii="方正仿宋_GBK" w:hAnsi="方正仿宋_GBK" w:eastAsia="方正仿宋_GBK" w:cs="方正仿宋_GBK"/>
          <w:b w:val="0"/>
          <w:bCs w:val="0"/>
          <w:kern w:val="44"/>
          <w:sz w:val="30"/>
          <w:szCs w:val="30"/>
        </w:rPr>
        <w:t>《</w:t>
      </w:r>
      <w:r>
        <w:rPr>
          <w:rFonts w:hint="eastAsia" w:ascii="方正仿宋_GBK" w:hAnsi="方正仿宋_GBK" w:eastAsia="方正仿宋_GBK" w:cs="方正仿宋_GBK"/>
          <w:b w:val="0"/>
          <w:bCs w:val="0"/>
          <w:kern w:val="44"/>
          <w:sz w:val="30"/>
          <w:szCs w:val="30"/>
          <w:lang w:eastAsia="zh-CN"/>
        </w:rPr>
        <w:t>国家公共卫生服务规范（第三版）》《</w:t>
      </w:r>
      <w:r>
        <w:rPr>
          <w:rFonts w:hint="eastAsia" w:ascii="Times New Roman" w:hAnsi="Times New Roman" w:eastAsia="方正仿宋_GBK" w:cs="Times New Roman"/>
          <w:b w:val="0"/>
          <w:kern w:val="44"/>
          <w:sz w:val="30"/>
          <w:szCs w:val="30"/>
          <w:lang w:eastAsia="zh-CN"/>
        </w:rPr>
        <w:t>财政部 国家卫生健康委 国家医疗保障局 国家中医药管理局关于印发基本公共卫生服务等5项补助资金管理办法的通知》（财社〔2019〕113号）</w:t>
      </w:r>
      <w:r>
        <w:rPr>
          <w:rFonts w:hint="eastAsia" w:ascii="Times New Roman" w:hAnsi="Times New Roman" w:eastAsia="方正仿宋_GBK" w:cs="Times New Roman"/>
          <w:color w:val="000000"/>
          <w:kern w:val="44"/>
          <w:sz w:val="30"/>
          <w:szCs w:val="30"/>
          <w:lang w:val="en-US" w:eastAsia="zh-CN" w:bidi="ar"/>
        </w:rPr>
        <w:t>，</w:t>
      </w:r>
      <w:r>
        <w:rPr>
          <w:rFonts w:hint="eastAsia" w:ascii="Times New Roman" w:hAnsi="Times New Roman" w:eastAsia="方正仿宋_GBK" w:cs="Times New Roman"/>
          <w:b w:val="0"/>
          <w:bCs w:val="0"/>
          <w:color w:val="000000"/>
          <w:kern w:val="44"/>
          <w:sz w:val="30"/>
          <w:szCs w:val="30"/>
          <w:lang w:val="en-US" w:eastAsia="zh-CN" w:bidi="ar"/>
        </w:rPr>
        <w:t>2022年5月5日</w:t>
      </w:r>
      <w:r>
        <w:rPr>
          <w:rFonts w:hint="eastAsia" w:ascii="Times New Roman" w:hAnsi="Times New Roman" w:eastAsia="方正仿宋_GBK" w:cs="Times New Roman"/>
          <w:b w:val="0"/>
          <w:bCs w:val="0"/>
          <w:kern w:val="44"/>
          <w:sz w:val="30"/>
          <w:szCs w:val="30"/>
          <w:lang w:eastAsia="zh-CN"/>
        </w:rPr>
        <w:t>同心</w:t>
      </w:r>
      <w:r>
        <w:rPr>
          <w:rFonts w:hint="eastAsia" w:ascii="Times New Roman" w:hAnsi="Times New Roman" w:eastAsia="方正仿宋_GBK" w:cs="Times New Roman"/>
          <w:b w:val="0"/>
          <w:kern w:val="44"/>
          <w:sz w:val="30"/>
          <w:szCs w:val="30"/>
          <w:lang w:eastAsia="zh-CN"/>
        </w:rPr>
        <w:t>县卫生健康局、财政局印发</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同心县2022年基本公共卫生服务项目实施方案</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eastAsia="zh-CN"/>
        </w:rPr>
        <w:t>同卫健</w:t>
      </w:r>
      <w:r>
        <w:rPr>
          <w:rFonts w:hint="default" w:ascii="Times New Roman" w:hAnsi="Times New Roman" w:eastAsia="方正仿宋_GBK" w:cs="Times New Roman"/>
          <w:b w:val="0"/>
          <w:kern w:val="44"/>
          <w:sz w:val="30"/>
          <w:szCs w:val="30"/>
        </w:rPr>
        <w:t>发〔20</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115</w:t>
      </w:r>
      <w:r>
        <w:rPr>
          <w:rFonts w:hint="default" w:ascii="Times New Roman" w:hAnsi="Times New Roman" w:eastAsia="方正仿宋_GBK" w:cs="Times New Roman"/>
          <w:b w:val="0"/>
          <w:kern w:val="44"/>
          <w:sz w:val="30"/>
          <w:szCs w:val="30"/>
        </w:rPr>
        <w:t>号</w:t>
      </w:r>
      <w:r>
        <w:rPr>
          <w:rFonts w:hint="eastAsia" w:ascii="Times New Roman" w:hAnsi="Times New Roman" w:eastAsia="方正仿宋_GBK" w:cs="Times New Roman"/>
          <w:b w:val="0"/>
          <w:kern w:val="44"/>
          <w:sz w:val="30"/>
          <w:szCs w:val="30"/>
          <w:lang w:eastAsia="zh-CN"/>
        </w:rPr>
        <w:t>），</w:t>
      </w:r>
      <w:r>
        <w:rPr>
          <w:rFonts w:hint="default" w:ascii="Times New Roman" w:hAnsi="Times New Roman" w:eastAsia="方正仿宋_GBK" w:cs="Times New Roman"/>
          <w:b w:val="0"/>
          <w:bCs w:val="0"/>
          <w:kern w:val="44"/>
          <w:sz w:val="30"/>
          <w:szCs w:val="30"/>
        </w:rPr>
        <w:t>对</w:t>
      </w:r>
      <w:r>
        <w:rPr>
          <w:rFonts w:hint="eastAsia" w:ascii="Times New Roman" w:hAnsi="Times New Roman" w:eastAsia="方正仿宋_GBK" w:cs="Times New Roman"/>
          <w:b w:val="0"/>
          <w:bCs w:val="0"/>
          <w:kern w:val="44"/>
          <w:sz w:val="30"/>
          <w:szCs w:val="30"/>
          <w:lang w:eastAsia="zh-CN"/>
        </w:rPr>
        <w:t>基本公共卫生服务</w:t>
      </w:r>
      <w:r>
        <w:rPr>
          <w:rFonts w:hint="default" w:ascii="Times New Roman" w:hAnsi="Times New Roman" w:eastAsia="方正仿宋_GBK" w:cs="Times New Roman"/>
          <w:b w:val="0"/>
          <w:bCs w:val="0"/>
          <w:kern w:val="44"/>
          <w:sz w:val="30"/>
          <w:szCs w:val="30"/>
        </w:rPr>
        <w:t>资金进行</w:t>
      </w:r>
      <w:r>
        <w:rPr>
          <w:rFonts w:hint="eastAsia" w:ascii="Times New Roman" w:hAnsi="Times New Roman" w:eastAsia="方正仿宋_GBK" w:cs="Times New Roman"/>
          <w:b w:val="0"/>
          <w:bCs w:val="0"/>
          <w:kern w:val="44"/>
          <w:sz w:val="30"/>
          <w:szCs w:val="30"/>
          <w:lang w:eastAsia="zh-CN"/>
        </w:rPr>
        <w:t>规范</w:t>
      </w:r>
      <w:r>
        <w:rPr>
          <w:rFonts w:hint="default" w:ascii="Times New Roman" w:hAnsi="Times New Roman" w:eastAsia="方正仿宋_GBK" w:cs="Times New Roman"/>
          <w:b w:val="0"/>
          <w:bCs w:val="0"/>
          <w:kern w:val="44"/>
          <w:sz w:val="30"/>
          <w:szCs w:val="30"/>
        </w:rPr>
        <w:t>管理</w:t>
      </w:r>
      <w:r>
        <w:rPr>
          <w:rFonts w:hint="eastAsia" w:ascii="方正仿宋_GBK" w:hAnsi="方正仿宋_GBK" w:eastAsia="方正仿宋_GBK" w:cs="方正仿宋_GBK"/>
          <w:b w:val="0"/>
          <w:bCs w:val="0"/>
          <w:kern w:val="44"/>
          <w:sz w:val="30"/>
          <w:szCs w:val="30"/>
        </w:rPr>
        <w:t>，</w:t>
      </w:r>
      <w:r>
        <w:rPr>
          <w:rFonts w:hint="default" w:ascii="方正仿宋_GBK" w:hAnsi="方正仿宋_GBK" w:eastAsia="方正仿宋_GBK" w:cs="方正仿宋_GBK"/>
          <w:b w:val="0"/>
          <w:bCs w:val="0"/>
          <w:kern w:val="44"/>
          <w:sz w:val="30"/>
          <w:szCs w:val="30"/>
        </w:rPr>
        <w:t>并</w:t>
      </w:r>
      <w:r>
        <w:rPr>
          <w:rFonts w:hint="eastAsia" w:ascii="方正仿宋_GBK" w:hAnsi="方正仿宋_GBK" w:eastAsia="方正仿宋_GBK" w:cs="方正仿宋_GBK"/>
          <w:b w:val="0"/>
          <w:bCs w:val="0"/>
          <w:kern w:val="44"/>
          <w:sz w:val="30"/>
          <w:szCs w:val="30"/>
        </w:rPr>
        <w:t>对项目实施和资金使用情况进行监督检查。</w:t>
      </w:r>
      <w:bookmarkEnd w:id="36"/>
      <w:bookmarkEnd w:id="37"/>
      <w:bookmarkEnd w:id="38"/>
    </w:p>
    <w:p>
      <w:pPr>
        <w:overflowPunct w:val="0"/>
        <w:adjustRightInd w:val="0"/>
        <w:snapToGrid w:val="0"/>
        <w:spacing w:line="560" w:lineRule="exact"/>
        <w:ind w:firstLine="592" w:firstLineChars="200"/>
        <w:jc w:val="both"/>
        <w:rPr>
          <w:rFonts w:hint="eastAsia" w:ascii="方正仿宋_GBK" w:hAnsi="方正仿宋_GBK" w:eastAsia="方正仿宋_GBK" w:cs="方正仿宋_GBK"/>
          <w:kern w:val="44"/>
          <w:sz w:val="30"/>
          <w:szCs w:val="30"/>
        </w:rPr>
      </w:pPr>
      <w:r>
        <w:rPr>
          <w:rFonts w:hint="eastAsia" w:ascii="方正仿宋_GBK" w:hAnsi="方正仿宋_GBK" w:eastAsia="方正仿宋_GBK" w:cs="方正仿宋_GBK"/>
          <w:color w:val="auto"/>
          <w:kern w:val="44"/>
          <w:sz w:val="30"/>
          <w:szCs w:val="30"/>
          <w:lang w:val="en-US" w:eastAsia="zh-CN" w:bidi="ar-SA"/>
        </w:rPr>
        <w:t>在评价过程中，</w:t>
      </w:r>
      <w:r>
        <w:rPr>
          <w:rFonts w:hint="eastAsia" w:ascii="方正仿宋_GBK" w:hAnsi="方正仿宋_GBK" w:eastAsia="方正仿宋_GBK" w:cs="方正仿宋_GBK"/>
          <w:kern w:val="44"/>
          <w:sz w:val="30"/>
          <w:szCs w:val="30"/>
          <w:lang w:eastAsia="zh-CN"/>
        </w:rPr>
        <w:t>预算单位</w:t>
      </w:r>
      <w:r>
        <w:rPr>
          <w:rFonts w:hint="eastAsia" w:ascii="方正仿宋_GBK" w:hAnsi="方正仿宋_GBK" w:eastAsia="方正仿宋_GBK" w:cs="方正仿宋_GBK"/>
          <w:kern w:val="44"/>
          <w:sz w:val="30"/>
          <w:szCs w:val="30"/>
        </w:rPr>
        <w:t>未见</w:t>
      </w:r>
      <w:r>
        <w:rPr>
          <w:rFonts w:hint="eastAsia" w:ascii="方正仿宋_GBK" w:hAnsi="方正仿宋_GBK" w:eastAsia="方正仿宋_GBK" w:cs="方正仿宋_GBK"/>
          <w:kern w:val="44"/>
          <w:sz w:val="30"/>
          <w:szCs w:val="30"/>
          <w:lang w:val="en-US" w:eastAsia="zh-CN"/>
        </w:rPr>
        <w:t>补助</w:t>
      </w:r>
      <w:r>
        <w:rPr>
          <w:rFonts w:hint="eastAsia" w:ascii="方正仿宋_GBK" w:hAnsi="方正仿宋_GBK" w:eastAsia="方正仿宋_GBK" w:cs="方正仿宋_GBK"/>
          <w:kern w:val="44"/>
          <w:sz w:val="30"/>
          <w:szCs w:val="30"/>
        </w:rPr>
        <w:t>资金使用不符合上级财政部门相关要求的，或有重大违规违纪的行为。资金的拨付有完整的审批程序和手续，实行国库集中支付程序的，严格按照财政国库管理制度有关规定执行，支出方向与</w:t>
      </w:r>
      <w:r>
        <w:rPr>
          <w:rFonts w:hint="eastAsia" w:ascii="方正仿宋_GBK" w:hAnsi="方正仿宋_GBK" w:eastAsia="方正仿宋_GBK" w:cs="方正仿宋_GBK"/>
          <w:kern w:val="44"/>
          <w:sz w:val="30"/>
          <w:szCs w:val="30"/>
          <w:lang w:eastAsia="zh-CN"/>
        </w:rPr>
        <w:t>补助资金预算指标</w:t>
      </w:r>
      <w:r>
        <w:rPr>
          <w:rFonts w:hint="eastAsia" w:ascii="方正仿宋_GBK" w:hAnsi="方正仿宋_GBK" w:eastAsia="方正仿宋_GBK" w:cs="方正仿宋_GBK"/>
          <w:kern w:val="44"/>
          <w:sz w:val="30"/>
          <w:szCs w:val="30"/>
        </w:rPr>
        <w:t>的内容一致。未发现虚列支出、资金截留、挤占等现象。</w:t>
      </w:r>
    </w:p>
    <w:p>
      <w:pPr>
        <w:pStyle w:val="4"/>
        <w:bidi w:val="0"/>
        <w:rPr>
          <w:rFonts w:hint="default"/>
          <w:lang w:val="en-US" w:eastAsia="zh-CN"/>
        </w:rPr>
      </w:pPr>
      <w:bookmarkStart w:id="39" w:name="_Toc30895"/>
      <w:r>
        <w:rPr>
          <w:rFonts w:hint="eastAsia"/>
          <w:lang w:val="en-US" w:eastAsia="zh-CN"/>
        </w:rPr>
        <w:t>（四）资金使用情况</w:t>
      </w:r>
      <w:bookmarkEnd w:id="39"/>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同心县卫生健康局基本公共卫生服务项目实际到位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2582.00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截止评价时段，项目资金</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2582.00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32"/>
      <w:bookmarkEnd w:id="33"/>
      <w:bookmarkStart w:id="40" w:name="_Toc31342"/>
      <w:bookmarkStart w:id="41" w:name="_Toc2578"/>
    </w:p>
    <w:bookmarkEnd w:id="24"/>
    <w:bookmarkEnd w:id="25"/>
    <w:bookmarkEnd w:id="40"/>
    <w:bookmarkEnd w:id="41"/>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2" w:name="_Toc31216"/>
      <w:bookmarkStart w:id="43" w:name="_Toc9451"/>
      <w:bookmarkStart w:id="44" w:name="_Toc26094"/>
      <w:bookmarkStart w:id="45" w:name="_Toc2175"/>
      <w:bookmarkStart w:id="46" w:name="_Toc31361"/>
      <w:bookmarkStart w:id="47" w:name="_Toc20409"/>
      <w:bookmarkStart w:id="48" w:name="_Toc19300"/>
      <w:bookmarkStart w:id="49" w:name="_Toc24442"/>
      <w:bookmarkStart w:id="50" w:name="_Toc29255"/>
      <w:bookmarkStart w:id="51" w:name="_Toc7963"/>
      <w:bookmarkStart w:id="52" w:name="_Toc7774"/>
      <w:bookmarkStart w:id="53" w:name="_Toc14208"/>
      <w:bookmarkStart w:id="54" w:name="_Toc29008"/>
      <w:bookmarkStart w:id="55" w:name="_Toc19319"/>
      <w:bookmarkStart w:id="56" w:name="_Toc26741"/>
      <w:bookmarkStart w:id="57" w:name="_Toc26903"/>
      <w:bookmarkStart w:id="58" w:name="_Toc24129"/>
      <w:bookmarkStart w:id="59" w:name="_Toc17609"/>
      <w:bookmarkStart w:id="60" w:name="_Toc19237"/>
      <w:bookmarkStart w:id="61" w:name="_Toc1375"/>
      <w:r>
        <w:rPr>
          <w:rFonts w:hint="eastAsia" w:asciiTheme="majorEastAsia" w:hAnsiTheme="majorEastAsia" w:eastAsiaTheme="majorEastAsia" w:cstheme="majorEastAsia"/>
          <w:b/>
          <w:bCs/>
          <w:sz w:val="30"/>
          <w:szCs w:val="30"/>
          <w:lang w:val="en-US" w:eastAsia="zh-CN"/>
        </w:rPr>
        <w:t>三、项目绩效</w:t>
      </w:r>
      <w:bookmarkEnd w:id="42"/>
      <w:bookmarkEnd w:id="43"/>
      <w:bookmarkEnd w:id="44"/>
      <w:bookmarkEnd w:id="45"/>
      <w:bookmarkEnd w:id="46"/>
      <w:bookmarkEnd w:id="47"/>
      <w:bookmarkEnd w:id="48"/>
      <w:bookmarkEnd w:id="49"/>
      <w:bookmarkEnd w:id="50"/>
      <w:bookmarkEnd w:id="51"/>
      <w:r>
        <w:rPr>
          <w:rFonts w:hint="eastAsia" w:asciiTheme="majorEastAsia" w:hAnsiTheme="majorEastAsia" w:eastAsiaTheme="majorEastAsia" w:cstheme="majorEastAsia"/>
          <w:b/>
          <w:bCs/>
          <w:sz w:val="30"/>
          <w:szCs w:val="30"/>
          <w:lang w:val="en-US" w:eastAsia="zh-CN"/>
        </w:rPr>
        <w:t>目标</w:t>
      </w:r>
      <w:bookmarkEnd w:id="52"/>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2" w:name="_Toc31144"/>
      <w:bookmarkStart w:id="63" w:name="_Toc23578"/>
      <w:bookmarkStart w:id="64" w:name="_Toc8204"/>
      <w:r>
        <w:rPr>
          <w:rFonts w:hint="eastAsia" w:ascii="方正楷体_GBK" w:hAnsi="方正楷体_GBK" w:eastAsia="方正楷体_GBK" w:cs="方正楷体_GBK"/>
          <w:sz w:val="30"/>
          <w:szCs w:val="30"/>
          <w:lang w:val="en-US" w:eastAsia="zh-CN"/>
        </w:rPr>
        <w:t>（一）绩效目标</w:t>
      </w:r>
      <w:bookmarkEnd w:id="62"/>
    </w:p>
    <w:p>
      <w:pPr>
        <w:pStyle w:val="4"/>
        <w:keepNext/>
        <w:keepLines/>
        <w:widowControl w:val="0"/>
        <w:snapToGrid w:val="0"/>
        <w:spacing w:before="0" w:beforeLines="0" w:afterLines="0" w:line="560" w:lineRule="exact"/>
        <w:ind w:left="0" w:firstLine="592" w:firstLineChars="200"/>
        <w:rPr>
          <w:rFonts w:hint="default" w:ascii="Times New Roman" w:hAnsi="Times New Roman" w:eastAsia="方正楷体_GBK" w:cs="Times New Roman"/>
          <w:b/>
          <w:bCs w:val="0"/>
          <w:sz w:val="30"/>
          <w:szCs w:val="30"/>
          <w:lang w:eastAsia="zh-CN"/>
        </w:rPr>
      </w:pPr>
      <w:bookmarkStart w:id="65" w:name="_Toc12537"/>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63"/>
      <w:bookmarkEnd w:id="64"/>
      <w:bookmarkEnd w:id="65"/>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bidi="zh-CN"/>
        </w:rPr>
      </w:pPr>
      <w:bookmarkStart w:id="66" w:name="_Toc12242"/>
      <w:bookmarkStart w:id="67" w:name="_Toc24740"/>
      <w:bookmarkStart w:id="68" w:name="_Toc276"/>
      <w:bookmarkStart w:id="69" w:name="_Toc9239"/>
      <w:bookmarkStart w:id="70" w:name="_Toc29348"/>
      <w:bookmarkStart w:id="71" w:name="_Toc1631"/>
      <w:r>
        <w:rPr>
          <w:rFonts w:hint="default" w:ascii="Times New Roman" w:hAnsi="Times New Roman" w:eastAsia="方正仿宋_GBK" w:cs="Times New Roman"/>
          <w:kern w:val="0"/>
          <w:sz w:val="30"/>
          <w:szCs w:val="30"/>
          <w:lang w:bidi="zh-CN"/>
        </w:rPr>
        <w:t>根据项目绩效目标申报表，该项目主要制定了如下长期考核目标</w:t>
      </w: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促进居民健康意识的提高和不良生活方式的改变，逐步树立起自我健康管理的理念</w:t>
      </w: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减少主要健康危险因素，预防和控制传染病及慢性病的发生和流行</w:t>
      </w: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提高公共卫生服务和突发公共卫生服务应急处置能力，建立起维护居民健康的第一道屏障，提高居民健康素质。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color w:val="auto"/>
          <w:kern w:val="44"/>
          <w:sz w:val="30"/>
          <w:szCs w:val="30"/>
          <w:shd w:val="clear" w:fill="auto"/>
          <w:lang w:bidi="zh-CN"/>
        </w:rPr>
      </w:pPr>
      <w:r>
        <w:rPr>
          <w:rFonts w:hint="default" w:ascii="Times New Roman" w:hAnsi="Times New Roman" w:eastAsia="方正仿宋_GBK" w:cs="Times New Roman"/>
          <w:color w:val="auto"/>
          <w:kern w:val="44"/>
          <w:sz w:val="30"/>
          <w:szCs w:val="30"/>
          <w:shd w:val="clear" w:fill="auto"/>
          <w:lang w:bidi="zh-CN"/>
        </w:rPr>
        <w:t>通过向居民免费发放宣传资料、开展健康咨询、举办讲座等形式的健康教育的宣传，</w:t>
      </w:r>
      <w:r>
        <w:rPr>
          <w:rFonts w:hint="eastAsia" w:ascii="Times New Roman" w:hAnsi="Times New Roman" w:eastAsia="方正仿宋_GBK" w:cs="Times New Roman"/>
          <w:color w:val="auto"/>
          <w:kern w:val="44"/>
          <w:sz w:val="30"/>
          <w:szCs w:val="30"/>
          <w:shd w:val="clear" w:fill="auto"/>
          <w:lang w:bidi="zh-CN"/>
        </w:rPr>
        <w:t>增强</w:t>
      </w:r>
      <w:r>
        <w:rPr>
          <w:rFonts w:hint="default" w:ascii="Times New Roman" w:hAnsi="Times New Roman" w:eastAsia="方正仿宋_GBK" w:cs="Times New Roman"/>
          <w:color w:val="auto"/>
          <w:kern w:val="44"/>
          <w:sz w:val="30"/>
          <w:szCs w:val="30"/>
          <w:shd w:val="clear" w:fill="auto"/>
          <w:lang w:bidi="zh-CN"/>
        </w:rPr>
        <w:t>了居民健康意识，改变了不良生活方式，逐步树立起自我健康管理的理念；通过预防接种和健康管理，减少主要健康危险因素，预防和控制传染病及慢性病的发生和流行；通过突发公共卫生服务事件的处理，提高了公共卫生服务和突发公共</w:t>
      </w:r>
      <w:r>
        <w:rPr>
          <w:rFonts w:hint="eastAsia" w:ascii="方正仿宋_GBK" w:hAnsi="方正仿宋_GBK" w:eastAsia="方正仿宋_GBK" w:cs="方正仿宋_GBK"/>
          <w:color w:val="auto"/>
          <w:kern w:val="44"/>
          <w:sz w:val="30"/>
          <w:szCs w:val="30"/>
          <w:shd w:val="clear" w:fill="auto"/>
          <w:lang w:bidi="zh-CN"/>
        </w:rPr>
        <w:t>卫生服务应急处置能力，建立起维护居民健康的第一道屏障，对于提高居民健康素质有重要促</w:t>
      </w:r>
      <w:r>
        <w:rPr>
          <w:rFonts w:hint="eastAsia" w:ascii="方正仿宋_GBK" w:hAnsi="方正仿宋_GBK" w:eastAsia="方正仿宋_GBK" w:cs="方正仿宋_GBK"/>
          <w:color w:val="000000"/>
          <w:sz w:val="30"/>
          <w:szCs w:val="30"/>
        </w:rPr>
        <w:t>进</w:t>
      </w:r>
      <w:r>
        <w:rPr>
          <w:rFonts w:hint="eastAsia" w:ascii="方正仿宋_GBK" w:hAnsi="方正仿宋_GBK" w:eastAsia="方正仿宋_GBK" w:cs="方正仿宋_GBK"/>
          <w:color w:val="auto"/>
          <w:kern w:val="44"/>
          <w:sz w:val="30"/>
          <w:szCs w:val="30"/>
          <w:shd w:val="clear" w:fill="auto"/>
          <w:lang w:bidi="zh-CN"/>
        </w:rPr>
        <w:t>作用。</w:t>
      </w:r>
    </w:p>
    <w:bookmarkEnd w:id="66"/>
    <w:bookmarkEnd w:id="67"/>
    <w:bookmarkEnd w:id="68"/>
    <w:bookmarkEnd w:id="69"/>
    <w:bookmarkEnd w:id="70"/>
    <w:bookmarkEnd w:id="71"/>
    <w:p>
      <w:pPr>
        <w:keepNext w:val="0"/>
        <w:keepLines w:val="0"/>
        <w:pageBreakBefore w:val="0"/>
        <w:widowControl w:val="0"/>
        <w:numPr>
          <w:ilvl w:val="0"/>
          <w:numId w:val="1"/>
        </w:numPr>
        <w:shd w:val="clear"/>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年度批复绩效</w:t>
      </w:r>
      <w:r>
        <w:rPr>
          <w:rFonts w:hint="default" w:ascii="Times New Roman" w:hAnsi="Times New Roman" w:eastAsia="方正仿宋_GBK" w:cs="Times New Roman"/>
          <w:b/>
          <w:bCs/>
          <w:sz w:val="30"/>
          <w:szCs w:val="30"/>
          <w:lang w:val="en-US" w:eastAsia="zh-CN"/>
        </w:rPr>
        <w:t>目标</w:t>
      </w:r>
    </w:p>
    <w:p>
      <w:pPr>
        <w:keepNext w:val="0"/>
        <w:keepLines w:val="0"/>
        <w:pageBreakBefore w:val="0"/>
        <w:widowControl w:val="0"/>
        <w:numPr>
          <w:ilvl w:val="0"/>
          <w:numId w:val="2"/>
        </w:numPr>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bidi="zh-CN"/>
        </w:rPr>
      </w:pPr>
      <w:bookmarkStart w:id="72" w:name="_Toc29105"/>
      <w:bookmarkStart w:id="73" w:name="_Toc6859"/>
      <w:r>
        <w:rPr>
          <w:rFonts w:hint="default" w:ascii="Times New Roman" w:hAnsi="Times New Roman" w:eastAsia="方正仿宋_GBK" w:cs="Times New Roman"/>
          <w:kern w:val="0"/>
          <w:sz w:val="30"/>
          <w:szCs w:val="30"/>
          <w:lang w:bidi="zh-CN"/>
        </w:rPr>
        <w:t>免费向城乡</w:t>
      </w:r>
      <w:r>
        <w:rPr>
          <w:rFonts w:hint="eastAsia" w:ascii="Times New Roman" w:hAnsi="Times New Roman" w:eastAsia="方正仿宋_GBK" w:cs="Times New Roman"/>
          <w:kern w:val="0"/>
          <w:sz w:val="30"/>
          <w:szCs w:val="30"/>
          <w:lang w:bidi="zh-CN"/>
        </w:rPr>
        <w:t>居</w:t>
      </w:r>
      <w:r>
        <w:rPr>
          <w:rFonts w:hint="default" w:ascii="Times New Roman" w:hAnsi="Times New Roman" w:eastAsia="方正仿宋_GBK" w:cs="Times New Roman"/>
          <w:kern w:val="0"/>
          <w:sz w:val="30"/>
          <w:szCs w:val="30"/>
          <w:lang w:bidi="zh-CN"/>
        </w:rPr>
        <w:t>民</w:t>
      </w:r>
      <w:r>
        <w:rPr>
          <w:rFonts w:hint="eastAsia" w:ascii="Times New Roman" w:hAnsi="Times New Roman" w:eastAsia="方正仿宋_GBK" w:cs="Times New Roman"/>
          <w:kern w:val="0"/>
          <w:sz w:val="30"/>
          <w:szCs w:val="30"/>
          <w:lang w:bidi="zh-CN"/>
        </w:rPr>
        <w:t>提</w:t>
      </w:r>
      <w:r>
        <w:rPr>
          <w:rFonts w:hint="default" w:ascii="Times New Roman" w:hAnsi="Times New Roman" w:eastAsia="方正仿宋_GBK" w:cs="Times New Roman"/>
          <w:kern w:val="0"/>
          <w:sz w:val="30"/>
          <w:szCs w:val="30"/>
          <w:lang w:bidi="zh-CN"/>
        </w:rPr>
        <w:t>供</w:t>
      </w:r>
      <w:r>
        <w:rPr>
          <w:rFonts w:hint="eastAsia" w:ascii="Times New Roman" w:hAnsi="Times New Roman" w:eastAsia="方正仿宋_GBK" w:cs="Times New Roman"/>
          <w:kern w:val="0"/>
          <w:sz w:val="30"/>
          <w:szCs w:val="30"/>
          <w:lang w:bidi="zh-CN"/>
        </w:rPr>
        <w:t>基础</w:t>
      </w:r>
      <w:r>
        <w:rPr>
          <w:rFonts w:hint="default" w:ascii="Times New Roman" w:hAnsi="Times New Roman" w:eastAsia="方正仿宋_GBK" w:cs="Times New Roman"/>
          <w:kern w:val="0"/>
          <w:sz w:val="30"/>
          <w:szCs w:val="30"/>
          <w:lang w:bidi="zh-CN"/>
        </w:rPr>
        <w:t>公共卫生服务，2022年，65岁及以上老年人城乡社区规范健康管理服务率</w:t>
      </w:r>
      <w:r>
        <w:rPr>
          <w:rFonts w:hint="eastAsia" w:ascii="Times New Roman" w:hAnsi="Times New Roman" w:eastAsia="方正仿宋_GBK" w:cs="Times New Roman"/>
          <w:kern w:val="0"/>
          <w:sz w:val="30"/>
          <w:szCs w:val="30"/>
          <w:lang w:bidi="zh-CN"/>
        </w:rPr>
        <w:t>达</w:t>
      </w:r>
      <w:r>
        <w:rPr>
          <w:rFonts w:hint="default" w:ascii="Times New Roman" w:hAnsi="Times New Roman" w:eastAsia="方正仿宋_GBK" w:cs="Times New Roman"/>
          <w:kern w:val="0"/>
          <w:sz w:val="30"/>
          <w:szCs w:val="30"/>
          <w:lang w:bidi="zh-CN"/>
        </w:rPr>
        <w:t>60</w:t>
      </w:r>
      <w:r>
        <w:rPr>
          <w:rFonts w:hint="eastAsia" w:ascii="Times New Roman" w:hAnsi="Times New Roman" w:eastAsia="方正仿宋_GBK" w:cs="Times New Roman"/>
          <w:kern w:val="0"/>
          <w:sz w:val="30"/>
          <w:szCs w:val="30"/>
          <w:lang w:val="en-US" w:bidi="zh-CN"/>
        </w:rPr>
        <w:t>%</w:t>
      </w:r>
      <w:r>
        <w:rPr>
          <w:rFonts w:hint="default" w:ascii="Times New Roman" w:hAnsi="Times New Roman" w:eastAsia="方正仿宋_GBK" w:cs="Times New Roman"/>
          <w:kern w:val="0"/>
          <w:sz w:val="30"/>
          <w:szCs w:val="30"/>
          <w:lang w:bidi="zh-CN"/>
        </w:rPr>
        <w:t>以上，7岁以下儿童健康管理率、孕产妇</w:t>
      </w:r>
      <w:r>
        <w:rPr>
          <w:rFonts w:hint="eastAsia" w:ascii="Times New Roman" w:hAnsi="Times New Roman" w:eastAsia="方正仿宋_GBK" w:cs="Times New Roman"/>
          <w:kern w:val="0"/>
          <w:sz w:val="30"/>
          <w:szCs w:val="30"/>
          <w:lang w:bidi="zh-CN"/>
        </w:rPr>
        <w:t>流系</w:t>
      </w:r>
      <w:r>
        <w:rPr>
          <w:rFonts w:hint="default" w:ascii="Times New Roman" w:hAnsi="Times New Roman" w:eastAsia="方正仿宋_GBK" w:cs="Times New Roman"/>
          <w:kern w:val="0"/>
          <w:sz w:val="30"/>
          <w:szCs w:val="30"/>
          <w:lang w:bidi="zh-CN"/>
        </w:rPr>
        <w:t>管理率分别达到90%以上</w:t>
      </w: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 xml:space="preserve"> 适龄儿童国家</w:t>
      </w:r>
      <w:r>
        <w:rPr>
          <w:rFonts w:hint="eastAsia" w:ascii="Times New Roman" w:hAnsi="Times New Roman" w:eastAsia="方正仿宋_GBK" w:cs="Times New Roman"/>
          <w:kern w:val="0"/>
          <w:sz w:val="30"/>
          <w:szCs w:val="30"/>
          <w:lang w:bidi="zh-CN"/>
        </w:rPr>
        <w:t>免费</w:t>
      </w:r>
      <w:r>
        <w:rPr>
          <w:rFonts w:hint="default" w:ascii="Times New Roman" w:hAnsi="Times New Roman" w:eastAsia="方正仿宋_GBK" w:cs="Times New Roman"/>
          <w:kern w:val="0"/>
          <w:sz w:val="30"/>
          <w:szCs w:val="30"/>
          <w:lang w:bidi="zh-CN"/>
        </w:rPr>
        <w:t>规划疫苗接种率达到90%以上</w:t>
      </w: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 xml:space="preserve"> </w:t>
      </w:r>
      <w:r>
        <w:rPr>
          <w:rFonts w:hint="eastAsia" w:ascii="Times New Roman" w:hAnsi="Times New Roman" w:eastAsia="方正仿宋_GBK" w:cs="Times New Roman"/>
          <w:kern w:val="0"/>
          <w:sz w:val="30"/>
          <w:szCs w:val="30"/>
          <w:lang w:bidi="zh-CN"/>
        </w:rPr>
        <w:t>高血压</w:t>
      </w:r>
      <w:r>
        <w:rPr>
          <w:rFonts w:hint="default" w:ascii="Times New Roman" w:hAnsi="Times New Roman" w:eastAsia="方正仿宋_GBK" w:cs="Times New Roman"/>
          <w:kern w:val="0"/>
          <w:sz w:val="30"/>
          <w:szCs w:val="30"/>
          <w:lang w:bidi="zh-CN"/>
        </w:rPr>
        <w:t>、</w:t>
      </w:r>
      <w:r>
        <w:rPr>
          <w:rFonts w:hint="eastAsia" w:ascii="Times New Roman" w:hAnsi="Times New Roman" w:eastAsia="方正仿宋_GBK" w:cs="Times New Roman"/>
          <w:kern w:val="0"/>
          <w:sz w:val="30"/>
          <w:szCs w:val="30"/>
          <w:lang w:eastAsia="zh-CN" w:bidi="zh-CN"/>
        </w:rPr>
        <w:t>糖</w:t>
      </w:r>
      <w:r>
        <w:rPr>
          <w:rFonts w:hint="default" w:ascii="Times New Roman" w:hAnsi="Times New Roman" w:eastAsia="方正仿宋_GBK" w:cs="Times New Roman"/>
          <w:kern w:val="0"/>
          <w:sz w:val="30"/>
          <w:szCs w:val="30"/>
          <w:lang w:bidi="zh-CN"/>
        </w:rPr>
        <w:t>尿病患者规范化管理率达到75%以上</w:t>
      </w: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传染病和突发公共卫生事件报告率达到100%</w:t>
      </w:r>
      <w:r>
        <w:rPr>
          <w:rFonts w:hint="eastAsia" w:ascii="Times New Roman" w:hAnsi="Times New Roman" w:eastAsia="方正仿宋_GBK" w:cs="Times New Roman"/>
          <w:kern w:val="0"/>
          <w:sz w:val="30"/>
          <w:szCs w:val="30"/>
          <w:lang w:bidi="zh-CN"/>
        </w:rPr>
        <w:t>；</w:t>
      </w:r>
    </w:p>
    <w:p>
      <w:pPr>
        <w:keepNext w:val="0"/>
        <w:keepLines w:val="0"/>
        <w:pageBreakBefore w:val="0"/>
        <w:widowControl w:val="0"/>
        <w:numPr>
          <w:ilvl w:val="0"/>
          <w:numId w:val="2"/>
        </w:numPr>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bidi="zh-CN"/>
        </w:rPr>
      </w:pPr>
      <w:r>
        <w:rPr>
          <w:rFonts w:hint="default" w:ascii="Times New Roman" w:hAnsi="Times New Roman" w:eastAsia="方正仿宋_GBK" w:cs="Times New Roman"/>
          <w:kern w:val="0"/>
          <w:sz w:val="30"/>
          <w:szCs w:val="30"/>
          <w:lang w:bidi="zh-CN"/>
        </w:rPr>
        <w:t>开展对重点疾病及危害因素监测，有效控制疾病流行，为制定相关政策提供科学依据。让群众实实在在享受到项目带来的实惠，不断增强群众的健康获得感和幸福感。</w:t>
      </w:r>
      <w:bookmarkStart w:id="74" w:name="_Toc25834"/>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r>
        <w:rPr>
          <w:rFonts w:hint="eastAsia" w:ascii="方正楷体_GBK" w:hAnsi="方正楷体_GBK" w:eastAsia="方正楷体_GBK" w:cs="方正楷体_GBK"/>
          <w:sz w:val="30"/>
          <w:szCs w:val="30"/>
          <w:lang w:val="en-US" w:eastAsia="zh-CN"/>
        </w:rPr>
        <w:t>（二）项目绩效</w:t>
      </w:r>
      <w:bookmarkEnd w:id="72"/>
      <w:bookmarkEnd w:id="73"/>
      <w:bookmarkStart w:id="75" w:name="_Toc13598"/>
      <w:bookmarkStart w:id="76" w:name="_Toc14067"/>
      <w:bookmarkStart w:id="77" w:name="_Toc11708"/>
      <w:r>
        <w:rPr>
          <w:rFonts w:hint="eastAsia" w:ascii="方正楷体_GBK" w:hAnsi="方正楷体_GBK" w:eastAsia="方正楷体_GBK" w:cs="方正楷体_GBK"/>
          <w:sz w:val="30"/>
          <w:szCs w:val="30"/>
          <w:lang w:val="en-US" w:eastAsia="zh-CN"/>
        </w:rPr>
        <w:t>目标</w:t>
      </w:r>
      <w:bookmarkEnd w:id="74"/>
      <w:bookmarkStart w:id="78" w:name="_Toc23322"/>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color w:val="auto"/>
          <w:kern w:val="44"/>
          <w:sz w:val="30"/>
          <w:szCs w:val="30"/>
          <w:shd w:val="clear" w:fill="auto"/>
          <w:lang w:val="en-US" w:eastAsia="zh-CN" w:bidi="zh-CN"/>
        </w:rPr>
      </w:pPr>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78"/>
    </w:p>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jc w:val="center"/>
        <w:textAlignment w:val="auto"/>
        <w:outlineLvl w:val="9"/>
        <w:rPr>
          <w:rFonts w:hint="eastAsia" w:ascii="Times New Roman" w:hAnsi="Times New Roman" w:eastAsia="方正仿宋_GBK" w:cs="Times New Roman"/>
          <w:b/>
          <w:bCs/>
          <w:color w:val="auto"/>
          <w:kern w:val="44"/>
          <w:sz w:val="30"/>
          <w:szCs w:val="30"/>
          <w:shd w:val="clear" w:fill="auto"/>
          <w:lang w:val="en-US" w:eastAsia="zh-CN" w:bidi="zh-CN"/>
        </w:rPr>
      </w:pPr>
      <w:r>
        <w:rPr>
          <w:rFonts w:hint="eastAsia" w:ascii="Times New Roman" w:hAnsi="Times New Roman" w:eastAsia="方正仿宋_GBK" w:cs="Times New Roman"/>
          <w:b/>
          <w:bCs/>
          <w:color w:val="auto"/>
          <w:kern w:val="44"/>
          <w:sz w:val="30"/>
          <w:szCs w:val="30"/>
          <w:shd w:val="clear" w:fill="auto"/>
          <w:lang w:val="en-US" w:eastAsia="zh-CN" w:bidi="zh-CN"/>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同心县卫生健康局基本公共卫生服务项目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同心县卫生健康局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2582.00万元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实际达成目标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8"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按照《国家基本公共卫生服务规范 ( 第三版 )》要求，完成城乡居民健康管理、健康教育、预防接种、0-6岁儿童健康管理、孕产妇健康管理、老年人健康管理、慢性病患者健康管理重性精神疾病患者和惊厥性疾病患者管理、传染病及突发公共卫生事件报告和处理、结核病布病患者健康管理、中医药健康管理和卫生监督协管等指标内容</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均能按照各项指标落实到位，整体完成态势持续向好。通过项目的实施提升基本公共卫生服务均等化水平，不断增强人民群众获得感。</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居民电子健康档案建档率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适龄儿童国家免疫规划疫苗接种率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92.81%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产后访视率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0-6岁儿童健康管理率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92.81%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孕产妇健康管理率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96.62%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老年人健康管理率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70%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 xml:space="preserve"> 70.77%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七岁以下儿童管理人数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32155人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29843人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三岁以下儿童管理人数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14220人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13709人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老年人健康管理人数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 xml:space="preserve"> 17203 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17395 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高血压患者健康管理人数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 xml:space="preserve"> 18261 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21396 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2型糖尿病患者健康管理人数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4677人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5615人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严重精神障碍患者发现率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严重精神障碍患者管理人数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1485人</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1480人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98.72%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应急处置任务数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15例</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16例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在册患者服药率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70.00%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74.83%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老年人中医药健康管理率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9</w:t>
            </w:r>
            <w:r>
              <w:rPr>
                <w:rFonts w:hint="eastAsia" w:ascii="Times New Roman" w:hAnsi="Times New Roman" w:eastAsia="方正仿宋_GBK" w:cs="Times New Roman"/>
                <w:kern w:val="2"/>
                <w:sz w:val="21"/>
                <w:szCs w:val="21"/>
                <w:u w:val="none"/>
                <w:lang w:val="en-US" w:eastAsia="zh-CN" w:bidi="ar-SA"/>
              </w:rPr>
              <w:t>45%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儿童中医药健康管理率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kern w:val="2"/>
                <w:sz w:val="21"/>
                <w:szCs w:val="21"/>
                <w:u w:val="none"/>
                <w:lang w:val="en-US" w:eastAsia="zh-CN" w:bidi="ar-SA"/>
              </w:rPr>
              <w:t>65%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高血压患者规范管理率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both"/>
              <w:textAlignment w:val="center"/>
              <w:rPr>
                <w:rFonts w:hint="default"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87.86%</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both"/>
              <w:textAlignment w:val="center"/>
              <w:rPr>
                <w:rFonts w:hint="default"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87.86%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2型糖尿病患者规范管理率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kern w:val="2"/>
                <w:sz w:val="21"/>
                <w:szCs w:val="21"/>
                <w:u w:val="none"/>
                <w:lang w:val="en-US" w:eastAsia="zh-CN" w:bidi="ar-SA"/>
              </w:rPr>
              <w:t>80%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严重精神障碍患者规范管理率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kern w:val="2"/>
                <w:sz w:val="21"/>
                <w:szCs w:val="21"/>
                <w:u w:val="none"/>
                <w:lang w:val="en-US" w:eastAsia="zh-CN" w:bidi="ar-SA"/>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确定肺结核规范治疗率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项目质量稳步提升、居民健康意识逐步提高</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提高</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建立健全考核 机制</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w:t>
            </w:r>
            <w:r>
              <w:rPr>
                <w:rFonts w:hint="eastAsia" w:cs="仿宋"/>
                <w:color w:val="000000"/>
                <w:kern w:val="0"/>
                <w:sz w:val="19"/>
                <w:szCs w:val="19"/>
                <w:lang w:val="en-US" w:eastAsia="zh-CN" w:bidi="ar"/>
              </w:rPr>
              <w:t>5</w:t>
            </w:r>
            <w:r>
              <w:rPr>
                <w:rFonts w:ascii="仿宋" w:hAnsi="仿宋" w:eastAsia="仿宋" w:cs="仿宋"/>
                <w:color w:val="000000"/>
                <w:kern w:val="0"/>
                <w:sz w:val="19"/>
                <w:szCs w:val="19"/>
                <w:lang w:val="en-US" w:eastAsia="zh-CN" w:bidi="ar"/>
              </w:rPr>
              <w:t>%</w:t>
            </w:r>
          </w:p>
        </w:tc>
      </w:tr>
      <w:bookmarkEnd w:id="75"/>
      <w:bookmarkEnd w:id="76"/>
      <w:bookmarkEnd w:id="77"/>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9" w:name="_Toc12031"/>
      <w:bookmarkStart w:id="80" w:name="_Toc2876"/>
      <w:bookmarkStart w:id="81" w:name="_Toc9073"/>
      <w:r>
        <w:rPr>
          <w:rFonts w:hint="eastAsia" w:asciiTheme="majorEastAsia" w:hAnsiTheme="majorEastAsia" w:eastAsiaTheme="majorEastAsia" w:cstheme="majorEastAsia"/>
          <w:b/>
          <w:bCs/>
          <w:sz w:val="30"/>
          <w:szCs w:val="30"/>
          <w:lang w:val="en-US" w:eastAsia="zh-CN"/>
        </w:rPr>
        <w:t>四、绩效评价工作开展情况</w:t>
      </w:r>
      <w:bookmarkEnd w:id="79"/>
      <w:bookmarkEnd w:id="80"/>
      <w:bookmarkEnd w:id="81"/>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2" w:name="_Toc26347"/>
      <w:bookmarkStart w:id="83" w:name="_Toc23289"/>
      <w:bookmarkStart w:id="84" w:name="_Toc30230"/>
      <w:r>
        <w:rPr>
          <w:rFonts w:hint="eastAsia" w:ascii="方正楷体_GBK" w:hAnsi="方正楷体_GBK" w:eastAsia="方正楷体_GBK" w:cs="方正楷体_GBK"/>
          <w:b/>
          <w:bCs/>
          <w:sz w:val="30"/>
          <w:szCs w:val="30"/>
          <w:lang w:val="en-US" w:eastAsia="zh-CN"/>
        </w:rPr>
        <w:t>（一）绩效评价目的</w:t>
      </w:r>
      <w:bookmarkEnd w:id="82"/>
      <w:bookmarkEnd w:id="83"/>
      <w:bookmarkEnd w:id="8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财政专项资金预算支出执行结果为导向，运用科学的方法、规范的流程、统一的指标及标准，对同心县卫生健康局基本公共卫生服务项目的经济性、效率性、效益性和公平性进行客观、公正的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总结项目经验，提出改进措施和相关建议，为财政及业务主管部门、同心县卫生健康局续实施项目资金与组织管理提供参考，促进项目资金政策效益发挥。</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5" w:name="_Toc12142"/>
      <w:r>
        <w:rPr>
          <w:rFonts w:hint="eastAsia" w:ascii="方正楷体_GBK" w:hAnsi="方正楷体_GBK" w:eastAsia="方正楷体_GBK" w:cs="方正楷体_GBK"/>
          <w:b/>
          <w:bCs/>
          <w:sz w:val="30"/>
          <w:szCs w:val="30"/>
          <w:lang w:val="en-US" w:eastAsia="zh-CN"/>
        </w:rPr>
        <w:t>（二）绩效评价对象</w:t>
      </w:r>
      <w:bookmarkEnd w:id="85"/>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 〔2020〕10号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宁夏同心县卫生健康局基本公共卫生服务项目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6" w:name="_Toc4083"/>
      <w:bookmarkStart w:id="87" w:name="_Toc9152"/>
      <w:bookmarkStart w:id="88" w:name="_Toc22702"/>
      <w:r>
        <w:rPr>
          <w:rFonts w:hint="eastAsia" w:ascii="方正楷体_GBK" w:hAnsi="方正楷体_GBK" w:eastAsia="方正楷体_GBK" w:cs="方正楷体_GBK"/>
          <w:b/>
          <w:bCs/>
          <w:sz w:val="30"/>
          <w:szCs w:val="30"/>
          <w:lang w:val="en-US" w:eastAsia="zh-CN"/>
        </w:rPr>
        <w:t>（三）评价依据</w:t>
      </w:r>
      <w:bookmarkEnd w:id="86"/>
      <w:bookmarkEnd w:id="87"/>
      <w:bookmarkEnd w:id="88"/>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eastAsia" w:ascii="方正仿宋_GBK" w:hAnsi="方正仿宋_GBK" w:eastAsia="方正仿宋_GBK" w:cs="方正仿宋_GBK"/>
          <w:b w:val="0"/>
          <w:bCs w:val="0"/>
          <w:kern w:val="44"/>
          <w:sz w:val="30"/>
          <w:szCs w:val="30"/>
        </w:rPr>
      </w:pPr>
      <w:r>
        <w:rPr>
          <w:rFonts w:hint="eastAsia" w:ascii="Times New Roman" w:hAnsi="Times New Roman" w:eastAsia="方正仿宋_GBK" w:cs="Times New Roman"/>
          <w:sz w:val="30"/>
          <w:szCs w:val="30"/>
          <w:lang w:val="en-US" w:eastAsia="zh-CN"/>
        </w:rPr>
        <w:t>6.《</w:t>
      </w:r>
      <w:r>
        <w:rPr>
          <w:rFonts w:hint="eastAsia" w:ascii="方正仿宋_GBK" w:hAnsi="方正仿宋_GBK" w:eastAsia="方正仿宋_GBK" w:cs="方正仿宋_GBK"/>
          <w:b w:val="0"/>
          <w:bCs w:val="0"/>
          <w:kern w:val="44"/>
          <w:sz w:val="30"/>
          <w:szCs w:val="30"/>
          <w:lang w:eastAsia="zh-CN"/>
        </w:rPr>
        <w:t>国家公共卫生服务规范（第三版）</w:t>
      </w:r>
      <w:r>
        <w:rPr>
          <w:rFonts w:hint="eastAsia" w:ascii="方正仿宋_GBK" w:hAnsi="方正仿宋_GBK" w:eastAsia="方正仿宋_GBK" w:cs="方正仿宋_GBK"/>
          <w:b w:val="0"/>
          <w:bCs w:val="0"/>
          <w:kern w:val="44"/>
          <w:sz w:val="30"/>
          <w:szCs w:val="30"/>
        </w:rPr>
        <w:t>》</w:t>
      </w:r>
    </w:p>
    <w:p>
      <w:pPr>
        <w:pStyle w:val="5"/>
        <w:rPr>
          <w:rFonts w:hint="default"/>
          <w:lang w:val="en-US" w:eastAsia="zh-CN"/>
        </w:rPr>
      </w:pPr>
      <w:bookmarkStart w:id="89" w:name="_Toc2348"/>
      <w:r>
        <w:rPr>
          <w:rFonts w:hint="eastAsia" w:ascii="Times New Roman" w:hAnsi="Times New Roman" w:eastAsia="方正仿宋_GBK" w:cs="Times New Roman"/>
          <w:b w:val="0"/>
          <w:kern w:val="44"/>
          <w:sz w:val="30"/>
          <w:szCs w:val="30"/>
          <w:lang w:val="en-US" w:eastAsia="zh-CN"/>
        </w:rPr>
        <w:t>7.</w:t>
      </w:r>
      <w:r>
        <w:rPr>
          <w:rFonts w:hint="eastAsia" w:ascii="Times New Roman" w:hAnsi="Times New Roman" w:eastAsia="方正仿宋_GBK" w:cs="Times New Roman"/>
          <w:b w:val="0"/>
          <w:kern w:val="44"/>
          <w:sz w:val="30"/>
          <w:szCs w:val="30"/>
          <w:lang w:eastAsia="zh-CN"/>
        </w:rPr>
        <w:t>《财政部 国家卫生健康委 国家医疗保障局 国家中医药管理局关于印发基本公共卫生服务等5项补助资金管理办法的通知》（财社〔2019〕113号）</w:t>
      </w:r>
      <w:bookmarkEnd w:id="89"/>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8</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9</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10.</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90" w:name="_Toc19955"/>
      <w:r>
        <w:rPr>
          <w:rFonts w:hint="eastAsia" w:ascii="Times New Roman" w:hAnsi="Times New Roman" w:eastAsia="方正仿宋_GBK" w:cs="Times New Roman"/>
          <w:color w:val="auto"/>
          <w:kern w:val="2"/>
          <w:sz w:val="30"/>
          <w:szCs w:val="30"/>
          <w:highlight w:val="none"/>
          <w:lang w:val="en-US" w:eastAsia="zh-CN" w:bidi="ar-SA"/>
        </w:rPr>
        <w:t>11.</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同心县2022年基本公共卫生服务项目实施方案</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eastAsia="zh-CN"/>
        </w:rPr>
        <w:t>同卫健</w:t>
      </w:r>
      <w:r>
        <w:rPr>
          <w:rFonts w:hint="default" w:ascii="Times New Roman" w:hAnsi="Times New Roman" w:eastAsia="方正仿宋_GBK" w:cs="Times New Roman"/>
          <w:b w:val="0"/>
          <w:kern w:val="44"/>
          <w:sz w:val="30"/>
          <w:szCs w:val="30"/>
        </w:rPr>
        <w:t>发〔20</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115</w:t>
      </w:r>
      <w:r>
        <w:rPr>
          <w:rFonts w:hint="default" w:ascii="Times New Roman" w:hAnsi="Times New Roman" w:eastAsia="方正仿宋_GBK" w:cs="Times New Roman"/>
          <w:b w:val="0"/>
          <w:kern w:val="44"/>
          <w:sz w:val="30"/>
          <w:szCs w:val="30"/>
        </w:rPr>
        <w:t>号</w:t>
      </w:r>
      <w:r>
        <w:rPr>
          <w:rFonts w:hint="eastAsia" w:ascii="Times New Roman" w:hAnsi="Times New Roman" w:eastAsia="方正仿宋_GBK" w:cs="Times New Roman"/>
          <w:b w:val="0"/>
          <w:kern w:val="44"/>
          <w:sz w:val="30"/>
          <w:szCs w:val="30"/>
          <w:lang w:eastAsia="zh-CN"/>
        </w:rPr>
        <w:t>）</w:t>
      </w:r>
      <w:bookmarkEnd w:id="90"/>
    </w:p>
    <w:p>
      <w:pPr>
        <w:topLinePunct/>
        <w:spacing w:line="560" w:lineRule="exact"/>
        <w:ind w:firstLine="592" w:firstLineChars="200"/>
        <w:outlineLvl w:val="0"/>
        <w:rPr>
          <w:rFonts w:hint="default" w:ascii="Times New Roman" w:hAnsi="Times New Roman" w:eastAsia="方正仿宋_GBK" w:cs="Times New Roman"/>
          <w:color w:val="auto"/>
          <w:sz w:val="30"/>
          <w:szCs w:val="30"/>
          <w:u w:val="none"/>
          <w:lang w:val="zh-CN" w:bidi="zh-CN"/>
        </w:rPr>
      </w:pPr>
      <w:bookmarkStart w:id="91" w:name="_Toc11241"/>
      <w:r>
        <w:rPr>
          <w:rFonts w:hint="eastAsia" w:ascii="Times New Roman" w:hAnsi="Times New Roman" w:eastAsia="方正仿宋_GBK" w:cs="Times New Roman"/>
          <w:color w:val="auto"/>
          <w:kern w:val="2"/>
          <w:sz w:val="30"/>
          <w:szCs w:val="30"/>
          <w:highlight w:val="none"/>
          <w:lang w:val="en-US" w:eastAsia="zh-CN" w:bidi="ar-SA"/>
        </w:rPr>
        <w:t>12.《</w:t>
      </w:r>
      <w:r>
        <w:rPr>
          <w:rFonts w:hint="default" w:ascii="Times New Roman" w:hAnsi="Times New Roman" w:eastAsia="方正仿宋_GBK" w:cs="Times New Roman"/>
          <w:color w:val="auto"/>
          <w:sz w:val="30"/>
          <w:szCs w:val="30"/>
          <w:u w:val="none"/>
          <w:lang w:val="zh-CN" w:eastAsia="zh-CN" w:bidi="zh-CN"/>
        </w:rPr>
        <w:t>自治区财政厅</w:t>
      </w:r>
      <w:r>
        <w:rPr>
          <w:rFonts w:hint="eastAsia" w:ascii="Times New Roman" w:hAnsi="Times New Roman" w:eastAsia="方正仿宋_GBK" w:cs="Times New Roman"/>
          <w:color w:val="auto"/>
          <w:sz w:val="30"/>
          <w:szCs w:val="30"/>
          <w:u w:val="none"/>
          <w:lang w:val="en-US" w:eastAsia="zh-CN" w:bidi="zh-CN"/>
        </w:rPr>
        <w:t xml:space="preserve"> </w:t>
      </w:r>
      <w:r>
        <w:rPr>
          <w:rFonts w:hint="default" w:ascii="Times New Roman" w:hAnsi="Times New Roman" w:eastAsia="方正仿宋_GBK" w:cs="Times New Roman"/>
          <w:color w:val="auto"/>
          <w:sz w:val="30"/>
          <w:szCs w:val="30"/>
          <w:u w:val="none"/>
          <w:lang w:val="zh-CN" w:eastAsia="zh-CN" w:bidi="zh-CN"/>
        </w:rPr>
        <w:t>卫生健康委关于提前下达2022年基本公共卫生服务补助资金预算的通知》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1</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685</w:t>
      </w:r>
      <w:r>
        <w:rPr>
          <w:rFonts w:hint="default" w:ascii="Times New Roman" w:hAnsi="Times New Roman" w:eastAsia="方正仿宋_GBK" w:cs="Times New Roman"/>
          <w:color w:val="auto"/>
          <w:sz w:val="30"/>
          <w:szCs w:val="30"/>
          <w:u w:val="none"/>
          <w:lang w:val="zh-CN" w:bidi="zh-CN"/>
        </w:rPr>
        <w:t>号）</w:t>
      </w:r>
      <w:bookmarkEnd w:id="91"/>
    </w:p>
    <w:p>
      <w:pPr>
        <w:topLinePunct/>
        <w:spacing w:line="560" w:lineRule="exact"/>
        <w:ind w:firstLine="592" w:firstLineChars="200"/>
        <w:outlineLvl w:val="0"/>
        <w:rPr>
          <w:rFonts w:hint="default" w:ascii="Times New Roman" w:hAnsi="Times New Roman" w:eastAsia="方正仿宋_GBK" w:cs="Times New Roman"/>
          <w:color w:val="auto"/>
          <w:kern w:val="2"/>
          <w:sz w:val="30"/>
          <w:szCs w:val="30"/>
          <w:highlight w:val="none"/>
          <w:lang w:val="en-US" w:eastAsia="zh-CN" w:bidi="ar-SA"/>
        </w:rPr>
      </w:pPr>
      <w:bookmarkStart w:id="92" w:name="_Toc10965"/>
      <w:r>
        <w:rPr>
          <w:rFonts w:hint="eastAsia" w:ascii="Times New Roman" w:hAnsi="Times New Roman" w:eastAsia="方正仿宋_GBK" w:cs="Times New Roman"/>
          <w:color w:val="auto"/>
          <w:sz w:val="30"/>
          <w:szCs w:val="30"/>
          <w:u w:val="none"/>
          <w:lang w:val="en-US" w:eastAsia="zh-CN" w:bidi="zh-CN"/>
        </w:rPr>
        <w:t>13.</w:t>
      </w:r>
      <w:r>
        <w:rPr>
          <w:rFonts w:hint="default" w:ascii="Times New Roman" w:hAnsi="Times New Roman" w:eastAsia="方正仿宋_GBK" w:cs="Times New Roman"/>
          <w:color w:val="auto"/>
          <w:sz w:val="30"/>
          <w:szCs w:val="30"/>
          <w:u w:val="none"/>
          <w:lang w:val="zh-CN" w:eastAsia="zh-CN" w:bidi="zh-CN"/>
        </w:rPr>
        <w:t>《自治区财政厅 卫生健康委关于下达2022年</w:t>
      </w:r>
      <w:r>
        <w:rPr>
          <w:rFonts w:hint="eastAsia" w:ascii="Times New Roman" w:hAnsi="Times New Roman" w:eastAsia="方正仿宋_GBK" w:cs="Times New Roman"/>
          <w:color w:val="auto"/>
          <w:sz w:val="30"/>
          <w:szCs w:val="30"/>
          <w:u w:val="none"/>
          <w:lang w:val="en-US" w:eastAsia="zh-CN" w:bidi="zh-CN"/>
        </w:rPr>
        <w:t>基本公共卫生服务补助资金预</w:t>
      </w:r>
      <w:r>
        <w:rPr>
          <w:rFonts w:hint="default" w:ascii="Times New Roman" w:hAnsi="Times New Roman" w:eastAsia="方正仿宋_GBK" w:cs="Times New Roman"/>
          <w:color w:val="auto"/>
          <w:sz w:val="30"/>
          <w:szCs w:val="30"/>
          <w:u w:val="none"/>
          <w:lang w:val="zh-CN" w:eastAsia="zh-CN" w:bidi="zh-CN"/>
        </w:rPr>
        <w:t>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2</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274</w:t>
      </w:r>
      <w:r>
        <w:rPr>
          <w:rFonts w:hint="default" w:ascii="Times New Roman" w:hAnsi="Times New Roman" w:eastAsia="方正仿宋_GBK" w:cs="Times New Roman"/>
          <w:color w:val="auto"/>
          <w:sz w:val="30"/>
          <w:szCs w:val="30"/>
          <w:u w:val="none"/>
          <w:lang w:val="zh-CN" w:bidi="zh-CN"/>
        </w:rPr>
        <w:t>号）</w:t>
      </w:r>
      <w:bookmarkEnd w:id="92"/>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15.项目单位反映项目管理的有关资料，项目安排计划、资金拨付支出相关文件和凭证资料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3" w:name="_Toc19097"/>
      <w:bookmarkStart w:id="94" w:name="_Toc17802"/>
      <w:bookmarkStart w:id="95" w:name="_Toc8570"/>
      <w:r>
        <w:rPr>
          <w:rFonts w:hint="eastAsia" w:ascii="方正楷体_GBK" w:hAnsi="方正楷体_GBK" w:eastAsia="方正楷体_GBK" w:cs="方正楷体_GBK"/>
          <w:b/>
          <w:bCs/>
          <w:sz w:val="30"/>
          <w:szCs w:val="30"/>
          <w:lang w:val="en-US" w:eastAsia="zh-CN"/>
        </w:rPr>
        <w:t>（四）评价原则</w:t>
      </w:r>
      <w:bookmarkEnd w:id="93"/>
      <w:bookmarkEnd w:id="94"/>
      <w:bookmarkEnd w:id="95"/>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b w:val="0"/>
          <w:bCs w:val="0"/>
          <w:kern w:val="0"/>
          <w:sz w:val="30"/>
          <w:szCs w:val="30"/>
          <w:lang w:val="en-US" w:eastAsia="zh-CN" w:bidi="zh-CN"/>
        </w:rPr>
      </w:pPr>
      <w:bookmarkStart w:id="96" w:name="_Toc8420"/>
      <w:bookmarkStart w:id="97" w:name="_Toc14020"/>
      <w:bookmarkStart w:id="98"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sz w:val="30"/>
          <w:szCs w:val="30"/>
          <w:lang w:val="en-US" w:eastAsia="zh-CN"/>
        </w:rPr>
        <w:t>《</w:t>
      </w:r>
      <w:r>
        <w:rPr>
          <w:rFonts w:hint="eastAsia" w:ascii="方正仿宋_GBK" w:hAnsi="方正仿宋_GBK" w:eastAsia="方正仿宋_GBK" w:cs="方正仿宋_GBK"/>
          <w:b w:val="0"/>
          <w:bCs w:val="0"/>
          <w:kern w:val="44"/>
          <w:sz w:val="30"/>
          <w:szCs w:val="30"/>
          <w:lang w:eastAsia="zh-CN"/>
        </w:rPr>
        <w:t>国家公共卫生服务规范（第三版）》《</w:t>
      </w:r>
      <w:r>
        <w:rPr>
          <w:rFonts w:hint="default" w:ascii="Times New Roman" w:hAnsi="Times New Roman" w:eastAsia="方正仿宋_GBK" w:cs="Times New Roman"/>
          <w:color w:val="auto"/>
          <w:sz w:val="30"/>
          <w:szCs w:val="30"/>
          <w:u w:val="none"/>
          <w:lang w:val="zh-CN" w:eastAsia="zh-CN" w:bidi="zh-CN"/>
        </w:rPr>
        <w:t>自治区财政厅卫生健康委关于提前下达2022年基本公共卫生服务补助资金预算的通知》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1</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685</w:t>
      </w:r>
      <w:r>
        <w:rPr>
          <w:rFonts w:hint="default" w:ascii="Times New Roman" w:hAnsi="Times New Roman" w:eastAsia="方正仿宋_GBK" w:cs="Times New Roman"/>
          <w:color w:val="auto"/>
          <w:sz w:val="30"/>
          <w:szCs w:val="30"/>
          <w:u w:val="none"/>
          <w:lang w:val="zh-CN" w:bidi="zh-CN"/>
        </w:rPr>
        <w:t>号）</w:t>
      </w:r>
      <w:r>
        <w:rPr>
          <w:rFonts w:hint="eastAsia"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《自治区财政厅 卫生健康委关于下达2022年</w:t>
      </w:r>
      <w:r>
        <w:rPr>
          <w:rFonts w:hint="eastAsia" w:ascii="Times New Roman" w:hAnsi="Times New Roman" w:eastAsia="方正仿宋_GBK" w:cs="Times New Roman"/>
          <w:color w:val="auto"/>
          <w:sz w:val="30"/>
          <w:szCs w:val="30"/>
          <w:u w:val="none"/>
          <w:lang w:val="en-US" w:eastAsia="zh-CN" w:bidi="zh-CN"/>
        </w:rPr>
        <w:t>基本公共卫生服务补助资金预</w:t>
      </w:r>
      <w:r>
        <w:rPr>
          <w:rFonts w:hint="default" w:ascii="Times New Roman" w:hAnsi="Times New Roman" w:eastAsia="方正仿宋_GBK" w:cs="Times New Roman"/>
          <w:color w:val="auto"/>
          <w:sz w:val="30"/>
          <w:szCs w:val="30"/>
          <w:u w:val="none"/>
          <w:lang w:val="zh-CN" w:eastAsia="zh-CN" w:bidi="zh-CN"/>
        </w:rPr>
        <w:t>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2</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274</w:t>
      </w:r>
      <w:r>
        <w:rPr>
          <w:rFonts w:hint="default" w:ascii="Times New Roman" w:hAnsi="Times New Roman" w:eastAsia="方正仿宋_GBK" w:cs="Times New Roman"/>
          <w:color w:val="auto"/>
          <w:sz w:val="30"/>
          <w:szCs w:val="30"/>
          <w:u w:val="none"/>
          <w:lang w:val="zh-CN" w:bidi="zh-CN"/>
        </w:rPr>
        <w:t>号）</w:t>
      </w:r>
      <w:r>
        <w:rPr>
          <w:rFonts w:hint="eastAsia" w:ascii="Times New Roman" w:hAnsi="Times New Roman" w:eastAsia="方正仿宋_GBK" w:cs="Times New Roman"/>
          <w:color w:val="auto"/>
          <w:sz w:val="30"/>
          <w:szCs w:val="30"/>
          <w:u w:val="none"/>
          <w:lang w:val="zh-CN" w:bidi="zh-CN"/>
        </w:rPr>
        <w:t>和</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同心县2022年基本公共卫生服务项目实施方案</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eastAsia="zh-CN"/>
        </w:rPr>
        <w:t>同卫健</w:t>
      </w:r>
      <w:r>
        <w:rPr>
          <w:rFonts w:hint="default" w:ascii="Times New Roman" w:hAnsi="Times New Roman" w:eastAsia="方正仿宋_GBK" w:cs="Times New Roman"/>
          <w:b w:val="0"/>
          <w:kern w:val="44"/>
          <w:sz w:val="30"/>
          <w:szCs w:val="30"/>
        </w:rPr>
        <w:t>发〔20</w:t>
      </w:r>
      <w:r>
        <w:rPr>
          <w:rFonts w:hint="eastAsia" w:ascii="Times New Roman" w:hAnsi="Times New Roman" w:eastAsia="方正仿宋_GBK" w:cs="Times New Roman"/>
          <w:b w:val="0"/>
          <w:kern w:val="44"/>
          <w:sz w:val="30"/>
          <w:szCs w:val="30"/>
          <w:lang w:val="en-US" w:eastAsia="zh-CN"/>
        </w:rPr>
        <w:t>22</w:t>
      </w:r>
      <w:r>
        <w:rPr>
          <w:rFonts w:hint="default" w:ascii="Times New Roman" w:hAnsi="Times New Roman" w:eastAsia="方正仿宋_GBK" w:cs="Times New Roman"/>
          <w:b w:val="0"/>
          <w:kern w:val="44"/>
          <w:sz w:val="30"/>
          <w:szCs w:val="30"/>
        </w:rPr>
        <w:t>〕</w:t>
      </w:r>
      <w:r>
        <w:rPr>
          <w:rFonts w:hint="eastAsia" w:ascii="Times New Roman" w:hAnsi="Times New Roman" w:eastAsia="方正仿宋_GBK" w:cs="Times New Roman"/>
          <w:b w:val="0"/>
          <w:kern w:val="44"/>
          <w:sz w:val="30"/>
          <w:szCs w:val="30"/>
          <w:lang w:val="en-US" w:eastAsia="zh-CN"/>
        </w:rPr>
        <w:t>115</w:t>
      </w:r>
      <w:r>
        <w:rPr>
          <w:rFonts w:hint="default" w:ascii="Times New Roman" w:hAnsi="Times New Roman" w:eastAsia="方正仿宋_GBK" w:cs="Times New Roman"/>
          <w:b w:val="0"/>
          <w:kern w:val="44"/>
          <w:sz w:val="30"/>
          <w:szCs w:val="30"/>
        </w:rPr>
        <w:t>号</w:t>
      </w:r>
      <w:r>
        <w:rPr>
          <w:rFonts w:hint="eastAsia" w:ascii="Times New Roman" w:hAnsi="Times New Roman" w:eastAsia="方正仿宋_GBK" w:cs="Times New Roman"/>
          <w:b w:val="0"/>
          <w:kern w:val="44"/>
          <w:sz w:val="30"/>
          <w:szCs w:val="30"/>
          <w:lang w:eastAsia="zh-CN"/>
        </w:rPr>
        <w:t>）</w:t>
      </w:r>
      <w:r>
        <w:rPr>
          <w:rFonts w:hint="default" w:ascii="Times New Roman" w:hAnsi="Times New Roman" w:eastAsia="方正仿宋_GBK" w:cs="Times New Roman"/>
          <w:b w:val="0"/>
          <w:bCs w:val="0"/>
          <w:kern w:val="0"/>
          <w:sz w:val="30"/>
          <w:szCs w:val="30"/>
          <w:lang w:val="en-US" w:eastAsia="zh-CN" w:bidi="zh-CN"/>
        </w:rPr>
        <w:t xml:space="preserve"> 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主要方法包括比较法、因素分析法、成本效益法、公众评判法等评价方法，从项目决策、过程、产出、效果四个维度进行综合评价，形成本项目事后评价结论。</w:t>
      </w:r>
      <w:bookmarkEnd w:id="96"/>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9" w:name="_Toc7092"/>
      <w:r>
        <w:rPr>
          <w:rFonts w:hint="eastAsia" w:ascii="方正楷体_GBK" w:hAnsi="方正楷体_GBK" w:eastAsia="方正楷体_GBK" w:cs="方正楷体_GBK"/>
          <w:b/>
          <w:bCs/>
          <w:sz w:val="30"/>
          <w:szCs w:val="30"/>
          <w:lang w:val="en-US" w:eastAsia="zh-CN"/>
        </w:rPr>
        <w:t>（五）评价标准</w:t>
      </w:r>
      <w:bookmarkEnd w:id="99"/>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00" w:name="_Toc5855"/>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100"/>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01" w:name="_Toc29819"/>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97"/>
      <w:bookmarkEnd w:id="98"/>
      <w:bookmarkEnd w:id="101"/>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2" w:name="_Toc30847"/>
      <w:r>
        <w:rPr>
          <w:rFonts w:hint="eastAsia" w:ascii="Times New Roman" w:hAnsi="Times New Roman" w:eastAsia="方正仿宋_GBK" w:cs="Times New Roman"/>
          <w:b w:val="0"/>
          <w:bCs w:val="0"/>
          <w:kern w:val="0"/>
          <w:sz w:val="30"/>
          <w:szCs w:val="30"/>
          <w:lang w:val="en-US" w:eastAsia="zh-CN" w:bidi="zh-CN"/>
        </w:rPr>
        <w:t>同心县卫生健康局基本公共卫生服务项目绩效评价指标设置了项目决策 （15 分）、项目过程（25分）、项目产出（30分）和项目效益（30分）4个一级指标，以及项目立项、绩效目标、资金投入、资金管理、组织实施、产出数量、产出质量、产出时效、产出成本、社会效益、可持续影响、满意度调查等12 个二级指标和 27 个三级指标。</w:t>
      </w:r>
      <w:r>
        <w:rPr>
          <w:rFonts w:ascii="仿宋" w:hAnsi="仿宋" w:eastAsia="仿宋" w:cs="仿宋"/>
          <w:b/>
          <w:bCs/>
          <w:i w:val="0"/>
          <w:iCs w:val="0"/>
          <w:color w:val="000000"/>
          <w:kern w:val="0"/>
          <w:sz w:val="27"/>
          <w:szCs w:val="27"/>
          <w:lang w:val="en-US" w:eastAsia="zh-CN" w:bidi="ar"/>
        </w:rPr>
        <w:t>具体评价指标体系表详见附件 2</w:t>
      </w:r>
      <w:bookmarkEnd w:id="102"/>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3" w:name="_Toc14168"/>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 分以下为差。</w:t>
      </w:r>
      <w:bookmarkEnd w:id="103"/>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left="630" w:leftChars="0"/>
        <w:textAlignment w:val="auto"/>
        <w:rPr>
          <w:rFonts w:hint="eastAsia" w:ascii="方正楷体_GBK" w:hAnsi="方正楷体_GBK" w:eastAsia="方正楷体_GBK" w:cs="方正楷体_GBK"/>
          <w:color w:val="auto"/>
          <w:sz w:val="30"/>
          <w:szCs w:val="30"/>
        </w:rPr>
      </w:pPr>
      <w:bookmarkStart w:id="104" w:name="_Toc31420"/>
      <w:bookmarkStart w:id="105" w:name="_Toc30162"/>
      <w:bookmarkStart w:id="106" w:name="_Toc3585"/>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4"/>
      <w:bookmarkEnd w:id="105"/>
      <w:bookmarkEnd w:id="106"/>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07" w:name="_Toc30274"/>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07"/>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08" w:name="_Toc31371"/>
      <w:r>
        <w:rPr>
          <w:rFonts w:hint="eastAsia" w:ascii="方正仿宋_GBK" w:hAnsi="方正仿宋_GBK" w:eastAsia="方正仿宋_GBK" w:cs="方正仿宋_GBK"/>
          <w:b w:val="0"/>
          <w:color w:val="auto"/>
          <w:kern w:val="2"/>
          <w:sz w:val="30"/>
          <w:szCs w:val="30"/>
          <w:highlight w:val="none"/>
          <w:lang w:val="en-US" w:eastAsia="zh-CN" w:bidi="ar-SA"/>
        </w:rPr>
        <w:t>同心县卫生健康局基本公共卫生服务项目事中绩效评价主要采用因素分析法、比较法、现场核查法、公众评判法进行综合评价。具体评价方法如下：</w:t>
      </w:r>
      <w:bookmarkEnd w:id="108"/>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同心县卫生健康局基本公共卫生服务项目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同心县卫生健康局基本公共卫生服务项目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同心县卫生健康局基本公共卫生服务项目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同心县卫生健康局基本公共卫生服务项目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三是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09" w:name="_Toc15372"/>
      <w:bookmarkStart w:id="110" w:name="_Toc14287"/>
      <w:bookmarkStart w:id="111" w:name="_Toc122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09"/>
      <w:bookmarkEnd w:id="110"/>
      <w:bookmarkEnd w:id="111"/>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12" w:name="_Toc6888"/>
      <w:bookmarkStart w:id="113" w:name="_Toc23927"/>
      <w:bookmarkStart w:id="114"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12"/>
      <w:bookmarkEnd w:id="113"/>
      <w:bookmarkEnd w:id="114"/>
    </w:p>
    <w:p>
      <w:pPr>
        <w:pStyle w:val="4"/>
        <w:bidi w:val="0"/>
        <w:rPr>
          <w:rFonts w:hint="default"/>
          <w:lang w:val="en-US" w:eastAsia="zh-CN"/>
        </w:rPr>
      </w:pPr>
      <w:bookmarkStart w:id="115" w:name="_Toc32552"/>
      <w:r>
        <w:rPr>
          <w:rFonts w:hint="eastAsia"/>
          <w:lang w:val="en-US" w:eastAsia="zh-CN"/>
        </w:rPr>
        <w:t>（一）项目完成情况</w:t>
      </w:r>
      <w:bookmarkEnd w:id="115"/>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卫生健康局的项目实施方案、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专项</w:t>
      </w:r>
      <w:r>
        <w:rPr>
          <w:rFonts w:hint="default" w:ascii="Times New Roman" w:hAnsi="Times New Roman" w:eastAsia="方正仿宋_GBK" w:cs="Times New Roman"/>
          <w:color w:val="auto"/>
          <w:kern w:val="2"/>
          <w:sz w:val="30"/>
          <w:szCs w:val="30"/>
          <w:highlight w:val="none"/>
          <w:lang w:val="en-US" w:eastAsia="zh-CN" w:bidi="ar-SA"/>
        </w:rPr>
        <w:t>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2582.00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2582.00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2582.00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color w:val="auto"/>
          <w:kern w:val="2"/>
          <w:sz w:val="30"/>
          <w:szCs w:val="30"/>
          <w:highlight w:val="none"/>
          <w:lang w:val="en-US" w:eastAsia="zh-CN" w:bidi="ar-SA"/>
        </w:rPr>
        <w:t>通过为城乡居民免费提供12大类52项基本公共卫生服务项目使得辖区居民基本公共卫生服务逐步均等化；通过开展健康知识宣传、免费体检、重点人群季度随访使得居民健康意识逐步提高；高血压、糖尿病等慢性疾病患者得到有效管理。</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年初绩效目标基本完成，通过实地入户调查及电话随访发现绝大多数档案真实可靠，工作开展扎实有效</w:t>
      </w:r>
      <w:r>
        <w:rPr>
          <w:rFonts w:hint="eastAsia" w:ascii="Times New Roman" w:hAnsi="Times New Roman" w:eastAsia="方正仿宋_GBK" w:cs="Times New Roman"/>
          <w:b w:val="0"/>
          <w:bCs w:val="0"/>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通过开展健康知识宣传、免费体检、重点人群季度随访使得居民健康意识逐步提高；高血压、糖尿病等慢性疾病患者得到有效管理。</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spacing w:val="0"/>
          <w:kern w:val="0"/>
          <w:sz w:val="30"/>
          <w:szCs w:val="30"/>
          <w:lang w:val="en-US" w:eastAsia="zh-CN" w:bidi="zh-CN"/>
        </w:rPr>
        <w:t>为重点人群和特殊人群进行随访和体检，在一定程度上拉动本机构的医疗服务。通过向居民免费发放宣传资料、开展健康咨询、举办讲座等形式的健康教育的宣传，增强了居民健康意识，改变了不良生活方式，逐步树立起自我健康管理的理念；通过预防接种和健康管理，减少主要健康危险因素，预防和控制传染病及慢性病的发生和流行；三是通过突发公共卫生服务事件的处理，提高了公共卫生服务和突发公共卫生服务应急处置能力，建立起维护居民健康的第一道屏障，对于提高居民健康素质有重要促进作用。经对项目周边群众等对象开展满意度问卷调查，整体满意度为95%。</w:t>
      </w:r>
    </w:p>
    <w:p>
      <w:pPr>
        <w:pStyle w:val="4"/>
        <w:bidi w:val="0"/>
        <w:rPr>
          <w:rFonts w:hint="default"/>
          <w:lang w:val="en-US" w:eastAsia="zh-CN"/>
        </w:rPr>
      </w:pPr>
      <w:bookmarkStart w:id="116" w:name="_Toc22035"/>
      <w:r>
        <w:rPr>
          <w:rFonts w:hint="eastAsia"/>
          <w:lang w:val="en-US" w:eastAsia="zh-CN"/>
        </w:rPr>
        <w:t>（二）评价结论</w:t>
      </w:r>
      <w:bookmarkEnd w:id="116"/>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同心县卫生健康局基本公共卫生服务项目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对项目实施起到了积极的推动作用。但还存在项目进度缓慢、设备未投入使用等问题。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17" w:name="_Toc9214"/>
      <w:bookmarkStart w:id="118"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auto"/>
          <w:kern w:val="2"/>
          <w:sz w:val="30"/>
          <w:szCs w:val="30"/>
          <w:highlight w:val="none"/>
          <w:lang w:val="en-US" w:eastAsia="zh-CN" w:bidi="ar-SA"/>
        </w:rPr>
        <w:t>“90.00”分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w:t>
            </w:r>
            <w:r>
              <w:rPr>
                <w:rFonts w:hint="default" w:ascii="Times New Roman" w:hAnsi="Times New Roman" w:eastAsia="方正仿宋_GBK" w:cs="Times New Roman"/>
                <w:i w:val="0"/>
                <w:iCs w:val="0"/>
                <w:color w:val="000000"/>
                <w:kern w:val="0"/>
                <w:sz w:val="22"/>
                <w:szCs w:val="22"/>
                <w:u w:val="none"/>
                <w:lang w:val="en-US" w:eastAsia="zh-CN" w:bidi="ar"/>
              </w:rPr>
              <w:t>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40.00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75.00%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90.00%</w:t>
            </w:r>
          </w:p>
        </w:tc>
      </w:tr>
      <w:bookmarkEnd w:id="117"/>
      <w:bookmarkEnd w:id="118"/>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19" w:name="_Toc13356"/>
      <w:bookmarkStart w:id="120" w:name="_Toc8192"/>
      <w:bookmarkStart w:id="121" w:name="_Toc10789"/>
      <w:bookmarkStart w:id="122" w:name="_Toc13089"/>
      <w:r>
        <w:rPr>
          <w:rFonts w:hint="eastAsia" w:asciiTheme="majorEastAsia" w:hAnsiTheme="majorEastAsia" w:eastAsiaTheme="majorEastAsia" w:cstheme="majorEastAsia"/>
          <w:b/>
          <w:bCs/>
          <w:sz w:val="32"/>
          <w:szCs w:val="32"/>
          <w:lang w:val="en-US" w:eastAsia="zh-CN"/>
        </w:rPr>
        <w:t>六、绩效评价指标分析</w:t>
      </w:r>
      <w:bookmarkEnd w:id="119"/>
      <w:bookmarkEnd w:id="120"/>
    </w:p>
    <w:p>
      <w:pPr>
        <w:pStyle w:val="4"/>
        <w:bidi w:val="0"/>
        <w:rPr>
          <w:rFonts w:hint="eastAsia"/>
        </w:rPr>
      </w:pPr>
      <w:bookmarkStart w:id="123" w:name="_Toc2329"/>
      <w:bookmarkStart w:id="124" w:name="_Toc24502"/>
      <w:bookmarkStart w:id="125" w:name="_Toc24905"/>
      <w:bookmarkStart w:id="126" w:name="_Toc13765"/>
      <w:r>
        <w:rPr>
          <w:rFonts w:hint="eastAsia"/>
        </w:rPr>
        <w:t>（一）项目决策情况分析</w:t>
      </w:r>
      <w:bookmarkEnd w:id="123"/>
      <w:bookmarkEnd w:id="124"/>
      <w:bookmarkEnd w:id="125"/>
      <w:bookmarkEnd w:id="126"/>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本项指标共设3个二级指标、6 个三级指标，权重分值 20 分，评价得分20.00 分，得分率为 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eastAsia="方正仿宋_GBK" w:cs="Times New Roman"/>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2009年，国家基本公共卫生服务项目开始启动，在基层医疗卫生机构得到了普遍开展，取得了一定成效。实施国家基本公共卫生服务项目是促进基本公共卫生服务逐步均等化的重要内容，是我国公共卫生制度建设的重要组成部分。基本公共卫生服务是实现基本公共卫生均等化的重大举措，是实现城乡居民享有基本医疗卫生服务的有效途径。对落实预防为主的卫生工作方针，有效控制疾病流行，改善居民健康状况，促进社会和谐具有重要意义。</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sz w:val="30"/>
          <w:szCs w:val="30"/>
        </w:rPr>
        <w:t>为深化医药卫生体制改革，进一步做好基本公共卫生服务工作，根据《国家基本公共卫生服务规范》</w:t>
      </w:r>
      <w:r>
        <w:rPr>
          <w:rFonts w:hint="eastAsia" w:ascii="Times New Roman" w:hAnsi="Times New Roman" w:eastAsia="方正仿宋_GBK" w:cs="Times New Roman"/>
          <w:sz w:val="30"/>
          <w:szCs w:val="30"/>
          <w:lang w:eastAsia="zh-CN"/>
        </w:rPr>
        <w:t>，同心县卫生健康局</w:t>
      </w:r>
      <w:r>
        <w:rPr>
          <w:rFonts w:hint="default" w:ascii="Times New Roman" w:hAnsi="Times New Roman" w:eastAsia="方正仿宋_GBK" w:cs="Times New Roman"/>
          <w:sz w:val="30"/>
          <w:szCs w:val="30"/>
        </w:rPr>
        <w:t>制</w:t>
      </w:r>
      <w:r>
        <w:rPr>
          <w:rFonts w:hint="eastAsia" w:ascii="Times New Roman" w:hAnsi="Times New Roman" w:eastAsia="方正仿宋_GBK" w:cs="Times New Roman"/>
          <w:sz w:val="30"/>
          <w:szCs w:val="30"/>
          <w:lang w:eastAsia="zh-CN"/>
        </w:rPr>
        <w:t>定</w:t>
      </w:r>
      <w:r>
        <w:rPr>
          <w:rFonts w:hint="default" w:ascii="Times New Roman" w:hAnsi="Times New Roman" w:eastAsia="方正仿宋_GBK" w:cs="Times New Roman"/>
          <w:sz w:val="30"/>
          <w:szCs w:val="30"/>
        </w:rPr>
        <w:t>《</w:t>
      </w:r>
      <w:r>
        <w:rPr>
          <w:rFonts w:hint="eastAsia" w:ascii="Times New Roman" w:hAnsi="Times New Roman" w:eastAsia="方正仿宋_GBK" w:cs="Times New Roman"/>
          <w:sz w:val="30"/>
          <w:szCs w:val="30"/>
          <w:lang w:val="en-US" w:eastAsia="zh-CN"/>
        </w:rPr>
        <w:t>2022年基本公共卫生服务项</w:t>
      </w:r>
      <w:r>
        <w:rPr>
          <w:rFonts w:hint="default" w:ascii="Times New Roman" w:hAnsi="Times New Roman" w:eastAsia="方正仿宋_GBK" w:cs="Times New Roman"/>
          <w:sz w:val="30"/>
          <w:szCs w:val="30"/>
          <w:lang w:val="en-US" w:eastAsia="zh-CN"/>
        </w:rPr>
        <w:t>目实施方案</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b w:val="0"/>
          <w:kern w:val="2"/>
          <w:sz w:val="30"/>
          <w:szCs w:val="30"/>
        </w:rPr>
        <w:t>（</w:t>
      </w:r>
      <w:r>
        <w:rPr>
          <w:rFonts w:hint="eastAsia" w:ascii="Times New Roman" w:hAnsi="Times New Roman" w:eastAsia="方正仿宋_GBK" w:cs="Times New Roman"/>
          <w:b w:val="0"/>
          <w:kern w:val="2"/>
          <w:sz w:val="30"/>
          <w:szCs w:val="30"/>
          <w:lang w:eastAsia="zh-CN"/>
        </w:rPr>
        <w:t>同</w:t>
      </w:r>
      <w:r>
        <w:rPr>
          <w:rFonts w:hint="default" w:ascii="Times New Roman" w:hAnsi="Times New Roman" w:eastAsia="方正仿宋_GBK" w:cs="Times New Roman"/>
          <w:b w:val="0"/>
          <w:kern w:val="2"/>
          <w:sz w:val="30"/>
          <w:szCs w:val="30"/>
          <w:lang w:eastAsia="zh-CN"/>
        </w:rPr>
        <w:t>卫健发</w:t>
      </w:r>
      <w:r>
        <w:rPr>
          <w:rFonts w:hint="default" w:ascii="Times New Roman" w:hAnsi="Times New Roman" w:eastAsia="方正仿宋_GBK" w:cs="Times New Roman"/>
          <w:b w:val="0"/>
          <w:kern w:val="2"/>
          <w:sz w:val="30"/>
          <w:szCs w:val="30"/>
          <w:lang w:bidi="ar-SA"/>
        </w:rPr>
        <w:t>〔202</w:t>
      </w:r>
      <w:r>
        <w:rPr>
          <w:rFonts w:hint="eastAsia" w:ascii="Times New Roman" w:hAnsi="Times New Roman" w:eastAsia="方正仿宋_GBK" w:cs="Times New Roman"/>
          <w:b w:val="0"/>
          <w:kern w:val="2"/>
          <w:sz w:val="30"/>
          <w:szCs w:val="30"/>
          <w:lang w:val="en-US" w:eastAsia="zh-CN" w:bidi="ar-SA"/>
        </w:rPr>
        <w:t>2</w:t>
      </w:r>
      <w:r>
        <w:rPr>
          <w:rFonts w:hint="default" w:ascii="Times New Roman" w:hAnsi="Times New Roman" w:eastAsia="方正仿宋_GBK" w:cs="Times New Roman"/>
          <w:b w:val="0"/>
          <w:kern w:val="2"/>
          <w:sz w:val="30"/>
          <w:szCs w:val="30"/>
          <w:lang w:bidi="ar-SA"/>
        </w:rPr>
        <w:t>〕</w:t>
      </w:r>
      <w:r>
        <w:rPr>
          <w:rFonts w:hint="eastAsia" w:ascii="Times New Roman" w:hAnsi="Times New Roman" w:eastAsia="方正仿宋_GBK" w:cs="Times New Roman"/>
          <w:b w:val="0"/>
          <w:kern w:val="2"/>
          <w:sz w:val="30"/>
          <w:szCs w:val="30"/>
          <w:lang w:val="en-US" w:eastAsia="zh-CN" w:bidi="ar-SA"/>
        </w:rPr>
        <w:t>115</w:t>
      </w:r>
      <w:r>
        <w:rPr>
          <w:rFonts w:hint="default" w:ascii="Times New Roman" w:hAnsi="Times New Roman" w:eastAsia="方正仿宋_GBK" w:cs="Times New Roman"/>
          <w:b w:val="0"/>
          <w:kern w:val="2"/>
          <w:sz w:val="30"/>
          <w:szCs w:val="30"/>
          <w:lang w:val="en-US" w:bidi="ar-SA"/>
        </w:rPr>
        <w:t>号），</w:t>
      </w:r>
      <w:r>
        <w:rPr>
          <w:rFonts w:hint="eastAsia" w:ascii="Times New Roman" w:hAnsi="Times New Roman" w:eastAsia="方正仿宋_GBK" w:cs="Times New Roman"/>
          <w:b w:val="0"/>
          <w:kern w:val="2"/>
          <w:sz w:val="30"/>
          <w:szCs w:val="30"/>
          <w:lang w:val="en-US" w:eastAsia="zh-CN" w:bidi="ar-SA"/>
        </w:rPr>
        <w:t>并于2022年5月5日印发，用以规范项目的具体实施，</w:t>
      </w:r>
      <w:r>
        <w:rPr>
          <w:rFonts w:hint="default" w:ascii="Times New Roman" w:hAnsi="Times New Roman" w:eastAsia="方正仿宋_GBK" w:cs="Times New Roman"/>
          <w:b w:val="0"/>
          <w:kern w:val="2"/>
          <w:sz w:val="30"/>
          <w:szCs w:val="30"/>
          <w:lang w:val="en-US" w:bidi="ar-SA"/>
        </w:rPr>
        <w:t>持续推进国家基本公共卫生服务项目，积极干预城乡居民健康问题，有效预防和控制主要传染病及慢性病，不断提高公共服务和突发公共事件应急处置能力，基本公共卫生服务均等化机制不断完善，重大疾病和主要健康危险因素得到有效控制，城乡居民健康水平得到进一步提升</w:t>
      </w:r>
      <w:r>
        <w:rPr>
          <w:rFonts w:hint="default" w:ascii="Times New Roman" w:hAnsi="Times New Roman" w:eastAsia="方正仿宋_GBK" w:cs="Times New Roman"/>
          <w:sz w:val="30"/>
          <w:szCs w:val="30"/>
        </w:rPr>
        <w:t>。</w:t>
      </w:r>
      <w:bookmarkStart w:id="127" w:name="_Toc13646"/>
      <w:bookmarkStart w:id="128" w:name="_Toc13859"/>
      <w:r>
        <w:rPr>
          <w:rFonts w:hint="eastAsia" w:ascii="Times New Roman" w:hAnsi="Times New Roman" w:eastAsia="方正仿宋_GBK" w:cs="Times New Roman"/>
          <w:color w:val="auto"/>
          <w:kern w:val="2"/>
          <w:sz w:val="30"/>
          <w:szCs w:val="30"/>
          <w:highlight w:val="none"/>
          <w:lang w:val="en-US" w:eastAsia="zh-CN" w:bidi="ar-SA"/>
        </w:rPr>
        <w:t>项目立项符合行业发展规划和政策要求，与部门职责范围相符，立项依据充分。</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 xml:space="preserve">分，根据评分标准得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bookmarkEnd w:id="127"/>
      <w:bookmarkEnd w:id="128"/>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sz w:val="30"/>
          <w:szCs w:val="30"/>
        </w:rPr>
      </w:pPr>
      <w:bookmarkStart w:id="129" w:name="_Toc21181"/>
      <w:bookmarkStart w:id="130" w:name="_Toc8288"/>
      <w:bookmarkStart w:id="131" w:name="_Toc21762"/>
      <w:r>
        <w:rPr>
          <w:rFonts w:hint="eastAsia" w:ascii="Times New Roman" w:hAnsi="Times New Roman" w:eastAsia="方正仿宋_GBK" w:cs="Times New Roman"/>
          <w:color w:val="auto"/>
          <w:kern w:val="2"/>
          <w:sz w:val="30"/>
          <w:szCs w:val="30"/>
          <w:highlight w:val="none"/>
          <w:lang w:val="en-US" w:eastAsia="zh-CN" w:bidi="ar-SA"/>
        </w:rPr>
        <w:t>实施程序符合相关规定的要求，立项程序完整，上交文件及材料符合相关要求。</w:t>
      </w:r>
      <w:r>
        <w:rPr>
          <w:rFonts w:ascii="仿宋" w:hAnsi="仿宋" w:eastAsia="仿宋" w:cs="仿宋"/>
          <w:color w:val="000000"/>
          <w:kern w:val="0"/>
          <w:sz w:val="30"/>
          <w:szCs w:val="30"/>
          <w:lang w:val="en-US" w:eastAsia="zh-CN" w:bidi="ar"/>
        </w:rPr>
        <w:t>项目实施条件成熟，前期</w:t>
      </w:r>
      <w:r>
        <w:rPr>
          <w:rFonts w:hint="eastAsia" w:ascii="仿宋" w:hAnsi="仿宋" w:eastAsia="仿宋" w:cs="仿宋"/>
          <w:color w:val="000000"/>
          <w:kern w:val="0"/>
          <w:sz w:val="30"/>
          <w:szCs w:val="30"/>
          <w:lang w:val="en-US" w:eastAsia="zh-CN" w:bidi="ar"/>
        </w:rPr>
        <w:t>准备工作充分</w:t>
      </w:r>
      <w:r>
        <w:rPr>
          <w:rFonts w:hint="eastAsia" w:cs="仿宋"/>
          <w:color w:val="000000"/>
          <w:kern w:val="0"/>
          <w:sz w:val="30"/>
          <w:szCs w:val="30"/>
          <w:lang w:val="en-US" w:eastAsia="zh-CN" w:bidi="ar"/>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bookmarkEnd w:id="129"/>
      <w:bookmarkEnd w:id="130"/>
      <w:bookmarkEnd w:id="131"/>
    </w:p>
    <w:p>
      <w:pPr>
        <w:keepNext w:val="0"/>
        <w:keepLines w:val="0"/>
        <w:pageBreakBefore w:val="0"/>
        <w:widowControl w:val="0"/>
        <w:numPr>
          <w:ilvl w:val="0"/>
          <w:numId w:val="1"/>
        </w:numPr>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经现场绩效评价，</w:t>
      </w:r>
      <w:r>
        <w:rPr>
          <w:rFonts w:hint="eastAsia" w:ascii="Times New Roman" w:hAnsi="Times New Roman" w:eastAsia="方正仿宋_GBK" w:cs="Times New Roman"/>
          <w:b w:val="0"/>
          <w:color w:val="auto"/>
          <w:kern w:val="2"/>
          <w:sz w:val="30"/>
          <w:szCs w:val="30"/>
          <w:highlight w:val="none"/>
          <w:lang w:val="en-US" w:eastAsia="zh-CN" w:bidi="ar-SA"/>
        </w:rPr>
        <w:t>项目实施单位能够</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从合理性和明确性两个方面</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确定目标</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以项目实施方案中确定的总体目标、年度目标、各年度资金预算指标分配及项目支出预算绩效目标为依据，设置了具体的绩效目标，将主要任务具体细分为数量指标、质量指标、时效指标、成本指标、社会效益指标、可持续影响指标。绩效目标可量化、可细化，清晰可衡量</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项目绩效目标设定合理、明确。</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 xml:space="preserve">标满分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实施单位评价范围内的项目结合工作内容设置年度绩效目标，同时细化产出指标、效益指标、可持续影响和满意度指标。</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3.资金投入情况方面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（1）预算编制科学性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color w:val="auto"/>
          <w:sz w:val="30"/>
          <w:szCs w:val="30"/>
          <w:u w:val="none"/>
          <w:lang w:val="en-US" w:bidi="zh-CN"/>
        </w:rPr>
      </w:pPr>
      <w:r>
        <w:rPr>
          <w:rFonts w:hint="default" w:ascii="Times New Roman" w:hAnsi="Times New Roman" w:eastAsia="方正仿宋_GBK" w:cs="Times New Roman"/>
          <w:color w:val="auto"/>
          <w:sz w:val="30"/>
          <w:szCs w:val="30"/>
          <w:u w:val="none"/>
          <w:lang w:val="en-US" w:bidi="zh-CN"/>
        </w:rPr>
        <w:t>根据《财政部关于进一步做好财政资金直达工作的通知》</w:t>
      </w:r>
      <w:r>
        <w:rPr>
          <w:rFonts w:hint="eastAsia" w:ascii="Times New Roman" w:hAnsi="Times New Roman" w:eastAsia="方正仿宋_GBK" w:cs="Times New Roman"/>
          <w:color w:val="auto"/>
          <w:sz w:val="30"/>
          <w:szCs w:val="30"/>
          <w:u w:val="none"/>
          <w:lang w:val="en-US" w:bidi="zh-CN"/>
        </w:rPr>
        <w:t>（</w:t>
      </w:r>
      <w:r>
        <w:rPr>
          <w:rFonts w:hint="default" w:ascii="Times New Roman" w:hAnsi="Times New Roman" w:eastAsia="方正仿宋_GBK" w:cs="Times New Roman"/>
          <w:color w:val="auto"/>
          <w:sz w:val="30"/>
          <w:szCs w:val="30"/>
          <w:u w:val="none"/>
          <w:lang w:val="en-US" w:bidi="zh-CN"/>
        </w:rPr>
        <w:t>财预</w:t>
      </w:r>
      <w:r>
        <w:rPr>
          <w:rFonts w:hint="default" w:ascii="Times New Roman" w:hAnsi="Times New Roman" w:eastAsia="仿宋" w:cs="Times New Roman"/>
          <w:color w:val="000000"/>
          <w:kern w:val="0"/>
          <w:sz w:val="30"/>
          <w:szCs w:val="30"/>
          <w:lang w:val="en-US" w:eastAsia="zh-CN" w:bidi="ar"/>
        </w:rPr>
        <w:t>〔2021〕165号</w:t>
      </w:r>
      <w:r>
        <w:rPr>
          <w:rFonts w:hint="eastAsia" w:ascii="Times New Roman" w:hAnsi="Times New Roman" w:cs="Times New Roman"/>
          <w:color w:val="000000"/>
          <w:kern w:val="0"/>
          <w:sz w:val="30"/>
          <w:szCs w:val="30"/>
          <w:lang w:val="en-US" w:eastAsia="zh-CN" w:bidi="ar"/>
        </w:rPr>
        <w:t>）、</w:t>
      </w:r>
      <w:r>
        <w:rPr>
          <w:rFonts w:hint="default" w:ascii="Times New Roman" w:hAnsi="Times New Roman" w:eastAsia="方正仿宋_GBK" w:cs="Times New Roman"/>
          <w:color w:val="auto"/>
          <w:sz w:val="30"/>
          <w:szCs w:val="30"/>
          <w:u w:val="none"/>
          <w:lang w:val="en-US" w:bidi="zh-CN"/>
        </w:rPr>
        <w:t>《财政部 国家卫生健康委关于提前下达2022年基本公共卫生服务补助资金预算</w:t>
      </w:r>
      <w:r>
        <w:rPr>
          <w:rFonts w:hint="default" w:ascii="Times New Roman" w:hAnsi="Times New Roman" w:eastAsia="仿宋" w:cs="Times New Roman"/>
          <w:color w:val="000000"/>
          <w:kern w:val="0"/>
          <w:sz w:val="30"/>
          <w:szCs w:val="30"/>
          <w:lang w:val="en-US" w:eastAsia="zh-CN" w:bidi="ar"/>
        </w:rPr>
        <w:t>的通知》</w:t>
      </w:r>
      <w:r>
        <w:rPr>
          <w:rFonts w:hint="eastAsia" w:ascii="Times New Roman" w:hAnsi="Times New Roman" w:cs="Times New Roman"/>
          <w:color w:val="000000"/>
          <w:kern w:val="0"/>
          <w:sz w:val="30"/>
          <w:szCs w:val="30"/>
          <w:lang w:val="en-US" w:eastAsia="zh-CN" w:bidi="ar"/>
        </w:rPr>
        <w:t>（</w:t>
      </w:r>
      <w:r>
        <w:rPr>
          <w:rFonts w:hint="default" w:ascii="Times New Roman" w:hAnsi="Times New Roman" w:eastAsia="仿宋" w:cs="Times New Roman"/>
          <w:color w:val="000000"/>
          <w:kern w:val="0"/>
          <w:sz w:val="30"/>
          <w:szCs w:val="30"/>
          <w:lang w:val="en-US" w:eastAsia="zh-CN" w:bidi="ar"/>
        </w:rPr>
        <w:t>财社〔2021〕168号</w:t>
      </w:r>
      <w:r>
        <w:rPr>
          <w:rFonts w:hint="eastAsia" w:ascii="Times New Roman" w:hAnsi="Times New Roman" w:cs="Times New Roman"/>
          <w:color w:val="000000"/>
          <w:kern w:val="0"/>
          <w:sz w:val="30"/>
          <w:szCs w:val="30"/>
          <w:lang w:val="en-US" w:eastAsia="zh-CN" w:bidi="ar"/>
        </w:rPr>
        <w:t>）</w:t>
      </w:r>
      <w:r>
        <w:rPr>
          <w:rFonts w:hint="default" w:ascii="Times New Roman" w:hAnsi="Times New Roman" w:eastAsia="仿宋" w:cs="Times New Roman"/>
          <w:color w:val="000000"/>
          <w:kern w:val="0"/>
          <w:sz w:val="30"/>
          <w:szCs w:val="30"/>
          <w:lang w:val="en-US" w:eastAsia="zh-CN" w:bidi="ar"/>
        </w:rPr>
        <w:t>和《财政部办公厅关于卫生健康领域有关直达资金备案审核的意见》</w:t>
      </w:r>
      <w:r>
        <w:rPr>
          <w:rFonts w:hint="eastAsia" w:ascii="Times New Roman" w:hAnsi="Times New Roman" w:cs="Times New Roman"/>
          <w:color w:val="000000"/>
          <w:kern w:val="0"/>
          <w:sz w:val="30"/>
          <w:szCs w:val="30"/>
          <w:lang w:val="en-US" w:eastAsia="zh-CN" w:bidi="ar"/>
        </w:rPr>
        <w:t>（</w:t>
      </w:r>
      <w:r>
        <w:rPr>
          <w:rFonts w:hint="default" w:ascii="Times New Roman" w:hAnsi="Times New Roman" w:eastAsia="仿宋" w:cs="Times New Roman"/>
          <w:color w:val="000000"/>
          <w:kern w:val="0"/>
          <w:sz w:val="30"/>
          <w:szCs w:val="30"/>
          <w:lang w:val="en-US" w:eastAsia="zh-CN" w:bidi="ar"/>
        </w:rPr>
        <w:t>财办社〔2021〕62号</w:t>
      </w:r>
      <w:r>
        <w:rPr>
          <w:rFonts w:hint="eastAsia" w:ascii="Times New Roman" w:hAnsi="Times New Roman" w:cs="Times New Roman"/>
          <w:color w:val="000000"/>
          <w:kern w:val="0"/>
          <w:sz w:val="30"/>
          <w:szCs w:val="30"/>
          <w:lang w:val="en-US" w:eastAsia="zh-CN" w:bidi="ar"/>
        </w:rPr>
        <w:t>）</w:t>
      </w:r>
      <w:r>
        <w:rPr>
          <w:rFonts w:hint="default" w:ascii="Times New Roman" w:hAnsi="Times New Roman" w:eastAsia="仿宋" w:cs="Times New Roman"/>
          <w:color w:val="000000"/>
          <w:kern w:val="0"/>
          <w:sz w:val="30"/>
          <w:szCs w:val="30"/>
          <w:lang w:val="en-US" w:eastAsia="zh-CN" w:bidi="ar"/>
        </w:rPr>
        <w:t>，经研究，提前下达基本公共</w:t>
      </w:r>
      <w:r>
        <w:rPr>
          <w:rFonts w:hint="default" w:ascii="Times New Roman" w:hAnsi="Times New Roman" w:eastAsia="方正仿宋_GBK" w:cs="Times New Roman"/>
          <w:color w:val="auto"/>
          <w:sz w:val="30"/>
          <w:szCs w:val="30"/>
          <w:u w:val="none"/>
          <w:lang w:val="en-US" w:bidi="zh-CN"/>
        </w:rPr>
        <w:t>卫生补助资金，并明确资金使用方向。</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sz w:val="30"/>
          <w:szCs w:val="30"/>
          <w:u w:val="none"/>
          <w:lang w:val="en-US" w:bidi="zh-CN"/>
        </w:rPr>
      </w:pPr>
      <w:r>
        <w:rPr>
          <w:rFonts w:hint="eastAsia" w:ascii="Times New Roman" w:hAnsi="Times New Roman" w:eastAsia="方正仿宋_GBK" w:cs="Times New Roman"/>
          <w:color w:val="auto"/>
          <w:sz w:val="30"/>
          <w:szCs w:val="30"/>
          <w:u w:val="none"/>
          <w:lang w:val="en-US" w:bidi="zh-CN"/>
        </w:rPr>
        <w:t>本项资金预算用于开展健康教育、预防接种、重点人群健康管理等基本公共卫生服务项目，以及按照《自治区人民政府办公厅关于印发宁夏回族自治区医疗卫生领域财政事权和支出责任划分改革实施方案的通知》（宁政办</w:t>
      </w:r>
      <w:r>
        <w:rPr>
          <w:rFonts w:hint="eastAsia" w:ascii="Times New Roman" w:hAnsi="Times New Roman" w:eastAsia="仿宋" w:cs="Times New Roman"/>
          <w:color w:val="000000"/>
          <w:kern w:val="0"/>
          <w:sz w:val="30"/>
          <w:szCs w:val="30"/>
          <w:lang w:val="en-US" w:eastAsia="zh-CN" w:bidi="ar"/>
        </w:rPr>
        <w:t>发</w:t>
      </w:r>
      <w:r>
        <w:rPr>
          <w:rFonts w:hint="default" w:ascii="Times New Roman" w:hAnsi="Times New Roman" w:eastAsia="仿宋" w:cs="Times New Roman"/>
          <w:color w:val="000000"/>
          <w:kern w:val="0"/>
          <w:sz w:val="30"/>
          <w:szCs w:val="30"/>
          <w:lang w:val="en-US" w:eastAsia="zh-CN" w:bidi="ar"/>
        </w:rPr>
        <w:t>〔20</w:t>
      </w:r>
      <w:r>
        <w:rPr>
          <w:rFonts w:hint="eastAsia" w:ascii="Times New Roman" w:hAnsi="Times New Roman" w:eastAsia="仿宋" w:cs="Times New Roman"/>
          <w:color w:val="000000"/>
          <w:kern w:val="0"/>
          <w:sz w:val="30"/>
          <w:szCs w:val="30"/>
          <w:lang w:val="en-US" w:eastAsia="zh-CN" w:bidi="ar"/>
        </w:rPr>
        <w:t>18</w:t>
      </w:r>
      <w:r>
        <w:rPr>
          <w:rFonts w:hint="default" w:ascii="Times New Roman" w:hAnsi="Times New Roman" w:eastAsia="仿宋" w:cs="Times New Roman"/>
          <w:color w:val="000000"/>
          <w:kern w:val="0"/>
          <w:sz w:val="30"/>
          <w:szCs w:val="30"/>
          <w:lang w:val="en-US" w:eastAsia="zh-CN" w:bidi="ar"/>
        </w:rPr>
        <w:t>〕</w:t>
      </w:r>
      <w:r>
        <w:rPr>
          <w:rFonts w:hint="eastAsia" w:ascii="Times New Roman" w:hAnsi="Times New Roman" w:eastAsia="仿宋" w:cs="Times New Roman"/>
          <w:color w:val="000000"/>
          <w:kern w:val="0"/>
          <w:sz w:val="30"/>
          <w:szCs w:val="30"/>
          <w:lang w:val="en-US" w:eastAsia="zh-CN" w:bidi="ar"/>
        </w:rPr>
        <w:t>128 号</w:t>
      </w:r>
      <w:r>
        <w:rPr>
          <w:rFonts w:hint="eastAsia" w:ascii="Times New Roman" w:hAnsi="Times New Roman" w:cs="Times New Roman"/>
          <w:color w:val="000000"/>
          <w:kern w:val="0"/>
          <w:sz w:val="30"/>
          <w:szCs w:val="30"/>
          <w:lang w:val="en-US" w:eastAsia="zh-CN" w:bidi="ar"/>
        </w:rPr>
        <w:t>）</w:t>
      </w:r>
      <w:r>
        <w:rPr>
          <w:rFonts w:hint="eastAsia" w:ascii="Times New Roman" w:hAnsi="Times New Roman" w:eastAsia="仿宋" w:cs="Times New Roman"/>
          <w:color w:val="000000"/>
          <w:kern w:val="0"/>
          <w:sz w:val="30"/>
          <w:szCs w:val="30"/>
          <w:lang w:val="en-US" w:eastAsia="zh-CN" w:bidi="ar"/>
        </w:rPr>
        <w:t>要</w:t>
      </w:r>
      <w:r>
        <w:rPr>
          <w:rFonts w:hint="eastAsia" w:ascii="Times New Roman" w:hAnsi="Times New Roman" w:eastAsia="方正仿宋_GBK" w:cs="Times New Roman"/>
          <w:color w:val="auto"/>
          <w:sz w:val="30"/>
          <w:szCs w:val="30"/>
          <w:u w:val="none"/>
          <w:lang w:val="en-US" w:bidi="zh-CN"/>
        </w:rPr>
        <w:t>求，从原重大公共卫生服务和计划生育服务项目中划入的妇幼卫生、老年健康服务、医养结合、卫生应急和孕前检查等方面。</w:t>
      </w:r>
      <w:r>
        <w:rPr>
          <w:rFonts w:hint="default" w:ascii="Times New Roman" w:hAnsi="Times New Roman" w:eastAsia="方正仿宋_GBK" w:cs="Times New Roman"/>
          <w:b w:val="0"/>
          <w:spacing w:val="-3"/>
          <w:kern w:val="2"/>
          <w:sz w:val="30"/>
          <w:szCs w:val="30"/>
          <w:lang w:val="en-US" w:eastAsia="zh-CN" w:bidi="ar-SA"/>
        </w:rPr>
        <w:t>本项满分 4 分，评价得分 4 分</w:t>
      </w:r>
      <w:r>
        <w:rPr>
          <w:rFonts w:hint="eastAsia" w:ascii="Times New Roman" w:hAnsi="Times New Roman" w:eastAsia="方正仿宋_GBK" w:cs="Times New Roman"/>
          <w:b w:val="0"/>
          <w:spacing w:val="-3"/>
          <w:kern w:val="2"/>
          <w:sz w:val="30"/>
          <w:szCs w:val="30"/>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sz w:val="30"/>
          <w:szCs w:val="30"/>
          <w:u w:val="none"/>
          <w:lang w:val="en-US" w:bidi="zh-CN"/>
        </w:rPr>
        <w:t>2021年12月18日，</w:t>
      </w:r>
      <w:r>
        <w:rPr>
          <w:rFonts w:hint="default" w:ascii="Times New Roman" w:hAnsi="Times New Roman" w:eastAsia="方正仿宋_GBK" w:cs="Times New Roman"/>
          <w:color w:val="auto"/>
          <w:sz w:val="30"/>
          <w:szCs w:val="30"/>
          <w:u w:val="none"/>
          <w:lang w:val="zh-CN" w:bidi="zh-CN"/>
        </w:rPr>
        <w:t>根据</w:t>
      </w:r>
      <w:r>
        <w:rPr>
          <w:rFonts w:hint="default" w:ascii="Times New Roman" w:hAnsi="Times New Roman" w:eastAsia="方正仿宋_GBK" w:cs="Times New Roman"/>
          <w:color w:val="auto"/>
          <w:sz w:val="30"/>
          <w:szCs w:val="30"/>
          <w:u w:val="none"/>
          <w:lang w:val="zh-CN" w:eastAsia="zh-CN" w:bidi="zh-CN"/>
        </w:rPr>
        <w:t>《自治区财政厅卫生健康委关于提前下达2022年基本公共卫生服务补助资金预算的通知》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1</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685</w:t>
      </w:r>
      <w:r>
        <w:rPr>
          <w:rFonts w:hint="default" w:ascii="Times New Roman" w:hAnsi="Times New Roman" w:eastAsia="方正仿宋_GBK" w:cs="Times New Roman"/>
          <w:color w:val="auto"/>
          <w:sz w:val="30"/>
          <w:szCs w:val="30"/>
          <w:u w:val="none"/>
          <w:lang w:val="zh-CN" w:bidi="zh-CN"/>
        </w:rPr>
        <w:t>号）</w:t>
      </w:r>
      <w:r>
        <w:rPr>
          <w:rFonts w:hint="default" w:ascii="Times New Roman" w:hAnsi="Times New Roman" w:eastAsia="方正仿宋_GBK" w:cs="Times New Roman"/>
          <w:color w:val="auto"/>
          <w:sz w:val="30"/>
          <w:szCs w:val="30"/>
          <w:u w:val="none"/>
          <w:lang w:val="zh-CN" w:eastAsia="zh-CN" w:bidi="zh-CN"/>
        </w:rPr>
        <w:t>、《自治区财政厅 卫生健康委关于下达2022年</w:t>
      </w:r>
      <w:r>
        <w:rPr>
          <w:rFonts w:hint="eastAsia" w:ascii="Times New Roman" w:hAnsi="Times New Roman" w:eastAsia="方正仿宋_GBK" w:cs="Times New Roman"/>
          <w:color w:val="auto"/>
          <w:sz w:val="30"/>
          <w:szCs w:val="30"/>
          <w:u w:val="none"/>
          <w:lang w:val="en-US" w:eastAsia="zh-CN" w:bidi="zh-CN"/>
        </w:rPr>
        <w:t>基本公共卫生服务补助资金预</w:t>
      </w:r>
      <w:r>
        <w:rPr>
          <w:rFonts w:hint="default" w:ascii="Times New Roman" w:hAnsi="Times New Roman" w:eastAsia="方正仿宋_GBK" w:cs="Times New Roman"/>
          <w:color w:val="auto"/>
          <w:sz w:val="30"/>
          <w:szCs w:val="30"/>
          <w:u w:val="none"/>
          <w:lang w:val="zh-CN" w:eastAsia="zh-CN" w:bidi="zh-CN"/>
        </w:rPr>
        <w:t>算的通知》</w:t>
      </w:r>
      <w:r>
        <w:rPr>
          <w:rFonts w:hint="default" w:ascii="Times New Roman" w:hAnsi="Times New Roman" w:eastAsia="方正仿宋_GBK" w:cs="Times New Roman"/>
          <w:color w:val="auto"/>
          <w:sz w:val="30"/>
          <w:szCs w:val="30"/>
          <w:u w:val="none"/>
          <w:lang w:val="zh-CN" w:bidi="zh-CN"/>
        </w:rPr>
        <w:t>（</w:t>
      </w:r>
      <w:r>
        <w:rPr>
          <w:rFonts w:hint="default" w:ascii="Times New Roman" w:hAnsi="Times New Roman" w:eastAsia="方正仿宋_GBK" w:cs="Times New Roman"/>
          <w:color w:val="auto"/>
          <w:sz w:val="30"/>
          <w:szCs w:val="30"/>
          <w:u w:val="none"/>
          <w:lang w:val="zh-CN" w:eastAsia="zh-CN" w:bidi="zh-CN"/>
        </w:rPr>
        <w:t>宁财（社）指标</w:t>
      </w:r>
      <w:r>
        <w:rPr>
          <w:rFonts w:hint="default" w:ascii="Times New Roman" w:hAnsi="Times New Roman" w:eastAsia="方正仿宋_GBK" w:cs="Times New Roman"/>
          <w:color w:val="auto"/>
          <w:kern w:val="2"/>
          <w:sz w:val="30"/>
          <w:szCs w:val="30"/>
          <w:u w:val="none"/>
          <w:lang w:val="zh-CN" w:bidi="zh-CN"/>
        </w:rPr>
        <w:t>〔202</w:t>
      </w:r>
      <w:r>
        <w:rPr>
          <w:rFonts w:hint="eastAsia" w:ascii="Times New Roman" w:hAnsi="Times New Roman" w:eastAsia="方正仿宋_GBK" w:cs="Times New Roman"/>
          <w:color w:val="auto"/>
          <w:kern w:val="2"/>
          <w:sz w:val="30"/>
          <w:szCs w:val="30"/>
          <w:u w:val="none"/>
          <w:lang w:val="en-US" w:bidi="zh-CN"/>
        </w:rPr>
        <w:t>2</w:t>
      </w:r>
      <w:r>
        <w:rPr>
          <w:rFonts w:hint="default" w:ascii="Times New Roman" w:hAnsi="Times New Roman" w:eastAsia="方正仿宋_GBK" w:cs="Times New Roman"/>
          <w:color w:val="auto"/>
          <w:kern w:val="2"/>
          <w:sz w:val="30"/>
          <w:szCs w:val="30"/>
          <w:u w:val="none"/>
          <w:lang w:val="zh-CN" w:bidi="zh-CN"/>
        </w:rPr>
        <w:t>〕</w:t>
      </w:r>
      <w:r>
        <w:rPr>
          <w:rFonts w:hint="eastAsia" w:ascii="Times New Roman" w:hAnsi="Times New Roman" w:eastAsia="方正仿宋_GBK" w:cs="Times New Roman"/>
          <w:color w:val="auto"/>
          <w:kern w:val="2"/>
          <w:sz w:val="30"/>
          <w:szCs w:val="30"/>
          <w:u w:val="none"/>
          <w:lang w:val="en-US" w:bidi="zh-CN"/>
        </w:rPr>
        <w:t>274</w:t>
      </w:r>
      <w:r>
        <w:rPr>
          <w:rFonts w:hint="default" w:ascii="Times New Roman" w:hAnsi="Times New Roman" w:eastAsia="方正仿宋_GBK" w:cs="Times New Roman"/>
          <w:color w:val="auto"/>
          <w:sz w:val="30"/>
          <w:szCs w:val="30"/>
          <w:u w:val="none"/>
          <w:lang w:val="zh-CN" w:bidi="zh-CN"/>
        </w:rPr>
        <w:t>号）</w:t>
      </w:r>
      <w:r>
        <w:rPr>
          <w:rFonts w:hint="default" w:ascii="Times New Roman" w:hAnsi="Times New Roman" w:eastAsia="方正仿宋_GBK" w:cs="Times New Roman"/>
          <w:color w:val="auto"/>
          <w:sz w:val="30"/>
          <w:szCs w:val="30"/>
          <w:lang w:val="zh-CN" w:bidi="zh-CN"/>
        </w:rPr>
        <w:t>文件</w:t>
      </w:r>
      <w:r>
        <w:rPr>
          <w:rFonts w:hint="eastAsia" w:ascii="Times New Roman" w:hAnsi="Times New Roman" w:eastAsia="方正仿宋_GBK" w:cs="Times New Roman"/>
          <w:color w:val="auto"/>
          <w:sz w:val="30"/>
          <w:szCs w:val="30"/>
          <w:lang w:val="en-US" w:bidi="zh-CN"/>
        </w:rPr>
        <w:t>下达同心县卫生健康局2022年基本公共卫生服务项目预算资金2582.00</w:t>
      </w:r>
      <w:r>
        <w:rPr>
          <w:rFonts w:hint="default" w:ascii="Times New Roman" w:hAnsi="Times New Roman" w:eastAsia="方正仿宋_GBK" w:cs="Times New Roman"/>
          <w:color w:val="auto"/>
          <w:sz w:val="30"/>
          <w:szCs w:val="30"/>
          <w:lang w:val="zh-CN" w:bidi="zh-CN"/>
        </w:rPr>
        <w:t>万</w:t>
      </w:r>
      <w:r>
        <w:rPr>
          <w:rFonts w:hint="default" w:ascii="Times New Roman" w:hAnsi="Times New Roman" w:eastAsia="方正仿宋_GBK" w:cs="Times New Roman"/>
          <w:sz w:val="30"/>
          <w:szCs w:val="30"/>
        </w:rPr>
        <w:t>元</w:t>
      </w:r>
      <w:r>
        <w:rPr>
          <w:rFonts w:hint="default" w:ascii="Times New Roman" w:hAnsi="Times New Roman" w:eastAsia="方正仿宋_GBK" w:cs="Times New Roman"/>
          <w:b w:val="0"/>
          <w:spacing w:val="-3"/>
          <w:kern w:val="2"/>
          <w:sz w:val="30"/>
          <w:szCs w:val="30"/>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分，根据评分标准得 </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 分。</w:t>
      </w:r>
    </w:p>
    <w:p>
      <w:pPr>
        <w:pStyle w:val="4"/>
        <w:bidi w:val="0"/>
        <w:rPr>
          <w:rFonts w:hint="eastAsia"/>
          <w:lang w:val="en-US" w:eastAsia="zh-CN"/>
        </w:rPr>
      </w:pPr>
      <w:bookmarkStart w:id="132" w:name="_Toc11595"/>
      <w:bookmarkStart w:id="133" w:name="_Toc23620"/>
      <w:r>
        <w:rPr>
          <w:rFonts w:hint="eastAsia"/>
          <w:lang w:val="en-US" w:eastAsia="zh-CN"/>
        </w:rPr>
        <w:t>（二）项目过程情况分析</w:t>
      </w:r>
      <w:bookmarkEnd w:id="132"/>
      <w:bookmarkEnd w:id="133"/>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default" w:ascii="方正楷体_GBK" w:hAnsi="方正楷体_GBK" w:eastAsia="方正楷体_GBK" w:cs="方正楷体_GBK"/>
          <w:b/>
          <w:kern w:val="2"/>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eastAsia" w:ascii="方正楷体_GBK" w:hAnsi="方正楷体_GBK" w:eastAsia="方正楷体_GBK" w:cs="方正楷体_GBK"/>
          <w:b/>
          <w:kern w:val="2"/>
          <w:sz w:val="30"/>
          <w:szCs w:val="30"/>
          <w:lang w:val="en-US" w:eastAsia="zh-CN" w:bidi="ar-SA"/>
        </w:rPr>
        <w:t>金管理方面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default" w:ascii="Times New Roman" w:hAnsi="Times New Roman" w:eastAsia="方正仿宋_GBK" w:cs="Times New Roman"/>
          <w:b/>
          <w:bCs/>
          <w:color w:val="auto"/>
          <w:kern w:val="2"/>
          <w:sz w:val="30"/>
          <w:szCs w:val="30"/>
          <w:highlight w:val="none"/>
          <w:lang w:val="en-US" w:eastAsia="zh-CN" w:bidi="ar-SA"/>
        </w:rPr>
        <w:t>金到位率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截至目前，实际到位资金2582.00万元，资金到位率100%</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项目预算安排为2582.00万元，经绩效评价小组对预算单位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，截至目前，预算执行金额为：2582.00万元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default" w:ascii="Times New Roman" w:hAnsi="Times New Roman" w:eastAsia="方正仿宋_GBK" w:cs="Times New Roman"/>
          <w:b/>
          <w:bCs/>
          <w:color w:val="auto"/>
          <w:kern w:val="2"/>
          <w:sz w:val="30"/>
          <w:szCs w:val="30"/>
          <w:highlight w:val="none"/>
          <w:lang w:val="en-US" w:eastAsia="zh-CN" w:bidi="ar-SA"/>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同心县卫生健康局、</w:t>
      </w:r>
      <w:r>
        <w:rPr>
          <w:rFonts w:hint="eastAsia" w:ascii="Times New Roman" w:hAnsi="Times New Roman" w:eastAsia="方正仿宋_GBK" w:cs="Times New Roman"/>
          <w:sz w:val="30"/>
          <w:szCs w:val="30"/>
          <w:u w:val="none"/>
          <w:lang w:eastAsia="zh-CN"/>
        </w:rPr>
        <w:t>县疾病预防控制中心、县妇幼保健计划生育服务中心、县卫生监督执法所、乡镇卫生院和社区卫生服务中心</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管理制度健全性</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bidi="zh-CN"/>
        </w:rPr>
        <w:t>同心县卫生健康局</w:t>
      </w:r>
      <w:r>
        <w:rPr>
          <w:rFonts w:hint="default" w:ascii="Times New Roman" w:hAnsi="Times New Roman" w:eastAsia="方正仿宋_GBK" w:cs="Times New Roman"/>
          <w:spacing w:val="0"/>
          <w:kern w:val="0"/>
          <w:sz w:val="30"/>
          <w:szCs w:val="30"/>
          <w:lang w:val="en-US" w:bidi="zh-CN"/>
        </w:rPr>
        <w:t>印发</w:t>
      </w:r>
      <w:r>
        <w:rPr>
          <w:rFonts w:hint="eastAsia" w:ascii="Times New Roman" w:hAnsi="Times New Roman" w:eastAsia="方正仿宋_GBK" w:cs="Times New Roman"/>
          <w:spacing w:val="0"/>
          <w:kern w:val="0"/>
          <w:sz w:val="30"/>
          <w:szCs w:val="30"/>
          <w:lang w:val="en-US" w:bidi="zh-CN"/>
        </w:rPr>
        <w:t>《同心县2022年基本公共卫生服务项目实施方案》《同心县2022年基本公共卫生服务项目绩效考核方案》以及</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《财务管理制度》，其中包括预算管理、采购管理、结算管理、资产管理等的具体管理办法，</w:t>
      </w:r>
      <w:r>
        <w:rPr>
          <w:rFonts w:hint="default" w:ascii="Times New Roman" w:hAnsi="Times New Roman" w:eastAsia="方正仿宋_GBK" w:cs="Times New Roman"/>
        </w:rPr>
        <w:t>并且遵照《中华人民共和国预算法</w:t>
      </w:r>
      <w:r>
        <w:rPr>
          <w:rFonts w:hint="eastAsia" w:ascii="Times New Roman" w:hAnsi="Times New Roman" w:eastAsia="方正仿宋_GBK" w:cs="Times New Roman"/>
          <w:lang w:eastAsia="zh-CN"/>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r>
        <w:rPr>
          <w:rFonts w:hint="default" w:ascii="Times New Roman" w:hAnsi="Times New Roman" w:eastAsia="方正仿宋_GBK" w:cs="Times New Roman"/>
        </w:rPr>
        <w:t>、</w:t>
      </w:r>
      <w:r>
        <w:rPr>
          <w:rFonts w:hint="default" w:ascii="Times New Roman" w:hAnsi="Times New Roman" w:eastAsia="方正仿宋_GBK" w:cs="Times New Roman"/>
          <w:b w:val="0"/>
          <w:bCs w:val="0"/>
          <w:kern w:val="0"/>
          <w:sz w:val="30"/>
          <w:szCs w:val="30"/>
          <w:lang w:val="en-US" w:eastAsia="zh-CN" w:bidi="zh-CN"/>
        </w:rPr>
        <w:t>《自治区党委 人民政府关于全面实施预算绩效管理的实施意见》（宁党发</w:t>
      </w:r>
      <w:r>
        <w:rPr>
          <w:rFonts w:hint="default" w:ascii="Times New Roman" w:hAnsi="Times New Roman" w:eastAsia="仿宋" w:cs="Times New Roman"/>
          <w:b w:val="0"/>
          <w:bCs w:val="0"/>
          <w:kern w:val="0"/>
          <w:sz w:val="30"/>
          <w:szCs w:val="30"/>
          <w:lang w:val="en-US" w:eastAsia="zh-CN" w:bidi="zh-CN"/>
        </w:rPr>
        <w:t>〔2019〕9</w:t>
      </w:r>
      <w:r>
        <w:rPr>
          <w:rFonts w:hint="default" w:ascii="Times New Roman" w:hAnsi="Times New Roman" w:eastAsia="方正仿宋_GBK" w:cs="Times New Roman"/>
          <w:b w:val="0"/>
          <w:bCs w:val="0"/>
          <w:kern w:val="0"/>
          <w:sz w:val="30"/>
          <w:szCs w:val="30"/>
          <w:lang w:val="en-US" w:eastAsia="zh-CN" w:bidi="zh-CN"/>
        </w:rPr>
        <w:t>号）</w:t>
      </w:r>
      <w:r>
        <w:rPr>
          <w:rFonts w:hint="default" w:ascii="Times New Roman" w:hAnsi="Times New Roman" w:eastAsia="方正仿宋_GBK" w:cs="Times New Roman"/>
        </w:rPr>
        <w:t>等文件的规定，对项目实施进行监管，财务和业务管理制度合法、合规、完整</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该指标本项满分 4分，评价得分4分。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（2）制度执行有效性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 xml:space="preserve"> </w:t>
      </w:r>
      <w:r>
        <w:rPr>
          <w:rFonts w:hint="eastAsia" w:ascii="Times New Roman" w:hAnsi="Times New Roman" w:eastAsia="方正仿宋_GBK" w:cs="Times New Roman"/>
          <w:spacing w:val="0"/>
          <w:kern w:val="0"/>
          <w:sz w:val="30"/>
          <w:szCs w:val="30"/>
          <w:lang w:val="en-US" w:bidi="zh-CN"/>
        </w:rPr>
        <w:t>同心县卫生健康局</w:t>
      </w:r>
      <w:r>
        <w:rPr>
          <w:rFonts w:hint="eastAsia" w:ascii="Times New Roman" w:hAnsi="Times New Roman" w:eastAsia="方正仿宋_GBK" w:cs="Times New Roman"/>
          <w:spacing w:val="0"/>
          <w:kern w:val="0"/>
          <w:sz w:val="30"/>
          <w:szCs w:val="30"/>
          <w:lang w:val="en-US" w:eastAsia="zh-CN" w:bidi="zh-CN"/>
        </w:rPr>
        <w:t>在同心县卫生健康局基本公共卫生服务项目的实施过程中支出管理、预算管理遵守相关法律法规、相关管理规定和财务管理制度。</w:t>
      </w:r>
      <w:r>
        <w:rPr>
          <w:rFonts w:hint="eastAsia" w:ascii="Times New Roman" w:hAnsi="Times New Roman" w:eastAsia="方正仿宋_GBK" w:cs="Times New Roman"/>
          <w:sz w:val="30"/>
          <w:szCs w:val="30"/>
          <w:lang w:val="en-US" w:eastAsia="zh-CN"/>
        </w:rPr>
        <w:t>该指标本项满分 4分，评价得分4分。</w:t>
      </w:r>
    </w:p>
    <w:p>
      <w:pPr>
        <w:pStyle w:val="4"/>
        <w:numPr>
          <w:ilvl w:val="0"/>
          <w:numId w:val="3"/>
        </w:numPr>
        <w:bidi w:val="0"/>
        <w:rPr>
          <w:rFonts w:hint="eastAsia"/>
          <w:lang w:eastAsia="zh-CN"/>
        </w:rPr>
      </w:pPr>
      <w:bookmarkStart w:id="134" w:name="_Toc28407"/>
      <w:bookmarkStart w:id="135" w:name="_Toc14428"/>
      <w:r>
        <w:rPr>
          <w:rFonts w:hint="eastAsia"/>
        </w:rPr>
        <w:t>项目</w:t>
      </w:r>
      <w:r>
        <w:rPr>
          <w:rFonts w:hint="eastAsia"/>
          <w:lang w:eastAsia="zh-CN"/>
        </w:rPr>
        <w:t>产出</w:t>
      </w:r>
      <w:r>
        <w:rPr>
          <w:rFonts w:hint="eastAsia"/>
        </w:rPr>
        <w:t>情况</w:t>
      </w:r>
      <w:r>
        <w:rPr>
          <w:rFonts w:hint="eastAsia"/>
          <w:lang w:eastAsia="zh-CN"/>
        </w:rPr>
        <w:t>分析</w:t>
      </w:r>
      <w:bookmarkEnd w:id="134"/>
      <w:bookmarkEnd w:id="135"/>
    </w:p>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本项指标共设2个二级指标、22个三级指标，权重分值40分，评价得分30分，得分率75.00%。具体评价指标分析如下：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产出数量方面</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（1）居民健康档案管理</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全县累计建立城乡居民电子健康档案29.03万份，电子建档率为90.51%，动态管理的健康档案为21.06万份，动态管理率65.66%。</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（2）健康教育</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各实施单位举办健康知识讲座 185 场次、受益群众 10 万余人次，设置健康教育宣传栏 235 个，举办健康教育咨询活动130 次，咨询人数达 5 万余人次，健康同心微信公众号发送各类健康知识 350 余篇，制作播放宣传短视频 8部，利用电子屏播放公益广告 15 部，受教育群众达 15 万余人次。</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（3）预防接种</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全县冷链运转 12 轮次，累计接种国家免疫规划疫苗118493 剂次，报告接种率均达到 98%以上，共监测到预防接种异常反应 38 例，均为一般反应。全县预防接种个案基本信息完整性和接种信息完整性均达到 99%以上。</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（4）儿童健康管理</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7岁以下儿童数32155人，健康管理人数29843人，健康管理率达92.81%，3岁以下儿童数14220人，系统管理13709人，系统管理率为96.41%。5岁以下儿童死亡20人，死亡率5.0‰，婴儿死亡11人，婴儿死亡率2.75‰。</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（5）孕产妇健康管理</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产妇3963人，活产3995人，住院分娩3995人，住院分娩率100%，孕产妇系统管理3872人，系统管理率96.62%，产后访视3959人，产后访视率99.10%，高危孕产妇2314人，高危管理率100%，早孕建卡3876人，早孕建卡率97.02%，产前检查3963人，产前检查率为100%。</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（6）老年人健康管理</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老年人健康管理任务数 17203 人，老年人健康管理数 17395 人，任务完成率 101.12%，老年人健康管理率 70.77%。</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（7）慢性病患者健康管理</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高血压患者管理任务数 18261 人，已管理高血压患者 21396 人，高血压患者管理任务完成率 117.16%，共抽查高血压患者健康档案 140 份，其中规范管理档案 123 份，规范管理率 87.86%；</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2型糖尿病患者管理任务数 4677 人，已管理 2型糖尿病患者 5615 人2型糖尿病患者管理任务完成率 120.06%，共抽查 2型糖尿病患者电子健康档案 140 份，其中规范管理档案 117 份，规范管理率为 83.57%。</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（8）重性精神疾病及惊厥性癫痫患者管理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严重精神障碍在册患者人数 1485人报告患病率 4.63</w:t>
      </w:r>
      <w:r>
        <w:rPr>
          <w:rFonts w:hint="default" w:ascii="Arial" w:hAnsi="Arial" w:eastAsia="方正仿宋_GBK" w:cs="Arial"/>
          <w:spacing w:val="0"/>
          <w:kern w:val="0"/>
          <w:sz w:val="30"/>
          <w:szCs w:val="30"/>
          <w:lang w:val="en-US" w:eastAsia="zh-CN" w:bidi="zh-CN"/>
        </w:rPr>
        <w:t>‰</w:t>
      </w:r>
      <w:r>
        <w:rPr>
          <w:rFonts w:hint="eastAsia" w:ascii="Times New Roman" w:hAnsi="Times New Roman" w:eastAsia="方正仿宋_GBK" w:cs="Times New Roman"/>
          <w:spacing w:val="0"/>
          <w:kern w:val="0"/>
          <w:sz w:val="30"/>
          <w:szCs w:val="30"/>
          <w:lang w:val="en-US" w:eastAsia="zh-CN" w:bidi="zh-CN"/>
        </w:rPr>
        <w:t>，达到指标要求的 4.2</w:t>
      </w:r>
      <w:r>
        <w:rPr>
          <w:rFonts w:hint="default" w:ascii="Arial" w:hAnsi="Arial" w:eastAsia="方正仿宋_GBK" w:cs="Arial"/>
          <w:spacing w:val="0"/>
          <w:kern w:val="0"/>
          <w:sz w:val="30"/>
          <w:szCs w:val="30"/>
          <w:lang w:val="en-US" w:eastAsia="zh-CN" w:bidi="zh-CN"/>
        </w:rPr>
        <w:t>‰</w:t>
      </w:r>
      <w:r>
        <w:rPr>
          <w:rFonts w:hint="eastAsia" w:ascii="Times New Roman" w:hAnsi="Times New Roman" w:eastAsia="方正仿宋_GBK" w:cs="Times New Roman"/>
          <w:spacing w:val="0"/>
          <w:kern w:val="0"/>
          <w:sz w:val="30"/>
          <w:szCs w:val="30"/>
          <w:lang w:val="en-US" w:eastAsia="zh-CN" w:bidi="zh-CN"/>
        </w:rPr>
        <w:t>，在管患者人数1480 人，管理率 99.66%，达到指标要求的 90%，规范管理人数 1466 人，规范管理率 98.72%，达到指标要求的 90%，在册患者面访人数 1473 人，在册患者面访率 99.19%，达到指标要求 90%，在册患者服药人数 1294 人，在册患者服药率 87.14%，达到指标要求 80%，在册患者规律服药人数 1096人，在册患者规律服药率 73.80%，达到指标要求 70%，在册精神分裂症患者人数 453 人，在册精神分裂症患者服药人数405 人，在册精神分裂症患者服药率 89.40%，达到指标要求80%，在册精神分裂症患者规律服药人数 339 人，规律服药率 74.83%，达到指标要求的 70%，应急处置任务数 15 例完成应急处置 16 例，任务完成率 106.67%；</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87" w:leftChars="186" w:firstLine="0" w:firstLine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癫病患者管理413人，管理率1.29%，达到指标要求的1</w:t>
      </w:r>
      <w:r>
        <w:rPr>
          <w:rFonts w:hint="default" w:ascii="Arial" w:hAnsi="Arial" w:eastAsia="方正仿宋_GBK" w:cs="Arial"/>
          <w:spacing w:val="0"/>
          <w:kern w:val="0"/>
          <w:sz w:val="30"/>
          <w:szCs w:val="30"/>
          <w:lang w:val="en-US" w:eastAsia="zh-CN" w:bidi="zh-CN"/>
        </w:rPr>
        <w:t>‰</w:t>
      </w:r>
      <w:r>
        <w:rPr>
          <w:rFonts w:hint="eastAsia" w:ascii="Arial" w:hAnsi="Arial" w:eastAsia="方正仿宋_GBK" w:cs="Arial"/>
          <w:spacing w:val="0"/>
          <w:kern w:val="0"/>
          <w:sz w:val="30"/>
          <w:szCs w:val="30"/>
          <w:lang w:val="en-US" w:eastAsia="zh-CN" w:bidi="zh-CN"/>
        </w:rPr>
        <w:t>；</w:t>
      </w:r>
      <w:r>
        <w:rPr>
          <w:rFonts w:hint="eastAsia" w:ascii="Times New Roman" w:hAnsi="Times New Roman" w:eastAsia="方正仿宋_GBK" w:cs="Times New Roman"/>
          <w:b/>
          <w:bCs/>
          <w:spacing w:val="0"/>
          <w:kern w:val="0"/>
          <w:sz w:val="30"/>
          <w:szCs w:val="30"/>
          <w:lang w:val="en-US" w:eastAsia="zh-CN" w:bidi="zh-CN"/>
        </w:rPr>
        <w:t>（9）传染病防治及突发公共卫生事件报告和处理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全县各级医疗机构共报告乙、丙类传染病 1299 例，传染病报告发病率为 404.92/10万；确诊治疗肺结核 93 例，规范治疗率 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（10）结核病患者健康管理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确诊治疗肺结核 93 例，规范治疗率 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（11）卫生监督协管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各基层卫生机构共开展卫生巡查 162 次，报送监督协管线索 0条，未发生突发公共卫生事件。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87" w:leftChars="186" w:firstLine="0" w:firstLine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（12）中医药健康管理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接受中医药服务群众2.9万余人次，健康管理未达到项目要求。</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w:t>
      </w:r>
      <w:r>
        <w:rPr>
          <w:rFonts w:hint="default" w:ascii="Times New Roman" w:hAnsi="Times New Roman" w:eastAsia="方正仿宋_GBK" w:cs="Times New Roman"/>
          <w:b/>
          <w:bCs/>
          <w:spacing w:val="-6"/>
          <w:sz w:val="30"/>
          <w:szCs w:val="30"/>
          <w:lang w:val="en-US" w:eastAsia="zh-CN"/>
        </w:rPr>
        <w:t>.</w:t>
      </w:r>
      <w:r>
        <w:rPr>
          <w:rFonts w:hint="eastAsia" w:ascii="方正仿宋_GBK" w:hAnsi="方正仿宋_GBK" w:eastAsia="方正仿宋_GBK" w:cs="方正仿宋_GBK"/>
          <w:b/>
          <w:bCs/>
          <w:spacing w:val="-6"/>
          <w:sz w:val="30"/>
          <w:szCs w:val="30"/>
          <w:lang w:val="en-US" w:eastAsia="zh-CN"/>
        </w:rPr>
        <w:t>产出质量方面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同心县2021年基本公共卫生服务项目绩效考核方案》（同卫健发〔2021〕10号）要求，同心县卫生健康局采取听汇报、查阅资料、现场抽查健康档案、入户或电话核实等形式，对11所乡镇卫生院和1所社区卫生服务中心落实国家基本公共卫生服务项目14类54项工作和家医签约工作完成情况进行了考核。12家单位均达84分的跨栏线，其中 95分以上6家。该指标本项满分5分，评价得分5分。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bookmarkStart w:id="136" w:name="_Toc3734"/>
      <w:bookmarkStart w:id="137" w:name="_Toc13818"/>
      <w:bookmarkStart w:id="138" w:name="_Toc25249"/>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36"/>
    </w:p>
    <w:bookmarkEnd w:id="137"/>
    <w:bookmarkEnd w:id="138"/>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bookmarkStart w:id="139" w:name="_Toc15238"/>
      <w:bookmarkStart w:id="140" w:name="_Toc26427"/>
      <w:r>
        <w:rPr>
          <w:rFonts w:hint="eastAsia" w:ascii="Times New Roman" w:hAnsi="Times New Roman" w:eastAsia="方正仿宋_GBK" w:cs="Times New Roman"/>
          <w:spacing w:val="1"/>
          <w:sz w:val="30"/>
          <w:szCs w:val="30"/>
          <w:lang w:val="en-US" w:eastAsia="zh-CN"/>
        </w:rPr>
        <w:t>本项指标共设3个二级指标、4个三级指标，权重分值20分，评价得分20分，得分率100.00%。具体评价指标分析如下：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1.项目效益方面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通过为城乡居民免费提供14类54项基本公共卫生服务项目使得辖区居民基本公共卫生服务逐步均等化；</w:t>
      </w:r>
      <w:r>
        <w:rPr>
          <w:rFonts w:hint="eastAsia" w:ascii="Times New Roman" w:hAnsi="Times New Roman" w:eastAsia="方正仿宋_GBK" w:cs="Times New Roman"/>
          <w:b/>
          <w:bCs/>
          <w:spacing w:val="0"/>
          <w:kern w:val="0"/>
          <w:sz w:val="30"/>
          <w:szCs w:val="30"/>
          <w:lang w:val="en-US" w:eastAsia="zh-CN" w:bidi="zh-CN"/>
        </w:rPr>
        <w:t>一是</w:t>
      </w:r>
      <w:r>
        <w:rPr>
          <w:rFonts w:hint="eastAsia" w:ascii="Times New Roman" w:hAnsi="Times New Roman" w:eastAsia="方正仿宋_GBK" w:cs="Times New Roman"/>
          <w:spacing w:val="0"/>
          <w:kern w:val="0"/>
          <w:sz w:val="30"/>
          <w:szCs w:val="30"/>
          <w:lang w:val="en-US" w:eastAsia="zh-CN" w:bidi="zh-CN"/>
        </w:rPr>
        <w:t>通过开展健康知识宣传、免费体检、重点人群季度随访使得居民健康意识逐步提高；高血压、糖尿病等慢性疾病患者得到有效管理。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spacing w:val="0"/>
          <w:kern w:val="0"/>
          <w:sz w:val="30"/>
          <w:szCs w:val="30"/>
          <w:lang w:val="en-US" w:eastAsia="zh-CN" w:bidi="zh-CN"/>
        </w:rPr>
        <w:t>为重点人群和特殊人群进行随访和体检，在一定程度上拉动本机构的医疗服务。通过向居民免费发放宣传资料、开展健康咨询、举办讲座等形式的健康教育的宣传，增强了居民健康意识，改变了不良生活方式，逐步树立起自我健康管理的理念；通过预防接种和健康管理，减少主要健康危险因素，预防和控制传染病及慢性病的发生和流行；三是通过突发公共卫生服务事件的处理，提高了公共卫生服务和突发公共卫生服务应急处置能力，建立起维护居民健康的第一道屏障，对于提高居民健康素质有重要促进作用。</w:t>
      </w:r>
      <w:r>
        <w:rPr>
          <w:rFonts w:hint="default" w:ascii="Times New Roman" w:hAnsi="Times New Roman" w:eastAsia="方正仿宋_GBK" w:cs="Times New Roman"/>
          <w:spacing w:val="0"/>
          <w:kern w:val="0"/>
          <w:sz w:val="30"/>
          <w:szCs w:val="30"/>
          <w:lang w:val="en-US" w:eastAsia="zh-CN" w:bidi="zh-CN"/>
        </w:rPr>
        <w:t>该指标本项满分3分，评价得分3分。</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2.可持续影响性方面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按照“要素跟着项目走”的原则，统筹调度、科学安排。明确责任单位，工作职责、人员配置到位，经费安排等要素，为项目的可持续发展提供了可靠保障。</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该项目财政投入逐年提高，为项目实施提供了充分的资金保障；同心县卫生健康局及各乡镇（社区）卫生健康部门通过开展各类培训活动，医务工作人员业务水平逐步提高；通过实施各类居民健康宣传活动，居民健康意识逐步增强，高血压、糖尿病等慢性病健康管理覆盖程度逐步提高。</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val="0"/>
          <w:spacing w:val="0"/>
          <w:kern w:val="0"/>
          <w:sz w:val="30"/>
          <w:szCs w:val="30"/>
          <w:lang w:val="en-US" w:eastAsia="zh-CN" w:bidi="zh-CN"/>
        </w:rPr>
        <w:t>2022年5月5日，同心县卫生健康局、同心县财政局制定印发《同心县2022年基本公共卫生服务项目绩效考核方案》，以规范项目规范开展。</w:t>
      </w:r>
      <w:r>
        <w:rPr>
          <w:rFonts w:hint="default" w:ascii="Times New Roman" w:hAnsi="Times New Roman" w:eastAsia="方正仿宋_GBK" w:cs="Times New Roman"/>
          <w:spacing w:val="0"/>
          <w:kern w:val="0"/>
          <w:sz w:val="30"/>
          <w:szCs w:val="30"/>
          <w:lang w:val="en-US" w:eastAsia="zh-CN" w:bidi="zh-CN"/>
        </w:rPr>
        <w:t>该指标本项满分3分，评价得分3分。</w:t>
      </w:r>
    </w:p>
    <w:p>
      <w:pPr>
        <w:pStyle w:val="4"/>
        <w:keepNext/>
        <w:keepLines/>
        <w:pageBreakBefore w:val="0"/>
        <w:widowControl w:val="0"/>
        <w:kinsoku/>
        <w:wordWrap/>
        <w:overflowPunct w:val="0"/>
        <w:topLinePunct w:val="0"/>
        <w:autoSpaceDE/>
        <w:autoSpaceDN/>
        <w:bidi w:val="0"/>
        <w:adjustRightInd/>
        <w:snapToGrid/>
        <w:spacing w:beforeLines="0" w:afterLines="0"/>
        <w:ind w:left="0" w:leftChars="0" w:firstLine="632" w:firstLineChars="200"/>
        <w:textAlignment w:val="auto"/>
        <w:rPr>
          <w:rFonts w:hint="default" w:ascii="Times New Roman" w:hAnsi="Times New Roman" w:cs="Times New Roman"/>
          <w:lang w:val="en-US" w:eastAsia="zh-CN"/>
        </w:rPr>
      </w:pPr>
      <w:bookmarkStart w:id="141" w:name="_Toc26623"/>
      <w:r>
        <w:rPr>
          <w:rFonts w:hint="eastAsia" w:ascii="Times New Roman" w:hAnsi="Times New Roman" w:cs="Times New Roman"/>
          <w:lang w:val="en-US" w:eastAsia="zh-CN"/>
        </w:rPr>
        <w:t>3.满意度方面</w:t>
      </w:r>
      <w:bookmarkEnd w:id="141"/>
    </w:p>
    <w:bookmarkEnd w:id="139"/>
    <w:bookmarkEnd w:id="140"/>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受益对象等进行了满意度调查，调查问卷内容包括项目政策情况、项目实施、后期回访机制等方面。经统计，项目整体的满意度≥95分，调查发现群众对于基本公共卫生服务项目的服务态度、方便性、及时性、服务质量等方面满意度较高，群众参与度、获得感明显增强。</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 xml:space="preserve"> </w:t>
      </w:r>
    </w:p>
    <w:bookmarkEnd w:id="121"/>
    <w:bookmarkEnd w:id="122"/>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42" w:name="_Toc25416"/>
      <w:bookmarkStart w:id="143" w:name="_Toc16487"/>
      <w:r>
        <w:rPr>
          <w:rFonts w:hint="eastAsia" w:asciiTheme="majorEastAsia" w:hAnsiTheme="majorEastAsia" w:eastAsiaTheme="majorEastAsia" w:cstheme="majorEastAsia"/>
          <w:b/>
          <w:bCs/>
          <w:sz w:val="32"/>
          <w:szCs w:val="32"/>
          <w:lang w:val="en-US" w:eastAsia="zh-CN"/>
        </w:rPr>
        <w:t>七、主要经验做法、存在问题及建议</w:t>
      </w:r>
      <w:bookmarkEnd w:id="142"/>
      <w:bookmarkEnd w:id="143"/>
    </w:p>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44" w:name="_Toc26264"/>
      <w:bookmarkStart w:id="145" w:name="_Toc8439"/>
      <w:r>
        <w:rPr>
          <w:rFonts w:hint="eastAsia" w:ascii="方正楷体_GBK" w:hAnsi="方正楷体_GBK" w:eastAsia="方正楷体_GBK" w:cs="方正楷体_GBK"/>
          <w:b/>
          <w:bCs w:val="0"/>
          <w:sz w:val="32"/>
          <w:szCs w:val="32"/>
        </w:rPr>
        <w:t>（一）经验做法</w:t>
      </w:r>
      <w:bookmarkEnd w:id="144"/>
      <w:bookmarkEnd w:id="145"/>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同心县卫生健康局基本公共卫生服务项目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1.多措并举，科学谋划</w:t>
      </w:r>
    </w:p>
    <w:p>
      <w:pPr>
        <w:pStyle w:val="18"/>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同心县卫生健康局按照区、市卫生健康行政部门要求，联合县财政局共同制定了《同心县 2022年基本公共卫生服务项目实施方案和考核办法》，成立了相关组织机构，明确了卫健部门、各专业公共卫生单位、各基层医疗卫生机构的职责和目标任务，同时与各专业公共卫生单位和基层医疗卫生机构签订了目标责任书，部署有序，持续向好。</w:t>
      </w:r>
      <w:bookmarkStart w:id="146" w:name="_Toc15067"/>
    </w:p>
    <w:p>
      <w:pPr>
        <w:pStyle w:val="18"/>
        <w:keepNext w:val="0"/>
        <w:keepLines w:val="0"/>
        <w:pageBreakBefore w:val="0"/>
        <w:widowControl/>
        <w:numPr>
          <w:ilvl w:val="0"/>
          <w:numId w:val="4"/>
        </w:numPr>
        <w:suppressLineNumbers w:val="0"/>
        <w:tabs>
          <w:tab w:val="clear" w:pos="312"/>
        </w:tabs>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巩固提升，加强学习</w:t>
      </w:r>
      <w:bookmarkEnd w:id="146"/>
      <w:bookmarkStart w:id="147" w:name="_Toc4004"/>
    </w:p>
    <w:p>
      <w:pPr>
        <w:pStyle w:val="18"/>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 xml:space="preserve">以每月例会和集中培训相结合的方式进一步提升乡、村级医务人员的综合服务能力，全年累计有 1000 余人次接受了培训； </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3家专业公共卫生单位结合各自工作职责，分别举办了妇幼卫生保健、慢病管理、传染病防控、重性精神疾病管理、健康档案系统运用等各类专项培训班，全年累计举办4 期，受培训人员达 600 余人次，有效地提高了基层医疗卫生机构业务人员的综合服务能力。</w:t>
      </w:r>
      <w:bookmarkEnd w:id="147"/>
      <w:bookmarkStart w:id="148" w:name="_Toc17730"/>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Times New Roman" w:hAnsi="Times New Roman" w:eastAsia="方正仿宋_GBK" w:cs="Times New Roman"/>
          <w:b/>
          <w:bCs/>
          <w:color w:val="auto"/>
          <w:kern w:val="0"/>
          <w:sz w:val="30"/>
          <w:szCs w:val="30"/>
          <w:lang w:val="en-US" w:eastAsia="zh-CN" w:bidi="zh-CN"/>
        </w:rPr>
      </w:pPr>
      <w:bookmarkStart w:id="149" w:name="_Toc27224"/>
      <w:r>
        <w:rPr>
          <w:rFonts w:hint="eastAsia" w:ascii="Times New Roman" w:hAnsi="Times New Roman" w:eastAsia="方正仿宋_GBK" w:cs="Times New Roman"/>
          <w:b/>
          <w:bCs/>
          <w:color w:val="auto"/>
          <w:kern w:val="0"/>
          <w:sz w:val="30"/>
          <w:szCs w:val="30"/>
          <w:lang w:val="en-US" w:eastAsia="zh-CN" w:bidi="zh-CN"/>
        </w:rPr>
        <w:t>3.靶向督导，提质增效</w:t>
      </w:r>
      <w:bookmarkEnd w:id="149"/>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Times New Roman" w:hAnsi="Times New Roman" w:eastAsia="方正仿宋_GBK" w:cs="Times New Roman"/>
          <w:b w:val="0"/>
          <w:color w:val="auto"/>
          <w:kern w:val="0"/>
          <w:sz w:val="30"/>
          <w:szCs w:val="30"/>
          <w:lang w:val="en-US" w:eastAsia="zh-CN" w:bidi="zh-CN"/>
        </w:rPr>
      </w:pPr>
      <w:bookmarkStart w:id="150" w:name="_Toc19901"/>
      <w:r>
        <w:rPr>
          <w:rFonts w:hint="eastAsia" w:ascii="Times New Roman" w:hAnsi="Times New Roman" w:eastAsia="方正仿宋_GBK" w:cs="Times New Roman"/>
          <w:b w:val="0"/>
          <w:color w:val="auto"/>
          <w:kern w:val="0"/>
          <w:sz w:val="30"/>
          <w:szCs w:val="30"/>
          <w:lang w:val="en-US" w:eastAsia="zh-CN" w:bidi="zh-CN"/>
        </w:rPr>
        <w:t>按照实施方案要求，我局和各专业公共卫生单位每季度对各乡镇卫生院和社区卫生服务站基本公共卫生服务项目工作进展情况进行督查指导，对存在的问题进行通报并及时进行了整改。全年共开展督导检查 12 次，确保了项目工作的进度和质量。</w:t>
      </w:r>
      <w:bookmarkEnd w:id="150"/>
    </w:p>
    <w:p>
      <w:pPr>
        <w:pageBreakBefore w:val="0"/>
        <w:numPr>
          <w:ilvl w:val="0"/>
          <w:numId w:val="1"/>
        </w:numPr>
        <w:kinsoku/>
        <w:wordWrap/>
        <w:topLinePunct w:val="0"/>
        <w:autoSpaceDE/>
        <w:autoSpaceDN/>
        <w:bidi w:val="0"/>
        <w:ind w:left="0" w:leftChars="0" w:firstLine="592" w:firstLineChars="200"/>
        <w:textAlignment w:val="auto"/>
        <w:rPr>
          <w:rFonts w:hint="eastAsia" w:ascii="Times New Roman" w:hAnsi="Times New Roman" w:eastAsia="方正仿宋_GBK" w:cs="Times New Roman"/>
          <w:b/>
          <w:bCs/>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多措并举，广泛宣传</w:t>
      </w:r>
      <w:bookmarkStart w:id="151" w:name="_Toc3328"/>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val="0"/>
          <w:color w:val="auto"/>
          <w:kern w:val="0"/>
          <w:sz w:val="30"/>
          <w:szCs w:val="30"/>
          <w:lang w:val="en-US" w:eastAsia="zh-CN" w:bidi="zh-CN"/>
        </w:rPr>
        <w:t>一是大力开展公共卫生宣传月活动。举办健康知识讲座 185 场次、受益群众 10万余人次，设置健康教育宣传栏 235 个，举办健康教育咨询活动 130 次，咨询人数达 5 万余人次，健康同心微信公众号发送各类健康知识 350 余篇，制作播放宣传短视频 8 部，利用电子屏播放公益广告 15 部，受教育群众达 15 万余人次，进一步提高了项目的知晓率。</w:t>
      </w:r>
      <w:bookmarkEnd w:id="151"/>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方正楷体_GBK" w:hAnsi="方正楷体_GBK" w:eastAsia="方正楷体_GBK" w:cs="方正楷体_GBK"/>
          <w:b w:val="0"/>
          <w:bCs w:val="0"/>
          <w:sz w:val="30"/>
          <w:szCs w:val="30"/>
          <w:lang w:bidi="zh-CN"/>
        </w:rPr>
      </w:pPr>
      <w:bookmarkStart w:id="152" w:name="_Toc1817"/>
      <w:r>
        <w:rPr>
          <w:rFonts w:hint="eastAsia" w:ascii="方正楷体_GBK" w:hAnsi="方正楷体_GBK" w:eastAsia="方正楷体_GBK" w:cs="方正楷体_GBK"/>
          <w:b/>
          <w:bCs/>
          <w:sz w:val="30"/>
          <w:szCs w:val="30"/>
          <w:lang w:bidi="zh-CN"/>
        </w:rPr>
        <w:t>（二）存在的问题</w:t>
      </w:r>
      <w:bookmarkEnd w:id="148"/>
      <w:bookmarkEnd w:id="152"/>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bookmarkStart w:id="153" w:name="_Toc30413"/>
      <w:r>
        <w:rPr>
          <w:rFonts w:hint="eastAsia" w:ascii="Times New Roman" w:hAnsi="Times New Roman" w:eastAsia="方正仿宋_GBK" w:cs="Times New Roman"/>
          <w:b/>
          <w:bCs/>
          <w:kern w:val="2"/>
          <w:sz w:val="30"/>
          <w:szCs w:val="30"/>
          <w:lang w:val="en-US" w:eastAsia="zh-CN" w:bidi="zh-CN"/>
        </w:rPr>
        <w:t>1.专业人员紧缺，学科建设需加强。</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一是基层专业医务人员匮乏，人员配备不合理，中医科、精神科、妇产科专业人员严重不足，导致中医药服务项目、严重精神障碍患者用药等健康指导不到位；二是受村医服务能力限制，部分重点人群健康管理不到位。</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2.宣教工作思路没有打开。</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群众健康理念的转变还不到位。多数群众认识不到健康管理的重要性，把基本公共卫生服务等同于基本医疗、健康查体，对于健康教育等依从性不高。</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54" w:name="_Toc21655"/>
      <w:r>
        <w:rPr>
          <w:rFonts w:hint="eastAsia" w:ascii="方正楷体_GBK" w:hAnsi="方正楷体_GBK" w:eastAsia="方正楷体_GBK" w:cs="方正楷体_GBK"/>
          <w:color w:val="333333"/>
          <w:sz w:val="30"/>
          <w:szCs w:val="30"/>
          <w:shd w:val="clear" w:fill="FFFFFF"/>
          <w:lang w:val="en-US" w:eastAsia="zh-CN" w:bidi="zh-CN"/>
        </w:rPr>
        <w:t>（三）建议</w:t>
      </w:r>
      <w:bookmarkEnd w:id="154"/>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topLinePunct w:val="0"/>
        <w:autoSpaceDE/>
        <w:autoSpaceDN/>
        <w:bidi w:val="0"/>
        <w:adjustRightInd/>
        <w:snapToGrid/>
        <w:spacing w:before="0" w:beforeAutospacing="0" w:after="0" w:afterAutospacing="0" w:line="560" w:lineRule="exact"/>
        <w:ind w:leftChars="200" w:right="0" w:rightChars="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w:t>
      </w:r>
      <w:r>
        <w:rPr>
          <w:rFonts w:hint="default" w:ascii="Times New Roman" w:hAnsi="Times New Roman" w:eastAsia="方正仿宋_GBK" w:cs="Times New Roman"/>
          <w:b/>
          <w:bCs/>
          <w:kern w:val="2"/>
          <w:sz w:val="30"/>
          <w:szCs w:val="30"/>
          <w:lang w:val="en-US" w:eastAsia="zh-CN" w:bidi="zh-CN"/>
        </w:rPr>
        <w:t>完善人事激励机制</w:t>
      </w:r>
      <w:r>
        <w:rPr>
          <w:rFonts w:hint="eastAsia" w:ascii="Times New Roman" w:hAnsi="Times New Roman" w:eastAsia="方正仿宋_GBK" w:cs="Times New Roman"/>
          <w:b/>
          <w:bCs/>
          <w:kern w:val="2"/>
          <w:sz w:val="30"/>
          <w:szCs w:val="30"/>
          <w:lang w:val="en-US" w:eastAsia="zh-CN" w:bidi="zh-CN"/>
        </w:rPr>
        <w:t>。</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default" w:ascii="Times New Roman" w:hAnsi="Times New Roman" w:eastAsia="方正仿宋_GBK" w:cs="Times New Roman"/>
          <w:kern w:val="2"/>
          <w:sz w:val="30"/>
          <w:szCs w:val="30"/>
          <w:lang w:val="en-US" w:eastAsia="zh-CN" w:bidi="zh-CN"/>
        </w:rPr>
        <w:t>医院在制度激励环节，必须制定内容完善的人事制度和分配制度，发挥激励制度对人才的挽留作用，从而加强内部凝聚力，保证医院员工可以积极主动完成自身的本职工作</w:t>
      </w:r>
      <w:r>
        <w:rPr>
          <w:rFonts w:hint="eastAsia" w:ascii="Times New Roman" w:hAnsi="Times New Roman" w:eastAsia="方正仿宋_GBK" w:cs="Times New Roman"/>
          <w:kern w:val="2"/>
          <w:sz w:val="30"/>
          <w:szCs w:val="30"/>
          <w:lang w:val="en-US" w:eastAsia="zh-CN" w:bidi="zh-CN"/>
        </w:rPr>
        <w:t>；</w:t>
      </w:r>
      <w:r>
        <w:rPr>
          <w:rFonts w:hint="eastAsia" w:ascii="Times New Roman" w:hAnsi="Times New Roman" w:eastAsia="方正仿宋_GBK" w:cs="Times New Roman"/>
          <w:b/>
          <w:bCs/>
          <w:kern w:val="2"/>
          <w:sz w:val="30"/>
          <w:szCs w:val="30"/>
          <w:lang w:val="en-US" w:eastAsia="zh-CN" w:bidi="zh-CN"/>
        </w:rPr>
        <w:t>二是</w:t>
      </w:r>
      <w:r>
        <w:rPr>
          <w:rFonts w:hint="default" w:ascii="Times New Roman" w:hAnsi="Times New Roman" w:eastAsia="方正仿宋_GBK" w:cs="Times New Roman"/>
          <w:kern w:val="2"/>
          <w:sz w:val="30"/>
          <w:szCs w:val="30"/>
          <w:lang w:val="en-US" w:eastAsia="zh-CN" w:bidi="zh-CN"/>
        </w:rPr>
        <w:t>制定可以吸引和留住人才的制度，才可以保证医院的稳定发展。在实施制度激励期间，医院应当科学设计各工作岗位，关注员工个体差异，尽量制定灵活的制度内容，避免管理制度僵化。</w:t>
      </w:r>
    </w:p>
    <w:p>
      <w:pPr>
        <w:widowControl w:val="0"/>
        <w:shd w:val="clear"/>
        <w:spacing w:line="600" w:lineRule="exact"/>
        <w:ind w:firstLine="592" w:firstLineChars="200"/>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2.进一步加大宣传力度。</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根据调查了解情况，群众虽然对基本公共卫生服务项目了解，但了解不够详细、不够深入，充分利用短视频、抖音等现代化网络力量加大宣传力度、拓展宣传途径，使群众享受到更加精准了解基本公共卫生服务项目。</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55" w:name="_Toc20079"/>
      <w:r>
        <w:rPr>
          <w:rFonts w:hint="eastAsia" w:asciiTheme="majorEastAsia" w:hAnsiTheme="majorEastAsia" w:eastAsiaTheme="majorEastAsia" w:cstheme="majorEastAsia"/>
          <w:b/>
          <w:bCs/>
          <w:sz w:val="32"/>
          <w:szCs w:val="32"/>
          <w:lang w:val="en-US" w:eastAsia="zh-CN"/>
        </w:rPr>
        <w:t>八、其他需要说明的问题</w:t>
      </w:r>
      <w:bookmarkEnd w:id="153"/>
      <w:bookmarkEnd w:id="15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宁夏同心县卫生健康局基本公共卫生服务项目补助资金有关的方面。同时评价报告及结论也受评价人员对项目的了解程度、专业知识和评价能力的限制，因此，本绩效评价报告仅对宁夏同心县卫生健康局基本公共卫生服务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2"/>
        <w:rPr>
          <w:rFonts w:hint="eastAsia" w:ascii="方正仿宋_GBK" w:hAnsi="方正仿宋_GBK" w:eastAsia="方正仿宋_GBK" w:cs="方正仿宋_GBK"/>
          <w:color w:val="000000"/>
          <w:kern w:val="0"/>
          <w:sz w:val="30"/>
          <w:szCs w:val="30"/>
          <w:lang w:val="en-US" w:eastAsia="zh-CN" w:bidi="ar"/>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ind w:left="0" w:leftChars="0" w:firstLine="0" w:firstLineChars="0"/>
        <w:rPr>
          <w:rFonts w:hint="eastAsia" w:ascii="Times New Roman" w:hAnsi="Times New Roman" w:eastAsia="方正仿宋_GBK" w:cs="Times New Roman"/>
          <w:b w:val="0"/>
          <w:color w:val="auto"/>
          <w:kern w:val="44"/>
          <w:sz w:val="28"/>
          <w:szCs w:val="28"/>
          <w:shd w:val="clear" w:fill="auto"/>
          <w:lang w:val="en-US" w:eastAsia="zh-CN" w:bidi="zh-CN"/>
        </w:rPr>
      </w:pPr>
    </w:p>
    <w:p>
      <w:pPr>
        <w:pStyle w:val="2"/>
        <w:rPr>
          <w:rFonts w:hint="eastAsia"/>
          <w:lang w:val="en-US" w:eastAsia="zh-CN"/>
        </w:rPr>
      </w:pPr>
    </w:p>
    <w:p>
      <w:pPr>
        <w:pStyle w:val="4"/>
        <w:rPr>
          <w:rFonts w:hint="eastAsia"/>
          <w:lang w:val="en-US" w:eastAsia="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2023年12月31日</w:t>
      </w:r>
      <w:bookmarkEnd w:id="22"/>
      <w:bookmarkEnd w:id="53"/>
      <w:bookmarkEnd w:id="54"/>
      <w:bookmarkEnd w:id="55"/>
      <w:bookmarkEnd w:id="56"/>
      <w:bookmarkEnd w:id="57"/>
      <w:bookmarkEnd w:id="58"/>
      <w:bookmarkEnd w:id="59"/>
      <w:bookmarkEnd w:id="60"/>
      <w:bookmarkEnd w:id="61"/>
      <w:bookmarkStart w:id="156" w:name="_Toc5302"/>
      <w:bookmarkStart w:id="157" w:name="_Toc20313"/>
      <w:r>
        <w:rPr>
          <w:rFonts w:hint="eastAsia" w:ascii="方正仿宋_GBK" w:hAnsi="方正仿宋_GBK" w:eastAsia="方正仿宋_GBK" w:cs="方正仿宋_GBK"/>
          <w:b w:val="0"/>
          <w:bCs w:val="0"/>
          <w:kern w:val="2"/>
          <w:sz w:val="30"/>
          <w:szCs w:val="30"/>
          <w:lang w:val="en-US" w:eastAsia="zh-CN" w:bidi="ar-SA"/>
        </w:rPr>
        <w:t xml:space="preserve">   </w:t>
      </w:r>
    </w:p>
    <w:p>
      <w:pPr>
        <w:rPr>
          <w:rFonts w:hint="eastAsia"/>
          <w:lang w:val="en-US" w:eastAsia="zh-CN"/>
        </w:rPr>
      </w:pPr>
      <w:r>
        <w:rPr>
          <w:rFonts w:hint="eastAsia"/>
          <w:lang w:val="en-US" w:eastAsia="zh-CN"/>
        </w:rPr>
        <w:t xml:space="preserve">                    </w:t>
      </w:r>
    </w:p>
    <w:p>
      <w:pPr>
        <w:ind w:left="0" w:leftChars="0" w:firstLine="0" w:firstLineChars="0"/>
        <w:rPr>
          <w:rFonts w:hint="default"/>
          <w:lang w:val="en-US" w:eastAsia="zh-CN"/>
        </w:rPr>
        <w:sectPr>
          <w:pgSz w:w="11906" w:h="16838"/>
          <w:pgMar w:top="2098" w:right="1587" w:bottom="2098" w:left="1587" w:header="1191" w:footer="935" w:gutter="0"/>
          <w:pgNumType w:fmt="decimal"/>
          <w:cols w:space="0" w:num="1"/>
          <w:rtlGutter w:val="0"/>
          <w:docGrid w:type="linesAndChars" w:linePitch="589" w:charSpace="-842"/>
        </w:sectPr>
      </w:pPr>
    </w:p>
    <w:bookmarkEnd w:id="156"/>
    <w:bookmarkEnd w:id="157"/>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同心县卫生健康局基本公共卫生服务项目绩效评价指标体系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编制</w:t>
            </w:r>
            <w:r>
              <w:rPr>
                <w:rFonts w:hint="default" w:ascii="Times New Roman" w:hAnsi="Times New Roman" w:eastAsia="方正仿宋_GBK" w:cs="Times New Roman"/>
                <w:i w:val="0"/>
                <w:iCs w:val="0"/>
                <w:color w:val="000000"/>
                <w:kern w:val="0"/>
                <w:sz w:val="22"/>
                <w:szCs w:val="22"/>
                <w:u w:val="none"/>
                <w:lang w:val="en-US" w:eastAsia="zh-CN" w:bidi="ar"/>
              </w:rPr>
              <w:t>绩效目标，</w:t>
            </w:r>
            <w:r>
              <w:rPr>
                <w:rFonts w:hint="eastAsia" w:ascii="Times New Roman" w:hAnsi="Times New Roman" w:eastAsia="方正仿宋_GBK" w:cs="Times New Roman"/>
                <w:i w:val="0"/>
                <w:iCs w:val="0"/>
                <w:color w:val="000000"/>
                <w:kern w:val="0"/>
                <w:sz w:val="22"/>
                <w:szCs w:val="22"/>
                <w:u w:val="none"/>
                <w:lang w:val="en-US" w:eastAsia="zh-CN" w:bidi="ar"/>
              </w:rPr>
              <w:t>绩效指标能够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项目预算资金2582.00万元，实际支出2582.00万元，预算执行率100%。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预算执行率=（实际支出资金/实际到位资金）×100%。90%以上得</w:t>
            </w:r>
            <w:r>
              <w:rPr>
                <w:rFonts w:hint="eastAsia" w:cs="仿宋"/>
                <w:i w:val="0"/>
                <w:iCs w:val="0"/>
                <w:color w:val="000000"/>
                <w:kern w:val="0"/>
                <w:sz w:val="24"/>
                <w:szCs w:val="24"/>
                <w:u w:val="none"/>
                <w:lang w:val="en-US" w:eastAsia="zh-CN" w:bidi="ar"/>
              </w:rPr>
              <w:t>4</w:t>
            </w:r>
            <w:r>
              <w:rPr>
                <w:rFonts w:hint="eastAsia" w:ascii="仿宋" w:hAnsi="仿宋" w:eastAsia="仿宋" w:cs="仿宋"/>
                <w:i w:val="0"/>
                <w:iCs w:val="0"/>
                <w:color w:val="000000"/>
                <w:kern w:val="0"/>
                <w:sz w:val="24"/>
                <w:szCs w:val="24"/>
                <w:u w:val="none"/>
                <w:lang w:val="en-US" w:eastAsia="zh-CN" w:bidi="ar"/>
              </w:rPr>
              <w:t>分，90%</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70%得2分，70%以下不得分</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子项目预算执行率低于70%的，</w:t>
            </w:r>
            <w:r>
              <w:rPr>
                <w:rFonts w:hint="eastAsia" w:ascii="仿宋" w:hAnsi="仿宋" w:cs="仿宋"/>
                <w:i w:val="0"/>
                <w:iCs w:val="0"/>
                <w:color w:val="000000"/>
                <w:kern w:val="0"/>
                <w:sz w:val="24"/>
                <w:szCs w:val="24"/>
                <w:u w:val="none"/>
                <w:lang w:val="en-US" w:eastAsia="zh-CN" w:bidi="ar"/>
              </w:rPr>
              <w:t>每</w:t>
            </w:r>
            <w:r>
              <w:rPr>
                <w:rFonts w:hint="eastAsia" w:ascii="仿宋" w:hAnsi="仿宋" w:eastAsia="仿宋" w:cs="仿宋"/>
                <w:i w:val="0"/>
                <w:iCs w:val="0"/>
                <w:color w:val="000000"/>
                <w:kern w:val="0"/>
                <w:sz w:val="24"/>
                <w:szCs w:val="24"/>
                <w:u w:val="none"/>
                <w:lang w:val="en-US" w:eastAsia="zh-CN" w:bidi="ar"/>
              </w:rPr>
              <w:t>出现一处扣0.1分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eastAsia" w:ascii="Times New Roman" w:hAnsi="Times New Roman" w:eastAsia="方正仿宋_GBK" w:cs="Times New Roman"/>
                <w:i w:val="0"/>
                <w:iCs w:val="0"/>
                <w:color w:val="000000"/>
                <w:kern w:val="0"/>
                <w:sz w:val="22"/>
                <w:szCs w:val="22"/>
                <w:u w:val="none"/>
                <w:lang w:val="en-US" w:eastAsia="zh-CN" w:bidi="ar"/>
              </w:rPr>
              <w:t>40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居民电子健康档案建档率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考察居民电子健康档案建档完成情况。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≥80%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评价要点：核实被评价单位是否按方案完成居民电子健康档案建档率。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实际达标率为90.51%，完成既定目标任务。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2"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适龄儿童国家免疫规划疫苗接种率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考察适龄儿童国家免疫规划疫苗接种完成情况。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评价要点：核实被评价单位是否按方案完成适龄儿童国家免疫规划疫苗接种率。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实际达标率为92.81%，完成既定目标任务。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2"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产后访视率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考察新生儿访视率情况。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评价要点：核实被评价单位是否按方案完成新生儿访视率。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实际达标率为</w:t>
            </w:r>
            <w:r>
              <w:rPr>
                <w:rFonts w:hint="eastAsia" w:ascii="Times New Roman" w:hAnsi="Times New Roman" w:eastAsia="方正仿宋_GBK" w:cs="Times New Roman"/>
                <w:i w:val="0"/>
                <w:iCs w:val="0"/>
                <w:color w:val="000000"/>
                <w:kern w:val="0"/>
                <w:sz w:val="21"/>
                <w:szCs w:val="21"/>
                <w:u w:val="none"/>
                <w:lang w:val="en-US" w:eastAsia="zh-CN" w:bidi="ar"/>
              </w:rPr>
              <w:t>99.1%，</w:t>
            </w:r>
            <w:r>
              <w:rPr>
                <w:rFonts w:hint="eastAsia" w:ascii="Times New Roman" w:hAnsi="Times New Roman" w:eastAsia="方正仿宋_GBK" w:cs="Times New Roman"/>
                <w:kern w:val="2"/>
                <w:sz w:val="21"/>
                <w:szCs w:val="21"/>
                <w:u w:val="none"/>
                <w:lang w:val="en-US" w:eastAsia="zh-CN" w:bidi="ar-SA"/>
              </w:rPr>
              <w:t>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0-6岁儿童健康管理率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考察0-6岁儿童健康管理情况。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评价要点：核实被评价单位是否按方案完成0-6岁儿童健康管理率。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实际达标率为</w:t>
            </w:r>
            <w:r>
              <w:rPr>
                <w:rFonts w:hint="eastAsia" w:ascii="Times New Roman" w:hAnsi="Times New Roman" w:eastAsia="方正仿宋_GBK" w:cs="Times New Roman"/>
                <w:i w:val="0"/>
                <w:iCs w:val="0"/>
                <w:color w:val="000000"/>
                <w:kern w:val="0"/>
                <w:sz w:val="21"/>
                <w:szCs w:val="21"/>
                <w:u w:val="none"/>
                <w:lang w:val="en-US" w:eastAsia="zh-CN" w:bidi="ar"/>
              </w:rPr>
              <w:t>92.81%，</w:t>
            </w:r>
            <w:r>
              <w:rPr>
                <w:rFonts w:hint="eastAsia" w:ascii="Times New Roman" w:hAnsi="Times New Roman" w:eastAsia="方正仿宋_GBK" w:cs="Times New Roman"/>
                <w:kern w:val="2"/>
                <w:sz w:val="21"/>
                <w:szCs w:val="21"/>
                <w:u w:val="none"/>
                <w:lang w:val="en-US" w:eastAsia="zh-CN" w:bidi="ar-SA"/>
              </w:rPr>
              <w:t>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孕产妇健康管理率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考察孕产妇健康管理情况。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评价要点：核实被评价单位是否按方案完成孕产妇健康管理率。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实际达标率为96.62%，完成既定目标任务。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4"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老年人健康管理率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老年人健康管理率</w:t>
            </w:r>
            <w:r>
              <w:rPr>
                <w:rFonts w:hint="eastAsia" w:ascii="Times New Roman" w:hAnsi="Times New Roman" w:eastAsia="方正仿宋_GBK" w:cs="Times New Roman"/>
                <w:i w:val="0"/>
                <w:iCs w:val="0"/>
                <w:color w:val="000000"/>
                <w:kern w:val="0"/>
                <w:sz w:val="22"/>
                <w:szCs w:val="22"/>
                <w:u w:val="none"/>
                <w:lang w:val="en-US" w:eastAsia="zh-CN" w:bidi="ar"/>
              </w:rPr>
              <w:t>管理情况。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70%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评价要点：核实被评价单位是否按方案完成老年人健康管理率。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实际达标率为 70.77%，完成既定目标任务。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七岁以下儿童管理人数</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七岁以下儿童管理人数</w:t>
            </w:r>
            <w:r>
              <w:rPr>
                <w:rFonts w:hint="eastAsia" w:ascii="Times New Roman" w:hAnsi="Times New Roman" w:eastAsia="方正仿宋_GBK" w:cs="Times New Roman"/>
                <w:i w:val="0"/>
                <w:iCs w:val="0"/>
                <w:color w:val="000000"/>
                <w:kern w:val="0"/>
                <w:sz w:val="22"/>
                <w:szCs w:val="22"/>
                <w:u w:val="none"/>
                <w:lang w:val="en-US" w:eastAsia="zh-CN" w:bidi="ar"/>
              </w:rPr>
              <w:t>管理情况。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32155人</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评价要点：核实被评价单位是否按方案完成七岁以下儿童管理人数。</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实际达标率为29843人，未完成目标任务。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三岁以下儿童管理人数</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三岁以下儿童管理人数</w:t>
            </w:r>
            <w:r>
              <w:rPr>
                <w:rFonts w:hint="eastAsia" w:ascii="Times New Roman" w:hAnsi="Times New Roman" w:eastAsia="方正仿宋_GBK" w:cs="Times New Roman"/>
                <w:i w:val="0"/>
                <w:iCs w:val="0"/>
                <w:color w:val="000000"/>
                <w:kern w:val="0"/>
                <w:sz w:val="22"/>
                <w:szCs w:val="22"/>
                <w:u w:val="none"/>
                <w:lang w:val="en-US" w:eastAsia="zh-CN" w:bidi="ar"/>
              </w:rPr>
              <w:t>管理情况。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14220人</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评价要点：核实被评价单位是否按方案完成三岁以下儿童管理人数。</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实际达标率为13709人，未完成既定目标任务。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老年人健康管理人数</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老年人健康管理人数</w:t>
            </w:r>
            <w:r>
              <w:rPr>
                <w:rFonts w:hint="eastAsia" w:ascii="Times New Roman" w:hAnsi="Times New Roman" w:eastAsia="方正仿宋_GBK" w:cs="Times New Roman"/>
                <w:i w:val="0"/>
                <w:iCs w:val="0"/>
                <w:color w:val="000000"/>
                <w:kern w:val="0"/>
                <w:sz w:val="22"/>
                <w:szCs w:val="22"/>
                <w:u w:val="none"/>
                <w:lang w:val="en-US" w:eastAsia="zh-CN" w:bidi="ar"/>
              </w:rPr>
              <w:t>管理情况。</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17203 人</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评价要点：核实被评价单位是否按方案完成老年人健康管理人数。</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实际达标率为17395 人，已完成既定目标任务。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3" w:hRule="atLeast"/>
        </w:trPr>
        <w:tc>
          <w:tcPr>
            <w:tcW w:w="1107"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高血压患者健康管理人数</w:t>
            </w:r>
          </w:p>
        </w:tc>
        <w:tc>
          <w:tcPr>
            <w:tcW w:w="236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高血压患者健康管理人数</w:t>
            </w:r>
            <w:r>
              <w:rPr>
                <w:rFonts w:hint="eastAsia" w:ascii="Times New Roman" w:hAnsi="Times New Roman" w:eastAsia="方正仿宋_GBK" w:cs="Times New Roman"/>
                <w:i w:val="0"/>
                <w:iCs w:val="0"/>
                <w:color w:val="000000"/>
                <w:kern w:val="0"/>
                <w:sz w:val="22"/>
                <w:szCs w:val="22"/>
                <w:u w:val="none"/>
                <w:lang w:val="en-US" w:eastAsia="zh-CN" w:bidi="ar"/>
              </w:rPr>
              <w:t>管理情况。</w:t>
            </w:r>
          </w:p>
        </w:tc>
        <w:tc>
          <w:tcPr>
            <w:tcW w:w="104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18261 人</w:t>
            </w:r>
          </w:p>
        </w:tc>
        <w:tc>
          <w:tcPr>
            <w:tcW w:w="70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评价要点：核实被评价单位是否按方案完成高血压患者健康管理人数。</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实际达标率为21396 人，已完成既定目标任务。</w:t>
            </w:r>
          </w:p>
        </w:tc>
        <w:tc>
          <w:tcPr>
            <w:tcW w:w="776"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2型糖尿病患者健康管理人数</w:t>
            </w:r>
          </w:p>
        </w:tc>
        <w:tc>
          <w:tcPr>
            <w:tcW w:w="236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考察2型糖尿病患者健康管理人数完成情况</w:t>
            </w:r>
          </w:p>
        </w:tc>
        <w:tc>
          <w:tcPr>
            <w:tcW w:w="104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4677人</w:t>
            </w:r>
          </w:p>
        </w:tc>
        <w:tc>
          <w:tcPr>
            <w:tcW w:w="70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评价要点：核实被评价单位是否按方案完成2型糖尿病患者健康管理人数。</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实际达标率为</w:t>
            </w:r>
            <w:r>
              <w:rPr>
                <w:rFonts w:hint="eastAsia" w:ascii="Times New Roman" w:hAnsi="Times New Roman" w:eastAsia="方正仿宋_GBK" w:cs="Times New Roman"/>
                <w:i w:val="0"/>
                <w:iCs w:val="0"/>
                <w:color w:val="000000"/>
                <w:kern w:val="0"/>
                <w:sz w:val="22"/>
                <w:szCs w:val="22"/>
                <w:u w:val="none"/>
                <w:lang w:val="en-US" w:eastAsia="zh-CN" w:bidi="ar"/>
              </w:rPr>
              <w:t>5615人，</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严重精神障碍患者发现率</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严重精神障碍患者发现率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4‰</w:t>
            </w:r>
          </w:p>
        </w:tc>
        <w:tc>
          <w:tcPr>
            <w:tcW w:w="70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评价要点：核实被评价单位是否按方案完成严重精神障碍患者发现率。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高于目标值2%，实际达标率为4.2‰。</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严重精神障碍患者管理人数</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高血压患者健康管理人数</w:t>
            </w:r>
            <w:r>
              <w:rPr>
                <w:rFonts w:hint="eastAsia" w:ascii="Times New Roman" w:hAnsi="Times New Roman" w:eastAsia="方正仿宋_GBK" w:cs="Times New Roman"/>
                <w:i w:val="0"/>
                <w:iCs w:val="0"/>
                <w:color w:val="000000"/>
                <w:kern w:val="0"/>
                <w:sz w:val="22"/>
                <w:szCs w:val="22"/>
                <w:u w:val="none"/>
                <w:lang w:val="en-US" w:eastAsia="zh-CN" w:bidi="ar"/>
              </w:rPr>
              <w:t>管理情况。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1485人</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评价要点：核实被评价单位是否按方案完成严重精神障碍患者管理人数。</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实际达标率1480人，未完成既定目标任务。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严重精神障碍患者管理率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高血压患者健康管理人数</w:t>
            </w:r>
            <w:r>
              <w:rPr>
                <w:rFonts w:hint="eastAsia" w:ascii="Times New Roman" w:hAnsi="Times New Roman" w:eastAsia="方正仿宋_GBK" w:cs="Times New Roman"/>
                <w:i w:val="0"/>
                <w:iCs w:val="0"/>
                <w:color w:val="000000"/>
                <w:kern w:val="0"/>
                <w:sz w:val="22"/>
                <w:szCs w:val="22"/>
                <w:u w:val="none"/>
                <w:lang w:val="en-US" w:eastAsia="zh-CN" w:bidi="ar"/>
              </w:rPr>
              <w:t>管理情况。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90%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评价要点：核实被评价单位是否按方案完成严重精神障碍患者管理率。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98.72%，已完成既定目标任务。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应急处置任务数</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高血压患者健康管理人数</w:t>
            </w:r>
            <w:r>
              <w:rPr>
                <w:rFonts w:hint="eastAsia" w:ascii="Times New Roman" w:hAnsi="Times New Roman" w:eastAsia="方正仿宋_GBK" w:cs="Times New Roman"/>
                <w:i w:val="0"/>
                <w:iCs w:val="0"/>
                <w:color w:val="000000"/>
                <w:kern w:val="0"/>
                <w:sz w:val="22"/>
                <w:szCs w:val="22"/>
                <w:u w:val="none"/>
                <w:lang w:val="en-US" w:eastAsia="zh-CN" w:bidi="ar"/>
              </w:rPr>
              <w:t>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15例</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评价要点：核实被评价单位是否按方案完成严重精神障碍患者管理率。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16例，已完成既定目标任务。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在册患者服药率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在册患者服药率管理人数</w:t>
            </w:r>
            <w:r>
              <w:rPr>
                <w:rFonts w:hint="eastAsia" w:ascii="Times New Roman" w:hAnsi="Times New Roman" w:eastAsia="方正仿宋_GBK" w:cs="Times New Roman"/>
                <w:i w:val="0"/>
                <w:iCs w:val="0"/>
                <w:color w:val="000000"/>
                <w:kern w:val="0"/>
                <w:sz w:val="22"/>
                <w:szCs w:val="22"/>
                <w:u w:val="none"/>
                <w:lang w:val="en-US" w:eastAsia="zh-CN" w:bidi="ar"/>
              </w:rPr>
              <w:t>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70%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评价要点：核实被评价单位是否按方案完成在册患者服药率。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74.83%，已完成既定目标任务。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老年人中医药健康管理率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老年人中医药健康管理</w:t>
            </w:r>
            <w:r>
              <w:rPr>
                <w:rFonts w:hint="eastAsia" w:ascii="Times New Roman" w:hAnsi="Times New Roman" w:eastAsia="方正仿宋_GBK" w:cs="Times New Roman"/>
                <w:i w:val="0"/>
                <w:iCs w:val="0"/>
                <w:color w:val="000000"/>
                <w:kern w:val="0"/>
                <w:sz w:val="22"/>
                <w:szCs w:val="22"/>
                <w:u w:val="none"/>
                <w:lang w:val="en-US" w:eastAsia="zh-CN" w:bidi="ar"/>
              </w:rPr>
              <w:t>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9</w:t>
            </w:r>
            <w:r>
              <w:rPr>
                <w:rFonts w:hint="eastAsia" w:ascii="Times New Roman" w:hAnsi="Times New Roman" w:eastAsia="方正仿宋_GBK" w:cs="Times New Roman"/>
                <w:kern w:val="2"/>
                <w:sz w:val="21"/>
                <w:szCs w:val="21"/>
                <w:u w:val="none"/>
                <w:lang w:val="en-US" w:eastAsia="zh-CN" w:bidi="ar-SA"/>
              </w:rPr>
              <w:t>45%</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评价要点：核实被评价单位是否按方案完成老年人中医药健康管理率。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未达标。</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儿童中医药健康管理率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w:t>
            </w:r>
            <w:r>
              <w:rPr>
                <w:rFonts w:hint="eastAsia" w:ascii="Times New Roman" w:hAnsi="Times New Roman" w:eastAsia="方正仿宋_GBK" w:cs="Times New Roman"/>
                <w:i w:val="0"/>
                <w:iCs w:val="0"/>
                <w:color w:val="000000"/>
                <w:kern w:val="0"/>
                <w:sz w:val="21"/>
                <w:szCs w:val="21"/>
                <w:u w:val="none"/>
                <w:lang w:val="en-US" w:eastAsia="zh-CN" w:bidi="ar"/>
              </w:rPr>
              <w:t>儿童中医药健康管理</w:t>
            </w:r>
            <w:r>
              <w:rPr>
                <w:rFonts w:hint="eastAsia" w:ascii="Times New Roman" w:hAnsi="Times New Roman" w:eastAsia="方正仿宋_GBK" w:cs="Times New Roman"/>
                <w:i w:val="0"/>
                <w:iCs w:val="0"/>
                <w:color w:val="000000"/>
                <w:kern w:val="0"/>
                <w:sz w:val="22"/>
                <w:szCs w:val="22"/>
                <w:u w:val="none"/>
                <w:lang w:val="en-US" w:eastAsia="zh-CN" w:bidi="ar"/>
              </w:rPr>
              <w:t>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kern w:val="2"/>
                <w:sz w:val="21"/>
                <w:szCs w:val="21"/>
                <w:u w:val="none"/>
                <w:lang w:val="en-US" w:eastAsia="zh-CN" w:bidi="ar-SA"/>
              </w:rPr>
              <w:t>65%</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评价要点：核实被评价单位是否按方案完成儿童中医药健康管理率。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根据财政部门和相关部门制定的资金分配方案，通过检查项目考核资料，并进行现场勘查，评价项目完成情况。完成比例=满足标准规定的项目/初步设计目标值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kern w:val="2"/>
                <w:sz w:val="21"/>
                <w:szCs w:val="21"/>
                <w:u w:val="none"/>
                <w:lang w:val="en-US" w:eastAsia="zh-CN" w:bidi="ar-SA"/>
              </w:rPr>
            </w:pPr>
            <w:r>
              <w:rPr>
                <w:rFonts w:hint="eastAsia" w:ascii="Times New Roman" w:hAnsi="Times New Roman" w:eastAsia="方正仿宋_GBK" w:cs="Times New Roman"/>
                <w:kern w:val="2"/>
                <w:sz w:val="21"/>
                <w:szCs w:val="21"/>
                <w:u w:val="none"/>
                <w:lang w:val="en-US" w:eastAsia="zh-CN" w:bidi="ar-SA"/>
              </w:rPr>
              <w:t>未达标。</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高血压患者规范管理率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w:t>
            </w:r>
            <w:r>
              <w:rPr>
                <w:rFonts w:hint="eastAsia" w:ascii="Times New Roman" w:hAnsi="Times New Roman" w:eastAsia="方正仿宋_GBK" w:cs="Times New Roman"/>
                <w:i w:val="0"/>
                <w:iCs w:val="0"/>
                <w:color w:val="000000"/>
                <w:kern w:val="0"/>
                <w:sz w:val="22"/>
                <w:szCs w:val="22"/>
                <w:u w:val="none"/>
                <w:lang w:val="en-US" w:eastAsia="zh-CN" w:bidi="ar"/>
              </w:rPr>
              <w:t>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方正仿宋_GBK" w:cs="Times New Roman"/>
                <w:kern w:val="2"/>
                <w:sz w:val="21"/>
                <w:szCs w:val="21"/>
                <w:u w:val="none"/>
                <w:lang w:val="en-US" w:eastAsia="zh-CN" w:bidi="ar-SA"/>
              </w:rPr>
              <w:t>87.86%</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87.86%，已完成既定目标任务。</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8"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2型糖尿病患者规范管理率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kern w:val="2"/>
                <w:sz w:val="21"/>
                <w:szCs w:val="21"/>
                <w:u w:val="none"/>
                <w:lang w:val="en-US" w:eastAsia="zh-CN" w:bidi="ar-SA"/>
              </w:rPr>
              <w:t>80%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83.75%，</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严重精神障碍患者规范管理率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Arial" w:hAnsi="Arial" w:eastAsia="方正仿宋_GBK" w:cs="Arial"/>
                <w:i w:val="0"/>
                <w:iCs w:val="0"/>
                <w:color w:val="000000"/>
                <w:kern w:val="0"/>
                <w:sz w:val="21"/>
                <w:szCs w:val="21"/>
                <w:u w:val="none"/>
                <w:lang w:val="en-US" w:eastAsia="zh-CN" w:bidi="ar"/>
              </w:rPr>
              <w:t>≥</w:t>
            </w:r>
            <w:r>
              <w:rPr>
                <w:rFonts w:hint="eastAsia" w:ascii="Times New Roman" w:hAnsi="Times New Roman" w:eastAsia="方正仿宋_GBK" w:cs="Times New Roman"/>
                <w:kern w:val="2"/>
                <w:sz w:val="21"/>
                <w:szCs w:val="21"/>
                <w:u w:val="none"/>
                <w:lang w:val="en-US" w:eastAsia="zh-CN" w:bidi="ar-SA"/>
              </w:rPr>
              <w:t>90%</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98.72%，</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确定肺结核规范治疗率</w:t>
            </w:r>
          </w:p>
        </w:tc>
        <w:tc>
          <w:tcPr>
            <w:tcW w:w="2365"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eastAsia"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40" w:lineRule="exact"/>
              <w:ind w:left="0" w:leftChars="0" w:firstLine="0" w:firstLineChars="0"/>
              <w:jc w:val="left"/>
              <w:textAlignment w:val="center"/>
              <w:rPr>
                <w:rFonts w:hint="default" w:ascii="等线" w:hAnsi="等线" w:eastAsia="等线" w:cs="等线"/>
                <w:i w:val="0"/>
                <w:iCs w:val="0"/>
                <w:color w:val="auto"/>
                <w:kern w:val="2"/>
                <w:sz w:val="22"/>
                <w:szCs w:val="22"/>
                <w:highlight w:val="none"/>
                <w:u w:val="none"/>
                <w:lang w:val="en-US" w:eastAsia="zh-CN" w:bidi="ar-SA"/>
              </w:rPr>
            </w:pPr>
            <w:r>
              <w:rPr>
                <w:rFonts w:hint="eastAsia" w:ascii="Times New Roman" w:hAnsi="Times New Roman" w:eastAsia="方正仿宋_GBK" w:cs="Times New Roman"/>
                <w:i w:val="0"/>
                <w:iCs w:val="0"/>
                <w:color w:val="000000"/>
                <w:kern w:val="0"/>
                <w:sz w:val="22"/>
                <w:szCs w:val="22"/>
                <w:u w:val="none"/>
                <w:lang w:val="en-US" w:eastAsia="zh-CN" w:bidi="ar"/>
              </w:rPr>
              <w:t>提升基层基本公共卫生服务水平</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基层基本公共卫生服务水平持续提高</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受益对象满意度普遍较高，认可度较高。</w:t>
            </w:r>
          </w:p>
        </w:tc>
        <w:tc>
          <w:tcPr>
            <w:tcW w:w="77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居民健康意识逐步提高</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项目实施后，居民健康意识逐步提高。</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提高</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4343" w:type="dxa"/>
            <w:vMerge w:val="continue"/>
            <w:tcBorders>
              <w:left w:val="single" w:color="000000" w:sz="4" w:space="0"/>
              <w:bottom w:val="single" w:color="auto"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建立健全重点病种人群的回访机制等。</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项目受益对象满意度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≥96%。</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90</w:t>
            </w:r>
          </w:p>
        </w:tc>
      </w:tr>
    </w:tbl>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同心县卫生健康局基本公共卫生服务项目</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财政专项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同心县卫生健康局分管领导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同心县卫生健康局项目办负责人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同心县卫生健康局财务科室负责人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.请简要介绍一下同心县卫生健康局基本公共卫生服务项目实施中主要负责的工作内容？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r>
        <w:rPr>
          <w:rFonts w:hint="eastAsia" w:ascii="仿宋" w:hAnsi="仿宋" w:eastAsia="仿宋" w:cs="仿宋"/>
          <w:b w:val="0"/>
          <w:bCs w:val="0"/>
          <w:sz w:val="32"/>
          <w:szCs w:val="32"/>
          <w:lang w:val="en-US" w:eastAsia="zh-CN"/>
        </w:rPr>
        <w:t>项目过程中都有哪些好的经验做法？项目开展都有哪些难点和建议？</w:t>
      </w: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同心县卫生健康局基本公共卫生服务项目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为提高财政资金使用效益，同心县财政局组织开展了同心县卫生健康局年度基本公共卫生服务项目绩效评价工作。本次问卷采用不记名方式，请根据您的个人真实感受填写。我们保证问卷数据仅限于统计分析，对您的个人信息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cs="Times New Roman"/>
          <w:sz w:val="30"/>
          <w:szCs w:val="30"/>
          <w:lang w:val="en-US" w:eastAsia="zh-CN"/>
        </w:rPr>
        <w:t>您是否知道居民可以免费享受国家基本公共卫生服务工作项目？ 如居民健康档案、孕产妇、儿童、老年人的免费体检、慢性病患者的健康管理、健康教育等？</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 xml:space="preserve">了解   </w:t>
      </w: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 xml:space="preserve">基本了解  </w:t>
      </w:r>
      <w:r>
        <w:rPr>
          <w:rFonts w:hint="eastAsia" w:ascii="Times New Roman" w:hAnsi="Times New Roman" w:cs="Times New Roman"/>
          <w:sz w:val="30"/>
          <w:szCs w:val="30"/>
          <w:lang w:val="en-US" w:eastAsia="zh-CN"/>
        </w:rPr>
        <w:t>□</w:t>
      </w:r>
      <w:r>
        <w:rPr>
          <w:rFonts w:hint="eastAsia" w:cs="仿宋"/>
          <w:b w:val="0"/>
          <w:bCs w:val="0"/>
          <w:sz w:val="32"/>
          <w:szCs w:val="32"/>
          <w:lang w:val="en-US" w:eastAsia="zh-CN"/>
        </w:rPr>
        <w:t>不了解</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2.您从什么渠道得到政府免费为居民提供基本公共卫生服务的：（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电视、广播、媒体或报纸</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基层医疗卫生机构宣传栏</w:t>
      </w:r>
      <w:r>
        <w:rPr>
          <w:rFonts w:hint="eastAsia" w:cs="仿宋"/>
          <w:b w:val="0"/>
          <w:bCs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□社区宣传栏或告示        □宣传单或宣传册</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□医疗人员告知            □邻里宣传</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□其他渠道                □不知道</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3.您是否为您和您的家人建立了健康档案？（  ）</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□有</w:t>
      </w:r>
      <w:r>
        <w:rPr>
          <w:rFonts w:hint="eastAsia" w:ascii="Times New Roman" w:hAnsi="Times New Roman" w:eastAsia="方正仿宋_GBK" w:cs="Times New Roman"/>
          <w:b w:val="0"/>
          <w:bCs w:val="0"/>
          <w:kern w:val="0"/>
          <w:sz w:val="30"/>
          <w:szCs w:val="30"/>
          <w:lang w:val="en-US" w:eastAsia="zh-CN" w:bidi="zh-CN"/>
        </w:rPr>
        <w:t xml:space="preserve">   </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知道该项目但还未建立健康档案</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不知道此项服务及以上</w:t>
      </w:r>
    </w:p>
    <w:p>
      <w:pPr>
        <w:keepNext w:val="0"/>
        <w:keepLines w:val="0"/>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过去一年，您在社区卫生服务中心（卫生院）参加过健康知识讲座吗？（</w:t>
      </w:r>
      <w:r>
        <w:rPr>
          <w:rFonts w:hint="eastAsia" w:ascii="Times New Roman" w:hAnsi="Times New Roman" w:eastAsia="方正仿宋_GBK" w:cs="Times New Roman"/>
          <w:b w:val="0"/>
          <w:bCs w:val="0"/>
          <w:kern w:val="0"/>
          <w:sz w:val="30"/>
          <w:szCs w:val="30"/>
          <w:lang w:val="en-US" w:eastAsia="zh-CN" w:bidi="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参加过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知道但没参加过</w:t>
      </w:r>
    </w:p>
    <w:p>
      <w:pPr>
        <w:keepNext w:val="0"/>
        <w:keepLines w:val="0"/>
        <w:pageBreakBefore w:val="0"/>
        <w:widowControl w:val="0"/>
        <w:kinsoku/>
        <w:wordWrap/>
        <w:topLinePunct w:val="0"/>
        <w:bidi w:val="0"/>
        <w:ind w:leftChars="0"/>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不知道有此类项目</w:t>
      </w:r>
    </w:p>
    <w:p>
      <w:pPr>
        <w:keepNext w:val="0"/>
        <w:keepLines w:val="0"/>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您获得的基本公共卫生服务种类是：（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□建立居民健康档案    □健康教育</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□预防接种   □儿童健康管    □理孕产妇健康管理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□老年人健康管理慢性病患者健康管理（高血压、Ⅱ型糖尿病）</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□严重精神障碍患者管理 □结核病患者健康管理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w:t>
      </w:r>
      <w:r>
        <w:rPr>
          <w:rFonts w:hint="default" w:ascii="Times New Roman" w:hAnsi="Times New Roman" w:cs="Times New Roman"/>
          <w:sz w:val="30"/>
          <w:szCs w:val="30"/>
          <w:lang w:val="en-US" w:eastAsia="zh-CN"/>
        </w:rPr>
        <w:t>中医药健康管理</w:t>
      </w:r>
      <w:r>
        <w:rPr>
          <w:rFonts w:hint="eastAsia" w:ascii="Times New Roman" w:hAnsi="Times New Roman" w:cs="Times New Roman"/>
          <w:sz w:val="30"/>
          <w:szCs w:val="30"/>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□传染病和突发公共卫生事件报告和处理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w:t>
      </w:r>
      <w:r>
        <w:rPr>
          <w:rFonts w:hint="default" w:ascii="Times New Roman" w:hAnsi="Times New Roman" w:cs="Times New Roman"/>
          <w:sz w:val="30"/>
          <w:szCs w:val="30"/>
          <w:lang w:val="en-US" w:eastAsia="zh-CN"/>
        </w:rPr>
        <w:t>卫生计生监督协管其他</w:t>
      </w:r>
    </w:p>
    <w:p>
      <w:pPr>
        <w:keepNext w:val="0"/>
        <w:keepLines w:val="0"/>
        <w:pageBreakBefore w:val="0"/>
        <w:widowControl w:val="0"/>
        <w:numPr>
          <w:ilvl w:val="0"/>
          <w:numId w:val="1"/>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您在本地的社区卫生服务中心（站）/乡镇卫生院/村医得到这些服务，给您的生活是否带来便利？</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□便利   □不便利</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1.您对本地的社区卫生服务中心（站）/乡镇卫生院/村医提供这些服务技术水平满意吗？</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2.您对本地的社区卫生服务中心（站）/乡镇卫生院/村医提供这些服务态度满意吗？</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3.您对本地的社区卫生服务中心（站）/乡镇卫生院/村医提供的上述基本公共卫生服务的总体评价：（一 ）</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您对基本公共卫生服务工作过程中的意见或建议？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附件4</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drawing>
          <wp:anchor distT="0" distB="0" distL="114300" distR="114300" simplePos="0" relativeHeight="251659264" behindDoc="1" locked="0" layoutInCell="1" allowOverlap="1">
            <wp:simplePos x="0" y="0"/>
            <wp:positionH relativeFrom="column">
              <wp:posOffset>245110</wp:posOffset>
            </wp:positionH>
            <wp:positionV relativeFrom="paragraph">
              <wp:posOffset>619760</wp:posOffset>
            </wp:positionV>
            <wp:extent cx="5095875" cy="6808470"/>
            <wp:effectExtent l="0" t="0" r="9525" b="1143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5095875" cy="6808470"/>
                    </a:xfrm>
                    <a:prstGeom prst="rect">
                      <a:avLst/>
                    </a:prstGeom>
                    <a:noFill/>
                    <a:ln>
                      <a:noFill/>
                    </a:ln>
                  </pic:spPr>
                </pic:pic>
              </a:graphicData>
            </a:graphic>
          </wp:anchor>
        </w:drawing>
      </w: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B24BB05-F0AB-4F7E-968B-FAF028B6D133}"/>
  </w:font>
  <w:font w:name="黑体">
    <w:panose1 w:val="02010609060101010101"/>
    <w:charset w:val="86"/>
    <w:family w:val="auto"/>
    <w:pitch w:val="default"/>
    <w:sig w:usb0="800002BF" w:usb1="38CF7CFA" w:usb2="00000016" w:usb3="00000000" w:csb0="00040001" w:csb1="00000000"/>
    <w:embedRegular r:id="rId2" w:fontKey="{5197E28E-2FEC-42A8-8E08-3270C0E2BF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2457048F-1BEC-4A63-9E2F-7780281864C3}"/>
  </w:font>
  <w:font w:name="楷体">
    <w:panose1 w:val="02010609060101010101"/>
    <w:charset w:val="86"/>
    <w:family w:val="auto"/>
    <w:pitch w:val="default"/>
    <w:sig w:usb0="800002BF" w:usb1="38CF7CFA" w:usb2="00000016" w:usb3="00000000" w:csb0="00040001" w:csb1="00000000"/>
    <w:embedRegular r:id="rId4" w:fontKey="{5183963A-8BAB-4EF4-A710-F13241B0118F}"/>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8E758425-DA1E-4EC8-A25D-5E2696DE234E}"/>
  </w:font>
  <w:font w:name="方正仿宋_GBK">
    <w:panose1 w:val="02000000000000000000"/>
    <w:charset w:val="86"/>
    <w:family w:val="auto"/>
    <w:pitch w:val="default"/>
    <w:sig w:usb0="A00002BF" w:usb1="38CF7CFA" w:usb2="00082016" w:usb3="00000000" w:csb0="00040001" w:csb1="00000000"/>
    <w:embedRegular r:id="rId6" w:fontKey="{8E8724A0-5D1E-4320-A3F7-CD6FA1C86297}"/>
  </w:font>
  <w:font w:name="方正小标宋_GBK">
    <w:panose1 w:val="02000000000000000000"/>
    <w:charset w:val="86"/>
    <w:family w:val="auto"/>
    <w:pitch w:val="default"/>
    <w:sig w:usb0="A00002BF" w:usb1="38CF7CFA" w:usb2="00082016" w:usb3="00000000" w:csb0="00040001" w:csb1="00000000"/>
    <w:embedRegular r:id="rId7" w:fontKey="{6D3CF67C-182E-4893-9836-2F51CA4F1B86}"/>
  </w:font>
  <w:font w:name="方正小标宋简体">
    <w:panose1 w:val="02000000000000000000"/>
    <w:charset w:val="86"/>
    <w:family w:val="auto"/>
    <w:pitch w:val="default"/>
    <w:sig w:usb0="00000001" w:usb1="08000000" w:usb2="00000000" w:usb3="00000000" w:csb0="00040000" w:csb1="00000000"/>
    <w:embedRegular r:id="rId8" w:fontKey="{3B2AB69B-01CB-4378-B71A-4264445093FB}"/>
  </w:font>
  <w:font w:name="方正楷体_GBK">
    <w:panose1 w:val="02000000000000000000"/>
    <w:charset w:val="86"/>
    <w:family w:val="auto"/>
    <w:pitch w:val="default"/>
    <w:sig w:usb0="800002BF" w:usb1="38CF7CFA" w:usb2="00000016" w:usb3="00000000" w:csb0="00040000" w:csb1="00000000"/>
    <w:embedRegular r:id="rId9" w:fontKey="{1E0623CE-98B6-4FA4-B163-C60B9BC0F5E2}"/>
  </w:font>
  <w:font w:name="方正公文小标宋">
    <w:panose1 w:val="02000500000000000000"/>
    <w:charset w:val="86"/>
    <w:family w:val="auto"/>
    <w:pitch w:val="default"/>
    <w:sig w:usb0="A00002BF" w:usb1="38CF7CFA" w:usb2="00000016" w:usb3="00000000" w:csb0="00040001" w:csb1="00000000"/>
    <w:embedRegular r:id="rId10" w:fontKey="{8C16B423-052A-430F-B82B-680E82277959}"/>
  </w:font>
  <w:font w:name="方正仿宋_GB2312">
    <w:panose1 w:val="02000000000000000000"/>
    <w:charset w:val="86"/>
    <w:family w:val="auto"/>
    <w:pitch w:val="default"/>
    <w:sig w:usb0="A00002BF" w:usb1="184F6CFA" w:usb2="00000012" w:usb3="00000000" w:csb0="00040001" w:csb1="00000000"/>
    <w:embedRegular r:id="rId11" w:fontKey="{C7DB3B6D-2F3F-44D4-BDD5-E27AD760695F}"/>
  </w:font>
  <w:font w:name="方正正黑_GBK">
    <w:panose1 w:val="02000000000000000000"/>
    <w:charset w:val="86"/>
    <w:family w:val="auto"/>
    <w:pitch w:val="default"/>
    <w:sig w:usb0="A00002BF" w:usb1="38CF7CFA" w:usb2="00082016" w:usb3="00000000" w:csb0="00040001" w:csb1="00000000"/>
    <w:embedRegular r:id="rId12" w:fontKey="{0FACAA12-DBDF-42A1-908C-9B7B2BD80B38}"/>
  </w:font>
  <w:font w:name="微软雅黑">
    <w:panose1 w:val="020B0503020204020204"/>
    <w:charset w:val="86"/>
    <w:family w:val="auto"/>
    <w:pitch w:val="default"/>
    <w:sig w:usb0="80000287" w:usb1="2ACF3C50" w:usb2="00000016" w:usb3="00000000" w:csb0="0004001F" w:csb1="00000000"/>
    <w:embedRegular r:id="rId13" w:fontKey="{10087CA9-7169-43E9-9559-86ED001D3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p>
    <w:pPr>
      <w:pStyle w:val="15"/>
      <w:pBdr>
        <w:bottom w:val="none" w:color="auto" w:sz="0" w:space="1"/>
      </w:pBdr>
      <w:ind w:left="5940" w:hanging="5940" w:hangingChars="2700"/>
      <w:jc w:val="right"/>
      <w:rPr>
        <w:rFonts w:hint="eastAsia"/>
        <w:sz w:val="22"/>
        <w:szCs w:val="22"/>
        <w:lang w:val="en-US" w:eastAsia="zh-CN"/>
      </w:rPr>
    </w:pPr>
  </w:p>
  <w:p>
    <w:pPr>
      <w:pStyle w:val="15"/>
      <w:pBdr>
        <w:bottom w:val="thinThickMediumGap" w:color="auto" w:sz="18" w:space="1"/>
      </w:pBdr>
      <w:ind w:left="5940" w:hanging="5963" w:hangingChars="2700"/>
      <w:jc w:val="right"/>
      <w:rPr>
        <w:rFonts w:hint="eastAsia"/>
        <w:sz w:val="22"/>
        <w:szCs w:val="22"/>
        <w:lang w:val="en-US" w:eastAsia="zh-CN"/>
      </w:rPr>
    </w:pPr>
    <w:r>
      <w:rPr>
        <w:rFonts w:hint="eastAsia"/>
        <w:b/>
        <w:bCs/>
        <w:sz w:val="22"/>
        <w:szCs w:val="22"/>
        <w:lang w:val="en-US" w:eastAsia="zh-CN"/>
      </w:rPr>
      <w:t>同心县卫生健康局基本公共卫生服务项目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right"/>
      <w:rPr>
        <w:rFonts w:hint="eastAsia"/>
        <w:sz w:val="21"/>
        <w:szCs w:val="21"/>
        <w:lang w:val="en-US" w:eastAsia="zh-CN"/>
      </w:rPr>
    </w:pPr>
  </w:p>
  <w:p>
    <w:pPr>
      <w:pStyle w:val="15"/>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1"/>
        <w:szCs w:val="21"/>
        <w:lang w:val="en-US" w:eastAsia="zh-CN"/>
      </w:rPr>
      <w:t>同心县卫生健康局基本公共卫生服务项目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E5FDCF14"/>
    <w:multiLevelType w:val="singleLevel"/>
    <w:tmpl w:val="E5FDCF14"/>
    <w:lvl w:ilvl="0" w:tentative="0">
      <w:start w:val="1"/>
      <w:numFmt w:val="decimal"/>
      <w:suff w:val="nothing"/>
      <w:lvlText w:val="（%1）"/>
      <w:lvlJc w:val="left"/>
    </w:lvl>
  </w:abstractNum>
  <w:abstractNum w:abstractNumId="2">
    <w:nsid w:val="200884CA"/>
    <w:multiLevelType w:val="singleLevel"/>
    <w:tmpl w:val="200884CA"/>
    <w:lvl w:ilvl="0" w:tentative="0">
      <w:start w:val="2"/>
      <w:numFmt w:val="decimal"/>
      <w:lvlText w:val="%1."/>
      <w:lvlJc w:val="left"/>
      <w:pPr>
        <w:tabs>
          <w:tab w:val="left" w:pos="312"/>
        </w:tabs>
      </w:pPr>
    </w:lvl>
  </w:abstractNum>
  <w:abstractNum w:abstractNumId="3">
    <w:nsid w:val="593CDF42"/>
    <w:multiLevelType w:val="singleLevel"/>
    <w:tmpl w:val="593CDF42"/>
    <w:lvl w:ilvl="0" w:tentative="0">
      <w:start w:val="3"/>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A3629"/>
    <w:rsid w:val="013B0A52"/>
    <w:rsid w:val="01711D58"/>
    <w:rsid w:val="018E561E"/>
    <w:rsid w:val="01A22C15"/>
    <w:rsid w:val="02693F89"/>
    <w:rsid w:val="031F0282"/>
    <w:rsid w:val="03321D76"/>
    <w:rsid w:val="03782AE9"/>
    <w:rsid w:val="038F5644"/>
    <w:rsid w:val="049979AA"/>
    <w:rsid w:val="04CB2483"/>
    <w:rsid w:val="05127FF8"/>
    <w:rsid w:val="05373674"/>
    <w:rsid w:val="057E08FD"/>
    <w:rsid w:val="05B240B9"/>
    <w:rsid w:val="05DE7F94"/>
    <w:rsid w:val="06310741"/>
    <w:rsid w:val="067B3A34"/>
    <w:rsid w:val="06935222"/>
    <w:rsid w:val="06970B4A"/>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BDB587F"/>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23478B9"/>
    <w:rsid w:val="12780A7F"/>
    <w:rsid w:val="12A803F6"/>
    <w:rsid w:val="12B800BB"/>
    <w:rsid w:val="1306193D"/>
    <w:rsid w:val="138163C4"/>
    <w:rsid w:val="13D16037"/>
    <w:rsid w:val="13F70E5A"/>
    <w:rsid w:val="14377C9A"/>
    <w:rsid w:val="14642D3C"/>
    <w:rsid w:val="151B68BE"/>
    <w:rsid w:val="15BC373C"/>
    <w:rsid w:val="15D25F85"/>
    <w:rsid w:val="15D614F9"/>
    <w:rsid w:val="15E50ECA"/>
    <w:rsid w:val="165E3157"/>
    <w:rsid w:val="17C26244"/>
    <w:rsid w:val="18070836"/>
    <w:rsid w:val="18CC35FF"/>
    <w:rsid w:val="18D555BD"/>
    <w:rsid w:val="19A84F19"/>
    <w:rsid w:val="1A11557B"/>
    <w:rsid w:val="1A725422"/>
    <w:rsid w:val="1B0B13D3"/>
    <w:rsid w:val="1B587F55"/>
    <w:rsid w:val="1BBE1FA1"/>
    <w:rsid w:val="1CE014E1"/>
    <w:rsid w:val="1CFE5775"/>
    <w:rsid w:val="1D2F4821"/>
    <w:rsid w:val="1D4F132F"/>
    <w:rsid w:val="1D5F1562"/>
    <w:rsid w:val="1D8B2357"/>
    <w:rsid w:val="1DC45FEE"/>
    <w:rsid w:val="1DFC45E7"/>
    <w:rsid w:val="1E2C3180"/>
    <w:rsid w:val="1EC9579B"/>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9018DE"/>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5D54F0"/>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4863B0"/>
    <w:rsid w:val="315E5AAD"/>
    <w:rsid w:val="317928C0"/>
    <w:rsid w:val="317D7F2F"/>
    <w:rsid w:val="31A041CB"/>
    <w:rsid w:val="31EB3B69"/>
    <w:rsid w:val="31FC6110"/>
    <w:rsid w:val="32324B40"/>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5C97A69"/>
    <w:rsid w:val="366C6D72"/>
    <w:rsid w:val="36CC15BF"/>
    <w:rsid w:val="379D4EBE"/>
    <w:rsid w:val="37D93A30"/>
    <w:rsid w:val="37EE76D8"/>
    <w:rsid w:val="3822361E"/>
    <w:rsid w:val="38250B51"/>
    <w:rsid w:val="3846715C"/>
    <w:rsid w:val="394259F7"/>
    <w:rsid w:val="39EC58CA"/>
    <w:rsid w:val="39FB2B8C"/>
    <w:rsid w:val="3A1F1BFC"/>
    <w:rsid w:val="3A3F02FA"/>
    <w:rsid w:val="3A5D44DB"/>
    <w:rsid w:val="3A9262F0"/>
    <w:rsid w:val="3AC30F2B"/>
    <w:rsid w:val="3AE54968"/>
    <w:rsid w:val="3AED2368"/>
    <w:rsid w:val="3B261658"/>
    <w:rsid w:val="3B500B8C"/>
    <w:rsid w:val="3B7735F2"/>
    <w:rsid w:val="3BB05953"/>
    <w:rsid w:val="3BCB0097"/>
    <w:rsid w:val="3C44609B"/>
    <w:rsid w:val="3C460065"/>
    <w:rsid w:val="3C653FC1"/>
    <w:rsid w:val="3D2757A1"/>
    <w:rsid w:val="3D2C6D87"/>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C18CC"/>
    <w:rsid w:val="459C4B6B"/>
    <w:rsid w:val="45F418B3"/>
    <w:rsid w:val="45FD79E7"/>
    <w:rsid w:val="463C0759"/>
    <w:rsid w:val="46624259"/>
    <w:rsid w:val="46C44060"/>
    <w:rsid w:val="471E751C"/>
    <w:rsid w:val="472900CD"/>
    <w:rsid w:val="47A76A1D"/>
    <w:rsid w:val="47B70069"/>
    <w:rsid w:val="47B95B8F"/>
    <w:rsid w:val="47D334DC"/>
    <w:rsid w:val="48272AF9"/>
    <w:rsid w:val="488E1501"/>
    <w:rsid w:val="488F195B"/>
    <w:rsid w:val="48A2254D"/>
    <w:rsid w:val="49072C4A"/>
    <w:rsid w:val="496D1725"/>
    <w:rsid w:val="498C7B7B"/>
    <w:rsid w:val="49A80A70"/>
    <w:rsid w:val="49EE685A"/>
    <w:rsid w:val="49F25388"/>
    <w:rsid w:val="4A045B66"/>
    <w:rsid w:val="4A0D5D1E"/>
    <w:rsid w:val="4A1470AD"/>
    <w:rsid w:val="4A471230"/>
    <w:rsid w:val="4A551E47"/>
    <w:rsid w:val="4A6E0EB3"/>
    <w:rsid w:val="4AC24D5B"/>
    <w:rsid w:val="4C07336D"/>
    <w:rsid w:val="4C126731"/>
    <w:rsid w:val="4C561BFF"/>
    <w:rsid w:val="4C6C277D"/>
    <w:rsid w:val="4C80439B"/>
    <w:rsid w:val="4CD82614"/>
    <w:rsid w:val="4D245859"/>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D43E4A"/>
    <w:rsid w:val="50F9524E"/>
    <w:rsid w:val="514507F5"/>
    <w:rsid w:val="519D207E"/>
    <w:rsid w:val="51CF6940"/>
    <w:rsid w:val="52132340"/>
    <w:rsid w:val="523508CE"/>
    <w:rsid w:val="52467A28"/>
    <w:rsid w:val="527340DC"/>
    <w:rsid w:val="527F195C"/>
    <w:rsid w:val="52A167DD"/>
    <w:rsid w:val="52DC74CD"/>
    <w:rsid w:val="52FE4D9E"/>
    <w:rsid w:val="530F2210"/>
    <w:rsid w:val="53146370"/>
    <w:rsid w:val="53487DC7"/>
    <w:rsid w:val="534C038B"/>
    <w:rsid w:val="53837B15"/>
    <w:rsid w:val="545F7A68"/>
    <w:rsid w:val="55366A71"/>
    <w:rsid w:val="55E53FF3"/>
    <w:rsid w:val="56150435"/>
    <w:rsid w:val="56250D50"/>
    <w:rsid w:val="566C4581"/>
    <w:rsid w:val="5684380C"/>
    <w:rsid w:val="56C62FC9"/>
    <w:rsid w:val="58366D88"/>
    <w:rsid w:val="58B8408C"/>
    <w:rsid w:val="58C53371"/>
    <w:rsid w:val="58F24A5D"/>
    <w:rsid w:val="592503CD"/>
    <w:rsid w:val="5A105AE3"/>
    <w:rsid w:val="5AC71F19"/>
    <w:rsid w:val="5ADC3C17"/>
    <w:rsid w:val="5B48305A"/>
    <w:rsid w:val="5BA00781"/>
    <w:rsid w:val="5BED775E"/>
    <w:rsid w:val="5C0F1DCA"/>
    <w:rsid w:val="5C2F0C39"/>
    <w:rsid w:val="5CAF7795"/>
    <w:rsid w:val="5CB00EB7"/>
    <w:rsid w:val="5D086F45"/>
    <w:rsid w:val="5D323FC2"/>
    <w:rsid w:val="5DE828D3"/>
    <w:rsid w:val="5E08551F"/>
    <w:rsid w:val="5E525F9E"/>
    <w:rsid w:val="5E6F08FE"/>
    <w:rsid w:val="5EBA2711"/>
    <w:rsid w:val="5F745E66"/>
    <w:rsid w:val="5FA171DD"/>
    <w:rsid w:val="5FD749AD"/>
    <w:rsid w:val="6025396A"/>
    <w:rsid w:val="6040150D"/>
    <w:rsid w:val="60936B26"/>
    <w:rsid w:val="60C2740B"/>
    <w:rsid w:val="61495849"/>
    <w:rsid w:val="615A19EE"/>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4A5151D"/>
    <w:rsid w:val="64DA6254"/>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8F50CCF"/>
    <w:rsid w:val="6A5437CA"/>
    <w:rsid w:val="6A917936"/>
    <w:rsid w:val="6AC16985"/>
    <w:rsid w:val="6ACA3A8C"/>
    <w:rsid w:val="6AD14E1A"/>
    <w:rsid w:val="6AF23C66"/>
    <w:rsid w:val="6B1A20D3"/>
    <w:rsid w:val="6B6B233A"/>
    <w:rsid w:val="6BA3746A"/>
    <w:rsid w:val="6BC7335C"/>
    <w:rsid w:val="6BEC38B2"/>
    <w:rsid w:val="6C2076DB"/>
    <w:rsid w:val="6D67760E"/>
    <w:rsid w:val="6D6A6E60"/>
    <w:rsid w:val="6DAD31F1"/>
    <w:rsid w:val="6E4C2A0A"/>
    <w:rsid w:val="6E7D43D0"/>
    <w:rsid w:val="6EEC38DF"/>
    <w:rsid w:val="6F370F76"/>
    <w:rsid w:val="6F965839"/>
    <w:rsid w:val="6FB36D7A"/>
    <w:rsid w:val="6FE216A6"/>
    <w:rsid w:val="70266E22"/>
    <w:rsid w:val="70660DD0"/>
    <w:rsid w:val="709A7A5C"/>
    <w:rsid w:val="70AF0549"/>
    <w:rsid w:val="70D3575F"/>
    <w:rsid w:val="71302009"/>
    <w:rsid w:val="71387B02"/>
    <w:rsid w:val="717464FF"/>
    <w:rsid w:val="717E3F66"/>
    <w:rsid w:val="71BB65F3"/>
    <w:rsid w:val="71EF02C9"/>
    <w:rsid w:val="72EF679F"/>
    <w:rsid w:val="730B450D"/>
    <w:rsid w:val="7343262D"/>
    <w:rsid w:val="740A20FF"/>
    <w:rsid w:val="742E4065"/>
    <w:rsid w:val="743838A1"/>
    <w:rsid w:val="74512B28"/>
    <w:rsid w:val="74563369"/>
    <w:rsid w:val="74836A59"/>
    <w:rsid w:val="74BB05BD"/>
    <w:rsid w:val="74DA512E"/>
    <w:rsid w:val="74F160B9"/>
    <w:rsid w:val="75E27AD0"/>
    <w:rsid w:val="767C258A"/>
    <w:rsid w:val="76AA651F"/>
    <w:rsid w:val="76DD54BE"/>
    <w:rsid w:val="774226B2"/>
    <w:rsid w:val="774A1F82"/>
    <w:rsid w:val="77943863"/>
    <w:rsid w:val="779E42D6"/>
    <w:rsid w:val="77C41D03"/>
    <w:rsid w:val="77C655DB"/>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0C7AC0"/>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0">
    <w:name w:val="Title"/>
    <w:basedOn w:val="1"/>
    <w:next w:val="1"/>
    <w:autoRedefine/>
    <w:qFormat/>
    <w:uiPriority w:val="99"/>
    <w:pPr>
      <w:spacing w:before="240" w:after="60"/>
      <w:jc w:val="center"/>
      <w:outlineLvl w:val="0"/>
    </w:pPr>
    <w:rPr>
      <w:rFonts w:ascii="Cambria" w:hAnsi="Cambria" w:eastAsia="宋体"/>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5"/>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 w:type="paragraph" w:customStyle="1" w:styleId="39">
    <w:name w:val="p0"/>
    <w:basedOn w:val="1"/>
    <w:autoRedefine/>
    <w:qFormat/>
    <w:uiPriority w:val="0"/>
    <w:pPr>
      <w:adjustRightInd/>
      <w:textAlignment w:val="auto"/>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28261</Words>
  <Characters>30266</Characters>
  <Lines>0</Lines>
  <Paragraphs>0</Paragraphs>
  <TotalTime>0</TotalTime>
  <ScaleCrop>false</ScaleCrop>
  <LinksUpToDate>false</LinksUpToDate>
  <CharactersWithSpaces>31055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2024-01-29T02:52:14Z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7704EE82C3E9471FA5F1E99162B6CE87_13</vt:lpwstr>
  </property>
</Properties>
</file>