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同心县韦州镇2022年高质量美丽宜居村庄奖补资金项目绩效评价报告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default" w:ascii="Times New Roman" w:hAnsi="Times New Roman" w:eastAsia="楷体" w:cs="Times New Roman"/>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sz w:val="30"/>
          <w:szCs w:val="30"/>
          <w:lang w:val="en-US" w:eastAsia="zh-CN"/>
        </w:rPr>
        <w:t>〕</w:t>
      </w:r>
      <w:r>
        <w:rPr>
          <w:rFonts w:hint="default" w:ascii="Times New Roman" w:hAnsi="Times New Roman" w:eastAsia="楷体" w:cs="Times New Roman"/>
          <w:b w:val="0"/>
          <w:bCs w:val="0"/>
          <w:i w:val="0"/>
          <w:iCs w:val="0"/>
          <w:sz w:val="32"/>
          <w:szCs w:val="32"/>
          <w:highlight w:val="none"/>
        </w:rPr>
        <w:t>第</w:t>
      </w:r>
      <w:r>
        <w:rPr>
          <w:rFonts w:hint="default" w:ascii="Times New Roman" w:hAnsi="Times New Roman" w:eastAsia="楷体" w:cs="Times New Roman"/>
          <w:b w:val="0"/>
          <w:bCs w:val="0"/>
          <w:i w:val="0"/>
          <w:iCs w:val="0"/>
          <w:sz w:val="32"/>
          <w:szCs w:val="32"/>
          <w:highlight w:val="none"/>
          <w:lang w:val="en-US" w:eastAsia="zh-CN"/>
        </w:rPr>
        <w:t>024</w:t>
      </w:r>
      <w:r>
        <w:rPr>
          <w:rFonts w:hint="default" w:ascii="Times New Roman" w:hAnsi="Times New Roman" w:eastAsia="楷体" w:cs="Times New Roman"/>
          <w:b w:val="0"/>
          <w:bCs w:val="0"/>
          <w:i w:val="0"/>
          <w:iCs w:val="0"/>
          <w:sz w:val="32"/>
          <w:szCs w:val="32"/>
          <w:highlight w:val="none"/>
        </w:rPr>
        <w:t>号</w:t>
      </w:r>
    </w:p>
    <w:p>
      <w:pPr>
        <w:keepNext w:val="0"/>
        <w:keepLines w:val="0"/>
        <w:pageBreakBefore w:val="0"/>
        <w:widowControl w:val="0"/>
        <w:kinsoku/>
        <w:wordWrap/>
        <w:overflowPunct w:val="0"/>
        <w:topLinePunct w:val="0"/>
        <w:autoSpaceDE/>
        <w:autoSpaceDN/>
        <w:bidi w:val="0"/>
        <w:adjustRightInd/>
        <w:snapToGrid/>
        <w:spacing w:line="5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0"/>
        <w:rPr>
          <w:rFonts w:hint="eastAsia" w:ascii="黑体" w:hAnsi="黑体" w:eastAsia="黑体" w:cs="黑体"/>
          <w:sz w:val="44"/>
          <w:szCs w:val="44"/>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 价 日 期： 二〇二三年十二月</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00" w:firstLineChars="200"/>
        <w:jc w:val="both"/>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both"/>
        <w:textAlignment w:val="auto"/>
        <w:outlineLvl w:val="9"/>
        <w:rPr>
          <w:rFonts w:hint="eastAsia" w:ascii="方正小标宋简体" w:hAnsi="方正小标宋简体" w:eastAsia="方正小标宋简体" w:cs="方正小标宋简体"/>
          <w:b w:val="0"/>
          <w:color w:val="000000"/>
          <w:kern w:val="0"/>
          <w:sz w:val="48"/>
          <w:szCs w:val="48"/>
          <w:lang w:val="en-US" w:eastAsia="zh-CN" w:bidi="ar"/>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同心县韦州镇2022年高质量美丽宜居村庄</w:t>
      </w: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奖补资金项目绩效评价报告</w:t>
      </w:r>
    </w:p>
    <w:p>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center"/>
        <w:textAlignment w:val="auto"/>
        <w:rPr>
          <w:rFonts w:hint="default" w:ascii="Times New Roman" w:hAnsi="Times New Roman" w:cs="Times New Roman"/>
        </w:rPr>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sz w:val="30"/>
          <w:szCs w:val="30"/>
          <w:lang w:val="en-US" w:eastAsia="zh-CN"/>
        </w:rPr>
        <w:t>〕</w:t>
      </w:r>
      <w:r>
        <w:rPr>
          <w:rFonts w:hint="default" w:ascii="Times New Roman" w:hAnsi="Times New Roman" w:eastAsia="楷体" w:cs="Times New Roman"/>
          <w:color w:val="000000"/>
          <w:kern w:val="0"/>
          <w:sz w:val="31"/>
          <w:szCs w:val="31"/>
          <w:lang w:val="en-US" w:eastAsia="zh-CN" w:bidi="ar"/>
        </w:rPr>
        <w:t>第024号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1057" w:firstLineChars="341"/>
        <w:jc w:val="left"/>
        <w:rPr>
          <w:lang w:val="en-US" w:eastAsia="zh-CN"/>
        </w:rPr>
      </w:pPr>
      <w:r>
        <w:rPr>
          <w:rFonts w:hint="eastAsia" w:ascii="方正小标宋_GBK" w:hAnsi="方正小标宋_GBK" w:eastAsia="方正小标宋_GBK" w:cs="方正小标宋_GBK"/>
          <w:color w:val="000000"/>
          <w:kern w:val="0"/>
          <w:sz w:val="31"/>
          <w:szCs w:val="31"/>
          <w:lang w:val="en-US" w:eastAsia="zh-CN" w:bidi="ar"/>
        </w:rPr>
        <w:tab/>
      </w:r>
      <w:bookmarkStart w:id="175" w:name="_GoBack"/>
      <w:bookmarkEnd w:id="175"/>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left"/>
        <w:textAlignment w:val="auto"/>
        <w:rPr>
          <w:rFonts w:hint="default"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spacing w:val="0"/>
          <w:kern w:val="0"/>
          <w:sz w:val="28"/>
          <w:szCs w:val="28"/>
          <w:lang w:val="en-US" w:eastAsia="zh-CN" w:bidi="ar"/>
        </w:rPr>
        <w:t>评价对象名称：同心县韦州镇人民政府</w:t>
      </w:r>
    </w:p>
    <w:p>
      <w:pPr>
        <w:keepNext w:val="0"/>
        <w:keepLines w:val="0"/>
        <w:pageBreakBefore w:val="0"/>
        <w:widowControl/>
        <w:suppressLineNumbers w:val="0"/>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0"/>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17352"/>
      <w:bookmarkStart w:id="1" w:name="_Toc32534"/>
      <w:r>
        <w:rPr>
          <w:rFonts w:hint="eastAsia" w:asciiTheme="majorEastAsia" w:hAnsiTheme="majorEastAsia" w:eastAsiaTheme="majorEastAsia" w:cstheme="majorEastAsia"/>
          <w:b/>
          <w:bCs/>
          <w:sz w:val="30"/>
          <w:szCs w:val="30"/>
          <w:lang w:val="en-US" w:eastAsia="zh-CN"/>
        </w:rPr>
        <w:t>一、项目背景</w:t>
      </w:r>
      <w:bookmarkEnd w:id="0"/>
      <w:bookmarkEnd w:id="1"/>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 w:name="_Toc13114"/>
      <w:bookmarkStart w:id="3" w:name="_Toc32242"/>
      <w:bookmarkStart w:id="4" w:name="_Toc18303"/>
      <w:r>
        <w:rPr>
          <w:rFonts w:hint="eastAsia" w:ascii="Times New Roman" w:hAnsi="Times New Roman" w:eastAsia="方正仿宋_GBK" w:cs="Times New Roman"/>
          <w:color w:val="auto"/>
          <w:kern w:val="2"/>
          <w:sz w:val="30"/>
          <w:szCs w:val="30"/>
          <w:highlight w:val="none"/>
          <w:lang w:val="en-US" w:eastAsia="zh-CN" w:bidi="ar-SA"/>
        </w:rPr>
        <w:t>党的二十大报告对全面推进乡村振兴作出新的部署安排，强调“建设宜居宜业和美乡村”，为未来乡村建设提供行动纲领。从“宜居”“宜业”“和美”三重建设要素审视和美乡村的内涵要义；从农业强国、乡村建设、农民美好生活需要3个视角分析建设和美乡村的价值意蕴；聚焦整治提升人居环境、实现乡村村民增收、提升乡村治理效能和推进乡村精神文明建设等内容；提出宜居宜业和美乡村建设的路径思考，对于全面推进乡村振兴、加快推进农业农村现代化具有积极的意义。</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建设宜居宜业和美乡村，是农业强国的应有之义，也是实现中国式现代化的重要举措。从建设美丽乡村、乡村建设行动，到党的二十大提出建设宜居宜业和美乡村，乡村振兴的基本内涵和目标要求不断拓展。当前，推动宜居宜业和美乡村建设面临前所未有的新情况，必须放在推进中国式现代化大背景下来审视，把握新的变化趋势，着眼新的目标要求，与建设农业强国、全面推进乡村振兴、实施乡村建设行动统筹起来，加强顶层设计、统筹谋划，努力满足亿万农民对建设美丽家园、过上美好生活的愿景和期盼。</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近年来，韦州镇甘沟村充分发挥党员干部带头作用，采取切实措施，引导群众积极开展人居环境整治，提升村庄品位，美化村容村貌，擦亮乡村振兴底色，有效提升群众幸福感、满意度</w:t>
      </w:r>
      <w:r>
        <w:rPr>
          <w:rFonts w:hint="default"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二、项目预算资金</w:t>
      </w:r>
      <w:bookmarkEnd w:id="2"/>
      <w:bookmarkEnd w:id="3"/>
      <w:bookmarkEnd w:id="4"/>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bookmarkStart w:id="5" w:name="_Toc30853"/>
      <w:bookmarkStart w:id="6" w:name="_Toc3837"/>
      <w:r>
        <w:rPr>
          <w:rFonts w:hint="eastAsia" w:ascii="Times New Roman" w:hAnsi="Times New Roman" w:eastAsia="方正仿宋_GBK" w:cs="Times New Roman"/>
          <w:color w:val="auto"/>
          <w:kern w:val="2"/>
          <w:sz w:val="30"/>
          <w:szCs w:val="30"/>
          <w:highlight w:val="none"/>
          <w:lang w:val="en-US" w:eastAsia="zh-CN" w:bidi="ar-SA"/>
        </w:rPr>
        <w:t>2022年4月29日，根据《自治区住房和城乡建设厅关于拨付2022年重点小城镇和高质量美丽宜居村庄建设项目奖补资金的请示</w:t>
      </w:r>
      <w:r>
        <w:rPr>
          <w:rFonts w:hint="eastAsia" w:ascii="Times New Roman" w:hAnsi="Times New Roman" w:eastAsia="方正仿宋_GB2312" w:cs="Times New Roman"/>
          <w:kern w:val="2"/>
          <w:sz w:val="30"/>
          <w:szCs w:val="30"/>
          <w:lang w:val="en-US" w:eastAsia="zh-CN" w:bidi="ar-SA"/>
        </w:rPr>
        <w:t>》（宁建发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17号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《自治区财政厅 自治区住建厅关于下达2022年重点小城镇、高质量美丽宜居村庄建设项目奖补资金预算的通知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139号</w:t>
      </w:r>
      <w:r>
        <w:rPr>
          <w:rFonts w:hint="eastAsia" w:ascii="Times New Roman" w:hAnsi="Times New Roman" w:eastAsia="方正仿宋_GB2312" w:cs="Times New Roman"/>
          <w:kern w:val="2"/>
          <w:sz w:val="30"/>
          <w:szCs w:val="30"/>
          <w:lang w:val="en-US" w:eastAsia="zh-CN" w:bidi="ar-SA"/>
        </w:rPr>
        <w:t>）文件精神，下达资金200.00万元。</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7" w:name="_Toc22976"/>
      <w:r>
        <w:rPr>
          <w:rFonts w:hint="eastAsia" w:ascii="Times New Roman" w:hAnsi="Times New Roman" w:eastAsia="方正仿宋_GBK" w:cs="Times New Roman"/>
          <w:color w:val="auto"/>
          <w:kern w:val="2"/>
          <w:sz w:val="30"/>
          <w:szCs w:val="30"/>
          <w:highlight w:val="none"/>
          <w:lang w:val="en-US" w:eastAsia="zh-CN" w:bidi="ar-SA"/>
        </w:rPr>
        <w:t>截至目前，实际支出200.00万元，预算执行率100.00%。</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评价结论</w:t>
      </w:r>
      <w:bookmarkEnd w:id="5"/>
      <w:bookmarkEnd w:id="6"/>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default" w:ascii="Times New Roman" w:hAnsi="Times New Roman" w:eastAsia="仿宋" w:cs="Times New Roman"/>
          <w:b w:val="0"/>
          <w:bCs w:val="0"/>
          <w:kern w:val="0"/>
          <w:sz w:val="30"/>
          <w:szCs w:val="30"/>
          <w:lang w:val="en-US" w:eastAsia="zh-CN" w:bidi="zh-CN"/>
        </w:rPr>
        <w:t>通过</w:t>
      </w:r>
      <w:r>
        <w:rPr>
          <w:rFonts w:hint="default" w:ascii="Times New Roman" w:hAnsi="Times New Roman" w:cs="Times New Roman"/>
          <w:b w:val="0"/>
          <w:bCs w:val="0"/>
          <w:kern w:val="0"/>
          <w:sz w:val="30"/>
          <w:szCs w:val="30"/>
          <w:lang w:val="en-US" w:eastAsia="zh-CN" w:bidi="zh-CN"/>
        </w:rPr>
        <w:t>资料收集</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现场</w:t>
      </w:r>
      <w:r>
        <w:rPr>
          <w:rFonts w:hint="default" w:ascii="Times New Roman" w:hAnsi="Times New Roman" w:eastAsia="仿宋" w:cs="Times New Roman"/>
          <w:b w:val="0"/>
          <w:bCs w:val="0"/>
          <w:kern w:val="0"/>
          <w:sz w:val="30"/>
          <w:szCs w:val="30"/>
          <w:lang w:val="en-US" w:eastAsia="zh-CN" w:bidi="zh-CN"/>
        </w:rPr>
        <w:t>访谈和问卷调查获取的数据，评价组对</w:t>
      </w:r>
      <w:r>
        <w:rPr>
          <w:rFonts w:hint="eastAsia" w:ascii="Times New Roman" w:hAnsi="Times New Roman" w:eastAsia="方正仿宋_GBK" w:cs="Times New Roman"/>
          <w:color w:val="auto"/>
          <w:kern w:val="2"/>
          <w:sz w:val="30"/>
          <w:szCs w:val="30"/>
          <w:highlight w:val="none"/>
          <w:lang w:val="en-US" w:eastAsia="zh-CN" w:bidi="ar-SA"/>
        </w:rPr>
        <w:t>同心县韦州镇2022年高质量美丽宜居村庄奖补资金项目</w:t>
      </w:r>
      <w:r>
        <w:rPr>
          <w:rFonts w:hint="default" w:ascii="Times New Roman" w:hAnsi="Times New Roman" w:eastAsia="仿宋" w:cs="Times New Roman"/>
          <w:b w:val="0"/>
          <w:bCs w:val="0"/>
          <w:kern w:val="0"/>
          <w:sz w:val="30"/>
          <w:szCs w:val="30"/>
          <w:lang w:val="en-US" w:eastAsia="zh-CN" w:bidi="zh-CN"/>
        </w:rPr>
        <w:t>进行了独立客观公正的评价，最终得分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91</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优</w:t>
      </w:r>
      <w:r>
        <w:rPr>
          <w:rFonts w:hint="default" w:ascii="Times New Roman" w:hAnsi="Times New Roman" w:cs="Times New Roman"/>
          <w:b/>
          <w:bCs/>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w:t>
      </w:r>
      <w:bookmarkStart w:id="8" w:name="_Toc16100"/>
      <w:bookmarkStart w:id="9" w:name="_Toc10088"/>
      <w:bookmarkStart w:id="10" w:name="_Toc12376"/>
      <w:bookmarkStart w:id="11" w:name="_Toc21407"/>
      <w:bookmarkStart w:id="12" w:name="_Toc1426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四、主要经验</w:t>
      </w:r>
      <w:bookmarkEnd w:id="8"/>
      <w:bookmarkEnd w:id="9"/>
      <w:bookmarkEnd w:id="10"/>
      <w:bookmarkEnd w:id="11"/>
      <w:bookmarkEnd w:id="12"/>
      <w:bookmarkStart w:id="13" w:name="_Toc3362"/>
      <w:bookmarkStart w:id="14" w:name="_Toc29010"/>
      <w:bookmarkStart w:id="15" w:name="_Toc5586"/>
      <w:r>
        <w:rPr>
          <w:rFonts w:hint="eastAsia" w:ascii="方正正黑_GBK" w:hAnsi="方正正黑_GBK" w:eastAsia="方正正黑_GBK" w:cs="方正正黑_GBK"/>
          <w:b/>
          <w:bCs/>
          <w:sz w:val="30"/>
          <w:szCs w:val="30"/>
          <w:lang w:val="en-US" w:eastAsia="zh-CN"/>
        </w:rPr>
        <w:t>、存在问题及建议</w:t>
      </w:r>
    </w:p>
    <w:bookmarkEnd w:id="13"/>
    <w:bookmarkEnd w:id="14"/>
    <w:bookmarkEnd w:id="15"/>
    <w:p>
      <w:pPr>
        <w:pStyle w:val="4"/>
        <w:ind w:firstLine="562"/>
        <w:rPr>
          <w:rFonts w:ascii="方正楷体_GBK" w:hAnsi="方正楷体_GBK" w:eastAsia="方正楷体_GBK" w:cs="方正楷体_GBK"/>
          <w:b/>
          <w:bCs w:val="0"/>
          <w:sz w:val="32"/>
          <w:szCs w:val="32"/>
        </w:rPr>
      </w:pPr>
      <w:bookmarkStart w:id="16" w:name="_Toc5203"/>
      <w:bookmarkStart w:id="17" w:name="_Toc5249"/>
      <w:r>
        <w:rPr>
          <w:rFonts w:hint="eastAsia" w:ascii="方正楷体_GBK" w:hAnsi="方正楷体_GBK" w:eastAsia="方正楷体_GBK" w:cs="方正楷体_GBK"/>
          <w:b/>
          <w:bCs w:val="0"/>
          <w:sz w:val="32"/>
          <w:szCs w:val="32"/>
        </w:rPr>
        <w:t>（一）经验做法</w:t>
      </w:r>
      <w:bookmarkEnd w:id="16"/>
      <w:bookmarkEnd w:id="17"/>
    </w:p>
    <w:p>
      <w:pPr>
        <w:keepNext w:val="0"/>
        <w:keepLines w:val="0"/>
        <w:pageBreakBefore w:val="0"/>
        <w:widowControl/>
        <w:kinsoku/>
        <w:wordWrap/>
        <w:overflowPunct/>
        <w:topLinePunct w:val="0"/>
        <w:autoSpaceDE/>
        <w:autoSpaceDN/>
        <w:bidi w:val="0"/>
        <w:adjustRightInd w:val="0"/>
        <w:snapToGrid w:val="0"/>
        <w:spacing w:line="560" w:lineRule="exact"/>
        <w:ind w:left="0" w:right="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2"/>
          <w:sz w:val="30"/>
          <w:szCs w:val="30"/>
          <w:highlight w:val="none"/>
          <w:lang w:val="en-US" w:eastAsia="zh-CN" w:bidi="ar-SA"/>
        </w:rPr>
        <w:t>同心县韦州镇2022年高质量美丽宜居村庄奖补资金项目</w:t>
      </w:r>
      <w:r>
        <w:rPr>
          <w:rFonts w:hint="default" w:ascii="Times New Roman" w:hAnsi="Times New Roman" w:eastAsia="方正仿宋_GBK" w:cs="Times New Roman"/>
          <w:color w:val="auto"/>
          <w:kern w:val="0"/>
          <w:sz w:val="30"/>
          <w:szCs w:val="30"/>
          <w:lang w:val="en-US" w:eastAsia="zh-CN" w:bidi="zh-CN"/>
        </w:rPr>
        <w:t>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left="0" w:right="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同心县韦州镇人民政府</w:t>
      </w:r>
      <w:r>
        <w:rPr>
          <w:rFonts w:hint="default" w:ascii="Times New Roman" w:hAnsi="Times New Roman" w:eastAsia="方正仿宋_GBK" w:cs="Times New Roman"/>
          <w:color w:val="auto"/>
          <w:kern w:val="0"/>
          <w:sz w:val="30"/>
          <w:szCs w:val="30"/>
          <w:lang w:val="en-US" w:eastAsia="zh-CN" w:bidi="zh-CN"/>
        </w:rPr>
        <w:t>严格落实工程建设质量安全、消防安全等各项标准规范，严把工程设计关、质量关、安全关、验收关。贯彻设计下乡、陪伴建设、共同缔造等乡村建设新理念新举措，全面提高建设质量。保护和塑造村庄特色风貌，注重乡土材料、废旧材料、新型材料和传统建筑工艺、现代建造技术等有机结合，建设功能现代、风貌乡土、成本经济、节能环保的特色建筑、美丽乡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topLinePunct w:val="0"/>
        <w:autoSpaceDE/>
        <w:autoSpaceDN/>
        <w:bidi w:val="0"/>
        <w:spacing w:before="0" w:beforeAutospacing="0" w:after="0" w:afterAutospacing="0" w:line="560" w:lineRule="exact"/>
        <w:ind w:left="0" w:right="0" w:firstLine="420"/>
        <w:jc w:val="both"/>
        <w:textAlignment w:val="auto"/>
        <w:rPr>
          <w:rFonts w:hint="eastAsia" w:ascii="Times New Roman" w:hAnsi="Times New Roman" w:eastAsia="仿宋" w:cs="Times New Roman"/>
          <w:b w:val="0"/>
          <w:bCs w:val="0"/>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坚持重点突破，织就项目推进“一张网”。全方位提升城镇设施、服务、产业和品质，集中整治优环境，组织开展了多轮次、全方位、拉网式的环境整治工作，坚决扫除“脏乱差”问题，同步推进“洁化、美化、序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仿宋" w:cs="Times New Roman"/>
          <w:b/>
          <w:bCs/>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坚持常抓不懈，下好长效管理“一盘棋”。着力优化长效管理机制，强化要素保障，为加快推进美丽城镇建设打下良好基础，积极落实健全“路（段）长制”、网格化管理、常态化检查为一体的长效机制，持续跟进美丽城镇建设项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w:t>
      </w:r>
    </w:p>
    <w:p>
      <w:pPr>
        <w:keepNext w:val="0"/>
        <w:keepLines w:val="0"/>
        <w:pageBreakBefore w:val="0"/>
        <w:widowControl/>
        <w:suppressLineNumbers w:val="0"/>
        <w:shd w:val="clear"/>
        <w:kinsoku/>
        <w:wordWrap/>
        <w:overflowPunct w:val="0"/>
        <w:topLinePunct w:val="0"/>
        <w:autoSpaceDE/>
        <w:autoSpaceDN/>
        <w:bidi w:val="0"/>
        <w:adjustRightInd/>
        <w:snapToGrid/>
        <w:spacing w:line="560" w:lineRule="exact"/>
        <w:ind w:left="0" w:leftChars="0" w:right="0" w:firstLine="632" w:firstLineChars="200"/>
        <w:jc w:val="both"/>
        <w:textAlignment w:val="auto"/>
        <w:rPr>
          <w:rFonts w:hint="eastAsia"/>
          <w:lang w:val="en-US" w:eastAsia="zh-CN"/>
        </w:rPr>
      </w:pPr>
      <w:r>
        <w:rPr>
          <w:rFonts w:hint="eastAsia"/>
          <w:b/>
          <w:bCs/>
          <w:lang w:val="en-US" w:eastAsia="zh-CN"/>
        </w:rPr>
        <w:t>四是</w:t>
      </w:r>
      <w:r>
        <w:rPr>
          <w:rFonts w:hint="eastAsia"/>
          <w:lang w:val="en-US" w:eastAsia="zh-CN"/>
        </w:rPr>
        <w:t>监理单位实施了现场监理并对重点部位、关键工序实行了旁站监理，严把审核关，工程质量得到有效控制，保证了各项工作的相衔接。</w:t>
      </w:r>
    </w:p>
    <w:p>
      <w:pPr>
        <w:pStyle w:val="4"/>
        <w:shd w:val="clear"/>
        <w:ind w:firstLine="562"/>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8" w:name="_Toc4309"/>
      <w:r>
        <w:rPr>
          <w:rFonts w:hint="eastAsia" w:ascii="方正楷体_GBK" w:hAnsi="方正楷体_GBK" w:eastAsia="方正楷体_GBK" w:cs="方正楷体_GBK"/>
          <w:b/>
          <w:bCs w:val="0"/>
          <w:sz w:val="32"/>
          <w:szCs w:val="32"/>
        </w:rPr>
        <w:t>（二）存在的问题</w:t>
      </w:r>
      <w:bookmarkEnd w:id="18"/>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1.未建立长效管护机制，落实不到位。</w:t>
      </w:r>
      <w:r>
        <w:rPr>
          <w:rFonts w:hint="eastAsia"/>
          <w:lang w:val="en-US" w:eastAsia="zh-CN"/>
        </w:rPr>
        <w:t>美丽乡村建成完工验收后，未制定落实管护制度，制定美丽乡村长效管护机制，对后期养护管理包含人员、经费等方面进行落实</w:t>
      </w:r>
      <w:r>
        <w:rPr>
          <w:rFonts w:hint="eastAsia" w:ascii="Times New Roman" w:hAnsi="Times New Roman" w:eastAsia="方正仿宋_GBK" w:cs="Times New Roman"/>
          <w:b w:val="0"/>
          <w:kern w:val="2"/>
          <w:sz w:val="30"/>
          <w:szCs w:val="30"/>
          <w:lang w:val="en-US" w:eastAsia="zh-CN" w:bidi="zh-CN"/>
        </w:rPr>
        <w:t>。</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2.工程结算、财务决算相对滞后。</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在项目完工后，工程结算、竣工决算（以下简称“双算”）不及时办理，将制约后续的资产移交和产权登记工作，不利于政府资产规范管理，而项目资金沉淀在基本建设账户上也不符合国家“盘活存量、用好增量”的财政政策。</w:t>
      </w:r>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9" w:name="_Toc13010"/>
      <w:r>
        <w:rPr>
          <w:rFonts w:hint="eastAsia" w:ascii="方正楷体_GBK" w:hAnsi="方正楷体_GBK" w:eastAsia="方正楷体_GBK" w:cs="方正楷体_GBK"/>
          <w:color w:val="333333"/>
          <w:sz w:val="30"/>
          <w:szCs w:val="30"/>
          <w:shd w:val="clear" w:fill="FFFFFF"/>
          <w:lang w:val="en-US" w:eastAsia="zh-CN" w:bidi="zh-CN"/>
        </w:rPr>
        <w:t>（三）建议</w:t>
      </w:r>
      <w:bookmarkEnd w:id="19"/>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1.建立健全后期维护机制。 </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建立长效管护机制，落实到位。美丽乡村建成完工验收后，建设单位依照相关程序与美丽乡村建设甘沟村办理移交手续。制定美丽乡村长效管护机制，</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明确职责落实责任，管护到位。按照“谁所有、谁受益、谁管理”的原则，明确管护主体，明确管理的具体实施范围及责任，如道路、供水、供电、通信、广播等由产权主管部门负责，和村民组共同承担管护责任。基础设施、环卫设施、公共服务设施由村民组集体所有，采用专人管护和村民自管相结合，做到人人参与，户户有责。开展卫生监督、检查、评比等活动，共同维护建设成果，合力推进美丽乡村长效管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2.加快结算审计，尽早发挥效益。</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首先“双算”管理体制、机制和制度应尽快完善。</w:t>
      </w:r>
      <w:r>
        <w:rPr>
          <w:rFonts w:hint="eastAsia" w:ascii="方正仿宋_GBK" w:hAnsi="方正仿宋_GBK" w:eastAsia="方正仿宋_GBK" w:cs="方正仿宋_GBK"/>
          <w:color w:val="000000"/>
          <w:kern w:val="0"/>
          <w:sz w:val="30"/>
          <w:szCs w:val="30"/>
          <w:lang w:val="en-US" w:eastAsia="zh-CN" w:bidi="ar"/>
        </w:rPr>
        <w:t>应修订完善“双算”管理相关法规，改变目前法规规定不清晰或操作性不强的缺陷，理清建设项目各参建单位办理“双算”的义务和法律责任。</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其次建设单位应严格履行主体责任。</w:t>
      </w:r>
      <w:r>
        <w:rPr>
          <w:rFonts w:hint="eastAsia" w:ascii="方正仿宋_GBK" w:hAnsi="方正仿宋_GBK" w:eastAsia="方正仿宋_GBK" w:cs="方正仿宋_GBK"/>
          <w:color w:val="000000"/>
          <w:kern w:val="0"/>
          <w:sz w:val="30"/>
          <w:szCs w:val="30"/>
          <w:lang w:val="en-US" w:eastAsia="zh-CN" w:bidi="ar"/>
        </w:rPr>
        <w:t>建立健全建设项目全过程管理和内部审计制度，有效加强对建设项目各参建单位的合同管理和履约评价。如在招标文件、合同示范文本及合同专用条款中，应明确施工单位报送工程结算文件的时限、提前或逾期报送的奖罚条款等。</w:t>
      </w: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lang w:val="en-US" w:eastAsia="zh-CN"/>
        </w:rPr>
      </w:pPr>
    </w:p>
    <w:p>
      <w:pPr>
        <w:bidi w:val="0"/>
        <w:ind w:left="0" w:leftChars="0" w:firstLine="0" w:firstLineChars="0"/>
        <w:jc w:val="center"/>
        <w:rPr>
          <w:rFonts w:hint="eastAsia" w:ascii="仿宋" w:hAnsi="仿宋" w:eastAsia="仿宋" w:cs="仿宋"/>
          <w:sz w:val="24"/>
          <w:szCs w:val="24"/>
        </w:rPr>
      </w:pPr>
      <w:r>
        <w:rPr>
          <w:rFonts w:hint="eastAsia" w:ascii="方正仿宋_GBK" w:hAnsi="方正仿宋_GBK" w:eastAsia="方正仿宋_GBK" w:cs="方正仿宋_GBK"/>
          <w:b/>
          <w:bCs/>
          <w:sz w:val="30"/>
          <w:szCs w:val="30"/>
          <w:lang w:val="en-US" w:eastAsia="zh-CN"/>
        </w:rPr>
        <w:t>目 录</w:t>
      </w: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TOC \o "1-3" \h \u </w:instrText>
      </w:r>
      <w:r>
        <w:rPr>
          <w:rFonts w:hint="eastAsia" w:ascii="仿宋" w:hAnsi="仿宋" w:eastAsia="仿宋" w:cs="仿宋"/>
          <w:b w:val="0"/>
          <w:bCs w:val="0"/>
          <w:kern w:val="0"/>
          <w:sz w:val="24"/>
          <w:szCs w:val="24"/>
          <w:lang w:val="en-US" w:eastAsia="zh-CN" w:bidi="zh-CN"/>
        </w:rPr>
        <w:fldChar w:fldCharType="separate"/>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_Toc29119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_Toc29119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_Toc17403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_Toc17403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_Toc26408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_Toc26408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_Toc6958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二、项目资金预算安排和使用情况</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_Toc6958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4</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_Toc9445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（一）资金来源情况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_Toc9445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4</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_Toc23316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（二）资金到位情况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_Toc23316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4</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_Toc12412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（三）资金管理情况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_Toc12412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4</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_Toc12950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（四）资金使用情况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_Toc12950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_Toc9923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_Toc9923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5</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_Toc5756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（一）绩效目标</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_Toc5756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_Toc28550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 项目绩效目标</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_Toc28550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_Toc1272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_Toc1272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6</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_Toc22364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（一）绩效评价目的</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_Toc22364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_Toc2741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（二）绩效评价对象</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_Toc2741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7</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_Toc2314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（三）评价依据</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_Toc2314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8</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_Toc15328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（四）评价原则</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_Toc15328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9</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_Toc19452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（五）评价标准</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_Toc19452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9</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_Toc21609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（六）评价指标体系</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_Toc21609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9</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_Toc17636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（七）评价方法</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_Toc17636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11</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_Toc7423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（八）绩效评价工作过程</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_Toc7423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13</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_Toc24711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五、综合评价情况及评价结论</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_Toc24711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15</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_Toc22876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（一）项目完成情况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_Toc22876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_Toc17667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（二）评价结论</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_Toc17667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_Toc24135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六、绩效评价指标分析</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_Toc24135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17</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_Toc8643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（一）项目决策情况分析</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_Toc8643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17</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_Toc14938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（二）项目过程</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_Toc14938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20</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_Toc2257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（三）项目产出情况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_Toc2257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22</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_Toc14644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（四）项目效益情况分析</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_Toc14644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_Toc24727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七、主要经验做法、存在问题及建议</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_Toc24727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27</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_Toc3828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（一）经验做法</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_Toc3828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27</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_Toc1599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（二）存在的问题</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_Toc1599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28</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_Toc27239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（三）建议</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_Toc27239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29</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_Toc11334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八、其他需要说明的问题</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_Toc11334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30</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keepNext w:val="0"/>
        <w:keepLines w:val="0"/>
        <w:pageBreakBefore w:val="0"/>
        <w:widowControl w:val="0"/>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bookmarkStart w:id="20" w:name="_Toc12033"/>
      <w:bookmarkStart w:id="21" w:name="_Toc30196"/>
      <w:r>
        <w:rPr>
          <w:rFonts w:hint="eastAsia" w:ascii="方正小标宋_GBK" w:hAnsi="方正小标宋_GBK" w:eastAsia="方正小标宋_GBK" w:cs="方正小标宋_GBK"/>
          <w:b w:val="0"/>
          <w:bCs w:val="0"/>
          <w:color w:val="181717" w:themeColor="background2" w:themeShade="1A"/>
          <w:sz w:val="36"/>
          <w:szCs w:val="36"/>
          <w:lang w:val="en-US" w:eastAsia="zh-CN"/>
        </w:rPr>
        <w:t>同心县韦州镇甘沟村2022年高质量美丽宜居村庄</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奖补资金项目绩效评价报告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，宁夏万协项目管理有限公司受同心县财政局委托，对同心县韦州镇甘沟村2022年高质量美丽宜居村庄奖补资金项目开展绩效评价相关工作。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bidi w:val="0"/>
        <w:rPr>
          <w:rFonts w:hint="eastAsia" w:ascii="宋体" w:hAnsi="宋体" w:eastAsia="宋体" w:cs="宋体"/>
          <w:b/>
          <w:bCs/>
          <w:lang w:val="en-US" w:eastAsia="zh-CN"/>
        </w:rPr>
      </w:pPr>
      <w:bookmarkStart w:id="22" w:name="_Toc29119"/>
      <w:r>
        <w:rPr>
          <w:rFonts w:hint="eastAsia" w:ascii="宋体" w:hAnsi="宋体" w:eastAsia="宋体" w:cs="宋体"/>
          <w:b/>
          <w:bCs/>
          <w:lang w:val="en-US" w:eastAsia="zh-CN"/>
        </w:rPr>
        <w:t>一、项目基本情况</w:t>
      </w:r>
      <w:bookmarkEnd w:id="20"/>
      <w:bookmarkEnd w:id="21"/>
      <w:bookmarkEnd w:id="22"/>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3" w:name="_Toc25760"/>
      <w:bookmarkStart w:id="24" w:name="_Toc5690"/>
      <w:bookmarkStart w:id="25" w:name="_Toc17403"/>
      <w:r>
        <w:rPr>
          <w:rFonts w:hint="eastAsia"/>
          <w:b/>
          <w:bCs/>
          <w:sz w:val="30"/>
          <w:szCs w:val="30"/>
          <w:lang w:val="en-US" w:eastAsia="zh-CN"/>
        </w:rPr>
        <w:t>（一）项目</w:t>
      </w:r>
      <w:bookmarkEnd w:id="23"/>
      <w:bookmarkEnd w:id="24"/>
      <w:r>
        <w:rPr>
          <w:rFonts w:hint="eastAsia"/>
          <w:b/>
          <w:bCs/>
          <w:sz w:val="30"/>
          <w:szCs w:val="30"/>
          <w:lang w:val="en-US" w:eastAsia="zh-CN"/>
        </w:rPr>
        <w:t>背景</w:t>
      </w:r>
      <w:bookmarkEnd w:id="25"/>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6" w:name="_Toc25776"/>
      <w:bookmarkStart w:id="27" w:name="_Toc24381"/>
      <w:bookmarkStart w:id="28" w:name="_Toc5111"/>
      <w:r>
        <w:rPr>
          <w:rFonts w:hint="eastAsia" w:ascii="Times New Roman" w:hAnsi="Times New Roman" w:eastAsia="方正仿宋_GBK" w:cs="Times New Roman"/>
          <w:color w:val="auto"/>
          <w:kern w:val="2"/>
          <w:sz w:val="30"/>
          <w:szCs w:val="30"/>
          <w:highlight w:val="none"/>
          <w:lang w:val="en-US" w:eastAsia="zh-CN" w:bidi="ar-SA"/>
        </w:rPr>
        <w:t>党的二十大报告对全面推进乡村振兴作出新的部署安排，强调“建设宜居宜业和美乡村”，为未来乡村建设提供行动纲领。从“宜居”“宜业”“和美”三重建设要素审视和美乡村的内涵要义；从农业强国、乡村建设、农民美好生活需要3个视角分析建设和美乡村的价值意蕴；聚焦整治提升人居环境、实现乡村村民增收、提升乡村治理效能和推进乡村精神文明建设等内容；提出宜居宜业和美乡村建设的路径思考，对于全面推进乡村振兴、加快推进农业农村现代化具有积极的意义。</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建设宜居宜业和美乡村，是农业强国的应有之义，也是实现中国式现代化的重要举措。从建设美丽乡村、乡村建设行动，到党的二十大提出建设宜居宜业和美乡村，乡村振兴的基本内涵和目标要求不断拓展。当前，推动宜居宜业和美乡村建设面临前所未有的新情况，必须放在推进中国式现代化大背景下来审视，把握新的变化趋势，着眼新的目标要求，与建设农业强国、全面推进乡村振兴、实施乡村建设行动统筹起来，加强顶层设计、统筹谋划，努力满足亿万农民对建设美丽家园、过上美好生活的愿景和期盼。</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近年来，韦州镇甘沟村充分发挥党员干部带头作用，采取切实措施，引导群众积极开展人居环境整治，提升村庄品位，美化村容村貌，擦亮乡村振兴底色，有效提升群众幸福感、满意度。</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29" w:name="_Toc26408"/>
      <w:r>
        <w:rPr>
          <w:rFonts w:hint="eastAsia" w:ascii="方正楷体_GBK" w:hAnsi="方正楷体_GBK" w:eastAsia="方正楷体_GBK" w:cs="方正楷体_GBK"/>
          <w:sz w:val="30"/>
          <w:szCs w:val="30"/>
          <w:lang w:val="en-US" w:eastAsia="zh-CN"/>
        </w:rPr>
        <w:t>（二）项目实施主要内容</w:t>
      </w:r>
      <w:bookmarkEnd w:id="26"/>
      <w:bookmarkEnd w:id="27"/>
      <w:bookmarkEnd w:id="29"/>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0" w:name="_Toc1917"/>
      <w:bookmarkStart w:id="31" w:name="_Toc8550"/>
      <w:r>
        <w:rPr>
          <w:rFonts w:hint="eastAsia" w:ascii="Times New Roman" w:hAnsi="Times New Roman" w:eastAsia="方正仿宋_GBK" w:cs="Times New Roman"/>
          <w:color w:val="auto"/>
          <w:kern w:val="2"/>
          <w:sz w:val="30"/>
          <w:szCs w:val="30"/>
          <w:highlight w:val="none"/>
          <w:lang w:val="en-US" w:eastAsia="zh-CN" w:bidi="ar-SA"/>
        </w:rPr>
        <w:t>建设规模及主要建设内容：</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1.周孙线道路两侧硬化人行道长2750m，宽1.5m，均采用彩色道砖路面；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2.中央大道两侧硬化人行道长1900m，宽1.5m，均采用彩色道砖路面；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3.新建节点一绿化面积139m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vertAlign w:val="baseli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节点二绿化面积1207m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，总面积1346m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color w:val="auto"/>
          <w:kern w:val="2"/>
          <w:sz w:val="30"/>
          <w:szCs w:val="30"/>
          <w:highlight w:val="none"/>
          <w:lang w:val="en-US" w:eastAsia="zh-CN" w:bidi="ar-SA"/>
        </w:rPr>
        <w:sectPr>
          <w:headerReference r:id="rId7" w:type="default"/>
          <w:footerReference r:id="rId8" w:type="default"/>
          <w:pgSz w:w="11906" w:h="16838"/>
          <w:pgMar w:top="2098" w:right="1587" w:bottom="2098" w:left="1587" w:header="1644" w:footer="935" w:gutter="0"/>
          <w:pgNumType w:fmt="decimal" w:start="1"/>
          <w:cols w:space="0" w:num="1"/>
          <w:rtlGutter w:val="0"/>
          <w:docGrid w:type="linesAndChars" w:linePitch="589" w:charSpace="-842"/>
        </w:sectPr>
      </w:pPr>
      <w:bookmarkStart w:id="32" w:name="_Toc22184"/>
      <w:bookmarkStart w:id="33" w:name="_Toc17160"/>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b/>
          <w:bCs/>
          <w:color w:val="auto"/>
          <w:kern w:val="2"/>
          <w:sz w:val="32"/>
          <w:szCs w:val="32"/>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同心县韦州镇甘沟村2022年高质量美丽宜居村庄奖补资金项目主要建设内容</w:t>
      </w: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计划完成情况</w:t>
      </w:r>
    </w:p>
    <w:p>
      <w:pPr>
        <w:keepNext/>
        <w:keepLines w:val="0"/>
        <w:pageBreakBefore w:val="0"/>
        <w:widowControl/>
        <w:kinsoku/>
        <w:wordWrap/>
        <w:overflowPunct/>
        <w:topLinePunct w:val="0"/>
        <w:autoSpaceDE/>
        <w:autoSpaceDN/>
        <w:bidi w:val="0"/>
        <w:adjustRightInd/>
        <w:snapToGrid/>
        <w:spacing w:after="0" w:line="240" w:lineRule="auto"/>
        <w:jc w:val="righ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等线" w:hAnsi="等线" w:eastAsia="等线" w:cs="等线"/>
          <w:b/>
          <w:bCs/>
          <w:kern w:val="0"/>
          <w:sz w:val="22"/>
          <w:lang w:val="en-US" w:eastAsia="zh-CN"/>
        </w:rPr>
        <w:t xml:space="preserve">                                                                         </w:t>
      </w:r>
      <w:r>
        <w:rPr>
          <w:rFonts w:hint="eastAsia" w:ascii="Times New Roman" w:hAnsi="Times New Roman" w:eastAsia="方正仿宋_GBK" w:cs="Times New Roman"/>
          <w:color w:val="auto"/>
          <w:kern w:val="2"/>
          <w:sz w:val="30"/>
          <w:szCs w:val="30"/>
          <w:highlight w:val="none"/>
          <w:lang w:val="en-US" w:eastAsia="zh-CN" w:bidi="ar-SA"/>
        </w:rPr>
        <w:t xml:space="preserve">单位：万元 </w:t>
      </w:r>
    </w:p>
    <w:tbl>
      <w:tblPr>
        <w:tblStyle w:val="21"/>
        <w:tblW w:w="505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2"/>
        <w:gridCol w:w="1083"/>
        <w:gridCol w:w="4700"/>
        <w:gridCol w:w="1301"/>
        <w:gridCol w:w="1537"/>
        <w:gridCol w:w="1500"/>
        <w:gridCol w:w="1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项目名称</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概算资金</w:t>
            </w:r>
          </w:p>
        </w:tc>
        <w:tc>
          <w:tcPr>
            <w:tcW w:w="18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建设内容、规模</w:t>
            </w: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计划工期</w:t>
            </w:r>
          </w:p>
        </w:tc>
        <w:tc>
          <w:tcPr>
            <w:tcW w:w="5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实际完成时间</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是否验收</w:t>
            </w:r>
          </w:p>
        </w:tc>
        <w:tc>
          <w:tcPr>
            <w:tcW w:w="6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结算、财务决算情况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18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6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4" w:hRule="atLeast"/>
          <w:jc w:val="center"/>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eastAsia" w:ascii="等线" w:hAnsi="等线" w:eastAsia="等线" w:cs="等线"/>
                <w:color w:val="000000"/>
                <w:kern w:val="0"/>
                <w:sz w:val="24"/>
                <w:szCs w:val="24"/>
                <w:lang w:val="en-US" w:eastAsia="zh-CN"/>
              </w:rPr>
            </w:pPr>
            <w:r>
              <w:rPr>
                <w:rFonts w:hint="eastAsia" w:ascii="Times New Roman" w:hAnsi="Times New Roman" w:eastAsia="方正仿宋_GBK" w:cs="Times New Roman"/>
                <w:color w:val="auto"/>
                <w:kern w:val="2"/>
                <w:sz w:val="24"/>
                <w:szCs w:val="24"/>
                <w:highlight w:val="none"/>
                <w:lang w:val="en-US" w:eastAsia="zh-CN" w:bidi="ar-SA"/>
              </w:rPr>
              <w:t>同心县韦州镇2022年高质量美丽宜居村庄奖补资金项目</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等线" w:cs="Times New Roman"/>
                <w:color w:val="000000"/>
                <w:kern w:val="0"/>
                <w:sz w:val="24"/>
                <w:szCs w:val="24"/>
                <w:lang w:val="en-US" w:eastAsia="zh-CN"/>
              </w:rPr>
            </w:pPr>
            <w:r>
              <w:rPr>
                <w:rFonts w:hint="default" w:ascii="Times New Roman" w:hAnsi="Times New Roman" w:eastAsia="等线" w:cs="Times New Roman"/>
                <w:color w:val="000000"/>
                <w:kern w:val="0"/>
                <w:sz w:val="24"/>
                <w:szCs w:val="24"/>
                <w:lang w:val="en-US" w:eastAsia="zh-CN"/>
              </w:rPr>
              <w:t>602.2</w:t>
            </w:r>
          </w:p>
        </w:tc>
        <w:tc>
          <w:tcPr>
            <w:tcW w:w="1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fldChar w:fldCharType="begin"/>
            </w:r>
            <w:r>
              <w:rPr>
                <w:rFonts w:hint="eastAsia" w:ascii="Times New Roman" w:hAnsi="Times New Roman" w:eastAsia="方正仿宋_GBK" w:cs="Times New Roman"/>
                <w:color w:val="auto"/>
                <w:kern w:val="2"/>
                <w:sz w:val="24"/>
                <w:szCs w:val="24"/>
                <w:highlight w:val="none"/>
                <w:lang w:val="en-US" w:eastAsia="zh-CN" w:bidi="ar-SA"/>
              </w:rPr>
              <w:instrText xml:space="preserve"> EQ \o\ac(○,</w:instrText>
            </w:r>
            <w:r>
              <w:rPr>
                <w:rFonts w:hint="eastAsia" w:ascii="Times New Roman" w:hAnsi="Times New Roman" w:eastAsia="方正仿宋_GBK" w:cs="Times New Roman"/>
                <w:color w:val="auto"/>
                <w:kern w:val="2"/>
                <w:position w:val="3"/>
                <w:sz w:val="16"/>
                <w:szCs w:val="24"/>
                <w:highlight w:val="none"/>
                <w:lang w:val="en-US" w:eastAsia="zh-CN" w:bidi="ar-SA"/>
              </w:rPr>
              <w:instrText xml:space="preserve">1</w:instrText>
            </w:r>
            <w:r>
              <w:rPr>
                <w:rFonts w:hint="eastAsia" w:ascii="Times New Roman" w:hAnsi="Times New Roman" w:eastAsia="方正仿宋_GBK" w:cs="Times New Roman"/>
                <w:color w:val="auto"/>
                <w:kern w:val="2"/>
                <w:sz w:val="24"/>
                <w:szCs w:val="24"/>
                <w:highlight w:val="none"/>
                <w:lang w:val="en-US" w:eastAsia="zh-CN" w:bidi="ar-SA"/>
              </w:rPr>
              <w:instrText xml:space="preserve">)</w:instrText>
            </w:r>
            <w:r>
              <w:rPr>
                <w:rFonts w:hint="eastAsia" w:ascii="Times New Roman" w:hAnsi="Times New Roman" w:eastAsia="方正仿宋_GBK" w:cs="Times New Roman"/>
                <w:color w:val="auto"/>
                <w:kern w:val="2"/>
                <w:sz w:val="24"/>
                <w:szCs w:val="24"/>
                <w:highlight w:val="none"/>
                <w:lang w:val="en-US" w:eastAsia="zh-CN" w:bidi="ar-SA"/>
              </w:rPr>
              <w:fldChar w:fldCharType="end"/>
            </w:r>
            <w:r>
              <w:rPr>
                <w:rFonts w:hint="eastAsia" w:ascii="Times New Roman" w:hAnsi="Times New Roman" w:eastAsia="方正仿宋_GBK" w:cs="Times New Roman"/>
                <w:color w:val="auto"/>
                <w:kern w:val="2"/>
                <w:sz w:val="24"/>
                <w:szCs w:val="24"/>
                <w:highlight w:val="none"/>
                <w:lang w:val="en-US" w:eastAsia="zh-CN" w:bidi="ar-SA"/>
              </w:rPr>
              <w:t>.周孙线道路两侧硬化人行道长2750m，宽1.5m，均采用彩色道砖路面；</w:t>
            </w:r>
          </w:p>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fldChar w:fldCharType="begin"/>
            </w:r>
            <w:r>
              <w:rPr>
                <w:rFonts w:hint="eastAsia" w:ascii="Times New Roman" w:hAnsi="Times New Roman" w:eastAsia="方正仿宋_GBK" w:cs="Times New Roman"/>
                <w:color w:val="auto"/>
                <w:kern w:val="2"/>
                <w:sz w:val="24"/>
                <w:szCs w:val="24"/>
                <w:highlight w:val="none"/>
                <w:lang w:val="en-US" w:eastAsia="zh-CN" w:bidi="ar-SA"/>
              </w:rPr>
              <w:instrText xml:space="preserve"> EQ \o\ac(○,</w:instrText>
            </w:r>
            <w:r>
              <w:rPr>
                <w:rFonts w:hint="eastAsia" w:ascii="Times New Roman" w:hAnsi="Times New Roman" w:eastAsia="方正仿宋_GBK" w:cs="Times New Roman"/>
                <w:color w:val="auto"/>
                <w:kern w:val="2"/>
                <w:position w:val="3"/>
                <w:sz w:val="16"/>
                <w:szCs w:val="24"/>
                <w:highlight w:val="none"/>
                <w:lang w:val="en-US" w:eastAsia="zh-CN" w:bidi="ar-SA"/>
              </w:rPr>
              <w:instrText xml:space="preserve">2</w:instrText>
            </w:r>
            <w:r>
              <w:rPr>
                <w:rFonts w:hint="eastAsia" w:ascii="Times New Roman" w:hAnsi="Times New Roman" w:eastAsia="方正仿宋_GBK" w:cs="Times New Roman"/>
                <w:color w:val="auto"/>
                <w:kern w:val="2"/>
                <w:sz w:val="24"/>
                <w:szCs w:val="24"/>
                <w:highlight w:val="none"/>
                <w:lang w:val="en-US" w:eastAsia="zh-CN" w:bidi="ar-SA"/>
              </w:rPr>
              <w:instrText xml:space="preserve">)</w:instrText>
            </w:r>
            <w:r>
              <w:rPr>
                <w:rFonts w:hint="eastAsia" w:ascii="Times New Roman" w:hAnsi="Times New Roman" w:eastAsia="方正仿宋_GBK" w:cs="Times New Roman"/>
                <w:color w:val="auto"/>
                <w:kern w:val="2"/>
                <w:sz w:val="24"/>
                <w:szCs w:val="24"/>
                <w:highlight w:val="none"/>
                <w:lang w:val="en-US" w:eastAsia="zh-CN" w:bidi="ar-SA"/>
              </w:rPr>
              <w:fldChar w:fldCharType="end"/>
            </w:r>
            <w:r>
              <w:rPr>
                <w:rFonts w:hint="eastAsia" w:ascii="Times New Roman" w:hAnsi="Times New Roman" w:eastAsia="方正仿宋_GBK" w:cs="Times New Roman"/>
                <w:color w:val="auto"/>
                <w:kern w:val="2"/>
                <w:sz w:val="24"/>
                <w:szCs w:val="24"/>
                <w:highlight w:val="none"/>
                <w:lang w:val="en-US" w:eastAsia="zh-CN" w:bidi="ar-SA"/>
              </w:rPr>
              <w:t>.中央大道两侧硬化人行道长1900m，宽1.5m，均采用彩色道砖路面；</w:t>
            </w:r>
          </w:p>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fldChar w:fldCharType="begin"/>
            </w:r>
            <w:r>
              <w:rPr>
                <w:rFonts w:hint="eastAsia" w:ascii="Times New Roman" w:hAnsi="Times New Roman" w:eastAsia="方正仿宋_GBK" w:cs="Times New Roman"/>
                <w:color w:val="auto"/>
                <w:kern w:val="2"/>
                <w:sz w:val="24"/>
                <w:szCs w:val="24"/>
                <w:highlight w:val="none"/>
                <w:lang w:val="en-US" w:eastAsia="zh-CN" w:bidi="ar-SA"/>
              </w:rPr>
              <w:instrText xml:space="preserve"> EQ \o\ac(○,</w:instrText>
            </w:r>
            <w:r>
              <w:rPr>
                <w:rFonts w:hint="eastAsia" w:ascii="Times New Roman" w:hAnsi="Times New Roman" w:eastAsia="方正仿宋_GBK" w:cs="Times New Roman"/>
                <w:color w:val="auto"/>
                <w:kern w:val="2"/>
                <w:position w:val="3"/>
                <w:sz w:val="16"/>
                <w:szCs w:val="24"/>
                <w:highlight w:val="none"/>
                <w:lang w:val="en-US" w:eastAsia="zh-CN" w:bidi="ar-SA"/>
              </w:rPr>
              <w:instrText xml:space="preserve">3</w:instrText>
            </w:r>
            <w:r>
              <w:rPr>
                <w:rFonts w:hint="eastAsia" w:ascii="Times New Roman" w:hAnsi="Times New Roman" w:eastAsia="方正仿宋_GBK" w:cs="Times New Roman"/>
                <w:color w:val="auto"/>
                <w:kern w:val="2"/>
                <w:sz w:val="24"/>
                <w:szCs w:val="24"/>
                <w:highlight w:val="none"/>
                <w:lang w:val="en-US" w:eastAsia="zh-CN" w:bidi="ar-SA"/>
              </w:rPr>
              <w:instrText xml:space="preserve">)</w:instrText>
            </w:r>
            <w:r>
              <w:rPr>
                <w:rFonts w:hint="eastAsia" w:ascii="Times New Roman" w:hAnsi="Times New Roman" w:eastAsia="方正仿宋_GBK" w:cs="Times New Roman"/>
                <w:color w:val="auto"/>
                <w:kern w:val="2"/>
                <w:sz w:val="24"/>
                <w:szCs w:val="24"/>
                <w:highlight w:val="none"/>
                <w:lang w:val="en-US" w:eastAsia="zh-CN" w:bidi="ar-SA"/>
              </w:rPr>
              <w:fldChar w:fldCharType="end"/>
            </w:r>
            <w:r>
              <w:rPr>
                <w:rFonts w:hint="eastAsia" w:ascii="Times New Roman" w:hAnsi="Times New Roman" w:eastAsia="方正仿宋_GBK" w:cs="Times New Roman"/>
                <w:color w:val="auto"/>
                <w:kern w:val="2"/>
                <w:sz w:val="24"/>
                <w:szCs w:val="24"/>
                <w:highlight w:val="none"/>
                <w:lang w:val="en-US" w:eastAsia="zh-CN" w:bidi="ar-SA"/>
              </w:rPr>
              <w:t>.新建节点一绿化面积139m</w:t>
            </w:r>
            <w:r>
              <w:rPr>
                <w:rFonts w:hint="eastAsia" w:ascii="Times New Roman" w:hAnsi="Times New Roman" w:eastAsia="方正仿宋_GBK" w:cs="Times New Roman"/>
                <w:color w:val="auto"/>
                <w:kern w:val="2"/>
                <w:sz w:val="24"/>
                <w:szCs w:val="24"/>
                <w:highlight w:val="none"/>
                <w:vertAlign w:val="superscript"/>
                <w:lang w:val="en-US" w:eastAsia="zh-CN" w:bidi="ar-SA"/>
              </w:rPr>
              <w:t>2</w:t>
            </w:r>
            <w:r>
              <w:rPr>
                <w:rFonts w:hint="eastAsia" w:ascii="Times New Roman" w:hAnsi="Times New Roman" w:eastAsia="方正仿宋_GBK" w:cs="Times New Roman"/>
                <w:color w:val="auto"/>
                <w:kern w:val="2"/>
                <w:sz w:val="24"/>
                <w:szCs w:val="24"/>
                <w:highlight w:val="none"/>
                <w:vertAlign w:val="baseline"/>
                <w:lang w:val="en-US" w:eastAsia="zh-CN" w:bidi="ar-SA"/>
              </w:rPr>
              <w:t>，</w:t>
            </w:r>
            <w:r>
              <w:rPr>
                <w:rFonts w:hint="eastAsia" w:ascii="Times New Roman" w:hAnsi="Times New Roman" w:eastAsia="方正仿宋_GBK" w:cs="Times New Roman"/>
                <w:color w:val="auto"/>
                <w:kern w:val="2"/>
                <w:sz w:val="24"/>
                <w:szCs w:val="24"/>
                <w:highlight w:val="none"/>
                <w:lang w:val="en-US" w:eastAsia="zh-CN" w:bidi="ar-SA"/>
              </w:rPr>
              <w:t>节点二绿化面积1207m</w:t>
            </w:r>
            <w:r>
              <w:rPr>
                <w:rFonts w:hint="eastAsia" w:ascii="Times New Roman" w:hAnsi="Times New Roman" w:eastAsia="方正仿宋_GBK" w:cs="Times New Roman"/>
                <w:color w:val="auto"/>
                <w:kern w:val="2"/>
                <w:sz w:val="24"/>
                <w:szCs w:val="24"/>
                <w:highlight w:val="none"/>
                <w:vertAlign w:val="superscript"/>
                <w:lang w:val="en-US" w:eastAsia="zh-CN" w:bidi="ar-SA"/>
              </w:rPr>
              <w:t>2</w:t>
            </w:r>
            <w:r>
              <w:rPr>
                <w:rFonts w:hint="eastAsia" w:ascii="Times New Roman" w:hAnsi="Times New Roman" w:eastAsia="方正仿宋_GBK" w:cs="Times New Roman"/>
                <w:color w:val="auto"/>
                <w:kern w:val="2"/>
                <w:sz w:val="24"/>
                <w:szCs w:val="24"/>
                <w:highlight w:val="none"/>
                <w:lang w:val="en-US" w:eastAsia="zh-CN" w:bidi="ar-SA"/>
              </w:rPr>
              <w:t>，总面积1346m</w:t>
            </w:r>
            <w:r>
              <w:rPr>
                <w:rFonts w:hint="eastAsia" w:ascii="Times New Roman" w:hAnsi="Times New Roman" w:eastAsia="方正仿宋_GBK" w:cs="Times New Roman"/>
                <w:color w:val="auto"/>
                <w:kern w:val="2"/>
                <w:sz w:val="24"/>
                <w:szCs w:val="24"/>
                <w:highlight w:val="none"/>
                <w:vertAlign w:val="superscript"/>
                <w:lang w:val="en-US" w:eastAsia="zh-CN" w:bidi="ar-SA"/>
              </w:rPr>
              <w:t>2</w:t>
            </w:r>
            <w:r>
              <w:rPr>
                <w:rFonts w:hint="eastAsia" w:ascii="Times New Roman" w:hAnsi="Times New Roman" w:eastAsia="方正仿宋_GBK" w:cs="Times New Roman"/>
                <w:color w:val="auto"/>
                <w:kern w:val="2"/>
                <w:sz w:val="24"/>
                <w:szCs w:val="24"/>
                <w:highlight w:val="none"/>
                <w:lang w:val="en-US" w:eastAsia="zh-CN" w:bidi="ar-SA"/>
              </w:rPr>
              <w:t>。</w:t>
            </w:r>
          </w:p>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eastAsia" w:ascii="等线" w:hAnsi="等线" w:eastAsia="等线" w:cs="等线"/>
                <w:color w:val="000000"/>
                <w:kern w:val="0"/>
                <w:sz w:val="24"/>
                <w:szCs w:val="24"/>
                <w:lang w:val="en-US" w:eastAsia="zh-CN"/>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202</w:t>
            </w:r>
            <w:r>
              <w:rPr>
                <w:rFonts w:hint="eastAsia" w:ascii="Times New Roman" w:hAnsi="Times New Roman" w:eastAsia="方正仿宋_GBK" w:cs="Times New Roman"/>
                <w:color w:val="auto"/>
                <w:kern w:val="2"/>
                <w:sz w:val="24"/>
                <w:szCs w:val="24"/>
                <w:highlight w:val="none"/>
                <w:lang w:val="en-US" w:eastAsia="zh-CN" w:bidi="ar-SA"/>
              </w:rPr>
              <w:t>2</w:t>
            </w:r>
            <w:r>
              <w:rPr>
                <w:rFonts w:hint="default" w:ascii="Times New Roman" w:hAnsi="Times New Roman" w:eastAsia="方正仿宋_GBK" w:cs="Times New Roman"/>
                <w:color w:val="auto"/>
                <w:kern w:val="2"/>
                <w:sz w:val="24"/>
                <w:szCs w:val="24"/>
                <w:highlight w:val="none"/>
                <w:lang w:val="en-US" w:eastAsia="zh-CN" w:bidi="ar-SA"/>
              </w:rPr>
              <w:t>年</w:t>
            </w:r>
            <w:r>
              <w:rPr>
                <w:rFonts w:hint="eastAsia" w:ascii="Times New Roman" w:hAnsi="Times New Roman" w:eastAsia="方正仿宋_GBK" w:cs="Times New Roman"/>
                <w:color w:val="auto"/>
                <w:kern w:val="2"/>
                <w:sz w:val="24"/>
                <w:szCs w:val="24"/>
                <w:highlight w:val="none"/>
                <w:lang w:val="en-US" w:eastAsia="zh-CN" w:bidi="ar-SA"/>
              </w:rPr>
              <w:t>7</w:t>
            </w:r>
            <w:r>
              <w:rPr>
                <w:rFonts w:hint="default" w:ascii="Times New Roman" w:hAnsi="Times New Roman" w:eastAsia="方正仿宋_GBK" w:cs="Times New Roman"/>
                <w:color w:val="auto"/>
                <w:kern w:val="2"/>
                <w:sz w:val="24"/>
                <w:szCs w:val="24"/>
                <w:highlight w:val="none"/>
                <w:lang w:val="en-US" w:eastAsia="zh-CN" w:bidi="ar-SA"/>
              </w:rPr>
              <w:t>月</w:t>
            </w:r>
            <w:r>
              <w:rPr>
                <w:rFonts w:hint="eastAsia" w:ascii="Times New Roman" w:hAnsi="Times New Roman" w:eastAsia="方正仿宋_GBK" w:cs="Times New Roman"/>
                <w:color w:val="auto"/>
                <w:kern w:val="2"/>
                <w:sz w:val="24"/>
                <w:szCs w:val="24"/>
                <w:highlight w:val="none"/>
                <w:lang w:val="en-US" w:eastAsia="zh-CN" w:bidi="ar-SA"/>
              </w:rPr>
              <w:t>212</w:t>
            </w:r>
            <w:r>
              <w:rPr>
                <w:rFonts w:hint="default" w:ascii="Times New Roman" w:hAnsi="Times New Roman" w:eastAsia="方正仿宋_GBK" w:cs="Times New Roman"/>
                <w:color w:val="auto"/>
                <w:kern w:val="2"/>
                <w:sz w:val="24"/>
                <w:szCs w:val="24"/>
                <w:highlight w:val="none"/>
                <w:lang w:val="en-US" w:eastAsia="zh-CN" w:bidi="ar-SA"/>
              </w:rPr>
              <w:t>日</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202</w:t>
            </w:r>
            <w:r>
              <w:rPr>
                <w:rFonts w:hint="eastAsia" w:ascii="Times New Roman" w:hAnsi="Times New Roman" w:eastAsia="方正仿宋_GBK" w:cs="Times New Roman"/>
                <w:color w:val="auto"/>
                <w:kern w:val="2"/>
                <w:sz w:val="24"/>
                <w:szCs w:val="24"/>
                <w:highlight w:val="none"/>
                <w:lang w:val="en-US" w:eastAsia="zh-CN" w:bidi="ar-SA"/>
              </w:rPr>
              <w:t>1</w:t>
            </w:r>
            <w:r>
              <w:rPr>
                <w:rFonts w:hint="default" w:ascii="Times New Roman" w:hAnsi="Times New Roman" w:eastAsia="方正仿宋_GBK" w:cs="Times New Roman"/>
                <w:color w:val="auto"/>
                <w:kern w:val="2"/>
                <w:sz w:val="24"/>
                <w:szCs w:val="24"/>
                <w:highlight w:val="none"/>
                <w:lang w:val="en-US" w:eastAsia="zh-CN" w:bidi="ar-SA"/>
              </w:rPr>
              <w:t>年</w:t>
            </w:r>
            <w:r>
              <w:rPr>
                <w:rFonts w:hint="eastAsia" w:ascii="Times New Roman" w:hAnsi="Times New Roman" w:eastAsia="方正仿宋_GBK" w:cs="Times New Roman"/>
                <w:color w:val="auto"/>
                <w:kern w:val="2"/>
                <w:sz w:val="24"/>
                <w:szCs w:val="24"/>
                <w:highlight w:val="none"/>
                <w:lang w:val="en-US" w:eastAsia="zh-CN" w:bidi="ar-SA"/>
              </w:rPr>
              <w:t>9</w:t>
            </w:r>
            <w:r>
              <w:rPr>
                <w:rFonts w:hint="default" w:ascii="Times New Roman" w:hAnsi="Times New Roman" w:eastAsia="方正仿宋_GBK" w:cs="Times New Roman"/>
                <w:color w:val="auto"/>
                <w:kern w:val="2"/>
                <w:sz w:val="24"/>
                <w:szCs w:val="24"/>
                <w:highlight w:val="none"/>
                <w:lang w:val="en-US" w:eastAsia="zh-CN" w:bidi="ar-SA"/>
              </w:rPr>
              <w:t>月</w:t>
            </w:r>
            <w:r>
              <w:rPr>
                <w:rFonts w:hint="eastAsia" w:ascii="Times New Roman" w:hAnsi="Times New Roman" w:eastAsia="方正仿宋_GBK" w:cs="Times New Roman"/>
                <w:color w:val="auto"/>
                <w:kern w:val="2"/>
                <w:sz w:val="24"/>
                <w:szCs w:val="24"/>
                <w:highlight w:val="none"/>
                <w:lang w:val="en-US" w:eastAsia="zh-CN" w:bidi="ar-SA"/>
              </w:rPr>
              <w:t>19</w:t>
            </w:r>
            <w:r>
              <w:rPr>
                <w:rFonts w:hint="default" w:ascii="Times New Roman" w:hAnsi="Times New Roman" w:eastAsia="方正仿宋_GBK" w:cs="Times New Roman"/>
                <w:color w:val="auto"/>
                <w:kern w:val="2"/>
                <w:sz w:val="24"/>
                <w:szCs w:val="24"/>
                <w:highlight w:val="none"/>
                <w:lang w:val="en-US" w:eastAsia="zh-CN" w:bidi="ar-SA"/>
              </w:rPr>
              <w:t>日</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2022年7月21日—2022年11月9日</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已完成验收</w:t>
            </w:r>
          </w:p>
        </w:tc>
        <w:tc>
          <w:tcPr>
            <w:tcW w:w="6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未结算</w:t>
            </w:r>
          </w:p>
        </w:tc>
      </w:tr>
      <w:bookmarkEnd w:id="32"/>
      <w:bookmarkEnd w:id="33"/>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4" w:name="_Toc3047"/>
      <w:bookmarkStart w:id="35" w:name="_Toc31374"/>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sectPr>
          <w:pgSz w:w="16838" w:h="11906" w:orient="landscape"/>
          <w:pgMar w:top="1587" w:right="2098" w:bottom="1587" w:left="2098" w:header="1191" w:footer="935" w:gutter="0"/>
          <w:pgNumType w:fmt="decimal"/>
          <w:cols w:space="0" w:num="1"/>
          <w:rtlGutter w:val="0"/>
          <w:docGrid w:type="linesAndChars" w:linePitch="589" w:charSpace="-842"/>
        </w:sect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6" w:name="_Toc6958"/>
      <w:r>
        <w:rPr>
          <w:rFonts w:hint="eastAsia" w:asciiTheme="majorEastAsia" w:hAnsiTheme="majorEastAsia" w:eastAsiaTheme="majorEastAsia" w:cstheme="majorEastAsia"/>
          <w:b/>
          <w:bCs/>
          <w:sz w:val="30"/>
          <w:szCs w:val="30"/>
          <w:lang w:val="en-US" w:eastAsia="zh-CN"/>
        </w:rPr>
        <w:t>二、项目资金预算安排和使用情况</w:t>
      </w:r>
      <w:bookmarkEnd w:id="36"/>
    </w:p>
    <w:bookmarkEnd w:id="30"/>
    <w:bookmarkEnd w:id="31"/>
    <w:bookmarkEnd w:id="34"/>
    <w:bookmarkEnd w:id="35"/>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7" w:name="_Toc21063"/>
      <w:bookmarkStart w:id="38" w:name="_Toc9445"/>
      <w:bookmarkStart w:id="39" w:name="_Toc21684"/>
      <w:bookmarkStart w:id="40" w:name="_Toc13949"/>
      <w:bookmarkStart w:id="41" w:name="_Toc31216"/>
      <w:bookmarkStart w:id="42" w:name="_Toc20409"/>
      <w:bookmarkStart w:id="43" w:name="_Toc31361"/>
      <w:bookmarkStart w:id="44" w:name="_Toc2175"/>
      <w:bookmarkStart w:id="45" w:name="_Toc7963"/>
      <w:bookmarkStart w:id="46" w:name="_Toc19300"/>
      <w:bookmarkStart w:id="47" w:name="_Toc29255"/>
      <w:bookmarkStart w:id="48" w:name="_Toc26094"/>
      <w:bookmarkStart w:id="49" w:name="_Toc9451"/>
      <w:bookmarkStart w:id="50" w:name="_Toc24442"/>
      <w:bookmarkStart w:id="51" w:name="_Toc14208"/>
      <w:bookmarkStart w:id="52" w:name="_Toc19319"/>
      <w:bookmarkStart w:id="53" w:name="_Toc29008"/>
      <w:bookmarkStart w:id="54" w:name="_Toc1375"/>
      <w:bookmarkStart w:id="55" w:name="_Toc26741"/>
      <w:bookmarkStart w:id="56" w:name="_Toc19237"/>
      <w:bookmarkStart w:id="57" w:name="_Toc17609"/>
      <w:bookmarkStart w:id="58" w:name="_Toc26903"/>
      <w:bookmarkStart w:id="59" w:name="_Toc24129"/>
      <w:r>
        <w:rPr>
          <w:rFonts w:hint="eastAsia"/>
          <w:b/>
          <w:bCs/>
          <w:sz w:val="30"/>
          <w:szCs w:val="30"/>
          <w:lang w:val="en-US" w:eastAsia="zh-CN"/>
        </w:rPr>
        <w:t>（一）资金来源情况</w:t>
      </w:r>
      <w:bookmarkEnd w:id="37"/>
      <w:bookmarkEnd w:id="38"/>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2022年4月29日，根据《自治区住房和城乡建设厅关于拨付2022年重点小城镇和高质量美丽宜居村庄建设项目奖补资金的请示</w:t>
      </w:r>
      <w:r>
        <w:rPr>
          <w:rFonts w:hint="eastAsia" w:ascii="Times New Roman" w:hAnsi="Times New Roman" w:eastAsia="方正仿宋_GB2312" w:cs="Times New Roman"/>
          <w:kern w:val="2"/>
          <w:sz w:val="30"/>
          <w:szCs w:val="30"/>
          <w:lang w:val="en-US" w:eastAsia="zh-CN" w:bidi="ar-SA"/>
        </w:rPr>
        <w:t>》（宁建发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17号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《自治区财政厅 自治区住建厅关于下达2022年重点小城镇、高质量美丽宜居村庄建设项目奖补资金预算的通知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139号</w:t>
      </w:r>
      <w:r>
        <w:rPr>
          <w:rFonts w:hint="eastAsia" w:ascii="Times New Roman" w:hAnsi="Times New Roman" w:eastAsia="方正仿宋_GB2312" w:cs="Times New Roman"/>
          <w:kern w:val="2"/>
          <w:sz w:val="30"/>
          <w:szCs w:val="30"/>
          <w:lang w:val="en-US" w:eastAsia="zh-CN" w:bidi="ar-SA"/>
        </w:rPr>
        <w:t>）和《关于做好2022年全面推进乡村振兴重点工作的实施意见》（宁党发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要求，将项目奖补资金落实到具体项目。</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60" w:name="_Toc23316"/>
      <w:bookmarkStart w:id="61" w:name="_Toc13592"/>
      <w:r>
        <w:rPr>
          <w:rFonts w:hint="eastAsia"/>
          <w:b/>
          <w:bCs/>
          <w:sz w:val="30"/>
          <w:szCs w:val="30"/>
          <w:lang w:val="en-US" w:eastAsia="zh-CN"/>
        </w:rPr>
        <w:t>（二）资金到位情况</w:t>
      </w:r>
      <w:bookmarkEnd w:id="60"/>
      <w:bookmarkEnd w:id="61"/>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项目概算总投资602.02万元，其中：工程费用525.19万元，其他费用48.16万元，预备费28.67万元。资金来源：2022年自治区住建厅奖补资金。</w:t>
      </w:r>
    </w:p>
    <w:p>
      <w:pPr>
        <w:keepNext w:val="0"/>
        <w:keepLines w:val="0"/>
        <w:widowControl/>
        <w:suppressLineNumbers w:val="0"/>
        <w:jc w:val="left"/>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截至评价时点，实际到位资金200.00万元，资金到位率100%，</w:t>
      </w:r>
      <w:r>
        <w:rPr>
          <w:rFonts w:ascii="仿宋" w:hAnsi="仿宋" w:eastAsia="仿宋" w:cs="仿宋"/>
          <w:color w:val="000000"/>
          <w:kern w:val="0"/>
          <w:sz w:val="30"/>
          <w:szCs w:val="30"/>
          <w:lang w:val="en-US" w:eastAsia="zh-CN" w:bidi="ar"/>
        </w:rPr>
        <w:t>专项保障本项目的建设实施</w:t>
      </w:r>
      <w:r>
        <w:rPr>
          <w:rFonts w:hint="eastAsia" w:ascii="Times New Roman" w:hAnsi="Times New Roman" w:eastAsia="方正仿宋_GB2312" w:cs="Times New Roman"/>
          <w:sz w:val="30"/>
          <w:szCs w:val="30"/>
          <w:lang w:val="en-US" w:eastAsia="zh-CN"/>
        </w:rPr>
        <w:t>。</w:t>
      </w:r>
    </w:p>
    <w:p>
      <w:pPr>
        <w:pStyle w:val="4"/>
        <w:bidi w:val="0"/>
        <w:rPr>
          <w:rFonts w:hint="default"/>
          <w:lang w:val="en-US" w:eastAsia="zh-CN"/>
        </w:rPr>
      </w:pPr>
      <w:bookmarkStart w:id="62" w:name="_Toc12412"/>
      <w:bookmarkStart w:id="63" w:name="_Toc3804"/>
      <w:r>
        <w:rPr>
          <w:rFonts w:hint="eastAsia"/>
          <w:lang w:val="en-US" w:eastAsia="zh-CN"/>
        </w:rPr>
        <w:t>（三）资金管理情况</w:t>
      </w:r>
      <w:bookmarkEnd w:id="62"/>
      <w:bookmarkEnd w:id="63"/>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kern w:val="2"/>
          <w:sz w:val="30"/>
          <w:szCs w:val="30"/>
          <w:lang w:val="en-US" w:eastAsia="zh-CN" w:bidi="ar-SA"/>
        </w:rPr>
        <w:t>宁夏回族自治区小城镇和村庄建设项目资金管理办法》（宁财建</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476号</w:t>
      </w:r>
      <w:r>
        <w:rPr>
          <w:rFonts w:hint="eastAsia" w:ascii="Times New Roman" w:hAnsi="Times New Roman" w:eastAsia="方正仿宋_GB2312" w:cs="Times New Roman"/>
          <w:kern w:val="2"/>
          <w:sz w:val="30"/>
          <w:szCs w:val="30"/>
          <w:lang w:val="en-US" w:eastAsia="zh-CN" w:bidi="ar-SA"/>
        </w:rPr>
        <w:t>），同心县住房和城乡建设局</w:t>
      </w:r>
      <w:r>
        <w:rPr>
          <w:rFonts w:hint="eastAsia" w:ascii="Times New Roman" w:hAnsi="Times New Roman" w:eastAsia="方正仿宋_GBK" w:cs="Times New Roman"/>
          <w:color w:val="auto"/>
          <w:kern w:val="2"/>
          <w:sz w:val="30"/>
          <w:szCs w:val="30"/>
          <w:highlight w:val="none"/>
          <w:lang w:val="en-US" w:eastAsia="zh-CN" w:bidi="ar-SA"/>
        </w:rPr>
        <w:t>并结合项目方案的要求，对项目资金进行管理和实施监督检查，每笔资金在拨付使用过程中均能够严格执行各项管理制度。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专项资金使用不符合上级财政部门相关要求的，或有重大违规违纪的行为。资金的拨付有完整的审批程序和手续，实行国库集中支付程序的，严格按照财政国库管理制度有关规定执行，支出方向与批复的建设内容一致。未发现虚列支出、资金截留、挤占等现象。</w:t>
      </w:r>
    </w:p>
    <w:p>
      <w:pPr>
        <w:pStyle w:val="4"/>
        <w:bidi w:val="0"/>
        <w:rPr>
          <w:rFonts w:hint="default"/>
          <w:lang w:val="en-US" w:eastAsia="zh-CN"/>
        </w:rPr>
      </w:pPr>
      <w:bookmarkStart w:id="64" w:name="_Toc6553"/>
      <w:bookmarkStart w:id="65" w:name="_Toc12950"/>
      <w:r>
        <w:rPr>
          <w:rFonts w:hint="eastAsia"/>
          <w:lang w:val="en-US" w:eastAsia="zh-CN"/>
        </w:rPr>
        <w:t>（四）资金使用情况</w:t>
      </w:r>
      <w:bookmarkEnd w:id="64"/>
      <w:bookmarkEnd w:id="65"/>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同心县韦州镇2022年高质量美丽宜居村庄奖补资金项目实际到位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200.00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200.00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39"/>
      <w:bookmarkEnd w:id="40"/>
      <w:bookmarkStart w:id="66" w:name="_Toc31342"/>
      <w:bookmarkStart w:id="67" w:name="_Toc2578"/>
    </w:p>
    <w:bookmarkEnd w:id="66"/>
    <w:bookmarkEnd w:id="67"/>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68" w:name="_Toc9923"/>
      <w:r>
        <w:rPr>
          <w:rFonts w:hint="eastAsia" w:asciiTheme="majorEastAsia" w:hAnsiTheme="majorEastAsia" w:eastAsiaTheme="majorEastAsia" w:cstheme="majorEastAsia"/>
          <w:b/>
          <w:bCs/>
          <w:sz w:val="30"/>
          <w:szCs w:val="30"/>
          <w:lang w:val="en-US" w:eastAsia="zh-CN"/>
        </w:rPr>
        <w:t>三、项目绩效</w:t>
      </w:r>
      <w:bookmarkEnd w:id="41"/>
      <w:bookmarkEnd w:id="42"/>
      <w:bookmarkEnd w:id="43"/>
      <w:bookmarkEnd w:id="44"/>
      <w:bookmarkEnd w:id="45"/>
      <w:bookmarkEnd w:id="46"/>
      <w:bookmarkEnd w:id="47"/>
      <w:bookmarkEnd w:id="48"/>
      <w:bookmarkEnd w:id="49"/>
      <w:bookmarkEnd w:id="50"/>
      <w:r>
        <w:rPr>
          <w:rFonts w:hint="eastAsia" w:asciiTheme="majorEastAsia" w:hAnsiTheme="majorEastAsia" w:eastAsiaTheme="majorEastAsia" w:cstheme="majorEastAsia"/>
          <w:b/>
          <w:bCs/>
          <w:sz w:val="30"/>
          <w:szCs w:val="30"/>
          <w:lang w:val="en-US" w:eastAsia="zh-CN"/>
        </w:rPr>
        <w:t>目标</w:t>
      </w:r>
      <w:bookmarkEnd w:id="68"/>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69" w:name="_Toc5756"/>
      <w:bookmarkStart w:id="70" w:name="_Toc23578"/>
      <w:bookmarkStart w:id="71" w:name="_Toc8204"/>
      <w:r>
        <w:rPr>
          <w:rFonts w:hint="eastAsia" w:ascii="方正楷体_GBK" w:hAnsi="方正楷体_GBK" w:eastAsia="方正楷体_GBK" w:cs="方正楷体_GBK"/>
          <w:sz w:val="30"/>
          <w:szCs w:val="30"/>
          <w:lang w:val="en-US" w:eastAsia="zh-CN"/>
        </w:rPr>
        <w:t>（一）绩效目标</w:t>
      </w:r>
      <w:bookmarkEnd w:id="69"/>
    </w:p>
    <w:bookmarkEnd w:id="70"/>
    <w:bookmarkEnd w:id="71"/>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spacing w:val="0"/>
          <w:kern w:val="0"/>
          <w:sz w:val="30"/>
          <w:szCs w:val="30"/>
          <w:lang w:val="en-US" w:eastAsia="zh-CN" w:bidi="zh-CN"/>
        </w:rPr>
        <w:t>坚持以人民为中心，持续加大财政投入，用心用力保障和改善民生，着力解决好群众急难愁盼问题，实现更加稳定更加持续的就业发展，为更加均衡更为优质的教育提供更加完善，更高质量的健康服务，构建更加全面更多层次的社保体系，全力打造人民生活福地。用心用力保障和改善民生，人民群众幸福感不断提升</w:t>
      </w:r>
      <w:r>
        <w:rPr>
          <w:rFonts w:hint="default" w:ascii="Times New Roman" w:hAnsi="Times New Roman" w:eastAsia="方正仿宋_GBK" w:cs="Times New Roman"/>
          <w:spacing w:val="0"/>
          <w:kern w:val="0"/>
          <w:sz w:val="30"/>
          <w:szCs w:val="30"/>
          <w:lang w:val="en-US" w:eastAsia="zh-CN" w:bidi="zh-CN"/>
        </w:rPr>
        <w:t>，</w:t>
      </w:r>
      <w:r>
        <w:rPr>
          <w:rFonts w:hint="eastAsia" w:ascii="Times New Roman" w:hAnsi="Times New Roman" w:eastAsia="方正仿宋_GBK" w:cs="Times New Roman"/>
          <w:spacing w:val="0"/>
          <w:kern w:val="0"/>
          <w:sz w:val="30"/>
          <w:szCs w:val="30"/>
          <w:lang w:val="en-US" w:eastAsia="zh-CN" w:bidi="zh-CN"/>
        </w:rPr>
        <w:t>为</w:t>
      </w:r>
      <w:r>
        <w:rPr>
          <w:rFonts w:hint="default" w:ascii="Times New Roman" w:hAnsi="Times New Roman" w:eastAsia="方正仿宋_GBK" w:cs="Times New Roman"/>
          <w:spacing w:val="0"/>
          <w:kern w:val="0"/>
          <w:sz w:val="30"/>
          <w:szCs w:val="30"/>
          <w:lang w:val="en-US" w:eastAsia="zh-CN" w:bidi="zh-CN"/>
        </w:rPr>
        <w:t>地方经济高质量发展持续注入新鲜活水，人民生活幸福感不断增强</w:t>
      </w:r>
      <w:r>
        <w:rPr>
          <w:rFonts w:hint="default" w:ascii="Times New Roman" w:hAnsi="Times New Roman" w:eastAsia="方正仿宋_GBK" w:cs="Times New Roman"/>
          <w:color w:val="auto"/>
          <w:kern w:val="2"/>
          <w:sz w:val="30"/>
          <w:szCs w:val="30"/>
          <w:highlight w:val="none"/>
          <w:lang w:val="en-US" w:eastAsia="zh-CN" w:bidi="ar-SA"/>
        </w:rPr>
        <w:t>。</w:t>
      </w:r>
    </w:p>
    <w:p>
      <w:pPr>
        <w:pStyle w:val="4"/>
        <w:numPr>
          <w:ilvl w:val="0"/>
          <w:numId w:val="2"/>
        </w:numPr>
        <w:bidi w:val="0"/>
        <w:ind w:left="38" w:leftChars="0" w:firstLineChars="0"/>
        <w:rPr>
          <w:rFonts w:hint="eastAsia"/>
          <w:lang w:val="en-US" w:eastAsia="zh-CN"/>
        </w:rPr>
      </w:pPr>
      <w:bookmarkStart w:id="72" w:name="_Toc29105"/>
      <w:bookmarkStart w:id="73" w:name="_Toc6859"/>
      <w:bookmarkStart w:id="74" w:name="_Toc28550"/>
      <w:r>
        <w:rPr>
          <w:rFonts w:hint="eastAsia"/>
          <w:lang w:val="en-US" w:eastAsia="zh-CN"/>
        </w:rPr>
        <w:t>项目绩效</w:t>
      </w:r>
      <w:bookmarkEnd w:id="72"/>
      <w:bookmarkEnd w:id="73"/>
      <w:bookmarkStart w:id="75" w:name="_Toc13598"/>
      <w:bookmarkStart w:id="76" w:name="_Toc14067"/>
      <w:bookmarkStart w:id="77" w:name="_Toc11708"/>
      <w:r>
        <w:rPr>
          <w:rFonts w:hint="eastAsia"/>
          <w:lang w:val="en-US" w:eastAsia="zh-CN"/>
        </w:rPr>
        <w:t>目标</w:t>
      </w:r>
      <w:bookmarkEnd w:id="74"/>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通过前期实地调研，评价组与被评价单位进行充分、有效地沟通，依据项目的功能特性，明确项目在一定时期内的总体产出和效果，以定性和定量的方式确定所要实现的目标，明确了总体绩效目标。具体情况如下表：</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b/>
          <w:bCs/>
          <w:color w:val="auto"/>
          <w:kern w:val="2"/>
          <w:sz w:val="30"/>
          <w:szCs w:val="3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b/>
          <w:bCs/>
          <w:color w:val="auto"/>
          <w:kern w:val="2"/>
          <w:sz w:val="30"/>
          <w:szCs w:val="3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b/>
          <w:bCs/>
          <w:lang w:val="en-US" w:eastAsia="zh-CN"/>
        </w:rPr>
      </w:pPr>
      <w:r>
        <w:rPr>
          <w:rFonts w:hint="eastAsia" w:ascii="Times New Roman" w:hAnsi="Times New Roman" w:eastAsia="方正仿宋_GBK" w:cs="Times New Roman"/>
          <w:b/>
          <w:bCs/>
          <w:color w:val="auto"/>
          <w:kern w:val="2"/>
          <w:sz w:val="30"/>
          <w:szCs w:val="30"/>
          <w:highlight w:val="none"/>
          <w:lang w:val="en-US" w:eastAsia="zh-CN" w:bidi="ar-SA"/>
        </w:rPr>
        <w:t>项目绩效目标完成表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同心县韦州镇2022年高质量美丽宜居村庄奖补资金项目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eastAsia="zh-CN"/>
              </w:rPr>
              <w:t>同心县</w:t>
            </w:r>
            <w:r>
              <w:rPr>
                <w:rFonts w:hint="eastAsia" w:ascii="Times New Roman" w:hAnsi="Times New Roman" w:eastAsia="方正仿宋_GBK" w:cs="Times New Roman"/>
                <w:i w:val="0"/>
                <w:iCs w:val="0"/>
                <w:color w:val="000000"/>
                <w:sz w:val="21"/>
                <w:szCs w:val="21"/>
                <w:u w:val="none"/>
                <w:lang w:val="en-US" w:eastAsia="zh-CN"/>
              </w:rPr>
              <w:t>韦州镇人民政府</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200.00万元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实施的新建项目全部按期开工建设并保质保量完成；</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sz w:val="21"/>
                <w:szCs w:val="21"/>
                <w:u w:val="none"/>
                <w:lang w:val="en-US" w:eastAsia="zh-CN"/>
              </w:rPr>
              <w:t>改善农村人居环境，建设美丽宜居乡村，是实施乡村振兴的一项重要任务，事关全面建成小康事关广大农民根本福祉，事关农村社会文明和谐。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jc w:val="center"/>
        </w:trPr>
        <w:tc>
          <w:tcPr>
            <w:tcW w:w="10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新建项目完成率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财务决算审核完成及时率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逐步改善村容村貌</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基本完备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≥93%</w:t>
            </w:r>
          </w:p>
        </w:tc>
      </w:tr>
      <w:bookmarkEnd w:id="75"/>
      <w:bookmarkEnd w:id="76"/>
      <w:bookmarkEnd w:id="77"/>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78" w:name="_Toc2876"/>
      <w:bookmarkStart w:id="79" w:name="_Toc1272"/>
      <w:bookmarkStart w:id="80" w:name="_Toc12031"/>
      <w:r>
        <w:rPr>
          <w:rFonts w:hint="eastAsia" w:asciiTheme="majorEastAsia" w:hAnsiTheme="majorEastAsia" w:eastAsiaTheme="majorEastAsia" w:cstheme="majorEastAsia"/>
          <w:b/>
          <w:bCs/>
          <w:sz w:val="30"/>
          <w:szCs w:val="30"/>
          <w:lang w:val="en-US" w:eastAsia="zh-CN"/>
        </w:rPr>
        <w:t>四、绩效评价工作开展情况</w:t>
      </w:r>
      <w:bookmarkEnd w:id="78"/>
      <w:bookmarkEnd w:id="79"/>
      <w:bookmarkEnd w:id="80"/>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1" w:name="_Toc23289"/>
      <w:bookmarkStart w:id="82" w:name="_Toc30230"/>
      <w:bookmarkStart w:id="83" w:name="_Toc22364"/>
      <w:r>
        <w:rPr>
          <w:rFonts w:hint="eastAsia" w:ascii="方正楷体_GBK" w:hAnsi="方正楷体_GBK" w:eastAsia="方正楷体_GBK" w:cs="方正楷体_GBK"/>
          <w:b/>
          <w:bCs/>
          <w:sz w:val="30"/>
          <w:szCs w:val="30"/>
          <w:lang w:val="en-US" w:eastAsia="zh-CN"/>
        </w:rPr>
        <w:t>（一）绩效评价目的</w:t>
      </w:r>
      <w:bookmarkEnd w:id="81"/>
      <w:bookmarkEnd w:id="82"/>
      <w:bookmarkEnd w:id="83"/>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1.</w:t>
      </w:r>
      <w:r>
        <w:rPr>
          <w:rFonts w:hint="default" w:ascii="Times New Roman" w:hAnsi="Times New Roman" w:eastAsia="方正仿宋_GBK" w:cs="Times New Roman"/>
          <w:sz w:val="30"/>
          <w:szCs w:val="30"/>
          <w:lang w:val="en-US" w:eastAsia="zh-CN"/>
        </w:rPr>
        <w:t>通过绩效评价，对预算资金的投入、过程、产出、效果四个方面进行绩效评价，反映项目规范性、绩效目标设立的合理性和科学性、资金到位、支出情况，形成真实完整数据准确、分析透彻、逻辑清晰、客观公正的绩效评价结论为项目后续资金投入、分配和管理提供决策依据</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同时作为以后年度</w:t>
      </w:r>
      <w:r>
        <w:rPr>
          <w:rFonts w:hint="eastAsia" w:ascii="Times New Roman" w:hAnsi="Times New Roman" w:eastAsia="方正仿宋_GBK" w:cs="Times New Roman"/>
          <w:sz w:val="30"/>
          <w:szCs w:val="30"/>
          <w:lang w:val="en-US" w:eastAsia="zh-CN"/>
        </w:rPr>
        <w:t>同心县</w:t>
      </w:r>
      <w:r>
        <w:rPr>
          <w:rFonts w:hint="default" w:ascii="Times New Roman" w:hAnsi="Times New Roman" w:eastAsia="方正仿宋_GBK" w:cs="Times New Roman"/>
          <w:sz w:val="30"/>
          <w:szCs w:val="30"/>
          <w:lang w:val="en-US" w:eastAsia="zh-CN"/>
        </w:rPr>
        <w:t>编制预算和安排财政项目资金的重要依据逐步树立以结果为导向、讲求绩效的观念。</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sz w:val="30"/>
          <w:szCs w:val="30"/>
          <w:lang w:val="en-US" w:eastAsia="zh-CN"/>
        </w:rPr>
        <w:t>通过绩效评价，考察</w:t>
      </w:r>
      <w:r>
        <w:rPr>
          <w:rFonts w:hint="eastAsia" w:ascii="Times New Roman" w:hAnsi="Times New Roman" w:eastAsia="方正仿宋_GBK" w:cs="Times New Roman"/>
          <w:b w:val="0"/>
          <w:color w:val="auto"/>
          <w:kern w:val="2"/>
          <w:sz w:val="30"/>
          <w:szCs w:val="30"/>
          <w:highlight w:val="none"/>
          <w:lang w:val="en-US" w:eastAsia="zh-CN" w:bidi="ar-SA"/>
        </w:rPr>
        <w:t>同心县韦州镇2022年高质量美丽宜居村庄奖补资金项目</w:t>
      </w:r>
      <w:r>
        <w:rPr>
          <w:rFonts w:hint="default" w:ascii="Times New Roman" w:hAnsi="Times New Roman" w:eastAsia="方正仿宋_GBK" w:cs="Times New Roman"/>
          <w:sz w:val="30"/>
          <w:szCs w:val="30"/>
          <w:lang w:val="en-US" w:eastAsia="zh-CN"/>
        </w:rPr>
        <w:t>资金使用的安全性、规范性和效益性。通过评价、总结项目实施的做法、经验和教训，提出改进措施和建设性意见，为项目绩效管理提供决策参考及政策制定依据。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val="0"/>
          <w:kern w:val="2"/>
          <w:sz w:val="30"/>
          <w:szCs w:val="30"/>
          <w:lang w:val="en-US" w:eastAsia="zh-CN" w:bidi="ar-SA"/>
        </w:rPr>
      </w:pPr>
      <w:r>
        <w:rPr>
          <w:rFonts w:hint="default" w:ascii="Times New Roman" w:hAnsi="Times New Roman" w:eastAsia="方正仿宋_GBK" w:cs="Times New Roman"/>
          <w:b/>
          <w:bCs/>
          <w:kern w:val="2"/>
          <w:sz w:val="30"/>
          <w:szCs w:val="30"/>
          <w:lang w:val="en-US" w:eastAsia="zh-CN" w:bidi="ar-SA"/>
        </w:rPr>
        <w:t>3.</w:t>
      </w:r>
      <w:r>
        <w:rPr>
          <w:rFonts w:hint="default" w:ascii="Times New Roman" w:hAnsi="Times New Roman" w:eastAsia="方正仿宋_GBK" w:cs="Times New Roman"/>
          <w:b w:val="0"/>
          <w:kern w:val="2"/>
          <w:sz w:val="30"/>
          <w:szCs w:val="30"/>
          <w:lang w:val="en-US" w:eastAsia="zh-CN" w:bidi="ar-SA"/>
        </w:rPr>
        <w:t>通过绩效评价，能够让各级工作人员认识到发挥项目资金效益的重要性，强化工作职责，能够更清晰地界定工作的内容与其需要达到的标准</w:t>
      </w:r>
      <w:r>
        <w:rPr>
          <w:rFonts w:hint="eastAsia" w:ascii="Times New Roman" w:hAnsi="Times New Roman" w:eastAsia="方正仿宋_GBK" w:cs="Times New Roman"/>
          <w:b w:val="0"/>
          <w:kern w:val="2"/>
          <w:sz w:val="30"/>
          <w:szCs w:val="30"/>
          <w:lang w:val="en-US" w:eastAsia="zh-CN" w:bidi="ar-SA"/>
        </w:rPr>
        <w:t>；</w:t>
      </w:r>
      <w:r>
        <w:rPr>
          <w:rFonts w:hint="default" w:ascii="Times New Roman" w:hAnsi="Times New Roman" w:eastAsia="方正仿宋_GBK" w:cs="Times New Roman"/>
          <w:b w:val="0"/>
          <w:kern w:val="2"/>
          <w:sz w:val="30"/>
          <w:szCs w:val="30"/>
          <w:lang w:val="en-US" w:eastAsia="zh-CN" w:bidi="ar-SA"/>
        </w:rPr>
        <w:t>能够让工作人员清楚认识到各自的问题和不足，激励加强项目管理、资金管理、绩效评价理论学习和实践活动，提高工作效率。同时也可在实践中检验绩效评价工作的针对性和可操作性，推动绩效评价的制度体系建设。</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4" w:name="_Toc2741"/>
      <w:r>
        <w:rPr>
          <w:rFonts w:hint="eastAsia" w:ascii="方正楷体_GBK" w:hAnsi="方正楷体_GBK" w:eastAsia="方正楷体_GBK" w:cs="方正楷体_GBK"/>
          <w:b/>
          <w:bCs/>
          <w:sz w:val="30"/>
          <w:szCs w:val="30"/>
          <w:lang w:val="en-US" w:eastAsia="zh-CN"/>
        </w:rPr>
        <w:t>（二）绩效评价对象</w:t>
      </w:r>
      <w:bookmarkEnd w:id="84"/>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 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同心县韦州镇2022年高质量美丽宜居村庄奖补资金项目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5" w:name="_Toc22702"/>
      <w:bookmarkStart w:id="86" w:name="_Toc2314"/>
      <w:bookmarkStart w:id="87" w:name="_Toc4083"/>
      <w:r>
        <w:rPr>
          <w:rFonts w:hint="eastAsia" w:ascii="方正楷体_GBK" w:hAnsi="方正楷体_GBK" w:eastAsia="方正楷体_GBK" w:cs="方正楷体_GBK"/>
          <w:b/>
          <w:bCs/>
          <w:sz w:val="30"/>
          <w:szCs w:val="30"/>
          <w:lang w:val="en-US" w:eastAsia="zh-CN"/>
        </w:rPr>
        <w:t>（三）评价依据</w:t>
      </w:r>
      <w:bookmarkEnd w:id="85"/>
      <w:bookmarkEnd w:id="86"/>
      <w:bookmarkEnd w:id="87"/>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0"/>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K" w:cs="Times New Roman"/>
          <w:kern w:val="2"/>
          <w:sz w:val="30"/>
          <w:szCs w:val="30"/>
          <w:lang w:val="en-US" w:eastAsia="zh-CN" w:bidi="ar-SA"/>
        </w:rPr>
      </w:pPr>
      <w:bookmarkStart w:id="88" w:name="_Toc27299"/>
      <w:bookmarkStart w:id="89" w:name="_Toc15643"/>
      <w:r>
        <w:rPr>
          <w:rFonts w:hint="eastAsia" w:ascii="Times New Roman" w:hAnsi="Times New Roman" w:eastAsia="方正仿宋_GBK" w:cs="Times New Roman"/>
          <w:kern w:val="2"/>
          <w:sz w:val="30"/>
          <w:szCs w:val="30"/>
          <w:lang w:val="en-US" w:eastAsia="zh-CN" w:bidi="ar-SA"/>
        </w:rPr>
        <w:t>9.《关于同心县餐厨垃圾协同污泥处理工程初步设计的批复》（同发改审发</w:t>
      </w:r>
      <w:r>
        <w:rPr>
          <w:rFonts w:hint="default" w:ascii="Times New Roman" w:hAnsi="Times New Roman" w:eastAsia="方正仿宋_GBK" w:cs="Times New Roman"/>
          <w:kern w:val="2"/>
          <w:sz w:val="30"/>
          <w:szCs w:val="30"/>
          <w:lang w:val="en-US" w:eastAsia="zh-CN" w:bidi="ar-SA"/>
        </w:rPr>
        <w:t>〔20</w:t>
      </w:r>
      <w:r>
        <w:rPr>
          <w:rFonts w:hint="eastAsia" w:ascii="Times New Roman" w:hAnsi="Times New Roman" w:eastAsia="方正仿宋_GBK" w:cs="Times New Roman"/>
          <w:kern w:val="2"/>
          <w:sz w:val="30"/>
          <w:szCs w:val="30"/>
          <w:lang w:val="en-US" w:eastAsia="zh-CN" w:bidi="ar-SA"/>
        </w:rPr>
        <w:t>20</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322</w:t>
      </w:r>
      <w:r>
        <w:rPr>
          <w:rFonts w:hint="default" w:ascii="Times New Roman" w:hAnsi="Times New Roman" w:eastAsia="方正仿宋_GBK" w:cs="Times New Roman"/>
          <w:kern w:val="2"/>
          <w:sz w:val="30"/>
          <w:szCs w:val="30"/>
          <w:lang w:val="en-US" w:eastAsia="zh-CN" w:bidi="ar-SA"/>
        </w:rPr>
        <w:t>号）</w:t>
      </w:r>
      <w:bookmarkEnd w:id="88"/>
      <w:bookmarkEnd w:id="89"/>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10.</w:t>
      </w:r>
      <w:r>
        <w:rPr>
          <w:rFonts w:hint="eastAsia" w:ascii="Times New Roman" w:hAnsi="Times New Roman" w:eastAsia="方正仿宋_GB2312" w:cs="Times New Roman"/>
          <w:kern w:val="2"/>
          <w:sz w:val="30"/>
          <w:szCs w:val="30"/>
          <w:lang w:val="en-US" w:eastAsia="zh-CN" w:bidi="ar-SA"/>
        </w:rPr>
        <w:t>《同心县规划建设委员会会议纪要》（2020年第5期）</w:t>
      </w:r>
    </w:p>
    <w:p>
      <w:pPr>
        <w:topLinePunct/>
        <w:spacing w:line="560" w:lineRule="exact"/>
        <w:ind w:firstLine="592" w:firstLineChars="200"/>
        <w:outlineLvl w:val="0"/>
        <w:rPr>
          <w:rFonts w:hint="eastAsia" w:ascii="Times New Roman" w:hAnsi="Times New Roman" w:eastAsia="方正仿宋_GBK" w:cs="Times New Roman"/>
          <w:kern w:val="2"/>
          <w:sz w:val="30"/>
          <w:szCs w:val="30"/>
          <w:lang w:val="en-US" w:eastAsia="zh-CN" w:bidi="ar-SA"/>
        </w:rPr>
      </w:pPr>
      <w:bookmarkStart w:id="90" w:name="_Toc27436"/>
      <w:bookmarkStart w:id="91" w:name="_Toc12022"/>
      <w:r>
        <w:rPr>
          <w:rFonts w:hint="eastAsia" w:ascii="Times New Roman" w:hAnsi="Times New Roman" w:eastAsia="方正仿宋_GBK" w:cs="Times New Roman"/>
          <w:color w:val="auto"/>
          <w:kern w:val="2"/>
          <w:sz w:val="30"/>
          <w:szCs w:val="30"/>
          <w:highlight w:val="none"/>
          <w:lang w:val="en-US" w:eastAsia="zh-CN" w:bidi="ar-SA"/>
        </w:rPr>
        <w:t>11.《关于同心县韦州镇甘沟村高质量美丽宜居村庄建设项目初步设计的批复》（同</w:t>
      </w:r>
      <w:r>
        <w:rPr>
          <w:rFonts w:hint="eastAsia" w:ascii="Times New Roman" w:hAnsi="Times New Roman" w:eastAsia="方正仿宋_GBK" w:cs="Times New Roman"/>
          <w:kern w:val="2"/>
          <w:sz w:val="30"/>
          <w:szCs w:val="30"/>
          <w:lang w:val="en-US" w:eastAsia="zh-CN" w:bidi="ar-SA"/>
        </w:rPr>
        <w:t>发改审发</w:t>
      </w:r>
      <w:r>
        <w:rPr>
          <w:rFonts w:hint="default" w:ascii="Times New Roman" w:hAnsi="Times New Roman" w:eastAsia="方正仿宋_GBK" w:cs="Times New Roman"/>
          <w:kern w:val="2"/>
          <w:sz w:val="30"/>
          <w:szCs w:val="30"/>
          <w:lang w:val="en-US" w:eastAsia="zh-CN" w:bidi="ar-SA"/>
        </w:rPr>
        <w:t>〔20</w:t>
      </w:r>
      <w:r>
        <w:rPr>
          <w:rFonts w:hint="eastAsia" w:ascii="Times New Roman" w:hAnsi="Times New Roman" w:eastAsia="方正仿宋_GBK" w:cs="Times New Roman"/>
          <w:kern w:val="2"/>
          <w:sz w:val="30"/>
          <w:szCs w:val="30"/>
          <w:lang w:val="en-US" w:eastAsia="zh-CN" w:bidi="ar-SA"/>
        </w:rPr>
        <w:t>22</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237</w:t>
      </w:r>
      <w:r>
        <w:rPr>
          <w:rFonts w:hint="default" w:ascii="Times New Roman" w:hAnsi="Times New Roman" w:eastAsia="方正仿宋_GBK" w:cs="Times New Roman"/>
          <w:kern w:val="2"/>
          <w:sz w:val="30"/>
          <w:szCs w:val="30"/>
          <w:lang w:val="en-US" w:eastAsia="zh-CN" w:bidi="ar-SA"/>
        </w:rPr>
        <w:t>号）</w:t>
      </w:r>
      <w:bookmarkEnd w:id="90"/>
      <w:bookmarkEnd w:id="91"/>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12.相关行业政策、行业标准及专业技术规范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2" w:name="_Toc15328"/>
      <w:bookmarkStart w:id="93" w:name="_Toc17802"/>
      <w:bookmarkStart w:id="94" w:name="_Toc8570"/>
      <w:r>
        <w:rPr>
          <w:rFonts w:hint="eastAsia" w:ascii="方正楷体_GBK" w:hAnsi="方正楷体_GBK" w:eastAsia="方正楷体_GBK" w:cs="方正楷体_GBK"/>
          <w:b/>
          <w:bCs/>
          <w:sz w:val="30"/>
          <w:szCs w:val="30"/>
          <w:lang w:val="en-US" w:eastAsia="zh-CN"/>
        </w:rPr>
        <w:t>（四）评价原则</w:t>
      </w:r>
      <w:bookmarkEnd w:id="92"/>
      <w:bookmarkEnd w:id="93"/>
      <w:bookmarkEnd w:id="94"/>
    </w:p>
    <w:p>
      <w:pPr>
        <w:rPr>
          <w:rFonts w:hint="default" w:ascii="Times New Roman" w:hAnsi="Times New Roman" w:eastAsia="方正仿宋_GBK" w:cs="Times New Roman"/>
          <w:b w:val="0"/>
          <w:bCs w:val="0"/>
          <w:kern w:val="0"/>
          <w:sz w:val="30"/>
          <w:szCs w:val="30"/>
          <w:lang w:val="en-US" w:eastAsia="zh-CN" w:bidi="zh-CN"/>
        </w:rPr>
      </w:pPr>
      <w:bookmarkStart w:id="95" w:name="_Toc14020"/>
      <w:bookmarkStart w:id="96"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）和</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7" w:name="_Toc19452"/>
      <w:r>
        <w:rPr>
          <w:rFonts w:hint="eastAsia" w:ascii="方正楷体_GBK" w:hAnsi="方正楷体_GBK" w:eastAsia="方正楷体_GBK" w:cs="方正楷体_GBK"/>
          <w:b/>
          <w:bCs/>
          <w:sz w:val="30"/>
          <w:szCs w:val="30"/>
          <w:lang w:val="en-US" w:eastAsia="zh-CN"/>
        </w:rPr>
        <w:t>（五）评价标准</w:t>
      </w:r>
      <w:bookmarkEnd w:id="97"/>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98" w:name="_Toc19737"/>
      <w:bookmarkStart w:id="99" w:name="_Toc7217"/>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98"/>
      <w:bookmarkEnd w:id="99"/>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00" w:name="_Toc21609"/>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95"/>
      <w:bookmarkEnd w:id="96"/>
      <w:bookmarkEnd w:id="100"/>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bookmarkStart w:id="101" w:name="_Toc31420"/>
      <w:bookmarkStart w:id="102" w:name="_Toc3585"/>
      <w:r>
        <w:rPr>
          <w:rFonts w:hint="eastAsia" w:ascii="Times New Roman" w:hAnsi="Times New Roman" w:eastAsia="方正仿宋_GBK" w:cs="Times New Roman"/>
          <w:b w:val="0"/>
          <w:bCs w:val="0"/>
          <w:kern w:val="0"/>
          <w:sz w:val="30"/>
          <w:szCs w:val="30"/>
          <w:lang w:val="en-US" w:eastAsia="zh-CN" w:bidi="zh-CN"/>
        </w:rPr>
        <w:t>同心县韦州镇2022年高质量美丽宜居村庄奖补资金项目根据《项目支出绩效评价管理办法》（财预〔2020〕10 号）设定的评价指标体系框架，结合项目属性和特点，按照重要性、相关性、</w:t>
      </w:r>
      <w:r>
        <w:rPr>
          <w:rFonts w:hint="eastAsia" w:ascii="仿宋" w:hAnsi="仿宋" w:eastAsia="仿宋" w:cs="仿宋"/>
          <w:color w:val="000000"/>
          <w:kern w:val="0"/>
          <w:sz w:val="30"/>
          <w:szCs w:val="30"/>
          <w:lang w:val="en-US" w:eastAsia="zh-CN" w:bidi="ar"/>
        </w:rPr>
        <w:t>可衡量、系统性、经济性，以及</w:t>
      </w:r>
      <w:r>
        <w:rPr>
          <w:rFonts w:hint="eastAsia" w:ascii="Times New Roman" w:hAnsi="Times New Roman" w:eastAsia="方正仿宋_GBK" w:cs="Times New Roman"/>
          <w:b w:val="0"/>
          <w:bCs w:val="0"/>
          <w:kern w:val="0"/>
          <w:sz w:val="30"/>
          <w:szCs w:val="30"/>
          <w:lang w:val="en-US" w:eastAsia="zh-CN" w:bidi="zh-CN"/>
        </w:rPr>
        <w:t>评价对象、目标任务及资金管理要求，评价一级指标涵盖项目全周期，由决策、过程、产出和效益 4 个一级指标构成，同时对应分解并设置 12 个二级指标、23 个三级指标。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kern w:val="0"/>
          <w:sz w:val="30"/>
          <w:szCs w:val="30"/>
          <w:lang w:val="en-US" w:eastAsia="zh-CN" w:bidi="zh-CN"/>
        </w:rPr>
        <w:t>权重占比 20%，过程指标权重占比 20%，产出指标权重占比 3</w:t>
      </w:r>
      <w:r>
        <w:rPr>
          <w:rFonts w:hint="eastAsia" w:ascii="Times New Roman" w:hAnsi="Times New Roman" w:eastAsia="方正仿宋_GBK" w:cs="Times New Roman"/>
          <w:b w:val="0"/>
          <w:bCs w:val="0"/>
          <w:kern w:val="0"/>
          <w:sz w:val="30"/>
          <w:szCs w:val="30"/>
          <w:lang w:val="en-US" w:eastAsia="zh-CN" w:bidi="zh-CN"/>
        </w:rPr>
        <w:t>4</w:t>
      </w:r>
      <w:r>
        <w:rPr>
          <w:rFonts w:hint="default" w:ascii="Times New Roman" w:hAnsi="Times New Roman" w:eastAsia="方正仿宋_GBK" w:cs="Times New Roman"/>
          <w:b w:val="0"/>
          <w:bCs w:val="0"/>
          <w:kern w:val="0"/>
          <w:sz w:val="30"/>
          <w:szCs w:val="30"/>
          <w:lang w:val="en-US" w:eastAsia="zh-CN" w:bidi="zh-CN"/>
        </w:rPr>
        <w:t>%，效益指标权重占比</w:t>
      </w:r>
      <w:r>
        <w:rPr>
          <w:rFonts w:hint="eastAsia" w:ascii="Times New Roman" w:hAnsi="Times New Roman" w:eastAsia="方正仿宋_GBK" w:cs="Times New Roman"/>
          <w:b w:val="0"/>
          <w:bCs w:val="0"/>
          <w:kern w:val="0"/>
          <w:sz w:val="30"/>
          <w:szCs w:val="30"/>
          <w:lang w:val="en-US" w:eastAsia="zh-CN" w:bidi="zh-CN"/>
        </w:rPr>
        <w:t>26</w:t>
      </w:r>
      <w:r>
        <w:rPr>
          <w:rFonts w:hint="default" w:ascii="Times New Roman" w:hAnsi="Times New Roman" w:eastAsia="方正仿宋_GBK" w:cs="Times New Roman"/>
          <w:b w:val="0"/>
          <w:bCs w:val="0"/>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 3 个二级指标，同时对应分解并选择设置立项依据充分性、立项程序规范性、绩效目标合理性、绩效指标明确性、预算编制科学性、资金分配合理性 6 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 4 个二级指标，同时对应分解并选择设置年度建设实施项目个数、实施项目整体完成率、招投标程序合规率、工程验收质量达标率、项目开工及完工及时率、结算审核及竣工验收及时率、竣工财务决算完成及时率和工程建设投资总成本等 8 个三级指标，分别对项目产出情况进行考察评判。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效益类指标包括项目社会效益、可持续影响和满意度3个二级指标，同时对应分解并选择设置逐步改善村容村貌、建立健全长期机制和受益对象满意度4个三级指标进行考察评判。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3" w:name="_Toc3290"/>
      <w:bookmarkStart w:id="104" w:name="_Toc18428"/>
      <w:bookmarkStart w:id="105" w:name="_Toc29161"/>
      <w:bookmarkStart w:id="106" w:name="_Toc11592"/>
      <w:bookmarkStart w:id="107" w:name="_Toc13700"/>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103"/>
      <w:bookmarkEnd w:id="104"/>
      <w:bookmarkEnd w:id="105"/>
      <w:bookmarkEnd w:id="106"/>
      <w:bookmarkEnd w:id="107"/>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90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80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108" w:name="_Toc17636"/>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01"/>
      <w:bookmarkEnd w:id="102"/>
      <w:bookmarkEnd w:id="108"/>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09" w:name="_Toc10922"/>
      <w:bookmarkStart w:id="110" w:name="_Toc4015"/>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09"/>
      <w:bookmarkEnd w:id="110"/>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val="0"/>
          <w:color w:val="auto"/>
          <w:kern w:val="2"/>
          <w:sz w:val="30"/>
          <w:szCs w:val="30"/>
          <w:highlight w:val="none"/>
          <w:lang w:val="en-US" w:eastAsia="zh-CN" w:bidi="ar-SA"/>
        </w:rPr>
      </w:pPr>
      <w:bookmarkStart w:id="111" w:name="_Toc2624"/>
      <w:bookmarkStart w:id="112" w:name="_Toc20872"/>
      <w:r>
        <w:rPr>
          <w:rFonts w:hint="default" w:ascii="Times New Roman" w:hAnsi="Times New Roman" w:eastAsia="方正仿宋_GBK" w:cs="Times New Roman"/>
          <w:b w:val="0"/>
          <w:color w:val="auto"/>
          <w:kern w:val="2"/>
          <w:sz w:val="30"/>
          <w:szCs w:val="30"/>
          <w:highlight w:val="none"/>
          <w:lang w:val="en-US" w:eastAsia="zh-CN" w:bidi="ar-SA"/>
        </w:rPr>
        <w:t>同心县韦州镇2022年高质量美丽宜居村庄奖补资金项目绩效评价主要采用因素分析法、比较法、现场核查法、公众评判法进行综合评价。具体评价方法如下</w:t>
      </w:r>
      <w:r>
        <w:rPr>
          <w:rFonts w:hint="eastAsia" w:ascii="Times New Roman" w:hAnsi="Times New Roman" w:eastAsia="方正仿宋_GBK" w:cs="Times New Roman"/>
          <w:b w:val="0"/>
          <w:color w:val="auto"/>
          <w:kern w:val="2"/>
          <w:sz w:val="30"/>
          <w:szCs w:val="30"/>
          <w:highlight w:val="none"/>
          <w:lang w:val="en-US" w:eastAsia="zh-CN" w:bidi="ar-SA"/>
        </w:rPr>
        <w:t>：</w:t>
      </w:r>
      <w:bookmarkEnd w:id="111"/>
      <w:bookmarkEnd w:id="112"/>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同心县韦州镇2022年高质量美丽宜居村庄奖补资金项目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同心县韦州镇2022年高质量美丽宜居村庄奖补资金项目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同心县韦州镇2022年高质量美丽宜居村庄奖补资金项目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同心县韦州镇2022年高质量美丽宜居村庄奖补资金项目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13" w:name="_Toc14287"/>
      <w:bookmarkStart w:id="114" w:name="_Toc15372"/>
      <w:bookmarkStart w:id="115" w:name="_Toc7423"/>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13"/>
      <w:bookmarkEnd w:id="114"/>
      <w:bookmarkEnd w:id="115"/>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楷体_GBK" w:cs="Times New Roman"/>
          <w:b w:val="0"/>
          <w:bCs/>
          <w:color w:val="auto"/>
          <w:kern w:val="2"/>
          <w:sz w:val="30"/>
          <w:szCs w:val="30"/>
          <w:lang w:val="en-US" w:eastAsia="zh-CN" w:bidi="ar-SA"/>
        </w:rPr>
        <w:t>(</w:t>
      </w:r>
      <w:r>
        <w:rPr>
          <w:rFonts w:hint="default" w:ascii="Times New Roman" w:hAnsi="Times New Roman" w:eastAsia="方正仿宋_GBK" w:cs="Times New Roman"/>
          <w:b w:val="0"/>
          <w:bCs/>
          <w:color w:val="auto"/>
          <w:kern w:val="2"/>
          <w:sz w:val="30"/>
          <w:szCs w:val="30"/>
          <w:highlight w:val="none"/>
          <w:lang w:val="en-US" w:eastAsia="zh-CN" w:bidi="ar-SA"/>
        </w:rPr>
        <w:t>1</w:t>
      </w:r>
      <w:r>
        <w:rPr>
          <w:rFonts w:hint="default" w:ascii="Times New Roman" w:hAnsi="Times New Roman" w:eastAsia="方正楷体_GBK" w:cs="Times New Roman"/>
          <w:b w:val="0"/>
          <w:bCs/>
          <w:color w:val="auto"/>
          <w:kern w:val="2"/>
          <w:sz w:val="30"/>
          <w:szCs w:val="30"/>
          <w:lang w:val="en-US" w:eastAsia="zh-CN" w:bidi="ar-SA"/>
        </w:rPr>
        <w:t>)</w:t>
      </w:r>
      <w:r>
        <w:rPr>
          <w:rFonts w:hint="eastAsia" w:ascii="Times New Roman" w:hAnsi="Times New Roman" w:eastAsia="方正仿宋_GBK" w:cs="Times New Roman"/>
          <w:b w:val="0"/>
          <w:bCs/>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(3) </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16" w:name="_Toc24711"/>
      <w:bookmarkStart w:id="117" w:name="_Toc15926"/>
      <w:bookmarkStart w:id="118" w:name="_Toc23927"/>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16"/>
      <w:bookmarkEnd w:id="117"/>
      <w:bookmarkEnd w:id="118"/>
    </w:p>
    <w:p>
      <w:pPr>
        <w:pStyle w:val="4"/>
        <w:bidi w:val="0"/>
        <w:rPr>
          <w:rFonts w:hint="default"/>
          <w:lang w:val="en-US" w:eastAsia="zh-CN"/>
        </w:rPr>
      </w:pPr>
      <w:bookmarkStart w:id="119" w:name="_Toc22876"/>
      <w:r>
        <w:rPr>
          <w:rFonts w:hint="eastAsia"/>
          <w:lang w:val="en-US" w:eastAsia="zh-CN"/>
        </w:rPr>
        <w:t>（一）项目完成情况</w:t>
      </w:r>
      <w:bookmarkEnd w:id="119"/>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专项资金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能够对债券资金项目使用、执行和绩效进行穿透式管理，资金投向合规、资金管理严格，风险防范有效，确保资金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200.00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200.00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200.00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在项目产出方面：</w:t>
      </w:r>
      <w:r>
        <w:rPr>
          <w:rFonts w:hint="eastAsia" w:ascii="Times New Roman" w:hAnsi="Times New Roman" w:eastAsia="方正仿宋_GBK" w:cs="Times New Roman"/>
          <w:b w:val="0"/>
          <w:bCs w:val="0"/>
          <w:color w:val="auto"/>
          <w:kern w:val="2"/>
          <w:sz w:val="30"/>
          <w:szCs w:val="30"/>
          <w:highlight w:val="none"/>
          <w:lang w:val="en-US" w:eastAsia="zh-CN" w:bidi="ar-SA"/>
        </w:rPr>
        <w:t>同心县韦州镇2022年高质量美丽宜居村庄奖补资金项目，严格落实“项目四制”。落实项目法人责任制，项目单位和法定代表人对项目建设的安全质量负总责；落实招标投标制，按照《招标投标法》《必须招标的工程项目规定》《必须招标的基础设施和公用事业项目范围规定》等要求做好项目招投标工作，并将强制性安全质量标准等作为招标文件的实质性要求和条件；落实工程监理制，监理单位要认真履行监理职责，特别要加强对关键工序、重要部位和隐蔽工程的监督检查；落实合同管理制度，建设工程的勘察设计、施工、设备材料采购和工程监理等要依法订立合同，并明确安全质量要求以及违约责任等。经工程验收质量合格，工程建设投资成本合理控制。</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建成后，可切实满足同心县城区生活污水和餐厨垃圾处理的需求，进一步完善同心县城市基础设施和城市功能，改善城市卫生环境，提升同心县的形象和品位，有力推动同心县经济社会的快速发展。经对项目实施地开展满意度问卷调查，整体满意度为94%。</w:t>
      </w:r>
    </w:p>
    <w:p>
      <w:pPr>
        <w:pStyle w:val="4"/>
        <w:bidi w:val="0"/>
        <w:rPr>
          <w:rFonts w:hint="default"/>
          <w:lang w:val="en-US" w:eastAsia="zh-CN"/>
        </w:rPr>
      </w:pPr>
      <w:bookmarkStart w:id="120" w:name="_Toc17667"/>
      <w:r>
        <w:rPr>
          <w:rFonts w:hint="eastAsia"/>
          <w:lang w:val="en-US" w:eastAsia="zh-CN"/>
        </w:rPr>
        <w:t>（二）评价结论</w:t>
      </w:r>
      <w:bookmarkEnd w:id="120"/>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同心县韦州镇2022年高质量美丽宜居村庄奖补资金项目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同心县专项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项目实施单位资金支出较规范</w:t>
      </w:r>
      <w:r>
        <w:rPr>
          <w:rFonts w:hint="eastAsia" w:ascii="Times New Roman" w:hAnsi="Times New Roman" w:eastAsia="方正仿宋_GBK" w:cs="Times New Roman"/>
          <w:spacing w:val="0"/>
          <w:kern w:val="0"/>
          <w:sz w:val="30"/>
          <w:szCs w:val="30"/>
          <w:lang w:bidi="zh-CN"/>
        </w:rPr>
        <w:t>，资金的拨付经单位主管领导、财政局业务科室、国库支付中心审批，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21" w:name="_Toc9214"/>
      <w:bookmarkStart w:id="122" w:name="_Toc14682"/>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 91.00”</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分，评定等级为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2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28.00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23.00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91.00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82.35%</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88.46%</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91.00%</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23" w:name="_Toc24135"/>
      <w:r>
        <w:rPr>
          <w:rFonts w:hint="eastAsia" w:asciiTheme="majorEastAsia" w:hAnsiTheme="majorEastAsia" w:eastAsiaTheme="majorEastAsia" w:cstheme="majorEastAsia"/>
          <w:b/>
          <w:bCs/>
          <w:sz w:val="32"/>
          <w:szCs w:val="32"/>
          <w:lang w:val="en-US" w:eastAsia="zh-CN"/>
        </w:rPr>
        <w:t>六、绩效评价指标分析</w:t>
      </w:r>
      <w:bookmarkEnd w:id="121"/>
      <w:bookmarkEnd w:id="122"/>
      <w:bookmarkEnd w:id="123"/>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24" w:name="_Toc10789"/>
      <w:bookmarkStart w:id="125" w:name="_Toc13089"/>
      <w:bookmarkStart w:id="126" w:name="_Toc8643"/>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24"/>
      <w:bookmarkEnd w:id="125"/>
      <w:r>
        <w:rPr>
          <w:rFonts w:hint="eastAsia" w:ascii="方正楷体_GBK" w:hAnsi="方正楷体_GBK" w:eastAsia="方正楷体_GBK" w:cs="方正楷体_GBK"/>
          <w:b/>
          <w:bCs w:val="0"/>
          <w:color w:val="auto"/>
          <w:sz w:val="30"/>
          <w:szCs w:val="30"/>
          <w:lang w:eastAsia="zh-CN"/>
        </w:rPr>
        <w:t>分析</w:t>
      </w:r>
      <w:bookmarkEnd w:id="126"/>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spacing w:val="1"/>
          <w:sz w:val="30"/>
          <w:szCs w:val="30"/>
          <w:lang w:val="en-US" w:eastAsia="zh-CN"/>
        </w:rPr>
        <w:t>本</w:t>
      </w:r>
      <w:r>
        <w:rPr>
          <w:rFonts w:hint="eastAsia" w:ascii="Times New Roman" w:hAnsi="Times New Roman" w:eastAsia="方正仿宋_GB2312" w:cs="Times New Roman"/>
          <w:kern w:val="2"/>
          <w:sz w:val="30"/>
          <w:szCs w:val="30"/>
          <w:lang w:val="en-US" w:eastAsia="zh-CN" w:bidi="ar-SA"/>
        </w:rPr>
        <w:t>项指标共设3个二级指标、6 个三级指标，权重分值 20 分，评价得分20.00 分，得分率为100.00%。具体评价指标分析如下：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80"/>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党的二十大报告明确提出：“全面推进乡村振兴”“统筹乡村基础设施和公共服务布局，建设宜居宜业和美乡村。”在全面开启社会主义现代化建设的新征程中，建设宜居宜业和美乡村，充分反映了我国对农村建设规律的深刻认识，体现了亿万农民建设美好家园、过上美好生活的向往和期望，具有重大现实意义。不仅深刻诠释了新时代新征程乡村建设的科学内涵和发展方向，也为新时代建设什么样的乡村、怎样建设乡村指明了前进道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8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2014年，自治区党委、政府出台《宁夏美丽乡村建设实施方案》，确定把城乡一体化作为美丽乡村建设的战略方向，积极构建布局合理、功能完善、质量提升的美丽乡村发展体系，大力实施规划引领、农房改造、收入倍增、基础配套、环境整治、生态建设、服务提升、文明创建八大工程，统筹推进美丽乡村建设。</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宁夏将统筹县域城镇和乡村规划建设，合理布局县城、重点镇、中心村基础设施和公共服务设施，促进</w:t>
      </w:r>
      <w:r>
        <w:rPr>
          <w:rFonts w:hint="eastAsia" w:ascii="Times New Roman" w:hAnsi="Times New Roman" w:eastAsia="方正仿宋_GBK" w:cs="Times New Roman"/>
          <w:color w:val="auto"/>
          <w:kern w:val="2"/>
          <w:sz w:val="30"/>
          <w:szCs w:val="30"/>
          <w:highlight w:val="none"/>
          <w:lang w:val="en-US" w:eastAsia="zh-CN" w:bidi="ar-SA"/>
        </w:rPr>
        <w:t>一、二、三产业</w:t>
      </w:r>
      <w:r>
        <w:rPr>
          <w:rFonts w:hint="default" w:ascii="Times New Roman" w:hAnsi="Times New Roman" w:eastAsia="方正仿宋_GBK" w:cs="Times New Roman"/>
          <w:color w:val="auto"/>
          <w:kern w:val="2"/>
          <w:sz w:val="30"/>
          <w:szCs w:val="30"/>
          <w:highlight w:val="none"/>
          <w:lang w:val="en-US" w:eastAsia="zh-CN" w:bidi="ar-SA"/>
        </w:rPr>
        <w:t>发展，推动建立以县域为单元统筹城乡的发展体系、服务体系、治理体系，进一步细化建设标准，重点在补短板、强弱项和产村融合上下功夫。同时，启动重点小城镇和高质量美丽宜居村庄、传统村落等新形态、新模式村镇建设项目，让更多美丽小城镇建设扮靓宁夏美丽山川。</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2312" w:cs="Times New Roman"/>
          <w:kern w:val="2"/>
          <w:sz w:val="30"/>
          <w:szCs w:val="30"/>
          <w:lang w:val="en-US" w:eastAsia="zh-CN" w:bidi="ar-SA"/>
        </w:rPr>
        <w:t>项目立项与同心县韦州镇人民政府职责相符，</w:t>
      </w:r>
      <w:r>
        <w:rPr>
          <w:rFonts w:hint="eastAsia" w:ascii="Times New Roman" w:hAnsi="Times New Roman" w:eastAsia="方正仿宋_GBK" w:cs="Times New Roman"/>
          <w:color w:val="auto"/>
          <w:kern w:val="2"/>
          <w:sz w:val="30"/>
          <w:szCs w:val="30"/>
          <w:highlight w:val="none"/>
          <w:lang w:val="en-US" w:eastAsia="zh-CN" w:bidi="ar-SA"/>
        </w:rPr>
        <w:t>项目立项符合行业发展规划和政策要求，与部门职责范围相符，立项依据充分</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仿宋" w:cs="Times New Roman"/>
          <w:color w:val="000000"/>
          <w:kern w:val="0"/>
          <w:sz w:val="30"/>
          <w:szCs w:val="30"/>
          <w:lang w:val="en-US" w:eastAsia="zh-CN" w:bidi="ar"/>
        </w:rPr>
        <w:t>该指标满分</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 xml:space="preserve">分，根据评分标准得 </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sz w:val="30"/>
          <w:szCs w:val="30"/>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仿宋" w:cs="Times New Roman"/>
          <w:color w:val="000000"/>
          <w:kern w:val="0"/>
          <w:sz w:val="30"/>
          <w:szCs w:val="30"/>
          <w:lang w:val="en-US" w:eastAsia="zh-CN" w:bidi="ar"/>
        </w:rPr>
        <w:t>该项目按照规定的程序审批，立项程序规范，同心县发展和改革局下发了</w:t>
      </w:r>
      <w:r>
        <w:rPr>
          <w:rFonts w:hint="eastAsia" w:ascii="Times New Roman" w:hAnsi="Times New Roman" w:eastAsia="方正仿宋_GB2312" w:cs="Times New Roman"/>
          <w:kern w:val="2"/>
          <w:sz w:val="30"/>
          <w:szCs w:val="30"/>
          <w:lang w:val="en-US" w:eastAsia="zh-CN" w:bidi="ar-SA"/>
        </w:rPr>
        <w:t>《关于同心县韦州镇甘沟村高质量美丽宜居村庄建设项目初步设计的批复》（同发改审发〔2022〕237号）</w:t>
      </w:r>
      <w:r>
        <w:rPr>
          <w:rFonts w:hint="default" w:ascii="Times New Roman" w:hAnsi="Times New Roman" w:eastAsia="仿宋" w:cs="Times New Roman"/>
          <w:color w:val="000000"/>
          <w:kern w:val="0"/>
          <w:sz w:val="30"/>
          <w:szCs w:val="30"/>
          <w:lang w:val="en-US" w:eastAsia="zh-CN" w:bidi="ar"/>
        </w:rPr>
        <w:t>，所提交的文件、材料符合相关要求，事前已经过必要的可行性研究等。该指标满分</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分，根据评分标准得</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（1）绩效目标合理</w:t>
      </w:r>
      <w:r>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性</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同心县韦州镇人民政府根据</w:t>
      </w:r>
      <w:r>
        <w:rPr>
          <w:rFonts w:hint="default" w:ascii="仿宋" w:hAnsi="仿宋" w:eastAsia="仿宋" w:cs="仿宋"/>
          <w:color w:val="000000"/>
          <w:kern w:val="0"/>
          <w:sz w:val="30"/>
          <w:szCs w:val="30"/>
          <w:lang w:val="en-US" w:eastAsia="zh-CN" w:bidi="ar"/>
        </w:rPr>
        <w:t>《项目支出绩效评价管理办法》（财预〔2020〕10号）</w:t>
      </w:r>
      <w:r>
        <w:rPr>
          <w:rFonts w:hint="eastAsia" w:cs="仿宋"/>
          <w:color w:val="000000"/>
          <w:kern w:val="0"/>
          <w:sz w:val="30"/>
          <w:szCs w:val="30"/>
          <w:lang w:val="en-US" w:eastAsia="zh-CN" w:bidi="ar"/>
        </w:rPr>
        <w:t>、</w:t>
      </w:r>
      <w:r>
        <w:rPr>
          <w:rFonts w:hint="default" w:ascii="仿宋" w:hAnsi="仿宋" w:eastAsia="仿宋" w:cs="仿宋"/>
          <w:color w:val="000000"/>
          <w:kern w:val="0"/>
          <w:sz w:val="30"/>
          <w:szCs w:val="30"/>
          <w:lang w:val="en-US" w:eastAsia="zh-CN" w:bidi="ar"/>
        </w:rPr>
        <w:t>《自治区党委 人民政府关于全面实施预算绩效管理的实施意见》（宁党发〔2019〕9号）</w:t>
      </w:r>
      <w:r>
        <w:rPr>
          <w:rFonts w:hint="eastAsia" w:ascii="仿宋" w:hAnsi="仿宋" w:eastAsia="仿宋" w:cs="仿宋"/>
          <w:color w:val="000000"/>
          <w:kern w:val="0"/>
          <w:sz w:val="30"/>
          <w:szCs w:val="30"/>
          <w:lang w:val="en-US" w:eastAsia="zh-CN" w:bidi="ar"/>
        </w:rPr>
        <w:t>以及</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结合项目特性，充分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设定绩效目标</w:t>
      </w:r>
      <w:r>
        <w:rPr>
          <w:rFonts w:hint="default" w:ascii="仿宋" w:hAnsi="仿宋" w:eastAsia="仿宋" w:cs="仿宋"/>
          <w:color w:val="000000"/>
          <w:kern w:val="0"/>
          <w:sz w:val="30"/>
          <w:szCs w:val="30"/>
          <w:lang w:val="en-US" w:eastAsia="zh-CN" w:bidi="ar"/>
        </w:rPr>
        <w:t>，</w:t>
      </w:r>
      <w:r>
        <w:rPr>
          <w:rFonts w:hint="eastAsia" w:cs="仿宋"/>
          <w:color w:val="000000"/>
          <w:kern w:val="0"/>
          <w:sz w:val="30"/>
          <w:szCs w:val="30"/>
          <w:lang w:val="en-US" w:eastAsia="zh-CN" w:bidi="ar"/>
        </w:rPr>
        <w:t>包含项目总体目标、项目产出数量、产出质量、产出时效以及项目效果分析等。绩效目标设定合理、明确。</w:t>
      </w:r>
      <w:r>
        <w:rPr>
          <w:rFonts w:hint="default" w:ascii="Times New Roman" w:hAnsi="Times New Roman" w:eastAsia="仿宋" w:cs="Times New Roman"/>
          <w:color w:val="000000"/>
          <w:kern w:val="0"/>
          <w:sz w:val="30"/>
          <w:szCs w:val="30"/>
          <w:lang w:val="en-US" w:eastAsia="zh-CN" w:bidi="ar"/>
        </w:rPr>
        <w:t>该指标满分</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（2）</w:t>
      </w:r>
      <w:r>
        <w:rPr>
          <w:rFonts w:hint="default" w:ascii="Times New Roman" w:hAnsi="Times New Roman" w:cs="Times New Roman"/>
          <w:b/>
          <w:bCs/>
          <w:spacing w:val="1"/>
          <w:sz w:val="30"/>
          <w:szCs w:val="30"/>
          <w:lang w:val="en-US" w:eastAsia="zh-CN"/>
        </w:rPr>
        <w:t>绩效</w:t>
      </w:r>
      <w:r>
        <w:rPr>
          <w:rFonts w:hint="eastAsia" w:ascii="Times New Roman" w:hAnsi="Times New Roman" w:cs="Times New Roman"/>
          <w:b/>
          <w:bCs/>
          <w:spacing w:val="1"/>
          <w:sz w:val="30"/>
          <w:szCs w:val="30"/>
          <w:lang w:val="en-US" w:eastAsia="zh-CN"/>
        </w:rPr>
        <w:t>指标</w:t>
      </w:r>
      <w:r>
        <w:rPr>
          <w:rFonts w:hint="default" w:ascii="Times New Roman" w:hAnsi="Times New Roman" w:cs="Times New Roman"/>
          <w:b/>
          <w:bCs/>
          <w:spacing w:val="1"/>
          <w:sz w:val="30"/>
          <w:szCs w:val="30"/>
          <w:lang w:val="en-US" w:eastAsia="zh-CN"/>
        </w:rPr>
        <w:t>明确性</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实施单位评价范围内的项目结合工作内容设置年度绩效目标，同时细化产出指标、效益指标、可持续影响和满意度指标。</w:t>
      </w:r>
      <w:r>
        <w:rPr>
          <w:rFonts w:hint="default" w:ascii="Times New Roman" w:hAnsi="Times New Roman" w:eastAsia="仿宋" w:cs="Times New Roman"/>
          <w:color w:val="000000"/>
          <w:kern w:val="0"/>
          <w:sz w:val="30"/>
          <w:szCs w:val="30"/>
          <w:lang w:val="en-US" w:eastAsia="zh-CN" w:bidi="ar"/>
        </w:rPr>
        <w:t>该指标满分</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分，根据评分标准得</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3.资金投入方面</w:t>
      </w:r>
    </w:p>
    <w:p>
      <w:pPr>
        <w:pStyle w:val="4"/>
        <w:keepNext/>
        <w:keepLines/>
        <w:pageBreakBefore w:val="0"/>
        <w:widowControl w:val="0"/>
        <w:kinsoku/>
        <w:wordWrap/>
        <w:overflowPunct w:val="0"/>
        <w:topLinePunct w:val="0"/>
        <w:autoSpaceDE/>
        <w:autoSpaceDN/>
        <w:bidi w:val="0"/>
        <w:adjustRightInd/>
        <w:snapToGrid/>
        <w:spacing w:before="0"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27" w:name="_Toc32168"/>
      <w:bookmarkStart w:id="128" w:name="_Toc5795"/>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27"/>
      <w:bookmarkEnd w:id="128"/>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本项目实施内容与规模、经济技术指标和相关定额标准及规范要求，经对投资概算进行测算后，结合</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推进</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实施重点</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工作计划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预算编制科学合理，前期开展了调查研究，积累了部分基础数据资料，投资预算编制得到了有效论证，投资预算内容与项目内容基本相匹配；经立项申请批复的建设项目，实施单位委托有资质的单位编制了可研报告、建设方案及投资概算，投资概算按照定额标准并结合项目年度目标编制，概算额度测算依据充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审定后下发了资金使用计划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测算依据充分，预算内容与项目实施内容一致。本项满分 4 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spacing w:before="0" w:line="560" w:lineRule="exact"/>
        <w:ind w:right="0"/>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auto"/>
          <w:kern w:val="2"/>
          <w:sz w:val="30"/>
          <w:szCs w:val="30"/>
          <w:highlight w:val="none"/>
          <w:lang w:val="en-US" w:eastAsia="zh-CN" w:bidi="ar-SA"/>
        </w:rPr>
        <w:t>2022年4月29日，根据《自治区住房和城乡建设厅关于拨付2022年重点小城镇和高质量美丽宜居村庄建设项目奖补资金的请示</w:t>
      </w:r>
      <w:r>
        <w:rPr>
          <w:rFonts w:hint="eastAsia" w:ascii="Times New Roman" w:hAnsi="Times New Roman" w:eastAsia="方正仿宋_GB2312" w:cs="Times New Roman"/>
          <w:kern w:val="2"/>
          <w:sz w:val="30"/>
          <w:szCs w:val="30"/>
          <w:lang w:val="en-US" w:eastAsia="zh-CN" w:bidi="ar-SA"/>
        </w:rPr>
        <w:t>》（宁建发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17号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《自治区财政厅 自治区住建厅关于下达2022年重点小城镇、高质量美丽宜居村庄建设项目奖补资金预算的通知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139号</w:t>
      </w:r>
      <w:r>
        <w:rPr>
          <w:rFonts w:hint="eastAsia" w:ascii="Times New Roman" w:hAnsi="Times New Roman" w:eastAsia="方正仿宋_GB2312" w:cs="Times New Roman"/>
          <w:kern w:val="2"/>
          <w:sz w:val="30"/>
          <w:szCs w:val="30"/>
          <w:lang w:val="en-US" w:eastAsia="zh-CN" w:bidi="ar-SA"/>
        </w:rPr>
        <w:t>）和《关于做好2022年全面推进乡村振兴重点工作的实施意见》（宁党发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要求，将项目奖补资金落实到具体项目。并结合项目实际的要求，同心县财政局对重点项目资金进行管理和分配，并对项目实施和资金使用情况进行监督检查。</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2</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2</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sz w:val="30"/>
          <w:szCs w:val="30"/>
          <w:lang w:val="en-US" w:eastAsia="zh-CN"/>
        </w:rPr>
      </w:pPr>
      <w:bookmarkStart w:id="129" w:name="_Toc14938"/>
      <w:r>
        <w:rPr>
          <w:rFonts w:hint="eastAsia" w:ascii="方正楷体_GBK" w:hAnsi="方正楷体_GBK" w:eastAsia="方正楷体_GBK" w:cs="方正楷体_GBK"/>
          <w:sz w:val="30"/>
          <w:szCs w:val="30"/>
          <w:lang w:val="en-US" w:eastAsia="zh-CN"/>
        </w:rPr>
        <w:t>（二）项目过程</w:t>
      </w:r>
      <w:bookmarkEnd w:id="129"/>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spacing w:before="0" w:line="560" w:lineRule="exact"/>
        <w:ind w:right="0"/>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经绩效评价组现场资料查阅</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，同心县韦州镇2022年高质量美丽宜居村庄奖补资金项目专项资金安排200.00万元，实际到位资金200.00万元，资金到位率为100</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项目绩效评价涉及预算资金为200.00万元，经绩效评价小组对各预算单位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，截止评价前，预算执行金额为：200.00万元 ，经计算预算执行率为：100%。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%得满分。否则</w:t>
      </w:r>
      <w:r>
        <w:rPr>
          <w:rFonts w:hint="default" w:ascii="仿宋" w:hAnsi="仿宋" w:eastAsia="仿宋" w:cs="仿宋"/>
          <w:spacing w:val="-7"/>
          <w:sz w:val="30"/>
          <w:szCs w:val="30"/>
          <w:lang w:val="en-US" w:eastAsia="zh-CN"/>
        </w:rPr>
        <w:t>本指标得分=资金执行率×分值。</w:t>
      </w:r>
      <w:r>
        <w:rPr>
          <w:rFonts w:ascii="仿宋" w:hAnsi="仿宋" w:eastAsia="仿宋" w:cs="仿宋"/>
          <w:spacing w:val="-7"/>
          <w:sz w:val="30"/>
          <w:szCs w:val="30"/>
        </w:rPr>
        <w:t xml:space="preserve">该指标满分 </w:t>
      </w:r>
      <w:r>
        <w:rPr>
          <w:rFonts w:hint="eastAsia" w:cs="仿宋"/>
          <w:spacing w:val="-7"/>
          <w:sz w:val="30"/>
          <w:szCs w:val="30"/>
          <w:lang w:val="en-US" w:eastAsia="zh-CN"/>
        </w:rPr>
        <w:t>4</w:t>
      </w:r>
      <w:r>
        <w:rPr>
          <w:rFonts w:ascii="仿宋" w:hAnsi="仿宋" w:eastAsia="仿宋" w:cs="仿宋"/>
          <w:spacing w:val="-7"/>
          <w:sz w:val="30"/>
          <w:szCs w:val="30"/>
        </w:rPr>
        <w:t xml:space="preserve"> 分，根据评分标准得</w:t>
      </w:r>
      <w:r>
        <w:rPr>
          <w:rFonts w:hint="eastAsia" w:ascii="Times New Roman" w:hAnsi="Times New Roman" w:cs="Times New Roman"/>
          <w:spacing w:val="-3"/>
          <w:sz w:val="30"/>
          <w:szCs w:val="30"/>
          <w:u w:val="none"/>
          <w:lang w:val="en-US" w:eastAsia="zh-CN" w:bidi="ar"/>
        </w:rPr>
        <w:t>4</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仿宋"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w:t>
      </w:r>
      <w:r>
        <w:rPr>
          <w:rFonts w:ascii="仿宋" w:hAnsi="仿宋" w:eastAsia="仿宋" w:cs="仿宋"/>
          <w:spacing w:val="-7"/>
          <w:sz w:val="30"/>
          <w:szCs w:val="30"/>
        </w:rPr>
        <w:t>根据评分标准得</w:t>
      </w:r>
      <w:r>
        <w:rPr>
          <w:rFonts w:hint="eastAsia" w:cs="仿宋"/>
          <w:spacing w:val="-7"/>
          <w:sz w:val="30"/>
          <w:szCs w:val="30"/>
          <w:lang w:val="en-US" w:eastAsia="zh-CN"/>
        </w:rPr>
        <w:t>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jc w:val="both"/>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pageBreakBefore w:val="0"/>
        <w:widowControl/>
        <w:suppressLineNumbers w:val="0"/>
        <w:kinsoku/>
        <w:wordWrap/>
        <w:topLinePunct w:val="0"/>
        <w:autoSpaceDE/>
        <w:autoSpaceDN/>
        <w:bidi w:val="0"/>
        <w:adjustRightInd/>
        <w:snapToGrid/>
        <w:jc w:val="both"/>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韦州镇人民政府局结合自身工作及业务实际，建立健全了各项规章制度先后组织制定、修订了包括《单位层级内部控制制度》《预算管理内部控制制度》《收支管理内部控制制度》《政府采购管理内部控制制度》《资产管理内部控制制度》《建设项目管理内部控制制度》《合同管理内部控制制度》等含工作规范、业务管理、资产管理、后勤保障管理、党风廉政建设方面的内控管理制度，将内控制度贯穿到各项经济活动中，制度设计较为完善，并基本得到了执行。</w:t>
      </w:r>
    </w:p>
    <w:p>
      <w:pPr>
        <w:keepNext w:val="0"/>
        <w:keepLines w:val="0"/>
        <w:pageBreakBefore w:val="0"/>
        <w:widowControl/>
        <w:suppressLineNumbers w:val="0"/>
        <w:kinsoku/>
        <w:wordWrap/>
        <w:topLinePunct w:val="0"/>
        <w:autoSpaceDE/>
        <w:autoSpaceDN/>
        <w:bidi w:val="0"/>
        <w:adjustRightInd/>
        <w:snapToGrid/>
        <w:jc w:val="both"/>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在人员岗位上实行不相容职务相分离原则，对“三重一大”事项通过支委会、党组会集决策、设置资金支付审批流程及权限，对各类资金支付实行会签制度，有效防御资金使用风险。实现各项工作有章可循、有文可依，形成了责任明确、管理规范、运行有序的管理工作体系。</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（1） 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widowControl/>
        <w:suppressLineNumbers w:val="0"/>
        <w:jc w:val="left"/>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 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 xml:space="preserve">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r>
        <w:rPr>
          <w:rFonts w:hint="eastAsia" w:ascii="Times New Roman" w:hAnsi="Times New Roman" w:eastAsia="方正仿宋_GBK" w:cs="Times New Roman"/>
          <w:color w:val="0000FF"/>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rPr>
      </w:pPr>
      <w:bookmarkStart w:id="130" w:name="_Toc2257"/>
      <w:bookmarkStart w:id="131" w:name="_Toc18498"/>
      <w:bookmarkStart w:id="132" w:name="_Toc1945"/>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30"/>
      <w:bookmarkEnd w:id="131"/>
      <w:bookmarkEnd w:id="132"/>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本项指标共设2个二级指标、5个三级指标，权重分值34分，评价得分28分，得分率为82.35%。具体评价指标分析如下：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1.产出数量方面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2022年6月21日，同心县发展改革局印发《</w:t>
      </w:r>
      <w:r>
        <w:rPr>
          <w:rFonts w:hint="eastAsia" w:ascii="Times New Roman" w:hAnsi="Times New Roman" w:eastAsia="方正仿宋_GBK" w:cs="Times New Roman"/>
          <w:spacing w:val="1"/>
          <w:sz w:val="30"/>
          <w:szCs w:val="30"/>
          <w:lang w:val="en-US" w:eastAsia="zh-CN"/>
        </w:rPr>
        <w:t>关于同心县韦州镇甘沟村高质量美丽宜居村庄建设项目初步设计的批复</w:t>
      </w:r>
      <w:r>
        <w:rPr>
          <w:rFonts w:hint="eastAsia" w:ascii="Times New Roman" w:hAnsi="Times New Roman" w:eastAsia="方正仿宋_GBK" w:cs="Times New Roman"/>
          <w:spacing w:val="0"/>
          <w:kern w:val="0"/>
          <w:sz w:val="30"/>
          <w:szCs w:val="30"/>
          <w:lang w:val="en-US" w:eastAsia="zh-CN" w:bidi="zh-CN"/>
        </w:rPr>
        <w:t>》（同发改审发</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22</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pacing w:val="0"/>
          <w:kern w:val="0"/>
          <w:sz w:val="30"/>
          <w:szCs w:val="30"/>
          <w:lang w:val="en-US" w:eastAsia="zh-CN" w:bidi="zh-CN"/>
        </w:rPr>
        <w:t>27号）号，批复项目予以立项；</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由宁夏熠宸建设工程有限公司完成周孙线道路两侧硬化人行道长2750m，宽1.5m，均采用彩色道砖路面；中央大道两侧硬化人行道长1900m，宽1.5m均采用彩色道砖路面；新建节点一绿化面积139m</w:t>
      </w:r>
      <w:r>
        <w:rPr>
          <w:rFonts w:hint="eastAsia" w:ascii="Times New Roman" w:hAnsi="Times New Roman" w:eastAsia="方正仿宋_GBK" w:cs="Times New Roman"/>
          <w:spacing w:val="0"/>
          <w:kern w:val="0"/>
          <w:sz w:val="30"/>
          <w:szCs w:val="30"/>
          <w:vertAlign w:val="superscript"/>
          <w:lang w:val="en-US" w:eastAsia="zh-CN" w:bidi="zh-CN"/>
        </w:rPr>
        <w:t>2</w:t>
      </w:r>
      <w:r>
        <w:rPr>
          <w:rFonts w:hint="eastAsia" w:ascii="Times New Roman" w:hAnsi="Times New Roman" w:eastAsia="方正仿宋_GBK" w:cs="Times New Roman"/>
          <w:spacing w:val="0"/>
          <w:kern w:val="0"/>
          <w:sz w:val="30"/>
          <w:szCs w:val="30"/>
          <w:lang w:val="en-US" w:eastAsia="zh-CN" w:bidi="zh-CN"/>
        </w:rPr>
        <w:t>，节点二绿化面积1207m</w:t>
      </w:r>
      <w:r>
        <w:rPr>
          <w:rFonts w:hint="eastAsia" w:ascii="Times New Roman" w:hAnsi="Times New Roman" w:eastAsia="方正仿宋_GBK" w:cs="Times New Roman"/>
          <w:spacing w:val="0"/>
          <w:kern w:val="0"/>
          <w:sz w:val="30"/>
          <w:szCs w:val="30"/>
          <w:vertAlign w:val="superscript"/>
          <w:lang w:val="en-US" w:eastAsia="zh-CN" w:bidi="zh-CN"/>
        </w:rPr>
        <w:t>2</w:t>
      </w:r>
      <w:r>
        <w:rPr>
          <w:rFonts w:hint="eastAsia" w:ascii="Times New Roman" w:hAnsi="Times New Roman" w:eastAsia="方正仿宋_GBK" w:cs="Times New Roman"/>
          <w:spacing w:val="0"/>
          <w:kern w:val="0"/>
          <w:sz w:val="30"/>
          <w:szCs w:val="30"/>
          <w:vertAlign w:val="baseline"/>
          <w:lang w:val="en-US" w:eastAsia="zh-CN" w:bidi="zh-CN"/>
        </w:rPr>
        <w:t>，</w:t>
      </w:r>
      <w:r>
        <w:rPr>
          <w:rFonts w:hint="eastAsia" w:ascii="Times New Roman" w:hAnsi="Times New Roman" w:eastAsia="方正仿宋_GBK" w:cs="Times New Roman"/>
          <w:spacing w:val="0"/>
          <w:kern w:val="0"/>
          <w:sz w:val="30"/>
          <w:szCs w:val="30"/>
          <w:lang w:val="en-US" w:eastAsia="zh-CN" w:bidi="zh-CN"/>
        </w:rPr>
        <w:t>总面积1346m</w:t>
      </w:r>
      <w:r>
        <w:rPr>
          <w:rFonts w:hint="eastAsia" w:ascii="Times New Roman" w:hAnsi="Times New Roman" w:eastAsia="方正仿宋_GBK" w:cs="Times New Roman"/>
          <w:spacing w:val="0"/>
          <w:kern w:val="0"/>
          <w:sz w:val="30"/>
          <w:szCs w:val="30"/>
          <w:vertAlign w:val="superscript"/>
          <w:lang w:val="en-US" w:eastAsia="zh-CN" w:bidi="zh-CN"/>
        </w:rPr>
        <w:t>2</w:t>
      </w:r>
      <w:r>
        <w:rPr>
          <w:rFonts w:hint="eastAsia" w:ascii="Times New Roman" w:hAnsi="Times New Roman" w:eastAsia="方正仿宋_GBK" w:cs="Times New Roman"/>
          <w:spacing w:val="0"/>
          <w:kern w:val="0"/>
          <w:sz w:val="30"/>
          <w:szCs w:val="30"/>
          <w:lang w:val="en-US" w:eastAsia="zh-CN" w:bidi="zh-CN"/>
        </w:rPr>
        <w:t>。该指标本项满分 8分，</w:t>
      </w:r>
      <w:r>
        <w:rPr>
          <w:rFonts w:hint="default" w:ascii="Times New Roman" w:hAnsi="Times New Roman" w:eastAsia="方正仿宋_GBK" w:cs="Times New Roman"/>
          <w:spacing w:val="0"/>
          <w:kern w:val="0"/>
          <w:sz w:val="30"/>
          <w:szCs w:val="30"/>
          <w:lang w:val="en-US" w:eastAsia="zh-CN" w:bidi="zh-CN"/>
        </w:rPr>
        <w:t xml:space="preserve">根据评分标准得 </w:t>
      </w:r>
      <w:r>
        <w:rPr>
          <w:rFonts w:hint="eastAsia" w:ascii="Times New Roman" w:hAnsi="Times New Roman" w:eastAsia="方正仿宋_GBK" w:cs="Times New Roman"/>
          <w:spacing w:val="0"/>
          <w:kern w:val="0"/>
          <w:sz w:val="30"/>
          <w:szCs w:val="30"/>
          <w:lang w:val="en-US" w:eastAsia="zh-CN" w:bidi="zh-CN"/>
        </w:rPr>
        <w:t>8</w:t>
      </w:r>
      <w:r>
        <w:rPr>
          <w:rFonts w:hint="default" w:ascii="Times New Roman" w:hAnsi="Times New Roman" w:eastAsia="方正仿宋_GBK" w:cs="Times New Roman"/>
          <w:spacing w:val="0"/>
          <w:kern w:val="0"/>
          <w:sz w:val="30"/>
          <w:szCs w:val="30"/>
          <w:lang w:val="en-US" w:eastAsia="zh-CN" w:bidi="zh-CN"/>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5</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widowControl/>
        <w:suppressLineNumbers w:val="0"/>
        <w:jc w:val="left"/>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eastAsia="方正仿宋_GBK" w:cs="Times New Roman"/>
          <w:spacing w:val="0"/>
          <w:kern w:val="0"/>
          <w:sz w:val="30"/>
          <w:szCs w:val="30"/>
          <w:lang w:val="en-US" w:eastAsia="zh-CN" w:bidi="zh-CN"/>
        </w:rPr>
        <w:t>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33" w:name="_Toc25249"/>
      <w:bookmarkStart w:id="134" w:name="_Toc28347"/>
      <w:bookmarkStart w:id="135" w:name="_Toc4341"/>
      <w:bookmarkStart w:id="136" w:name="_Toc13818"/>
      <w:r>
        <w:rPr>
          <w:rFonts w:hint="default" w:ascii="Times New Roman" w:hAnsi="Times New Roman" w:cs="Times New Roman"/>
          <w:lang w:val="en-US" w:eastAsia="zh-CN"/>
        </w:rPr>
        <w:t>（1）资金到位及时率</w:t>
      </w:r>
      <w:bookmarkEnd w:id="133"/>
      <w:bookmarkEnd w:id="134"/>
      <w:bookmarkEnd w:id="135"/>
      <w:bookmarkEnd w:id="136"/>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同心县韦州镇2022年高质量美丽宜居村庄奖补资金项目</w:t>
      </w:r>
      <w:r>
        <w:rPr>
          <w:rFonts w:hint="default" w:ascii="Times New Roman" w:hAnsi="Times New Roman" w:eastAsia="方正仿宋_GBK" w:cs="Times New Roman"/>
          <w:spacing w:val="0"/>
          <w:kern w:val="0"/>
          <w:sz w:val="30"/>
          <w:szCs w:val="30"/>
          <w:lang w:val="en-US" w:eastAsia="zh-CN" w:bidi="zh-CN"/>
        </w:rPr>
        <w:t>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37" w:name="_Toc21408"/>
      <w:bookmarkStart w:id="138" w:name="_Toc2959"/>
      <w:bookmarkStart w:id="139" w:name="_Toc27712"/>
      <w:bookmarkStart w:id="140" w:name="_Toc19549"/>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37"/>
      <w:bookmarkEnd w:id="138"/>
      <w:bookmarkEnd w:id="139"/>
      <w:bookmarkEnd w:id="140"/>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经现场资料审核，严格按照合同</w:t>
      </w:r>
      <w:r>
        <w:rPr>
          <w:rFonts w:hint="eastAsia" w:ascii="Times New Roman" w:hAnsi="Times New Roman" w:eastAsia="方正仿宋_GBK" w:cs="Times New Roman"/>
          <w:spacing w:val="0"/>
          <w:kern w:val="0"/>
          <w:sz w:val="30"/>
          <w:szCs w:val="30"/>
          <w:lang w:val="en-US" w:eastAsia="zh-CN" w:bidi="zh-CN"/>
        </w:rPr>
        <w:t>、开工报告</w:t>
      </w:r>
      <w:r>
        <w:rPr>
          <w:rFonts w:hint="default" w:ascii="Times New Roman" w:hAnsi="Times New Roman" w:eastAsia="方正仿宋_GBK" w:cs="Times New Roman"/>
          <w:spacing w:val="0"/>
          <w:kern w:val="0"/>
          <w:sz w:val="30"/>
          <w:szCs w:val="30"/>
          <w:lang w:val="en-US" w:eastAsia="zh-CN" w:bidi="zh-CN"/>
        </w:rPr>
        <w:t xml:space="preserve">约定履行工期。该指标本项满分3分，根据评分标准得 </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 xml:space="preserve"> 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1" w:name="_Toc30038"/>
      <w:bookmarkStart w:id="142" w:name="_Toc13913"/>
      <w:bookmarkStart w:id="143" w:name="_Toc15448"/>
      <w:bookmarkStart w:id="144" w:name="_Toc4766"/>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41"/>
      <w:bookmarkEnd w:id="142"/>
      <w:bookmarkEnd w:id="143"/>
      <w:bookmarkEnd w:id="144"/>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w:t>
      </w:r>
      <w:r>
        <w:rPr>
          <w:rFonts w:hint="eastAsia" w:ascii="Times New Roman" w:hAnsi="Times New Roman" w:eastAsia="方正仿宋_GBK" w:cs="Times New Roman"/>
          <w:spacing w:val="0"/>
          <w:kern w:val="0"/>
          <w:sz w:val="30"/>
          <w:szCs w:val="30"/>
          <w:lang w:val="en-US" w:eastAsia="zh-CN" w:bidi="zh-CN"/>
        </w:rPr>
        <w:t>未</w:t>
      </w:r>
      <w:r>
        <w:rPr>
          <w:rFonts w:hint="default" w:ascii="Times New Roman" w:hAnsi="Times New Roman" w:eastAsia="方正仿宋_GBK" w:cs="Times New Roman"/>
          <w:spacing w:val="0"/>
          <w:kern w:val="0"/>
          <w:sz w:val="30"/>
          <w:szCs w:val="30"/>
          <w:lang w:val="en-US" w:eastAsia="zh-CN" w:bidi="zh-CN"/>
        </w:rPr>
        <w:t>按期完成结算审核并报审，结算审核</w:t>
      </w:r>
      <w:r>
        <w:rPr>
          <w:rFonts w:hint="eastAsia" w:ascii="Times New Roman" w:hAnsi="Times New Roman" w:eastAsia="方正仿宋_GBK" w:cs="Times New Roman"/>
          <w:spacing w:val="0"/>
          <w:kern w:val="0"/>
          <w:sz w:val="30"/>
          <w:szCs w:val="30"/>
          <w:lang w:val="en-US" w:eastAsia="zh-CN" w:bidi="zh-CN"/>
        </w:rPr>
        <w:t>较为滞后</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45" w:name="_Toc15238"/>
      <w:bookmarkStart w:id="146" w:name="_Toc26427"/>
      <w:bookmarkStart w:id="147" w:name="_Toc9592"/>
      <w:bookmarkStart w:id="148" w:name="_Toc11979"/>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45"/>
      <w:bookmarkEnd w:id="146"/>
      <w:bookmarkEnd w:id="147"/>
      <w:bookmarkEnd w:id="148"/>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4.产出成本方面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602.02万元。从施工单位提交的中标通知书结果来看，本项目建设投资成本总额控制在初步设计批复总额以内。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leftChars="0" w:firstLine="592" w:firstLineChars="200"/>
        <w:textAlignment w:val="auto"/>
        <w:outlineLvl w:val="1"/>
        <w:rPr>
          <w:rFonts w:hint="eastAsia" w:ascii="方正楷体_GBK" w:hAnsi="方正楷体_GBK" w:eastAsia="方正楷体_GBK" w:cs="方正楷体_GBK"/>
          <w:sz w:val="30"/>
          <w:szCs w:val="30"/>
          <w:lang w:eastAsia="zh-CN"/>
        </w:rPr>
      </w:pPr>
      <w:bookmarkStart w:id="149" w:name="_Toc17947"/>
      <w:bookmarkStart w:id="150" w:name="_Toc14644"/>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49"/>
      <w:bookmarkEnd w:id="150"/>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本项指标共设3个二级指标、4个三级指标，权重分值26分，评价得分23分，得分率为88.46%。具体评价指标分析如下：</w:t>
      </w:r>
    </w:p>
    <w:p>
      <w:pPr>
        <w:keepNext w:val="0"/>
        <w:keepLines w:val="0"/>
        <w:pageBreakBefore w:val="0"/>
        <w:widowControl/>
        <w:numPr>
          <w:ilvl w:val="0"/>
          <w:numId w:val="3"/>
        </w:numPr>
        <w:suppressLineNumbers w:val="0"/>
        <w:kinsoku/>
        <w:wordWrap/>
        <w:overflowPunct w:val="0"/>
        <w:topLinePunct w:val="0"/>
        <w:autoSpaceDE/>
        <w:autoSpaceDN/>
        <w:bidi w:val="0"/>
        <w:adjustRightInd/>
        <w:snapToGrid/>
        <w:ind w:left="0" w:leftChars="0" w:firstLine="632" w:firstLineChars="200"/>
        <w:jc w:val="both"/>
        <w:textAlignment w:val="auto"/>
        <w:rPr>
          <w:rFonts w:hint="eastAsia" w:ascii="Times New Roman" w:hAnsi="Times New Roman" w:eastAsia="楷体" w:cs="Times New Roman"/>
          <w:b/>
          <w:kern w:val="2"/>
          <w:sz w:val="32"/>
          <w:szCs w:val="32"/>
          <w:lang w:val="en-US" w:eastAsia="zh-CN" w:bidi="ar-SA"/>
        </w:rPr>
      </w:pPr>
      <w:r>
        <w:rPr>
          <w:rFonts w:hint="eastAsia" w:ascii="Times New Roman" w:hAnsi="Times New Roman" w:eastAsia="楷体" w:cs="Times New Roman"/>
          <w:b/>
          <w:kern w:val="2"/>
          <w:sz w:val="32"/>
          <w:szCs w:val="32"/>
          <w:lang w:val="en-US" w:eastAsia="zh-CN" w:bidi="ar-SA"/>
        </w:rPr>
        <w:t>提升村民幸福感</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韦州镇甘沟村在建设"宜居宜业美丽乡村"过程中，围绕"农业强、农村美、农民富的总体目标，坚持统筹规划、因村制宜、抢抓机遇，积极推进人居环境整治提升，加强农业产业结构调整，建设美丽乡村，逐步提升村民幸福感。</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分，根据评分标准得</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bookmarkStart w:id="151" w:name="_Toc26089"/>
      <w:bookmarkStart w:id="152" w:name="_Toc11426"/>
      <w:r>
        <w:rPr>
          <w:rFonts w:hint="eastAsia" w:ascii="Times New Roman" w:hAnsi="Times New Roman" w:eastAsia="方正仿宋_GBK" w:cs="Times New Roman"/>
          <w:b/>
          <w:bCs/>
          <w:spacing w:val="-6"/>
          <w:sz w:val="30"/>
          <w:szCs w:val="30"/>
          <w:lang w:val="en-US" w:eastAsia="zh-CN"/>
        </w:rPr>
        <w:t>2.可持续影响性</w:t>
      </w:r>
      <w:bookmarkEnd w:id="151"/>
      <w:bookmarkEnd w:id="15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楷体" w:cs="Times New Roman"/>
          <w:b/>
          <w:kern w:val="2"/>
          <w:sz w:val="30"/>
          <w:szCs w:val="30"/>
          <w:lang w:val="en-US" w:eastAsia="zh-CN" w:bidi="ar-SA"/>
        </w:rPr>
        <w:t>（1）建立健全长期维护机制</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一是</w:t>
      </w:r>
      <w:r>
        <w:rPr>
          <w:rFonts w:hint="eastAsia" w:ascii="Times New Roman" w:hAnsi="Times New Roman" w:eastAsia="方正仿宋_GBK" w:cs="Times New Roman"/>
          <w:spacing w:val="0"/>
          <w:kern w:val="0"/>
          <w:sz w:val="30"/>
          <w:szCs w:val="30"/>
          <w:lang w:val="en-US" w:eastAsia="zh-CN" w:bidi="zh-CN"/>
        </w:rPr>
        <w:t>为确保美丽乡村长治久美、有序运行，助力乡村振兴，持续加强对美丽乡村建设后期管护工作，切实改善农村生态环境，提升群众的获得感、幸福感。</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spacing w:val="0"/>
          <w:kern w:val="0"/>
          <w:sz w:val="30"/>
          <w:szCs w:val="30"/>
          <w:lang w:val="en-US" w:eastAsia="zh-CN" w:bidi="zh-CN"/>
        </w:rPr>
        <w:t>二是应</w:t>
      </w:r>
      <w:r>
        <w:rPr>
          <w:rFonts w:hint="eastAsia" w:ascii="Times New Roman" w:hAnsi="Times New Roman" w:eastAsia="方正仿宋_GBK" w:cs="Times New Roman"/>
          <w:spacing w:val="0"/>
          <w:kern w:val="0"/>
          <w:sz w:val="30"/>
          <w:szCs w:val="30"/>
          <w:lang w:val="en-US" w:eastAsia="zh-CN" w:bidi="zh-CN"/>
        </w:rPr>
        <w:t>建立长效管护机制，落实到位。美丽乡村建成完工验收后，建设单位依照相关程序与美丽乡村建设镇区、甘沟村办理移交手续。由韦州镇制定落实管护制度，制定美丽乡村长效管护机制，成立美丽乡村管护工作领导小组，负责指导、组织、督促开展管护工作。落实管护责任制，成立管理协调理事会，负责协调开展美丽乡村建设管护工作，定期研究解决管护中的困难和面临的问题。经资料查阅，未制定相应管护机制。</w:t>
      </w:r>
      <w:r>
        <w:rPr>
          <w:rFonts w:hint="default" w:ascii="Times New Roman" w:hAnsi="Times New Roman" w:eastAsia="方正仿宋_GBK" w:cs="Times New Roman"/>
          <w:color w:val="auto"/>
          <w:kern w:val="2"/>
          <w:sz w:val="30"/>
          <w:szCs w:val="30"/>
          <w:highlight w:val="none"/>
          <w:lang w:val="en-US" w:eastAsia="zh-CN" w:bidi="ar-SA"/>
        </w:rPr>
        <w:t>该指标</w:t>
      </w:r>
      <w:r>
        <w:rPr>
          <w:rFonts w:hint="eastAsia" w:ascii="Times New Roman" w:hAnsi="Times New Roman" w:eastAsia="方正仿宋_GBK" w:cs="Times New Roman"/>
          <w:color w:val="auto"/>
          <w:kern w:val="2"/>
          <w:sz w:val="30"/>
          <w:szCs w:val="30"/>
          <w:highlight w:val="none"/>
          <w:lang w:val="en-US" w:eastAsia="zh-CN" w:bidi="ar-SA"/>
        </w:rPr>
        <w:t>不得</w:t>
      </w:r>
      <w:r>
        <w:rPr>
          <w:rFonts w:hint="default" w:ascii="Times New Roman" w:hAnsi="Times New Roman" w:eastAsia="方正仿宋_GBK" w:cs="Times New Roman"/>
          <w:color w:val="auto"/>
          <w:kern w:val="2"/>
          <w:sz w:val="30"/>
          <w:szCs w:val="30"/>
          <w:highlight w:val="none"/>
          <w:lang w:val="en-US" w:eastAsia="zh-CN" w:bidi="ar-SA"/>
        </w:rPr>
        <w:t>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楷体" w:cs="Times New Roman"/>
          <w:b/>
          <w:kern w:val="2"/>
          <w:sz w:val="30"/>
          <w:szCs w:val="30"/>
          <w:lang w:val="en-US" w:eastAsia="zh-CN" w:bidi="ar-SA"/>
        </w:rPr>
      </w:pPr>
      <w:r>
        <w:rPr>
          <w:rFonts w:hint="eastAsia" w:ascii="Times New Roman" w:hAnsi="Times New Roman" w:eastAsia="楷体" w:cs="Times New Roman"/>
          <w:b/>
          <w:kern w:val="2"/>
          <w:sz w:val="30"/>
          <w:szCs w:val="30"/>
          <w:lang w:val="en-US" w:eastAsia="zh-CN" w:bidi="ar-SA"/>
        </w:rPr>
        <w:t>（2）档案资料完备性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项目经验收投入使用后，项目的档案管理人员同工程项目管理人员，按照相关规定对建筑工程中的所有文件进行全面审核检查，竣工材料真实、较完善，全面符合档案归档的要求。并且应该积极严格地贯彻相关规定，将竣工档案验收作为整个工程验收的关键环节，保证工程建筑档案资料的完整准确。</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53" w:name="_Toc3765"/>
      <w:bookmarkStart w:id="154" w:name="_Toc5855"/>
      <w:bookmarkStart w:id="155" w:name="_Toc9957"/>
      <w:bookmarkStart w:id="156" w:name="_Toc16497"/>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53"/>
      <w:bookmarkEnd w:id="154"/>
      <w:bookmarkEnd w:id="155"/>
      <w:bookmarkEnd w:id="156"/>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我们通过发放调查问卷的方式，对同心县辖区进行了满意度调查，调查问卷内容包括项目建设情况、项目建设背景、社会效益等方面。经统计，项目整体的</w:t>
      </w:r>
      <w:r>
        <w:rPr>
          <w:rFonts w:hint="default" w:ascii="Times New Roman" w:hAnsi="Times New Roman" w:eastAsia="方正仿宋_GBK" w:cs="Times New Roman"/>
          <w:spacing w:val="0"/>
          <w:kern w:val="0"/>
          <w:sz w:val="30"/>
          <w:szCs w:val="30"/>
          <w:lang w:val="en-US" w:eastAsia="zh-CN" w:bidi="zh-CN"/>
        </w:rPr>
        <w:t>满意度≥90</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。该指标本项满分10分，根据评分标准得10分。</w:t>
      </w:r>
    </w:p>
    <w:p>
      <w:pPr>
        <w:pStyle w:val="3"/>
        <w:ind w:firstLine="592" w:firstLineChars="200"/>
        <w:rPr>
          <w:rFonts w:hint="eastAsia" w:asciiTheme="majorEastAsia" w:hAnsiTheme="majorEastAsia" w:eastAsiaTheme="majorEastAsia" w:cstheme="majorEastAsia"/>
          <w:b/>
          <w:bCs/>
          <w:sz w:val="30"/>
          <w:szCs w:val="30"/>
        </w:rPr>
      </w:pPr>
      <w:bookmarkStart w:id="157" w:name="_Toc31782"/>
      <w:bookmarkStart w:id="158" w:name="_Toc24727"/>
      <w:bookmarkStart w:id="159" w:name="_Toc1561"/>
      <w:r>
        <w:rPr>
          <w:rFonts w:hint="eastAsia" w:asciiTheme="majorEastAsia" w:hAnsiTheme="majorEastAsia" w:eastAsiaTheme="majorEastAsia" w:cstheme="majorEastAsia"/>
          <w:b/>
          <w:bCs/>
          <w:sz w:val="30"/>
          <w:szCs w:val="30"/>
          <w:lang w:val="en-US" w:eastAsia="zh-CN"/>
        </w:rPr>
        <w:t>七</w:t>
      </w:r>
      <w:r>
        <w:rPr>
          <w:rFonts w:hint="eastAsia" w:asciiTheme="majorEastAsia" w:hAnsiTheme="majorEastAsia" w:eastAsiaTheme="majorEastAsia" w:cstheme="majorEastAsia"/>
          <w:b/>
          <w:bCs/>
          <w:sz w:val="30"/>
          <w:szCs w:val="30"/>
        </w:rPr>
        <w:t>、主要经验做法、存在问题及建议</w:t>
      </w:r>
      <w:bookmarkEnd w:id="157"/>
      <w:bookmarkEnd w:id="158"/>
      <w:bookmarkEnd w:id="159"/>
    </w:p>
    <w:p>
      <w:pPr>
        <w:pStyle w:val="4"/>
        <w:ind w:firstLine="562"/>
        <w:rPr>
          <w:rFonts w:ascii="方正楷体_GBK" w:hAnsi="方正楷体_GBK" w:eastAsia="方正楷体_GBK" w:cs="方正楷体_GBK"/>
          <w:b/>
          <w:bCs w:val="0"/>
          <w:sz w:val="32"/>
          <w:szCs w:val="32"/>
        </w:rPr>
      </w:pPr>
      <w:bookmarkStart w:id="160" w:name="_Toc4904"/>
      <w:bookmarkStart w:id="161" w:name="_Toc19800"/>
      <w:bookmarkStart w:id="162" w:name="_Toc3828"/>
      <w:r>
        <w:rPr>
          <w:rFonts w:hint="eastAsia" w:ascii="方正楷体_GBK" w:hAnsi="方正楷体_GBK" w:eastAsia="方正楷体_GBK" w:cs="方正楷体_GBK"/>
          <w:b/>
          <w:bCs w:val="0"/>
          <w:sz w:val="32"/>
          <w:szCs w:val="32"/>
        </w:rPr>
        <w:t>（一）经验做法</w:t>
      </w:r>
      <w:bookmarkEnd w:id="160"/>
      <w:bookmarkEnd w:id="161"/>
      <w:bookmarkEnd w:id="162"/>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同心县韦州镇2022年高质量美丽宜居村庄奖补资金项目</w:t>
      </w:r>
      <w:r>
        <w:rPr>
          <w:rFonts w:hint="default" w:ascii="Times New Roman" w:hAnsi="Times New Roman" w:eastAsia="方正仿宋_GBK" w:cs="Times New Roman"/>
          <w:color w:val="auto"/>
          <w:kern w:val="0"/>
          <w:sz w:val="30"/>
          <w:szCs w:val="30"/>
          <w:lang w:val="en-US" w:eastAsia="zh-CN" w:bidi="zh-CN"/>
        </w:rPr>
        <w:t>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left="0" w:right="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同心县韦州镇人民政府</w:t>
      </w:r>
      <w:r>
        <w:rPr>
          <w:rFonts w:hint="default" w:ascii="Times New Roman" w:hAnsi="Times New Roman" w:eastAsia="方正仿宋_GBK" w:cs="Times New Roman"/>
          <w:color w:val="auto"/>
          <w:kern w:val="0"/>
          <w:sz w:val="30"/>
          <w:szCs w:val="30"/>
          <w:lang w:val="en-US" w:eastAsia="zh-CN" w:bidi="zh-CN"/>
        </w:rPr>
        <w:t>严格落实工程建设质量安全、消防安全等各项标准规范，严把工程设计关、质量关、安全关、验收关。贯彻设计下乡、陪伴建设、共同缔造等乡村建设新理念新举措，全面提高建设质量。保护和塑造村庄特色风貌，注重乡土材料、废旧材料、新型材料和传统建筑工艺、现代建造技术等有机结合，建设功能现代、风貌乡土、成本经济、节能环保的特色建筑、美丽乡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topLinePunct w:val="0"/>
        <w:autoSpaceDE/>
        <w:autoSpaceDN/>
        <w:bidi w:val="0"/>
        <w:spacing w:before="0" w:beforeAutospacing="0" w:after="0" w:afterAutospacing="0" w:line="560" w:lineRule="exact"/>
        <w:ind w:left="0" w:right="0" w:firstLine="420"/>
        <w:jc w:val="both"/>
        <w:textAlignment w:val="auto"/>
        <w:rPr>
          <w:rFonts w:hint="eastAsia" w:ascii="Times New Roman" w:hAnsi="Times New Roman" w:eastAsia="仿宋" w:cs="Times New Roman"/>
          <w:b w:val="0"/>
          <w:bCs w:val="0"/>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坚持重点突破，织就项目推进“一张网”。全方位提升城镇设施、服务、产业和品质，集中整治优环境，组织开展了多轮次、全方位、拉网式的环境整治工作，坚决扫除“脏乱差”问题，同步推进“洁化、美化、序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仿宋" w:cs="Times New Roman"/>
          <w:b/>
          <w:bCs/>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坚持常抓不懈，下好长效管理“一盘棋”。着力优化长效管理机制，强化要素保障，为加快推进美丽城镇建设打下良好基础，积极落实健全“路（段）长制”、网格化管理、常态化检查为一体的长效机制，持续跟进美丽城镇建设项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w:t>
      </w:r>
    </w:p>
    <w:p>
      <w:pPr>
        <w:keepNext w:val="0"/>
        <w:keepLines w:val="0"/>
        <w:pageBreakBefore w:val="0"/>
        <w:widowControl/>
        <w:suppressLineNumbers w:val="0"/>
        <w:shd w:val="clear"/>
        <w:kinsoku/>
        <w:wordWrap/>
        <w:overflowPunct w:val="0"/>
        <w:topLinePunct w:val="0"/>
        <w:autoSpaceDE/>
        <w:autoSpaceDN/>
        <w:bidi w:val="0"/>
        <w:adjustRightInd/>
        <w:snapToGrid/>
        <w:spacing w:line="560" w:lineRule="exact"/>
        <w:ind w:left="0" w:leftChars="0" w:right="0" w:firstLine="632" w:firstLineChars="200"/>
        <w:jc w:val="both"/>
        <w:textAlignment w:val="auto"/>
        <w:rPr>
          <w:rFonts w:hint="eastAsia"/>
          <w:lang w:val="en-US" w:eastAsia="zh-CN"/>
        </w:rPr>
      </w:pPr>
      <w:r>
        <w:rPr>
          <w:rFonts w:hint="eastAsia"/>
          <w:b/>
          <w:bCs/>
          <w:lang w:val="en-US" w:eastAsia="zh-CN"/>
        </w:rPr>
        <w:t>四是</w:t>
      </w:r>
      <w:r>
        <w:rPr>
          <w:rFonts w:hint="eastAsia"/>
          <w:lang w:val="en-US" w:eastAsia="zh-CN"/>
        </w:rPr>
        <w:t>监理单位实施了现场监理并对重点部位、关键工序实行了旁站监理，严把审核关，工程质量得到有效控制，保证了各项工作的相衔接。</w:t>
      </w:r>
    </w:p>
    <w:p>
      <w:pPr>
        <w:pStyle w:val="4"/>
        <w:shd w:val="clear"/>
        <w:ind w:firstLine="562"/>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63" w:name="_Toc1599"/>
      <w:r>
        <w:rPr>
          <w:rFonts w:hint="eastAsia" w:ascii="方正楷体_GBK" w:hAnsi="方正楷体_GBK" w:eastAsia="方正楷体_GBK" w:cs="方正楷体_GBK"/>
          <w:b/>
          <w:bCs w:val="0"/>
          <w:sz w:val="32"/>
          <w:szCs w:val="32"/>
        </w:rPr>
        <w:t>（二）存在的问题</w:t>
      </w:r>
      <w:bookmarkEnd w:id="163"/>
    </w:p>
    <w:p>
      <w:pPr>
        <w:keepNext w:val="0"/>
        <w:keepLines w:val="0"/>
        <w:pageBreakBefore w:val="0"/>
        <w:widowControl/>
        <w:suppressLineNumbers w:val="0"/>
        <w:kinsoku/>
        <w:wordWrap/>
        <w:overflowPunct w:val="0"/>
        <w:topLinePunct w:val="0"/>
        <w:autoSpaceDE/>
        <w:autoSpaceDN/>
        <w:bidi w:val="0"/>
        <w:adjustRightInd/>
        <w:snapToGrid/>
        <w:ind w:left="587" w:leftChars="186" w:firstLine="0" w:firstLineChars="0"/>
        <w:jc w:val="left"/>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1.未建立长效管护机制，落实不到位。</w:t>
      </w:r>
      <w:r>
        <w:rPr>
          <w:rFonts w:hint="eastAsia"/>
          <w:lang w:val="en-US" w:eastAsia="zh-CN"/>
        </w:rPr>
        <w:t>美丽乡村建成完工验收后，未制定落实管护制度，制定美丽乡村长效管护机制，对后期养护管理包含人员、经费等方面进行落实</w:t>
      </w:r>
      <w:r>
        <w:rPr>
          <w:rFonts w:hint="eastAsia" w:ascii="Times New Roman" w:hAnsi="Times New Roman" w:eastAsia="方正仿宋_GBK" w:cs="Times New Roman"/>
          <w:b w:val="0"/>
          <w:kern w:val="2"/>
          <w:sz w:val="30"/>
          <w:szCs w:val="30"/>
          <w:lang w:val="en-US" w:eastAsia="zh-CN" w:bidi="zh-CN"/>
        </w:rPr>
        <w:t>。</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2.工程结算、财务决算相对滞后。</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在项目完工后，工程结算、竣工决算（以下简称“双算”）不及时办理，将制约后续的资产移交和产权登记工作，不利于政府资产规范管理，而项目资金沉淀在基本建设账户上也不符合国家“盘活存量、用好增量”的财政政策。</w:t>
      </w:r>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64" w:name="_Toc27239"/>
      <w:r>
        <w:rPr>
          <w:rFonts w:hint="eastAsia" w:ascii="方正楷体_GBK" w:hAnsi="方正楷体_GBK" w:eastAsia="方正楷体_GBK" w:cs="方正楷体_GBK"/>
          <w:color w:val="333333"/>
          <w:sz w:val="30"/>
          <w:szCs w:val="30"/>
          <w:shd w:val="clear" w:fill="FFFFFF"/>
          <w:lang w:val="en-US" w:eastAsia="zh-CN" w:bidi="zh-CN"/>
        </w:rPr>
        <w:t>（三）建议</w:t>
      </w:r>
      <w:bookmarkEnd w:id="16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1.建立健全后期维护机制。 </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建立长效管护机制，落实到位。美丽乡村建成完工验收后，建设单位依照相关程序与美丽乡村建设甘沟村办理移交手续。制定美丽乡村长效管护机制，</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明确职责落实责任，管护到位。按照“谁所有、谁受益、谁管理”的原则，明确管护主体，明确管理的具体实施范围及责任，如道路、供水、供电、通信、广播等由产权主管部门负责，和村民组共同承担管护责任。基础设施、环卫设施、公共服务设施由村民组集体所有，采用专人管护和村民自管相结合，做到人人参与，户户有责。开展卫生监督、检查、评比等活动，共同维护建设成果，合力推进美丽乡村长效管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2.加快结算审计，尽早发挥效益。</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首先“双算”管理体制、机制和制度应尽快完善。</w:t>
      </w:r>
      <w:r>
        <w:rPr>
          <w:rFonts w:hint="eastAsia" w:ascii="方正仿宋_GBK" w:hAnsi="方正仿宋_GBK" w:eastAsia="方正仿宋_GBK" w:cs="方正仿宋_GBK"/>
          <w:color w:val="000000"/>
          <w:kern w:val="0"/>
          <w:sz w:val="30"/>
          <w:szCs w:val="30"/>
          <w:lang w:val="en-US" w:eastAsia="zh-CN" w:bidi="ar"/>
        </w:rPr>
        <w:t>应修订完善“双算”管理相关法规，改变目前法规规定不清晰或操作性不强的缺陷，理清建设项目各参建单位办理“双算”的义务和法律责任。</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其次建设单位应严格履行主体责任。</w:t>
      </w:r>
      <w:r>
        <w:rPr>
          <w:rFonts w:hint="eastAsia" w:ascii="方正仿宋_GBK" w:hAnsi="方正仿宋_GBK" w:eastAsia="方正仿宋_GBK" w:cs="方正仿宋_GBK"/>
          <w:color w:val="000000"/>
          <w:kern w:val="0"/>
          <w:sz w:val="30"/>
          <w:szCs w:val="30"/>
          <w:lang w:val="en-US" w:eastAsia="zh-CN" w:bidi="ar"/>
        </w:rPr>
        <w:t>建立健全建设项目全过程管理和内部审计制度，有效加强对建设项目各参建单位的合同管理和履约评价。如在招标文件、合同示范文本及合同专用条款中，应明确施工单位报送工程结算文件的时限、提前或逾期报送的奖罚条款等。</w:t>
      </w:r>
    </w:p>
    <w:p>
      <w:pPr>
        <w:pStyle w:val="3"/>
        <w:ind w:firstLine="592" w:firstLineChars="200"/>
        <w:rPr>
          <w:rFonts w:hint="eastAsia" w:asciiTheme="majorEastAsia" w:hAnsiTheme="majorEastAsia" w:eastAsiaTheme="majorEastAsia" w:cstheme="majorEastAsia"/>
          <w:b/>
          <w:bCs/>
          <w:sz w:val="30"/>
          <w:szCs w:val="30"/>
          <w:lang w:val="en-US" w:eastAsia="zh-CN"/>
        </w:rPr>
      </w:pPr>
      <w:bookmarkStart w:id="165" w:name="_Toc11334"/>
      <w:r>
        <w:rPr>
          <w:rFonts w:hint="eastAsia" w:asciiTheme="majorEastAsia" w:hAnsiTheme="majorEastAsia" w:eastAsiaTheme="majorEastAsia" w:cstheme="majorEastAsia"/>
          <w:b/>
          <w:bCs/>
          <w:sz w:val="30"/>
          <w:szCs w:val="30"/>
          <w:lang w:val="en-US" w:eastAsia="zh-CN"/>
        </w:rPr>
        <w:t>八、其他需要说明的问题</w:t>
      </w:r>
      <w:bookmarkEnd w:id="165"/>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同心县韦州镇2022年高质量美丽宜居村庄奖补资金项目补助资金有关的方面。同时评价报告及结论也受评价人员对项目的了解程度、专业知识和评价能力的限制，因此，本绩效评价报告仅对同心县韦州镇2022年高质量美丽宜居村庄奖补资金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Style w:val="2"/>
        <w:rPr>
          <w:rFonts w:hint="eastAsia" w:ascii="方正仿宋_GBK" w:hAnsi="方正仿宋_GBK" w:eastAsia="方正仿宋_GBK" w:cs="方正仿宋_GBK"/>
          <w:color w:val="000000"/>
          <w:kern w:val="0"/>
          <w:sz w:val="30"/>
          <w:szCs w:val="30"/>
          <w:lang w:val="en-US" w:eastAsia="zh-CN" w:bidi="ar"/>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Times New Roman" w:hAnsi="Times New Roman" w:eastAsia="方正仿宋_GBK" w:cs="Times New Roman"/>
          <w:b w:val="0"/>
          <w:bCs w:val="0"/>
          <w:kern w:val="2"/>
          <w:sz w:val="30"/>
          <w:szCs w:val="30"/>
          <w:lang w:val="en-US" w:eastAsia="zh-CN" w:bidi="ar-SA"/>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pStyle w:val="2"/>
        <w:rPr>
          <w:rFonts w:hint="eastAsia" w:ascii="Times New Roman" w:hAnsi="Times New Roman" w:eastAsia="方正仿宋_GB2312" w:cs="Times New Roman"/>
          <w:sz w:val="28"/>
          <w:szCs w:val="28"/>
          <w:lang w:val="zh-CN"/>
        </w:rPr>
      </w:pPr>
    </w:p>
    <w:p>
      <w:pPr>
        <w:rPr>
          <w:rFonts w:hint="eastAsia" w:ascii="Times New Roman" w:hAnsi="Times New Roman" w:eastAsia="方正仿宋_GB2312" w:cs="Times New Roman"/>
          <w:sz w:val="28"/>
          <w:szCs w:val="28"/>
          <w:lang w:val="zh-CN"/>
        </w:rPr>
      </w:pPr>
    </w:p>
    <w:p>
      <w:pPr>
        <w:rPr>
          <w:rFonts w:hint="eastAsia" w:ascii="Times New Roman" w:hAnsi="Times New Roman" w:eastAsia="方正仿宋_GB2312" w:cs="Times New Roman"/>
          <w:sz w:val="28"/>
          <w:szCs w:val="28"/>
          <w:lang w:val="zh-CN"/>
        </w:rPr>
      </w:pPr>
    </w:p>
    <w:p>
      <w:pPr>
        <w:rPr>
          <w:rFonts w:hint="eastAsia" w:ascii="Times New Roman" w:hAnsi="Times New Roman" w:eastAsia="方正仿宋_GB2312" w:cs="Times New Roman"/>
          <w:sz w:val="28"/>
          <w:szCs w:val="28"/>
          <w:lang w:val="zh-CN"/>
        </w:rPr>
      </w:pPr>
    </w:p>
    <w:p>
      <w:pPr>
        <w:rPr>
          <w:rFonts w:hint="eastAsia" w:ascii="Times New Roman" w:hAnsi="Times New Roman" w:eastAsia="方正仿宋_GB2312" w:cs="Times New Roman"/>
          <w:sz w:val="28"/>
          <w:szCs w:val="28"/>
          <w:lang w:val="zh-CN"/>
        </w:rPr>
      </w:pPr>
    </w:p>
    <w:p>
      <w:pPr>
        <w:rPr>
          <w:rFonts w:hint="eastAsia"/>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w:t>
      </w:r>
      <w:bookmarkEnd w:id="51"/>
      <w:bookmarkEnd w:id="52"/>
      <w:bookmarkEnd w:id="53"/>
      <w:bookmarkEnd w:id="54"/>
      <w:bookmarkEnd w:id="55"/>
      <w:bookmarkEnd w:id="56"/>
      <w:bookmarkEnd w:id="57"/>
      <w:bookmarkEnd w:id="58"/>
      <w:r>
        <w:rPr>
          <w:rFonts w:hint="eastAsia" w:ascii="Times New Roman" w:hAnsi="Times New Roman" w:eastAsia="方正仿宋_GB2312" w:cs="Times New Roman"/>
          <w:b w:val="0"/>
          <w:sz w:val="28"/>
          <w:szCs w:val="28"/>
          <w:lang w:val="en-US" w:eastAsia="zh-CN"/>
        </w:rPr>
        <w:t>2023年12月31日</w:t>
      </w:r>
      <w:bookmarkEnd w:id="28"/>
      <w:bookmarkEnd w:id="59"/>
      <w:bookmarkStart w:id="166" w:name="_Toc20313"/>
      <w:bookmarkStart w:id="167" w:name="_Toc5302"/>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pgSz w:w="11906" w:h="16838"/>
          <w:pgMar w:top="2098" w:right="1587" w:bottom="2098" w:left="1587" w:header="1587" w:footer="935" w:gutter="0"/>
          <w:pgNumType w:fmt="decimal"/>
          <w:cols w:space="0" w:num="1"/>
          <w:rtlGutter w:val="0"/>
          <w:docGrid w:type="linesAndChars" w:linePitch="589" w:charSpace="-842"/>
        </w:sectPr>
      </w:pPr>
    </w:p>
    <w:bookmarkEnd w:id="166"/>
    <w:bookmarkEnd w:id="167"/>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同心县韦州镇2022年高质量美丽宜居村庄奖补资金项目绩效评价指标体系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w:t>
            </w:r>
            <w:r>
              <w:rPr>
                <w:rFonts w:hint="default" w:ascii="Times New Roman" w:hAnsi="Times New Roman" w:eastAsia="方正仿宋_GBK" w:cs="Times New Roman"/>
                <w:i w:val="0"/>
                <w:iCs w:val="0"/>
                <w:color w:val="000000"/>
                <w:kern w:val="0"/>
                <w:sz w:val="22"/>
                <w:szCs w:val="22"/>
                <w:u w:val="none"/>
                <w:lang w:val="en-US" w:eastAsia="zh-CN" w:bidi="ar"/>
              </w:rPr>
              <w:t>设定了绩效目标。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未编制</w:t>
            </w:r>
            <w:r>
              <w:rPr>
                <w:rFonts w:hint="default" w:ascii="Times New Roman" w:hAnsi="Times New Roman" w:eastAsia="方正仿宋_GBK" w:cs="Times New Roman"/>
                <w:i w:val="0"/>
                <w:iCs w:val="0"/>
                <w:color w:val="000000"/>
                <w:kern w:val="0"/>
                <w:sz w:val="22"/>
                <w:szCs w:val="22"/>
                <w:u w:val="none"/>
                <w:lang w:val="en-US" w:eastAsia="zh-CN" w:bidi="ar"/>
              </w:rPr>
              <w:t>绩效目标，</w:t>
            </w:r>
            <w:r>
              <w:rPr>
                <w:rFonts w:hint="eastAsia" w:ascii="Times New Roman" w:hAnsi="Times New Roman" w:eastAsia="方正仿宋_GBK" w:cs="Times New Roman"/>
                <w:i w:val="0"/>
                <w:iCs w:val="0"/>
                <w:color w:val="000000"/>
                <w:kern w:val="0"/>
                <w:sz w:val="22"/>
                <w:szCs w:val="22"/>
                <w:u w:val="none"/>
                <w:lang w:val="en-US" w:eastAsia="zh-CN" w:bidi="ar"/>
              </w:rPr>
              <w:t>指标不能够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项目预算资金200万元，实际支出200万元，预算执行率100%。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资金执行率=实际支付资金/实际到位资金×100%，专项资金执行率90%得满分。否则本指标得分=资金执行率×分值</w:t>
            </w:r>
            <w:r>
              <w:rPr>
                <w:rFonts w:hint="eastAsia"/>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较及时</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7"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改善城市环境</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逐步改善城市卫生环境。</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逐步增强</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未建立健全后期管护机制。</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考察项目结束后档案归档情况。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：项目档案管理机制是否健全且执行有效。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rPr>
                <w:rFonts w:hint="eastAsia"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≥94%。</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sum(I2:I59)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91</w:t>
            </w:r>
            <w:r>
              <w:rPr>
                <w:rFonts w:hint="default" w:ascii="Times New Roman" w:hAnsi="Times New Roman" w:eastAsia="宋体" w:cs="Times New Roman"/>
                <w:i w:val="0"/>
                <w:iCs w:val="0"/>
                <w:color w:val="000000"/>
                <w:kern w:val="0"/>
                <w:sz w:val="22"/>
                <w:szCs w:val="22"/>
                <w:u w:val="none"/>
                <w:lang w:val="en-US" w:eastAsia="zh-CN" w:bidi="ar"/>
              </w:rPr>
              <w:fldChar w:fldCharType="end"/>
            </w:r>
          </w:p>
        </w:tc>
      </w:tr>
    </w:tbl>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0"/>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同心县韦州镇2022年高质量美丽宜居村庄奖补资金</w:t>
      </w:r>
    </w:p>
    <w:p>
      <w:pPr>
        <w:pStyle w:val="20"/>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项目访谈方案</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专项资金项目的组织、实施、管理的具体情况，发现部门运行和管理中的问题，评估财政部门资金的使用以及部门职能，了解和评估财政资金使用的效率和效益，发现资金使用和管理中的问题，为项目的管理和执行提供充分的决策依据。</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同心县韦州镇人民政府分管领导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同心县韦州镇项目办负责人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同心县韦州镇财务科室负责人</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请</w:t>
      </w:r>
      <w:r>
        <w:rPr>
          <w:rFonts w:hint="default" w:ascii="Times New Roman" w:hAnsi="Times New Roman" w:eastAsia="方正仿宋_GBK" w:cs="Times New Roman"/>
          <w:b w:val="0"/>
          <w:bCs w:val="0"/>
          <w:kern w:val="0"/>
          <w:sz w:val="30"/>
          <w:szCs w:val="30"/>
          <w:lang w:val="en-US" w:eastAsia="zh-CN" w:bidi="zh-CN"/>
        </w:rPr>
        <w:t>简要介绍一下同心县韦州镇2022年高质量美丽宜</w:t>
      </w:r>
      <w:r>
        <w:rPr>
          <w:rFonts w:hint="eastAsia" w:ascii="方正仿宋_GBK" w:hAnsi="方正仿宋_GBK" w:eastAsia="方正仿宋_GBK" w:cs="方正仿宋_GBK"/>
          <w:b w:val="0"/>
          <w:bCs w:val="0"/>
          <w:kern w:val="0"/>
          <w:sz w:val="30"/>
          <w:szCs w:val="30"/>
          <w:lang w:val="en-US" w:eastAsia="zh-CN" w:bidi="zh-CN"/>
        </w:rPr>
        <w:t>居村庄奖补资金项目实施中主要负责的工作内容？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168" w:name="_Toc396323558"/>
      <w:bookmarkStart w:id="169" w:name="_Toc387361423"/>
      <w:bookmarkStart w:id="170" w:name="_Toc385522401"/>
      <w:bookmarkStart w:id="171" w:name="_Toc390983233"/>
      <w:bookmarkStart w:id="172" w:name="_Toc385521993"/>
      <w:bookmarkStart w:id="173" w:name="_Toc385352814"/>
      <w:bookmarkStart w:id="174" w:name="_Toc393466358"/>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7.</w:t>
      </w:r>
      <w:bookmarkEnd w:id="168"/>
      <w:bookmarkEnd w:id="169"/>
      <w:bookmarkEnd w:id="170"/>
      <w:bookmarkEnd w:id="171"/>
      <w:bookmarkEnd w:id="172"/>
      <w:bookmarkEnd w:id="173"/>
      <w:bookmarkEnd w:id="174"/>
      <w:r>
        <w:rPr>
          <w:rFonts w:hint="eastAsia" w:ascii="Times New Roman" w:hAnsi="Times New Roman" w:eastAsia="方正仿宋_GBK" w:cs="Times New Roman"/>
          <w:b w:val="0"/>
          <w:bCs w:val="0"/>
          <w:kern w:val="0"/>
          <w:sz w:val="30"/>
          <w:szCs w:val="30"/>
          <w:lang w:val="en-US" w:eastAsia="zh-CN" w:bidi="zh-CN"/>
        </w:rPr>
        <w:t>项目过程中都有哪些好的经验做法？项目开展都有哪些难点和建议？</w:t>
      </w:r>
    </w:p>
    <w:p>
      <w:pPr>
        <w:pStyle w:val="4"/>
        <w:pageBreakBefore w:val="0"/>
        <w:widowControl w:val="0"/>
        <w:kinsoku/>
        <w:wordWrap/>
        <w:topLinePunct w:val="0"/>
        <w:bidi w:val="0"/>
        <w:adjustRightInd/>
        <w:snapToGrid/>
        <w:spacing w:beforeLines="0" w:afterLines="0"/>
        <w:textAlignment w:val="auto"/>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同心县韦州镇2022年高质量美丽宜居村庄奖补资金项目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韦州镇2022年高质量美丽宜居村庄奖补资金项目情况展开调研。感谢您抽出宝贵时间参与问卷调查，请根据您的真实感受填写，我们保证问卷数据仅限于统计分析，对您的个人信息及答案将予以严格保密，感谢您的支持与配合！</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1.请问您得年龄？</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□20岁以下   □21-40岁  □41-60岁  □61岁以上</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2.请问您的文化程度？</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□中专及以下 □大专   □本科     □研究生及以上</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3.请问您是否为同心县当地居民？</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□是     □否</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（二）满意度问题</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1.您对同心县韦州镇2022年高质量美丽宜居村庄奖补资金项目建设是否满意？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2.您对同心县韦州镇2022年高质量美丽宜居村庄奖补资金项目施工过程的管理是否满意？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3.您对同心县韦州镇2022年高质量美丽宜居村庄奖补资金项目中学综合楼项目工程总体进度是否满意？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（三）开放问题</w:t>
      </w:r>
    </w:p>
    <w:p>
      <w:pPr>
        <w:pageBreakBefore w:val="0"/>
        <w:widowControl w:val="0"/>
        <w:kinsoku/>
        <w:wordWrap/>
        <w:overflowPunct/>
        <w:topLinePunct w:val="0"/>
        <w:autoSpaceDE/>
        <w:autoSpaceDN/>
        <w:bidi w:val="0"/>
        <w:adjustRightInd/>
        <w:snapToGrid w:val="0"/>
        <w:spacing w:line="580" w:lineRule="exact"/>
        <w:ind w:left="0" w:leftChars="0" w:firstLine="592" w:firstLineChars="200"/>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您对同心县韦州镇2022年高质量美丽宜居村庄奖补资金项目还有什么意见和建议？</w:t>
      </w: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b w:val="0"/>
          <w:bCs w:val="0"/>
          <w:kern w:val="0"/>
          <w:sz w:val="30"/>
          <w:szCs w:val="30"/>
          <w:lang w:val="en-US" w:eastAsia="zh-CN" w:bidi="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pStyle w:val="20"/>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 xml:space="preserve">  绩效评价报告（征求意见稿）意见反馈表</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72" w:firstLineChars="200"/>
        <w:jc w:val="both"/>
        <w:textAlignment w:val="auto"/>
        <w:rPr>
          <w:rFonts w:hint="default"/>
          <w:lang w:val="en-US" w:eastAsia="zh-CN"/>
        </w:rPr>
      </w:pPr>
      <w:r>
        <w:rPr>
          <w:rFonts w:hint="default"/>
          <w:lang w:val="en-US" w:eastAsia="zh-CN"/>
        </w:rPr>
        <w:drawing>
          <wp:anchor distT="0" distB="0" distL="114300" distR="114300" simplePos="0" relativeHeight="251659264" behindDoc="1" locked="0" layoutInCell="1" allowOverlap="1">
            <wp:simplePos x="0" y="0"/>
            <wp:positionH relativeFrom="column">
              <wp:posOffset>283845</wp:posOffset>
            </wp:positionH>
            <wp:positionV relativeFrom="paragraph">
              <wp:posOffset>55245</wp:posOffset>
            </wp:positionV>
            <wp:extent cx="5039995" cy="6120130"/>
            <wp:effectExtent l="0" t="0" r="8255" b="13970"/>
            <wp:wrapNone/>
            <wp:docPr id="1" name="图片 1" descr="8c3bf372e2dd73719eb987dd3786164"/>
            <wp:cNvGraphicFramePr/>
            <a:graphic xmlns:a="http://schemas.openxmlformats.org/drawingml/2006/main">
              <a:graphicData uri="http://schemas.openxmlformats.org/drawingml/2006/picture">
                <pic:pic xmlns:pic="http://schemas.openxmlformats.org/drawingml/2006/picture">
                  <pic:nvPicPr>
                    <pic:cNvPr id="1" name="图片 1" descr="8c3bf372e2dd73719eb987dd3786164"/>
                    <pic:cNvPicPr/>
                  </pic:nvPicPr>
                  <pic:blipFill>
                    <a:blip r:embed="rId11"/>
                    <a:stretch>
                      <a:fillRect/>
                    </a:stretch>
                  </pic:blipFill>
                  <pic:spPr>
                    <a:xfrm>
                      <a:off x="0" y="0"/>
                      <a:ext cx="5039995" cy="6120130"/>
                    </a:xfrm>
                    <a:prstGeom prst="rect">
                      <a:avLst/>
                    </a:prstGeom>
                  </pic:spPr>
                </pic:pic>
              </a:graphicData>
            </a:graphic>
          </wp:anchor>
        </w:drawing>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9FD46A-29D0-41B3-95D6-0E9A330DB4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DD4CE7C4-E427-4720-A72C-7A3E0E8C75A6}"/>
  </w:font>
  <w:font w:name="楷体">
    <w:panose1 w:val="02010609060101010101"/>
    <w:charset w:val="86"/>
    <w:family w:val="auto"/>
    <w:pitch w:val="default"/>
    <w:sig w:usb0="800002BF" w:usb1="38CF7CFA" w:usb2="00000016" w:usb3="00000000" w:csb0="00040001" w:csb1="00000000"/>
    <w:embedRegular r:id="rId3" w:fontKey="{F257B7CB-879F-4D03-8C5B-5AE73D17B978}"/>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4DF8303E-E9BD-4AD9-9698-2666965BB0C7}"/>
  </w:font>
  <w:font w:name="方正仿宋_GBK">
    <w:panose1 w:val="02000000000000000000"/>
    <w:charset w:val="86"/>
    <w:family w:val="auto"/>
    <w:pitch w:val="default"/>
    <w:sig w:usb0="A00002BF" w:usb1="38CF7CFA" w:usb2="00082016" w:usb3="00000000" w:csb0="00040001" w:csb1="00000000"/>
    <w:embedRegular r:id="rId5" w:fontKey="{36DDECF9-005E-4EA2-B037-FDC3481E79F6}"/>
  </w:font>
  <w:font w:name="方正小标宋_GBK">
    <w:panose1 w:val="02000000000000000000"/>
    <w:charset w:val="86"/>
    <w:family w:val="auto"/>
    <w:pitch w:val="default"/>
    <w:sig w:usb0="A00002BF" w:usb1="38CF7CFA" w:usb2="00082016" w:usb3="00000000" w:csb0="00040001" w:csb1="00000000"/>
    <w:embedRegular r:id="rId6" w:fontKey="{5179EFCD-A750-474C-B1C8-AECEC890FFBC}"/>
  </w:font>
  <w:font w:name="方正小标宋简体">
    <w:panose1 w:val="02000000000000000000"/>
    <w:charset w:val="86"/>
    <w:family w:val="auto"/>
    <w:pitch w:val="default"/>
    <w:sig w:usb0="00000001" w:usb1="08000000" w:usb2="00000000" w:usb3="00000000" w:csb0="00040000" w:csb1="00000000"/>
    <w:embedRegular r:id="rId7" w:fontKey="{F9E3E69F-76C1-4FBC-B6DC-1D0B8F542548}"/>
  </w:font>
  <w:font w:name="方正正黑_GBK">
    <w:panose1 w:val="02000000000000000000"/>
    <w:charset w:val="86"/>
    <w:family w:val="auto"/>
    <w:pitch w:val="default"/>
    <w:sig w:usb0="A00002BF" w:usb1="38CF7CFA" w:usb2="00082016" w:usb3="00000000" w:csb0="00040001" w:csb1="00000000"/>
    <w:embedRegular r:id="rId8" w:fontKey="{E0F085EE-CC19-4047-A648-A71ABC397717}"/>
  </w:font>
  <w:font w:name="方正仿宋_GB2312">
    <w:panose1 w:val="02000000000000000000"/>
    <w:charset w:val="86"/>
    <w:family w:val="auto"/>
    <w:pitch w:val="default"/>
    <w:sig w:usb0="A00002BF" w:usb1="184F6CFA" w:usb2="00000012" w:usb3="00000000" w:csb0="00040001" w:csb1="00000000"/>
    <w:embedRegular r:id="rId9" w:fontKey="{303823DA-3D9F-4F5B-8488-01FB9A30C706}"/>
  </w:font>
  <w:font w:name="方正楷体_GBK">
    <w:panose1 w:val="02000000000000000000"/>
    <w:charset w:val="86"/>
    <w:family w:val="auto"/>
    <w:pitch w:val="default"/>
    <w:sig w:usb0="800002BF" w:usb1="38CF7CFA" w:usb2="00000016" w:usb3="00000000" w:csb0="00040000" w:csb1="00000000"/>
    <w:embedRegular r:id="rId10" w:fontKey="{DB9BD799-252F-4CAF-B818-B150A692DC74}"/>
  </w:font>
  <w:font w:name="方正公文小标宋">
    <w:panose1 w:val="02000500000000000000"/>
    <w:charset w:val="86"/>
    <w:family w:val="auto"/>
    <w:pitch w:val="default"/>
    <w:sig w:usb0="A00002BF" w:usb1="38CF7CFA" w:usb2="00000016" w:usb3="00000000" w:csb0="00040001" w:csb1="00000000"/>
    <w:embedRegular r:id="rId11" w:fontKey="{F1BF4E08-58EB-401E-A242-581B7B2FDD8D}"/>
  </w:font>
  <w:font w:name="微软雅黑">
    <w:panose1 w:val="020B0503020204020204"/>
    <w:charset w:val="86"/>
    <w:family w:val="auto"/>
    <w:pitch w:val="default"/>
    <w:sig w:usb0="80000287" w:usb1="2ACF3C50" w:usb2="00000016" w:usb3="00000000" w:csb0="0004001F" w:csb1="00000000"/>
    <w:embedRegular r:id="rId12" w:fontKey="{D2F6B846-F0E7-4643-A75E-26DFB5DB81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同心县韦州镇2022年高质量美丽宜居村庄奖补资金项目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4"/>
      <w:pBdr>
        <w:bottom w:val="double" w:color="auto" w:sz="8"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ascii="方正小标宋_GBK" w:hAnsi="方正小标宋_GBK" w:eastAsia="方正小标宋_GBK" w:cs="方正小标宋_GBK"/>
        <w:b w:val="0"/>
        <w:bCs w:val="0"/>
        <w:color w:val="181717" w:themeColor="background2" w:themeShade="1A"/>
        <w:sz w:val="21"/>
        <w:szCs w:val="21"/>
        <w:lang w:val="en-US" w:eastAsia="zh-CN"/>
      </w:rPr>
      <w:t>同心县韦州镇2022年高质量美丽宜居村庄奖补资金项目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F42E28"/>
    <w:multiLevelType w:val="singleLevel"/>
    <w:tmpl w:val="DAF42E28"/>
    <w:lvl w:ilvl="0" w:tentative="0">
      <w:start w:val="1"/>
      <w:numFmt w:val="decimal"/>
      <w:suff w:val="nothing"/>
      <w:lvlText w:val="（%1）"/>
      <w:lvlJc w:val="left"/>
    </w:lvl>
  </w:abstractNum>
  <w:abstractNum w:abstractNumId="1">
    <w:nsid w:val="E0B2C9DB"/>
    <w:multiLevelType w:val="singleLevel"/>
    <w:tmpl w:val="E0B2C9DB"/>
    <w:lvl w:ilvl="0" w:tentative="0">
      <w:start w:val="2"/>
      <w:numFmt w:val="chineseCounting"/>
      <w:suff w:val="nothing"/>
      <w:lvlText w:val="（%1）"/>
      <w:lvlJc w:val="left"/>
      <w:pPr>
        <w:ind w:left="38"/>
      </w:pPr>
      <w:rPr>
        <w:rFonts w:hint="eastAsia"/>
      </w:rPr>
    </w:lvl>
  </w:abstractNum>
  <w:abstractNum w:abstractNumId="2">
    <w:nsid w:val="FB20EEF5"/>
    <w:multiLevelType w:val="singleLevel"/>
    <w:tmpl w:val="FB20EEF5"/>
    <w:lvl w:ilvl="0" w:tentative="0">
      <w:start w:val="3"/>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B0A52"/>
    <w:rsid w:val="01711D58"/>
    <w:rsid w:val="01A22C15"/>
    <w:rsid w:val="02693F89"/>
    <w:rsid w:val="02B726F0"/>
    <w:rsid w:val="031F0282"/>
    <w:rsid w:val="03321D76"/>
    <w:rsid w:val="03782AE9"/>
    <w:rsid w:val="038F5644"/>
    <w:rsid w:val="049979AA"/>
    <w:rsid w:val="04CB2483"/>
    <w:rsid w:val="05127FF8"/>
    <w:rsid w:val="05373674"/>
    <w:rsid w:val="057E08FD"/>
    <w:rsid w:val="05DE7F94"/>
    <w:rsid w:val="05E661B9"/>
    <w:rsid w:val="06310741"/>
    <w:rsid w:val="067B3A34"/>
    <w:rsid w:val="06935222"/>
    <w:rsid w:val="07752028"/>
    <w:rsid w:val="079B438E"/>
    <w:rsid w:val="07C669DF"/>
    <w:rsid w:val="07DC0B0F"/>
    <w:rsid w:val="084314D4"/>
    <w:rsid w:val="08A2629B"/>
    <w:rsid w:val="08D765EB"/>
    <w:rsid w:val="09087391"/>
    <w:rsid w:val="094E2BC9"/>
    <w:rsid w:val="0978425B"/>
    <w:rsid w:val="09EE451A"/>
    <w:rsid w:val="0A104DC5"/>
    <w:rsid w:val="0A1421D6"/>
    <w:rsid w:val="0A1441B8"/>
    <w:rsid w:val="0A9E5F43"/>
    <w:rsid w:val="0B1A65E0"/>
    <w:rsid w:val="0BA37CB5"/>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73096"/>
    <w:rsid w:val="10594DE6"/>
    <w:rsid w:val="10923E54"/>
    <w:rsid w:val="10B4026F"/>
    <w:rsid w:val="10F70CB9"/>
    <w:rsid w:val="11326D9C"/>
    <w:rsid w:val="11576F43"/>
    <w:rsid w:val="11877731"/>
    <w:rsid w:val="12057474"/>
    <w:rsid w:val="123478B9"/>
    <w:rsid w:val="12780A7F"/>
    <w:rsid w:val="12A803F6"/>
    <w:rsid w:val="12B800BB"/>
    <w:rsid w:val="1306193D"/>
    <w:rsid w:val="138163C4"/>
    <w:rsid w:val="13D16037"/>
    <w:rsid w:val="14642D3C"/>
    <w:rsid w:val="151B68BE"/>
    <w:rsid w:val="15BC373C"/>
    <w:rsid w:val="15D25F85"/>
    <w:rsid w:val="15D614F9"/>
    <w:rsid w:val="15E50ECA"/>
    <w:rsid w:val="16201F02"/>
    <w:rsid w:val="165E3157"/>
    <w:rsid w:val="16B84434"/>
    <w:rsid w:val="17C26244"/>
    <w:rsid w:val="18070836"/>
    <w:rsid w:val="18CC35FF"/>
    <w:rsid w:val="18D555BD"/>
    <w:rsid w:val="19A84F19"/>
    <w:rsid w:val="1A11557B"/>
    <w:rsid w:val="1A725422"/>
    <w:rsid w:val="1B0B13D3"/>
    <w:rsid w:val="1B587F55"/>
    <w:rsid w:val="1BBE1FA1"/>
    <w:rsid w:val="1CE014E1"/>
    <w:rsid w:val="1CFE5775"/>
    <w:rsid w:val="1D2F4821"/>
    <w:rsid w:val="1D4F132F"/>
    <w:rsid w:val="1D5F1562"/>
    <w:rsid w:val="1D8B2357"/>
    <w:rsid w:val="1DC45FEE"/>
    <w:rsid w:val="1DFC45E7"/>
    <w:rsid w:val="1EE937D9"/>
    <w:rsid w:val="1F051A31"/>
    <w:rsid w:val="1F191147"/>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87837"/>
    <w:rsid w:val="295D5A2E"/>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96257F"/>
    <w:rsid w:val="2FB60690"/>
    <w:rsid w:val="304940ED"/>
    <w:rsid w:val="308C3833"/>
    <w:rsid w:val="3095731D"/>
    <w:rsid w:val="30B06230"/>
    <w:rsid w:val="30D50061"/>
    <w:rsid w:val="31164343"/>
    <w:rsid w:val="317928C0"/>
    <w:rsid w:val="317D7F2F"/>
    <w:rsid w:val="31A041CB"/>
    <w:rsid w:val="31EB3B69"/>
    <w:rsid w:val="31FC6110"/>
    <w:rsid w:val="32C75788"/>
    <w:rsid w:val="3301513E"/>
    <w:rsid w:val="330E3209"/>
    <w:rsid w:val="33210D4B"/>
    <w:rsid w:val="33565E16"/>
    <w:rsid w:val="33753436"/>
    <w:rsid w:val="33AE6A83"/>
    <w:rsid w:val="33F20148"/>
    <w:rsid w:val="344C36D7"/>
    <w:rsid w:val="347D25A2"/>
    <w:rsid w:val="349124F1"/>
    <w:rsid w:val="34CF6284"/>
    <w:rsid w:val="34D94D78"/>
    <w:rsid w:val="34E43BF0"/>
    <w:rsid w:val="34FA0BAE"/>
    <w:rsid w:val="35A77929"/>
    <w:rsid w:val="366C6D72"/>
    <w:rsid w:val="36CC15BF"/>
    <w:rsid w:val="375A12C0"/>
    <w:rsid w:val="379D4EBE"/>
    <w:rsid w:val="37D93A30"/>
    <w:rsid w:val="38250B51"/>
    <w:rsid w:val="3846715C"/>
    <w:rsid w:val="39C079EE"/>
    <w:rsid w:val="39C87546"/>
    <w:rsid w:val="39EC58CA"/>
    <w:rsid w:val="39FB2B8C"/>
    <w:rsid w:val="3A1F1BFC"/>
    <w:rsid w:val="3A3F02FA"/>
    <w:rsid w:val="3A5D44DB"/>
    <w:rsid w:val="3A887938"/>
    <w:rsid w:val="3A9262F0"/>
    <w:rsid w:val="3AC30F2B"/>
    <w:rsid w:val="3AE54968"/>
    <w:rsid w:val="3AED2368"/>
    <w:rsid w:val="3B261658"/>
    <w:rsid w:val="3B500B8C"/>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40453D92"/>
    <w:rsid w:val="405A5E8D"/>
    <w:rsid w:val="405B60A8"/>
    <w:rsid w:val="409C3B18"/>
    <w:rsid w:val="40B732E0"/>
    <w:rsid w:val="40D03C01"/>
    <w:rsid w:val="40E81398"/>
    <w:rsid w:val="40F40090"/>
    <w:rsid w:val="410336E1"/>
    <w:rsid w:val="41054DFD"/>
    <w:rsid w:val="4110479E"/>
    <w:rsid w:val="41553248"/>
    <w:rsid w:val="417052AF"/>
    <w:rsid w:val="419D4F33"/>
    <w:rsid w:val="41D70E14"/>
    <w:rsid w:val="41F30D48"/>
    <w:rsid w:val="42500DFE"/>
    <w:rsid w:val="4262727B"/>
    <w:rsid w:val="428423CE"/>
    <w:rsid w:val="42E3660E"/>
    <w:rsid w:val="430A1DED"/>
    <w:rsid w:val="435E7A42"/>
    <w:rsid w:val="43654FAA"/>
    <w:rsid w:val="437B6846"/>
    <w:rsid w:val="439A2BC7"/>
    <w:rsid w:val="44112D07"/>
    <w:rsid w:val="44D67B06"/>
    <w:rsid w:val="45034416"/>
    <w:rsid w:val="455C18CC"/>
    <w:rsid w:val="459C4B6B"/>
    <w:rsid w:val="45F418B3"/>
    <w:rsid w:val="45FD79E7"/>
    <w:rsid w:val="463C0759"/>
    <w:rsid w:val="46624259"/>
    <w:rsid w:val="46C44060"/>
    <w:rsid w:val="471E751C"/>
    <w:rsid w:val="472900CD"/>
    <w:rsid w:val="47A76A1D"/>
    <w:rsid w:val="47B70069"/>
    <w:rsid w:val="47B95B8F"/>
    <w:rsid w:val="47D334DC"/>
    <w:rsid w:val="488F195B"/>
    <w:rsid w:val="48A2254D"/>
    <w:rsid w:val="49072C4A"/>
    <w:rsid w:val="496D1725"/>
    <w:rsid w:val="498C7B7B"/>
    <w:rsid w:val="49A80A70"/>
    <w:rsid w:val="49EE685A"/>
    <w:rsid w:val="49F25388"/>
    <w:rsid w:val="4A045B66"/>
    <w:rsid w:val="4A0D5D1E"/>
    <w:rsid w:val="4A1470AD"/>
    <w:rsid w:val="4A471230"/>
    <w:rsid w:val="4A6E0EB3"/>
    <w:rsid w:val="4A755EA0"/>
    <w:rsid w:val="4AB663B6"/>
    <w:rsid w:val="4AC24D5B"/>
    <w:rsid w:val="4C07336D"/>
    <w:rsid w:val="4C126731"/>
    <w:rsid w:val="4C561BFF"/>
    <w:rsid w:val="4C6C277D"/>
    <w:rsid w:val="4C80439B"/>
    <w:rsid w:val="4CAA019C"/>
    <w:rsid w:val="4CD82614"/>
    <w:rsid w:val="4D283D09"/>
    <w:rsid w:val="4D650BDF"/>
    <w:rsid w:val="4D666D5C"/>
    <w:rsid w:val="4DAE09A0"/>
    <w:rsid w:val="4DB841F3"/>
    <w:rsid w:val="4DE92870"/>
    <w:rsid w:val="4E10402F"/>
    <w:rsid w:val="4E1F474B"/>
    <w:rsid w:val="4E2A0721"/>
    <w:rsid w:val="4E612ADD"/>
    <w:rsid w:val="4F813436"/>
    <w:rsid w:val="4F923F8F"/>
    <w:rsid w:val="4FC73DE1"/>
    <w:rsid w:val="507E7856"/>
    <w:rsid w:val="5080118E"/>
    <w:rsid w:val="509C7DFC"/>
    <w:rsid w:val="50F9524E"/>
    <w:rsid w:val="514507F5"/>
    <w:rsid w:val="515E1DBF"/>
    <w:rsid w:val="519D207E"/>
    <w:rsid w:val="51CF6940"/>
    <w:rsid w:val="52132340"/>
    <w:rsid w:val="523508CE"/>
    <w:rsid w:val="52467A28"/>
    <w:rsid w:val="527340DC"/>
    <w:rsid w:val="527B63C3"/>
    <w:rsid w:val="527F195C"/>
    <w:rsid w:val="52A167DD"/>
    <w:rsid w:val="52FE4D9E"/>
    <w:rsid w:val="530F2210"/>
    <w:rsid w:val="53146370"/>
    <w:rsid w:val="53487DC7"/>
    <w:rsid w:val="534C038B"/>
    <w:rsid w:val="53837B15"/>
    <w:rsid w:val="545D78A2"/>
    <w:rsid w:val="545F7A68"/>
    <w:rsid w:val="55E53FF3"/>
    <w:rsid w:val="56150435"/>
    <w:rsid w:val="56250D50"/>
    <w:rsid w:val="566C4581"/>
    <w:rsid w:val="5684380C"/>
    <w:rsid w:val="56C62FC9"/>
    <w:rsid w:val="58366D88"/>
    <w:rsid w:val="58B8408C"/>
    <w:rsid w:val="58C53371"/>
    <w:rsid w:val="592503CD"/>
    <w:rsid w:val="59ED3476"/>
    <w:rsid w:val="5A105AE3"/>
    <w:rsid w:val="5AC71F19"/>
    <w:rsid w:val="5ADC3C17"/>
    <w:rsid w:val="5B0E35E3"/>
    <w:rsid w:val="5B48305A"/>
    <w:rsid w:val="5BA00781"/>
    <w:rsid w:val="5BE54D4D"/>
    <w:rsid w:val="5BED775E"/>
    <w:rsid w:val="5C0F1DCA"/>
    <w:rsid w:val="5C2F0C39"/>
    <w:rsid w:val="5CAF7795"/>
    <w:rsid w:val="5CB00EB7"/>
    <w:rsid w:val="5D086F45"/>
    <w:rsid w:val="5D323FC2"/>
    <w:rsid w:val="5DE828D3"/>
    <w:rsid w:val="5E08551F"/>
    <w:rsid w:val="5E525F9E"/>
    <w:rsid w:val="5E6F08FE"/>
    <w:rsid w:val="5EBA2711"/>
    <w:rsid w:val="5F745E66"/>
    <w:rsid w:val="5FA171DD"/>
    <w:rsid w:val="5FD749AD"/>
    <w:rsid w:val="6040150D"/>
    <w:rsid w:val="60612EE6"/>
    <w:rsid w:val="60936B26"/>
    <w:rsid w:val="60C2740B"/>
    <w:rsid w:val="611A0FF5"/>
    <w:rsid w:val="61495849"/>
    <w:rsid w:val="615A19EE"/>
    <w:rsid w:val="61797ACD"/>
    <w:rsid w:val="61A60F09"/>
    <w:rsid w:val="61A919C3"/>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C95328"/>
    <w:rsid w:val="63DA61F3"/>
    <w:rsid w:val="64A5151D"/>
    <w:rsid w:val="64DA6254"/>
    <w:rsid w:val="652E5FF6"/>
    <w:rsid w:val="655C7097"/>
    <w:rsid w:val="6582360D"/>
    <w:rsid w:val="658A05B5"/>
    <w:rsid w:val="660576BF"/>
    <w:rsid w:val="66307F76"/>
    <w:rsid w:val="66A15B49"/>
    <w:rsid w:val="66F23DAD"/>
    <w:rsid w:val="675B4115"/>
    <w:rsid w:val="67AB0D31"/>
    <w:rsid w:val="68242759"/>
    <w:rsid w:val="68324E76"/>
    <w:rsid w:val="6832790E"/>
    <w:rsid w:val="684257ED"/>
    <w:rsid w:val="68672CFF"/>
    <w:rsid w:val="6873723D"/>
    <w:rsid w:val="68B64FF8"/>
    <w:rsid w:val="68BC0F70"/>
    <w:rsid w:val="68BC56C0"/>
    <w:rsid w:val="6A5437CA"/>
    <w:rsid w:val="6A8273F3"/>
    <w:rsid w:val="6A917936"/>
    <w:rsid w:val="6AC16985"/>
    <w:rsid w:val="6ACA3A8C"/>
    <w:rsid w:val="6AD14E1A"/>
    <w:rsid w:val="6AF23C66"/>
    <w:rsid w:val="6B013226"/>
    <w:rsid w:val="6B1A20D3"/>
    <w:rsid w:val="6B6B233A"/>
    <w:rsid w:val="6BC7335C"/>
    <w:rsid w:val="6BEC38B2"/>
    <w:rsid w:val="6C2076DB"/>
    <w:rsid w:val="6D67760E"/>
    <w:rsid w:val="6DAD31F1"/>
    <w:rsid w:val="6E4C2A0A"/>
    <w:rsid w:val="6E641B01"/>
    <w:rsid w:val="6E7D43D0"/>
    <w:rsid w:val="6EEC38DF"/>
    <w:rsid w:val="6F370F76"/>
    <w:rsid w:val="6F965839"/>
    <w:rsid w:val="6FB36D7A"/>
    <w:rsid w:val="6FE216A6"/>
    <w:rsid w:val="70266E22"/>
    <w:rsid w:val="709A7A5C"/>
    <w:rsid w:val="70AF0549"/>
    <w:rsid w:val="70D3575F"/>
    <w:rsid w:val="71302009"/>
    <w:rsid w:val="71387B02"/>
    <w:rsid w:val="717464FF"/>
    <w:rsid w:val="71BB65F3"/>
    <w:rsid w:val="71EF02C9"/>
    <w:rsid w:val="72EF679F"/>
    <w:rsid w:val="730B450D"/>
    <w:rsid w:val="732D35CE"/>
    <w:rsid w:val="7343262D"/>
    <w:rsid w:val="7343365E"/>
    <w:rsid w:val="740A20FF"/>
    <w:rsid w:val="742E4065"/>
    <w:rsid w:val="743838A1"/>
    <w:rsid w:val="74512B28"/>
    <w:rsid w:val="74836A59"/>
    <w:rsid w:val="74BB05BD"/>
    <w:rsid w:val="74DA512E"/>
    <w:rsid w:val="74F160B9"/>
    <w:rsid w:val="75E27AD0"/>
    <w:rsid w:val="76554C45"/>
    <w:rsid w:val="767C258A"/>
    <w:rsid w:val="76AA651F"/>
    <w:rsid w:val="76DD54BE"/>
    <w:rsid w:val="774226B2"/>
    <w:rsid w:val="774A1F82"/>
    <w:rsid w:val="777A6824"/>
    <w:rsid w:val="77943863"/>
    <w:rsid w:val="779E42D6"/>
    <w:rsid w:val="77CE623E"/>
    <w:rsid w:val="77D53A70"/>
    <w:rsid w:val="7800592B"/>
    <w:rsid w:val="786B4915"/>
    <w:rsid w:val="788F1AD5"/>
    <w:rsid w:val="793E0D61"/>
    <w:rsid w:val="795F1F28"/>
    <w:rsid w:val="796E7CD8"/>
    <w:rsid w:val="79711576"/>
    <w:rsid w:val="7A033FC5"/>
    <w:rsid w:val="7A245FAC"/>
    <w:rsid w:val="7A6B246A"/>
    <w:rsid w:val="7A892CDD"/>
    <w:rsid w:val="7AE5221C"/>
    <w:rsid w:val="7AED2E7F"/>
    <w:rsid w:val="7AFB559C"/>
    <w:rsid w:val="7B0270AF"/>
    <w:rsid w:val="7BE451AA"/>
    <w:rsid w:val="7C662EE9"/>
    <w:rsid w:val="7D2F59D0"/>
    <w:rsid w:val="7DA34BE9"/>
    <w:rsid w:val="7DCC321F"/>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2">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5">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6">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200" w:firstLineChars="200"/>
    </w:pPr>
    <w:rPr>
      <w:rFonts w:ascii="Times New Roman" w:hAnsi="Times New Roman" w:eastAsia="宋体" w:cs="Times New Roman"/>
      <w:sz w:val="21"/>
    </w:rPr>
  </w:style>
  <w:style w:type="paragraph" w:styleId="8">
    <w:name w:val="Body Text"/>
    <w:basedOn w:val="1"/>
    <w:autoRedefine/>
    <w:qFormat/>
    <w:uiPriority w:val="1"/>
    <w:rPr>
      <w:rFonts w:ascii="宋体" w:hAnsi="宋体" w:cs="宋体"/>
      <w:sz w:val="32"/>
      <w:szCs w:val="32"/>
      <w:lang w:val="zh-CN" w:bidi="zh-CN"/>
    </w:rPr>
  </w:style>
  <w:style w:type="paragraph" w:styleId="9">
    <w:name w:val="Body Text Indent"/>
    <w:basedOn w:val="1"/>
    <w:next w:val="10"/>
    <w:autoRedefine/>
    <w:qFormat/>
    <w:uiPriority w:val="0"/>
    <w:pPr>
      <w:ind w:firstLine="640" w:firstLineChars="200"/>
    </w:pPr>
    <w:rPr>
      <w:rFonts w:ascii="仿宋_GB2312" w:eastAsia="仿宋_GB2312" w:cs="Times New Roman"/>
    </w:rPr>
  </w:style>
  <w:style w:type="paragraph" w:styleId="10">
    <w:name w:val="footer"/>
    <w:basedOn w:val="1"/>
    <w:next w:val="1"/>
    <w:autoRedefine/>
    <w:qFormat/>
    <w:uiPriority w:val="0"/>
    <w:pPr>
      <w:tabs>
        <w:tab w:val="center" w:pos="4153"/>
        <w:tab w:val="right" w:pos="8306"/>
      </w:tabs>
      <w:snapToGrid w:val="0"/>
      <w:jc w:val="left"/>
    </w:pPr>
    <w:rPr>
      <w:sz w:val="18"/>
    </w:rPr>
  </w:style>
  <w:style w:type="paragraph" w:styleId="11">
    <w:name w:val="List 2"/>
    <w:basedOn w:val="1"/>
    <w:autoRedefine/>
    <w:unhideWhenUsed/>
    <w:qFormat/>
    <w:uiPriority w:val="99"/>
    <w:pPr>
      <w:ind w:left="100" w:leftChars="200" w:hanging="200" w:hangingChars="200"/>
    </w:pPr>
  </w:style>
  <w:style w:type="paragraph" w:styleId="12">
    <w:name w:val="toc 3"/>
    <w:basedOn w:val="1"/>
    <w:next w:val="1"/>
    <w:autoRedefine/>
    <w:qFormat/>
    <w:uiPriority w:val="0"/>
    <w:pPr>
      <w:ind w:left="840" w:leftChars="400"/>
    </w:pPr>
  </w:style>
  <w:style w:type="paragraph" w:styleId="13">
    <w:name w:val="Date"/>
    <w:basedOn w:val="1"/>
    <w:next w:val="1"/>
    <w:autoRedefine/>
    <w:unhideWhenUsed/>
    <w:qFormat/>
    <w:uiPriority w:val="99"/>
    <w:pPr>
      <w:spacing w:before="100" w:beforeAutospacing="1" w:after="100" w:afterAutospacing="1"/>
      <w:ind w:left="2500" w:leftChars="2500"/>
    </w:p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19">
    <w:name w:val="Title"/>
    <w:basedOn w:val="1"/>
    <w:next w:val="1"/>
    <w:autoRedefine/>
    <w:qFormat/>
    <w:uiPriority w:val="99"/>
    <w:pPr>
      <w:spacing w:before="240" w:after="60"/>
      <w:jc w:val="center"/>
      <w:outlineLvl w:val="0"/>
    </w:pPr>
    <w:rPr>
      <w:rFonts w:ascii="Cambria" w:hAnsi="Cambria" w:eastAsia="宋体"/>
      <w:b/>
      <w:bCs/>
    </w:rPr>
  </w:style>
  <w:style w:type="paragraph" w:styleId="20">
    <w:name w:val="Body Text First Indent 2"/>
    <w:basedOn w:val="1"/>
    <w:next w:val="1"/>
    <w:autoRedefine/>
    <w:qFormat/>
    <w:uiPriority w:val="0"/>
    <w:pPr>
      <w:ind w:firstLine="0" w:firstLineChars="0"/>
    </w:pPr>
    <w:rPr>
      <w:rFonts w:ascii="仿宋_GB2312" w:hAnsi="仿宋_GB2312" w:eastAsia="仿宋_GB2312"/>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2"/>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21458</Words>
  <Characters>22430</Characters>
  <Lines>0</Lines>
  <Paragraphs>0</Paragraphs>
  <TotalTime>0</TotalTime>
  <ScaleCrop>false</ScaleCrop>
  <LinksUpToDate>false</LinksUpToDate>
  <CharactersWithSpaces>22924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2024-01-29T02:19:32Z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51AF2AF165C54624BA36C4AAF88693AD_13</vt:lpwstr>
  </property>
</Properties>
</file>