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同心县丁塘镇</w:t>
      </w:r>
      <w:r>
        <w:rPr>
          <w:rFonts w:hint="default" w:ascii="黑体" w:hAnsi="黑体" w:eastAsia="黑体" w:cs="Times New Roman"/>
          <w:kern w:val="0"/>
          <w:sz w:val="44"/>
          <w:szCs w:val="44"/>
          <w:lang w:val="en-US" w:eastAsia="zh-CN"/>
        </w:rPr>
        <w:t>2022</w:t>
      </w:r>
      <w:r>
        <w:rPr>
          <w:rFonts w:hint="eastAsia" w:ascii="黑体" w:hAnsi="黑体" w:eastAsia="黑体" w:cs="Times New Roman"/>
          <w:kern w:val="0"/>
          <w:sz w:val="44"/>
          <w:szCs w:val="44"/>
          <w:lang w:val="en-US" w:eastAsia="zh-CN"/>
        </w:rPr>
        <w:t>年高质量美丽宜居村庄</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奖补资金项目绩效评价报告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60" w:firstLineChars="800"/>
        <w:jc w:val="both"/>
        <w:textAlignment w:val="auto"/>
        <w:rPr>
          <w:rFonts w:hint="eastAsia" w:ascii="楷体" w:hAnsi="楷体" w:eastAsia="楷体" w:cs="楷体"/>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23</w:t>
      </w:r>
      <w:r>
        <w:rPr>
          <w:rFonts w:hint="default" w:ascii="Times New Roman" w:hAnsi="Times New Roman" w:eastAsia="方正仿宋_GBK" w:cs="Times New Roman"/>
          <w:sz w:val="30"/>
          <w:szCs w:val="30"/>
          <w:lang w:val="en-US" w:eastAsia="zh-CN"/>
        </w:rPr>
        <w:t>〕</w:t>
      </w:r>
      <w:r>
        <w:rPr>
          <w:rFonts w:hint="default" w:ascii="Times New Roman" w:hAnsi="Times New Roman" w:eastAsia="楷体" w:cs="Times New Roman"/>
          <w:b w:val="0"/>
          <w:bCs w:val="0"/>
          <w:i w:val="0"/>
          <w:iCs w:val="0"/>
          <w:sz w:val="32"/>
          <w:szCs w:val="32"/>
          <w:highlight w:val="none"/>
        </w:rPr>
        <w:t>第</w:t>
      </w:r>
      <w:r>
        <w:rPr>
          <w:rFonts w:hint="default" w:ascii="Times New Roman" w:hAnsi="Times New Roman" w:eastAsia="楷体" w:cs="Times New Roman"/>
          <w:b w:val="0"/>
          <w:bCs w:val="0"/>
          <w:i w:val="0"/>
          <w:iCs w:val="0"/>
          <w:sz w:val="32"/>
          <w:szCs w:val="32"/>
          <w:highlight w:val="none"/>
          <w:lang w:val="en-US" w:eastAsia="zh-CN"/>
        </w:rPr>
        <w:t>026</w:t>
      </w:r>
      <w:r>
        <w:rPr>
          <w:rFonts w:hint="default" w:ascii="Times New Roman" w:hAnsi="Times New Roman" w:eastAsia="楷体" w:cs="Times New Roman"/>
          <w:b w:val="0"/>
          <w:bCs w:val="0"/>
          <w:i w:val="0"/>
          <w:iCs w:val="0"/>
          <w:sz w:val="32"/>
          <w:szCs w:val="32"/>
          <w:highlight w:val="none"/>
        </w:rPr>
        <w:t>号</w:t>
      </w:r>
    </w:p>
    <w:p>
      <w:pPr>
        <w:pStyle w:val="2"/>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2"/>
        <w:rPr>
          <w:rFonts w:hint="eastAsia"/>
          <w:lang w:val="en-US" w:eastAsia="zh-CN"/>
        </w:rPr>
      </w:pPr>
    </w:p>
    <w:p>
      <w:pPr>
        <w:pStyle w:val="2"/>
        <w:rPr>
          <w:rFonts w:hint="eastAsia" w:ascii="黑体" w:hAnsi="黑体" w:eastAsia="黑体" w:cs="黑体"/>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bookmarkStart w:id="177" w:name="_GoBack"/>
      <w:bookmarkEnd w:id="177"/>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default"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 价 日 期：二〇二三年十二月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简体" w:hAnsi="方正小标宋简体" w:eastAsia="方正小标宋简体" w:cs="方正小标宋简体"/>
          <w:b w:val="0"/>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同心县丁塘镇2022年高质量美丽宜居村庄</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奖补资金项目绩效评价报告</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23</w:t>
      </w:r>
      <w:r>
        <w:rPr>
          <w:rFonts w:hint="default" w:ascii="Times New Roman" w:hAnsi="Times New Roman" w:eastAsia="方正仿宋_GBK" w:cs="Times New Roman"/>
          <w:sz w:val="30"/>
          <w:szCs w:val="30"/>
          <w:lang w:val="en-US" w:eastAsia="zh-CN"/>
        </w:rPr>
        <w:t>〕</w:t>
      </w:r>
      <w:r>
        <w:rPr>
          <w:rFonts w:hint="default" w:ascii="Times New Roman" w:hAnsi="Times New Roman" w:eastAsia="楷体" w:cs="Times New Roman"/>
          <w:color w:val="000000"/>
          <w:kern w:val="0"/>
          <w:sz w:val="31"/>
          <w:szCs w:val="31"/>
          <w:lang w:val="en-US" w:eastAsia="zh-CN" w:bidi="ar"/>
        </w:rPr>
        <w:t>第026号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38"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867"/>
        </w:tabs>
        <w:ind w:left="0" w:leftChars="0" w:firstLine="0" w:firstLineChars="0"/>
        <w:jc w:val="left"/>
        <w:rPr>
          <w:rFonts w:hint="eastAsia" w:ascii="方正小标宋_GBK" w:hAnsi="方正小标宋_GBK" w:eastAsia="方正小标宋_GBK" w:cs="方正小标宋_GBK"/>
          <w:color w:val="000000"/>
          <w:kern w:val="0"/>
          <w:sz w:val="31"/>
          <w:szCs w:val="31"/>
          <w:lang w:val="en-US" w:eastAsia="zh-CN" w:bidi="ar"/>
        </w:rPr>
      </w:pPr>
    </w:p>
    <w:p>
      <w:pPr>
        <w:pStyle w:val="5"/>
        <w:rPr>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ind w:firstLine="1120" w:firstLineChars="400"/>
        <w:jc w:val="left"/>
        <w:textAlignment w:val="auto"/>
        <w:rPr>
          <w:rFonts w:hint="default"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评价对象名称：</w:t>
      </w:r>
      <w:r>
        <w:rPr>
          <w:rFonts w:hint="eastAsia" w:ascii="方正小标宋_GBK" w:hAnsi="方正小标宋_GBK" w:eastAsia="方正小标宋_GBK" w:cs="方正小标宋_GBK"/>
          <w:color w:val="1E1C11"/>
          <w:spacing w:val="0"/>
          <w:kern w:val="0"/>
          <w:sz w:val="28"/>
          <w:szCs w:val="28"/>
          <w:lang w:val="en-US" w:eastAsia="zh-CN" w:bidi="ar"/>
        </w:rPr>
        <w:t>同心县丁塘镇人民政府</w:t>
      </w:r>
    </w:p>
    <w:p>
      <w:pPr>
        <w:keepNext w:val="0"/>
        <w:keepLines w:val="0"/>
        <w:pageBreakBefore w:val="0"/>
        <w:widowControl/>
        <w:suppressLineNumbers w:val="0"/>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keepNext w:val="0"/>
        <w:keepLines w:val="0"/>
        <w:pageBreakBefore w:val="0"/>
        <w:widowControl/>
        <w:suppressLineNumbers w:val="0"/>
        <w:kinsoku/>
        <w:wordWrap/>
        <w:overflowPunct w:val="0"/>
        <w:topLinePunct w:val="0"/>
        <w:autoSpaceDE/>
        <w:autoSpaceDN/>
        <w:bidi w:val="0"/>
        <w:adjustRightInd/>
        <w:snapToGrid/>
        <w:ind w:left="1906" w:leftChars="348" w:hanging="792" w:hangingChars="283"/>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评价报告时间：二〇二三年十二月</w:t>
      </w:r>
    </w:p>
    <w:p>
      <w:pPr>
        <w:rPr>
          <w:rFonts w:hint="eastAsia"/>
          <w:lang w:val="en-US" w:eastAsia="zh-CN"/>
        </w:rPr>
      </w:pPr>
    </w:p>
    <w:p>
      <w:pPr>
        <w:pStyle w:val="2"/>
        <w:rPr>
          <w:rFonts w:hint="eastAsia"/>
        </w:rPr>
        <w:sectPr>
          <w:headerReference r:id="rId5" w:type="default"/>
          <w:footerReference r:id="rId6" w:type="default"/>
          <w:pgSz w:w="11907" w:h="16840"/>
          <w:pgMar w:top="2098" w:right="1531" w:bottom="2098" w:left="1531"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5918"/>
      <w:bookmarkStart w:id="1" w:name="_Toc17352"/>
      <w:r>
        <w:rPr>
          <w:rFonts w:hint="eastAsia" w:asciiTheme="majorEastAsia" w:hAnsiTheme="majorEastAsia" w:eastAsiaTheme="majorEastAsia" w:cstheme="majorEastAsia"/>
          <w:b/>
          <w:bCs/>
          <w:sz w:val="30"/>
          <w:szCs w:val="30"/>
          <w:lang w:val="en-US" w:eastAsia="zh-CN"/>
        </w:rPr>
        <w:t>一、项目背景</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 w:name="_Toc18303"/>
      <w:bookmarkStart w:id="3" w:name="_Toc13114"/>
      <w:bookmarkStart w:id="4" w:name="_Toc32242"/>
      <w:r>
        <w:rPr>
          <w:rFonts w:hint="eastAsia" w:ascii="Times New Roman" w:hAnsi="Times New Roman" w:eastAsia="方正仿宋_GBK" w:cs="Times New Roman"/>
          <w:color w:val="auto"/>
          <w:kern w:val="2"/>
          <w:sz w:val="30"/>
          <w:szCs w:val="30"/>
          <w:highlight w:val="none"/>
          <w:lang w:val="en-US" w:eastAsia="zh-CN" w:bidi="ar-SA"/>
        </w:rPr>
        <w:t>以习近平新时代中国特色社会主义思想为指导，坚持把乡村建设摆在社会主义现代化建设的重要位置，顺应农民群众对美好生活的向往，把美丽宜居村庄建设与产业发展、农民增收和民生改善紧密结合起来，按照乡村振兴的工作要求，全面建设宜居、宜业、宜游的美丽乡村，提高乡村居民生活品质，促进生态文明，提升群众幸福感、获得感。</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全面开展丁塘镇美丽小城镇建设，进一步改善城镇面貌，加强城镇基础设施和公共服务设施的建设，完善小城镇功能，提升城镇整体形象，着力将丁塘镇打造成为集环境优美、设施完善、功能齐备、生活便利、保障为一体的美丽宜居小城镇。</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丁塘镇坚持乡镇主抓、村为单位，因地制宜开展人居环境整治工作。清理镇村垃圾、评选最美庭院、发扬良好生活习惯，农户庭院整洁美观，村民生态文明意识不断增强，逐步健全村庄环境长效管护机制，村庄“颜值”不断刷新</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二、项目预算资金</w:t>
      </w:r>
      <w:bookmarkEnd w:id="2"/>
      <w:bookmarkEnd w:id="3"/>
      <w:bookmarkEnd w:id="4"/>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5" w:name="_Toc30853"/>
      <w:bookmarkStart w:id="6" w:name="_Toc3837"/>
      <w:r>
        <w:rPr>
          <w:rFonts w:hint="eastAsia" w:ascii="Times New Roman" w:hAnsi="Times New Roman" w:eastAsia="方正仿宋_GBK" w:cs="Times New Roman"/>
          <w:color w:val="auto"/>
          <w:kern w:val="2"/>
          <w:sz w:val="30"/>
          <w:szCs w:val="30"/>
          <w:highlight w:val="none"/>
          <w:lang w:val="en-US" w:eastAsia="zh-CN" w:bidi="ar-SA"/>
        </w:rPr>
        <w:t>项目概算总投资 650.94 万元，其中：工程费用 604.77 万元，其他费用 27.21 万元，预备费 18.96 万元。</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截至评价时点，实际到位资金200.00万元，实际支出200.00万元。预算执行率100%，专项保障本项目的建设实施。</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92" w:firstLine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评价结论</w:t>
      </w:r>
      <w:bookmarkEnd w:id="5"/>
      <w:bookmarkEnd w:id="6"/>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eastAsia" w:ascii="Times New Roman" w:hAnsi="Times New Roman" w:eastAsia="方正仿宋_GBK" w:cs="Times New Roman"/>
          <w:color w:val="auto"/>
          <w:kern w:val="2"/>
          <w:sz w:val="30"/>
          <w:szCs w:val="30"/>
          <w:highlight w:val="none"/>
          <w:lang w:val="en-US" w:eastAsia="zh-CN" w:bidi="ar-SA"/>
        </w:rPr>
        <w:t xml:space="preserve">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通过资料收集、现场访谈和问卷调查获取的数据，评价组对</w:t>
      </w:r>
      <w:r>
        <w:rPr>
          <w:rFonts w:hint="eastAsia" w:ascii="Times New Roman" w:hAnsi="Times New Roman" w:eastAsia="方正仿宋_GBK" w:cs="Times New Roman"/>
          <w:color w:val="auto"/>
          <w:kern w:val="2"/>
          <w:sz w:val="30"/>
          <w:szCs w:val="30"/>
          <w:highlight w:val="none"/>
          <w:lang w:val="en-US" w:eastAsia="zh-CN" w:bidi="ar-SA"/>
        </w:rPr>
        <w:t>同心县丁塘镇2022年高质量美丽宜居村庄奖补资金项目</w:t>
      </w:r>
      <w:r>
        <w:rPr>
          <w:rFonts w:hint="default" w:ascii="Times New Roman" w:hAnsi="Times New Roman" w:eastAsia="方正仿宋_GBK" w:cs="Times New Roman"/>
          <w:color w:val="auto"/>
          <w:kern w:val="2"/>
          <w:sz w:val="30"/>
          <w:szCs w:val="30"/>
          <w:highlight w:val="none"/>
          <w:lang w:val="en-US" w:eastAsia="zh-CN" w:bidi="ar-SA"/>
        </w:rPr>
        <w:t>进行了独立客观公正的评价，最终得分为</w:t>
      </w:r>
      <w:r>
        <w:rPr>
          <w:rFonts w:hint="default" w:ascii="Times New Roman" w:hAnsi="Times New Roman" w:eastAsia="方正仿宋_GBK" w:cs="Times New Roman"/>
          <w:b/>
          <w:bCs/>
          <w:color w:val="auto"/>
          <w:kern w:val="2"/>
          <w:sz w:val="30"/>
          <w:szCs w:val="30"/>
          <w:highlight w:val="none"/>
          <w:lang w:val="en-US" w:eastAsia="zh-CN" w:bidi="ar-SA"/>
        </w:rPr>
        <w:t>“</w:t>
      </w:r>
      <w:r>
        <w:rPr>
          <w:rFonts w:hint="eastAsia" w:ascii="Times New Roman" w:hAnsi="Times New Roman" w:eastAsia="方正仿宋_GBK" w:cs="Times New Roman"/>
          <w:b/>
          <w:bCs/>
          <w:color w:val="auto"/>
          <w:kern w:val="2"/>
          <w:sz w:val="30"/>
          <w:szCs w:val="30"/>
          <w:highlight w:val="none"/>
          <w:lang w:val="en-US" w:eastAsia="zh-CN" w:bidi="ar-SA"/>
        </w:rPr>
        <w:t>89.00</w:t>
      </w:r>
      <w:r>
        <w:rPr>
          <w:rFonts w:hint="default" w:ascii="Times New Roman" w:hAnsi="Times New Roman" w:eastAsia="方正仿宋_GBK" w:cs="Times New Roman"/>
          <w:b/>
          <w:bCs/>
          <w:color w:val="auto"/>
          <w:kern w:val="2"/>
          <w:sz w:val="30"/>
          <w:szCs w:val="30"/>
          <w:highlight w:val="none"/>
          <w:lang w:val="en-US" w:eastAsia="zh-CN" w:bidi="ar-SA"/>
        </w:rPr>
        <w:t>分”，评价结果为“</w:t>
      </w:r>
      <w:r>
        <w:rPr>
          <w:rFonts w:hint="eastAsia" w:ascii="Times New Roman" w:hAnsi="Times New Roman" w:eastAsia="方正仿宋_GBK" w:cs="Times New Roman"/>
          <w:b/>
          <w:bCs/>
          <w:color w:val="auto"/>
          <w:kern w:val="2"/>
          <w:sz w:val="30"/>
          <w:szCs w:val="30"/>
          <w:highlight w:val="none"/>
          <w:lang w:val="en-US" w:eastAsia="zh-CN" w:bidi="ar-SA"/>
        </w:rPr>
        <w:t>良</w:t>
      </w:r>
      <w:r>
        <w:rPr>
          <w:rFonts w:hint="default"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w:t>
      </w:r>
      <w:bookmarkStart w:id="7" w:name="_Toc21407"/>
      <w:bookmarkStart w:id="8" w:name="_Toc16100"/>
      <w:bookmarkStart w:id="9" w:name="_Toc14268"/>
      <w:bookmarkStart w:id="10" w:name="_Toc12376"/>
      <w:bookmarkStart w:id="11" w:name="_Toc1008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四、主要经验</w:t>
      </w:r>
      <w:bookmarkEnd w:id="7"/>
      <w:bookmarkEnd w:id="8"/>
      <w:bookmarkEnd w:id="9"/>
      <w:bookmarkEnd w:id="10"/>
      <w:bookmarkEnd w:id="11"/>
      <w:bookmarkStart w:id="12" w:name="_Toc29010"/>
      <w:bookmarkStart w:id="13" w:name="_Toc3362"/>
      <w:bookmarkStart w:id="14" w:name="_Toc5586"/>
      <w:r>
        <w:rPr>
          <w:rFonts w:hint="eastAsia" w:ascii="方正正黑_GBK" w:hAnsi="方正正黑_GBK" w:eastAsia="方正正黑_GBK" w:cs="方正正黑_GBK"/>
          <w:b/>
          <w:bCs/>
          <w:sz w:val="30"/>
          <w:szCs w:val="30"/>
          <w:lang w:val="en-US" w:eastAsia="zh-CN"/>
        </w:rPr>
        <w:t>、存在问题及建议</w:t>
      </w:r>
    </w:p>
    <w:bookmarkEnd w:id="12"/>
    <w:bookmarkEnd w:id="13"/>
    <w:bookmarkEnd w:id="14"/>
    <w:p>
      <w:pPr>
        <w:pStyle w:val="4"/>
        <w:ind w:firstLine="562"/>
        <w:rPr>
          <w:rFonts w:ascii="方正楷体_GBK" w:hAnsi="方正楷体_GBK" w:eastAsia="方正楷体_GBK" w:cs="方正楷体_GBK"/>
          <w:b/>
          <w:bCs w:val="0"/>
          <w:sz w:val="32"/>
          <w:szCs w:val="32"/>
        </w:rPr>
      </w:pPr>
      <w:bookmarkStart w:id="15" w:name="_Toc5249"/>
      <w:bookmarkStart w:id="16" w:name="_Toc30273"/>
      <w:r>
        <w:rPr>
          <w:rFonts w:hint="eastAsia" w:ascii="方正楷体_GBK" w:hAnsi="方正楷体_GBK" w:eastAsia="方正楷体_GBK" w:cs="方正楷体_GBK"/>
          <w:b/>
          <w:bCs w:val="0"/>
          <w:sz w:val="32"/>
          <w:szCs w:val="32"/>
        </w:rPr>
        <w:t>（一）经验做法</w:t>
      </w:r>
      <w:bookmarkEnd w:id="15"/>
      <w:bookmarkEnd w:id="16"/>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0"/>
          <w:sz w:val="30"/>
          <w:szCs w:val="30"/>
          <w:lang w:val="en-US" w:eastAsia="zh-CN" w:bidi="zh-CN"/>
        </w:rPr>
        <w:t>本</w:t>
      </w:r>
      <w:r>
        <w:rPr>
          <w:rFonts w:hint="default" w:ascii="Times New Roman" w:hAnsi="Times New Roman" w:eastAsia="方正仿宋_GBK" w:cs="Times New Roman"/>
          <w:color w:val="auto"/>
          <w:kern w:val="2"/>
          <w:sz w:val="30"/>
          <w:szCs w:val="30"/>
          <w:highlight w:val="none"/>
          <w:lang w:val="en-US" w:eastAsia="zh-CN" w:bidi="ar-SA"/>
        </w:rPr>
        <w:t>次绩效评价，通过现场资料收集、实地调查和现场访谈，总结了</w:t>
      </w:r>
      <w:r>
        <w:rPr>
          <w:rFonts w:hint="eastAsia" w:ascii="Times New Roman" w:hAnsi="Times New Roman" w:eastAsia="方正仿宋_GBK" w:cs="Times New Roman"/>
          <w:color w:val="auto"/>
          <w:kern w:val="2"/>
          <w:sz w:val="30"/>
          <w:szCs w:val="30"/>
          <w:highlight w:val="none"/>
          <w:lang w:val="en-US" w:eastAsia="zh-CN" w:bidi="ar-SA"/>
        </w:rPr>
        <w:t>同心县丁塘镇2022年高质量美丽宜居村庄奖补资金项目</w:t>
      </w:r>
      <w:r>
        <w:rPr>
          <w:rFonts w:hint="default" w:ascii="Times New Roman" w:hAnsi="Times New Roman" w:eastAsia="方正仿宋_GBK" w:cs="Times New Roman"/>
          <w:color w:val="auto"/>
          <w:kern w:val="2"/>
          <w:sz w:val="30"/>
          <w:szCs w:val="30"/>
          <w:highlight w:val="none"/>
          <w:lang w:val="en-US" w:eastAsia="zh-CN" w:bidi="ar-SA"/>
        </w:rPr>
        <w:t>实施方面取得了一定的成就</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经验和做法主要有以下几个方面：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一是</w:t>
      </w:r>
      <w:r>
        <w:rPr>
          <w:rFonts w:hint="eastAsia" w:ascii="Times New Roman" w:hAnsi="Times New Roman" w:eastAsia="方正仿宋_GBK" w:cs="Times New Roman"/>
          <w:color w:val="auto"/>
          <w:kern w:val="2"/>
          <w:sz w:val="30"/>
          <w:szCs w:val="30"/>
          <w:highlight w:val="none"/>
          <w:lang w:val="en-US" w:eastAsia="zh-CN" w:bidi="ar-SA"/>
        </w:rPr>
        <w:t>项目建设单位严格执行国家基本建设程序，建立了“政府监督、项目法人负责、社会监督、企业保证”的质量管理体系，推行“四制”管理。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color w:val="auto"/>
          <w:kern w:val="2"/>
          <w:sz w:val="30"/>
          <w:szCs w:val="30"/>
          <w:highlight w:val="none"/>
          <w:lang w:val="en-US" w:eastAsia="zh-CN" w:bidi="ar-SA"/>
        </w:rPr>
        <w:t>工程施工中各参建单位按照工程建设管理要求进行现场管理，在施工现场成立了机构，分别负责技术、施工管理、施工协调、质量监督、财务管理，单位人员到位职责明确、措施到位、质量控制体系健全；施工单位严把材料质量关，坚决杜绝不合格材料进场，严格执行“三检制”要求，保证了各项工作按施工规范进行施工，工程质量得到了有效保证。</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eastAsia" w:ascii="Times New Roman" w:hAnsi="Times New Roman" w:eastAsia="方正仿宋_GBK" w:cs="Times New Roman"/>
          <w:b w:val="0"/>
          <w:kern w:val="2"/>
          <w:sz w:val="30"/>
          <w:szCs w:val="30"/>
          <w:lang w:val="en-US" w:eastAsia="zh-CN" w:bidi="zh-CN"/>
        </w:rPr>
      </w:pPr>
      <w:r>
        <w:rPr>
          <w:rFonts w:hint="eastAsia"/>
          <w:b/>
          <w:bCs/>
          <w:lang w:val="en-US" w:eastAsia="zh-CN"/>
        </w:rPr>
        <w:t>三是</w:t>
      </w:r>
      <w:r>
        <w:rPr>
          <w:rFonts w:hint="eastAsia" w:ascii="Times New Roman" w:hAnsi="Times New Roman" w:eastAsia="方正仿宋_GBK" w:cs="Times New Roman"/>
          <w:b w:val="0"/>
          <w:kern w:val="2"/>
          <w:sz w:val="30"/>
          <w:szCs w:val="30"/>
          <w:lang w:val="en-US" w:eastAsia="zh-CN" w:bidi="zh-CN"/>
        </w:rPr>
        <w:t>施工单位成立了工程项目部，建立了质量保证体系，明确了质量管理机构和人员职责，建立了有关规章制度和管理办法。设计单位及时进行了设计技术交底和提交了有关设计文件。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四是</w:t>
      </w:r>
      <w:r>
        <w:rPr>
          <w:rFonts w:hint="eastAsia" w:ascii="Times New Roman" w:hAnsi="Times New Roman" w:eastAsia="方正仿宋_GBK" w:cs="Times New Roman"/>
          <w:color w:val="auto"/>
          <w:kern w:val="2"/>
          <w:sz w:val="30"/>
          <w:szCs w:val="30"/>
          <w:highlight w:val="none"/>
          <w:lang w:val="en-US" w:eastAsia="zh-CN" w:bidi="ar-SA"/>
        </w:rPr>
        <w:t>监理单位实施了现场监理并对重点部位、关键工序实行了旁站监理，严把审核关，工程质量得到有效控制，保证了各项工作的相衔接。</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7" w:name="_Toc23618"/>
      <w:r>
        <w:rPr>
          <w:rFonts w:hint="eastAsia" w:ascii="方正楷体_GBK" w:hAnsi="方正楷体_GBK" w:eastAsia="方正楷体_GBK" w:cs="方正楷体_GBK"/>
          <w:b/>
          <w:bCs w:val="0"/>
          <w:sz w:val="32"/>
          <w:szCs w:val="32"/>
        </w:rPr>
        <w:t>（二）存在的问题</w:t>
      </w:r>
      <w:bookmarkEnd w:id="17"/>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1.绩效目标申报表的填报规范性不足。</w:t>
      </w:r>
    </w:p>
    <w:p>
      <w:pPr>
        <w:keepNext w:val="0"/>
        <w:keepLines w:val="0"/>
        <w:pageBreakBefore w:val="0"/>
        <w:widowControl/>
        <w:suppressLineNumbers w:val="0"/>
        <w:kinsoku/>
        <w:wordWrap/>
        <w:overflowPunct w:val="0"/>
        <w:topLinePunct w:val="0"/>
        <w:autoSpaceDE/>
        <w:autoSpaceDN/>
        <w:bidi w:val="0"/>
        <w:adjustRightInd/>
        <w:snapToGrid/>
        <w:jc w:val="left"/>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 xml:space="preserve">绩效目标申报表总体目标设定有绩无效，绩效指标细化、量化不足，效果指标的设定较为宏观，项目执行内容、总体目标、具体指标难以衔接。 </w:t>
      </w:r>
    </w:p>
    <w:p>
      <w:pPr>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项目施工合同中签署仍引用《合同法》而非《民法典》，项目合同签署有待进一步规范；</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项目竣工验收报告未签署完整日期；三是项目竣工验收报告中开工时间和工程报建时间与中标通知书时间、施工合同时间有出入。</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3.工程结算、财务决算相对滞后。</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在项目完工后，工程结算、竣工决算及时办理，将制约后续的资产移交和产权登记工作，不利于政府资产规范管理，而项目资金沉淀在基本建设账户上也不符合国家“盘活存量、用好增量”的财政政策，不符合《基本建设项目工程财务决算管理暂行办法》 第二条 “基本建设项目完工可投入使用或者试运行合格后，应当在3 个月内编报竣工财务决算，特殊情况确需延长的，中小型项目不得超过 2 个月，大型项目不得超过 6 个月”的规定。</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8" w:name="_Toc32496"/>
      <w:r>
        <w:rPr>
          <w:rFonts w:hint="eastAsia" w:ascii="方正楷体_GBK" w:hAnsi="方正楷体_GBK" w:eastAsia="方正楷体_GBK" w:cs="方正楷体_GBK"/>
          <w:color w:val="333333"/>
          <w:sz w:val="30"/>
          <w:szCs w:val="30"/>
          <w:shd w:val="clear" w:fill="FFFFFF"/>
          <w:lang w:val="en-US" w:eastAsia="zh-CN" w:bidi="zh-CN"/>
        </w:rPr>
        <w:t>（三）建议</w:t>
      </w:r>
      <w:bookmarkEnd w:id="18"/>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规范、完整的填报绩效目标申报表，细化、量化绩效指标。增强绩效指标设置的可行性和可考量性，合理设定绩效目标，将预算申报、绩效目标设定按照各项目内容在项目前期进行申报、设定，为项目决策和预算决策提供有力支撑。</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2.健全项目管理机制，规范项目管理。</w:t>
      </w:r>
    </w:p>
    <w:p>
      <w:pPr>
        <w:keepNext w:val="0"/>
        <w:keepLines w:val="0"/>
        <w:pageBreakBefore w:val="0"/>
        <w:widowControl w:val="0"/>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方正仿宋_GBK" w:cs="Times New Roman"/>
          <w:color w:val="000000"/>
          <w:kern w:val="0"/>
          <w:sz w:val="30"/>
          <w:szCs w:val="30"/>
          <w:lang w:val="en-US" w:eastAsia="zh-CN" w:bidi="ar"/>
        </w:rPr>
      </w:pPr>
      <w:r>
        <w:rPr>
          <w:rFonts w:hint="eastAsia" w:cs="仿宋"/>
          <w:b/>
          <w:bCs/>
          <w:color w:val="000000" w:themeColor="text1"/>
          <w:kern w:val="0"/>
          <w:sz w:val="32"/>
          <w:szCs w:val="32"/>
          <w:lang w:val="en-US" w:eastAsia="zh-CN" w:bidi="ar-SA"/>
          <w14:textFill>
            <w14:solidFill>
              <w14:schemeClr w14:val="tx1"/>
            </w14:solidFill>
          </w14:textFill>
        </w:rPr>
        <w:t>一是</w:t>
      </w:r>
      <w:r>
        <w:rPr>
          <w:rFonts w:hint="eastAsia" w:ascii="方正仿宋_GBK" w:hAnsi="方正仿宋_GBK" w:eastAsia="方正仿宋_GBK" w:cs="方正仿宋_GBK"/>
          <w:color w:val="000000"/>
          <w:kern w:val="0"/>
          <w:sz w:val="30"/>
          <w:szCs w:val="30"/>
          <w:lang w:val="en-US" w:eastAsia="zh-CN" w:bidi="ar"/>
        </w:rPr>
        <w:t>严格规</w:t>
      </w:r>
      <w:r>
        <w:rPr>
          <w:rFonts w:hint="default" w:ascii="Times New Roman" w:hAnsi="Times New Roman" w:eastAsia="方正仿宋_GBK" w:cs="Times New Roman"/>
          <w:color w:val="000000"/>
          <w:kern w:val="0"/>
          <w:sz w:val="30"/>
          <w:szCs w:val="30"/>
          <w:lang w:val="en-US" w:eastAsia="zh-CN" w:bidi="ar"/>
        </w:rPr>
        <w:t>范合同签署。《民法典》自2021年1月1日起施行，原《合同法》失效，关于合同的规定适用民法典，不再适用合同法。合同文书在签署完毕后，应严谨审阅，杜绝和规避出现错误</w:t>
      </w:r>
      <w:bookmarkStart w:id="19" w:name="_Toc828"/>
      <w:r>
        <w:rPr>
          <w:rFonts w:hint="eastAsia" w:ascii="方正仿宋_GBK" w:hAnsi="方正仿宋_GBK" w:eastAsia="方正仿宋_GBK" w:cs="方正仿宋_GBK"/>
          <w:color w:val="000000"/>
          <w:kern w:val="0"/>
          <w:sz w:val="30"/>
          <w:szCs w:val="30"/>
          <w:lang w:val="en-US" w:eastAsia="zh-CN" w:bidi="ar"/>
        </w:rPr>
        <w:t>；</w:t>
      </w: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二是</w:t>
      </w:r>
      <w:r>
        <w:rPr>
          <w:rFonts w:hint="eastAsia" w:ascii="方正仿宋_GBK" w:hAnsi="方正仿宋_GBK" w:eastAsia="方正仿宋_GBK" w:cs="方正仿宋_GBK"/>
          <w:color w:val="000000"/>
          <w:kern w:val="0"/>
          <w:sz w:val="30"/>
          <w:szCs w:val="30"/>
          <w:lang w:val="en-US" w:eastAsia="zh-CN" w:bidi="ar"/>
        </w:rPr>
        <w:t>建立健全项目实施方案、招投标资料、项目合同、项目实施情况、资金使用情况、项目实施结果及项目竣工验收报告等档案资料，妥善保存并加强保管</w:t>
      </w:r>
      <w:bookmarkEnd w:id="19"/>
      <w:r>
        <w:rPr>
          <w:rFonts w:hint="eastAsia" w:cs="仿宋"/>
          <w:b w:val="0"/>
          <w:bCs w:val="0"/>
          <w:color w:val="000000" w:themeColor="text1"/>
          <w:kern w:val="0"/>
          <w:sz w:val="32"/>
          <w:szCs w:val="32"/>
          <w:lang w:val="en-US" w:eastAsia="zh-CN" w:bidi="ar-SA"/>
          <w14:textFill>
            <w14:solidFill>
              <w14:schemeClr w14:val="tx1"/>
            </w14:solidFill>
          </w14:textFill>
        </w:rPr>
        <w:t>；</w:t>
      </w:r>
      <w:r>
        <w:rPr>
          <w:rFonts w:hint="eastAsia" w:cs="仿宋"/>
          <w:b/>
          <w:bCs/>
          <w:color w:val="000000" w:themeColor="text1"/>
          <w:kern w:val="0"/>
          <w:sz w:val="32"/>
          <w:szCs w:val="32"/>
          <w:lang w:val="en-US" w:eastAsia="zh-CN" w:bidi="ar-SA"/>
          <w14:textFill>
            <w14:solidFill>
              <w14:schemeClr w14:val="tx1"/>
            </w14:solidFill>
          </w14:textFill>
        </w:rPr>
        <w:t>三是</w:t>
      </w:r>
      <w:r>
        <w:rPr>
          <w:rFonts w:hint="eastAsia" w:ascii="Times New Roman" w:hAnsi="Times New Roman" w:eastAsia="方正仿宋_GBK" w:cs="Times New Roman"/>
          <w:color w:val="000000"/>
          <w:kern w:val="0"/>
          <w:sz w:val="30"/>
          <w:szCs w:val="30"/>
          <w:lang w:val="en-US" w:eastAsia="zh-CN" w:bidi="ar"/>
        </w:rPr>
        <w:t>加强合同审阅流程。</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3.加快结算审计，尽早发挥效益。</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首先“双算”管理体制、机制和制度应尽快完善。</w:t>
      </w:r>
      <w:r>
        <w:rPr>
          <w:rFonts w:hint="eastAsia" w:ascii="方正仿宋_GBK" w:hAnsi="方正仿宋_GBK" w:eastAsia="方正仿宋_GBK" w:cs="方正仿宋_GBK"/>
          <w:color w:val="000000"/>
          <w:kern w:val="0"/>
          <w:sz w:val="30"/>
          <w:szCs w:val="30"/>
          <w:lang w:val="en-US" w:eastAsia="zh-CN" w:bidi="ar"/>
        </w:rPr>
        <w:t>应修订完善“双算”管理相关法规，改变目前法规规定不清晰或操作性不强的缺陷，理清建设项目各参建单位办理“双算”的义务和法律责任。</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其次</w:t>
      </w:r>
      <w:r>
        <w:rPr>
          <w:rFonts w:hint="eastAsia" w:ascii="方正仿宋_GBK" w:hAnsi="方正仿宋_GBK" w:eastAsia="方正仿宋_GBK" w:cs="方正仿宋_GBK"/>
          <w:color w:val="000000"/>
          <w:kern w:val="0"/>
          <w:sz w:val="30"/>
          <w:szCs w:val="30"/>
          <w:lang w:val="en-US" w:eastAsia="zh-CN" w:bidi="ar"/>
        </w:rPr>
        <w:t>按照《关于迅速开展已使用在建工程转固专项整治工作》文件要求，加快办理具备转固条件的竣工项目转固手续。同时，逐步建立健全资产管理长效机制，加强对本单位固定资产、公共基础设施等资产管理，促进资产管理提质增效。</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对于“建、使、管”分离的资产，相关部门应健全完善资产移交制度，明确部门职责及移交流程，促进资产管理制度化、规范化。资产管理、使用人发生变化时，依据核定的资产价值，及时办理资产交接手续，并加强资产日常维护管理工作，定期对资产进行盘点、对账，维护资产安全完整。</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ind w:left="0" w:leftChars="0" w:firstLine="0" w:firstLineChars="0"/>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5"/>
        <w:rPr>
          <w:rFonts w:hint="eastAsia" w:ascii="方正公文小标宋" w:hAnsi="方正公文小标宋" w:eastAsia="方正公文小标宋" w:cs="方正公文小标宋"/>
          <w:b/>
          <w:bCs/>
          <w:sz w:val="72"/>
          <w:szCs w:val="72"/>
          <w:lang w:val="en-US" w:eastAsia="zh-CN"/>
        </w:rPr>
      </w:pPr>
    </w:p>
    <w:p>
      <w:pPr>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仿宋" w:hAnsi="仿宋" w:eastAsia="仿宋" w:cs="仿宋"/>
          <w:b/>
          <w:bCs/>
          <w:kern w:val="2"/>
          <w:sz w:val="28"/>
          <w:szCs w:val="28"/>
          <w:lang w:val="en-US" w:eastAsia="zh-CN" w:bidi="ar-SA"/>
        </w:rPr>
      </w:pPr>
      <w:r>
        <w:rPr>
          <w:rFonts w:hint="eastAsia" w:ascii="方正仿宋_GBK" w:hAnsi="方正仿宋_GBK" w:eastAsia="方正仿宋_GBK" w:cs="方正仿宋_GBK"/>
          <w:b/>
          <w:bCs/>
          <w:sz w:val="32"/>
          <w:szCs w:val="32"/>
          <w:lang w:val="en-US" w:eastAsia="zh-CN"/>
        </w:rPr>
        <w:t xml:space="preserve">    </w:t>
      </w:r>
      <w:r>
        <w:rPr>
          <w:rFonts w:hint="eastAsia" w:ascii="仿宋" w:hAnsi="仿宋" w:eastAsia="仿宋" w:cs="仿宋"/>
          <w:b/>
          <w:bCs/>
          <w:kern w:val="2"/>
          <w:sz w:val="24"/>
          <w:szCs w:val="24"/>
          <w:lang w:val="en-US" w:eastAsia="zh-CN" w:bidi="ar-SA"/>
        </w:rPr>
        <w:t xml:space="preserve">  </w:t>
      </w:r>
      <w:r>
        <w:rPr>
          <w:rFonts w:hint="eastAsia" w:ascii="仿宋" w:hAnsi="仿宋" w:eastAsia="仿宋" w:cs="仿宋"/>
          <w:b/>
          <w:bCs/>
          <w:kern w:val="2"/>
          <w:sz w:val="28"/>
          <w:szCs w:val="28"/>
          <w:lang w:val="en-US" w:eastAsia="zh-CN" w:bidi="ar-SA"/>
        </w:rPr>
        <w:t>目 录</w:t>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ind w:left="0" w:leftChars="0" w:firstLine="472" w:firstLineChars="200"/>
        <w:textAlignment w:val="auto"/>
        <w:rPr>
          <w:rFonts w:hint="eastAsia" w:ascii="仿宋" w:hAnsi="仿宋" w:eastAsia="仿宋" w:cs="仿宋"/>
          <w:b/>
          <w:bCs/>
          <w:sz w:val="24"/>
          <w:szCs w:val="24"/>
        </w:rPr>
      </w:pPr>
      <w:r>
        <w:rPr>
          <w:rFonts w:hint="eastAsia" w:ascii="仿宋" w:hAnsi="仿宋" w:eastAsia="仿宋" w:cs="仿宋"/>
          <w:b w:val="0"/>
          <w:bCs w:val="0"/>
          <w:kern w:val="0"/>
          <w:sz w:val="24"/>
          <w:szCs w:val="24"/>
          <w:lang w:val="en-US" w:eastAsia="zh-CN" w:bidi="zh-CN"/>
        </w:rPr>
        <w:fldChar w:fldCharType="begin"/>
      </w:r>
      <w:r>
        <w:rPr>
          <w:rFonts w:hint="eastAsia" w:ascii="仿宋" w:hAnsi="仿宋" w:eastAsia="仿宋" w:cs="仿宋"/>
          <w:b w:val="0"/>
          <w:bCs w:val="0"/>
          <w:kern w:val="0"/>
          <w:sz w:val="24"/>
          <w:szCs w:val="24"/>
          <w:lang w:val="en-US" w:eastAsia="zh-CN" w:bidi="zh-CN"/>
        </w:rPr>
        <w:instrText xml:space="preserve">TOC \o "1-3" \h \u </w:instrText>
      </w:r>
      <w:r>
        <w:rPr>
          <w:rFonts w:hint="eastAsia" w:ascii="仿宋" w:hAnsi="仿宋" w:eastAsia="仿宋" w:cs="仿宋"/>
          <w:b w:val="0"/>
          <w:bCs w:val="0"/>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_Toc15369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_Toc15369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_Toc27588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_Toc27588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_Toc25644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_Toc25644 \h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_Toc28183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二、项目资金预算安排和使用情况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_Toc28183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_Toc6430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（一）资金来源情况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_Toc6430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_Toc5923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（二）资金到位情况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_Toc5923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_Toc21368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（三）资金管理情况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_Toc21368 \h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_Toc8250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（四）资金使用情况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_Toc8250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_Toc1501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三、项目绩效目标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_Toc1501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_Toc15787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_Toc15787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_Toc14029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 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_Toc14029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_Toc6582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四、绩效评价工作开展情况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_Toc6582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_Toc13888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（一）绩效评价目的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_Toc13888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_Toc16450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（二）绩效评价对象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_Toc16450 \h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_Toc13578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（三）评价依据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_Toc13578 \h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_Toc29771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（四）评价原则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_Toc29771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_Toc16040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（五）评价标准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_Toc16040 \h </w:instrText>
      </w:r>
      <w:r>
        <w:rPr>
          <w:rFonts w:hint="eastAsia" w:ascii="仿宋" w:hAnsi="仿宋" w:eastAsia="仿宋" w:cs="仿宋"/>
          <w:sz w:val="24"/>
          <w:szCs w:val="24"/>
        </w:rPr>
        <w:fldChar w:fldCharType="separate"/>
      </w:r>
      <w:r>
        <w:rPr>
          <w:rFonts w:hint="eastAsia" w:ascii="仿宋" w:hAnsi="仿宋" w:eastAsia="仿宋" w:cs="仿宋"/>
          <w:sz w:val="24"/>
          <w:szCs w:val="24"/>
        </w:rPr>
        <w:t>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_Toc25893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（六）评价指标体系</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_Toc25893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_Toc14393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eastAsia="zh-CN"/>
        </w:rPr>
        <w:t>（七）</w:t>
      </w:r>
      <w:r>
        <w:rPr>
          <w:rFonts w:hint="eastAsia" w:ascii="仿宋" w:hAnsi="仿宋" w:eastAsia="仿宋" w:cs="仿宋"/>
          <w:sz w:val="24"/>
          <w:szCs w:val="24"/>
        </w:rPr>
        <w:t>评价方法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_Toc14393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_Toc8558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（八）绩效评价工作过程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_Toc8558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_Toc6001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、综合评价情况及评价结论</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_Toc6001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_Toc25766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（一）项目完成情况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_Toc25766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_Toc23800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（二）评价结论</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_Toc23800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_Toc19231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六、绩效评价指标分析</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_Toc19231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18</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_Toc22148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pacing w:val="0"/>
          <w:sz w:val="24"/>
          <w:szCs w:val="24"/>
          <w:lang w:eastAsia="zh-CN"/>
        </w:rPr>
        <w:t>（一）</w:t>
      </w:r>
      <w:r>
        <w:rPr>
          <w:rFonts w:hint="eastAsia" w:ascii="仿宋" w:hAnsi="仿宋" w:eastAsia="仿宋" w:cs="仿宋"/>
          <w:bCs w:val="0"/>
          <w:spacing w:val="0"/>
          <w:sz w:val="24"/>
          <w:szCs w:val="24"/>
        </w:rPr>
        <w:t>项目决策情</w:t>
      </w:r>
      <w:r>
        <w:rPr>
          <w:rFonts w:hint="eastAsia" w:ascii="仿宋" w:hAnsi="仿宋" w:eastAsia="仿宋" w:cs="仿宋"/>
          <w:bCs w:val="0"/>
          <w:sz w:val="24"/>
          <w:szCs w:val="24"/>
        </w:rPr>
        <w:t>况</w:t>
      </w:r>
      <w:r>
        <w:rPr>
          <w:rFonts w:hint="eastAsia" w:ascii="仿宋" w:hAnsi="仿宋" w:eastAsia="仿宋" w:cs="仿宋"/>
          <w:bCs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_Toc22148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_Toc28441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（二）项目过程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_Toc28441 \h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_Toc23917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（三）</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产出</w:t>
      </w:r>
      <w:r>
        <w:rPr>
          <w:rFonts w:hint="eastAsia" w:ascii="仿宋" w:hAnsi="仿宋" w:eastAsia="仿宋" w:cs="仿宋"/>
          <w:spacing w:val="0"/>
          <w:sz w:val="24"/>
          <w:szCs w:val="24"/>
        </w:rPr>
        <w:t>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_Toc23917 \h </w:instrText>
      </w:r>
      <w:r>
        <w:rPr>
          <w:rFonts w:hint="eastAsia" w:ascii="仿宋" w:hAnsi="仿宋" w:eastAsia="仿宋" w:cs="仿宋"/>
          <w:sz w:val="24"/>
          <w:szCs w:val="24"/>
        </w:rPr>
        <w:fldChar w:fldCharType="separate"/>
      </w:r>
      <w:r>
        <w:rPr>
          <w:rFonts w:hint="eastAsia" w:ascii="仿宋" w:hAnsi="仿宋" w:eastAsia="仿宋" w:cs="仿宋"/>
          <w:sz w:val="24"/>
          <w:szCs w:val="24"/>
        </w:rPr>
        <w:t>23</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_Toc24512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pacing w:val="0"/>
          <w:sz w:val="24"/>
          <w:szCs w:val="24"/>
          <w:lang w:eastAsia="zh-CN"/>
        </w:rPr>
        <w:t>（四）</w:t>
      </w:r>
      <w:r>
        <w:rPr>
          <w:rFonts w:hint="eastAsia" w:ascii="仿宋" w:hAnsi="仿宋" w:eastAsia="仿宋" w:cs="仿宋"/>
          <w:spacing w:val="0"/>
          <w:sz w:val="24"/>
          <w:szCs w:val="24"/>
        </w:rPr>
        <w:t>项目</w:t>
      </w:r>
      <w:r>
        <w:rPr>
          <w:rFonts w:hint="eastAsia" w:ascii="仿宋" w:hAnsi="仿宋" w:eastAsia="仿宋" w:cs="仿宋"/>
          <w:spacing w:val="0"/>
          <w:sz w:val="24"/>
          <w:szCs w:val="24"/>
          <w:lang w:eastAsia="zh-CN"/>
        </w:rPr>
        <w:t>效益</w:t>
      </w:r>
      <w:r>
        <w:rPr>
          <w:rFonts w:hint="eastAsia" w:ascii="仿宋" w:hAnsi="仿宋" w:eastAsia="仿宋" w:cs="仿宋"/>
          <w:spacing w:val="0"/>
          <w:sz w:val="24"/>
          <w:szCs w:val="24"/>
        </w:rPr>
        <w:t>情况</w:t>
      </w:r>
      <w:r>
        <w:rPr>
          <w:rFonts w:hint="eastAsia" w:ascii="仿宋" w:hAnsi="仿宋" w:eastAsia="仿宋" w:cs="仿宋"/>
          <w:spacing w:val="0"/>
          <w:sz w:val="24"/>
          <w:szCs w:val="24"/>
          <w:lang w:eastAsia="zh-CN"/>
        </w:rPr>
        <w:t>分析</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_Toc24512 \h </w:instrText>
      </w:r>
      <w:r>
        <w:rPr>
          <w:rFonts w:hint="eastAsia" w:ascii="仿宋" w:hAnsi="仿宋" w:eastAsia="仿宋" w:cs="仿宋"/>
          <w:sz w:val="24"/>
          <w:szCs w:val="24"/>
        </w:rPr>
        <w:fldChar w:fldCharType="separate"/>
      </w:r>
      <w:r>
        <w:rPr>
          <w:rFonts w:hint="eastAsia" w:ascii="仿宋" w:hAnsi="仿宋" w:eastAsia="仿宋" w:cs="仿宋"/>
          <w:sz w:val="24"/>
          <w:szCs w:val="24"/>
        </w:rPr>
        <w:t>26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_Toc27900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七</w:t>
      </w:r>
      <w:r>
        <w:rPr>
          <w:rFonts w:hint="eastAsia" w:ascii="仿宋" w:hAnsi="仿宋" w:eastAsia="仿宋" w:cs="仿宋"/>
          <w:b/>
          <w:bCs/>
          <w:sz w:val="24"/>
          <w:szCs w:val="24"/>
        </w:rPr>
        <w:t>、主要经验做法、存在问题及建议</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_Toc27900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27</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_Toc15956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（一）经验做法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_Toc15956 \h </w:instrText>
      </w:r>
      <w:r>
        <w:rPr>
          <w:rFonts w:hint="eastAsia" w:ascii="仿宋" w:hAnsi="仿宋" w:eastAsia="仿宋" w:cs="仿宋"/>
          <w:sz w:val="24"/>
          <w:szCs w:val="24"/>
        </w:rPr>
        <w:fldChar w:fldCharType="separate"/>
      </w:r>
      <w:r>
        <w:rPr>
          <w:rFonts w:hint="eastAsia" w:ascii="仿宋" w:hAnsi="仿宋" w:eastAsia="仿宋" w:cs="仿宋"/>
          <w:sz w:val="24"/>
          <w:szCs w:val="24"/>
        </w:rPr>
        <w:t>27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_Toc15590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sz w:val="24"/>
          <w:szCs w:val="24"/>
        </w:rPr>
        <w:t>（二）存在的问题</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_Toc15590 \h </w:instrText>
      </w:r>
      <w:r>
        <w:rPr>
          <w:rFonts w:hint="eastAsia" w:ascii="仿宋" w:hAnsi="仿宋" w:eastAsia="仿宋" w:cs="仿宋"/>
          <w:sz w:val="24"/>
          <w:szCs w:val="24"/>
        </w:rPr>
        <w:fldChar w:fldCharType="separate"/>
      </w:r>
      <w:r>
        <w:rPr>
          <w:rFonts w:hint="eastAsia" w:ascii="仿宋" w:hAnsi="仿宋" w:eastAsia="仿宋" w:cs="仿宋"/>
          <w:sz w:val="24"/>
          <w:szCs w:val="24"/>
        </w:rPr>
        <w:t>28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_Toc28878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shd w:val="clear" w:fill="FFFFFF"/>
          <w:lang w:val="en-US" w:eastAsia="zh-CN" w:bidi="zh-CN"/>
        </w:rPr>
        <w:t>（三）建议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_Toc28878 \h </w:instrText>
      </w:r>
      <w:r>
        <w:rPr>
          <w:rFonts w:hint="eastAsia" w:ascii="仿宋" w:hAnsi="仿宋" w:eastAsia="仿宋" w:cs="仿宋"/>
          <w:sz w:val="24"/>
          <w:szCs w:val="24"/>
        </w:rPr>
        <w:fldChar w:fldCharType="separate"/>
      </w:r>
      <w:r>
        <w:rPr>
          <w:rFonts w:hint="eastAsia" w:ascii="仿宋" w:hAnsi="仿宋" w:eastAsia="仿宋" w:cs="仿宋"/>
          <w:sz w:val="24"/>
          <w:szCs w:val="24"/>
        </w:rPr>
        <w:t>29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val="0"/>
        <w:topLinePunct w:val="0"/>
        <w:autoSpaceDE/>
        <w:autoSpaceDN/>
        <w:bidi w:val="0"/>
        <w:adjustRightInd/>
        <w:snapToGrid/>
        <w:spacing w:line="380" w:lineRule="exact"/>
        <w:textAlignment w:val="auto"/>
        <w:rPr>
          <w:rFonts w:hint="eastAsia" w:ascii="仿宋" w:hAnsi="仿宋" w:eastAsia="仿宋" w:cs="仿宋"/>
          <w:b w:val="0"/>
          <w:bCs w:val="0"/>
          <w:kern w:val="0"/>
          <w:sz w:val="24"/>
          <w:szCs w:val="24"/>
          <w:lang w:val="en-US" w:eastAsia="zh-CN" w:bidi="zh-CN"/>
        </w:rPr>
        <w:sectPr>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仿宋" w:hAnsi="仿宋" w:eastAsia="仿宋" w:cs="仿宋"/>
          <w:bCs w:val="0"/>
          <w:kern w:val="0"/>
          <w:sz w:val="24"/>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bookmarkStart w:id="20" w:name="_Toc12033"/>
      <w:bookmarkStart w:id="21" w:name="_Toc30196"/>
      <w:r>
        <w:rPr>
          <w:rFonts w:hint="eastAsia" w:ascii="方正小标宋_GBK" w:hAnsi="方正小标宋_GBK" w:eastAsia="方正小标宋_GBK" w:cs="方正小标宋_GBK"/>
          <w:b w:val="0"/>
          <w:bCs w:val="0"/>
          <w:color w:val="181717" w:themeColor="background2" w:themeShade="1A"/>
          <w:sz w:val="36"/>
          <w:szCs w:val="36"/>
          <w:lang w:val="en-US" w:eastAsia="zh-CN"/>
        </w:rPr>
        <w:t>同心县丁塘镇2022年高质量美丽宜居村庄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b w:val="0"/>
          <w:bCs w:val="0"/>
          <w:color w:val="181717" w:themeColor="background2" w:themeShade="1A"/>
          <w:sz w:val="36"/>
          <w:szCs w:val="36"/>
          <w:lang w:val="en-US" w:eastAsia="zh-CN"/>
        </w:rPr>
        <w:t>奖补资金项目绩效评价报告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，宁夏万协项目管理有限公司受同心县财政局委托，对同心县丁塘镇2022年高质量美丽宜居村庄奖补资金项目绩效评价报告项目开展绩效评价相关工作。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bidi w:val="0"/>
        <w:rPr>
          <w:rFonts w:hint="eastAsia" w:ascii="宋体" w:hAnsi="宋体" w:eastAsia="宋体" w:cs="宋体"/>
          <w:b/>
          <w:bCs/>
          <w:lang w:val="en-US" w:eastAsia="zh-CN"/>
        </w:rPr>
      </w:pPr>
      <w:bookmarkStart w:id="22" w:name="_Toc15369"/>
      <w:r>
        <w:rPr>
          <w:rFonts w:hint="eastAsia" w:ascii="宋体" w:hAnsi="宋体" w:eastAsia="宋体" w:cs="宋体"/>
          <w:b/>
          <w:bCs/>
          <w:lang w:val="en-US" w:eastAsia="zh-CN"/>
        </w:rPr>
        <w:t>一、项目基本情况</w:t>
      </w:r>
      <w:bookmarkEnd w:id="20"/>
      <w:bookmarkEnd w:id="21"/>
      <w:bookmarkEnd w:id="22"/>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3" w:name="_Toc5690"/>
      <w:bookmarkStart w:id="24" w:name="_Toc25760"/>
      <w:bookmarkStart w:id="25" w:name="_Toc27588"/>
      <w:r>
        <w:rPr>
          <w:rFonts w:hint="eastAsia"/>
          <w:b/>
          <w:bCs/>
          <w:sz w:val="30"/>
          <w:szCs w:val="30"/>
          <w:lang w:val="en-US" w:eastAsia="zh-CN"/>
        </w:rPr>
        <w:t>（一）项目</w:t>
      </w:r>
      <w:bookmarkEnd w:id="23"/>
      <w:bookmarkEnd w:id="24"/>
      <w:r>
        <w:rPr>
          <w:rFonts w:hint="eastAsia"/>
          <w:b/>
          <w:bCs/>
          <w:sz w:val="30"/>
          <w:szCs w:val="30"/>
          <w:lang w:val="en-US" w:eastAsia="zh-CN"/>
        </w:rPr>
        <w:t>背景</w:t>
      </w:r>
      <w:bookmarkEnd w:id="25"/>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6" w:name="_Toc24381"/>
      <w:bookmarkStart w:id="27" w:name="_Toc25776"/>
      <w:bookmarkStart w:id="28" w:name="_Toc5111"/>
      <w:r>
        <w:rPr>
          <w:rFonts w:hint="eastAsia" w:ascii="Times New Roman" w:hAnsi="Times New Roman" w:eastAsia="方正仿宋_GBK" w:cs="Times New Roman"/>
          <w:color w:val="auto"/>
          <w:kern w:val="2"/>
          <w:sz w:val="30"/>
          <w:szCs w:val="30"/>
          <w:highlight w:val="none"/>
          <w:lang w:val="en-US" w:eastAsia="zh-CN" w:bidi="ar-SA"/>
        </w:rPr>
        <w:t>以习近平新时代中国特色社会主义思想为指导，坚持把乡村建设摆在社会主义现代化建设的重要位置，顺应农民群众对美好生活的向往，把美丽宜居村庄建设与产业发展、农民增收和民生改善紧密结合起来，按照乡村振兴的工作要求，全面建设宜居、宜业、宜游的美丽乡村，提高乡村居民生活品质，促进生态文明，提升群众幸福感、获得感。</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全面开展丁塘镇美丽小城镇建设，进一步改善城镇面貌，加强城镇基础设施和公共服务设施的建设，完善小城镇功能，提升城镇整体形象，着力将丁塘镇打造成为集环境优美、设施完善、功能齐备、生活便利、保障为一体的美丽宜居小城镇。</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年来，丁塘镇坚持乡镇主抓、村为单位，因地制宜开展人居环境整治工作。清理镇村垃圾、评选最美庭院、发扬良好生活习惯，农户庭院整洁美观，村民生态文明意识不断增强，逐步健全村庄环境长效管护机制，村庄“颜值”不断刷新。</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sz w:val="30"/>
          <w:szCs w:val="30"/>
          <w:lang w:val="en-US" w:eastAsia="zh-CN"/>
        </w:rPr>
      </w:pPr>
      <w:bookmarkStart w:id="29" w:name="_Toc25644"/>
      <w:r>
        <w:rPr>
          <w:rFonts w:hint="eastAsia" w:ascii="方正楷体_GBK" w:hAnsi="方正楷体_GBK" w:eastAsia="方正楷体_GBK" w:cs="方正楷体_GBK"/>
          <w:sz w:val="30"/>
          <w:szCs w:val="30"/>
          <w:lang w:val="en-US" w:eastAsia="zh-CN"/>
        </w:rPr>
        <w:t>（二）项目实施主要内容</w:t>
      </w:r>
      <w:bookmarkEnd w:id="26"/>
      <w:bookmarkEnd w:id="27"/>
      <w:bookmarkEnd w:id="29"/>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30" w:name="_Toc8550"/>
      <w:bookmarkStart w:id="31" w:name="_Toc1917"/>
      <w:r>
        <w:rPr>
          <w:rFonts w:hint="default" w:ascii="Times New Roman" w:hAnsi="Times New Roman" w:eastAsia="方正仿宋_GBK" w:cs="Times New Roman"/>
          <w:color w:val="auto"/>
          <w:kern w:val="2"/>
          <w:sz w:val="30"/>
          <w:szCs w:val="30"/>
          <w:highlight w:val="none"/>
          <w:lang w:val="en-US" w:eastAsia="zh-CN" w:bidi="ar-SA"/>
        </w:rPr>
        <w:t>建设规模及主要建设内容</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巷道安装太阳能路灯(8米高)100 盏</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混凝土道路硬化 680平方米</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U型渠建设(D=80)80 米</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绿化补植补造 10000棵，主要为红梅杏</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维修巷道破损道牙 1000 米，篮球场场地塑胶铺装 2000 平方米</w:t>
      </w:r>
      <w:r>
        <w:rPr>
          <w:rFonts w:hint="eastAsia"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sectPr>
          <w:headerReference r:id="rId7" w:type="default"/>
          <w:footerReference r:id="rId8" w:type="default"/>
          <w:pgSz w:w="11906" w:h="16838"/>
          <w:pgMar w:top="2098" w:right="1587" w:bottom="2098" w:left="1587" w:header="1644" w:footer="935" w:gutter="0"/>
          <w:pgNumType w:fmt="decimal" w:start="1"/>
          <w:cols w:space="0" w:num="1"/>
          <w:rtlGutter w:val="0"/>
          <w:docGrid w:type="linesAndChars" w:linePitch="589" w:charSpace="-842"/>
        </w:sectPr>
      </w:pPr>
      <w:bookmarkStart w:id="32" w:name="_Toc22184"/>
      <w:bookmarkStart w:id="33" w:name="_Toc17160"/>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同心县丁塘镇2022年高质量美丽宜居村庄</w:t>
      </w: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奖补资金项目主要建设内容</w:t>
      </w:r>
    </w:p>
    <w:p>
      <w:pPr>
        <w:keepNext/>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计划完成情况</w:t>
      </w:r>
    </w:p>
    <w:p>
      <w:pPr>
        <w:keepNext/>
        <w:keepLines w:val="0"/>
        <w:pageBreakBefore w:val="0"/>
        <w:widowControl/>
        <w:kinsoku/>
        <w:wordWrap/>
        <w:overflowPunct/>
        <w:topLinePunct w:val="0"/>
        <w:autoSpaceDE/>
        <w:autoSpaceDN/>
        <w:bidi w:val="0"/>
        <w:adjustRightInd/>
        <w:snapToGrid/>
        <w:spacing w:after="0" w:line="240" w:lineRule="auto"/>
        <w:jc w:val="right"/>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等线" w:hAnsi="等线" w:eastAsia="等线" w:cs="等线"/>
          <w:b/>
          <w:bCs/>
          <w:kern w:val="0"/>
          <w:sz w:val="22"/>
          <w:lang w:val="en-US" w:eastAsia="zh-CN"/>
        </w:rPr>
        <w:t xml:space="preserve">                                                                         </w:t>
      </w:r>
      <w:r>
        <w:rPr>
          <w:rFonts w:hint="eastAsia" w:ascii="Times New Roman" w:hAnsi="Times New Roman" w:eastAsia="方正仿宋_GBK" w:cs="Times New Roman"/>
          <w:color w:val="auto"/>
          <w:kern w:val="2"/>
          <w:sz w:val="30"/>
          <w:szCs w:val="30"/>
          <w:highlight w:val="none"/>
          <w:lang w:val="en-US" w:eastAsia="zh-CN" w:bidi="ar-SA"/>
        </w:rPr>
        <w:t xml:space="preserve">单位：万元 </w:t>
      </w:r>
    </w:p>
    <w:tbl>
      <w:tblPr>
        <w:tblStyle w:val="21"/>
        <w:tblW w:w="505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2"/>
        <w:gridCol w:w="1083"/>
        <w:gridCol w:w="4700"/>
        <w:gridCol w:w="1301"/>
        <w:gridCol w:w="1537"/>
        <w:gridCol w:w="1500"/>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项目名称</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概算资金</w:t>
            </w:r>
          </w:p>
        </w:tc>
        <w:tc>
          <w:tcPr>
            <w:tcW w:w="18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建设内容、规模</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合同计划工期</w:t>
            </w:r>
          </w:p>
        </w:tc>
        <w:tc>
          <w:tcPr>
            <w:tcW w:w="5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实际完成时间</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是否验收</w:t>
            </w:r>
          </w:p>
        </w:tc>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结算、财务决算情况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18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5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3" w:hRule="atLeast"/>
          <w:jc w:val="center"/>
        </w:trPr>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同心县丁塘镇2022年高质量美丽宜居村庄</w:t>
            </w:r>
          </w:p>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等线" w:hAnsi="等线" w:eastAsia="等线" w:cs="等线"/>
                <w:color w:val="000000"/>
                <w:kern w:val="0"/>
                <w:sz w:val="24"/>
                <w:szCs w:val="24"/>
                <w:lang w:val="en-US" w:eastAsia="zh-CN"/>
              </w:rPr>
            </w:pPr>
            <w:r>
              <w:rPr>
                <w:rFonts w:hint="eastAsia" w:ascii="Times New Roman" w:hAnsi="Times New Roman" w:eastAsia="方正仿宋_GBK" w:cs="Times New Roman"/>
                <w:color w:val="auto"/>
                <w:kern w:val="2"/>
                <w:sz w:val="24"/>
                <w:szCs w:val="24"/>
                <w:highlight w:val="none"/>
                <w:lang w:val="en-US" w:eastAsia="zh-CN" w:bidi="ar-SA"/>
              </w:rPr>
              <w:t>奖补资金项目</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650.94</w:t>
            </w:r>
          </w:p>
        </w:tc>
        <w:tc>
          <w:tcPr>
            <w:tcW w:w="18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both"/>
              <w:textAlignment w:val="auto"/>
              <w:rPr>
                <w:rFonts w:hint="eastAsia" w:ascii="等线" w:hAnsi="等线" w:eastAsia="等线" w:cs="等线"/>
                <w:color w:val="0000FF"/>
                <w:kern w:val="0"/>
                <w:sz w:val="24"/>
                <w:szCs w:val="24"/>
                <w:lang w:val="en-US" w:eastAsia="zh-CN"/>
              </w:rPr>
            </w:pPr>
            <w:r>
              <w:rPr>
                <w:rFonts w:hint="default" w:ascii="Times New Roman" w:hAnsi="Times New Roman" w:eastAsia="方正仿宋_GBK" w:cs="Times New Roman"/>
                <w:color w:val="auto"/>
                <w:kern w:val="2"/>
                <w:sz w:val="24"/>
                <w:szCs w:val="24"/>
                <w:highlight w:val="none"/>
                <w:lang w:val="en-US" w:eastAsia="zh-CN" w:bidi="ar-SA"/>
              </w:rPr>
              <w:t>巷道安装太阳能路灯(8 米高)100 盏</w:t>
            </w:r>
            <w:r>
              <w:rPr>
                <w:rFonts w:hint="eastAsia" w:ascii="Times New Roman" w:hAnsi="Times New Roman" w:eastAsia="方正仿宋_GBK" w:cs="Times New Roman"/>
                <w:color w:val="auto"/>
                <w:kern w:val="2"/>
                <w:sz w:val="24"/>
                <w:szCs w:val="24"/>
                <w:highlight w:val="none"/>
                <w:lang w:val="en-US" w:eastAsia="zh-CN" w:bidi="ar-SA"/>
              </w:rPr>
              <w:t>；</w:t>
            </w:r>
            <w:r>
              <w:rPr>
                <w:rFonts w:hint="default" w:ascii="Times New Roman" w:hAnsi="Times New Roman" w:eastAsia="方正仿宋_GBK" w:cs="Times New Roman"/>
                <w:color w:val="auto"/>
                <w:kern w:val="2"/>
                <w:sz w:val="24"/>
                <w:szCs w:val="24"/>
                <w:highlight w:val="none"/>
                <w:lang w:val="en-US" w:eastAsia="zh-CN" w:bidi="ar-SA"/>
              </w:rPr>
              <w:t>混凝土道路硬化 680平方米</w:t>
            </w:r>
            <w:r>
              <w:rPr>
                <w:rFonts w:hint="eastAsia" w:ascii="Times New Roman" w:hAnsi="Times New Roman" w:eastAsia="方正仿宋_GBK" w:cs="Times New Roman"/>
                <w:color w:val="auto"/>
                <w:kern w:val="2"/>
                <w:sz w:val="24"/>
                <w:szCs w:val="24"/>
                <w:highlight w:val="none"/>
                <w:lang w:val="en-US" w:eastAsia="zh-CN" w:bidi="ar-SA"/>
              </w:rPr>
              <w:t>：</w:t>
            </w:r>
            <w:r>
              <w:rPr>
                <w:rFonts w:hint="default" w:ascii="Times New Roman" w:hAnsi="Times New Roman" w:eastAsia="方正仿宋_GBK" w:cs="Times New Roman"/>
                <w:color w:val="auto"/>
                <w:kern w:val="2"/>
                <w:sz w:val="24"/>
                <w:szCs w:val="24"/>
                <w:highlight w:val="none"/>
                <w:lang w:val="en-US" w:eastAsia="zh-CN" w:bidi="ar-SA"/>
              </w:rPr>
              <w:t>U型渠建设(D=80)80 米</w:t>
            </w:r>
            <w:r>
              <w:rPr>
                <w:rFonts w:hint="eastAsia" w:ascii="Times New Roman" w:hAnsi="Times New Roman" w:eastAsia="方正仿宋_GBK" w:cs="Times New Roman"/>
                <w:color w:val="auto"/>
                <w:kern w:val="2"/>
                <w:sz w:val="24"/>
                <w:szCs w:val="24"/>
                <w:highlight w:val="none"/>
                <w:lang w:val="en-US" w:eastAsia="zh-CN" w:bidi="ar-SA"/>
              </w:rPr>
              <w:t>；</w:t>
            </w:r>
            <w:r>
              <w:rPr>
                <w:rFonts w:hint="default" w:ascii="Times New Roman" w:hAnsi="Times New Roman" w:eastAsia="方正仿宋_GBK" w:cs="Times New Roman"/>
                <w:color w:val="auto"/>
                <w:kern w:val="2"/>
                <w:sz w:val="24"/>
                <w:szCs w:val="24"/>
                <w:highlight w:val="none"/>
                <w:lang w:val="en-US" w:eastAsia="zh-CN" w:bidi="ar-SA"/>
              </w:rPr>
              <w:t>绿化补植补造 10000棵，主要为红梅杏</w:t>
            </w:r>
            <w:r>
              <w:rPr>
                <w:rFonts w:hint="eastAsia" w:ascii="Times New Roman" w:hAnsi="Times New Roman" w:eastAsia="方正仿宋_GBK" w:cs="Times New Roman"/>
                <w:color w:val="auto"/>
                <w:kern w:val="2"/>
                <w:sz w:val="24"/>
                <w:szCs w:val="24"/>
                <w:highlight w:val="none"/>
                <w:lang w:val="en-US" w:eastAsia="zh-CN" w:bidi="ar-SA"/>
              </w:rPr>
              <w:t>；</w:t>
            </w:r>
            <w:r>
              <w:rPr>
                <w:rFonts w:hint="default" w:ascii="Times New Roman" w:hAnsi="Times New Roman" w:eastAsia="方正仿宋_GBK" w:cs="Times New Roman"/>
                <w:color w:val="auto"/>
                <w:kern w:val="2"/>
                <w:sz w:val="24"/>
                <w:szCs w:val="24"/>
                <w:highlight w:val="none"/>
                <w:lang w:val="en-US" w:eastAsia="zh-CN" w:bidi="ar-SA"/>
              </w:rPr>
              <w:t>维修巷道破损道牙 1000 米，篮球场场地塑胶铺装 2000 平方米</w:t>
            </w:r>
            <w:r>
              <w:rPr>
                <w:rFonts w:hint="eastAsia" w:ascii="Times New Roman" w:hAnsi="Times New Roman" w:eastAsia="方正仿宋_GBK" w:cs="Times New Roman"/>
                <w:color w:val="auto"/>
                <w:kern w:val="2"/>
                <w:sz w:val="24"/>
                <w:szCs w:val="24"/>
                <w:highlight w:val="none"/>
                <w:lang w:val="en-US" w:eastAsia="zh-CN" w:bidi="ar-SA"/>
              </w:rPr>
              <w:t>。</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202</w:t>
            </w:r>
            <w:r>
              <w:rPr>
                <w:rFonts w:hint="eastAsia" w:ascii="Times New Roman" w:hAnsi="Times New Roman" w:eastAsia="方正仿宋_GBK" w:cs="Times New Roman"/>
                <w:color w:val="auto"/>
                <w:kern w:val="2"/>
                <w:sz w:val="24"/>
                <w:szCs w:val="24"/>
                <w:highlight w:val="none"/>
                <w:lang w:val="en-US" w:eastAsia="zh-CN" w:bidi="ar-SA"/>
              </w:rPr>
              <w:t>2</w:t>
            </w:r>
            <w:r>
              <w:rPr>
                <w:rFonts w:hint="default" w:ascii="Times New Roman" w:hAnsi="Times New Roman" w:eastAsia="方正仿宋_GBK" w:cs="Times New Roman"/>
                <w:color w:val="auto"/>
                <w:kern w:val="2"/>
                <w:sz w:val="24"/>
                <w:szCs w:val="24"/>
                <w:highlight w:val="none"/>
                <w:lang w:val="en-US" w:eastAsia="zh-CN" w:bidi="ar-SA"/>
              </w:rPr>
              <w:t>年</w:t>
            </w:r>
            <w:r>
              <w:rPr>
                <w:rFonts w:hint="eastAsia" w:ascii="Times New Roman" w:hAnsi="Times New Roman" w:eastAsia="方正仿宋_GBK" w:cs="Times New Roman"/>
                <w:color w:val="auto"/>
                <w:kern w:val="2"/>
                <w:sz w:val="24"/>
                <w:szCs w:val="24"/>
                <w:highlight w:val="none"/>
                <w:lang w:val="en-US" w:eastAsia="zh-CN" w:bidi="ar-SA"/>
              </w:rPr>
              <w:t>4</w:t>
            </w:r>
            <w:r>
              <w:rPr>
                <w:rFonts w:hint="default" w:ascii="Times New Roman" w:hAnsi="Times New Roman" w:eastAsia="方正仿宋_GBK" w:cs="Times New Roman"/>
                <w:color w:val="auto"/>
                <w:kern w:val="2"/>
                <w:sz w:val="24"/>
                <w:szCs w:val="24"/>
                <w:highlight w:val="none"/>
                <w:lang w:val="en-US" w:eastAsia="zh-CN" w:bidi="ar-SA"/>
              </w:rPr>
              <w:t>月</w:t>
            </w:r>
            <w:r>
              <w:rPr>
                <w:rFonts w:hint="eastAsia" w:ascii="Times New Roman" w:hAnsi="Times New Roman" w:eastAsia="方正仿宋_GBK" w:cs="Times New Roman"/>
                <w:color w:val="auto"/>
                <w:kern w:val="2"/>
                <w:sz w:val="24"/>
                <w:szCs w:val="24"/>
                <w:highlight w:val="none"/>
                <w:lang w:val="en-US" w:eastAsia="zh-CN" w:bidi="ar-SA"/>
              </w:rPr>
              <w:t>29</w:t>
            </w:r>
            <w:r>
              <w:rPr>
                <w:rFonts w:hint="default" w:ascii="Times New Roman" w:hAnsi="Times New Roman" w:eastAsia="方正仿宋_GBK" w:cs="Times New Roman"/>
                <w:color w:val="auto"/>
                <w:kern w:val="2"/>
                <w:sz w:val="24"/>
                <w:szCs w:val="24"/>
                <w:highlight w:val="none"/>
                <w:lang w:val="en-US" w:eastAsia="zh-CN" w:bidi="ar-SA"/>
              </w:rPr>
              <w:t>日</w:t>
            </w:r>
            <w:r>
              <w:rPr>
                <w:rFonts w:hint="eastAsia" w:ascii="Times New Roman" w:hAnsi="Times New Roman" w:eastAsia="方正仿宋_GBK" w:cs="Times New Roman"/>
                <w:color w:val="auto"/>
                <w:kern w:val="2"/>
                <w:sz w:val="24"/>
                <w:szCs w:val="24"/>
                <w:highlight w:val="none"/>
                <w:lang w:val="en-US" w:eastAsia="zh-CN" w:bidi="ar-SA"/>
              </w:rPr>
              <w:t>—2022年10</w:t>
            </w:r>
            <w:r>
              <w:rPr>
                <w:rFonts w:hint="default" w:ascii="Times New Roman" w:hAnsi="Times New Roman" w:eastAsia="方正仿宋_GBK" w:cs="Times New Roman"/>
                <w:color w:val="auto"/>
                <w:kern w:val="2"/>
                <w:sz w:val="24"/>
                <w:szCs w:val="24"/>
                <w:highlight w:val="none"/>
                <w:lang w:val="en-US" w:eastAsia="zh-CN" w:bidi="ar-SA"/>
              </w:rPr>
              <w:t>月</w:t>
            </w:r>
            <w:r>
              <w:rPr>
                <w:rFonts w:hint="eastAsia" w:ascii="Times New Roman" w:hAnsi="Times New Roman" w:eastAsia="方正仿宋_GBK" w:cs="Times New Roman"/>
                <w:color w:val="auto"/>
                <w:kern w:val="2"/>
                <w:sz w:val="24"/>
                <w:szCs w:val="24"/>
                <w:highlight w:val="none"/>
                <w:lang w:val="en-US" w:eastAsia="zh-CN" w:bidi="ar-SA"/>
              </w:rPr>
              <w:t>29</w:t>
            </w:r>
            <w:r>
              <w:rPr>
                <w:rFonts w:hint="default" w:ascii="Times New Roman" w:hAnsi="Times New Roman" w:eastAsia="方正仿宋_GBK" w:cs="Times New Roman"/>
                <w:color w:val="auto"/>
                <w:kern w:val="2"/>
                <w:sz w:val="24"/>
                <w:szCs w:val="24"/>
                <w:highlight w:val="none"/>
                <w:lang w:val="en-US" w:eastAsia="zh-CN" w:bidi="ar-SA"/>
              </w:rPr>
              <w:t>日</w:t>
            </w:r>
          </w:p>
        </w:tc>
        <w:tc>
          <w:tcPr>
            <w:tcW w:w="5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2022年8月11日</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已完成验收</w:t>
            </w:r>
          </w:p>
        </w:tc>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未结算</w:t>
            </w:r>
          </w:p>
        </w:tc>
      </w:tr>
      <w:bookmarkEnd w:id="32"/>
      <w:bookmarkEnd w:id="33"/>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34" w:name="_Toc31374"/>
      <w:bookmarkStart w:id="35" w:name="_Toc3047"/>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sectPr>
          <w:pgSz w:w="16838" w:h="11906" w:orient="landscape"/>
          <w:pgMar w:top="1587" w:right="2098" w:bottom="1587" w:left="2098" w:header="1191" w:footer="935" w:gutter="0"/>
          <w:pgNumType w:fmt="decimal"/>
          <w:cols w:space="0" w:num="1"/>
          <w:rtlGutter w:val="0"/>
          <w:docGrid w:type="linesAndChars" w:linePitch="589" w:charSpace="-842"/>
        </w:sectPr>
      </w:pP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36" w:name="_Toc28183"/>
      <w:r>
        <w:rPr>
          <w:rFonts w:hint="eastAsia" w:asciiTheme="majorEastAsia" w:hAnsiTheme="majorEastAsia" w:eastAsiaTheme="majorEastAsia" w:cstheme="majorEastAsia"/>
          <w:b/>
          <w:bCs/>
          <w:sz w:val="30"/>
          <w:szCs w:val="30"/>
          <w:lang w:val="en-US" w:eastAsia="zh-CN"/>
        </w:rPr>
        <w:t>二、项目资金预算安排和使用情况</w:t>
      </w:r>
      <w:bookmarkEnd w:id="36"/>
    </w:p>
    <w:bookmarkEnd w:id="30"/>
    <w:bookmarkEnd w:id="31"/>
    <w:bookmarkEnd w:id="34"/>
    <w:bookmarkEnd w:id="35"/>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37" w:name="_Toc6430"/>
      <w:bookmarkStart w:id="38" w:name="_Toc21063"/>
      <w:bookmarkStart w:id="39" w:name="_Toc9451"/>
      <w:bookmarkStart w:id="40" w:name="_Toc20409"/>
      <w:bookmarkStart w:id="41" w:name="_Toc31361"/>
      <w:bookmarkStart w:id="42" w:name="_Toc19300"/>
      <w:bookmarkStart w:id="43" w:name="_Toc29255"/>
      <w:bookmarkStart w:id="44" w:name="_Toc24442"/>
      <w:bookmarkStart w:id="45" w:name="_Toc26094"/>
      <w:bookmarkStart w:id="46" w:name="_Toc2175"/>
      <w:bookmarkStart w:id="47" w:name="_Toc7963"/>
      <w:bookmarkStart w:id="48" w:name="_Toc31216"/>
      <w:bookmarkStart w:id="49" w:name="_Toc19237"/>
      <w:bookmarkStart w:id="50" w:name="_Toc29008"/>
      <w:bookmarkStart w:id="51" w:name="_Toc1375"/>
      <w:bookmarkStart w:id="52" w:name="_Toc14208"/>
      <w:bookmarkStart w:id="53" w:name="_Toc26903"/>
      <w:bookmarkStart w:id="54" w:name="_Toc17609"/>
      <w:bookmarkStart w:id="55" w:name="_Toc19319"/>
      <w:bookmarkStart w:id="56" w:name="_Toc26741"/>
      <w:bookmarkStart w:id="57" w:name="_Toc24129"/>
      <w:r>
        <w:rPr>
          <w:rFonts w:hint="eastAsia"/>
          <w:b/>
          <w:bCs/>
          <w:sz w:val="30"/>
          <w:szCs w:val="30"/>
          <w:lang w:val="en-US" w:eastAsia="zh-CN"/>
        </w:rPr>
        <w:t>（一）资金来源情况</w:t>
      </w:r>
      <w:bookmarkEnd w:id="37"/>
      <w:bookmarkEnd w:id="38"/>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58" w:name="_Toc13949"/>
      <w:bookmarkStart w:id="59" w:name="_Toc21684"/>
      <w:r>
        <w:rPr>
          <w:rFonts w:hint="eastAsia" w:ascii="Times New Roman" w:hAnsi="Times New Roman" w:eastAsia="方正仿宋_GBK" w:cs="Times New Roman"/>
          <w:color w:val="auto"/>
          <w:kern w:val="2"/>
          <w:sz w:val="30"/>
          <w:szCs w:val="30"/>
          <w:highlight w:val="none"/>
          <w:lang w:val="en-US" w:eastAsia="zh-CN" w:bidi="ar-SA"/>
        </w:rPr>
        <w:t>2022年4月29日，根据《自治区住房和城乡建设厅关于拨付2022年重点小城镇和高质量美丽宜居村庄建设项目奖补资金的请示</w:t>
      </w:r>
      <w:r>
        <w:rPr>
          <w:rFonts w:hint="eastAsia" w:ascii="Times New Roman" w:hAnsi="Times New Roman" w:eastAsia="方正仿宋_GB2312" w:cs="Times New Roman"/>
          <w:kern w:val="2"/>
          <w:sz w:val="30"/>
          <w:szCs w:val="30"/>
          <w:lang w:val="en-US" w:eastAsia="zh-CN" w:bidi="ar-SA"/>
        </w:rPr>
        <w:t>》（宁建发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17号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《自治区财政厅 自治区住建厅关于下达2022年重点小城镇、高质量美丽宜居村庄建设项目奖补资金预算的通知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139号</w:t>
      </w:r>
      <w:r>
        <w:rPr>
          <w:rFonts w:hint="eastAsia" w:ascii="Times New Roman" w:hAnsi="Times New Roman" w:eastAsia="方正仿宋_GB2312" w:cs="Times New Roman"/>
          <w:kern w:val="2"/>
          <w:sz w:val="30"/>
          <w:szCs w:val="30"/>
          <w:lang w:val="en-US" w:eastAsia="zh-CN" w:bidi="ar-SA"/>
        </w:rPr>
        <w:t>）和《关于做好2022年全面推进乡村振兴重点工作的实施意见》（宁党发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要求，将项目奖补资金落实到具体项目。</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60" w:name="_Toc5923"/>
      <w:bookmarkStart w:id="61" w:name="_Toc13592"/>
      <w:r>
        <w:rPr>
          <w:rFonts w:hint="eastAsia"/>
          <w:b/>
          <w:bCs/>
          <w:sz w:val="30"/>
          <w:szCs w:val="30"/>
          <w:lang w:val="en-US" w:eastAsia="zh-CN"/>
        </w:rPr>
        <w:t>（二）资金到位情况</w:t>
      </w:r>
      <w:bookmarkEnd w:id="60"/>
      <w:bookmarkEnd w:id="61"/>
    </w:p>
    <w:p>
      <w:pPr>
        <w:keepNext w:val="0"/>
        <w:keepLines w:val="0"/>
        <w:widowControl/>
        <w:suppressLineNumbers w:val="0"/>
        <w:jc w:val="left"/>
        <w:rPr>
          <w:rFonts w:hint="eastAsia"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项目概算总投资 650.94 万元，其中：工程费用 604.77 万元，其他费用 27.21 万元，预备费 18.96 万元。</w:t>
      </w:r>
    </w:p>
    <w:p>
      <w:pPr>
        <w:keepNext w:val="0"/>
        <w:keepLines w:val="0"/>
        <w:widowControl/>
        <w:suppressLineNumbers w:val="0"/>
        <w:jc w:val="left"/>
        <w:rPr>
          <w:rFonts w:hint="default"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截至评价时点，实际到位资金200.00万元，资金到位率100%，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2312" w:cs="Times New Roman"/>
          <w:sz w:val="30"/>
          <w:szCs w:val="30"/>
          <w:lang w:val="en-US" w:eastAsia="zh-CN"/>
        </w:rPr>
        <w:t>。</w:t>
      </w:r>
    </w:p>
    <w:p>
      <w:pPr>
        <w:pStyle w:val="4"/>
        <w:bidi w:val="0"/>
        <w:rPr>
          <w:rFonts w:hint="default"/>
          <w:lang w:val="en-US" w:eastAsia="zh-CN"/>
        </w:rPr>
      </w:pPr>
      <w:bookmarkStart w:id="62" w:name="_Toc21368"/>
      <w:bookmarkStart w:id="63" w:name="_Toc3804"/>
      <w:r>
        <w:rPr>
          <w:rFonts w:hint="eastAsia"/>
          <w:lang w:val="en-US" w:eastAsia="zh-CN"/>
        </w:rPr>
        <w:t>（三）资金管理情况</w:t>
      </w:r>
      <w:bookmarkEnd w:id="62"/>
      <w:bookmarkEnd w:id="63"/>
    </w:p>
    <w:p>
      <w:pPr>
        <w:overflowPunct w:val="0"/>
        <w:adjustRightInd w:val="0"/>
        <w:snapToGrid w:val="0"/>
        <w:spacing w:line="560" w:lineRule="exact"/>
        <w:ind w:firstLine="592"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w:t>
      </w:r>
      <w:r>
        <w:rPr>
          <w:rFonts w:hint="eastAsia" w:ascii="Times New Roman" w:hAnsi="Times New Roman" w:eastAsia="方正仿宋_GB2312" w:cs="Times New Roman"/>
          <w:kern w:val="2"/>
          <w:sz w:val="30"/>
          <w:szCs w:val="30"/>
          <w:lang w:val="en-US" w:eastAsia="zh-CN" w:bidi="ar-SA"/>
        </w:rPr>
        <w:t>宁夏回族自治区小城镇和村庄建设项目资金管理办法》（宁财建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476号</w:t>
      </w:r>
      <w:r>
        <w:rPr>
          <w:rFonts w:hint="eastAsia" w:ascii="Times New Roman" w:hAnsi="Times New Roman" w:eastAsia="方正仿宋_GB2312" w:cs="Times New Roman"/>
          <w:kern w:val="2"/>
          <w:sz w:val="30"/>
          <w:szCs w:val="30"/>
          <w:lang w:val="en-US" w:eastAsia="zh-CN" w:bidi="ar-SA"/>
        </w:rPr>
        <w:t>），同心县住房和城乡建设局</w:t>
      </w:r>
      <w:r>
        <w:rPr>
          <w:rFonts w:hint="eastAsia" w:ascii="Times New Roman" w:hAnsi="Times New Roman" w:eastAsia="方正仿宋_GBK" w:cs="Times New Roman"/>
          <w:color w:val="auto"/>
          <w:kern w:val="2"/>
          <w:sz w:val="30"/>
          <w:szCs w:val="30"/>
          <w:highlight w:val="none"/>
          <w:lang w:val="en-US" w:eastAsia="zh-CN" w:bidi="ar-SA"/>
        </w:rPr>
        <w:t>并结合项目方案的要求，对项目资金进行管理和实施监督检查，每笔资金在拨付使用过程中均能够严格执行各项管理制度。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专项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p>
      <w:pPr>
        <w:pStyle w:val="4"/>
        <w:bidi w:val="0"/>
        <w:rPr>
          <w:rFonts w:hint="default"/>
          <w:lang w:val="en-US" w:eastAsia="zh-CN"/>
        </w:rPr>
      </w:pPr>
      <w:bookmarkStart w:id="64" w:name="_Toc8250"/>
      <w:bookmarkStart w:id="65" w:name="_Toc6553"/>
      <w:r>
        <w:rPr>
          <w:rFonts w:hint="eastAsia"/>
          <w:lang w:val="en-US" w:eastAsia="zh-CN"/>
        </w:rPr>
        <w:t>（四）资金使用情况</w:t>
      </w:r>
      <w:bookmarkEnd w:id="64"/>
      <w:bookmarkEnd w:id="65"/>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K" w:cs="Times New Roman"/>
          <w:color w:val="auto"/>
          <w:kern w:val="2"/>
          <w:sz w:val="30"/>
          <w:szCs w:val="30"/>
          <w:highlight w:val="none"/>
          <w:lang w:val="en-US" w:eastAsia="zh-CN" w:bidi="ar-SA"/>
        </w:rPr>
        <w:t>同心县丁塘镇2022年高质量美丽宜居村庄奖补资金项目实际到位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2312" w:cs="Times New Roman"/>
          <w:sz w:val="30"/>
          <w:szCs w:val="30"/>
          <w:lang w:val="en-US" w:eastAsia="zh-CN"/>
        </w:rPr>
        <w:t>200.00</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200.00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2312" w:cs="Times New Roman"/>
          <w:sz w:val="30"/>
          <w:szCs w:val="30"/>
          <w:lang w:val="en-US" w:eastAsia="zh-CN"/>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方正仿宋_GBK" w:hAnsi="方正仿宋_GBK" w:eastAsia="方正仿宋_GBK" w:cs="方正仿宋_GBK"/>
          <w:kern w:val="44"/>
          <w:sz w:val="28"/>
          <w:szCs w:val="28"/>
          <w:lang w:eastAsia="zh-CN"/>
        </w:rPr>
        <w:t>。</w:t>
      </w:r>
      <w:bookmarkEnd w:id="58"/>
      <w:bookmarkEnd w:id="59"/>
      <w:bookmarkStart w:id="66" w:name="_Toc31342"/>
      <w:bookmarkStart w:id="67" w:name="_Toc2578"/>
    </w:p>
    <w:bookmarkEnd w:id="66"/>
    <w:bookmarkEnd w:id="67"/>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68" w:name="_Toc1501"/>
      <w:r>
        <w:rPr>
          <w:rFonts w:hint="eastAsia" w:asciiTheme="majorEastAsia" w:hAnsiTheme="majorEastAsia" w:eastAsiaTheme="majorEastAsia" w:cstheme="majorEastAsia"/>
          <w:b/>
          <w:bCs/>
          <w:sz w:val="30"/>
          <w:szCs w:val="30"/>
          <w:lang w:val="en-US" w:eastAsia="zh-CN"/>
        </w:rPr>
        <w:t>三、项目绩效</w:t>
      </w:r>
      <w:bookmarkEnd w:id="39"/>
      <w:bookmarkEnd w:id="40"/>
      <w:bookmarkEnd w:id="41"/>
      <w:bookmarkEnd w:id="42"/>
      <w:bookmarkEnd w:id="43"/>
      <w:bookmarkEnd w:id="44"/>
      <w:bookmarkEnd w:id="45"/>
      <w:bookmarkEnd w:id="46"/>
      <w:bookmarkEnd w:id="47"/>
      <w:bookmarkEnd w:id="48"/>
      <w:r>
        <w:rPr>
          <w:rFonts w:hint="eastAsia" w:asciiTheme="majorEastAsia" w:hAnsiTheme="majorEastAsia" w:eastAsiaTheme="majorEastAsia" w:cstheme="majorEastAsia"/>
          <w:b/>
          <w:bCs/>
          <w:sz w:val="30"/>
          <w:szCs w:val="30"/>
          <w:lang w:val="en-US" w:eastAsia="zh-CN"/>
        </w:rPr>
        <w:t>目标</w:t>
      </w:r>
      <w:bookmarkEnd w:id="68"/>
    </w:p>
    <w:p>
      <w:pPr>
        <w:pStyle w:val="4"/>
        <w:keepNext/>
        <w:keepLines/>
        <w:pageBreakBefore w:val="0"/>
        <w:widowControl/>
        <w:numPr>
          <w:ilvl w:val="-1"/>
          <w:numId w:val="0"/>
        </w:numPr>
        <w:kinsoku/>
        <w:wordWrap/>
        <w:overflowPunct w:val="0"/>
        <w:topLinePunct w:val="0"/>
        <w:autoSpaceDE/>
        <w:autoSpaceDN/>
        <w:bidi w:val="0"/>
        <w:adjustRightInd/>
        <w:snapToGrid w:val="0"/>
        <w:spacing w:before="0"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69" w:name="_Toc15787"/>
      <w:bookmarkStart w:id="70" w:name="_Toc23578"/>
      <w:bookmarkStart w:id="71" w:name="_Toc8204"/>
      <w:r>
        <w:rPr>
          <w:rFonts w:hint="eastAsia" w:ascii="方正楷体_GBK" w:hAnsi="方正楷体_GBK" w:eastAsia="方正楷体_GBK" w:cs="方正楷体_GBK"/>
          <w:sz w:val="30"/>
          <w:szCs w:val="30"/>
          <w:lang w:val="en-US" w:eastAsia="zh-CN"/>
        </w:rPr>
        <w:t>（一）绩效目标</w:t>
      </w:r>
      <w:bookmarkEnd w:id="69"/>
    </w:p>
    <w:bookmarkEnd w:id="70"/>
    <w:bookmarkEnd w:id="71"/>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丁塘镇</w:t>
      </w:r>
      <w:r>
        <w:rPr>
          <w:rFonts w:hint="default" w:ascii="Times New Roman" w:hAnsi="Times New Roman" w:eastAsia="方正仿宋_GBK" w:cs="Times New Roman"/>
          <w:color w:val="auto"/>
          <w:kern w:val="2"/>
          <w:sz w:val="30"/>
          <w:szCs w:val="30"/>
          <w:highlight w:val="none"/>
          <w:lang w:val="en-US" w:eastAsia="zh-CN" w:bidi="ar-SA"/>
        </w:rPr>
        <w:t>实施涵盖上下给排水、道路交通、绿化亮化、文化体育、乡镇公厕、</w:t>
      </w:r>
      <w:r>
        <w:rPr>
          <w:rFonts w:hint="eastAsia" w:ascii="Times New Roman" w:hAnsi="Times New Roman" w:eastAsia="方正仿宋_GBK" w:cs="Times New Roman"/>
          <w:color w:val="auto"/>
          <w:kern w:val="2"/>
          <w:sz w:val="30"/>
          <w:szCs w:val="30"/>
          <w:highlight w:val="none"/>
          <w:lang w:val="en-US" w:eastAsia="zh-CN" w:bidi="ar-SA"/>
        </w:rPr>
        <w:t>乡村大舞台</w:t>
      </w:r>
      <w:r>
        <w:rPr>
          <w:rFonts w:hint="default" w:ascii="Times New Roman" w:hAnsi="Times New Roman" w:eastAsia="方正仿宋_GBK" w:cs="Times New Roman"/>
          <w:color w:val="auto"/>
          <w:kern w:val="2"/>
          <w:sz w:val="30"/>
          <w:szCs w:val="30"/>
          <w:highlight w:val="none"/>
          <w:lang w:val="en-US" w:eastAsia="zh-CN" w:bidi="ar-SA"/>
        </w:rPr>
        <w:t>等基础设施建设和改造提升项目，全</w:t>
      </w:r>
      <w:r>
        <w:rPr>
          <w:rFonts w:hint="eastAsia" w:ascii="Times New Roman" w:hAnsi="Times New Roman" w:eastAsia="方正仿宋_GBK" w:cs="Times New Roman"/>
          <w:color w:val="auto"/>
          <w:kern w:val="2"/>
          <w:sz w:val="30"/>
          <w:szCs w:val="30"/>
          <w:highlight w:val="none"/>
          <w:lang w:val="en-US" w:eastAsia="zh-CN" w:bidi="ar-SA"/>
        </w:rPr>
        <w:t>镇</w:t>
      </w:r>
      <w:r>
        <w:rPr>
          <w:rFonts w:hint="default" w:ascii="Times New Roman" w:hAnsi="Times New Roman" w:eastAsia="方正仿宋_GBK" w:cs="Times New Roman"/>
          <w:color w:val="auto"/>
          <w:kern w:val="2"/>
          <w:sz w:val="30"/>
          <w:szCs w:val="30"/>
          <w:highlight w:val="none"/>
          <w:lang w:val="en-US" w:eastAsia="zh-CN" w:bidi="ar-SA"/>
        </w:rPr>
        <w:t>的城镇面貌、城镇秩序、发展环境和对外形象发生了根本转变，城镇“颜值”全面提升，文明新风尚进一步形成。</w:t>
      </w:r>
    </w:p>
    <w:p>
      <w:pPr>
        <w:pStyle w:val="4"/>
        <w:numPr>
          <w:ilvl w:val="0"/>
          <w:numId w:val="2"/>
        </w:numPr>
        <w:bidi w:val="0"/>
        <w:rPr>
          <w:rFonts w:hint="eastAsia"/>
          <w:lang w:val="en-US" w:eastAsia="zh-CN"/>
        </w:rPr>
      </w:pPr>
      <w:bookmarkStart w:id="72" w:name="_Toc6859"/>
      <w:bookmarkStart w:id="73" w:name="_Toc29105"/>
      <w:bookmarkStart w:id="74" w:name="_Toc14029"/>
      <w:r>
        <w:rPr>
          <w:rFonts w:hint="eastAsia"/>
          <w:lang w:val="en-US" w:eastAsia="zh-CN"/>
        </w:rPr>
        <w:t>项目绩效</w:t>
      </w:r>
      <w:bookmarkEnd w:id="72"/>
      <w:bookmarkEnd w:id="73"/>
      <w:bookmarkStart w:id="75" w:name="_Toc11708"/>
      <w:bookmarkStart w:id="76" w:name="_Toc14067"/>
      <w:bookmarkStart w:id="77" w:name="_Toc13598"/>
      <w:r>
        <w:rPr>
          <w:rFonts w:hint="eastAsia"/>
          <w:lang w:val="en-US" w:eastAsia="zh-CN"/>
        </w:rPr>
        <w:t>目标</w:t>
      </w:r>
      <w:bookmarkEnd w:id="74"/>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通过前期实地调研，评价组与被评价单位进行充分、有效地沟通，依据项目的功能特性，明确项目在一定时期内的总体产出和效果，以定性和定量的方式确定所要实现的目标，明确了总体绩效目标。具体情况如下表：</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lang w:val="en-US" w:eastAsia="zh-CN"/>
        </w:rPr>
      </w:pPr>
      <w:r>
        <w:rPr>
          <w:rFonts w:hint="eastAsia" w:ascii="Times New Roman" w:hAnsi="Times New Roman" w:eastAsia="方正仿宋_GBK" w:cs="Times New Roman"/>
          <w:b w:val="0"/>
          <w:bCs w:val="0"/>
          <w:color w:val="auto"/>
          <w:kern w:val="2"/>
          <w:sz w:val="30"/>
          <w:szCs w:val="30"/>
          <w:highlight w:val="none"/>
          <w:lang w:val="en-US" w:eastAsia="zh-CN" w:bidi="ar-SA"/>
        </w:rPr>
        <w:t>项目绩效目标完成表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06"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同心县丁塘镇2022年高质量美丽宜居村庄奖补资金项目绩效评价报告项目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eastAsia="zh-CN"/>
              </w:rPr>
              <w:t>同心县</w:t>
            </w:r>
            <w:r>
              <w:rPr>
                <w:rFonts w:hint="eastAsia" w:ascii="Times New Roman" w:hAnsi="Times New Roman" w:eastAsia="方正仿宋_GBK" w:cs="Times New Roman"/>
                <w:i w:val="0"/>
                <w:iCs w:val="0"/>
                <w:color w:val="000000"/>
                <w:sz w:val="21"/>
                <w:szCs w:val="21"/>
                <w:u w:val="none"/>
                <w:lang w:val="en-US" w:eastAsia="zh-CN"/>
              </w:rPr>
              <w:t>丁塘镇人民政府</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200.00万元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实施的新建项目全部按期开工建设并保质保量完成；</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412" w:firstLineChars="200"/>
              <w:jc w:val="both"/>
              <w:textAlignment w:val="auto"/>
              <w:rPr>
                <w:rFonts w:hint="eastAsia"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全面带动效应充分显现同心县积极开展美丽城镇建设，以构建镇、村生活圈为核心，为城乡居民提供舒适便捷的生活环境，取得了显著成效。</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left"/>
              <w:textAlignment w:val="auto"/>
              <w:rPr>
                <w:rFonts w:hint="eastAsia" w:ascii="Times New Roman" w:hAnsi="Times New Roman" w:eastAsia="方正仿宋_GBK"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巷道安装太阳能路灯</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≥100盏</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混凝土道路硬化</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680m</w:t>
            </w:r>
            <w:r>
              <w:rPr>
                <w:rFonts w:hint="eastAsia" w:ascii="Times New Roman" w:hAnsi="Times New Roman" w:eastAsia="方正仿宋_GBK" w:cs="Times New Roman"/>
                <w:i w:val="0"/>
                <w:iCs w:val="0"/>
                <w:color w:val="000000"/>
                <w:kern w:val="0"/>
                <w:sz w:val="22"/>
                <w:szCs w:val="22"/>
                <w:u w:val="none"/>
                <w:vertAlign w:val="superscript"/>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680m</w:t>
            </w:r>
            <w:r>
              <w:rPr>
                <w:rFonts w:hint="eastAsia" w:ascii="Times New Roman" w:hAnsi="Times New Roman" w:eastAsia="方正仿宋_GBK" w:cs="Times New Roman"/>
                <w:i w:val="0"/>
                <w:iCs w:val="0"/>
                <w:color w:val="000000"/>
                <w:kern w:val="0"/>
                <w:sz w:val="22"/>
                <w:szCs w:val="22"/>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绿化补植</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10000棵</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篮球场场地塑胶铺装</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2000m</w:t>
            </w:r>
            <w:r>
              <w:rPr>
                <w:rFonts w:hint="eastAsia" w:ascii="Times New Roman" w:hAnsi="Times New Roman" w:eastAsia="方正仿宋_GBK" w:cs="Times New Roman"/>
                <w:i w:val="0"/>
                <w:iCs w:val="0"/>
                <w:color w:val="000000"/>
                <w:kern w:val="0"/>
                <w:sz w:val="22"/>
                <w:szCs w:val="22"/>
                <w:u w:val="none"/>
                <w:vertAlign w:val="superscript"/>
                <w:lang w:val="en-US" w:eastAsia="zh-CN" w:bidi="ar"/>
              </w:rPr>
              <w:t>2</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2000m</w:t>
            </w:r>
            <w:r>
              <w:rPr>
                <w:rFonts w:hint="eastAsia" w:ascii="Times New Roman" w:hAnsi="Times New Roman" w:eastAsia="方正仿宋_GBK" w:cs="Times New Roman"/>
                <w:i w:val="0"/>
                <w:iCs w:val="0"/>
                <w:color w:val="000000"/>
                <w:kern w:val="0"/>
                <w:sz w:val="22"/>
                <w:szCs w:val="22"/>
                <w:u w:val="none"/>
                <w:vertAlign w:val="superscript"/>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财务决算审核完成及时率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提升村镇整体形象</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建立健全长期维护机制</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8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≥93%</w:t>
            </w:r>
          </w:p>
        </w:tc>
      </w:tr>
      <w:bookmarkEnd w:id="75"/>
      <w:bookmarkEnd w:id="76"/>
      <w:bookmarkEnd w:id="77"/>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78" w:name="_Toc12031"/>
      <w:bookmarkStart w:id="79" w:name="_Toc2876"/>
      <w:bookmarkStart w:id="80" w:name="_Toc6582"/>
      <w:r>
        <w:rPr>
          <w:rFonts w:hint="eastAsia" w:asciiTheme="majorEastAsia" w:hAnsiTheme="majorEastAsia" w:eastAsiaTheme="majorEastAsia" w:cstheme="majorEastAsia"/>
          <w:b/>
          <w:bCs/>
          <w:sz w:val="30"/>
          <w:szCs w:val="30"/>
          <w:lang w:val="en-US" w:eastAsia="zh-CN"/>
        </w:rPr>
        <w:t>四、绩效评价工作开展情况</w:t>
      </w:r>
      <w:bookmarkEnd w:id="78"/>
      <w:bookmarkEnd w:id="79"/>
      <w:bookmarkEnd w:id="80"/>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1" w:name="_Toc13888"/>
      <w:bookmarkStart w:id="82" w:name="_Toc30230"/>
      <w:bookmarkStart w:id="83" w:name="_Toc23289"/>
      <w:r>
        <w:rPr>
          <w:rFonts w:hint="eastAsia" w:ascii="方正楷体_GBK" w:hAnsi="方正楷体_GBK" w:eastAsia="方正楷体_GBK" w:cs="方正楷体_GBK"/>
          <w:b/>
          <w:bCs/>
          <w:sz w:val="30"/>
          <w:szCs w:val="30"/>
          <w:lang w:val="en-US" w:eastAsia="zh-CN"/>
        </w:rPr>
        <w:t>（一）绩效评价目的</w:t>
      </w:r>
      <w:bookmarkEnd w:id="81"/>
      <w:bookmarkEnd w:id="82"/>
      <w:bookmarkEnd w:id="83"/>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1.</w:t>
      </w:r>
      <w:r>
        <w:rPr>
          <w:rFonts w:hint="default" w:ascii="Times New Roman" w:hAnsi="Times New Roman" w:eastAsia="方正仿宋_GBK" w:cs="Times New Roman"/>
          <w:sz w:val="30"/>
          <w:szCs w:val="30"/>
          <w:lang w:val="en-US" w:eastAsia="zh-CN"/>
        </w:rPr>
        <w:t>通过绩效评价，对预算资金的投入、过程、产出、效果四个方面进行绩效评价，反映项目规范性、绩效目标设立的合理性和科学性、资金到位、支出情况，形成真实完整数据准确、分析透彻、逻辑清晰、客观公正的绩效评价结论为项目后续资金投入、分配和管理提供决策依据</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同时作为以后年度</w:t>
      </w:r>
      <w:r>
        <w:rPr>
          <w:rFonts w:hint="eastAsia" w:ascii="Times New Roman" w:hAnsi="Times New Roman" w:eastAsia="方正仿宋_GBK" w:cs="Times New Roman"/>
          <w:sz w:val="30"/>
          <w:szCs w:val="30"/>
          <w:lang w:val="en-US" w:eastAsia="zh-CN"/>
        </w:rPr>
        <w:t>同心县</w:t>
      </w:r>
      <w:r>
        <w:rPr>
          <w:rFonts w:hint="default" w:ascii="Times New Roman" w:hAnsi="Times New Roman" w:eastAsia="方正仿宋_GBK" w:cs="Times New Roman"/>
          <w:sz w:val="30"/>
          <w:szCs w:val="30"/>
          <w:lang w:val="en-US" w:eastAsia="zh-CN"/>
        </w:rPr>
        <w:t>编制预算和安排财政项目资金的重要依据逐步树立以结果为导向、讲求绩效的观念。</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sz w:val="30"/>
          <w:szCs w:val="30"/>
          <w:lang w:val="en-US" w:eastAsia="zh-CN"/>
        </w:rPr>
        <w:t>通过绩效评价，考察</w:t>
      </w:r>
      <w:r>
        <w:rPr>
          <w:rFonts w:hint="eastAsia" w:ascii="Times New Roman" w:hAnsi="Times New Roman" w:eastAsia="方正仿宋_GBK" w:cs="Times New Roman"/>
          <w:b w:val="0"/>
          <w:color w:val="auto"/>
          <w:kern w:val="2"/>
          <w:sz w:val="30"/>
          <w:szCs w:val="30"/>
          <w:highlight w:val="none"/>
          <w:lang w:val="en-US" w:eastAsia="zh-CN" w:bidi="ar-SA"/>
        </w:rPr>
        <w:t>同心县丁塘镇2022年高质量美丽宜居村庄奖补资金项目绩效评价报告项目项目</w:t>
      </w:r>
      <w:r>
        <w:rPr>
          <w:rFonts w:hint="default" w:ascii="Times New Roman" w:hAnsi="Times New Roman" w:eastAsia="方正仿宋_GBK" w:cs="Times New Roman"/>
          <w:sz w:val="30"/>
          <w:szCs w:val="30"/>
          <w:lang w:val="en-US" w:eastAsia="zh-CN"/>
        </w:rPr>
        <w:t>资金使用的安全性、规范性和效益性。通过评价、总结项目实施的做法、经验和教训，提出改进措施和建设性意见，为项目绩效管理提供决策参考及政策制定依据。</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3.</w:t>
      </w:r>
      <w:r>
        <w:rPr>
          <w:rFonts w:hint="default" w:ascii="Times New Roman" w:hAnsi="Times New Roman" w:eastAsia="方正仿宋_GBK" w:cs="Times New Roman"/>
          <w:b w:val="0"/>
          <w:kern w:val="2"/>
          <w:sz w:val="30"/>
          <w:szCs w:val="30"/>
          <w:lang w:val="en-US" w:eastAsia="zh-CN" w:bidi="ar-SA"/>
        </w:rPr>
        <w:t>通过绩效评价，能够让各级工作人员认识到发挥项目资金效益的重要性，强化工作职责，能够更清晰地界定工作的内容与其需要达到的标准</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能够让工作人员清楚认识到各自的问题和不足，激励加强项目管理、资金管理、绩效评价理论学习和实践活动，提高工作效率。同时也可在实践中检验绩效评价工作的针对性和可操作性，推动绩效评价的制度体系建设。</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4" w:name="_Toc16450"/>
      <w:r>
        <w:rPr>
          <w:rFonts w:hint="eastAsia" w:ascii="方正楷体_GBK" w:hAnsi="方正楷体_GBK" w:eastAsia="方正楷体_GBK" w:cs="方正楷体_GBK"/>
          <w:b/>
          <w:bCs/>
          <w:sz w:val="30"/>
          <w:szCs w:val="30"/>
          <w:lang w:val="en-US" w:eastAsia="zh-CN"/>
        </w:rPr>
        <w:t>（二）绩效评价对象</w:t>
      </w:r>
      <w:bookmarkEnd w:id="84"/>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 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同心县丁塘镇2022年高质量美丽宜居村庄</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奖补资金项目绩效评价报告项目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5" w:name="_Toc13578"/>
      <w:bookmarkStart w:id="86" w:name="_Toc4083"/>
      <w:bookmarkStart w:id="87" w:name="_Toc22702"/>
      <w:r>
        <w:rPr>
          <w:rFonts w:hint="eastAsia" w:ascii="方正楷体_GBK" w:hAnsi="方正楷体_GBK" w:eastAsia="方正楷体_GBK" w:cs="方正楷体_GBK"/>
          <w:b/>
          <w:bCs/>
          <w:sz w:val="30"/>
          <w:szCs w:val="30"/>
          <w:lang w:val="en-US" w:eastAsia="zh-CN"/>
        </w:rPr>
        <w:t>（三）评价依据</w:t>
      </w:r>
      <w:bookmarkEnd w:id="85"/>
      <w:bookmarkEnd w:id="86"/>
      <w:bookmarkEnd w:id="87"/>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9.《自治区住房和城乡建设厅关于拨付2022年重点小城镇和高质量美丽宜居村庄建设项目奖补资金的请示</w:t>
      </w:r>
      <w:r>
        <w:rPr>
          <w:rFonts w:hint="eastAsia" w:ascii="Times New Roman" w:hAnsi="Times New Roman" w:eastAsia="方正仿宋_GB2312" w:cs="Times New Roman"/>
          <w:kern w:val="2"/>
          <w:sz w:val="30"/>
          <w:szCs w:val="30"/>
          <w:lang w:val="en-US" w:eastAsia="zh-CN" w:bidi="ar-SA"/>
        </w:rPr>
        <w:t>》（宁建发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17号</w:t>
      </w:r>
      <w:r>
        <w:rPr>
          <w:rFonts w:hint="eastAsia" w:ascii="Times New Roman" w:hAnsi="Times New Roman" w:eastAsia="方正仿宋_GB2312" w:cs="Times New Roman"/>
          <w:kern w:val="2"/>
          <w:sz w:val="30"/>
          <w:szCs w:val="30"/>
          <w:lang w:val="en-US" w:eastAsia="zh-CN" w:bidi="ar-SA"/>
        </w:rPr>
        <w:t>）</w:t>
      </w:r>
    </w:p>
    <w:p>
      <w:pPr>
        <w:rPr>
          <w:rFonts w:hint="default"/>
          <w:lang w:val="en-US" w:eastAsia="zh-CN"/>
        </w:rPr>
      </w:pPr>
      <w:r>
        <w:rPr>
          <w:rFonts w:hint="eastAsia" w:ascii="Times New Roman" w:hAnsi="Times New Roman" w:eastAsia="方正仿宋_GB2312" w:cs="Times New Roman"/>
          <w:kern w:val="2"/>
          <w:sz w:val="30"/>
          <w:szCs w:val="30"/>
          <w:lang w:val="en-US" w:eastAsia="zh-CN" w:bidi="ar-SA"/>
        </w:rPr>
        <w:t>10.</w:t>
      </w:r>
      <w:r>
        <w:rPr>
          <w:rFonts w:hint="eastAsia" w:ascii="Times New Roman" w:hAnsi="Times New Roman" w:eastAsia="方正仿宋_GBK" w:cs="Times New Roman"/>
          <w:color w:val="auto"/>
          <w:kern w:val="2"/>
          <w:sz w:val="30"/>
          <w:szCs w:val="30"/>
          <w:highlight w:val="none"/>
          <w:lang w:val="en-US" w:eastAsia="zh-CN" w:bidi="ar-SA"/>
        </w:rPr>
        <w:t>《自治区财政厅 自治区住建厅关于下达2022年重点小城镇、高质量美丽宜居村庄建设项目奖补资金预算的通知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139号</w:t>
      </w:r>
      <w:r>
        <w:rPr>
          <w:rFonts w:hint="eastAsia" w:ascii="Times New Roman" w:hAnsi="Times New Roman" w:eastAsia="方正仿宋_GB2312" w:cs="Times New Roman"/>
          <w:kern w:val="2"/>
          <w:sz w:val="30"/>
          <w:szCs w:val="30"/>
          <w:lang w:val="en-US" w:eastAsia="zh-CN" w:bidi="ar-SA"/>
        </w:rPr>
        <w:t>）</w:t>
      </w:r>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88" w:name="_Toc18744"/>
      <w:bookmarkStart w:id="89" w:name="_Toc27299"/>
      <w:r>
        <w:rPr>
          <w:rFonts w:hint="eastAsia" w:ascii="Times New Roman" w:hAnsi="Times New Roman" w:eastAsia="方正仿宋_GBK" w:cs="Times New Roman"/>
          <w:kern w:val="2"/>
          <w:sz w:val="30"/>
          <w:szCs w:val="30"/>
          <w:lang w:val="en-US" w:eastAsia="zh-CN" w:bidi="ar-SA"/>
        </w:rPr>
        <w:t>11.《关于同心县丁塘镇团结村高质量美丽宜居村庄建设项目初步设计的批复》（同发改审发</w:t>
      </w:r>
      <w:r>
        <w:rPr>
          <w:rFonts w:hint="default" w:ascii="Times New Roman" w:hAnsi="Times New Roman" w:eastAsia="方正仿宋_GBK" w:cs="Times New Roman"/>
          <w:kern w:val="2"/>
          <w:sz w:val="30"/>
          <w:szCs w:val="30"/>
          <w:lang w:val="en-US" w:eastAsia="zh-CN" w:bidi="ar-SA"/>
        </w:rPr>
        <w:t>〔20</w:t>
      </w:r>
      <w:r>
        <w:rPr>
          <w:rFonts w:hint="eastAsia" w:ascii="Times New Roman" w:hAnsi="Times New Roman" w:eastAsia="方正仿宋_GBK" w:cs="Times New Roman"/>
          <w:kern w:val="2"/>
          <w:sz w:val="30"/>
          <w:szCs w:val="30"/>
          <w:lang w:val="en-US" w:eastAsia="zh-CN" w:bidi="ar-SA"/>
        </w:rPr>
        <w:t>21</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250</w:t>
      </w:r>
      <w:r>
        <w:rPr>
          <w:rFonts w:hint="default" w:ascii="Times New Roman" w:hAnsi="Times New Roman" w:eastAsia="方正仿宋_GBK" w:cs="Times New Roman"/>
          <w:kern w:val="2"/>
          <w:sz w:val="30"/>
          <w:szCs w:val="30"/>
          <w:lang w:val="en-US" w:eastAsia="zh-CN" w:bidi="ar-SA"/>
        </w:rPr>
        <w:t>号）</w:t>
      </w:r>
      <w:bookmarkEnd w:id="88"/>
      <w:bookmarkEnd w:id="89"/>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12.相关行业政策、行业标准及专业技术规范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13.项目单位反映项目管理的有关资料，项目安排计划、资金拨付支出相关文件和凭证资料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14.其他相关资料。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0" w:name="_Toc8570"/>
      <w:bookmarkStart w:id="91" w:name="_Toc17802"/>
      <w:bookmarkStart w:id="92" w:name="_Toc29771"/>
      <w:r>
        <w:rPr>
          <w:rFonts w:hint="eastAsia" w:ascii="方正楷体_GBK" w:hAnsi="方正楷体_GBK" w:eastAsia="方正楷体_GBK" w:cs="方正楷体_GBK"/>
          <w:b/>
          <w:bCs/>
          <w:sz w:val="30"/>
          <w:szCs w:val="30"/>
          <w:lang w:val="en-US" w:eastAsia="zh-CN"/>
        </w:rPr>
        <w:t>（四）评价原则</w:t>
      </w:r>
      <w:bookmarkEnd w:id="90"/>
      <w:bookmarkEnd w:id="91"/>
      <w:bookmarkEnd w:id="92"/>
    </w:p>
    <w:p>
      <w:pPr>
        <w:rPr>
          <w:rFonts w:hint="default" w:ascii="Times New Roman" w:hAnsi="Times New Roman" w:eastAsia="方正仿宋_GBK" w:cs="Times New Roman"/>
          <w:b w:val="0"/>
          <w:bCs w:val="0"/>
          <w:kern w:val="0"/>
          <w:sz w:val="30"/>
          <w:szCs w:val="30"/>
          <w:lang w:val="en-US" w:eastAsia="zh-CN" w:bidi="zh-CN"/>
        </w:rPr>
      </w:pPr>
      <w:bookmarkStart w:id="93" w:name="_Toc23108"/>
      <w:bookmarkStart w:id="94" w:name="_Toc14020"/>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，按照《财政部关于委托第三方机构参与预算绩效管理的指导意见》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(2021) 6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《自治区财政厅预算绩效一体化管理暂行办法》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）和</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5" w:name="_Toc16040"/>
      <w:r>
        <w:rPr>
          <w:rFonts w:hint="eastAsia" w:ascii="方正楷体_GBK" w:hAnsi="方正楷体_GBK" w:eastAsia="方正楷体_GBK" w:cs="方正楷体_GBK"/>
          <w:b/>
          <w:bCs/>
          <w:sz w:val="30"/>
          <w:szCs w:val="30"/>
          <w:lang w:val="en-US" w:eastAsia="zh-CN"/>
        </w:rPr>
        <w:t>（五）评价标准</w:t>
      </w:r>
      <w:bookmarkEnd w:id="95"/>
    </w:p>
    <w:p>
      <w:pPr>
        <w:topLinePunct/>
        <w:spacing w:line="560" w:lineRule="exact"/>
        <w:ind w:firstLine="592" w:firstLineChars="200"/>
        <w:outlineLvl w:val="0"/>
        <w:rPr>
          <w:rFonts w:hint="eastAsia" w:ascii="Times New Roman" w:hAnsi="Times New Roman" w:eastAsia="方正仿宋_GBK" w:cs="Times New Roman"/>
          <w:b w:val="0"/>
          <w:bCs w:val="0"/>
          <w:kern w:val="0"/>
          <w:sz w:val="30"/>
          <w:szCs w:val="30"/>
          <w:lang w:val="en-US" w:eastAsia="zh-CN" w:bidi="zh-CN"/>
        </w:rPr>
      </w:pPr>
      <w:bookmarkStart w:id="96" w:name="_Toc13695"/>
      <w:bookmarkStart w:id="97" w:name="_Toc19737"/>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96"/>
      <w:bookmarkEnd w:id="97"/>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8" w:name="_Toc25893"/>
      <w:r>
        <w:rPr>
          <w:rFonts w:hint="eastAsia" w:ascii="方正楷体_GBK" w:hAnsi="方正楷体_GBK" w:eastAsia="方正楷体_GBK" w:cs="方正楷体_GBK"/>
          <w:b/>
          <w:bCs/>
          <w:sz w:val="30"/>
          <w:szCs w:val="30"/>
          <w:lang w:val="en-US" w:eastAsia="zh-CN"/>
        </w:rPr>
        <w:t>（六）评价指标体系</w:t>
      </w:r>
      <w:bookmarkEnd w:id="93"/>
      <w:bookmarkEnd w:id="94"/>
      <w:bookmarkEnd w:id="98"/>
      <w:bookmarkStart w:id="99" w:name="_Toc31420"/>
      <w:bookmarkStart w:id="100" w:name="_Toc3585"/>
    </w:p>
    <w:p>
      <w:pPr>
        <w:keepNext w:val="0"/>
        <w:keepLines w:val="0"/>
        <w:pageBreakBefore w:val="0"/>
        <w:numPr>
          <w:ilvl w:val="0"/>
          <w:numId w:val="0"/>
        </w:numPr>
        <w:kinsoku/>
        <w:wordWrap/>
        <w:overflowPunct w:val="0"/>
        <w:topLinePunct/>
        <w:autoSpaceDE/>
        <w:autoSpaceDN/>
        <w:bidi w:val="0"/>
        <w:adjustRightInd/>
        <w:snapToGrid/>
        <w:spacing w:line="560" w:lineRule="exact"/>
        <w:ind w:firstLine="592" w:firstLineChars="200"/>
        <w:textAlignment w:val="auto"/>
        <w:outlineLvl w:val="0"/>
        <w:rPr>
          <w:rFonts w:hint="eastAsia" w:ascii="Times New Roman" w:hAnsi="Times New Roman" w:eastAsia="方正仿宋_GBK" w:cs="Times New Roman"/>
          <w:b w:val="0"/>
          <w:bCs w:val="0"/>
          <w:kern w:val="0"/>
          <w:sz w:val="30"/>
          <w:szCs w:val="30"/>
          <w:lang w:val="en-US" w:eastAsia="zh-CN" w:bidi="zh-CN"/>
        </w:rPr>
      </w:pPr>
      <w:bookmarkStart w:id="101" w:name="_Toc6117"/>
      <w:r>
        <w:rPr>
          <w:rFonts w:hint="eastAsia" w:ascii="Times New Roman" w:hAnsi="Times New Roman" w:eastAsia="方正仿宋_GBK" w:cs="Times New Roman"/>
          <w:b w:val="0"/>
          <w:bCs w:val="0"/>
          <w:kern w:val="0"/>
          <w:sz w:val="30"/>
          <w:szCs w:val="30"/>
          <w:lang w:val="en-US" w:eastAsia="zh-CN" w:bidi="zh-CN"/>
        </w:rPr>
        <w:t>同心县丁塘镇2022年高质量美丽宜居村庄奖补资金项目绩效评价报告项目根据《项目支出绩效评价管理办法》（财预〔2020〕10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个一级指标构成，对应分解并设置 12 个二级指标、23 个三级指标。</w:t>
      </w:r>
      <w:bookmarkEnd w:id="101"/>
    </w:p>
    <w:p>
      <w:pPr>
        <w:keepNext w:val="0"/>
        <w:keepLines w:val="0"/>
        <w:pageBreakBefore w:val="0"/>
        <w:numPr>
          <w:ilvl w:val="0"/>
          <w:numId w:val="0"/>
        </w:numPr>
        <w:kinsoku/>
        <w:wordWrap/>
        <w:overflowPunct w:val="0"/>
        <w:topLinePunct/>
        <w:autoSpaceDE/>
        <w:autoSpaceDN/>
        <w:bidi w:val="0"/>
        <w:adjustRightInd/>
        <w:snapToGrid/>
        <w:spacing w:line="560" w:lineRule="exact"/>
        <w:ind w:firstLine="592" w:firstLineChars="200"/>
        <w:textAlignment w:val="auto"/>
        <w:outlineLvl w:val="0"/>
        <w:rPr>
          <w:rFonts w:hint="default" w:ascii="Times New Roman" w:hAnsi="Times New Roman" w:eastAsia="方正仿宋_GBK" w:cs="Times New Roman"/>
          <w:b w:val="0"/>
          <w:bCs w:val="0"/>
          <w:kern w:val="0"/>
          <w:sz w:val="30"/>
          <w:szCs w:val="30"/>
          <w:lang w:val="en-US" w:eastAsia="zh-CN" w:bidi="zh-CN"/>
        </w:rPr>
      </w:pPr>
      <w:bookmarkStart w:id="102" w:name="_Toc32765"/>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bookmarkEnd w:id="102"/>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效益类指标包括项目社会效益、可持续影响和满意度3个二级指标，同时对应分解并选择设置改善整体卫生环境、机制维护健全性和受益对象满意度4个三级指标进行考察评判。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103" w:name="_Toc13916"/>
      <w:bookmarkStart w:id="104" w:name="_Toc18428"/>
      <w:bookmarkStart w:id="105" w:name="_Toc3290"/>
      <w:bookmarkStart w:id="106" w:name="_Toc11592"/>
      <w:bookmarkStart w:id="107" w:name="_Toc13700"/>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103"/>
      <w:bookmarkEnd w:id="104"/>
      <w:bookmarkEnd w:id="105"/>
      <w:bookmarkEnd w:id="106"/>
      <w:bookmarkEnd w:id="107"/>
    </w:p>
    <w:tbl>
      <w:tblPr>
        <w:tblStyle w:val="21"/>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90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80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差</w:t>
            </w:r>
          </w:p>
        </w:tc>
      </w:tr>
    </w:tbl>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bookmarkStart w:id="108" w:name="_Toc14393"/>
      <w:r>
        <w:rPr>
          <w:rFonts w:hint="eastAsia" w:ascii="方正楷体_GBK" w:hAnsi="方正楷体_GBK" w:eastAsia="方正楷体_GBK" w:cs="方正楷体_GBK"/>
          <w:color w:val="auto"/>
          <w:sz w:val="30"/>
          <w:szCs w:val="30"/>
          <w:lang w:eastAsia="zh-CN"/>
        </w:rPr>
        <w:t>（七）</w:t>
      </w:r>
      <w:r>
        <w:rPr>
          <w:rFonts w:hint="eastAsia" w:ascii="方正楷体_GBK" w:hAnsi="方正楷体_GBK" w:eastAsia="方正楷体_GBK" w:cs="方正楷体_GBK"/>
          <w:color w:val="auto"/>
          <w:sz w:val="30"/>
          <w:szCs w:val="30"/>
        </w:rPr>
        <w:t>评价方法</w:t>
      </w:r>
      <w:bookmarkEnd w:id="99"/>
      <w:bookmarkEnd w:id="100"/>
      <w:bookmarkEnd w:id="108"/>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109" w:name="_Toc10922"/>
      <w:bookmarkStart w:id="110" w:name="_Toc12518"/>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109"/>
      <w:bookmarkEnd w:id="110"/>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val="0"/>
          <w:color w:val="auto"/>
          <w:kern w:val="2"/>
          <w:sz w:val="30"/>
          <w:szCs w:val="30"/>
          <w:highlight w:val="none"/>
          <w:lang w:val="en-US" w:eastAsia="zh-CN" w:bidi="ar-SA"/>
        </w:rPr>
      </w:pPr>
      <w:bookmarkStart w:id="111" w:name="_Toc17540"/>
      <w:bookmarkStart w:id="112" w:name="_Toc2624"/>
      <w:r>
        <w:rPr>
          <w:rFonts w:hint="default" w:ascii="Times New Roman" w:hAnsi="Times New Roman" w:eastAsia="方正仿宋_GBK" w:cs="Times New Roman"/>
          <w:b w:val="0"/>
          <w:color w:val="auto"/>
          <w:kern w:val="2"/>
          <w:sz w:val="30"/>
          <w:szCs w:val="30"/>
          <w:highlight w:val="none"/>
          <w:lang w:val="en-US" w:eastAsia="zh-CN" w:bidi="ar-SA"/>
        </w:rPr>
        <w:t>同心县丁塘镇2022年高质量美丽宜居村庄</w:t>
      </w:r>
      <w:bookmarkEnd w:id="111"/>
      <w:bookmarkStart w:id="113" w:name="_Toc26473"/>
      <w:r>
        <w:rPr>
          <w:rFonts w:hint="default" w:ascii="Times New Roman" w:hAnsi="Times New Roman" w:eastAsia="方正仿宋_GBK" w:cs="Times New Roman"/>
          <w:b w:val="0"/>
          <w:color w:val="auto"/>
          <w:kern w:val="2"/>
          <w:sz w:val="30"/>
          <w:szCs w:val="30"/>
          <w:highlight w:val="none"/>
          <w:lang w:val="en-US" w:eastAsia="zh-CN" w:bidi="ar-SA"/>
        </w:rPr>
        <w:t>奖补资金项目绩效评价主要采用因素分析法、比较法、现场核查法、公众评判法进行综合评价。具体评价方法如下：</w:t>
      </w:r>
      <w:bookmarkEnd w:id="112"/>
      <w:bookmarkEnd w:id="113"/>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同心县丁塘镇2022年高质量美丽宜居村庄奖补资金项目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通过查阅整理</w:t>
      </w:r>
      <w:r>
        <w:rPr>
          <w:rFonts w:hint="eastAsia" w:ascii="Times New Roman" w:hAnsi="Times New Roman" w:eastAsia="方正仿宋_GBK" w:cs="Times New Roman"/>
          <w:b w:val="0"/>
          <w:color w:val="auto"/>
          <w:kern w:val="2"/>
          <w:sz w:val="30"/>
          <w:szCs w:val="30"/>
          <w:highlight w:val="none"/>
          <w:lang w:val="en-US" w:eastAsia="zh-CN" w:bidi="ar-SA"/>
        </w:rPr>
        <w:t>同心县丁塘镇2022年高质量美丽宜居村庄奖补资金项目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同心县丁塘镇2022年高质量美丽宜居村庄奖补资金项目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同心县丁塘镇2022年高质量美丽宜居村庄奖补资金项目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w:t>
      </w:r>
      <w:r>
        <w:rPr>
          <w:rFonts w:hint="eastAsia" w:ascii="Times New Roman" w:hAnsi="Times New Roman" w:eastAsia="方正仿宋_GBK" w:cs="Times New Roman"/>
          <w:b/>
          <w:bCs/>
          <w:color w:val="auto"/>
          <w:kern w:val="2"/>
          <w:sz w:val="30"/>
          <w:szCs w:val="30"/>
          <w:highlight w:val="none"/>
          <w:lang w:val="en-US" w:eastAsia="zh-CN" w:bidi="ar-SA"/>
        </w:rPr>
        <w:t>三是</w:t>
      </w:r>
      <w:r>
        <w:rPr>
          <w:rFonts w:hint="eastAsia" w:ascii="Times New Roman" w:hAnsi="Times New Roman" w:eastAsia="方正仿宋_GBK" w:cs="Times New Roman"/>
          <w:b w:val="0"/>
          <w:color w:val="auto"/>
          <w:kern w:val="2"/>
          <w:sz w:val="30"/>
          <w:szCs w:val="30"/>
          <w:highlight w:val="none"/>
          <w:lang w:val="en-US" w:eastAsia="zh-CN" w:bidi="ar-SA"/>
        </w:rPr>
        <w:t>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114" w:name="_Toc15372"/>
      <w:bookmarkStart w:id="115" w:name="_Toc8558"/>
      <w:bookmarkStart w:id="116" w:name="_Toc14287"/>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14"/>
      <w:bookmarkEnd w:id="115"/>
      <w:bookmarkEnd w:id="116"/>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（1）</w:t>
      </w:r>
      <w:r>
        <w:rPr>
          <w:rFonts w:hint="eastAsia" w:ascii="Times New Roman" w:hAnsi="Times New Roman" w:eastAsia="方正仿宋_GBK" w:cs="Times New Roman"/>
          <w:b w:val="0"/>
          <w:bCs/>
          <w:color w:val="auto"/>
          <w:kern w:val="2"/>
          <w:sz w:val="30"/>
          <w:szCs w:val="30"/>
          <w:highlight w:val="none"/>
          <w:lang w:val="en-US" w:eastAsia="zh-CN" w:bidi="ar-SA"/>
        </w:rPr>
        <w:t xml:space="preserve"> </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（3）</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（1） </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117" w:name="_Toc23927"/>
      <w:bookmarkStart w:id="118" w:name="_Toc6001"/>
      <w:bookmarkStart w:id="119" w:name="_Toc15926"/>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117"/>
      <w:bookmarkEnd w:id="118"/>
      <w:bookmarkEnd w:id="119"/>
    </w:p>
    <w:p>
      <w:pPr>
        <w:pStyle w:val="4"/>
        <w:bidi w:val="0"/>
        <w:rPr>
          <w:rFonts w:hint="default"/>
          <w:lang w:val="en-US" w:eastAsia="zh-CN"/>
        </w:rPr>
      </w:pPr>
      <w:bookmarkStart w:id="120" w:name="_Toc25766"/>
      <w:r>
        <w:rPr>
          <w:rFonts w:hint="eastAsia"/>
          <w:lang w:val="en-US" w:eastAsia="zh-CN"/>
        </w:rPr>
        <w:t>（一）项目完成情况</w:t>
      </w:r>
      <w:bookmarkEnd w:id="120"/>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在预算管理方面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能够对债券资金项目使用、执行和绩效进行穿透式管理，资金投向合规、资金管理严格，风险防范有效，确保资金</w:t>
      </w:r>
      <w:r>
        <w:rPr>
          <w:rFonts w:hint="eastAsia" w:ascii="Times New Roman" w:hAnsi="Times New Roman" w:eastAsia="方正仿宋_GBK" w:cs="Times New Roman"/>
          <w:color w:val="auto"/>
          <w:kern w:val="2"/>
          <w:sz w:val="30"/>
          <w:szCs w:val="30"/>
          <w:highlight w:val="none"/>
          <w:lang w:val="en-US" w:eastAsia="zh-CN" w:bidi="ar-SA"/>
        </w:rPr>
        <w:t>效益的发挥。</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本项目预算安排资金总额</w:t>
      </w:r>
      <w:r>
        <w:rPr>
          <w:rFonts w:hint="eastAsia" w:ascii="Times New Roman" w:hAnsi="Times New Roman" w:eastAsia="方正仿宋_GBK" w:cs="Times New Roman"/>
          <w:color w:val="auto"/>
          <w:kern w:val="2"/>
          <w:sz w:val="30"/>
          <w:szCs w:val="30"/>
          <w:highlight w:val="none"/>
          <w:lang w:val="en-US" w:eastAsia="zh-CN" w:bidi="ar-SA"/>
        </w:rPr>
        <w:t>200.00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200.00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200.00</w:t>
      </w:r>
      <w:r>
        <w:rPr>
          <w:rFonts w:hint="default" w:ascii="Times New Roman" w:hAnsi="Times New Roman" w:eastAsia="方正仿宋_GBK" w:cs="Times New Roman"/>
          <w:color w:val="auto"/>
          <w:kern w:val="2"/>
          <w:sz w:val="30"/>
          <w:szCs w:val="30"/>
          <w:highlight w:val="none"/>
          <w:lang w:val="en-US" w:eastAsia="zh-CN" w:bidi="ar-SA"/>
        </w:rPr>
        <w:t xml:space="preserve"> 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在项目产出方面：</w:t>
      </w:r>
      <w:r>
        <w:rPr>
          <w:rFonts w:hint="eastAsia" w:ascii="Times New Roman" w:hAnsi="Times New Roman" w:eastAsia="方正仿宋_GBK" w:cs="Times New Roman"/>
          <w:b w:val="0"/>
          <w:bCs w:val="0"/>
          <w:color w:val="auto"/>
          <w:kern w:val="2"/>
          <w:sz w:val="30"/>
          <w:szCs w:val="30"/>
          <w:highlight w:val="none"/>
          <w:lang w:val="en-US" w:eastAsia="zh-CN" w:bidi="ar-SA"/>
        </w:rPr>
        <w:t>同心县丁塘镇2022年高质量美丽宜居村庄奖补资金项目绩效评价报告项目，严格落实“项目四制”。落实项目法人责任制，项目单位和法定代表人对项目建设的安全质量负总责；落实招标投标制，按照《招标投标法》《必须招标的工程项目规定》《必须招标的基础设施和公用事业项目范围规定》等要求做好项目招投标工作，并将强制性安全质量标准等作为招标文件的实质性要求和条件；落实工程监理制，监理单位要认真履行监理职责，特别要加强对关键工序、重要部位和隐蔽工程的监督检查；落实合同管理制，建设工程的勘察设计、施工、设备材料采购和工程监理等要依法订立合同，并明确安全质量要求以及违约责任等。经工程验收质量合格，工程建设投资成本合理控制。</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spacing w:val="1"/>
          <w:kern w:val="2"/>
          <w:sz w:val="30"/>
          <w:szCs w:val="30"/>
          <w:lang w:val="en-US" w:eastAsia="zh-CN" w:bidi="ar-SA"/>
        </w:rPr>
        <w:t>丁塘镇坚持以人民为中心，持续加大财政投入，用心用力保障和改善民生，着力解决好群众急难愁盼问题，实现更加稳定更加持续的就业发展，为更加均衡更为优质的教育提供更加完善，更高质量的健康服务，构建更加全面更多层次的社保体系，全力打造人民生活福地</w:t>
      </w:r>
      <w:r>
        <w:rPr>
          <w:rFonts w:hint="default" w:ascii="Times New Roman" w:hAnsi="Times New Roman" w:eastAsia="方正仿宋_GBK" w:cs="Times New Roman"/>
          <w:spacing w:val="1"/>
          <w:kern w:val="2"/>
          <w:sz w:val="30"/>
          <w:szCs w:val="30"/>
          <w:lang w:val="en-US" w:eastAsia="zh-CN" w:bidi="ar-SA"/>
        </w:rPr>
        <w:t>，一幅幅看得见的民生图景入眼入心，更为地方经济高质量发展持续注入新鲜活水，人民生活幸福感不断增强</w:t>
      </w:r>
      <w:r>
        <w:rPr>
          <w:rFonts w:hint="eastAsia" w:ascii="Times New Roman" w:hAnsi="Times New Roman" w:eastAsia="方正仿宋_GBK" w:cs="Times New Roman"/>
          <w:b w:val="0"/>
          <w:bCs w:val="0"/>
          <w:color w:val="auto"/>
          <w:kern w:val="2"/>
          <w:sz w:val="30"/>
          <w:szCs w:val="30"/>
          <w:highlight w:val="none"/>
          <w:lang w:val="en-US" w:eastAsia="zh-CN" w:bidi="ar-SA"/>
        </w:rPr>
        <w:t>。经对项目实施地开展满意度问卷调查，整体满意度为94%。</w:t>
      </w:r>
    </w:p>
    <w:p>
      <w:pPr>
        <w:pStyle w:val="4"/>
        <w:bidi w:val="0"/>
        <w:rPr>
          <w:rFonts w:hint="default"/>
          <w:lang w:val="en-US" w:eastAsia="zh-CN"/>
        </w:rPr>
      </w:pPr>
      <w:bookmarkStart w:id="121" w:name="_Toc23800"/>
      <w:r>
        <w:rPr>
          <w:rFonts w:hint="eastAsia"/>
          <w:lang w:val="en-US" w:eastAsia="zh-CN"/>
        </w:rPr>
        <w:t>（二）评价结论</w:t>
      </w:r>
      <w:bookmarkEnd w:id="121"/>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同心县丁塘镇2022年高质量美丽宜居村庄奖补资金项目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实施内容符合国家、自治区及</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同心县专项</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资金支持范围，项目管理规范，项目资金拨付及时，资金到位率为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项目实施单位资金支出较规范</w:t>
      </w:r>
      <w:r>
        <w:rPr>
          <w:rFonts w:hint="eastAsia" w:ascii="Times New Roman" w:hAnsi="Times New Roman" w:eastAsia="方正仿宋_GBK" w:cs="Times New Roman"/>
          <w:spacing w:val="0"/>
          <w:kern w:val="0"/>
          <w:sz w:val="30"/>
          <w:szCs w:val="30"/>
          <w:lang w:bidi="zh-CN"/>
        </w:rPr>
        <w:t>，资金的拨付经单位主管领导、财政局业务科室、国库支付中心审批，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22" w:name="_Toc14682"/>
      <w:bookmarkStart w:id="123" w:name="_Toc9214"/>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 89.00”分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，评定等级为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“良”</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17.00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18.00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28.00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82.35%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89.00%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24" w:name="_Toc19231"/>
      <w:r>
        <w:rPr>
          <w:rFonts w:hint="eastAsia" w:asciiTheme="majorEastAsia" w:hAnsiTheme="majorEastAsia" w:eastAsiaTheme="majorEastAsia" w:cstheme="majorEastAsia"/>
          <w:b/>
          <w:bCs/>
          <w:sz w:val="32"/>
          <w:szCs w:val="32"/>
          <w:lang w:val="en-US" w:eastAsia="zh-CN"/>
        </w:rPr>
        <w:t>六、绩效评价指标分析</w:t>
      </w:r>
      <w:bookmarkEnd w:id="122"/>
      <w:bookmarkEnd w:id="123"/>
      <w:bookmarkEnd w:id="124"/>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25" w:name="_Toc13089"/>
      <w:bookmarkStart w:id="126" w:name="_Toc10789"/>
      <w:bookmarkStart w:id="127" w:name="_Toc22148"/>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25"/>
      <w:bookmarkEnd w:id="126"/>
      <w:r>
        <w:rPr>
          <w:rFonts w:hint="eastAsia" w:ascii="方正楷体_GBK" w:hAnsi="方正楷体_GBK" w:eastAsia="方正楷体_GBK" w:cs="方正楷体_GBK"/>
          <w:b/>
          <w:bCs w:val="0"/>
          <w:color w:val="auto"/>
          <w:sz w:val="30"/>
          <w:szCs w:val="30"/>
          <w:lang w:eastAsia="zh-CN"/>
        </w:rPr>
        <w:t>分析</w:t>
      </w:r>
      <w:bookmarkEnd w:id="127"/>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分，扣3.00 分，评价得分17.00 分，得分率为85.00%。具体评价指标分析如下：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全面开展丁塘镇美丽小城镇建设，进一步改善城镇面貌，加强城镇基础设施和公共服务设施的建设，完善小城镇功能，提升城镇整体形象，着力将丁塘镇打造成为集环境优美、设施完善、功能齐备、生活便利、保障为一体的美丽宜居小城镇。</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小城镇一头连着城市，一头连着乡村，是统筹城乡发展的战略节点。在小城镇建设中，同心县坚持规划布局合理、环境优美、设施配套齐全的总体要求，建立起了覆盖面广、衔接性强的城镇规划体系，助力县域经济发展，全面带动效应充分显现同心县积极开展美丽城镇建设，以构建镇、村生活圈为核心，为城乡居民提供舒适便捷的生活环境，取得了显著成效。</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项目立项与项目实施单位职责相符，</w:t>
      </w:r>
      <w:r>
        <w:rPr>
          <w:rFonts w:hint="eastAsia" w:ascii="Times New Roman" w:hAnsi="Times New Roman" w:eastAsia="方正仿宋_GBK" w:cs="Times New Roman"/>
          <w:color w:val="auto"/>
          <w:kern w:val="2"/>
          <w:sz w:val="30"/>
          <w:szCs w:val="30"/>
          <w:highlight w:val="none"/>
          <w:lang w:val="en-US" w:eastAsia="zh-CN" w:bidi="ar-SA"/>
        </w:rPr>
        <w:t>项目立项符合行业发展规划和政策要求，与部门职责范围相符，立项依据充分</w:t>
      </w:r>
      <w:r>
        <w:rPr>
          <w:rFonts w:hint="eastAsia" w:ascii="Times New Roman" w:hAnsi="Times New Roman" w:eastAsia="方正仿宋_GB2312" w:cs="Times New Roman"/>
          <w:kern w:val="2"/>
          <w:sz w:val="30"/>
          <w:szCs w:val="30"/>
          <w:lang w:val="en-US" w:eastAsia="zh-CN" w:bidi="ar-SA"/>
        </w:rPr>
        <w:t>。</w:t>
      </w:r>
      <w:r>
        <w:rPr>
          <w:rFonts w:hint="default" w:ascii="Times New Roman" w:hAnsi="Times New Roman" w:eastAsia="仿宋" w:cs="Times New Roman"/>
          <w:color w:val="000000"/>
          <w:kern w:val="0"/>
          <w:sz w:val="30"/>
          <w:szCs w:val="30"/>
          <w:lang w:val="en-US" w:eastAsia="zh-CN" w:bidi="ar"/>
        </w:rPr>
        <w:t>该指标满分 3分，根据评分标准得</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仿宋" w:cs="Times New Roman"/>
          <w:color w:val="000000"/>
          <w:kern w:val="0"/>
          <w:sz w:val="30"/>
          <w:szCs w:val="30"/>
          <w:lang w:val="en-US" w:eastAsia="zh-CN" w:bidi="ar"/>
        </w:rPr>
        <w:t>该项目按照规定的程序审批，立项程序规范，同心县发展和改革局下发了</w:t>
      </w:r>
      <w:r>
        <w:rPr>
          <w:rFonts w:hint="eastAsia" w:ascii="Times New Roman" w:hAnsi="Times New Roman" w:eastAsia="方正仿宋_GB2312" w:cs="Times New Roman"/>
          <w:kern w:val="2"/>
          <w:sz w:val="30"/>
          <w:szCs w:val="30"/>
          <w:lang w:val="en-US" w:eastAsia="zh-CN" w:bidi="ar-SA"/>
        </w:rPr>
        <w:t>《关于同心县丁塘镇团结村高质量美丽宜居村庄建设项目初步设计的批复》（同发改审发〔2021〕250号）</w:t>
      </w:r>
      <w:r>
        <w:rPr>
          <w:rFonts w:hint="default" w:ascii="Times New Roman" w:hAnsi="Times New Roman" w:eastAsia="仿宋" w:cs="Times New Roman"/>
          <w:color w:val="000000"/>
          <w:kern w:val="0"/>
          <w:sz w:val="30"/>
          <w:szCs w:val="30"/>
          <w:lang w:val="en-US" w:eastAsia="zh-CN" w:bidi="ar"/>
        </w:rPr>
        <w:t>，所提交的文件、材料符合相关要求，事前已经过必要的可行性研究等。该指标满分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分，根据评分标准得</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keepNext w:val="0"/>
        <w:keepLines w:val="0"/>
        <w:pageBreakBefore w:val="0"/>
        <w:widowControl w:val="0"/>
        <w:kinsoku/>
        <w:wordWrap/>
        <w:overflowPunct w:val="0"/>
        <w:topLinePunct/>
        <w:autoSpaceDE/>
        <w:autoSpaceDN/>
        <w:bidi w:val="0"/>
        <w:adjustRightInd/>
        <w:snapToGrid/>
        <w:spacing w:line="560" w:lineRule="exact"/>
        <w:ind w:leftChars="0" w:firstLine="592" w:firstLineChars="200"/>
        <w:jc w:val="both"/>
        <w:textAlignment w:val="auto"/>
        <w:outlineLvl w:val="0"/>
        <w:rPr>
          <w:rFonts w:hint="default" w:ascii="Times New Roman" w:hAnsi="Times New Roman" w:eastAsia="方正仿宋_GBK" w:cs="Times New Roman"/>
          <w:sz w:val="30"/>
          <w:szCs w:val="30"/>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经现场绩效评价，</w:t>
      </w:r>
      <w:r>
        <w:rPr>
          <w:rFonts w:hint="eastAsia" w:ascii="Times New Roman" w:hAnsi="Times New Roman" w:eastAsia="方正仿宋_GBK" w:cs="Times New Roman"/>
          <w:b w:val="0"/>
          <w:color w:val="auto"/>
          <w:kern w:val="2"/>
          <w:sz w:val="30"/>
          <w:szCs w:val="30"/>
          <w:highlight w:val="none"/>
          <w:lang w:val="en-US" w:eastAsia="zh-CN" w:bidi="ar-SA"/>
        </w:rPr>
        <w:t>项目实施单位</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从合理性和明确性两个方面</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确定目标</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以项目实施方案中确定的总体目标、年度目标、各年度资金预算指标分配及项目支出预算绩效目标为依据，设置了具体的绩效目标，将主要任务具体细分为数量指标、质量指标、时效指标、成本指标、社会效益指标、可持续影响指标。绩效目标可量化、可细化，清晰可衡量</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项目绩效目标设定合理、明确。</w:t>
      </w:r>
      <w:r>
        <w:rPr>
          <w:rFonts w:hint="default" w:ascii="Times New Roman" w:hAnsi="Times New Roman" w:eastAsia="方正仿宋_GBK" w:cs="Times New Roman"/>
          <w:spacing w:val="-12"/>
          <w:sz w:val="30"/>
          <w:szCs w:val="30"/>
        </w:rPr>
        <w:t>该</w:t>
      </w:r>
      <w:r>
        <w:rPr>
          <w:rFonts w:hint="default" w:ascii="Times New Roman" w:hAnsi="Times New Roman" w:eastAsia="方正仿宋_GBK" w:cs="Times New Roman"/>
          <w:spacing w:val="-7"/>
          <w:sz w:val="30"/>
          <w:szCs w:val="30"/>
        </w:rPr>
        <w:t>指</w:t>
      </w:r>
      <w:r>
        <w:rPr>
          <w:rFonts w:hint="default" w:ascii="Times New Roman" w:hAnsi="Times New Roman" w:eastAsia="方正仿宋_GBK" w:cs="Times New Roman"/>
          <w:spacing w:val="-6"/>
          <w:sz w:val="30"/>
          <w:szCs w:val="30"/>
        </w:rPr>
        <w:t xml:space="preserve">标满分 </w:t>
      </w:r>
      <w:r>
        <w:rPr>
          <w:rFonts w:hint="eastAsia" w:ascii="Times New Roman" w:hAnsi="Times New Roman" w:eastAsia="方正仿宋_GBK" w:cs="Times New Roman"/>
          <w:spacing w:val="-6"/>
          <w:sz w:val="30"/>
          <w:szCs w:val="30"/>
          <w:lang w:val="en-US" w:eastAsia="zh-CN"/>
        </w:rPr>
        <w:t>4</w:t>
      </w:r>
      <w:r>
        <w:rPr>
          <w:rFonts w:hint="default" w:ascii="Times New Roman" w:hAnsi="Times New Roman" w:eastAsia="方正仿宋_GBK" w:cs="Times New Roman"/>
          <w:spacing w:val="-6"/>
          <w:sz w:val="30"/>
          <w:szCs w:val="30"/>
        </w:rPr>
        <w:t>分，根据评分标准得</w:t>
      </w:r>
      <w:r>
        <w:rPr>
          <w:rFonts w:hint="eastAsia" w:ascii="Times New Roman" w:hAnsi="Times New Roman" w:eastAsia="方正仿宋_GBK" w:cs="Times New Roman"/>
          <w:spacing w:val="-6"/>
          <w:sz w:val="30"/>
          <w:szCs w:val="30"/>
          <w:lang w:val="en-US" w:eastAsia="zh-CN"/>
        </w:rPr>
        <w:t>4</w:t>
      </w:r>
      <w:r>
        <w:rPr>
          <w:rFonts w:hint="default" w:ascii="Times New Roman" w:hAnsi="Times New Roman" w:eastAsia="方正仿宋_GBK" w:cs="Times New Roman"/>
          <w:spacing w:val="-6"/>
          <w:sz w:val="30"/>
          <w:szCs w:val="30"/>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keepNext w:val="0"/>
        <w:keepLines w:val="0"/>
        <w:pageBreakBefore w:val="0"/>
        <w:widowControl w:val="0"/>
        <w:kinsoku/>
        <w:wordWrap/>
        <w:overflowPunct w:val="0"/>
        <w:topLinePunct/>
        <w:autoSpaceDE/>
        <w:autoSpaceDN/>
        <w:bidi w:val="0"/>
        <w:adjustRightInd/>
        <w:snapToGrid/>
        <w:spacing w:line="560" w:lineRule="exact"/>
        <w:ind w:leftChars="0" w:firstLine="592" w:firstLineChars="200"/>
        <w:jc w:val="both"/>
        <w:textAlignment w:val="auto"/>
        <w:outlineLvl w:val="0"/>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实施单位评价范围内的项目</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绩效指标细化、量化不足，效果指标的设定较为宏观，项目执行内容、总体目标、具体指标难以衔接。</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根据评分细则，</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0" w:beforeLines="0" w:afterLines="0" w:line="560" w:lineRule="exact"/>
        <w:ind w:left="0" w:firstLine="552"/>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28" w:name="_Toc24890"/>
      <w:bookmarkStart w:id="129" w:name="_Toc5795"/>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28"/>
      <w:bookmarkEnd w:id="129"/>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 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spacing w:before="0" w:line="560" w:lineRule="exact"/>
        <w:ind w:right="0"/>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auto"/>
          <w:kern w:val="2"/>
          <w:sz w:val="30"/>
          <w:szCs w:val="30"/>
          <w:highlight w:val="none"/>
          <w:lang w:val="en-US" w:eastAsia="zh-CN" w:bidi="ar-SA"/>
        </w:rPr>
        <w:t>2022年4月29日，根据《自治区住房和城乡建设厅关于拨付2022年重点小城镇和高质量美丽宜居村庄建设项目奖补资金的请示</w:t>
      </w:r>
      <w:r>
        <w:rPr>
          <w:rFonts w:hint="eastAsia" w:ascii="Times New Roman" w:hAnsi="Times New Roman" w:eastAsia="方正仿宋_GB2312" w:cs="Times New Roman"/>
          <w:kern w:val="2"/>
          <w:sz w:val="30"/>
          <w:szCs w:val="30"/>
          <w:lang w:val="en-US" w:eastAsia="zh-CN" w:bidi="ar-SA"/>
        </w:rPr>
        <w:t>》（宁建发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17号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《自治区财政厅 自治区住建厅关于下达2022年重点小城镇、高质量美丽宜居村庄建设项目奖补资金预算的通知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139号</w:t>
      </w:r>
      <w:r>
        <w:rPr>
          <w:rFonts w:hint="eastAsia" w:ascii="Times New Roman" w:hAnsi="Times New Roman" w:eastAsia="方正仿宋_GB2312" w:cs="Times New Roman"/>
          <w:kern w:val="2"/>
          <w:sz w:val="30"/>
          <w:szCs w:val="30"/>
          <w:lang w:val="en-US" w:eastAsia="zh-CN" w:bidi="ar-SA"/>
        </w:rPr>
        <w:t>）和《关于做好2022年全面推进乡村振兴重点工作的实施意见》（宁党发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要求，将项目奖补资金落实到具体项目。并结合项目实际的要求，同心县财政局对重点项目资金进行管理和分配，并对项目实施和资金使用情况进行监督检查。</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30" w:name="_Toc28441"/>
      <w:r>
        <w:rPr>
          <w:rFonts w:hint="eastAsia" w:ascii="方正楷体_GBK" w:hAnsi="方正楷体_GBK" w:eastAsia="方正楷体_GBK" w:cs="方正楷体_GBK"/>
          <w:sz w:val="30"/>
          <w:szCs w:val="30"/>
          <w:lang w:val="en-US" w:eastAsia="zh-CN"/>
        </w:rPr>
        <w:t>（二）项目过程</w:t>
      </w:r>
      <w:bookmarkEnd w:id="130"/>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本项指标共设2个二级指标、5个三级指标，权重分值20分，评价得分18分，得分率为90.00%。具体评价指标分析如下：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，同心县丁塘镇2022年高质量美丽宜居村庄奖补资金项目预算安排200.00万元，实际到位资金200.00万元，资金到位率为100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项目绩效评价涉及预算资金为200.00万元，经绩效评价小组对各预算单位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，截止评价前，预算执行金额为：200.00万元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jc w:val="both"/>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pageBreakBefore w:val="0"/>
        <w:widowControl/>
        <w:suppressLineNumbers w:val="0"/>
        <w:kinsoku/>
        <w:wordWrap/>
        <w:topLinePunct w:val="0"/>
        <w:autoSpaceDE/>
        <w:autoSpaceDN/>
        <w:bidi w:val="0"/>
        <w:adjustRightInd/>
        <w:snapToGrid/>
        <w:jc w:val="both"/>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项目实施单位制定</w:t>
      </w:r>
      <w:r>
        <w:rPr>
          <w:rFonts w:hint="default" w:ascii="Times New Roman" w:hAnsi="Times New Roman" w:eastAsia="方正仿宋_GBK" w:cs="Times New Roman"/>
          <w:spacing w:val="0"/>
          <w:kern w:val="0"/>
          <w:sz w:val="30"/>
          <w:szCs w:val="30"/>
          <w:lang w:val="en-US" w:bidi="zh-CN"/>
        </w:rPr>
        <w:t>印发</w:t>
      </w:r>
      <w:r>
        <w:rPr>
          <w:rFonts w:hint="eastAsia" w:ascii="Times New Roman" w:hAnsi="Times New Roman" w:eastAsia="方正仿宋_GBK" w:cs="Times New Roman"/>
          <w:spacing w:val="0"/>
          <w:kern w:val="0"/>
          <w:sz w:val="30"/>
          <w:szCs w:val="30"/>
          <w:lang w:val="en-US" w:bidi="zh-CN"/>
        </w:rPr>
        <w:t>《项目管理制度》</w:t>
      </w:r>
      <w:r>
        <w:rPr>
          <w:rFonts w:hint="default" w:ascii="Times New Roman" w:hAnsi="Times New Roman" w:eastAsia="方正仿宋_GBK" w:cs="Times New Roman"/>
          <w:spacing w:val="0"/>
          <w:kern w:val="0"/>
          <w:sz w:val="30"/>
          <w:szCs w:val="30"/>
          <w:lang w:val="en-US" w:eastAsia="zh-CN" w:bidi="zh-CN"/>
        </w:rPr>
        <w:t>《财务管理制度》，其中包括预算管理、采购管理、结算管理、资产管理、财务管理等的具体管理办法，</w:t>
      </w:r>
      <w:r>
        <w:rPr>
          <w:rFonts w:hint="default" w:ascii="Times New Roman" w:hAnsi="Times New Roman" w:eastAsia="方正仿宋_GBK" w:cs="Times New Roman"/>
        </w:rPr>
        <w:t>并且</w:t>
      </w:r>
      <w:r>
        <w:rPr>
          <w:rFonts w:hint="default" w:ascii="Times New Roman" w:hAnsi="Times New Roman" w:eastAsia="方正仿宋_GBK" w:cs="Times New Roman"/>
          <w:spacing w:val="0"/>
          <w:kern w:val="0"/>
          <w:sz w:val="30"/>
          <w:szCs w:val="30"/>
          <w:lang w:val="en-US" w:eastAsia="zh-CN" w:bidi="zh-CN"/>
        </w:rPr>
        <w:t>遵照《中华人民共和国预算法</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财政部关于贯彻落实〈中共中央 国务院关于全面实施预算绩效管理的意见〉的通知》（财预〔2018〕167号）、《自治区党委 人民政府关于全面实施预算绩效管理的实施意见》（宁党发〔2019〕9号）等文件的规定，对项目实施进行监管，财务和业务管理制度合法、合规、完整。</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 xml:space="preserve"> 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（2）该项目不涉及调整；</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（4）根据现场调研以及项目验收报告，项目实施的人员条件、场地设备、信息支撑等落实到位；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项目实施的组织架构、人员编制完整，能够有效保证项目的实施。经资料查阅中发现竣工验收报告未签署日期、施工合同中法人或委托代理人未签署。该指标本项满分 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 xml:space="preserve">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31" w:name="_Toc1945"/>
      <w:bookmarkStart w:id="132" w:name="_Toc18498"/>
      <w:bookmarkStart w:id="133" w:name="_Toc23917"/>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31"/>
      <w:bookmarkEnd w:id="132"/>
      <w:bookmarkEnd w:id="133"/>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本项指标共设2个二级指标、5个三级指标，权重分值34分，评价得分28分，得分率为82.35%。具体评价指标分析如下：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2021年8月19日，同心县发展改革局印发《关于同心县丁塘镇团结村高质量美丽宜居村庄建设项目初步设计的批复》（同发改审发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21</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250号）号，批复项目予以立项；</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2022年4月19日，经过公开招标的方式确定宁夏锐翔建设集团有限公司为项目中标单位。</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2022年8月11日，由施工单位自检合格后，向监理单位提出竣工申请报告，监理单位验收后提出监理单位工程质量评估报告，由建设单位组织设计单位、施工单位、监理单位等共同验收。</w:t>
      </w: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4" w:name="_Toc25249"/>
      <w:bookmarkStart w:id="135" w:name="_Toc4341"/>
      <w:bookmarkStart w:id="136" w:name="_Toc13818"/>
      <w:bookmarkStart w:id="137" w:name="_Toc9421"/>
      <w:r>
        <w:rPr>
          <w:rFonts w:hint="default" w:ascii="Times New Roman" w:hAnsi="Times New Roman" w:cs="Times New Roman"/>
          <w:lang w:val="en-US" w:eastAsia="zh-CN"/>
        </w:rPr>
        <w:t>（1）资金到位及时率</w:t>
      </w:r>
      <w:bookmarkEnd w:id="134"/>
      <w:bookmarkEnd w:id="135"/>
      <w:bookmarkEnd w:id="136"/>
      <w:bookmarkEnd w:id="137"/>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w:t>
      </w:r>
      <w:r>
        <w:rPr>
          <w:rFonts w:hint="eastAsia" w:ascii="Times New Roman" w:hAnsi="Times New Roman" w:eastAsia="方正仿宋_GBK" w:cs="Times New Roman"/>
          <w:spacing w:val="0"/>
          <w:kern w:val="0"/>
          <w:sz w:val="30"/>
          <w:szCs w:val="30"/>
          <w:lang w:val="en-US" w:eastAsia="zh-CN" w:bidi="zh-CN"/>
        </w:rPr>
        <w:t>同心县丁塘镇2022年高质量美丽宜居村庄奖补资金项目</w:t>
      </w:r>
      <w:r>
        <w:rPr>
          <w:rFonts w:hint="default" w:ascii="Times New Roman" w:hAnsi="Times New Roman" w:eastAsia="方正仿宋_GBK" w:cs="Times New Roman"/>
          <w:spacing w:val="0"/>
          <w:kern w:val="0"/>
          <w:sz w:val="30"/>
          <w:szCs w:val="30"/>
          <w:lang w:val="en-US" w:eastAsia="zh-CN" w:bidi="zh-CN"/>
        </w:rPr>
        <w:t>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8" w:name="_Toc21408"/>
      <w:bookmarkStart w:id="139" w:name="_Toc2959"/>
      <w:bookmarkStart w:id="140" w:name="_Toc18691"/>
      <w:bookmarkStart w:id="141" w:name="_Toc19549"/>
      <w:r>
        <w:rPr>
          <w:rFonts w:hint="default" w:ascii="Times New Roman" w:hAnsi="Times New Roman" w:cs="Times New Roman"/>
          <w:lang w:val="en-US" w:eastAsia="zh-CN"/>
        </w:rPr>
        <w:t>（</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eastAsia" w:ascii="Times New Roman" w:hAnsi="Times New Roman" w:cs="Times New Roman"/>
          <w:lang w:val="en-US" w:eastAsia="zh-CN"/>
        </w:rPr>
        <w:t>开工完工</w:t>
      </w:r>
      <w:r>
        <w:rPr>
          <w:rFonts w:hint="default" w:ascii="Times New Roman" w:hAnsi="Times New Roman" w:cs="Times New Roman"/>
          <w:lang w:val="en-US" w:eastAsia="zh-CN"/>
        </w:rPr>
        <w:t>及时率</w:t>
      </w:r>
      <w:bookmarkEnd w:id="138"/>
      <w:bookmarkEnd w:id="139"/>
      <w:bookmarkEnd w:id="140"/>
      <w:bookmarkEnd w:id="141"/>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经现场资料审核，项目合同约定工期202</w:t>
      </w:r>
      <w:r>
        <w:rPr>
          <w:rFonts w:hint="eastAsia" w:ascii="Times New Roman" w:hAnsi="Times New Roman" w:eastAsia="方正仿宋_GBK" w:cs="Times New Roman"/>
          <w:spacing w:val="0"/>
          <w:kern w:val="0"/>
          <w:sz w:val="30"/>
          <w:szCs w:val="30"/>
          <w:lang w:val="en-US" w:eastAsia="zh-CN" w:bidi="zh-CN"/>
        </w:rPr>
        <w:t>2</w:t>
      </w:r>
      <w:r>
        <w:rPr>
          <w:rFonts w:hint="default" w:ascii="Times New Roman" w:hAnsi="Times New Roman" w:eastAsia="方正仿宋_GBK" w:cs="Times New Roman"/>
          <w:spacing w:val="0"/>
          <w:kern w:val="0"/>
          <w:sz w:val="30"/>
          <w:szCs w:val="30"/>
          <w:lang w:val="en-US" w:eastAsia="zh-CN" w:bidi="zh-CN"/>
        </w:rPr>
        <w:t>年</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月</w:t>
      </w:r>
      <w:r>
        <w:rPr>
          <w:rFonts w:hint="eastAsia" w:ascii="Times New Roman" w:hAnsi="Times New Roman" w:eastAsia="方正仿宋_GBK" w:cs="Times New Roman"/>
          <w:spacing w:val="0"/>
          <w:kern w:val="0"/>
          <w:sz w:val="30"/>
          <w:szCs w:val="30"/>
          <w:lang w:val="en-US" w:eastAsia="zh-CN" w:bidi="zh-CN"/>
        </w:rPr>
        <w:t>29</w:t>
      </w:r>
      <w:r>
        <w:rPr>
          <w:rFonts w:hint="default" w:ascii="Times New Roman" w:hAnsi="Times New Roman" w:eastAsia="方正仿宋_GBK" w:cs="Times New Roman"/>
          <w:spacing w:val="0"/>
          <w:kern w:val="0"/>
          <w:sz w:val="30"/>
          <w:szCs w:val="30"/>
          <w:lang w:val="en-US" w:eastAsia="zh-CN" w:bidi="zh-CN"/>
        </w:rPr>
        <w:t>日—202</w:t>
      </w:r>
      <w:r>
        <w:rPr>
          <w:rFonts w:hint="eastAsia" w:ascii="Times New Roman" w:hAnsi="Times New Roman" w:eastAsia="方正仿宋_GBK" w:cs="Times New Roman"/>
          <w:spacing w:val="0"/>
          <w:kern w:val="0"/>
          <w:sz w:val="30"/>
          <w:szCs w:val="30"/>
          <w:lang w:val="en-US" w:eastAsia="zh-CN" w:bidi="zh-CN"/>
        </w:rPr>
        <w:t>2</w:t>
      </w:r>
      <w:r>
        <w:rPr>
          <w:rFonts w:hint="default" w:ascii="Times New Roman" w:hAnsi="Times New Roman" w:eastAsia="方正仿宋_GBK" w:cs="Times New Roman"/>
          <w:spacing w:val="0"/>
          <w:kern w:val="0"/>
          <w:sz w:val="30"/>
          <w:szCs w:val="30"/>
          <w:lang w:val="en-US" w:eastAsia="zh-CN" w:bidi="zh-CN"/>
        </w:rPr>
        <w:t>年</w:t>
      </w:r>
      <w:r>
        <w:rPr>
          <w:rFonts w:hint="eastAsia" w:ascii="Times New Roman" w:hAnsi="Times New Roman" w:eastAsia="方正仿宋_GBK" w:cs="Times New Roman"/>
          <w:spacing w:val="0"/>
          <w:kern w:val="0"/>
          <w:sz w:val="30"/>
          <w:szCs w:val="30"/>
          <w:lang w:val="en-US" w:eastAsia="zh-CN" w:bidi="zh-CN"/>
        </w:rPr>
        <w:t>10</w:t>
      </w:r>
      <w:r>
        <w:rPr>
          <w:rFonts w:hint="default" w:ascii="Times New Roman" w:hAnsi="Times New Roman" w:eastAsia="方正仿宋_GBK" w:cs="Times New Roman"/>
          <w:spacing w:val="0"/>
          <w:kern w:val="0"/>
          <w:sz w:val="30"/>
          <w:szCs w:val="30"/>
          <w:lang w:val="en-US" w:eastAsia="zh-CN" w:bidi="zh-CN"/>
        </w:rPr>
        <w:t>月</w:t>
      </w:r>
      <w:r>
        <w:rPr>
          <w:rFonts w:hint="eastAsia" w:ascii="Times New Roman" w:hAnsi="Times New Roman" w:eastAsia="方正仿宋_GBK" w:cs="Times New Roman"/>
          <w:spacing w:val="0"/>
          <w:kern w:val="0"/>
          <w:sz w:val="30"/>
          <w:szCs w:val="30"/>
          <w:lang w:val="en-US" w:eastAsia="zh-CN" w:bidi="zh-CN"/>
        </w:rPr>
        <w:t>29</w:t>
      </w:r>
      <w:r>
        <w:rPr>
          <w:rFonts w:hint="default" w:ascii="Times New Roman" w:hAnsi="Times New Roman" w:eastAsia="方正仿宋_GBK" w:cs="Times New Roman"/>
          <w:spacing w:val="0"/>
          <w:kern w:val="0"/>
          <w:sz w:val="30"/>
          <w:szCs w:val="30"/>
          <w:lang w:val="en-US" w:eastAsia="zh-CN" w:bidi="zh-CN"/>
        </w:rPr>
        <w:t>日，项目实际开完工时间202</w:t>
      </w:r>
      <w:r>
        <w:rPr>
          <w:rFonts w:hint="eastAsia" w:ascii="Times New Roman" w:hAnsi="Times New Roman" w:eastAsia="方正仿宋_GBK" w:cs="Times New Roman"/>
          <w:spacing w:val="0"/>
          <w:kern w:val="0"/>
          <w:sz w:val="30"/>
          <w:szCs w:val="30"/>
          <w:lang w:val="en-US" w:eastAsia="zh-CN" w:bidi="zh-CN"/>
        </w:rPr>
        <w:t>2</w:t>
      </w:r>
      <w:r>
        <w:rPr>
          <w:rFonts w:hint="default" w:ascii="Times New Roman" w:hAnsi="Times New Roman" w:eastAsia="方正仿宋_GBK" w:cs="Times New Roman"/>
          <w:spacing w:val="0"/>
          <w:kern w:val="0"/>
          <w:sz w:val="30"/>
          <w:szCs w:val="30"/>
          <w:lang w:val="en-US" w:eastAsia="zh-CN" w:bidi="zh-CN"/>
        </w:rPr>
        <w:t>年</w:t>
      </w:r>
      <w:r>
        <w:rPr>
          <w:rFonts w:hint="eastAsia" w:ascii="Times New Roman" w:hAnsi="Times New Roman" w:eastAsia="方正仿宋_GBK" w:cs="Times New Roman"/>
          <w:spacing w:val="0"/>
          <w:kern w:val="0"/>
          <w:sz w:val="30"/>
          <w:szCs w:val="30"/>
          <w:lang w:val="en-US" w:eastAsia="zh-CN" w:bidi="zh-CN"/>
        </w:rPr>
        <w:t>8</w:t>
      </w:r>
      <w:r>
        <w:rPr>
          <w:rFonts w:hint="default" w:ascii="Times New Roman" w:hAnsi="Times New Roman" w:eastAsia="方正仿宋_GBK" w:cs="Times New Roman"/>
          <w:spacing w:val="0"/>
          <w:kern w:val="0"/>
          <w:sz w:val="30"/>
          <w:szCs w:val="30"/>
          <w:lang w:val="en-US" w:eastAsia="zh-CN" w:bidi="zh-CN"/>
        </w:rPr>
        <w:t>月1</w:t>
      </w:r>
      <w:r>
        <w:rPr>
          <w:rFonts w:hint="eastAsia" w:ascii="Times New Roman" w:hAnsi="Times New Roman" w:eastAsia="方正仿宋_GBK" w:cs="Times New Roman"/>
          <w:spacing w:val="0"/>
          <w:kern w:val="0"/>
          <w:sz w:val="30"/>
          <w:szCs w:val="30"/>
          <w:lang w:val="en-US" w:eastAsia="zh-CN" w:bidi="zh-CN"/>
        </w:rPr>
        <w:t>1</w:t>
      </w:r>
      <w:r>
        <w:rPr>
          <w:rFonts w:hint="default" w:ascii="Times New Roman" w:hAnsi="Times New Roman" w:eastAsia="方正仿宋_GBK" w:cs="Times New Roman"/>
          <w:spacing w:val="0"/>
          <w:kern w:val="0"/>
          <w:sz w:val="30"/>
          <w:szCs w:val="30"/>
          <w:lang w:val="en-US" w:eastAsia="zh-CN" w:bidi="zh-CN"/>
        </w:rPr>
        <w:t>日，严格按照合同约定履行工期。该指标本项满分3分，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default" w:ascii="Times New Roman" w:hAnsi="Times New Roman" w:eastAsia="方正仿宋_GBK" w:cs="Times New Roman"/>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2" w:name="_Toc4766"/>
      <w:bookmarkStart w:id="143" w:name="_Toc13913"/>
      <w:bookmarkStart w:id="144" w:name="_Toc6412"/>
      <w:bookmarkStart w:id="145" w:name="_Toc30038"/>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eastAsia" w:ascii="Times New Roman" w:hAnsi="Times New Roman" w:cs="Times New Roman"/>
          <w:lang w:val="en-US" w:eastAsia="zh-CN"/>
        </w:rPr>
        <w:t>结算审核及验收完成及时率</w:t>
      </w:r>
      <w:bookmarkEnd w:id="142"/>
      <w:bookmarkEnd w:id="143"/>
      <w:bookmarkEnd w:id="144"/>
      <w:bookmarkEnd w:id="145"/>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eastAsia" w:ascii="Times New Roman" w:hAnsi="Times New Roman" w:eastAsia="楷体" w:cs="Times New Roman"/>
          <w:b/>
          <w:kern w:val="2"/>
          <w:sz w:val="32"/>
          <w:szCs w:val="32"/>
          <w:lang w:val="en-US" w:eastAsia="zh-CN" w:bidi="ar-SA"/>
        </w:rPr>
      </w:pPr>
      <w:bookmarkStart w:id="146" w:name="_Toc15238"/>
      <w:bookmarkStart w:id="147" w:name="_Toc26427"/>
      <w:bookmarkStart w:id="148" w:name="_Toc12258"/>
      <w:bookmarkStart w:id="149" w:name="_Toc9592"/>
      <w:r>
        <w:rPr>
          <w:rFonts w:hint="default" w:ascii="Times New Roman" w:hAnsi="Times New Roman" w:cs="Times New Roman"/>
          <w:lang w:val="en-US" w:eastAsia="zh-CN"/>
        </w:rPr>
        <w:t>（</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eastAsia="楷体" w:cs="Times New Roman"/>
          <w:b/>
          <w:kern w:val="2"/>
          <w:sz w:val="32"/>
          <w:szCs w:val="32"/>
          <w:lang w:val="en-US" w:eastAsia="zh-CN" w:bidi="ar-SA"/>
        </w:rPr>
        <w:t>财务决算完成及时率</w:t>
      </w:r>
      <w:bookmarkEnd w:id="146"/>
      <w:bookmarkEnd w:id="147"/>
      <w:bookmarkEnd w:id="148"/>
      <w:bookmarkEnd w:id="149"/>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完工后</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2"/>
          <w:szCs w:val="32"/>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650.94万元、中标合同价总额184.49万元。从施工单位提交的中标通知书结果来看，本项目建设投资成本总额控制在初步设计批复总额以内。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50" w:name="_Toc17947"/>
      <w:bookmarkStart w:id="151" w:name="_Toc24512"/>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50"/>
      <w:bookmarkEnd w:id="151"/>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spacing w:line="560" w:lineRule="exact"/>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本项指标共设3个二级指标、4个三级指标，权重分值26分，评价得分26分，得分率为 100.00%。具体评价指标分析如下：</w:t>
      </w:r>
    </w:p>
    <w:p>
      <w:pPr>
        <w:pStyle w:val="1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0" w:right="0" w:firstLine="445"/>
        <w:textAlignment w:val="auto"/>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b/>
          <w:bCs/>
          <w:spacing w:val="1"/>
          <w:kern w:val="2"/>
          <w:sz w:val="30"/>
          <w:szCs w:val="30"/>
          <w:lang w:val="en-US" w:eastAsia="zh-CN" w:bidi="ar-SA"/>
        </w:rPr>
        <w:t>提升人居环境，打造生态小镇</w:t>
      </w:r>
      <w:r>
        <w:rPr>
          <w:rFonts w:hint="eastAsia" w:ascii="Times New Roman" w:hAnsi="Times New Roman" w:eastAsia="方正仿宋_GBK" w:cs="Times New Roman"/>
          <w:spacing w:val="1"/>
          <w:kern w:val="2"/>
          <w:sz w:val="30"/>
          <w:szCs w:val="30"/>
          <w:lang w:val="en-US" w:eastAsia="zh-CN" w:bidi="ar-SA"/>
        </w:rPr>
        <w:t>。</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6" w:firstLineChars="200"/>
        <w:textAlignment w:val="auto"/>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spacing w:val="1"/>
          <w:kern w:val="2"/>
          <w:sz w:val="30"/>
          <w:szCs w:val="30"/>
          <w:lang w:val="en-US" w:eastAsia="zh-CN" w:bidi="ar-SA"/>
        </w:rPr>
        <w:t>丁塘镇坚持以人民为中心，持续加大财政投入，用心用力保障和改善民生，着力解决好群众急难愁盼问题，实现更加稳定更加持续的就业发展，为更加均衡更为优质的教育提供更加完善，更高质量的健康服务，构建更加全面更多层次的社保体系，全力打造人民生活福地</w:t>
      </w:r>
      <w:r>
        <w:rPr>
          <w:rFonts w:hint="default" w:ascii="Times New Roman" w:hAnsi="Times New Roman" w:eastAsia="方正仿宋_GBK" w:cs="Times New Roman"/>
          <w:spacing w:val="1"/>
          <w:kern w:val="2"/>
          <w:sz w:val="30"/>
          <w:szCs w:val="30"/>
          <w:lang w:val="en-US" w:eastAsia="zh-CN" w:bidi="ar-SA"/>
        </w:rPr>
        <w:t>，一幅幅看得见的民生图景入眼入心，更为地方经济高质量发展持续注入新鲜活水，人民生活幸福感不断增强。该指标本项满分</w:t>
      </w:r>
      <w:r>
        <w:rPr>
          <w:rFonts w:hint="eastAsia" w:ascii="Times New Roman" w:hAnsi="Times New Roman" w:eastAsia="方正仿宋_GBK" w:cs="Times New Roman"/>
          <w:spacing w:val="1"/>
          <w:kern w:val="2"/>
          <w:sz w:val="30"/>
          <w:szCs w:val="30"/>
          <w:lang w:val="en-US" w:eastAsia="zh-CN" w:bidi="ar-SA"/>
        </w:rPr>
        <w:t>10</w:t>
      </w:r>
      <w:r>
        <w:rPr>
          <w:rFonts w:hint="default" w:ascii="Times New Roman" w:hAnsi="Times New Roman" w:eastAsia="方正仿宋_GBK" w:cs="Times New Roman"/>
          <w:spacing w:val="1"/>
          <w:kern w:val="2"/>
          <w:sz w:val="30"/>
          <w:szCs w:val="30"/>
          <w:lang w:val="en-US" w:eastAsia="zh-CN" w:bidi="ar-SA"/>
        </w:rPr>
        <w:t>分，根据评分标准得</w:t>
      </w:r>
      <w:r>
        <w:rPr>
          <w:rFonts w:hint="eastAsia" w:ascii="Times New Roman" w:hAnsi="Times New Roman" w:eastAsia="方正仿宋_GBK" w:cs="Times New Roman"/>
          <w:spacing w:val="1"/>
          <w:kern w:val="2"/>
          <w:sz w:val="30"/>
          <w:szCs w:val="30"/>
          <w:lang w:val="en-US" w:eastAsia="zh-CN" w:bidi="ar-SA"/>
        </w:rPr>
        <w:t>10</w:t>
      </w:r>
      <w:r>
        <w:rPr>
          <w:rFonts w:hint="default" w:ascii="Times New Roman" w:hAnsi="Times New Roman" w:eastAsia="方正仿宋_GBK" w:cs="Times New Roman"/>
          <w:spacing w:val="1"/>
          <w:kern w:val="2"/>
          <w:sz w:val="30"/>
          <w:szCs w:val="30"/>
          <w:lang w:val="en-US" w:eastAsia="zh-CN" w:bidi="ar-SA"/>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bookmarkStart w:id="152" w:name="_Toc26089"/>
      <w:bookmarkStart w:id="153" w:name="_Toc11426"/>
      <w:r>
        <w:rPr>
          <w:rFonts w:hint="eastAsia" w:ascii="Times New Roman" w:hAnsi="Times New Roman" w:eastAsia="方正仿宋_GBK" w:cs="Times New Roman"/>
          <w:b/>
          <w:bCs/>
          <w:spacing w:val="-6"/>
          <w:sz w:val="30"/>
          <w:szCs w:val="30"/>
          <w:lang w:val="en-US" w:eastAsia="zh-CN"/>
        </w:rPr>
        <w:t>2.可持续影响性</w:t>
      </w:r>
      <w:bookmarkEnd w:id="152"/>
      <w:bookmarkEnd w:id="153"/>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楷体" w:cs="Times New Roman"/>
          <w:b/>
          <w:kern w:val="2"/>
          <w:sz w:val="30"/>
          <w:szCs w:val="30"/>
          <w:lang w:val="en-US" w:eastAsia="zh-CN" w:bidi="ar-SA"/>
        </w:rPr>
        <w:t>（1）建立健全长期维护机制</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后续管护，美丽宜居村庄建设项目完工并投入使用后，按照“谁所有、谁受益、谁管理”的原则，明确管护主体和具体实施范围及责任。街办、景区管理局负责指导、监督，创建村制定长效管护机制，引导村民参与管护、主动管护，确保项目建设发挥更大的效用。</w:t>
      </w:r>
      <w:r>
        <w:rPr>
          <w:rFonts w:hint="default" w:ascii="Times New Roman" w:hAnsi="Times New Roman" w:eastAsia="方正仿宋_GBK" w:cs="Times New Roman"/>
          <w:color w:val="auto"/>
          <w:kern w:val="2"/>
          <w:sz w:val="30"/>
          <w:szCs w:val="30"/>
          <w:highlight w:val="none"/>
          <w:lang w:val="en-US" w:eastAsia="zh-CN" w:bidi="ar-SA"/>
        </w:rPr>
        <w:t>该指标本项满分</w:t>
      </w:r>
      <w:r>
        <w:rPr>
          <w:rFonts w:hint="eastAsia" w:ascii="Times New Roman" w:hAnsi="Times New Roman" w:eastAsia="方正仿宋_GBK" w:cs="Times New Roman"/>
          <w:color w:val="auto"/>
          <w:kern w:val="2"/>
          <w:sz w:val="30"/>
          <w:szCs w:val="30"/>
          <w:highlight w:val="none"/>
          <w:lang w:val="en-US" w:eastAsia="zh-CN" w:bidi="ar-SA"/>
        </w:rPr>
        <w:t>3</w:t>
      </w:r>
      <w:r>
        <w:rPr>
          <w:rFonts w:hint="default" w:ascii="Times New Roman" w:hAnsi="Times New Roman" w:eastAsia="方正仿宋_GBK" w:cs="Times New Roman"/>
          <w:color w:val="auto"/>
          <w:kern w:val="2"/>
          <w:sz w:val="30"/>
          <w:szCs w:val="30"/>
          <w:highlight w:val="none"/>
          <w:lang w:val="en-US" w:eastAsia="zh-CN" w:bidi="ar-SA"/>
        </w:rPr>
        <w:t>分，根据评分标准得</w:t>
      </w:r>
      <w:r>
        <w:rPr>
          <w:rFonts w:hint="eastAsia" w:ascii="Times New Roman" w:hAnsi="Times New Roman" w:eastAsia="方正仿宋_GBK" w:cs="Times New Roman"/>
          <w:color w:val="auto"/>
          <w:kern w:val="2"/>
          <w:sz w:val="30"/>
          <w:szCs w:val="30"/>
          <w:highlight w:val="none"/>
          <w:lang w:val="en-US" w:eastAsia="zh-CN" w:bidi="ar-SA"/>
        </w:rPr>
        <w:t>3</w:t>
      </w:r>
      <w:r>
        <w:rPr>
          <w:rFonts w:hint="default" w:ascii="Times New Roman" w:hAnsi="Times New Roman" w:eastAsia="方正仿宋_GBK" w:cs="Times New Roman"/>
          <w:color w:val="auto"/>
          <w:kern w:val="2"/>
          <w:sz w:val="30"/>
          <w:szCs w:val="30"/>
          <w:highlight w:val="none"/>
          <w:lang w:val="en-US" w:eastAsia="zh-CN" w:bidi="ar-SA"/>
        </w:rPr>
        <w:t>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投入使用后，项目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ind w:firstLine="632" w:firstLineChars="200"/>
        <w:textAlignment w:val="auto"/>
        <w:rPr>
          <w:rFonts w:hint="eastAsia" w:ascii="Times New Roman" w:hAnsi="Times New Roman" w:eastAsia="楷体" w:cs="Times New Roman"/>
          <w:b/>
          <w:kern w:val="2"/>
          <w:sz w:val="32"/>
          <w:szCs w:val="32"/>
          <w:lang w:val="en-US" w:eastAsia="zh-CN" w:bidi="ar-SA"/>
        </w:rPr>
      </w:pPr>
      <w:bookmarkStart w:id="154" w:name="_Toc6010"/>
      <w:bookmarkStart w:id="155" w:name="_Toc9957"/>
      <w:bookmarkStart w:id="156" w:name="_Toc16497"/>
      <w:bookmarkStart w:id="157" w:name="_Toc3765"/>
      <w:r>
        <w:rPr>
          <w:rFonts w:hint="eastAsia" w:ascii="Times New Roman" w:hAnsi="Times New Roman" w:eastAsia="楷体" w:cs="Times New Roman"/>
          <w:b/>
          <w:kern w:val="2"/>
          <w:sz w:val="32"/>
          <w:szCs w:val="32"/>
          <w:lang w:val="en-US" w:eastAsia="zh-CN" w:bidi="ar-SA"/>
        </w:rPr>
        <w:t>（2）</w:t>
      </w:r>
      <w:r>
        <w:rPr>
          <w:rFonts w:hint="eastAsia" w:ascii="Times New Roman" w:hAnsi="Times New Roman" w:cs="Times New Roman"/>
          <w:b/>
          <w:kern w:val="2"/>
          <w:sz w:val="32"/>
          <w:szCs w:val="32"/>
          <w:lang w:val="en-US" w:eastAsia="zh-CN" w:bidi="ar-SA"/>
        </w:rPr>
        <w:t>满意度</w:t>
      </w:r>
      <w:bookmarkEnd w:id="154"/>
      <w:bookmarkEnd w:id="155"/>
      <w:bookmarkEnd w:id="156"/>
      <w:bookmarkEnd w:id="157"/>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我们通过发放调查问卷的方式，对同心县辖区常住居民、外来办事人员等进行了满意度调查，调查问卷内容包括项目建设情况、项目建设背景、社会效益等方面。经统计，项目整体的</w:t>
      </w:r>
      <w:r>
        <w:rPr>
          <w:rFonts w:hint="default" w:ascii="Times New Roman" w:hAnsi="Times New Roman" w:eastAsia="方正仿宋_GBK" w:cs="Times New Roman"/>
          <w:spacing w:val="0"/>
          <w:kern w:val="0"/>
          <w:sz w:val="30"/>
          <w:szCs w:val="30"/>
          <w:lang w:val="en-US" w:eastAsia="zh-CN" w:bidi="zh-CN"/>
        </w:rPr>
        <w:t>满意度≥90</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。该指标本项满分10分，根据评分标准得10分。</w:t>
      </w:r>
    </w:p>
    <w:p>
      <w:pPr>
        <w:pStyle w:val="3"/>
        <w:ind w:firstLine="592" w:firstLineChars="200"/>
        <w:rPr>
          <w:rFonts w:hint="eastAsia" w:asciiTheme="majorEastAsia" w:hAnsiTheme="majorEastAsia" w:eastAsiaTheme="majorEastAsia" w:cstheme="majorEastAsia"/>
          <w:b/>
          <w:bCs/>
          <w:sz w:val="30"/>
          <w:szCs w:val="30"/>
        </w:rPr>
      </w:pPr>
      <w:bookmarkStart w:id="158" w:name="_Toc27900"/>
      <w:bookmarkStart w:id="159" w:name="_Toc1561"/>
      <w:bookmarkStart w:id="160" w:name="_Toc31782"/>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58"/>
      <w:bookmarkEnd w:id="159"/>
      <w:bookmarkEnd w:id="160"/>
    </w:p>
    <w:p>
      <w:pPr>
        <w:pStyle w:val="4"/>
        <w:ind w:firstLine="562"/>
        <w:rPr>
          <w:rFonts w:ascii="方正楷体_GBK" w:hAnsi="方正楷体_GBK" w:eastAsia="方正楷体_GBK" w:cs="方正楷体_GBK"/>
          <w:b/>
          <w:bCs w:val="0"/>
          <w:sz w:val="32"/>
          <w:szCs w:val="32"/>
        </w:rPr>
      </w:pPr>
      <w:bookmarkStart w:id="161" w:name="_Toc4904"/>
      <w:bookmarkStart w:id="162" w:name="_Toc15956"/>
      <w:bookmarkStart w:id="163" w:name="_Toc19800"/>
      <w:r>
        <w:rPr>
          <w:rFonts w:hint="eastAsia" w:ascii="方正楷体_GBK" w:hAnsi="方正楷体_GBK" w:eastAsia="方正楷体_GBK" w:cs="方正楷体_GBK"/>
          <w:b/>
          <w:bCs w:val="0"/>
          <w:sz w:val="32"/>
          <w:szCs w:val="32"/>
        </w:rPr>
        <w:t>（一）经验做法</w:t>
      </w:r>
      <w:bookmarkEnd w:id="161"/>
      <w:bookmarkEnd w:id="162"/>
      <w:bookmarkEnd w:id="163"/>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同心县丁塘镇2022年高质量美丽宜居村庄奖补资金项目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项目建设单位严格执行国家基本建设程序，建立了“政府监督、项目法人负责、社会监督、企业保证”的质量管理体系，推行“四制”管理。</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工程施工中各参建单位按照工程建设管理要求进行现场管理，在施工现场成立了机构，分别负责技术、施工管理、施工协调、质量监督、财务管理，单位人员到位职责明确、措施到位、质量控制体系健全；施工单位严把材料质量关，坚决杜绝不合格材料进场，严格执行“三检制”要求，保证了各项工作按施工规范进行施工，工程质量得到了有效保证，</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三是</w:t>
      </w:r>
      <w:r>
        <w:rPr>
          <w:rFonts w:hint="eastAsia" w:ascii="Times New Roman" w:hAnsi="Times New Roman" w:eastAsia="方正仿宋_GBK" w:cs="Times New Roman"/>
          <w:b w:val="0"/>
          <w:kern w:val="2"/>
          <w:sz w:val="30"/>
          <w:szCs w:val="30"/>
          <w:lang w:val="en-US" w:eastAsia="zh-CN" w:bidi="zh-CN"/>
        </w:rPr>
        <w:t>施工单位成立了工程项目部，建立了质量保证体系，明确了质量管理机构和人员职责，建立了有关规章制度和管理办法。设计单位及时进行了设计技术交底和提交了有关设计文件。</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四是</w:t>
      </w:r>
      <w:r>
        <w:rPr>
          <w:rFonts w:hint="eastAsia" w:ascii="Times New Roman" w:hAnsi="Times New Roman" w:eastAsia="方正仿宋_GBK" w:cs="Times New Roman"/>
          <w:b w:val="0"/>
          <w:kern w:val="2"/>
          <w:sz w:val="30"/>
          <w:szCs w:val="30"/>
          <w:lang w:val="en-US" w:eastAsia="zh-CN" w:bidi="zh-CN"/>
        </w:rPr>
        <w:t>监理单位实施了现场监理并对重点部位、关键工序实行了旁站监理，严把审核关，工程质量得到有效控制，保证了各项工作的相衔接。</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64" w:name="_Toc13811"/>
      <w:bookmarkStart w:id="165" w:name="_Toc15590"/>
      <w:bookmarkStart w:id="166" w:name="_Toc14234"/>
      <w:r>
        <w:rPr>
          <w:rFonts w:hint="eastAsia" w:ascii="方正楷体_GBK" w:hAnsi="方正楷体_GBK" w:eastAsia="方正楷体_GBK" w:cs="方正楷体_GBK"/>
          <w:b/>
          <w:bCs w:val="0"/>
          <w:sz w:val="32"/>
          <w:szCs w:val="32"/>
        </w:rPr>
        <w:t>（二）存在的问题</w:t>
      </w:r>
      <w:bookmarkEnd w:id="164"/>
      <w:bookmarkEnd w:id="165"/>
      <w:bookmarkEnd w:id="166"/>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 xml:space="preserve">绩效目标申报表总体目标设定有绩无效，绩效指标细化、量化不足，效果指标的设定较为宏观，项目执行内容、总体目标、具体指标难以衔接。 </w:t>
      </w:r>
    </w:p>
    <w:p>
      <w:pPr>
        <w:keepNext w:val="0"/>
        <w:keepLines w:val="0"/>
        <w:pageBreakBefore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2.项目管理方面。</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项目施工合同中签署仍引用《合同法》而非《民法典》，项目合同签署有待进一步规范；</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项目竣工验收报告未签署完整日期；三是项目竣工验收报告中开工时间和工程报建时间与中标通知书时间、施工合同时间有出入。</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3.工程结算、财务决算相对滞后。</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在项目完工后，工程结算、竣工决算及时办理，将制约后续的资产移交和产权登记工作，不利于政府资产规范管理，而项目资金沉淀在基本建设账户上也不符合国家“盘活存量、用好增量”的财政政策，不符合《基本建设项目工程财务决算管理暂行办法》 第二条 “基本建设项目完工可投入使用或者试运行合格后，应当在3 个月内编报竣工财务决算，特殊情况确需延长的，中小型项目不得超过 2 个月，大型项目不得超过 6 个月”的规定。</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67" w:name="_Toc28878"/>
      <w:r>
        <w:rPr>
          <w:rFonts w:hint="eastAsia" w:ascii="方正楷体_GBK" w:hAnsi="方正楷体_GBK" w:eastAsia="方正楷体_GBK" w:cs="方正楷体_GBK"/>
          <w:color w:val="333333"/>
          <w:sz w:val="30"/>
          <w:szCs w:val="30"/>
          <w:shd w:val="clear" w:fill="FFFFFF"/>
          <w:lang w:val="en-US" w:eastAsia="zh-CN" w:bidi="zh-CN"/>
        </w:rPr>
        <w:t>（三）建议</w:t>
      </w:r>
      <w:bookmarkEnd w:id="167"/>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规范、完整的填报绩效目标申报表，细化、量化绩效指标。增强绩效指标设置的可行性和可考量性，合理设定绩效目标，将预算申报、绩效目标设定按照各项目内容在项目前期进行申报、设定，为项目决策和预算决策提供有力支撑。</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2.健全项目管理机制，规范项目管理。</w:t>
      </w:r>
    </w:p>
    <w:p>
      <w:pPr>
        <w:keepNext w:val="0"/>
        <w:keepLines w:val="0"/>
        <w:pageBreakBefore w:val="0"/>
        <w:widowControl w:val="0"/>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方正仿宋_GBK" w:cs="Times New Roman"/>
          <w:color w:val="000000"/>
          <w:kern w:val="0"/>
          <w:sz w:val="30"/>
          <w:szCs w:val="30"/>
          <w:lang w:val="en-US" w:eastAsia="zh-CN" w:bidi="ar"/>
        </w:rPr>
      </w:pPr>
      <w:r>
        <w:rPr>
          <w:rFonts w:hint="eastAsia" w:cs="仿宋"/>
          <w:b/>
          <w:bCs/>
          <w:color w:val="000000" w:themeColor="text1"/>
          <w:kern w:val="0"/>
          <w:sz w:val="32"/>
          <w:szCs w:val="32"/>
          <w:lang w:val="en-US" w:eastAsia="zh-CN" w:bidi="ar-SA"/>
          <w14:textFill>
            <w14:solidFill>
              <w14:schemeClr w14:val="tx1"/>
            </w14:solidFill>
          </w14:textFill>
        </w:rPr>
        <w:t>一是</w:t>
      </w:r>
      <w:r>
        <w:rPr>
          <w:rFonts w:hint="eastAsia" w:ascii="方正仿宋_GBK" w:hAnsi="方正仿宋_GBK" w:eastAsia="方正仿宋_GBK" w:cs="方正仿宋_GBK"/>
          <w:color w:val="000000"/>
          <w:kern w:val="0"/>
          <w:sz w:val="30"/>
          <w:szCs w:val="30"/>
          <w:lang w:val="en-US" w:eastAsia="zh-CN" w:bidi="ar"/>
        </w:rPr>
        <w:t>严格规</w:t>
      </w:r>
      <w:r>
        <w:rPr>
          <w:rFonts w:hint="default" w:ascii="Times New Roman" w:hAnsi="Times New Roman" w:eastAsia="方正仿宋_GBK" w:cs="Times New Roman"/>
          <w:color w:val="000000"/>
          <w:kern w:val="0"/>
          <w:sz w:val="30"/>
          <w:szCs w:val="30"/>
          <w:lang w:val="en-US" w:eastAsia="zh-CN" w:bidi="ar"/>
        </w:rPr>
        <w:t>范合同签署。《民法典》自2021年1月1日起施行，原《合同法》失效，关于合同的规定适用民法典，不再适用合同法。合同文书在签署完毕后，应严谨审阅，杜绝和规避出现错误</w:t>
      </w:r>
      <w:r>
        <w:rPr>
          <w:rFonts w:hint="eastAsia" w:ascii="方正仿宋_GBK" w:hAnsi="方正仿宋_GBK" w:eastAsia="方正仿宋_GBK" w:cs="方正仿宋_GBK"/>
          <w:color w:val="000000"/>
          <w:kern w:val="0"/>
          <w:sz w:val="30"/>
          <w:szCs w:val="30"/>
          <w:lang w:val="en-US" w:eastAsia="zh-CN" w:bidi="ar"/>
        </w:rPr>
        <w:t>；</w:t>
      </w: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二是</w:t>
      </w:r>
      <w:r>
        <w:rPr>
          <w:rFonts w:hint="eastAsia" w:ascii="方正仿宋_GBK" w:hAnsi="方正仿宋_GBK" w:eastAsia="方正仿宋_GBK" w:cs="方正仿宋_GBK"/>
          <w:color w:val="000000"/>
          <w:kern w:val="0"/>
          <w:sz w:val="30"/>
          <w:szCs w:val="30"/>
          <w:lang w:val="en-US" w:eastAsia="zh-CN" w:bidi="ar"/>
        </w:rPr>
        <w:t>建立健全项目实施方案、招投标资料、项目合同、项目实施情况、资金使用情况、项目实施结果及项目竣工验收报告等档案资料，妥善保存并加强保管</w:t>
      </w:r>
      <w:r>
        <w:rPr>
          <w:rFonts w:hint="eastAsia" w:cs="仿宋"/>
          <w:b w:val="0"/>
          <w:bCs w:val="0"/>
          <w:color w:val="000000" w:themeColor="text1"/>
          <w:kern w:val="0"/>
          <w:sz w:val="32"/>
          <w:szCs w:val="32"/>
          <w:lang w:val="en-US" w:eastAsia="zh-CN" w:bidi="ar-SA"/>
          <w14:textFill>
            <w14:solidFill>
              <w14:schemeClr w14:val="tx1"/>
            </w14:solidFill>
          </w14:textFill>
        </w:rPr>
        <w:t>；</w:t>
      </w:r>
      <w:r>
        <w:rPr>
          <w:rFonts w:hint="eastAsia" w:cs="仿宋"/>
          <w:b/>
          <w:bCs/>
          <w:color w:val="000000" w:themeColor="text1"/>
          <w:kern w:val="0"/>
          <w:sz w:val="32"/>
          <w:szCs w:val="32"/>
          <w:lang w:val="en-US" w:eastAsia="zh-CN" w:bidi="ar-SA"/>
          <w14:textFill>
            <w14:solidFill>
              <w14:schemeClr w14:val="tx1"/>
            </w14:solidFill>
          </w14:textFill>
        </w:rPr>
        <w:t>三是</w:t>
      </w:r>
      <w:r>
        <w:rPr>
          <w:rFonts w:hint="eastAsia" w:ascii="Times New Roman" w:hAnsi="Times New Roman" w:eastAsia="方正仿宋_GBK" w:cs="Times New Roman"/>
          <w:color w:val="000000"/>
          <w:kern w:val="0"/>
          <w:sz w:val="30"/>
          <w:szCs w:val="30"/>
          <w:lang w:val="en-US" w:eastAsia="zh-CN" w:bidi="ar"/>
        </w:rPr>
        <w:t>加强合同审阅流程。</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3.加快结算审计，尽早发挥效益。</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首先“双算”管理体制、机制和制度应尽快完善。</w:t>
      </w:r>
      <w:r>
        <w:rPr>
          <w:rFonts w:hint="eastAsia" w:ascii="方正仿宋_GBK" w:hAnsi="方正仿宋_GBK" w:eastAsia="方正仿宋_GBK" w:cs="方正仿宋_GBK"/>
          <w:color w:val="000000"/>
          <w:kern w:val="0"/>
          <w:sz w:val="30"/>
          <w:szCs w:val="30"/>
          <w:lang w:val="en-US" w:eastAsia="zh-CN" w:bidi="ar"/>
        </w:rPr>
        <w:t>应修订完善“双算”管理相关法规，改变目前法规规定不清晰或操作性不强的缺陷，理清建设项目各参建单位办理“双算”的义务和法律责任。</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其次</w:t>
      </w:r>
      <w:r>
        <w:rPr>
          <w:rFonts w:hint="eastAsia" w:ascii="方正仿宋_GBK" w:hAnsi="方正仿宋_GBK" w:eastAsia="方正仿宋_GBK" w:cs="方正仿宋_GBK"/>
          <w:color w:val="000000"/>
          <w:kern w:val="0"/>
          <w:sz w:val="30"/>
          <w:szCs w:val="30"/>
          <w:lang w:val="en-US" w:eastAsia="zh-CN" w:bidi="ar"/>
        </w:rPr>
        <w:t>按照《关于迅速开展已使用在建工程转固专项整治工作》文件要求，加快办理具备转固条件的竣工项目转固手续。同时，逐步建立健全资产管理长效机制，加强对本单位固定资产、公共基础设施等资产管理，促进资产管理提质增效。</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对于“建、使、管”分离的资产，相关部门应健全完善资产移交制度，明确部门职责及移交流程，促进资产管理制度化、规范化。资产管理、使用人发生变化时，依据核定的资产价值，及时办理资产交接手续，并加强资产日常维护管理工作，定期对资产进行盘点、对账，维护资产安全完整。</w:t>
      </w:r>
    </w:p>
    <w:p>
      <w:pPr>
        <w:keepNext w:val="0"/>
        <w:keepLines w:val="0"/>
        <w:pageBreakBefore w:val="0"/>
        <w:widowControl/>
        <w:numPr>
          <w:ilvl w:val="0"/>
          <w:numId w:val="4"/>
        </w:numPr>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eastAsia" w:asciiTheme="majorEastAsia" w:hAnsiTheme="majorEastAsia" w:eastAsiaTheme="majorEastAsia" w:cstheme="majorEastAsia"/>
          <w:b/>
          <w:bCs/>
          <w:kern w:val="44"/>
          <w:sz w:val="30"/>
          <w:szCs w:val="30"/>
          <w:lang w:val="en-US" w:eastAsia="zh-CN" w:bidi="ar-SA"/>
        </w:rPr>
        <w:t>其他需要说明的问题</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本绩效评价报告是在被评价单位提供项目资料的基础上核实、分析而完成的，评价工作组现场核实的事项仅限于同心县丁塘镇2022年高质量美丽宜居村庄</w:t>
      </w:r>
      <w:r>
        <w:rPr>
          <w:rFonts w:hint="eastAsia" w:ascii="方正仿宋_GBK" w:hAnsi="方正仿宋_GBK" w:eastAsia="方正仿宋_GBK" w:cs="方正仿宋_GBK"/>
          <w:color w:val="000000"/>
          <w:kern w:val="0"/>
          <w:sz w:val="30"/>
          <w:szCs w:val="30"/>
          <w:lang w:val="en-US" w:eastAsia="zh-CN" w:bidi="ar"/>
        </w:rPr>
        <w:t>奖补资金项目补助资金有关的方面。同时评价报告及结论也受评价人员对项目的了解程度、专业知识和评价能力的限制，因此，本绩效评</w:t>
      </w:r>
      <w:r>
        <w:rPr>
          <w:rFonts w:hint="default" w:ascii="Times New Roman" w:hAnsi="Times New Roman" w:eastAsia="方正仿宋_GBK" w:cs="Times New Roman"/>
          <w:color w:val="000000"/>
          <w:kern w:val="0"/>
          <w:sz w:val="30"/>
          <w:szCs w:val="30"/>
          <w:lang w:val="en-US" w:eastAsia="zh-CN" w:bidi="ar"/>
        </w:rPr>
        <w:t>价报告仅对同心县丁塘镇2022年</w:t>
      </w:r>
      <w:r>
        <w:rPr>
          <w:rFonts w:hint="eastAsia" w:ascii="方正仿宋_GBK" w:hAnsi="方正仿宋_GBK" w:eastAsia="方正仿宋_GBK" w:cs="方正仿宋_GBK"/>
          <w:color w:val="000000"/>
          <w:kern w:val="0"/>
          <w:sz w:val="30"/>
          <w:szCs w:val="30"/>
          <w:lang w:val="en-US" w:eastAsia="zh-CN" w:bidi="ar"/>
        </w:rPr>
        <w:t>高质量美丽宜居村庄奖补资金项目绩效评价报告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rPr>
          <w:rFonts w:hint="eastAsia" w:ascii="方正仿宋_GBK" w:hAnsi="方正仿宋_GBK" w:eastAsia="方正仿宋_GBK" w:cs="方正仿宋_GBK"/>
          <w:color w:val="000000"/>
          <w:kern w:val="0"/>
          <w:sz w:val="30"/>
          <w:szCs w:val="30"/>
          <w:lang w:val="en-US" w:eastAsia="zh-CN" w:bidi="ar"/>
        </w:rPr>
      </w:pPr>
    </w:p>
    <w:p>
      <w:pPr>
        <w:pStyle w:val="5"/>
        <w:rPr>
          <w:rFonts w:hint="eastAsia"/>
          <w:lang w:val="en-US" w:eastAsia="zh-CN"/>
        </w:rPr>
      </w:pP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项目访谈方案及访谈记录</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3.项目问卷调查</w:t>
      </w:r>
    </w:p>
    <w:p>
      <w:pPr>
        <w:pStyle w:val="2"/>
        <w:jc w:val="center"/>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4.绩效评价报告（征求意见稿）意见反馈表</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pStyle w:val="5"/>
        <w:rPr>
          <w:rFonts w:hint="eastAsia" w:ascii="Times New Roman" w:hAnsi="Times New Roman" w:eastAsia="方正仿宋_GB2312" w:cs="Times New Roman"/>
          <w:sz w:val="28"/>
          <w:szCs w:val="28"/>
          <w:lang w:val="zh-CN"/>
        </w:rPr>
      </w:pPr>
    </w:p>
    <w:p>
      <w:pPr>
        <w:rPr>
          <w:rFonts w:hint="eastAsia"/>
          <w:lang w:val="zh-CN"/>
        </w:rPr>
      </w:pPr>
    </w:p>
    <w:p>
      <w:pPr>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default" w:ascii="方正仿宋_GBK" w:hAnsi="方正仿宋_GBK" w:eastAsia="方正仿宋_GBK" w:cs="方正仿宋_GBK"/>
          <w:kern w:val="2"/>
          <w:sz w:val="30"/>
          <w:szCs w:val="30"/>
          <w:lang w:val="en-US" w:eastAsia="zh-CN" w:bidi="ar-SA"/>
        </w:rPr>
      </w:pPr>
      <w:r>
        <w:rPr>
          <w:rFonts w:hint="eastAsia" w:ascii="Times New Roman" w:hAnsi="Times New Roman" w:eastAsia="方正仿宋_GB2312" w:cs="Times New Roman"/>
          <w:b w:val="0"/>
          <w:sz w:val="28"/>
          <w:szCs w:val="28"/>
          <w:lang w:val="en-US" w:eastAsia="zh-CN"/>
        </w:rPr>
        <w:t xml:space="preserve">                                        </w:t>
      </w:r>
      <w:bookmarkEnd w:id="49"/>
      <w:bookmarkEnd w:id="50"/>
      <w:bookmarkEnd w:id="51"/>
      <w:bookmarkEnd w:id="52"/>
      <w:bookmarkEnd w:id="53"/>
      <w:bookmarkEnd w:id="54"/>
      <w:bookmarkEnd w:id="55"/>
      <w:bookmarkEnd w:id="56"/>
      <w:r>
        <w:rPr>
          <w:rFonts w:hint="eastAsia" w:ascii="Times New Roman" w:hAnsi="Times New Roman" w:eastAsia="方正仿宋_GB2312" w:cs="Times New Roman"/>
          <w:b w:val="0"/>
          <w:sz w:val="28"/>
          <w:szCs w:val="28"/>
          <w:lang w:val="en-US" w:eastAsia="zh-CN"/>
        </w:rPr>
        <w:t>2023年12月31日</w:t>
      </w:r>
      <w:bookmarkEnd w:id="28"/>
      <w:bookmarkEnd w:id="57"/>
      <w:bookmarkStart w:id="168" w:name="_Toc5302"/>
      <w:bookmarkStart w:id="169" w:name="_Toc20313"/>
      <w:r>
        <w:rPr>
          <w:rFonts w:hint="eastAsia" w:ascii="方正仿宋_GBK" w:hAnsi="方正仿宋_GBK" w:eastAsia="方正仿宋_GBK" w:cs="方正仿宋_GBK"/>
          <w:b w:val="0"/>
          <w:bCs w:val="0"/>
          <w:kern w:val="2"/>
          <w:sz w:val="30"/>
          <w:szCs w:val="30"/>
          <w:lang w:val="en-US" w:eastAsia="zh-CN" w:bidi="ar-SA"/>
        </w:rPr>
        <w:t xml:space="preserve">     </w:t>
      </w:r>
    </w:p>
    <w:p>
      <w:pPr>
        <w:rPr>
          <w:rFonts w:hint="default"/>
          <w:lang w:val="en-US" w:eastAsia="zh-CN"/>
        </w:rPr>
        <w:sectPr>
          <w:pgSz w:w="11906" w:h="16838"/>
          <w:pgMar w:top="2098" w:right="1587" w:bottom="2098" w:left="1587" w:header="1587" w:footer="935" w:gutter="0"/>
          <w:pgNumType w:fmt="decimal"/>
          <w:cols w:space="0" w:num="1"/>
          <w:rtlGutter w:val="0"/>
          <w:docGrid w:type="linesAndChars" w:linePitch="589" w:charSpace="-842"/>
        </w:sectPr>
      </w:pPr>
    </w:p>
    <w:bookmarkEnd w:id="168"/>
    <w:bookmarkEnd w:id="169"/>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同心县丁塘镇2022年高质量美丽宜居村庄奖补资金项目绩效评价指标体系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1"/>
        <w:tblW w:w="207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3"/>
                <w:rFonts w:hint="default" w:ascii="Times New Roman" w:hAnsi="Times New Roman" w:cs="Times New Roman"/>
                <w:lang w:val="en-US" w:eastAsia="zh-CN" w:bidi="ar"/>
              </w:rPr>
              <w:t>项目是否属于公共财政支持范围，是否符合中央地方事权支出责任划分原则</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3"/>
                <w:rFonts w:hint="default" w:ascii="Times New Roman" w:hAnsi="Times New Roman" w:cs="Times New Roman"/>
                <w:lang w:val="en-US" w:eastAsia="zh-CN" w:bidi="ar"/>
              </w:rPr>
              <w:t>项目是否与相关部门同类项目或部门内部相关项目重复</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根据实际建设内容，资金下达后补充</w:t>
            </w:r>
            <w:r>
              <w:rPr>
                <w:rFonts w:hint="default" w:ascii="Times New Roman" w:hAnsi="Times New Roman" w:eastAsia="方正仿宋_GBK" w:cs="Times New Roman"/>
                <w:i w:val="0"/>
                <w:iCs w:val="0"/>
                <w:color w:val="000000"/>
                <w:kern w:val="0"/>
                <w:sz w:val="22"/>
                <w:szCs w:val="22"/>
                <w:u w:val="none"/>
                <w:lang w:val="en-US" w:eastAsia="zh-CN" w:bidi="ar"/>
              </w:rPr>
              <w:t>绩效目标</w:t>
            </w:r>
            <w:r>
              <w:rPr>
                <w:rFonts w:hint="eastAsia" w:ascii="Times New Roman" w:hAnsi="Times New Roman" w:eastAsia="方正仿宋_GBK" w:cs="Times New Roman"/>
                <w:i w:val="0"/>
                <w:iCs w:val="0"/>
                <w:color w:val="000000"/>
                <w:kern w:val="0"/>
                <w:sz w:val="22"/>
                <w:szCs w:val="22"/>
                <w:u w:val="none"/>
                <w:lang w:val="en-US" w:eastAsia="zh-CN" w:bidi="ar"/>
              </w:rPr>
              <w:t>申报表</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绩效目标申报表总体目标设定有绩无效，绩效指标细化、量化不足，效果指标的设定较为宏观，项目执行内容、总体目标、具体指标难以衔接。</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项目预算资金200万元，实际支出200万元，预算执行率100%。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资金执行率=实际支付资金/实际到位资金×100%，专项资金执行率95%得满分。否则本指标得分=资金执行率×分值。</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25%，要素D2不符合，扣除对应权重分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b/>
                <w:bCs/>
                <w:i w:val="0"/>
                <w:iCs w:val="0"/>
                <w:color w:val="000000"/>
                <w:sz w:val="22"/>
                <w:szCs w:val="22"/>
                <w:u w:val="none"/>
                <w:lang w:val="en-US" w:eastAsia="zh-CN"/>
              </w:rPr>
              <w:t>一是</w:t>
            </w:r>
            <w:r>
              <w:rPr>
                <w:rFonts w:hint="eastAsia" w:ascii="Times New Roman" w:hAnsi="Times New Roman" w:eastAsia="方正仿宋_GBK" w:cs="Times New Roman"/>
                <w:i w:val="0"/>
                <w:iCs w:val="0"/>
                <w:color w:val="000000"/>
                <w:sz w:val="22"/>
                <w:szCs w:val="22"/>
                <w:u w:val="none"/>
                <w:lang w:val="en-US" w:eastAsia="zh-CN"/>
              </w:rPr>
              <w:t>项目施工合同中签署仍引用《合同法》而非《民法典》，项目合同签署有待进一步规范；</w:t>
            </w:r>
            <w:r>
              <w:rPr>
                <w:rFonts w:hint="eastAsia" w:ascii="Times New Roman" w:hAnsi="Times New Roman" w:eastAsia="方正仿宋_GBK" w:cs="Times New Roman"/>
                <w:b/>
                <w:bCs/>
                <w:i w:val="0"/>
                <w:iCs w:val="0"/>
                <w:color w:val="000000"/>
                <w:sz w:val="22"/>
                <w:szCs w:val="22"/>
                <w:u w:val="none"/>
                <w:lang w:val="en-US" w:eastAsia="zh-CN"/>
              </w:rPr>
              <w:t>二是</w:t>
            </w:r>
            <w:r>
              <w:rPr>
                <w:rFonts w:hint="eastAsia" w:ascii="Times New Roman" w:hAnsi="Times New Roman" w:eastAsia="方正仿宋_GBK" w:cs="Times New Roman"/>
                <w:i w:val="0"/>
                <w:iCs w:val="0"/>
                <w:color w:val="000000"/>
                <w:sz w:val="22"/>
                <w:szCs w:val="22"/>
                <w:u w:val="none"/>
                <w:lang w:val="en-US" w:eastAsia="zh-CN"/>
              </w:rPr>
              <w:t>项目竣工验收报告未签署完整日期；</w:t>
            </w:r>
            <w:r>
              <w:rPr>
                <w:rFonts w:hint="eastAsia" w:ascii="Times New Roman" w:hAnsi="Times New Roman" w:eastAsia="方正仿宋_GBK" w:cs="Times New Roman"/>
                <w:b/>
                <w:bCs/>
                <w:i w:val="0"/>
                <w:iCs w:val="0"/>
                <w:color w:val="000000"/>
                <w:sz w:val="22"/>
                <w:szCs w:val="22"/>
                <w:u w:val="none"/>
                <w:lang w:val="en-US" w:eastAsia="zh-CN"/>
              </w:rPr>
              <w:t>三是</w:t>
            </w:r>
            <w:r>
              <w:rPr>
                <w:rFonts w:hint="eastAsia" w:ascii="Times New Roman" w:hAnsi="Times New Roman" w:eastAsia="方正仿宋_GBK" w:cs="Times New Roman"/>
                <w:i w:val="0"/>
                <w:iCs w:val="0"/>
                <w:color w:val="000000"/>
                <w:sz w:val="22"/>
                <w:szCs w:val="22"/>
                <w:u w:val="none"/>
                <w:lang w:val="en-US" w:eastAsia="zh-CN"/>
              </w:rPr>
              <w:t>项目竣工验收报告中开工时间和工程报建时间与中标通知书时间、施工合同时间有出入。</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实施项目整体完成率</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8</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较及时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eastAsia="zh-CN"/>
              </w:rPr>
              <w:t>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未发生超预算现象。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7"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改善城市环境</w:t>
            </w:r>
          </w:p>
        </w:tc>
        <w:tc>
          <w:tcPr>
            <w:tcW w:w="2365"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逐步改善居住环境。</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机制健全性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建立健全长期维护机制</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考察项目结束后档案归档情况。</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：项目档案管理机制是否健全且执行有效。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89</w:t>
            </w:r>
          </w:p>
        </w:tc>
      </w:tr>
    </w:tbl>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kern w:val="2"/>
          <w:sz w:val="30"/>
          <w:szCs w:val="30"/>
          <w:lang w:val="en-US" w:eastAsia="zh-CN" w:bidi="ar-SA"/>
        </w:rPr>
      </w:pPr>
    </w:p>
    <w:p>
      <w:pPr>
        <w:ind w:left="0" w:leftChars="0" w:firstLine="0" w:firstLineChars="0"/>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pStyle w:val="2"/>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同心县丁塘镇2022年高质量美丽宜居村庄</w:t>
      </w:r>
    </w:p>
    <w:p>
      <w:pPr>
        <w:pStyle w:val="2"/>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奖补资金项目访谈方案</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一般债券资金项目的组织、实施、管理的具体情况，发现部门运行和管理中的问题，评估财政部门资金的使用以及与部门职能，了解和评估财政资金使用的效率和效益，发现资金使用和管理中的问题，为项目的管理和执行提供充分的决策依据。</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一</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同心县教育局财务科室负责人</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二</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三</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lang w:val="en-US" w:eastAsia="zh-CN"/>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四</w:t>
      </w:r>
      <w:r>
        <w:rPr>
          <w:rStyle w:val="24"/>
          <w:rFonts w:hint="eastAsia" w:ascii="方正仿宋_GBK" w:hAnsi="方正仿宋_GBK" w:eastAsia="方正仿宋_GBK" w:cs="方正仿宋_GBK"/>
          <w:color w:val="000000"/>
          <w:sz w:val="30"/>
          <w:szCs w:val="30"/>
          <w:lang w:eastAsia="zh-CN"/>
        </w:rPr>
        <w:t>）访谈</w:t>
      </w:r>
      <w:r>
        <w:rPr>
          <w:rStyle w:val="24"/>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w:t>
      </w:r>
      <w:r>
        <w:rPr>
          <w:rFonts w:hint="eastAsia" w:ascii="方正仿宋_GBK" w:hAnsi="方正仿宋_GBK" w:eastAsia="方正仿宋_GBK" w:cs="方正仿宋_GBK"/>
          <w:b w:val="0"/>
          <w:bCs w:val="0"/>
          <w:kern w:val="0"/>
          <w:sz w:val="30"/>
          <w:szCs w:val="30"/>
          <w:lang w:val="en-US" w:eastAsia="zh-CN" w:bidi="zh-CN"/>
        </w:rPr>
        <w:t>请简要介绍一下同心县丁塘镇2022年高质量美丽宜居村庄</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奖补资金项目绩效评价报告项目实施中主要负责的工作内容？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de-DE" w:eastAsia="zh-CN" w:bidi="zh-CN"/>
        </w:rPr>
      </w:pPr>
      <w:bookmarkStart w:id="170" w:name="_Toc385352814"/>
      <w:bookmarkStart w:id="171" w:name="_Toc387361423"/>
      <w:bookmarkStart w:id="172" w:name="_Toc393466358"/>
      <w:bookmarkStart w:id="173" w:name="_Toc385521993"/>
      <w:bookmarkStart w:id="174" w:name="_Toc385522401"/>
      <w:bookmarkStart w:id="175" w:name="_Toc390983233"/>
      <w:bookmarkStart w:id="176" w:name="_Toc396323558"/>
      <w:r>
        <w:rPr>
          <w:rFonts w:hint="eastAsia" w:ascii="Times New Roman" w:hAnsi="Times New Roman" w:eastAsia="方正仿宋_GBK" w:cs="Times New Roman"/>
          <w:b w:val="0"/>
          <w:bCs w:val="0"/>
          <w:kern w:val="0"/>
          <w:sz w:val="30"/>
          <w:szCs w:val="30"/>
          <w:lang w:val="en-US" w:eastAsia="zh-CN" w:bidi="zh-CN"/>
        </w:rPr>
        <w:t>3.项目实施效果和意义，</w:t>
      </w:r>
      <w:r>
        <w:rPr>
          <w:rFonts w:hint="eastAsia"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4.请您简要介绍</w:t>
      </w:r>
      <w:r>
        <w:rPr>
          <w:rFonts w:hint="eastAsia" w:ascii="Times New Roman" w:hAnsi="Times New Roman" w:eastAsia="方正仿宋_GBK" w:cs="Times New Roman"/>
          <w:b w:val="0"/>
          <w:bCs w:val="0"/>
          <w:kern w:val="0"/>
          <w:sz w:val="30"/>
          <w:szCs w:val="30"/>
          <w:lang w:val="de-DE" w:eastAsia="zh-CN" w:bidi="zh-CN"/>
        </w:rPr>
        <w:t>项目</w:t>
      </w:r>
      <w:r>
        <w:rPr>
          <w:rFonts w:hint="eastAsia"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6.项目实施过程中采取了哪些控制措施？</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7.</w:t>
      </w:r>
      <w:bookmarkEnd w:id="170"/>
      <w:bookmarkEnd w:id="171"/>
      <w:bookmarkEnd w:id="172"/>
      <w:bookmarkEnd w:id="173"/>
      <w:bookmarkEnd w:id="174"/>
      <w:bookmarkEnd w:id="175"/>
      <w:bookmarkEnd w:id="176"/>
      <w:r>
        <w:rPr>
          <w:rFonts w:hint="eastAsia" w:ascii="Times New Roman" w:hAnsi="Times New Roman" w:eastAsia="方正仿宋_GBK" w:cs="Times New Roman"/>
          <w:b w:val="0"/>
          <w:bCs w:val="0"/>
          <w:kern w:val="0"/>
          <w:sz w:val="30"/>
          <w:szCs w:val="30"/>
          <w:lang w:val="en-US" w:eastAsia="zh-CN" w:bidi="zh-CN"/>
        </w:rPr>
        <w:t>项目过程中都有哪些好的经验做法？项目开展都有哪些难点和建议？</w:t>
      </w:r>
    </w:p>
    <w:p>
      <w:pPr>
        <w:pStyle w:val="4"/>
        <w:pageBreakBefore w:val="0"/>
        <w:widowControl w:val="0"/>
        <w:kinsoku/>
        <w:wordWrap/>
        <w:topLinePunct w:val="0"/>
        <w:bidi w:val="0"/>
        <w:adjustRightInd/>
        <w:snapToGrid/>
        <w:spacing w:beforeLines="0" w:afterLines="0"/>
        <w:textAlignment w:val="auto"/>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lang w:val="en-US" w:eastAsia="zh-CN"/>
        </w:rPr>
      </w:pPr>
    </w:p>
    <w:p>
      <w:pPr>
        <w:rPr>
          <w:rFonts w:hint="eastAsia" w:ascii="仿宋" w:hAnsi="仿宋" w:eastAsia="仿宋" w:cs="仿宋"/>
          <w:b w:val="0"/>
          <w:bCs w:val="0"/>
          <w:sz w:val="32"/>
          <w:szCs w:val="32"/>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附件3</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同心县丁塘镇2022年高质量美丽宜居村庄</w:t>
      </w:r>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奖补资金项目调查问卷样本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丁塘镇2022年高质量美丽宜居村庄奖补资金项目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1.</w:t>
      </w:r>
      <w:r>
        <w:rPr>
          <w:rFonts w:hint="eastAsia" w:ascii="Times New Roman" w:hAnsi="Times New Roman" w:eastAsia="方正仿宋_GBK" w:cs="Times New Roman"/>
          <w:b w:val="0"/>
          <w:bCs w:val="0"/>
          <w:kern w:val="0"/>
          <w:sz w:val="30"/>
          <w:szCs w:val="30"/>
          <w:lang w:val="en-US" w:eastAsia="zh-CN" w:bidi="zh-CN"/>
        </w:rPr>
        <w:t>请问您得年龄？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□20岁以下   □21-40岁  □41-60岁  □61岁以上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2.</w:t>
      </w:r>
      <w:r>
        <w:rPr>
          <w:rFonts w:hint="eastAsia" w:ascii="Times New Roman" w:hAnsi="Times New Roman" w:cs="Times New Roman"/>
          <w:sz w:val="30"/>
          <w:szCs w:val="30"/>
          <w:lang w:val="en-US" w:eastAsia="zh-CN"/>
        </w:rPr>
        <w:t>请问您的文化程度？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□中专及以下 □大专   □本科     □研究生及以上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3.</w:t>
      </w:r>
      <w:r>
        <w:rPr>
          <w:rFonts w:hint="eastAsia" w:ascii="Times New Roman" w:hAnsi="Times New Roman" w:cs="Times New Roman"/>
          <w:sz w:val="30"/>
          <w:szCs w:val="30"/>
          <w:lang w:val="en-US" w:eastAsia="zh-CN"/>
        </w:rPr>
        <w:t>请问您是否为同心县当地居民？</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□是     □否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（二）满意度问题</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587" w:leftChars="186" w:firstLine="0" w:firstLineChars="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1.您对同心县丁塘镇2022年高质量美丽宜居村庄奖补资金项目建设是否满意？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587" w:leftChars="186" w:firstLine="0" w:firstLineChars="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2.您对同心县丁塘镇2022年高质量美丽宜居村庄奖补资金项目施工过程的管理是否满意？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587" w:leftChars="186" w:firstLine="0" w:firstLineChars="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3.您对同心县丁塘镇2022年高质量美丽宜居村庄奖补资金项目工程总体进度是否满意？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（三）开放问题</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您对同心县丁塘镇2022年高质量美丽宜居村庄奖补资金项目还有什么意见和建议？</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附件4</w:t>
      </w:r>
    </w:p>
    <w:p>
      <w:pPr>
        <w:pStyle w:val="2"/>
        <w:ind w:firstLine="2072" w:firstLineChars="700"/>
        <w:jc w:val="both"/>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72" w:firstLineChars="200"/>
        <w:jc w:val="both"/>
        <w:textAlignment w:val="auto"/>
        <w:rPr>
          <w:rFonts w:hint="default" w:ascii="Times New Roman" w:hAnsi="Times New Roman" w:eastAsia="仿宋" w:cs="Times New Roman"/>
          <w:kern w:val="2"/>
          <w:sz w:val="30"/>
          <w:szCs w:val="30"/>
          <w:lang w:val="en-US" w:eastAsia="zh-CN" w:bidi="ar-SA"/>
        </w:rPr>
      </w:pPr>
      <w:r>
        <w:drawing>
          <wp:anchor distT="0" distB="0" distL="114300" distR="114300" simplePos="0" relativeHeight="251659264" behindDoc="1" locked="0" layoutInCell="1" allowOverlap="1">
            <wp:simplePos x="0" y="0"/>
            <wp:positionH relativeFrom="column">
              <wp:posOffset>174625</wp:posOffset>
            </wp:positionH>
            <wp:positionV relativeFrom="paragraph">
              <wp:posOffset>802005</wp:posOffset>
            </wp:positionV>
            <wp:extent cx="5039995" cy="6120130"/>
            <wp:effectExtent l="0" t="0" r="8255" b="1397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039995" cy="6120130"/>
                    </a:xfrm>
                    <a:prstGeom prst="rect">
                      <a:avLst/>
                    </a:prstGeom>
                    <a:noFill/>
                    <a:ln>
                      <a:noFill/>
                    </a:ln>
                  </pic:spPr>
                </pic:pic>
              </a:graphicData>
            </a:graphic>
          </wp:anchor>
        </w:drawing>
      </w: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086CC4-9AF5-4250-8A8B-8F3324A0F0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A333EE77-DA28-48D5-B280-E003BEF166E5}"/>
  </w:font>
  <w:font w:name="楷体">
    <w:panose1 w:val="02010609060101010101"/>
    <w:charset w:val="86"/>
    <w:family w:val="auto"/>
    <w:pitch w:val="default"/>
    <w:sig w:usb0="800002BF" w:usb1="38CF7CFA" w:usb2="00000016" w:usb3="00000000" w:csb0="00040001" w:csb1="00000000"/>
    <w:embedRegular r:id="rId3" w:fontKey="{B721079D-0A5E-42BA-A742-8EE42EEADCAE}"/>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B6DD57FF-571B-491F-9788-C88514A3A9B2}"/>
  </w:font>
  <w:font w:name="方正仿宋_GBK">
    <w:panose1 w:val="02000000000000000000"/>
    <w:charset w:val="86"/>
    <w:family w:val="auto"/>
    <w:pitch w:val="default"/>
    <w:sig w:usb0="A00002BF" w:usb1="38CF7CFA" w:usb2="00082016" w:usb3="00000000" w:csb0="00040001" w:csb1="00000000"/>
    <w:embedRegular r:id="rId5" w:fontKey="{6C56D9F5-DC67-45F3-BACA-37CA7D400F3A}"/>
  </w:font>
  <w:font w:name="方正小标宋_GBK">
    <w:panose1 w:val="02000000000000000000"/>
    <w:charset w:val="86"/>
    <w:family w:val="auto"/>
    <w:pitch w:val="default"/>
    <w:sig w:usb0="A00002BF" w:usb1="38CF7CFA" w:usb2="00082016" w:usb3="00000000" w:csb0="00040001" w:csb1="00000000"/>
    <w:embedRegular r:id="rId6" w:fontKey="{E0E2AF39-7985-46F7-87AF-D7B9BF2AE41B}"/>
  </w:font>
  <w:font w:name="方正小标宋简体">
    <w:panose1 w:val="02000000000000000000"/>
    <w:charset w:val="86"/>
    <w:family w:val="auto"/>
    <w:pitch w:val="default"/>
    <w:sig w:usb0="00000001" w:usb1="08000000" w:usb2="00000000" w:usb3="00000000" w:csb0="00040000" w:csb1="00000000"/>
    <w:embedRegular r:id="rId7" w:fontKey="{026E00D6-A6A1-4C5A-ABFF-6F4EB86BA760}"/>
  </w:font>
  <w:font w:name="方正正黑_GBK">
    <w:panose1 w:val="02000000000000000000"/>
    <w:charset w:val="86"/>
    <w:family w:val="auto"/>
    <w:pitch w:val="default"/>
    <w:sig w:usb0="A00002BF" w:usb1="38CF7CFA" w:usb2="00082016" w:usb3="00000000" w:csb0="00040001" w:csb1="00000000"/>
    <w:embedRegular r:id="rId8" w:fontKey="{6D376A3E-8D87-4604-BFFB-EBB5ADE45A01}"/>
  </w:font>
  <w:font w:name="方正楷体_GBK">
    <w:panose1 w:val="02000000000000000000"/>
    <w:charset w:val="86"/>
    <w:family w:val="auto"/>
    <w:pitch w:val="default"/>
    <w:sig w:usb0="800002BF" w:usb1="38CF7CFA" w:usb2="00000016" w:usb3="00000000" w:csb0="00040000" w:csb1="00000000"/>
    <w:embedRegular r:id="rId9" w:fontKey="{45FE3945-7080-4FD7-A192-3539FFA32412}"/>
  </w:font>
  <w:font w:name="方正公文小标宋">
    <w:panose1 w:val="02000500000000000000"/>
    <w:charset w:val="86"/>
    <w:family w:val="auto"/>
    <w:pitch w:val="default"/>
    <w:sig w:usb0="A00002BF" w:usb1="38CF7CFA" w:usb2="00000016" w:usb3="00000000" w:csb0="00040001" w:csb1="00000000"/>
    <w:embedRegular r:id="rId10" w:fontKey="{ACF30AED-5E5A-4FDD-A230-A4098EE74144}"/>
  </w:font>
  <w:font w:name="方正仿宋_GB2312">
    <w:panose1 w:val="02000000000000000000"/>
    <w:charset w:val="86"/>
    <w:family w:val="auto"/>
    <w:pitch w:val="default"/>
    <w:sig w:usb0="A00002BF" w:usb1="184F6CFA" w:usb2="00000012" w:usb3="00000000" w:csb0="00040001" w:csb1="00000000"/>
    <w:embedRegular r:id="rId11" w:fontKey="{2164289C-7CA0-42A0-B6EC-BA4BDE739247}"/>
  </w:font>
  <w:font w:name="微软雅黑">
    <w:panose1 w:val="020B0503020204020204"/>
    <w:charset w:val="86"/>
    <w:family w:val="auto"/>
    <w:pitch w:val="default"/>
    <w:sig w:usb0="80000287" w:usb1="2ACF3C50" w:usb2="00000016" w:usb3="00000000" w:csb0="0004001F" w:csb1="00000000"/>
    <w:embedRegular r:id="rId12" w:fontKey="{B08DA7C2-1E8C-4209-ACDE-F2725AC9EBD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5940" w:hanging="5940" w:hangingChars="2700"/>
      <w:jc w:val="right"/>
      <w:rPr>
        <w:rFonts w:hint="eastAsia"/>
        <w:sz w:val="22"/>
        <w:szCs w:val="2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jc w:val="right"/>
      <w:rPr>
        <w:rFonts w:hint="eastAsia"/>
        <w:sz w:val="22"/>
        <w:szCs w:val="22"/>
        <w:lang w:val="en-US" w:eastAsia="zh-CN"/>
      </w:rPr>
    </w:pPr>
    <w:r>
      <w:rPr>
        <w:rFonts w:hint="eastAsia"/>
        <w:b/>
        <w:bCs/>
        <w:sz w:val="22"/>
        <w:szCs w:val="22"/>
        <w:lang w:val="en-US" w:eastAsia="zh-CN"/>
      </w:rPr>
      <w:t>同心县丁塘镇2022年高质量美丽宜居村庄奖补资金项目</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5"/>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1"/>
        <w:szCs w:val="21"/>
        <w:lang w:val="en-US" w:eastAsia="zh-CN"/>
      </w:rPr>
      <w:t>同心县丁塘镇2022年高质量美丽宜居村庄奖补资金项目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5AD5A8"/>
    <w:multiLevelType w:val="singleLevel"/>
    <w:tmpl w:val="955AD5A8"/>
    <w:lvl w:ilvl="0" w:tentative="0">
      <w:start w:val="8"/>
      <w:numFmt w:val="chineseCounting"/>
      <w:suff w:val="nothing"/>
      <w:lvlText w:val="%1、"/>
      <w:lvlJc w:val="left"/>
      <w:rPr>
        <w:rFonts w:hint="eastAsia"/>
      </w:rPr>
    </w:lvl>
  </w:abstractNum>
  <w:abstractNum w:abstractNumId="1">
    <w:nsid w:val="E0B2C9DB"/>
    <w:multiLevelType w:val="singleLevel"/>
    <w:tmpl w:val="E0B2C9DB"/>
    <w:lvl w:ilvl="0" w:tentative="0">
      <w:start w:val="2"/>
      <w:numFmt w:val="chineseCounting"/>
      <w:suff w:val="nothing"/>
      <w:lvlText w:val="（%1）"/>
      <w:lvlJc w:val="left"/>
      <w:rPr>
        <w:rFonts w:hint="eastAsia"/>
      </w:rPr>
    </w:lvl>
  </w:abstractNum>
  <w:abstractNum w:abstractNumId="2">
    <w:nsid w:val="FB20EEF5"/>
    <w:multiLevelType w:val="singleLevel"/>
    <w:tmpl w:val="FB20EEF5"/>
    <w:lvl w:ilvl="0" w:tentative="0">
      <w:start w:val="3"/>
      <w:numFmt w:val="chineseCounting"/>
      <w:suff w:val="nothing"/>
      <w:lvlText w:val="%1、"/>
      <w:lvlJc w:val="left"/>
      <w:rPr>
        <w:rFonts w:hint="eastAsia"/>
      </w:rPr>
    </w:lvl>
  </w:abstractNum>
  <w:abstractNum w:abstractNumId="3">
    <w:nsid w:val="1A871B52"/>
    <w:multiLevelType w:val="singleLevel"/>
    <w:tmpl w:val="1A871B52"/>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3A4DF7"/>
    <w:rsid w:val="00C83FFA"/>
    <w:rsid w:val="00C90E0C"/>
    <w:rsid w:val="00F1191B"/>
    <w:rsid w:val="010351AA"/>
    <w:rsid w:val="01277E1F"/>
    <w:rsid w:val="013B0A52"/>
    <w:rsid w:val="01711D58"/>
    <w:rsid w:val="01A22C15"/>
    <w:rsid w:val="02693F89"/>
    <w:rsid w:val="02B726F0"/>
    <w:rsid w:val="031F0282"/>
    <w:rsid w:val="03321D76"/>
    <w:rsid w:val="03782AE9"/>
    <w:rsid w:val="038F5644"/>
    <w:rsid w:val="049979AA"/>
    <w:rsid w:val="04CB2483"/>
    <w:rsid w:val="05127FF8"/>
    <w:rsid w:val="05373674"/>
    <w:rsid w:val="057E08FD"/>
    <w:rsid w:val="05DE7F94"/>
    <w:rsid w:val="05E661B9"/>
    <w:rsid w:val="06310741"/>
    <w:rsid w:val="067B3A34"/>
    <w:rsid w:val="06935222"/>
    <w:rsid w:val="07752028"/>
    <w:rsid w:val="079B438E"/>
    <w:rsid w:val="07C669DF"/>
    <w:rsid w:val="07DC0B0F"/>
    <w:rsid w:val="084314D4"/>
    <w:rsid w:val="08A2629B"/>
    <w:rsid w:val="08D765EB"/>
    <w:rsid w:val="09087391"/>
    <w:rsid w:val="094E2BC9"/>
    <w:rsid w:val="0978425B"/>
    <w:rsid w:val="09A94FE9"/>
    <w:rsid w:val="09EE451A"/>
    <w:rsid w:val="0A104DC5"/>
    <w:rsid w:val="0A1421D6"/>
    <w:rsid w:val="0A1441B8"/>
    <w:rsid w:val="0A9E5F43"/>
    <w:rsid w:val="0B1A65E0"/>
    <w:rsid w:val="0BA37CB5"/>
    <w:rsid w:val="0C063DA0"/>
    <w:rsid w:val="0D112862"/>
    <w:rsid w:val="0D1B3E33"/>
    <w:rsid w:val="0D8710B2"/>
    <w:rsid w:val="0DA75E3E"/>
    <w:rsid w:val="0DF16443"/>
    <w:rsid w:val="0DF27CB1"/>
    <w:rsid w:val="0E294B7B"/>
    <w:rsid w:val="0E411EBB"/>
    <w:rsid w:val="0E6B4917"/>
    <w:rsid w:val="0EE8142C"/>
    <w:rsid w:val="0F0355A7"/>
    <w:rsid w:val="0F812D08"/>
    <w:rsid w:val="0FBA6D07"/>
    <w:rsid w:val="0FC1070A"/>
    <w:rsid w:val="0FC2315B"/>
    <w:rsid w:val="0FC65D57"/>
    <w:rsid w:val="0FE268D2"/>
    <w:rsid w:val="104430E9"/>
    <w:rsid w:val="10594DE6"/>
    <w:rsid w:val="10923E54"/>
    <w:rsid w:val="10B4026F"/>
    <w:rsid w:val="10F70CB9"/>
    <w:rsid w:val="10FA20BF"/>
    <w:rsid w:val="11326D9C"/>
    <w:rsid w:val="11576F43"/>
    <w:rsid w:val="11877731"/>
    <w:rsid w:val="12057474"/>
    <w:rsid w:val="123478B9"/>
    <w:rsid w:val="12780A7F"/>
    <w:rsid w:val="12A803F6"/>
    <w:rsid w:val="12B800BB"/>
    <w:rsid w:val="1306193D"/>
    <w:rsid w:val="13653AA2"/>
    <w:rsid w:val="138163C4"/>
    <w:rsid w:val="13D16037"/>
    <w:rsid w:val="14642D3C"/>
    <w:rsid w:val="15042393"/>
    <w:rsid w:val="151B68BE"/>
    <w:rsid w:val="15BC373C"/>
    <w:rsid w:val="15CA4090"/>
    <w:rsid w:val="15D25F85"/>
    <w:rsid w:val="15D614F9"/>
    <w:rsid w:val="15E50ECA"/>
    <w:rsid w:val="16201F02"/>
    <w:rsid w:val="165E3157"/>
    <w:rsid w:val="17C26244"/>
    <w:rsid w:val="18070836"/>
    <w:rsid w:val="18CC35FF"/>
    <w:rsid w:val="18D555BD"/>
    <w:rsid w:val="19A84F19"/>
    <w:rsid w:val="1A11557B"/>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3724EF"/>
    <w:rsid w:val="1F4629DA"/>
    <w:rsid w:val="1F955F35"/>
    <w:rsid w:val="1F9F033C"/>
    <w:rsid w:val="1FC05264"/>
    <w:rsid w:val="20040FA2"/>
    <w:rsid w:val="203E32AB"/>
    <w:rsid w:val="2156570F"/>
    <w:rsid w:val="21577FE6"/>
    <w:rsid w:val="218D141D"/>
    <w:rsid w:val="21D104AE"/>
    <w:rsid w:val="22111139"/>
    <w:rsid w:val="221E4098"/>
    <w:rsid w:val="223C7432"/>
    <w:rsid w:val="23244678"/>
    <w:rsid w:val="23487B6D"/>
    <w:rsid w:val="23637058"/>
    <w:rsid w:val="23687A05"/>
    <w:rsid w:val="23825220"/>
    <w:rsid w:val="23950CAE"/>
    <w:rsid w:val="23E8200D"/>
    <w:rsid w:val="23EB612F"/>
    <w:rsid w:val="23FA0237"/>
    <w:rsid w:val="24015121"/>
    <w:rsid w:val="242B2707"/>
    <w:rsid w:val="24533EA6"/>
    <w:rsid w:val="246E3597"/>
    <w:rsid w:val="24A44DE5"/>
    <w:rsid w:val="24AF2BFF"/>
    <w:rsid w:val="25796D0E"/>
    <w:rsid w:val="25963936"/>
    <w:rsid w:val="25AE419A"/>
    <w:rsid w:val="25FF2DD9"/>
    <w:rsid w:val="26087208"/>
    <w:rsid w:val="26100882"/>
    <w:rsid w:val="26993D37"/>
    <w:rsid w:val="26D12065"/>
    <w:rsid w:val="26E34FB2"/>
    <w:rsid w:val="272621AB"/>
    <w:rsid w:val="273264EE"/>
    <w:rsid w:val="27341AD8"/>
    <w:rsid w:val="279A52BC"/>
    <w:rsid w:val="27BF554F"/>
    <w:rsid w:val="27CE7A10"/>
    <w:rsid w:val="28A11882"/>
    <w:rsid w:val="28B13905"/>
    <w:rsid w:val="28D2314B"/>
    <w:rsid w:val="28D47992"/>
    <w:rsid w:val="28E04120"/>
    <w:rsid w:val="28EC2844"/>
    <w:rsid w:val="29387837"/>
    <w:rsid w:val="295D5A2E"/>
    <w:rsid w:val="29972B84"/>
    <w:rsid w:val="299F1664"/>
    <w:rsid w:val="2A08236A"/>
    <w:rsid w:val="2A3744E2"/>
    <w:rsid w:val="2A4468E8"/>
    <w:rsid w:val="2A88139D"/>
    <w:rsid w:val="2B04761D"/>
    <w:rsid w:val="2B31540B"/>
    <w:rsid w:val="2BF612E4"/>
    <w:rsid w:val="2C07626C"/>
    <w:rsid w:val="2C265B3F"/>
    <w:rsid w:val="2C365B84"/>
    <w:rsid w:val="2C54430A"/>
    <w:rsid w:val="2C950AFD"/>
    <w:rsid w:val="2CD07D87"/>
    <w:rsid w:val="2D3477DA"/>
    <w:rsid w:val="2D921854"/>
    <w:rsid w:val="2DBA5D46"/>
    <w:rsid w:val="2DC2093D"/>
    <w:rsid w:val="2DEA5335"/>
    <w:rsid w:val="2E0E34EA"/>
    <w:rsid w:val="2E512AC0"/>
    <w:rsid w:val="2E59154F"/>
    <w:rsid w:val="2E7C1412"/>
    <w:rsid w:val="2E8D2405"/>
    <w:rsid w:val="2E96490B"/>
    <w:rsid w:val="2EDF2503"/>
    <w:rsid w:val="2EF064BE"/>
    <w:rsid w:val="2F96257F"/>
    <w:rsid w:val="2FB60690"/>
    <w:rsid w:val="304940ED"/>
    <w:rsid w:val="308C3833"/>
    <w:rsid w:val="3095731D"/>
    <w:rsid w:val="30B06230"/>
    <w:rsid w:val="30D50061"/>
    <w:rsid w:val="31164343"/>
    <w:rsid w:val="317928C0"/>
    <w:rsid w:val="317D7F2F"/>
    <w:rsid w:val="31A041CB"/>
    <w:rsid w:val="31EB3B69"/>
    <w:rsid w:val="31FC6110"/>
    <w:rsid w:val="32C75788"/>
    <w:rsid w:val="3301513E"/>
    <w:rsid w:val="330E3209"/>
    <w:rsid w:val="33210D4B"/>
    <w:rsid w:val="33565E16"/>
    <w:rsid w:val="33753436"/>
    <w:rsid w:val="33AE6A83"/>
    <w:rsid w:val="33F20148"/>
    <w:rsid w:val="344C36D7"/>
    <w:rsid w:val="34767465"/>
    <w:rsid w:val="347D25A2"/>
    <w:rsid w:val="349124F1"/>
    <w:rsid w:val="34CF6284"/>
    <w:rsid w:val="34D94D78"/>
    <w:rsid w:val="34E43BF0"/>
    <w:rsid w:val="34FA0BAE"/>
    <w:rsid w:val="35A77929"/>
    <w:rsid w:val="366C6D72"/>
    <w:rsid w:val="36CC15BF"/>
    <w:rsid w:val="375A12C0"/>
    <w:rsid w:val="379D4EBE"/>
    <w:rsid w:val="37D93A30"/>
    <w:rsid w:val="38250B51"/>
    <w:rsid w:val="3846715C"/>
    <w:rsid w:val="39EC58CA"/>
    <w:rsid w:val="39FB2B8C"/>
    <w:rsid w:val="3A1F1BFC"/>
    <w:rsid w:val="3A3F02FA"/>
    <w:rsid w:val="3A5D44DB"/>
    <w:rsid w:val="3A887938"/>
    <w:rsid w:val="3A9262F0"/>
    <w:rsid w:val="3AC30F2B"/>
    <w:rsid w:val="3AE54968"/>
    <w:rsid w:val="3AED2368"/>
    <w:rsid w:val="3B261658"/>
    <w:rsid w:val="3B500B8C"/>
    <w:rsid w:val="3BB05953"/>
    <w:rsid w:val="3BCB0097"/>
    <w:rsid w:val="3C44609B"/>
    <w:rsid w:val="3C460065"/>
    <w:rsid w:val="3C653FC1"/>
    <w:rsid w:val="3CAF193C"/>
    <w:rsid w:val="3D2757A1"/>
    <w:rsid w:val="3D430101"/>
    <w:rsid w:val="3D5F5ADC"/>
    <w:rsid w:val="3DB50FFF"/>
    <w:rsid w:val="3DCC1004"/>
    <w:rsid w:val="3DED69EA"/>
    <w:rsid w:val="3E4A5E49"/>
    <w:rsid w:val="3E505673"/>
    <w:rsid w:val="3E6D2B8B"/>
    <w:rsid w:val="3E783CB3"/>
    <w:rsid w:val="3EEF0540"/>
    <w:rsid w:val="3EF96114"/>
    <w:rsid w:val="3F1964EA"/>
    <w:rsid w:val="3F4A06EC"/>
    <w:rsid w:val="3F6E5909"/>
    <w:rsid w:val="3F8E7D59"/>
    <w:rsid w:val="3F8F3AD1"/>
    <w:rsid w:val="40453D92"/>
    <w:rsid w:val="405A5E8D"/>
    <w:rsid w:val="405B60A8"/>
    <w:rsid w:val="409C3B18"/>
    <w:rsid w:val="40B732E0"/>
    <w:rsid w:val="40D03C01"/>
    <w:rsid w:val="40E81398"/>
    <w:rsid w:val="40F40090"/>
    <w:rsid w:val="410336E1"/>
    <w:rsid w:val="41054DFD"/>
    <w:rsid w:val="4110479E"/>
    <w:rsid w:val="41553248"/>
    <w:rsid w:val="417052AF"/>
    <w:rsid w:val="419D4F33"/>
    <w:rsid w:val="41D70E14"/>
    <w:rsid w:val="41F30D48"/>
    <w:rsid w:val="42500DFE"/>
    <w:rsid w:val="4262727B"/>
    <w:rsid w:val="428423CE"/>
    <w:rsid w:val="42C82B0B"/>
    <w:rsid w:val="42E3660E"/>
    <w:rsid w:val="430A1DED"/>
    <w:rsid w:val="435E7A42"/>
    <w:rsid w:val="43654FAA"/>
    <w:rsid w:val="437B6846"/>
    <w:rsid w:val="439A2BC7"/>
    <w:rsid w:val="44112D07"/>
    <w:rsid w:val="44174EB0"/>
    <w:rsid w:val="44D67B06"/>
    <w:rsid w:val="45034416"/>
    <w:rsid w:val="455C18CC"/>
    <w:rsid w:val="459C4B6B"/>
    <w:rsid w:val="45F418B3"/>
    <w:rsid w:val="45FD79E7"/>
    <w:rsid w:val="463C0759"/>
    <w:rsid w:val="46624259"/>
    <w:rsid w:val="46C44060"/>
    <w:rsid w:val="471E751C"/>
    <w:rsid w:val="472900CD"/>
    <w:rsid w:val="473236C0"/>
    <w:rsid w:val="47A76A1D"/>
    <w:rsid w:val="47B70069"/>
    <w:rsid w:val="47B95B8F"/>
    <w:rsid w:val="47D334DC"/>
    <w:rsid w:val="488F195B"/>
    <w:rsid w:val="48A2254D"/>
    <w:rsid w:val="49072C4A"/>
    <w:rsid w:val="496D1725"/>
    <w:rsid w:val="498C7B7B"/>
    <w:rsid w:val="49A80A70"/>
    <w:rsid w:val="49EE685A"/>
    <w:rsid w:val="49F25388"/>
    <w:rsid w:val="4A045B66"/>
    <w:rsid w:val="4A0D5D1E"/>
    <w:rsid w:val="4A1470AD"/>
    <w:rsid w:val="4A471230"/>
    <w:rsid w:val="4A6E0EB3"/>
    <w:rsid w:val="4A755EA0"/>
    <w:rsid w:val="4AB663B6"/>
    <w:rsid w:val="4AC24D5B"/>
    <w:rsid w:val="4C07336D"/>
    <w:rsid w:val="4C126731"/>
    <w:rsid w:val="4C561BFF"/>
    <w:rsid w:val="4C6C277D"/>
    <w:rsid w:val="4C80439B"/>
    <w:rsid w:val="4CAA019C"/>
    <w:rsid w:val="4CD82614"/>
    <w:rsid w:val="4D283D09"/>
    <w:rsid w:val="4D650BDF"/>
    <w:rsid w:val="4D666D5C"/>
    <w:rsid w:val="4DAE09A0"/>
    <w:rsid w:val="4DB841F3"/>
    <w:rsid w:val="4DE92870"/>
    <w:rsid w:val="4E10402F"/>
    <w:rsid w:val="4E1F474B"/>
    <w:rsid w:val="4E2A0721"/>
    <w:rsid w:val="4E5263F6"/>
    <w:rsid w:val="4E612ADD"/>
    <w:rsid w:val="4F813436"/>
    <w:rsid w:val="4FC73DE1"/>
    <w:rsid w:val="507E7856"/>
    <w:rsid w:val="5080118E"/>
    <w:rsid w:val="509C7DFC"/>
    <w:rsid w:val="50D35852"/>
    <w:rsid w:val="50DA21FF"/>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D78A2"/>
    <w:rsid w:val="545F7A68"/>
    <w:rsid w:val="55E53FF3"/>
    <w:rsid w:val="56150435"/>
    <w:rsid w:val="56250D50"/>
    <w:rsid w:val="566C4581"/>
    <w:rsid w:val="5684380C"/>
    <w:rsid w:val="56C62FC9"/>
    <w:rsid w:val="58366D88"/>
    <w:rsid w:val="58B8408C"/>
    <w:rsid w:val="58C53371"/>
    <w:rsid w:val="592503CD"/>
    <w:rsid w:val="59ED3476"/>
    <w:rsid w:val="5A105AE3"/>
    <w:rsid w:val="5AC71F19"/>
    <w:rsid w:val="5ADC3C17"/>
    <w:rsid w:val="5AE739CF"/>
    <w:rsid w:val="5B48305A"/>
    <w:rsid w:val="5BA00781"/>
    <w:rsid w:val="5BE54D4D"/>
    <w:rsid w:val="5BED775E"/>
    <w:rsid w:val="5C0F1DCA"/>
    <w:rsid w:val="5C2F0C39"/>
    <w:rsid w:val="5CAF7795"/>
    <w:rsid w:val="5CB00EB7"/>
    <w:rsid w:val="5D086F45"/>
    <w:rsid w:val="5D323FC2"/>
    <w:rsid w:val="5DE828D3"/>
    <w:rsid w:val="5E08551F"/>
    <w:rsid w:val="5E525F9E"/>
    <w:rsid w:val="5E6F08FE"/>
    <w:rsid w:val="5EBA2711"/>
    <w:rsid w:val="5F745E66"/>
    <w:rsid w:val="5FA171DD"/>
    <w:rsid w:val="5FD749AD"/>
    <w:rsid w:val="6040150D"/>
    <w:rsid w:val="60936B26"/>
    <w:rsid w:val="60C2740B"/>
    <w:rsid w:val="611A0FF5"/>
    <w:rsid w:val="61495849"/>
    <w:rsid w:val="615A19EE"/>
    <w:rsid w:val="61797ACD"/>
    <w:rsid w:val="61A60F09"/>
    <w:rsid w:val="61B72CE8"/>
    <w:rsid w:val="61CA2D38"/>
    <w:rsid w:val="620B4BE9"/>
    <w:rsid w:val="620F4F28"/>
    <w:rsid w:val="621041A6"/>
    <w:rsid w:val="622019C2"/>
    <w:rsid w:val="62D022B3"/>
    <w:rsid w:val="62F35FA1"/>
    <w:rsid w:val="63103B19"/>
    <w:rsid w:val="63222431"/>
    <w:rsid w:val="6338222B"/>
    <w:rsid w:val="634376F0"/>
    <w:rsid w:val="63492023"/>
    <w:rsid w:val="6392405C"/>
    <w:rsid w:val="6393578D"/>
    <w:rsid w:val="63DA61F3"/>
    <w:rsid w:val="64A5151D"/>
    <w:rsid w:val="64DA6254"/>
    <w:rsid w:val="6502427A"/>
    <w:rsid w:val="652E5FF6"/>
    <w:rsid w:val="655C7097"/>
    <w:rsid w:val="6582360D"/>
    <w:rsid w:val="658A05B5"/>
    <w:rsid w:val="660576BF"/>
    <w:rsid w:val="66307F76"/>
    <w:rsid w:val="66F23DAD"/>
    <w:rsid w:val="675B4115"/>
    <w:rsid w:val="67AB0D31"/>
    <w:rsid w:val="68242759"/>
    <w:rsid w:val="68324E76"/>
    <w:rsid w:val="6832790E"/>
    <w:rsid w:val="684257ED"/>
    <w:rsid w:val="68672CFF"/>
    <w:rsid w:val="6873723D"/>
    <w:rsid w:val="68B64FF8"/>
    <w:rsid w:val="68BC0F70"/>
    <w:rsid w:val="68BC56C0"/>
    <w:rsid w:val="6A5437CA"/>
    <w:rsid w:val="6A8273F3"/>
    <w:rsid w:val="6A917936"/>
    <w:rsid w:val="6AC16985"/>
    <w:rsid w:val="6ACA3A8C"/>
    <w:rsid w:val="6AD14E1A"/>
    <w:rsid w:val="6AF23C66"/>
    <w:rsid w:val="6B013226"/>
    <w:rsid w:val="6B1A20D3"/>
    <w:rsid w:val="6B6B233A"/>
    <w:rsid w:val="6BC7335C"/>
    <w:rsid w:val="6BEC38B2"/>
    <w:rsid w:val="6C2076DB"/>
    <w:rsid w:val="6D67760E"/>
    <w:rsid w:val="6DAD31F1"/>
    <w:rsid w:val="6E4C2A0A"/>
    <w:rsid w:val="6E641B01"/>
    <w:rsid w:val="6E7D43D0"/>
    <w:rsid w:val="6EEC38DF"/>
    <w:rsid w:val="6F370F76"/>
    <w:rsid w:val="6F965839"/>
    <w:rsid w:val="6FB36D7A"/>
    <w:rsid w:val="6FE216A6"/>
    <w:rsid w:val="70266E22"/>
    <w:rsid w:val="709A7A5C"/>
    <w:rsid w:val="70AF0549"/>
    <w:rsid w:val="70D3575F"/>
    <w:rsid w:val="71302009"/>
    <w:rsid w:val="71387B02"/>
    <w:rsid w:val="717464FF"/>
    <w:rsid w:val="71BB65F3"/>
    <w:rsid w:val="71EF02C9"/>
    <w:rsid w:val="72EF679F"/>
    <w:rsid w:val="730B450D"/>
    <w:rsid w:val="7343262D"/>
    <w:rsid w:val="740A20FF"/>
    <w:rsid w:val="742E4065"/>
    <w:rsid w:val="743838A1"/>
    <w:rsid w:val="74512B28"/>
    <w:rsid w:val="74836A59"/>
    <w:rsid w:val="74BB05BD"/>
    <w:rsid w:val="74DA512E"/>
    <w:rsid w:val="74F160B9"/>
    <w:rsid w:val="75E27AD0"/>
    <w:rsid w:val="76554C45"/>
    <w:rsid w:val="767C258A"/>
    <w:rsid w:val="76AA651F"/>
    <w:rsid w:val="76DD54BE"/>
    <w:rsid w:val="774226B2"/>
    <w:rsid w:val="774A1F82"/>
    <w:rsid w:val="777A6824"/>
    <w:rsid w:val="77943863"/>
    <w:rsid w:val="779E42D6"/>
    <w:rsid w:val="77CE623E"/>
    <w:rsid w:val="77D53A70"/>
    <w:rsid w:val="7800592B"/>
    <w:rsid w:val="786B4915"/>
    <w:rsid w:val="788F1AD5"/>
    <w:rsid w:val="793E0D61"/>
    <w:rsid w:val="795F1F28"/>
    <w:rsid w:val="796E7CD8"/>
    <w:rsid w:val="79711576"/>
    <w:rsid w:val="7A033FC5"/>
    <w:rsid w:val="7A245FAC"/>
    <w:rsid w:val="7A6B246A"/>
    <w:rsid w:val="7A892CDD"/>
    <w:rsid w:val="7AE5221C"/>
    <w:rsid w:val="7AED2E7F"/>
    <w:rsid w:val="7AFB559C"/>
    <w:rsid w:val="7B0270AF"/>
    <w:rsid w:val="7BE451AA"/>
    <w:rsid w:val="7C662EE9"/>
    <w:rsid w:val="7D972F99"/>
    <w:rsid w:val="7DA34BE9"/>
    <w:rsid w:val="7DCC321F"/>
    <w:rsid w:val="7E401EC6"/>
    <w:rsid w:val="7E4A6CF6"/>
    <w:rsid w:val="7E550EF8"/>
    <w:rsid w:val="7F437511"/>
    <w:rsid w:val="7F596D35"/>
    <w:rsid w:val="7F630D7E"/>
    <w:rsid w:val="7F77335A"/>
    <w:rsid w:val="7F9B5CCD"/>
    <w:rsid w:val="7FAC2F4F"/>
    <w:rsid w:val="7FAE5B5D"/>
    <w:rsid w:val="7FCB6A63"/>
    <w:rsid w:val="7FCE3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9"/>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8"/>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5">
    <w:name w:val="heading 3"/>
    <w:basedOn w:val="1"/>
    <w:next w:val="1"/>
    <w:link w:val="30"/>
    <w:autoRedefine/>
    <w:unhideWhenUsed/>
    <w:qFormat/>
    <w:uiPriority w:val="0"/>
    <w:pPr>
      <w:keepNext/>
      <w:keepLines/>
      <w:snapToGrid w:val="0"/>
      <w:spacing w:beforeLines="0" w:beforeAutospacing="0" w:afterLines="0" w:afterAutospacing="0" w:line="560" w:lineRule="exact"/>
      <w:outlineLvl w:val="2"/>
    </w:pPr>
    <w:rPr>
      <w:b/>
    </w:rPr>
  </w:style>
  <w:style w:type="paragraph" w:styleId="6">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7">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0" w:firstLineChars="0"/>
    </w:pPr>
    <w:rPr>
      <w:rFonts w:ascii="仿宋_GB2312" w:hAnsi="仿宋_GB2312" w:eastAsia="仿宋_GB2312"/>
    </w:rPr>
  </w:style>
  <w:style w:type="paragraph" w:styleId="8">
    <w:name w:val="Normal Indent"/>
    <w:basedOn w:val="1"/>
    <w:autoRedefine/>
    <w:qFormat/>
    <w:uiPriority w:val="0"/>
    <w:pPr>
      <w:ind w:firstLine="200" w:firstLineChars="200"/>
    </w:pPr>
    <w:rPr>
      <w:rFonts w:ascii="Times New Roman" w:hAnsi="Times New Roman" w:eastAsia="宋体" w:cs="Times New Roman"/>
      <w:sz w:val="21"/>
    </w:rPr>
  </w:style>
  <w:style w:type="paragraph" w:styleId="9">
    <w:name w:val="Body Text"/>
    <w:basedOn w:val="1"/>
    <w:autoRedefine/>
    <w:qFormat/>
    <w:uiPriority w:val="1"/>
    <w:rPr>
      <w:rFonts w:ascii="宋体" w:hAnsi="宋体" w:cs="宋体"/>
      <w:sz w:val="32"/>
      <w:szCs w:val="32"/>
      <w:lang w:val="zh-CN" w:bidi="zh-CN"/>
    </w:rPr>
  </w:style>
  <w:style w:type="paragraph" w:styleId="10">
    <w:name w:val="Body Text Indent"/>
    <w:basedOn w:val="1"/>
    <w:next w:val="11"/>
    <w:autoRedefine/>
    <w:qFormat/>
    <w:uiPriority w:val="0"/>
    <w:pPr>
      <w:ind w:firstLine="640" w:firstLineChars="200"/>
    </w:pPr>
    <w:rPr>
      <w:rFonts w:ascii="仿宋_GB2312" w:eastAsia="仿宋_GB2312" w:cs="Times New Roman"/>
    </w:rPr>
  </w:style>
  <w:style w:type="paragraph" w:styleId="11">
    <w:name w:val="footer"/>
    <w:basedOn w:val="1"/>
    <w:next w:val="1"/>
    <w:autoRedefine/>
    <w:qFormat/>
    <w:uiPriority w:val="0"/>
    <w:pPr>
      <w:tabs>
        <w:tab w:val="center" w:pos="4153"/>
        <w:tab w:val="right" w:pos="8306"/>
      </w:tabs>
      <w:snapToGrid w:val="0"/>
      <w:jc w:val="left"/>
    </w:pPr>
    <w:rPr>
      <w:sz w:val="18"/>
    </w:rPr>
  </w:style>
  <w:style w:type="paragraph" w:styleId="12">
    <w:name w:val="List 2"/>
    <w:basedOn w:val="1"/>
    <w:autoRedefine/>
    <w:unhideWhenUsed/>
    <w:qFormat/>
    <w:uiPriority w:val="99"/>
    <w:pPr>
      <w:ind w:left="100" w:leftChars="200" w:hanging="200" w:hangingChars="200"/>
    </w:pPr>
  </w:style>
  <w:style w:type="paragraph" w:styleId="13">
    <w:name w:val="toc 3"/>
    <w:basedOn w:val="1"/>
    <w:next w:val="1"/>
    <w:autoRedefine/>
    <w:qFormat/>
    <w:uiPriority w:val="0"/>
    <w:pPr>
      <w:ind w:left="840" w:leftChars="400"/>
    </w:pPr>
  </w:style>
  <w:style w:type="paragraph" w:styleId="14">
    <w:name w:val="Date"/>
    <w:basedOn w:val="1"/>
    <w:next w:val="1"/>
    <w:autoRedefine/>
    <w:unhideWhenUsed/>
    <w:qFormat/>
    <w:uiPriority w:val="99"/>
    <w:pPr>
      <w:spacing w:before="100" w:beforeAutospacing="1" w:after="100" w:afterAutospacing="1"/>
      <w:ind w:left="2500" w:leftChars="2500"/>
    </w:p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0"/>
  </w:style>
  <w:style w:type="paragraph" w:styleId="17">
    <w:name w:val="toc 2"/>
    <w:basedOn w:val="1"/>
    <w:next w:val="1"/>
    <w:autoRedefine/>
    <w:qFormat/>
    <w:uiPriority w:val="0"/>
    <w:pPr>
      <w:ind w:left="420" w:leftChars="200"/>
    </w:pPr>
  </w:style>
  <w:style w:type="paragraph" w:styleId="1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20">
    <w:name w:val="Title"/>
    <w:basedOn w:val="1"/>
    <w:next w:val="1"/>
    <w:autoRedefine/>
    <w:qFormat/>
    <w:uiPriority w:val="99"/>
    <w:pPr>
      <w:spacing w:before="240" w:after="60"/>
      <w:jc w:val="center"/>
      <w:outlineLvl w:val="0"/>
    </w:pPr>
    <w:rPr>
      <w:rFonts w:ascii="Cambria" w:hAnsi="Cambria" w:eastAsia="宋体"/>
      <w:b/>
      <w:bCs/>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basedOn w:val="23"/>
    <w:autoRedefine/>
    <w:qFormat/>
    <w:uiPriority w:val="0"/>
    <w:rPr>
      <w:color w:val="0000FF"/>
      <w:u w:val="single"/>
    </w:rPr>
  </w:style>
  <w:style w:type="paragraph" w:customStyle="1" w:styleId="27">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8">
    <w:name w:val="标题 2 Char"/>
    <w:link w:val="4"/>
    <w:autoRedefine/>
    <w:qFormat/>
    <w:uiPriority w:val="0"/>
    <w:rPr>
      <w:rFonts w:ascii="Arial" w:hAnsi="Arial" w:eastAsia="楷体"/>
      <w:b/>
    </w:rPr>
  </w:style>
  <w:style w:type="character" w:customStyle="1" w:styleId="29">
    <w:name w:val="标题 1 Char"/>
    <w:link w:val="3"/>
    <w:autoRedefine/>
    <w:qFormat/>
    <w:uiPriority w:val="0"/>
    <w:rPr>
      <w:rFonts w:eastAsia="黑体"/>
      <w:kern w:val="44"/>
    </w:rPr>
  </w:style>
  <w:style w:type="character" w:customStyle="1" w:styleId="30">
    <w:name w:val="标题 3 Char"/>
    <w:link w:val="5"/>
    <w:autoRedefine/>
    <w:qFormat/>
    <w:uiPriority w:val="0"/>
    <w:rPr>
      <w:b/>
    </w:rPr>
  </w:style>
  <w:style w:type="character" w:customStyle="1" w:styleId="31">
    <w:name w:val="font21"/>
    <w:basedOn w:val="23"/>
    <w:autoRedefine/>
    <w:qFormat/>
    <w:uiPriority w:val="0"/>
    <w:rPr>
      <w:rFonts w:hint="eastAsia" w:ascii="等线" w:hAnsi="等线" w:eastAsia="等线" w:cs="等线"/>
      <w:color w:val="000000"/>
      <w:sz w:val="22"/>
      <w:szCs w:val="22"/>
      <w:u w:val="none"/>
    </w:rPr>
  </w:style>
  <w:style w:type="character" w:customStyle="1" w:styleId="32">
    <w:name w:val="font11"/>
    <w:basedOn w:val="23"/>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3">
    <w:name w:val="font31"/>
    <w:basedOn w:val="23"/>
    <w:autoRedefine/>
    <w:qFormat/>
    <w:uiPriority w:val="0"/>
    <w:rPr>
      <w:rFonts w:hint="eastAsia" w:ascii="方正仿宋_GBK" w:hAnsi="方正仿宋_GBK" w:eastAsia="方正仿宋_GBK" w:cs="方正仿宋_GBK"/>
      <w:color w:val="000000"/>
      <w:sz w:val="22"/>
      <w:szCs w:val="22"/>
      <w:u w:val="none"/>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character" w:customStyle="1" w:styleId="35">
    <w:name w:val="font81"/>
    <w:basedOn w:val="2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6">
    <w:name w:val="font51"/>
    <w:basedOn w:val="23"/>
    <w:autoRedefine/>
    <w:qFormat/>
    <w:uiPriority w:val="0"/>
    <w:rPr>
      <w:rFonts w:hint="eastAsia" w:ascii="方正仿宋_GBK" w:hAnsi="方正仿宋_GBK" w:eastAsia="方正仿宋_GBK" w:cs="方正仿宋_GBK"/>
      <w:color w:val="000000"/>
      <w:sz w:val="21"/>
      <w:szCs w:val="21"/>
      <w:u w:val="none"/>
    </w:rPr>
  </w:style>
  <w:style w:type="character" w:customStyle="1" w:styleId="37">
    <w:name w:val="font41"/>
    <w:basedOn w:val="23"/>
    <w:autoRedefine/>
    <w:qFormat/>
    <w:uiPriority w:val="0"/>
    <w:rPr>
      <w:rFonts w:hint="default" w:ascii="Times New Roman" w:hAnsi="Times New Roman" w:cs="Times New Roman"/>
      <w:color w:val="000000"/>
      <w:sz w:val="22"/>
      <w:szCs w:val="22"/>
      <w:u w:val="none"/>
    </w:rPr>
  </w:style>
  <w:style w:type="character" w:customStyle="1" w:styleId="38">
    <w:name w:val="font61"/>
    <w:basedOn w:val="23"/>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21239</Words>
  <Characters>22242</Characters>
  <Lines>0</Lines>
  <Paragraphs>0</Paragraphs>
  <TotalTime>0</TotalTime>
  <ScaleCrop>false</ScaleCrop>
  <LinksUpToDate>false</LinksUpToDate>
  <CharactersWithSpaces>22656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2024-01-29T02:21:55Z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