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同心县2021年老旧小区改造配套基础设施</w:t>
      </w: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建设项目绩效评价报告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jc w:val="both"/>
        <w:textAlignment w:val="auto"/>
        <w:rPr>
          <w:rFonts w:hint="eastAsia" w:ascii="楷体" w:hAnsi="楷体" w:eastAsia="楷体" w:cs="楷体"/>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〔2023〕</w:t>
      </w:r>
      <w:r>
        <w:rPr>
          <w:rFonts w:hint="default" w:ascii="Times New Roman" w:hAnsi="Times New Roman" w:eastAsia="楷体" w:cs="Times New Roman"/>
          <w:b w:val="0"/>
          <w:bCs w:val="0"/>
          <w:i w:val="0"/>
          <w:iCs w:val="0"/>
          <w:color w:val="auto"/>
          <w:sz w:val="32"/>
          <w:szCs w:val="32"/>
          <w:highlight w:val="none"/>
        </w:rPr>
        <w:t>第</w:t>
      </w:r>
      <w:r>
        <w:rPr>
          <w:rFonts w:hint="default" w:ascii="Times New Roman" w:hAnsi="Times New Roman" w:eastAsia="楷体" w:cs="Times New Roman"/>
          <w:b w:val="0"/>
          <w:bCs w:val="0"/>
          <w:i w:val="0"/>
          <w:iCs w:val="0"/>
          <w:color w:val="auto"/>
          <w:sz w:val="32"/>
          <w:szCs w:val="32"/>
          <w:highlight w:val="none"/>
          <w:lang w:val="en-US" w:eastAsia="zh-CN"/>
        </w:rPr>
        <w:t>021</w:t>
      </w:r>
      <w:r>
        <w:rPr>
          <w:rFonts w:hint="default" w:ascii="Times New Roman" w:hAnsi="Times New Roman" w:eastAsia="楷体" w:cs="Times New Roman"/>
          <w:b w:val="0"/>
          <w:bCs w:val="0"/>
          <w:i w:val="0"/>
          <w:iCs w:val="0"/>
          <w:sz w:val="32"/>
          <w:szCs w:val="32"/>
          <w:highlight w:val="none"/>
        </w:rPr>
        <w:t>号</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 二〇二三年十二月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p>
    <w:p>
      <w:pPr>
        <w:pStyle w:val="5"/>
        <w:ind w:left="0" w:leftChars="0" w:firstLine="0" w:firstLineChars="0"/>
        <w:rPr>
          <w:rFonts w:hint="eastAsia"/>
          <w:lang w:val="en-US" w:eastAsia="zh-CN"/>
        </w:rPr>
      </w:pPr>
    </w:p>
    <w:p>
      <w:pPr>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同心县2021年老旧小区改造配套基础设施建设项目绩效评价报告</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sz w:val="30"/>
          <w:szCs w:val="30"/>
          <w:lang w:val="en-US" w:eastAsia="zh-CN"/>
        </w:rPr>
        <w:t>〔2023〕</w:t>
      </w:r>
      <w:r>
        <w:rPr>
          <w:rFonts w:hint="default" w:ascii="Times New Roman" w:hAnsi="Times New Roman" w:eastAsia="楷体" w:cs="Times New Roman"/>
          <w:color w:val="000000"/>
          <w:kern w:val="0"/>
          <w:sz w:val="31"/>
          <w:szCs w:val="31"/>
          <w:lang w:val="en-US" w:eastAsia="zh-CN" w:bidi="ar"/>
        </w:rPr>
        <w:t>第021号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38"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bookmarkStart w:id="188" w:name="_GoBack"/>
      <w:bookmarkEnd w:id="188"/>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ind w:left="0" w:leftChars="0" w:firstLine="0" w:firstLineChars="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867"/>
        </w:tabs>
        <w:ind w:left="0" w:leftChars="0" w:firstLine="1057" w:firstLineChars="341"/>
        <w:jc w:val="left"/>
        <w:rPr>
          <w:lang w:val="en-US" w:eastAsia="zh-CN"/>
        </w:rPr>
      </w:pPr>
      <w:r>
        <w:rPr>
          <w:rFonts w:hint="eastAsia" w:ascii="方正小标宋_GBK" w:hAnsi="方正小标宋_GBK" w:eastAsia="方正小标宋_GBK" w:cs="方正小标宋_GBK"/>
          <w:color w:val="000000"/>
          <w:kern w:val="0"/>
          <w:sz w:val="31"/>
          <w:szCs w:val="31"/>
          <w:lang w:val="en-US" w:eastAsia="zh-CN" w:bidi="ar"/>
        </w:rPr>
        <w:tab/>
      </w: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left="1906" w:leftChars="348" w:hanging="792" w:hangingChars="283"/>
        <w:jc w:val="left"/>
        <w:textAlignment w:val="auto"/>
        <w:rPr>
          <w:rFonts w:hint="default"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w:t>
      </w:r>
      <w:r>
        <w:rPr>
          <w:rFonts w:hint="eastAsia" w:ascii="方正小标宋_GBK" w:hAnsi="方正小标宋_GBK" w:eastAsia="方正小标宋_GBK" w:cs="方正小标宋_GBK"/>
          <w:color w:val="1E1C11"/>
          <w:spacing w:val="-20"/>
          <w:kern w:val="0"/>
          <w:sz w:val="28"/>
          <w:szCs w:val="28"/>
          <w:lang w:val="en-US" w:eastAsia="zh-CN" w:bidi="ar"/>
        </w:rPr>
        <w:t>对象名</w:t>
      </w:r>
      <w:r>
        <w:rPr>
          <w:rFonts w:hint="eastAsia" w:ascii="方正小标宋_GBK" w:hAnsi="方正小标宋_GBK" w:eastAsia="方正小标宋_GBK" w:cs="方正小标宋_GBK"/>
          <w:color w:val="1E1C11"/>
          <w:kern w:val="0"/>
          <w:sz w:val="28"/>
          <w:szCs w:val="28"/>
          <w:lang w:val="en-US" w:eastAsia="zh-CN" w:bidi="ar"/>
        </w:rPr>
        <w:t>称：</w:t>
      </w:r>
      <w:r>
        <w:rPr>
          <w:rFonts w:hint="eastAsia" w:ascii="方正小标宋_GBK" w:hAnsi="方正小标宋_GBK" w:eastAsia="方正小标宋_GBK" w:cs="方正小标宋_GBK"/>
          <w:color w:val="1E1C11"/>
          <w:spacing w:val="0"/>
          <w:kern w:val="0"/>
          <w:sz w:val="28"/>
          <w:szCs w:val="28"/>
          <w:lang w:val="en-US" w:eastAsia="zh-CN" w:bidi="ar"/>
        </w:rPr>
        <w:t>同心县住房和城乡建设局</w:t>
      </w:r>
    </w:p>
    <w:p>
      <w:pPr>
        <w:keepNext w:val="0"/>
        <w:keepLines w:val="0"/>
        <w:pageBreakBefore w:val="0"/>
        <w:widowControl/>
        <w:suppressLineNumbers w:val="0"/>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suppressLineNumbers w:val="0"/>
        <w:kinsoku/>
        <w:wordWrap/>
        <w:overflowPunct w:val="0"/>
        <w:topLinePunct w:val="0"/>
        <w:autoSpaceDE/>
        <w:autoSpaceDN/>
        <w:bidi w:val="0"/>
        <w:adjustRightInd/>
        <w:snapToGrid/>
        <w:ind w:left="1906" w:leftChars="348" w:hanging="792" w:hangingChars="283"/>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评价报告时间：</w:t>
      </w:r>
      <w:r>
        <w:rPr>
          <w:rFonts w:hint="eastAsia" w:ascii="黑体" w:hAnsi="黑体" w:eastAsia="黑体" w:cs="黑体"/>
          <w:b w:val="0"/>
          <w:bCs w:val="0"/>
          <w:kern w:val="0"/>
          <w:sz w:val="30"/>
          <w:szCs w:val="30"/>
          <w:lang w:val="en-US" w:eastAsia="zh-CN" w:bidi="en-US"/>
        </w:rPr>
        <w:t xml:space="preserve"> 二〇二三年十二月</w:t>
      </w:r>
    </w:p>
    <w:p>
      <w:pPr>
        <w:rPr>
          <w:rFonts w:hint="eastAsia"/>
          <w:lang w:val="en-US" w:eastAsia="zh-CN"/>
        </w:rPr>
      </w:pPr>
    </w:p>
    <w:p>
      <w:pPr>
        <w:pStyle w:val="2"/>
        <w:rPr>
          <w:rFonts w:hint="eastAsia"/>
        </w:rPr>
        <w:sectPr>
          <w:headerReference r:id="rId5" w:type="default"/>
          <w:footerReference r:id="rId6" w:type="default"/>
          <w:pgSz w:w="11907" w:h="16840"/>
          <w:pgMar w:top="2098" w:right="1531" w:bottom="2098" w:left="1531"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17352"/>
      <w:bookmarkStart w:id="1" w:name="_Toc11274"/>
      <w:r>
        <w:rPr>
          <w:rFonts w:hint="eastAsia" w:asciiTheme="majorEastAsia" w:hAnsiTheme="majorEastAsia" w:eastAsiaTheme="majorEastAsia" w:cstheme="majorEastAsia"/>
          <w:b/>
          <w:bCs/>
          <w:sz w:val="30"/>
          <w:szCs w:val="30"/>
          <w:lang w:val="en-US" w:eastAsia="zh-CN"/>
        </w:rPr>
        <w:t>一、项目背景</w:t>
      </w:r>
      <w:bookmarkEnd w:id="0"/>
      <w:bookmarkEnd w:id="1"/>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 w:name="_Toc18303"/>
      <w:bookmarkStart w:id="3" w:name="_Toc13114"/>
      <w:bookmarkStart w:id="4" w:name="_Toc32242"/>
      <w:r>
        <w:rPr>
          <w:rFonts w:hint="eastAsia" w:ascii="Times New Roman" w:hAnsi="Times New Roman" w:eastAsia="方正仿宋_GBK" w:cs="Times New Roman"/>
          <w:color w:val="auto"/>
          <w:kern w:val="2"/>
          <w:sz w:val="30"/>
          <w:szCs w:val="30"/>
          <w:highlight w:val="none"/>
          <w:lang w:val="en-US" w:eastAsia="zh-CN" w:bidi="ar-SA"/>
        </w:rPr>
        <w:t>民生连民心，民生聚民力。党的二十大报告提出“增进民生福祉，提高人民生活品质。”老旧小区改造，既是城市发展中的“民生大事”，也是家门口的“关键小事”。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同心县把老旧小区改造作为提升城市“颜值”和“内涵”的重中之重，下大力气解决老百姓反映强烈的“急难愁盼”问题。通过改造，改出了老旧小区的宜居度，改出了人民群众的满意度，改出了家门口的幸福感，让人民群众生活得更方便、更舒适、更美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 xml:space="preserve">同心县石油公司小区、富康小区等 </w:t>
      </w:r>
      <w:r>
        <w:rPr>
          <w:rFonts w:hint="default" w:ascii="Times New Roman" w:hAnsi="Times New Roman" w:eastAsia="方正仿宋_GBK" w:cs="Times New Roman"/>
          <w:color w:val="auto"/>
          <w:kern w:val="2"/>
          <w:sz w:val="30"/>
          <w:szCs w:val="30"/>
          <w:highlight w:val="none"/>
          <w:lang w:val="en-US" w:eastAsia="zh-CN" w:bidi="ar-SA"/>
        </w:rPr>
        <w:t xml:space="preserve">6 </w:t>
      </w:r>
      <w:r>
        <w:rPr>
          <w:rFonts w:hint="eastAsia" w:ascii="Times New Roman" w:hAnsi="Times New Roman" w:eastAsia="方正仿宋_GBK" w:cs="Times New Roman"/>
          <w:color w:val="auto"/>
          <w:kern w:val="2"/>
          <w:sz w:val="30"/>
          <w:szCs w:val="30"/>
          <w:highlight w:val="none"/>
          <w:lang w:val="en-US" w:eastAsia="zh-CN" w:bidi="ar-SA"/>
        </w:rPr>
        <w:t>个老旧小区均建于20世纪</w:t>
      </w:r>
      <w:r>
        <w:rPr>
          <w:rFonts w:hint="default" w:ascii="Times New Roman" w:hAnsi="Times New Roman" w:eastAsia="方正仿宋_GBK" w:cs="Times New Roman"/>
          <w:color w:val="auto"/>
          <w:kern w:val="2"/>
          <w:sz w:val="30"/>
          <w:szCs w:val="30"/>
          <w:highlight w:val="none"/>
          <w:lang w:val="en-US" w:eastAsia="zh-CN" w:bidi="ar-SA"/>
        </w:rPr>
        <w:t xml:space="preserve">90 </w:t>
      </w:r>
      <w:r>
        <w:rPr>
          <w:rFonts w:hint="eastAsia" w:ascii="Times New Roman" w:hAnsi="Times New Roman" w:eastAsia="方正仿宋_GBK" w:cs="Times New Roman"/>
          <w:color w:val="auto"/>
          <w:kern w:val="2"/>
          <w:sz w:val="30"/>
          <w:szCs w:val="30"/>
          <w:highlight w:val="none"/>
          <w:lang w:val="en-US" w:eastAsia="zh-CN" w:bidi="ar-SA"/>
        </w:rPr>
        <w:t xml:space="preserve">年代到 </w:t>
      </w:r>
      <w:r>
        <w:rPr>
          <w:rFonts w:hint="default" w:ascii="Times New Roman" w:hAnsi="Times New Roman" w:eastAsia="方正仿宋_GBK" w:cs="Times New Roman"/>
          <w:color w:val="auto"/>
          <w:kern w:val="2"/>
          <w:sz w:val="30"/>
          <w:szCs w:val="30"/>
          <w:highlight w:val="none"/>
          <w:lang w:val="en-US" w:eastAsia="zh-CN" w:bidi="ar-SA"/>
        </w:rPr>
        <w:t xml:space="preserve">20 </w:t>
      </w:r>
      <w:r>
        <w:rPr>
          <w:rFonts w:hint="eastAsia" w:ascii="Times New Roman" w:hAnsi="Times New Roman" w:eastAsia="方正仿宋_GBK" w:cs="Times New Roman"/>
          <w:color w:val="auto"/>
          <w:kern w:val="2"/>
          <w:sz w:val="30"/>
          <w:szCs w:val="30"/>
          <w:highlight w:val="none"/>
          <w:lang w:val="en-US" w:eastAsia="zh-CN" w:bidi="ar-SA"/>
        </w:rPr>
        <w:t>世纪初，因其规划建设年代早，建设标准相对较低，不同程度地存在着管线老化、设备年久失修、道路破损、物业管理缺失等诸多问题，已无法满足居住环境和市容美观的要求。</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随着城市建设步伐的加快，环境优美、功能齐全、管理先进的新建住宅小区如雨后春笋般涌现出来，给居民们带来强大的视觉冲击和心理感受，已经成为提升城市建设和管理水平的重要窗口，相比之下一些老旧小区就显得黯然失色。部分小区内排水管线老化，堵塞严重，给水管线年久失修，路面坑坑洼洼，路灯缺失，影响出行；私搭乱建侵占消防通道，造成安全隐患；给业主生活带来不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两年来，同心县已着手对部分老旧小区进行了改造，并引入物业管理。通过改造，将损坏的道路及时修补，照明设施得到增设，方便居民出行；拆除私搭乱建，腾出场地建设绿地、停车场和休闲健身活动场所等。从目前已完成改造并实行规范管理的小区情况看，目前都达到了整洁干净、亮化美化的要求，较好地融入了现代化城市格局，不仅增强了城市的吸引力和辐射力，实现了物业的保值增值，而且也为展示城市形象锦上添花，居民普遍反映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二、项目预算资金</w:t>
      </w:r>
      <w:bookmarkEnd w:id="2"/>
      <w:bookmarkEnd w:id="3"/>
      <w:bookmarkEnd w:id="4"/>
    </w:p>
    <w:p>
      <w:pPr>
        <w:keepNext w:val="0"/>
        <w:keepLines w:val="0"/>
        <w:widowControl/>
        <w:suppressLineNumbers w:val="0"/>
        <w:jc w:val="left"/>
        <w:rPr>
          <w:rFonts w:hint="eastAsia" w:ascii="Times New Roman" w:hAnsi="Times New Roman" w:eastAsia="方正仿宋_GBK" w:cs="Times New Roman"/>
          <w:color w:val="auto"/>
          <w:kern w:val="2"/>
          <w:sz w:val="30"/>
          <w:szCs w:val="30"/>
          <w:highlight w:val="none"/>
          <w:lang w:val="en-US" w:eastAsia="zh-CN" w:bidi="ar-SA"/>
        </w:rPr>
      </w:pPr>
      <w:bookmarkStart w:id="5" w:name="_Toc30853"/>
      <w:bookmarkStart w:id="6" w:name="_Toc3837"/>
      <w:r>
        <w:rPr>
          <w:rFonts w:hint="eastAsia" w:ascii="Times New Roman" w:hAnsi="Times New Roman" w:eastAsia="方正仿宋_GB2312" w:cs="Times New Roman"/>
          <w:sz w:val="30"/>
          <w:szCs w:val="30"/>
          <w:lang w:val="en-US" w:eastAsia="zh-CN"/>
        </w:rPr>
        <w:t>2021年8月24日，根据同心县人大常委会《关于批准同心县本级财政 2022 年第二批新增政府一般债券资金预算调整方案的决议》（同人常发（2022) 24 号） 精神，由县财政局筹措资金490.00万元，用于解决老旧小区改造项目建设资金。截至评价时点，实际到位资金490.00万元，资金到位率100%，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同心县2021年老旧小区改造配套基础设施建设项目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87</w:t>
      </w:r>
      <w:r>
        <w:rPr>
          <w:rFonts w:hint="default" w:ascii="Times New Roman" w:hAnsi="Times New Roman" w:cs="Times New Roman"/>
          <w:b/>
          <w:bCs/>
          <w:kern w:val="0"/>
          <w:sz w:val="30"/>
          <w:szCs w:val="30"/>
          <w:lang w:val="en-US" w:eastAsia="zh-CN" w:bidi="zh-CN"/>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良</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bookmarkStart w:id="7" w:name="_Toc12376"/>
      <w:bookmarkStart w:id="8" w:name="_Toc21407"/>
      <w:bookmarkStart w:id="9" w:name="_Toc10088"/>
      <w:bookmarkStart w:id="10" w:name="_Toc16100"/>
      <w:bookmarkStart w:id="11" w:name="_Toc1426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7"/>
      <w:bookmarkEnd w:id="8"/>
      <w:bookmarkEnd w:id="9"/>
      <w:bookmarkEnd w:id="10"/>
      <w:bookmarkEnd w:id="11"/>
      <w:bookmarkStart w:id="12" w:name="_Toc3362"/>
      <w:bookmarkStart w:id="13" w:name="_Toc5586"/>
      <w:bookmarkStart w:id="14" w:name="_Toc2901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2"/>
          <w:sz w:val="30"/>
          <w:szCs w:val="30"/>
          <w:highlight w:val="none"/>
          <w:lang w:val="en-US" w:eastAsia="zh-CN" w:bidi="ar-SA"/>
        </w:rPr>
        <w:t>同心县2021年老旧小区改造配套基础设施建设项目</w:t>
      </w:r>
      <w:r>
        <w:rPr>
          <w:rFonts w:hint="default" w:ascii="Times New Roman" w:hAnsi="Times New Roman" w:eastAsia="方正仿宋_GBK" w:cs="Times New Roman"/>
          <w:color w:val="auto"/>
          <w:kern w:val="0"/>
          <w:sz w:val="30"/>
          <w:szCs w:val="30"/>
          <w:lang w:val="en-US" w:eastAsia="zh-CN" w:bidi="zh-CN"/>
        </w:rPr>
        <w:t>实施方面取得了一定的成就，经验和做法主要有以下几个方面：</w:t>
      </w:r>
    </w:p>
    <w:bookmarkEnd w:id="12"/>
    <w:bookmarkEnd w:id="13"/>
    <w:bookmarkEnd w:id="14"/>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方正仿宋_GBK" w:hAnsi="方正仿宋_GBK" w:eastAsia="方正仿宋_GBK" w:cs="方正仿宋_GBK"/>
          <w:kern w:val="2"/>
          <w:sz w:val="30"/>
          <w:szCs w:val="30"/>
          <w:lang w:val="en-US" w:eastAsia="zh-CN" w:bidi="zh-CN"/>
        </w:rPr>
      </w:pPr>
      <w:bookmarkStart w:id="15" w:name="_Toc22246"/>
      <w:r>
        <w:rPr>
          <w:rFonts w:hint="eastAsia" w:ascii="方正仿宋_GBK" w:hAnsi="方正仿宋_GBK" w:eastAsia="方正仿宋_GBK" w:cs="方正仿宋_GBK"/>
          <w:kern w:val="2"/>
          <w:sz w:val="30"/>
          <w:szCs w:val="30"/>
          <w:lang w:val="en-US" w:eastAsia="zh-CN" w:bidi="zh-CN"/>
        </w:rPr>
        <w:t>在老旧小区改造过程中，市住建局、街道、施工方都将“民情民意”放在第一位，在改造前发起民意调查、在改造中不断征求群众意见、在改造完成后做好民意回访。居民在改造过程中全程参与、全程监督，把“要我改”变成了“我要改”，居民也成了改造工作中的“主人翁”。</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pStyle w:val="4"/>
        <w:ind w:firstLine="562"/>
        <w:rPr>
          <w:rFonts w:hint="eastAsia" w:ascii="方正楷体_GBK" w:hAnsi="方正楷体_GBK" w:eastAsia="方正楷体_GBK" w:cs="方正楷体_GBK"/>
          <w:b/>
          <w:bCs w:val="0"/>
          <w:sz w:val="32"/>
          <w:szCs w:val="32"/>
        </w:rPr>
      </w:pPr>
      <w:bookmarkStart w:id="16" w:name="_Toc27871"/>
      <w:r>
        <w:rPr>
          <w:rFonts w:hint="eastAsia" w:ascii="方正楷体_GBK" w:hAnsi="方正楷体_GBK" w:eastAsia="方正楷体_GBK" w:cs="方正楷体_GBK"/>
          <w:b/>
          <w:bCs w:val="0"/>
          <w:sz w:val="32"/>
          <w:szCs w:val="32"/>
        </w:rPr>
        <w:t>（二）存在的问题</w:t>
      </w:r>
      <w:bookmarkEnd w:id="15"/>
      <w:bookmarkEnd w:id="16"/>
    </w:p>
    <w:p>
      <w:pPr>
        <w:keepNext w:val="0"/>
        <w:keepLines w:val="0"/>
        <w:widowControl/>
        <w:suppressLineNumbers w:val="0"/>
        <w:jc w:val="left"/>
        <w:rPr>
          <w:rFonts w:hint="default" w:ascii="Times New Roman" w:hAnsi="Times New Roman" w:eastAsia="方正仿宋_GBK" w:cs="Times New Roman"/>
          <w:b/>
          <w:bCs/>
          <w:color w:val="000000"/>
          <w:kern w:val="0"/>
          <w:sz w:val="30"/>
          <w:szCs w:val="30"/>
          <w:lang w:val="en-US" w:eastAsia="zh-CN" w:bidi="ar"/>
        </w:rPr>
      </w:pPr>
      <w:r>
        <w:rPr>
          <w:rFonts w:hint="default" w:ascii="Times New Roman" w:hAnsi="Times New Roman" w:eastAsia="方正仿宋_GBK" w:cs="Times New Roman"/>
          <w:b/>
          <w:bCs/>
          <w:color w:val="000000"/>
          <w:kern w:val="0"/>
          <w:sz w:val="30"/>
          <w:szCs w:val="30"/>
          <w:lang w:val="en-US" w:eastAsia="zh-CN" w:bidi="ar"/>
        </w:rPr>
        <w:t>1.预算管理方面</w:t>
      </w:r>
    </w:p>
    <w:p>
      <w:pPr>
        <w:keepNext w:val="0"/>
        <w:keepLines w:val="0"/>
        <w:widowControl/>
        <w:suppressLineNumbers w:val="0"/>
        <w:jc w:val="left"/>
      </w:pPr>
      <w:r>
        <w:rPr>
          <w:rFonts w:hint="eastAsia" w:ascii="Times New Roman" w:hAnsi="Times New Roman" w:eastAsia="宋体" w:cs="Times New Roman"/>
          <w:b/>
          <w:bCs/>
          <w:color w:val="000000"/>
          <w:kern w:val="0"/>
          <w:sz w:val="30"/>
          <w:szCs w:val="30"/>
          <w:lang w:val="en-US" w:eastAsia="zh-CN" w:bidi="ar"/>
        </w:rPr>
        <w:t>（1）</w:t>
      </w:r>
      <w:r>
        <w:rPr>
          <w:rFonts w:ascii="方正仿宋_GBK" w:hAnsi="方正仿宋_GBK" w:eastAsia="方正仿宋_GBK" w:cs="方正仿宋_GBK"/>
          <w:b/>
          <w:bCs/>
          <w:color w:val="000000"/>
          <w:kern w:val="0"/>
          <w:sz w:val="30"/>
          <w:szCs w:val="30"/>
          <w:lang w:val="en-US" w:eastAsia="zh-CN" w:bidi="ar"/>
        </w:rPr>
        <w:t xml:space="preserve">项目实施单位对绩效管理意识薄弱、重视程度不够。 </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方正仿宋_GBK" w:hAnsi="方正仿宋_GBK" w:eastAsia="方正仿宋_GBK" w:cs="方正仿宋_GBK"/>
          <w:kern w:val="2"/>
          <w:sz w:val="30"/>
          <w:szCs w:val="30"/>
          <w:lang w:val="en-US" w:eastAsia="zh-CN" w:bidi="zh-CN"/>
        </w:rPr>
      </w:pPr>
      <w:r>
        <w:rPr>
          <w:rFonts w:hint="eastAsia" w:ascii="方正仿宋_GBK" w:hAnsi="方正仿宋_GBK" w:eastAsia="方正仿宋_GBK" w:cs="方正仿宋_GBK"/>
          <w:b/>
          <w:bCs/>
          <w:kern w:val="2"/>
          <w:sz w:val="30"/>
          <w:szCs w:val="30"/>
          <w:lang w:val="en-US" w:eastAsia="zh-CN" w:bidi="zh-CN"/>
        </w:rPr>
        <w:t>一是</w:t>
      </w:r>
      <w:r>
        <w:rPr>
          <w:rFonts w:hint="eastAsia" w:ascii="方正仿宋_GBK" w:hAnsi="方正仿宋_GBK" w:eastAsia="方正仿宋_GBK" w:cs="方正仿宋_GBK"/>
          <w:kern w:val="2"/>
          <w:sz w:val="30"/>
          <w:szCs w:val="30"/>
          <w:lang w:val="en-US" w:eastAsia="zh-CN" w:bidi="zh-CN"/>
        </w:rPr>
        <w:t>在资金下达后，未及时补报绩效目标并强化绩效运行监控；</w:t>
      </w:r>
      <w:r>
        <w:rPr>
          <w:rFonts w:hint="eastAsia" w:ascii="方正仿宋_GBK" w:hAnsi="方正仿宋_GBK" w:eastAsia="方正仿宋_GBK" w:cs="方正仿宋_GBK"/>
          <w:b/>
          <w:bCs/>
          <w:kern w:val="2"/>
          <w:sz w:val="30"/>
          <w:szCs w:val="30"/>
          <w:lang w:val="en-US" w:eastAsia="zh-CN" w:bidi="zh-CN"/>
        </w:rPr>
        <w:t>二是</w:t>
      </w:r>
      <w:r>
        <w:rPr>
          <w:rFonts w:hint="eastAsia" w:ascii="方正仿宋_GBK" w:hAnsi="方正仿宋_GBK" w:eastAsia="方正仿宋_GBK" w:cs="方正仿宋_GBK"/>
          <w:kern w:val="2"/>
          <w:sz w:val="30"/>
          <w:szCs w:val="30"/>
          <w:lang w:val="en-US" w:eastAsia="zh-CN" w:bidi="zh-CN"/>
        </w:rPr>
        <w:t>项目实施单位对绩效评价认识不强，均未形成完整的绩效指标体系，自评报告缺乏具体的指标分析（对</w:t>
      </w:r>
      <w:r>
        <w:rPr>
          <w:rFonts w:hint="default" w:ascii="方正仿宋_GBK" w:hAnsi="方正仿宋_GBK" w:eastAsia="方正仿宋_GBK" w:cs="方正仿宋_GBK"/>
          <w:kern w:val="2"/>
          <w:sz w:val="30"/>
          <w:szCs w:val="30"/>
          <w:lang w:val="en-US" w:eastAsia="zh-CN" w:bidi="zh-CN"/>
        </w:rPr>
        <w:t>“</w:t>
      </w:r>
      <w:r>
        <w:rPr>
          <w:rFonts w:hint="eastAsia" w:ascii="方正仿宋_GBK" w:hAnsi="方正仿宋_GBK" w:eastAsia="方正仿宋_GBK" w:cs="方正仿宋_GBK"/>
          <w:kern w:val="2"/>
          <w:sz w:val="30"/>
          <w:szCs w:val="30"/>
          <w:lang w:val="en-US" w:eastAsia="zh-CN" w:bidi="zh-CN"/>
        </w:rPr>
        <w:t>产出数量、产出质量、产出时效、产出成本、 社会效益及可持续影响</w:t>
      </w:r>
      <w:r>
        <w:rPr>
          <w:rFonts w:hint="default" w:ascii="方正仿宋_GBK" w:hAnsi="方正仿宋_GBK" w:eastAsia="方正仿宋_GBK" w:cs="方正仿宋_GBK"/>
          <w:kern w:val="2"/>
          <w:sz w:val="30"/>
          <w:szCs w:val="30"/>
          <w:lang w:val="en-US" w:eastAsia="zh-CN" w:bidi="zh-CN"/>
        </w:rPr>
        <w:t>”</w:t>
      </w:r>
      <w:r>
        <w:rPr>
          <w:rFonts w:hint="eastAsia" w:ascii="方正仿宋_GBK" w:hAnsi="方正仿宋_GBK" w:eastAsia="方正仿宋_GBK" w:cs="方正仿宋_GBK"/>
          <w:kern w:val="2"/>
          <w:sz w:val="30"/>
          <w:szCs w:val="30"/>
          <w:lang w:val="en-US" w:eastAsia="zh-CN" w:bidi="zh-CN"/>
        </w:rPr>
        <w:t xml:space="preserve">等指标理解程度不够 ，过于笼统）。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在资料审阅过程中发现，项目在结算审核、竣工财务决算编制、会计核算、在建工程“转固”等方面存在一些亟待解决的问题。竣工财务决算工作严重滞后，导致新增资产价值难以确认。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7" w:name="_Toc13914"/>
      <w:bookmarkStart w:id="18" w:name="_Toc19915"/>
      <w:r>
        <w:rPr>
          <w:rFonts w:hint="eastAsia" w:ascii="方正楷体_GBK" w:hAnsi="方正楷体_GBK" w:eastAsia="方正楷体_GBK" w:cs="方正楷体_GBK"/>
          <w:color w:val="333333"/>
          <w:sz w:val="30"/>
          <w:szCs w:val="30"/>
          <w:shd w:val="clear" w:fill="FFFFFF"/>
          <w:lang w:val="en-US" w:eastAsia="zh-CN" w:bidi="zh-CN"/>
        </w:rPr>
        <w:t>（三）建议</w:t>
      </w:r>
      <w:bookmarkEnd w:id="17"/>
      <w:bookmarkEnd w:id="18"/>
    </w:p>
    <w:p>
      <w:pPr>
        <w:pStyle w:val="19"/>
        <w:pageBreakBefore w:val="0"/>
        <w:widowControl/>
        <w:kinsoku/>
        <w:wordWrap/>
        <w:overflowPunct w:val="0"/>
        <w:topLinePunct w:val="0"/>
        <w:autoSpaceDE w:val="0"/>
        <w:autoSpaceDN w:val="0"/>
        <w:bidi w:val="0"/>
        <w:adjustRightInd/>
        <w:snapToGrid/>
        <w:spacing w:before="0" w:beforeAutospacing="0" w:after="0" w:afterAutospacing="0" w:line="560" w:lineRule="exact"/>
        <w:ind w:firstLine="592" w:firstLineChars="200"/>
        <w:jc w:val="both"/>
        <w:textAlignment w:val="auto"/>
        <w:rPr>
          <w:rFonts w:hint="default" w:ascii="Times New Roman" w:hAnsi="Times New Roman" w:eastAsia="方正仿宋_GBK" w:cs="Times New Roman"/>
          <w:b/>
          <w:bCs/>
          <w:color w:val="000000"/>
          <w:kern w:val="0"/>
          <w:sz w:val="30"/>
          <w:szCs w:val="30"/>
          <w:lang w:val="en-US" w:eastAsia="zh-CN" w:bidi="ar"/>
        </w:rPr>
      </w:pPr>
      <w:r>
        <w:rPr>
          <w:rFonts w:hint="default" w:ascii="Times New Roman" w:hAnsi="Times New Roman" w:eastAsia="方正仿宋_GBK" w:cs="Times New Roman"/>
          <w:b/>
          <w:bCs/>
          <w:color w:val="000000"/>
          <w:kern w:val="0"/>
          <w:sz w:val="30"/>
          <w:szCs w:val="30"/>
          <w:lang w:val="en-US" w:eastAsia="zh-CN" w:bidi="ar"/>
        </w:rPr>
        <w:t>1.预算管理方面</w:t>
      </w:r>
    </w:p>
    <w:p>
      <w:pPr>
        <w:pStyle w:val="19"/>
        <w:pageBreakBefore w:val="0"/>
        <w:widowControl/>
        <w:kinsoku/>
        <w:wordWrap/>
        <w:overflowPunct w:val="0"/>
        <w:topLinePunct w:val="0"/>
        <w:autoSpaceDE w:val="0"/>
        <w:autoSpaceDN w:val="0"/>
        <w:bidi w:val="0"/>
        <w:adjustRightInd/>
        <w:snapToGrid/>
        <w:spacing w:before="0" w:beforeAutospacing="0" w:after="0" w:afterAutospacing="0" w:line="560" w:lineRule="exact"/>
        <w:ind w:firstLine="592" w:firstLineChars="200"/>
        <w:jc w:val="both"/>
        <w:textAlignment w:val="auto"/>
        <w:rPr>
          <w:rFonts w:hint="default" w:ascii="Times New Roman" w:hAnsi="Times New Roman" w:eastAsia="方正仿宋_GBK" w:cs="Times New Roman"/>
          <w:b/>
          <w:bCs/>
          <w:color w:val="000000"/>
          <w:kern w:val="0"/>
          <w:sz w:val="30"/>
          <w:szCs w:val="30"/>
          <w:lang w:val="en-US" w:eastAsia="zh-CN" w:bidi="ar"/>
        </w:rPr>
      </w:pPr>
      <w:r>
        <w:rPr>
          <w:rFonts w:hint="default" w:ascii="Times New Roman" w:hAnsi="Times New Roman" w:eastAsia="方正仿宋_GBK" w:cs="Times New Roman"/>
          <w:b/>
          <w:bCs/>
          <w:color w:val="000000"/>
          <w:kern w:val="0"/>
          <w:sz w:val="30"/>
          <w:szCs w:val="30"/>
          <w:lang w:val="en-US" w:eastAsia="zh-CN" w:bidi="ar"/>
        </w:rPr>
        <w:t>（1）加强绩效管理，助推财政资金聚力增效</w:t>
      </w:r>
    </w:p>
    <w:p>
      <w:pPr>
        <w:pStyle w:val="12"/>
        <w:keepNext w:val="0"/>
        <w:keepLines w:val="0"/>
        <w:pageBreakBefore w:val="0"/>
        <w:widowControl w:val="0"/>
        <w:numPr>
          <w:ilvl w:val="-1"/>
          <w:numId w:val="0"/>
        </w:numPr>
        <w:kinsoku/>
        <w:wordWrap/>
        <w:overflowPunct w:val="0"/>
        <w:topLinePunct w:val="0"/>
        <w:autoSpaceDE/>
        <w:autoSpaceDN/>
        <w:bidi w:val="0"/>
        <w:adjustRightInd/>
        <w:snapToGrid/>
        <w:spacing w:beforeAutospacing="0" w:afterAutospacing="0" w:line="560" w:lineRule="exact"/>
        <w:ind w:left="0" w:leftChars="0" w:firstLine="592" w:firstLineChars="200"/>
        <w:textAlignment w:val="auto"/>
        <w:rPr>
          <w:rFonts w:hint="eastAsia" w:ascii="Times New Roman" w:hAnsi="Times New Roman" w:eastAsia="方正仿宋_GBK" w:cs="Times New Roman"/>
          <w:b w:val="0"/>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b w:val="0"/>
          <w:color w:val="auto"/>
          <w:kern w:val="0"/>
          <w:sz w:val="30"/>
          <w:szCs w:val="30"/>
          <w:lang w:val="en-US" w:eastAsia="zh-CN" w:bidi="zh-CN"/>
        </w:rPr>
        <w:t>应加强目标管理，聚焦事前评估。从数量、质量、时效、成本、效益等方面，综合衡量项目预算资金使用效果，有针对性地细化、量化绩效指标，推动以量化绩效指标衡量部门整体及核心业务实施效果，组织预算单位开展项目事前绩效评估，优化财政资金配置；</w:t>
      </w: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b w:val="0"/>
          <w:color w:val="auto"/>
          <w:kern w:val="0"/>
          <w:sz w:val="30"/>
          <w:szCs w:val="30"/>
          <w:lang w:val="en-US" w:eastAsia="zh-CN" w:bidi="zh-CN"/>
        </w:rPr>
        <w:t>聚焦事中纠偏，加强运行监控。选取重点项目开展事中绩效评价，及时发现项目管理运作和资金拨付使用过程中的薄弱环节，纠正执行偏差，针对评价发现的项目前期准备工作不到位、财务管理存在漏洞等问题，督促落实整改，提高项目资金使用效益；</w:t>
      </w:r>
      <w:r>
        <w:rPr>
          <w:rFonts w:hint="eastAsia" w:ascii="Times New Roman" w:hAnsi="Times New Roman" w:eastAsia="方正仿宋_GBK" w:cs="Times New Roman"/>
          <w:b/>
          <w:bCs/>
          <w:color w:val="auto"/>
          <w:kern w:val="0"/>
          <w:sz w:val="30"/>
          <w:szCs w:val="30"/>
          <w:lang w:val="en-US" w:eastAsia="zh-CN" w:bidi="zh-CN"/>
        </w:rPr>
        <w:t>三是积极</w:t>
      </w:r>
      <w:r>
        <w:rPr>
          <w:rFonts w:hint="eastAsia" w:ascii="Times New Roman" w:hAnsi="Times New Roman" w:eastAsia="方正仿宋_GBK" w:cs="Times New Roman"/>
          <w:b w:val="0"/>
          <w:color w:val="auto"/>
          <w:kern w:val="0"/>
          <w:sz w:val="30"/>
          <w:szCs w:val="30"/>
          <w:lang w:val="en-US" w:eastAsia="zh-CN" w:bidi="zh-CN"/>
        </w:rPr>
        <w:t>事后跟踪，加强绩效评价。督促项目实施单位开展绩效自评，委托第三方机构对重点项目进行评价，如实反映财政资金的使用效益和政府职能的实现程度；</w:t>
      </w: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b w:val="0"/>
          <w:color w:val="auto"/>
          <w:kern w:val="0"/>
          <w:sz w:val="30"/>
          <w:szCs w:val="30"/>
          <w:lang w:val="en-US" w:eastAsia="zh-CN" w:bidi="zh-CN"/>
        </w:rPr>
        <w:t>抓好评价结果运用，建立绩效评价结果反馈和整改机制，对存在实施进度缓慢、资金使用不规范等问题的项目督促落实整改，对存在偏离绩效目标、资金使用低效等问题的项目及时调整、收回和盘活，完善绩效评价结果与预算管理挂钩机制，将绩效评价结果作为今后年度预算安排、政策调整的重要依据，将绩效评价结果、绩效目标编报质量纳入部门预算编制及执行情况专项考核。</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b/>
          <w:bCs/>
          <w:sz w:val="30"/>
          <w:szCs w:val="30"/>
          <w:lang w:val="en-US" w:eastAsia="zh-CN"/>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lang w:val="en-US" w:eastAsia="zh-CN"/>
        </w:rPr>
      </w:pPr>
    </w:p>
    <w:p>
      <w:pPr>
        <w:ind w:left="0" w:leftChars="0" w:firstLine="0" w:firstLineChars="0"/>
        <w:rPr>
          <w:rFonts w:hint="eastAsia"/>
          <w:lang w:val="en-US" w:eastAsia="zh-CN"/>
        </w:rPr>
      </w:pPr>
    </w:p>
    <w:p>
      <w:pPr>
        <w:pStyle w:val="5"/>
        <w:rPr>
          <w:rFonts w:hint="eastAsia"/>
          <w:lang w:val="en-US" w:eastAsia="zh-CN"/>
        </w:rPr>
      </w:pPr>
    </w:p>
    <w:p>
      <w:pPr>
        <w:pStyle w:val="5"/>
        <w:rPr>
          <w:rFonts w:hint="eastAsia"/>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pStyle w:val="5"/>
        <w:rPr>
          <w:rFonts w:hint="eastAsia"/>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bCs/>
          <w:sz w:val="30"/>
          <w:szCs w:val="30"/>
          <w:lang w:val="en-US" w:eastAsia="zh-CN"/>
        </w:rPr>
        <w:t xml:space="preserve">    目 录</w:t>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bidi="zh-CN"/>
        </w:rPr>
        <w:fldChar w:fldCharType="begin"/>
      </w:r>
      <w:r>
        <w:rPr>
          <w:rFonts w:hint="eastAsia" w:ascii="仿宋" w:hAnsi="仿宋" w:eastAsia="仿宋" w:cs="仿宋"/>
          <w:b w:val="0"/>
          <w:bCs w:val="0"/>
          <w:kern w:val="0"/>
          <w:sz w:val="24"/>
          <w:szCs w:val="24"/>
          <w:lang w:val="en-US" w:eastAsia="zh-CN" w:bidi="zh-CN"/>
        </w:rPr>
        <w:instrText xml:space="preserve">TOC \o "1-3" \h \u </w:instrText>
      </w:r>
      <w:r>
        <w:rPr>
          <w:rFonts w:hint="eastAsia" w:ascii="仿宋" w:hAnsi="仿宋" w:eastAsia="仿宋" w:cs="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_Toc23723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_Toc23723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_Toc11616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_Toc11616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_Toc19573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_Toc19573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_Toc6475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二、项目资金预算安排和使用情况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_Toc6475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_Toc29549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_Toc29549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_Toc9287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（二）资金到位情况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_Toc9287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_Toc2147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（三）资金管理情况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_Toc2147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_Toc6854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_Toc6854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_Toc32620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_Toc32620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_Toc13880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_Toc13880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_Toc31496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_Toc31496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_Toc27311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_Toc27311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7</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_Toc13410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_Toc13410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_Toc21633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_Toc21633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_Toc26348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_Toc26348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_Toc18856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_Toc18856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_Toc11303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（五）评价标准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_Toc11303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_Toc3842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六</w:t>
      </w:r>
      <w:r>
        <w:rPr>
          <w:rFonts w:hint="eastAsia" w:ascii="仿宋" w:hAnsi="仿宋" w:eastAsia="仿宋" w:cs="仿宋"/>
          <w:sz w:val="24"/>
          <w:szCs w:val="24"/>
        </w:rPr>
        <w:t>）评价指标体系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_Toc3842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_Toc7042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eastAsia="zh-CN"/>
        </w:rPr>
        <w:t>（七）</w:t>
      </w:r>
      <w:r>
        <w:rPr>
          <w:rFonts w:hint="eastAsia" w:ascii="仿宋" w:hAnsi="仿宋" w:eastAsia="仿宋" w:cs="仿宋"/>
          <w:sz w:val="24"/>
          <w:szCs w:val="24"/>
        </w:rPr>
        <w:t>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_Toc7042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_Toc16012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（八）绩效评价工作过程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_Toc16012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_Toc12432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、综合评价情况及评价结论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_Toc12432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_Toc5591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（一）项目完成情况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_Toc5591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_Toc27068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_Toc27068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_Toc460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六、绩效评价指标分析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_Toc460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18</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_Toc24975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pacing w:val="0"/>
          <w:sz w:val="24"/>
          <w:szCs w:val="24"/>
          <w:lang w:eastAsia="zh-CN"/>
        </w:rPr>
        <w:t>（一）</w:t>
      </w:r>
      <w:r>
        <w:rPr>
          <w:rFonts w:hint="eastAsia" w:ascii="仿宋" w:hAnsi="仿宋" w:eastAsia="仿宋" w:cs="仿宋"/>
          <w:bCs w:val="0"/>
          <w:spacing w:val="0"/>
          <w:sz w:val="24"/>
          <w:szCs w:val="24"/>
        </w:rPr>
        <w:t>项目决策情</w:t>
      </w:r>
      <w:r>
        <w:rPr>
          <w:rFonts w:hint="eastAsia" w:ascii="仿宋" w:hAnsi="仿宋" w:eastAsia="仿宋" w:cs="仿宋"/>
          <w:bCs w:val="0"/>
          <w:sz w:val="24"/>
          <w:szCs w:val="24"/>
        </w:rPr>
        <w:t>况</w:t>
      </w:r>
      <w:r>
        <w:rPr>
          <w:rFonts w:hint="eastAsia" w:ascii="仿宋" w:hAnsi="仿宋" w:eastAsia="仿宋" w:cs="仿宋"/>
          <w:bCs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_Toc24975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_Toc982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_Toc982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_Toc551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（三）</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产出</w:t>
      </w:r>
      <w:r>
        <w:rPr>
          <w:rFonts w:hint="eastAsia" w:ascii="仿宋" w:hAnsi="仿宋" w:eastAsia="仿宋" w:cs="仿宋"/>
          <w:spacing w:val="0"/>
          <w:sz w:val="24"/>
          <w:szCs w:val="24"/>
        </w:rPr>
        <w:t>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_Toc551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_Toc17587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（四）</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效益</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_Toc17587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_Toc15577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、主要经验做法、存在问题及建议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_Toc15577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28</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_Toc26930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（一）经验做法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_Toc26930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_Toc16985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（二）存在的问题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_Toc16985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_Toc3586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shd w:val="clear" w:fill="FFFFFF"/>
          <w:lang w:val="en-US" w:eastAsia="zh-CN" w:bidi="zh-CN"/>
        </w:rPr>
        <w:t>（三）建议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_Toc3586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4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_Toc4252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八、其他需要说明的问题</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_Toc4252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30</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3"/>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sz w:val="24"/>
          <w:szCs w:val="24"/>
        </w:rPr>
      </w:pPr>
    </w:p>
    <w:p>
      <w:pPr>
        <w:keepNext w:val="0"/>
        <w:keepLines w:val="0"/>
        <w:pageBreakBefore w:val="0"/>
        <w:widowControl w:val="0"/>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val="0"/>
          <w:bCs w:val="0"/>
          <w:kern w:val="0"/>
          <w:sz w:val="24"/>
          <w:szCs w:val="24"/>
          <w:lang w:val="en-US" w:eastAsia="zh-CN" w:bidi="zh-CN"/>
        </w:rPr>
        <w:sectPr>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19" w:name="_Toc30196"/>
      <w:bookmarkStart w:id="20" w:name="_Toc12033"/>
      <w:r>
        <w:rPr>
          <w:rFonts w:hint="eastAsia" w:ascii="方正小标宋_GBK" w:hAnsi="方正小标宋_GBK" w:eastAsia="方正小标宋_GBK" w:cs="方正小标宋_GBK"/>
          <w:b w:val="0"/>
          <w:bCs w:val="0"/>
          <w:color w:val="181717" w:themeColor="background2" w:themeShade="1A"/>
          <w:sz w:val="36"/>
          <w:szCs w:val="36"/>
          <w:lang w:val="en-US" w:eastAsia="zh-CN"/>
        </w:rPr>
        <w:t>同心县2021年老旧小区改造配套基础设施建设项目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color w:val="1E1C11"/>
          <w:spacing w:val="0"/>
          <w:kern w:val="0"/>
          <w:sz w:val="28"/>
          <w:szCs w:val="28"/>
          <w:lang w:val="en-US" w:eastAsia="zh-CN" w:bidi="ar"/>
        </w:rPr>
        <w:t xml:space="preserve">                     </w:t>
      </w:r>
      <w:r>
        <w:rPr>
          <w:rFonts w:hint="eastAsia" w:ascii="方正小标宋_GBK" w:hAnsi="方正小标宋_GBK" w:eastAsia="方正小标宋_GBK" w:cs="方正小标宋_GBK"/>
          <w:b w:val="0"/>
          <w:bCs w:val="0"/>
          <w:color w:val="181717" w:themeColor="background2" w:themeShade="1A"/>
          <w:sz w:val="36"/>
          <w:szCs w:val="36"/>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，宁夏万协项目管理有限公司受同心县财政局委托，对同心县2021年老旧小区改造配套基础设施建设项目开展绩效评价相关工作。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21" w:name="_Toc23723"/>
      <w:r>
        <w:rPr>
          <w:rFonts w:hint="eastAsia" w:ascii="宋体" w:hAnsi="宋体" w:eastAsia="宋体" w:cs="宋体"/>
          <w:b/>
          <w:bCs/>
          <w:lang w:val="en-US" w:eastAsia="zh-CN"/>
        </w:rPr>
        <w:t>一、项目基本情况</w:t>
      </w:r>
      <w:bookmarkEnd w:id="19"/>
      <w:bookmarkEnd w:id="20"/>
      <w:bookmarkEnd w:id="21"/>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2" w:name="_Toc5690"/>
      <w:bookmarkStart w:id="23" w:name="_Toc25760"/>
      <w:bookmarkStart w:id="24" w:name="_Toc11616"/>
      <w:r>
        <w:rPr>
          <w:rFonts w:hint="eastAsia"/>
          <w:b/>
          <w:bCs/>
          <w:sz w:val="30"/>
          <w:szCs w:val="30"/>
          <w:lang w:val="en-US" w:eastAsia="zh-CN"/>
        </w:rPr>
        <w:t>（一）项目</w:t>
      </w:r>
      <w:bookmarkEnd w:id="22"/>
      <w:bookmarkEnd w:id="23"/>
      <w:r>
        <w:rPr>
          <w:rFonts w:hint="eastAsia"/>
          <w:b/>
          <w:bCs/>
          <w:sz w:val="30"/>
          <w:szCs w:val="30"/>
          <w:lang w:val="en-US" w:eastAsia="zh-CN"/>
        </w:rPr>
        <w:t>背景</w:t>
      </w:r>
      <w:bookmarkEnd w:id="24"/>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5" w:name="_Toc24381"/>
      <w:bookmarkStart w:id="26" w:name="_Toc25776"/>
      <w:bookmarkStart w:id="27" w:name="_Toc5111"/>
      <w:r>
        <w:rPr>
          <w:rFonts w:hint="eastAsia" w:ascii="Times New Roman" w:hAnsi="Times New Roman" w:eastAsia="方正仿宋_GBK" w:cs="Times New Roman"/>
          <w:color w:val="auto"/>
          <w:kern w:val="2"/>
          <w:sz w:val="30"/>
          <w:szCs w:val="30"/>
          <w:highlight w:val="none"/>
          <w:lang w:val="en-US" w:eastAsia="zh-CN" w:bidi="ar-SA"/>
        </w:rPr>
        <w:t>民生连民心，民生聚民力。党的二十大报告提出“增进民生福祉，提高人民生活品质。”老旧小区改造，既是城市发展中的“民生大事”，也是家门口的“关键小事”。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同心县把老旧小区改造作为提升城市“颜值”和“内涵”的重中之重，下大力气解决老百姓反映强烈的“急难愁盼”问题。通过改造，改出了老旧小区的宜居度，改出了人民群众的满意度，改出了家门口的幸福感，让人民群众生活得更方便、更舒适、更美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 xml:space="preserve">同心县石油公司小区、富康小区等 </w:t>
      </w:r>
      <w:r>
        <w:rPr>
          <w:rFonts w:hint="default" w:ascii="Times New Roman" w:hAnsi="Times New Roman" w:eastAsia="方正仿宋_GBK" w:cs="Times New Roman"/>
          <w:color w:val="auto"/>
          <w:kern w:val="2"/>
          <w:sz w:val="30"/>
          <w:szCs w:val="30"/>
          <w:highlight w:val="none"/>
          <w:lang w:val="en-US" w:eastAsia="zh-CN" w:bidi="ar-SA"/>
        </w:rPr>
        <w:t xml:space="preserve">6 </w:t>
      </w:r>
      <w:r>
        <w:rPr>
          <w:rFonts w:hint="eastAsia" w:ascii="Times New Roman" w:hAnsi="Times New Roman" w:eastAsia="方正仿宋_GBK" w:cs="Times New Roman"/>
          <w:color w:val="auto"/>
          <w:kern w:val="2"/>
          <w:sz w:val="30"/>
          <w:szCs w:val="30"/>
          <w:highlight w:val="none"/>
          <w:lang w:val="en-US" w:eastAsia="zh-CN" w:bidi="ar-SA"/>
        </w:rPr>
        <w:t>个老旧小区均建于20世纪</w:t>
      </w:r>
      <w:r>
        <w:rPr>
          <w:rFonts w:hint="default" w:ascii="Times New Roman" w:hAnsi="Times New Roman" w:eastAsia="方正仿宋_GBK" w:cs="Times New Roman"/>
          <w:color w:val="auto"/>
          <w:kern w:val="2"/>
          <w:sz w:val="30"/>
          <w:szCs w:val="30"/>
          <w:highlight w:val="none"/>
          <w:lang w:val="en-US" w:eastAsia="zh-CN" w:bidi="ar-SA"/>
        </w:rPr>
        <w:t xml:space="preserve">90 </w:t>
      </w:r>
      <w:r>
        <w:rPr>
          <w:rFonts w:hint="eastAsia" w:ascii="Times New Roman" w:hAnsi="Times New Roman" w:eastAsia="方正仿宋_GBK" w:cs="Times New Roman"/>
          <w:color w:val="auto"/>
          <w:kern w:val="2"/>
          <w:sz w:val="30"/>
          <w:szCs w:val="30"/>
          <w:highlight w:val="none"/>
          <w:lang w:val="en-US" w:eastAsia="zh-CN" w:bidi="ar-SA"/>
        </w:rPr>
        <w:t xml:space="preserve">年代到 </w:t>
      </w:r>
      <w:r>
        <w:rPr>
          <w:rFonts w:hint="default" w:ascii="Times New Roman" w:hAnsi="Times New Roman" w:eastAsia="方正仿宋_GBK" w:cs="Times New Roman"/>
          <w:color w:val="auto"/>
          <w:kern w:val="2"/>
          <w:sz w:val="30"/>
          <w:szCs w:val="30"/>
          <w:highlight w:val="none"/>
          <w:lang w:val="en-US" w:eastAsia="zh-CN" w:bidi="ar-SA"/>
        </w:rPr>
        <w:t xml:space="preserve">20 </w:t>
      </w:r>
      <w:r>
        <w:rPr>
          <w:rFonts w:hint="eastAsia" w:ascii="Times New Roman" w:hAnsi="Times New Roman" w:eastAsia="方正仿宋_GBK" w:cs="Times New Roman"/>
          <w:color w:val="auto"/>
          <w:kern w:val="2"/>
          <w:sz w:val="30"/>
          <w:szCs w:val="30"/>
          <w:highlight w:val="none"/>
          <w:lang w:val="en-US" w:eastAsia="zh-CN" w:bidi="ar-SA"/>
        </w:rPr>
        <w:t>世纪初，因其规划建设年代早，建设标准相对较低，不同程度地存在着管线老化、设备年久失修、道路破损、物业管理缺失等诸多问题，已无法满足居住环境和市容美观的要求。</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随着城市建设步伐的加快，环境优美、功能齐全、管理先进的新建住宅小区如雨后春笋般涌现出来，给居民们带来强大的视觉冲击和心理感受，已经成为提升城市建设和管理水平的重要窗口，相比之下一些老旧小区就显得黯然失色。部分小区内排水管线老化，堵塞严重，给水管线年久失修，路面坑坑洼洼，路灯缺失，影响出行；私搭乱建侵占消防通道，造成安全隐患；给业主生活带来不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两年来，同心县已着手对部分老旧小区进行了改造，并引入物业管理。通过改造，将损坏的道路及时修补，照明设施得到增设，方便居民出行；拆除私搭乱建，腾出场地建设绿地、停车场和休闲健身活动场所等。从目前已完成改造并实行规范管理的小区情况看，目前都达到了整洁干净、亮化美化的要求，较好地融入了现代化城市格局，不仅增强了城市的吸引力和辐射力，实现了物业的保值增值，而且也为展示城市形象锦上添花，居民普遍反映良好。</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8" w:name="_Toc19573"/>
      <w:r>
        <w:rPr>
          <w:rFonts w:hint="eastAsia"/>
          <w:b/>
          <w:bCs/>
          <w:sz w:val="30"/>
          <w:szCs w:val="30"/>
          <w:lang w:val="en-US" w:eastAsia="zh-CN"/>
        </w:rPr>
        <w:t>（二）项目实施主要内容</w:t>
      </w:r>
      <w:bookmarkEnd w:id="25"/>
      <w:bookmarkEnd w:id="26"/>
      <w:bookmarkEnd w:id="28"/>
      <w:bookmarkStart w:id="29" w:name="_Toc1917"/>
      <w:bookmarkStart w:id="30" w:name="_Toc855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建设规模及主要建设内容</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本次改造范围包括同心县的 6个老旧小区，分别为石油公司小区、富康小区、银水北苑小区、传输局家属楼小区、邮电家属楼小区、政协家属楼小区。基础设施改造工程内容包括小区内给排水、供热、电缆入地、消防及道路修复等基础设施的更新改造。</w:t>
      </w:r>
    </w:p>
    <w:p>
      <w:pPr>
        <w:pStyle w:val="5"/>
        <w:keepNext/>
        <w:keepLines/>
        <w:pageBreakBefore w:val="0"/>
        <w:widowControl w:val="0"/>
        <w:kinsoku/>
        <w:wordWrap/>
        <w:overflowPunct w:val="0"/>
        <w:topLinePunct w:val="0"/>
        <w:autoSpaceDE/>
        <w:autoSpaceDN/>
        <w:bidi w:val="0"/>
        <w:adjustRightInd/>
        <w:snapToGrid w:val="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1" w:name="_Toc26378"/>
      <w:bookmarkStart w:id="32" w:name="_Toc17160"/>
      <w:bookmarkStart w:id="33" w:name="_Toc22184"/>
      <w:r>
        <w:rPr>
          <w:rFonts w:hint="eastAsia" w:ascii="Times New Roman" w:hAnsi="Times New Roman" w:eastAsia="方正仿宋_GBK" w:cs="Times New Roman"/>
          <w:b w:val="0"/>
          <w:color w:val="auto"/>
          <w:kern w:val="2"/>
          <w:sz w:val="30"/>
          <w:szCs w:val="30"/>
          <w:highlight w:val="none"/>
          <w:lang w:val="en-US" w:eastAsia="zh-CN" w:bidi="ar-SA"/>
        </w:rPr>
        <w:t>上述项目内容的任务建设期为2021年12月-2024年10月，共分为四个标段负责具体的项目实施。</w:t>
      </w:r>
      <w:bookmarkEnd w:id="31"/>
    </w:p>
    <w:p>
      <w:pPr>
        <w:pStyle w:val="5"/>
        <w:keepNext/>
        <w:keepLines/>
        <w:pageBreakBefore w:val="0"/>
        <w:widowControl w:val="0"/>
        <w:kinsoku/>
        <w:wordWrap/>
        <w:overflowPunct w:val="0"/>
        <w:topLinePunct w:val="0"/>
        <w:autoSpaceDE/>
        <w:autoSpaceDN/>
        <w:bidi w:val="0"/>
        <w:adjustRightInd/>
        <w:snapToGrid w:val="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4" w:name="_Toc28030"/>
      <w:r>
        <w:rPr>
          <w:rFonts w:hint="eastAsia" w:ascii="Times New Roman" w:hAnsi="Times New Roman" w:eastAsia="方正仿宋_GBK" w:cs="Times New Roman"/>
          <w:b w:val="0"/>
          <w:color w:val="auto"/>
          <w:kern w:val="2"/>
          <w:sz w:val="30"/>
          <w:szCs w:val="30"/>
          <w:highlight w:val="none"/>
          <w:lang w:val="en-US" w:eastAsia="zh-CN" w:bidi="ar-SA"/>
        </w:rPr>
        <w:t>其中：一标段由宁夏国桢园林绿化建设工程有限公司负责银水北苑小区给水工程－拆除原有给水管道、阀门井等；新建弱电井21座，预留弱电通道405m；改造红线范围内的原有硬地进行翻建，拆除原有混凝土路面，新增混凝土车行路面砖铺砖，沥青混凝土路面；</w:t>
      </w:r>
      <w:bookmarkEnd w:id="34"/>
    </w:p>
    <w:p>
      <w:pPr>
        <w:pStyle w:val="5"/>
        <w:rPr>
          <w:rFonts w:hint="eastAsia" w:ascii="Times New Roman" w:hAnsi="Times New Roman" w:eastAsia="方正仿宋_GBK" w:cs="Times New Roman"/>
          <w:b w:val="0"/>
          <w:color w:val="auto"/>
          <w:kern w:val="2"/>
          <w:sz w:val="30"/>
          <w:szCs w:val="30"/>
          <w:highlight w:val="none"/>
          <w:lang w:val="en-US" w:eastAsia="zh-CN" w:bidi="ar-SA"/>
        </w:rPr>
      </w:pPr>
      <w:bookmarkStart w:id="35" w:name="_Toc24180"/>
      <w:r>
        <w:rPr>
          <w:rFonts w:hint="eastAsia" w:ascii="Times New Roman" w:hAnsi="Times New Roman" w:eastAsia="方正仿宋_GBK" w:cs="Times New Roman"/>
          <w:b w:val="0"/>
          <w:color w:val="auto"/>
          <w:kern w:val="2"/>
          <w:sz w:val="30"/>
          <w:szCs w:val="30"/>
          <w:highlight w:val="none"/>
          <w:lang w:val="en-US" w:eastAsia="zh-CN" w:bidi="ar-SA"/>
        </w:rPr>
        <w:t>传输局家属楼－暖通工程：新建管沟；新建弱电井，预留弱电通道；对改造红线范围内的原有硬地进行翻建，拆除原有混凝土路面，新增混凝土车行路面砖铺砖，沥青混凝土路面。</w:t>
      </w:r>
      <w:bookmarkEnd w:id="35"/>
    </w:p>
    <w:p>
      <w:pPr>
        <w:pStyle w:val="5"/>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 xml:space="preserve"> </w:t>
      </w:r>
      <w:bookmarkStart w:id="36" w:name="_Toc10705"/>
      <w:r>
        <w:rPr>
          <w:rFonts w:hint="eastAsia" w:ascii="Times New Roman" w:hAnsi="Times New Roman" w:eastAsia="方正仿宋_GBK" w:cs="Times New Roman"/>
          <w:b w:val="0"/>
          <w:color w:val="auto"/>
          <w:kern w:val="2"/>
          <w:sz w:val="30"/>
          <w:szCs w:val="30"/>
          <w:highlight w:val="none"/>
          <w:lang w:val="en-US" w:eastAsia="zh-CN" w:bidi="ar-SA"/>
        </w:rPr>
        <w:t>二标段由宁夏飓风建筑工程有限公司负责给水管道、排水管道改造及室外铺装。</w:t>
      </w:r>
      <w:bookmarkEnd w:id="36"/>
    </w:p>
    <w:p>
      <w:pPr>
        <w:pStyle w:val="5"/>
        <w:rPr>
          <w:rFonts w:hint="eastAsia" w:ascii="Times New Roman" w:hAnsi="Times New Roman" w:eastAsia="方正仿宋_GBK" w:cs="Times New Roman"/>
          <w:b w:val="0"/>
          <w:color w:val="auto"/>
          <w:kern w:val="2"/>
          <w:sz w:val="30"/>
          <w:szCs w:val="30"/>
          <w:highlight w:val="none"/>
          <w:lang w:val="en-US" w:eastAsia="zh-CN" w:bidi="ar-SA"/>
        </w:rPr>
      </w:pPr>
      <w:bookmarkStart w:id="37" w:name="_Toc11123"/>
      <w:r>
        <w:rPr>
          <w:rFonts w:hint="eastAsia" w:ascii="Times New Roman" w:hAnsi="Times New Roman" w:eastAsia="方正仿宋_GBK" w:cs="Times New Roman"/>
          <w:b w:val="0"/>
          <w:color w:val="auto"/>
          <w:kern w:val="2"/>
          <w:sz w:val="30"/>
          <w:szCs w:val="30"/>
          <w:highlight w:val="none"/>
          <w:lang w:val="en-US" w:eastAsia="zh-CN" w:bidi="ar-SA"/>
        </w:rPr>
        <w:t>三标段由宁夏六建建设工程有限公司负责实施石油公司小区、邮电家属楼维修改造。</w:t>
      </w:r>
      <w:bookmarkEnd w:id="37"/>
    </w:p>
    <w:p>
      <w:pPr>
        <w:rPr>
          <w:rFonts w:hint="default" w:ascii="Times New Roman" w:hAnsi="Times New Roman" w:eastAsia="方正仿宋_GBK" w:cs="Times New Roman"/>
          <w:b w:val="0"/>
          <w:color w:val="auto"/>
          <w:kern w:val="2"/>
          <w:sz w:val="30"/>
          <w:szCs w:val="30"/>
          <w:highlight w:val="none"/>
          <w:lang w:val="en-US" w:eastAsia="zh-CN" w:bidi="ar-SA"/>
        </w:rPr>
        <w:sectPr>
          <w:headerReference r:id="rId7" w:type="default"/>
          <w:footerReference r:id="rId8" w:type="default"/>
          <w:pgSz w:w="11906" w:h="16838"/>
          <w:pgMar w:top="2098" w:right="1587" w:bottom="2098" w:left="1587" w:header="1644" w:footer="935" w:gutter="0"/>
          <w:pgNumType w:fmt="decimal" w:start="1"/>
          <w:cols w:space="0" w:num="1"/>
          <w:rtlGutter w:val="0"/>
          <w:docGrid w:type="linesAndChars" w:linePitch="589" w:charSpace="-842"/>
        </w:sectPr>
      </w:pPr>
      <w:r>
        <w:rPr>
          <w:rFonts w:hint="default" w:ascii="Times New Roman" w:hAnsi="Times New Roman" w:eastAsia="方正仿宋_GBK" w:cs="Times New Roman"/>
          <w:b w:val="0"/>
          <w:color w:val="auto"/>
          <w:kern w:val="2"/>
          <w:sz w:val="30"/>
          <w:szCs w:val="30"/>
          <w:highlight w:val="none"/>
          <w:lang w:val="en-US" w:eastAsia="zh-CN" w:bidi="ar-SA"/>
        </w:rPr>
        <w:t>本次绩效评价系对</w:t>
      </w:r>
      <w:r>
        <w:rPr>
          <w:rFonts w:hint="eastAsia"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同心县2021年老旧小区改造配套基础设施建设项目（给水、排水、供暖管道更新）</w:t>
      </w:r>
      <w:r>
        <w:rPr>
          <w:rFonts w:hint="default" w:ascii="Times New Roman" w:hAnsi="Times New Roman" w:eastAsia="方正仿宋_GBK" w:cs="Times New Roman"/>
          <w:b w:val="0"/>
          <w:color w:val="auto"/>
          <w:kern w:val="2"/>
          <w:sz w:val="30"/>
          <w:szCs w:val="30"/>
          <w:highlight w:val="none"/>
          <w:lang w:val="en-US" w:eastAsia="zh-CN" w:bidi="ar-SA"/>
        </w:rPr>
        <w:t>自 2022 年至</w:t>
      </w:r>
      <w:r>
        <w:rPr>
          <w:rFonts w:hint="eastAsia" w:ascii="Times New Roman" w:hAnsi="Times New Roman" w:eastAsia="方正仿宋_GBK" w:cs="Times New Roman"/>
          <w:b w:val="0"/>
          <w:color w:val="auto"/>
          <w:kern w:val="2"/>
          <w:sz w:val="30"/>
          <w:szCs w:val="30"/>
          <w:highlight w:val="none"/>
          <w:lang w:val="en-US" w:eastAsia="zh-CN" w:bidi="ar-SA"/>
        </w:rPr>
        <w:t>2022</w:t>
      </w:r>
      <w:r>
        <w:rPr>
          <w:rFonts w:hint="default" w:ascii="Times New Roman" w:hAnsi="Times New Roman" w:eastAsia="方正仿宋_GBK" w:cs="Times New Roman"/>
          <w:b w:val="0"/>
          <w:color w:val="auto"/>
          <w:kern w:val="2"/>
          <w:sz w:val="30"/>
          <w:szCs w:val="30"/>
          <w:highlight w:val="none"/>
          <w:lang w:val="en-US" w:eastAsia="zh-CN" w:bidi="ar-SA"/>
        </w:rPr>
        <w:t xml:space="preserve">年 </w:t>
      </w:r>
      <w:r>
        <w:rPr>
          <w:rFonts w:hint="eastAsia" w:ascii="Times New Roman" w:hAnsi="Times New Roman" w:eastAsia="方正仿宋_GBK" w:cs="Times New Roman"/>
          <w:b w:val="0"/>
          <w:color w:val="auto"/>
          <w:kern w:val="2"/>
          <w:sz w:val="30"/>
          <w:szCs w:val="30"/>
          <w:highlight w:val="none"/>
          <w:lang w:val="en-US" w:eastAsia="zh-CN" w:bidi="ar-SA"/>
        </w:rPr>
        <w:t>12</w:t>
      </w:r>
      <w:r>
        <w:rPr>
          <w:rFonts w:hint="default" w:ascii="Times New Roman" w:hAnsi="Times New Roman" w:eastAsia="方正仿宋_GBK" w:cs="Times New Roman"/>
          <w:b w:val="0"/>
          <w:color w:val="auto"/>
          <w:kern w:val="2"/>
          <w:sz w:val="30"/>
          <w:szCs w:val="30"/>
          <w:highlight w:val="none"/>
          <w:lang w:val="en-US" w:eastAsia="zh-CN" w:bidi="ar-SA"/>
        </w:rPr>
        <w:t xml:space="preserve"> 月31日期间项</w:t>
      </w:r>
      <w:r>
        <w:rPr>
          <w:rFonts w:hint="eastAsia" w:ascii="Times New Roman" w:hAnsi="Times New Roman" w:eastAsia="方正仿宋_GBK" w:cs="Times New Roman"/>
          <w:b w:val="0"/>
          <w:color w:val="auto"/>
          <w:kern w:val="2"/>
          <w:sz w:val="30"/>
          <w:szCs w:val="30"/>
          <w:highlight w:val="none"/>
          <w:lang w:val="en-US" w:eastAsia="zh-CN" w:bidi="ar-SA"/>
        </w:rPr>
        <w:t>目实</w:t>
      </w:r>
      <w:r>
        <w:rPr>
          <w:rFonts w:hint="default" w:ascii="Times New Roman" w:hAnsi="Times New Roman" w:eastAsia="方正仿宋_GBK" w:cs="Times New Roman"/>
          <w:b w:val="0"/>
          <w:color w:val="auto"/>
          <w:kern w:val="2"/>
          <w:sz w:val="30"/>
          <w:szCs w:val="30"/>
          <w:highlight w:val="none"/>
          <w:lang w:val="en-US" w:eastAsia="zh-CN" w:bidi="ar-SA"/>
        </w:rPr>
        <w:t>施情况进行的评价。</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同心县2021年老旧小区改造配套基础设施建设项目主要建设内容</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计划完成情况</w:t>
      </w:r>
    </w:p>
    <w:p>
      <w:pPr>
        <w:keepNext/>
        <w:keepLines w:val="0"/>
        <w:pageBreakBefore w:val="0"/>
        <w:widowControl/>
        <w:kinsoku/>
        <w:wordWrap/>
        <w:overflowPunct/>
        <w:topLinePunct w:val="0"/>
        <w:autoSpaceDE/>
        <w:autoSpaceDN/>
        <w:bidi w:val="0"/>
        <w:adjustRightInd/>
        <w:snapToGrid/>
        <w:spacing w:after="0" w:line="240" w:lineRule="auto"/>
        <w:jc w:val="right"/>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等线" w:hAnsi="等线" w:eastAsia="等线" w:cs="等线"/>
          <w:b/>
          <w:bCs/>
          <w:kern w:val="0"/>
          <w:sz w:val="22"/>
          <w:lang w:val="en-US" w:eastAsia="zh-CN"/>
        </w:rPr>
        <w:t xml:space="preserve">                                                                         </w:t>
      </w:r>
      <w:r>
        <w:rPr>
          <w:rFonts w:hint="eastAsia" w:ascii="Times New Roman" w:hAnsi="Times New Roman" w:eastAsia="方正仿宋_GBK" w:cs="Times New Roman"/>
          <w:color w:val="auto"/>
          <w:kern w:val="2"/>
          <w:sz w:val="30"/>
          <w:szCs w:val="30"/>
          <w:highlight w:val="none"/>
          <w:lang w:val="en-US" w:eastAsia="zh-CN" w:bidi="ar-SA"/>
        </w:rPr>
        <w:t xml:space="preserve">单位：万元 </w:t>
      </w:r>
    </w:p>
    <w:tbl>
      <w:tblPr>
        <w:tblStyle w:val="21"/>
        <w:tblW w:w="47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2"/>
        <w:gridCol w:w="1083"/>
        <w:gridCol w:w="5229"/>
        <w:gridCol w:w="2232"/>
        <w:gridCol w:w="2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项目名称</w:t>
            </w: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概算资金</w:t>
            </w:r>
          </w:p>
        </w:tc>
        <w:tc>
          <w:tcPr>
            <w:tcW w:w="2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建设内容、规模</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是否验收</w:t>
            </w:r>
          </w:p>
        </w:tc>
        <w:tc>
          <w:tcPr>
            <w:tcW w:w="10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结算、财务决算情况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2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2" w:hRule="atLeast"/>
          <w:jc w:val="center"/>
        </w:trPr>
        <w:tc>
          <w:tcPr>
            <w:tcW w:w="48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方正仿宋_GBK" w:cs="Times New Roman"/>
                <w:b w:val="0"/>
                <w:color w:val="auto"/>
                <w:kern w:val="2"/>
                <w:sz w:val="21"/>
                <w:szCs w:val="21"/>
                <w:highlight w:val="none"/>
                <w:lang w:val="en-US" w:eastAsia="zh-CN" w:bidi="ar-SA"/>
              </w:rPr>
            </w:pPr>
            <w:r>
              <w:rPr>
                <w:rFonts w:hint="eastAsia" w:ascii="Times New Roman" w:hAnsi="Times New Roman" w:eastAsia="方正仿宋_GBK" w:cs="Times New Roman"/>
                <w:b w:val="0"/>
                <w:color w:val="auto"/>
                <w:kern w:val="2"/>
                <w:sz w:val="21"/>
                <w:szCs w:val="21"/>
                <w:highlight w:val="none"/>
                <w:lang w:val="en-US" w:eastAsia="zh-CN" w:bidi="ar-SA"/>
              </w:rPr>
              <w:t>同心县2021年老旧小区改造配套基础设施建设项目</w:t>
            </w:r>
          </w:p>
        </w:tc>
        <w:tc>
          <w:tcPr>
            <w:tcW w:w="44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b w:val="0"/>
                <w:color w:val="auto"/>
                <w:kern w:val="2"/>
                <w:sz w:val="21"/>
                <w:szCs w:val="21"/>
                <w:highlight w:val="none"/>
                <w:lang w:val="en-US" w:eastAsia="zh-CN" w:bidi="ar-SA"/>
              </w:rPr>
            </w:pPr>
            <w:r>
              <w:rPr>
                <w:rFonts w:hint="eastAsia" w:ascii="Times New Roman" w:hAnsi="Times New Roman" w:eastAsia="方正仿宋_GBK" w:cs="Times New Roman"/>
                <w:b w:val="0"/>
                <w:color w:val="auto"/>
                <w:kern w:val="2"/>
                <w:sz w:val="21"/>
                <w:szCs w:val="21"/>
                <w:highlight w:val="none"/>
                <w:lang w:val="en-US" w:eastAsia="zh-CN" w:bidi="ar-SA"/>
              </w:rPr>
              <w:t>1224.22</w:t>
            </w:r>
          </w:p>
        </w:tc>
        <w:tc>
          <w:tcPr>
            <w:tcW w:w="2126"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5"/>
              <w:keepNext/>
              <w:keepLines/>
              <w:pageBreakBefore w:val="0"/>
              <w:widowControl w:val="0"/>
              <w:kinsoku/>
              <w:wordWrap/>
              <w:overflowPunct w:val="0"/>
              <w:topLinePunct w:val="0"/>
              <w:autoSpaceDE/>
              <w:autoSpaceDN/>
              <w:bidi w:val="0"/>
              <w:adjustRightInd/>
              <w:snapToGrid w:val="0"/>
              <w:spacing w:beforeLines="0" w:afterLines="0" w:line="320" w:lineRule="exact"/>
              <w:ind w:left="0" w:leftChars="0" w:firstLine="0" w:firstLineChars="0"/>
              <w:jc w:val="both"/>
              <w:textAlignment w:val="auto"/>
              <w:rPr>
                <w:rFonts w:hint="eastAsia" w:ascii="等线" w:hAnsi="等线" w:eastAsia="等线" w:cs="等线"/>
                <w:color w:val="000000"/>
                <w:kern w:val="0"/>
                <w:sz w:val="21"/>
                <w:szCs w:val="21"/>
                <w:lang w:val="en-US" w:eastAsia="zh-CN"/>
              </w:rPr>
            </w:pPr>
            <w:bookmarkStart w:id="38" w:name="_Toc15"/>
            <w:r>
              <w:rPr>
                <w:rFonts w:hint="eastAsia" w:ascii="等线" w:hAnsi="等线" w:eastAsia="等线" w:cs="等线"/>
                <w:b/>
                <w:bCs/>
                <w:color w:val="000000"/>
                <w:kern w:val="0"/>
                <w:sz w:val="21"/>
                <w:szCs w:val="21"/>
                <w:lang w:val="en-US" w:eastAsia="zh-CN" w:bidi="ar-SA"/>
              </w:rPr>
              <w:t>一</w:t>
            </w:r>
            <w:r>
              <w:rPr>
                <w:rFonts w:hint="eastAsia" w:ascii="Times New Roman" w:hAnsi="Times New Roman" w:eastAsia="方正仿宋_GBK" w:cs="Times New Roman"/>
                <w:b/>
                <w:bCs/>
                <w:color w:val="auto"/>
                <w:kern w:val="2"/>
                <w:sz w:val="21"/>
                <w:szCs w:val="21"/>
                <w:highlight w:val="none"/>
                <w:lang w:val="en-US" w:eastAsia="zh-CN" w:bidi="ar-SA"/>
              </w:rPr>
              <w:t>标段</w:t>
            </w:r>
            <w:r>
              <w:rPr>
                <w:rFonts w:hint="eastAsia" w:ascii="Times New Roman" w:hAnsi="Times New Roman" w:eastAsia="方正仿宋_GBK" w:cs="Times New Roman"/>
                <w:b w:val="0"/>
                <w:color w:val="auto"/>
                <w:kern w:val="2"/>
                <w:sz w:val="21"/>
                <w:szCs w:val="21"/>
                <w:highlight w:val="none"/>
                <w:lang w:val="en-US" w:eastAsia="zh-CN" w:bidi="ar-SA"/>
              </w:rPr>
              <w:t>：宁夏国桢园林绿化建设工程有限公司负责银水北苑小区给水工程－拆除原有给水管道、阀门井等；新建弱电井21座，预留弱电通道405m；改造红线范围内的原有硬地进行翻建，拆除原有混凝土路面，新增混凝土车行路面砖铺砖，沥青混凝土路面；</w:t>
            </w:r>
            <w:bookmarkEnd w:id="38"/>
          </w:p>
        </w:tc>
        <w:tc>
          <w:tcPr>
            <w:tcW w:w="90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已完成验收</w:t>
            </w:r>
          </w:p>
        </w:tc>
        <w:tc>
          <w:tcPr>
            <w:tcW w:w="104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7" w:hRule="atLeast"/>
          <w:jc w:val="center"/>
        </w:trPr>
        <w:tc>
          <w:tcPr>
            <w:tcW w:w="484"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412" w:firstLineChars="200"/>
              <w:jc w:val="both"/>
              <w:textAlignment w:val="auto"/>
              <w:rPr>
                <w:rFonts w:hint="eastAsia" w:ascii="Times New Roman" w:hAnsi="Times New Roman" w:eastAsia="方正仿宋_GBK" w:cs="Times New Roman"/>
                <w:color w:val="auto"/>
                <w:kern w:val="2"/>
                <w:sz w:val="21"/>
                <w:szCs w:val="21"/>
                <w:highlight w:val="none"/>
                <w:lang w:val="en-US" w:eastAsia="zh-CN" w:bidi="ar-SA"/>
              </w:rPr>
            </w:pPr>
            <w:bookmarkStart w:id="39" w:name="_Toc3047"/>
            <w:bookmarkStart w:id="40" w:name="_Toc31374"/>
          </w:p>
        </w:tc>
        <w:tc>
          <w:tcPr>
            <w:tcW w:w="44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412" w:firstLineChars="200"/>
              <w:jc w:val="both"/>
              <w:textAlignment w:val="auto"/>
              <w:rPr>
                <w:rFonts w:hint="eastAsia" w:ascii="等线" w:hAnsi="等线" w:eastAsia="等线" w:cs="等线"/>
                <w:color w:val="000000"/>
                <w:kern w:val="0"/>
                <w:sz w:val="21"/>
                <w:szCs w:val="21"/>
                <w:lang w:val="en-US" w:eastAsia="zh-CN"/>
              </w:rPr>
            </w:pPr>
          </w:p>
        </w:tc>
        <w:tc>
          <w:tcPr>
            <w:tcW w:w="2126"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5"/>
              <w:pageBreakBefore w:val="0"/>
              <w:kinsoku/>
              <w:wordWrap/>
              <w:overflowPunct w:val="0"/>
              <w:topLinePunct w:val="0"/>
              <w:autoSpaceDE/>
              <w:autoSpaceDN/>
              <w:bidi w:val="0"/>
              <w:adjustRightInd/>
              <w:spacing w:beforeLines="0" w:afterLines="0" w:line="320" w:lineRule="exact"/>
              <w:ind w:left="0" w:leftChars="0" w:firstLine="0" w:firstLineChars="0"/>
              <w:textAlignment w:val="auto"/>
              <w:rPr>
                <w:rFonts w:hint="eastAsia" w:ascii="Times New Roman" w:hAnsi="Times New Roman" w:eastAsia="方正仿宋_GBK" w:cs="Times New Roman"/>
                <w:b w:val="0"/>
                <w:color w:val="auto"/>
                <w:kern w:val="2"/>
                <w:sz w:val="21"/>
                <w:szCs w:val="21"/>
                <w:highlight w:val="none"/>
                <w:lang w:val="en-US" w:eastAsia="zh-CN" w:bidi="ar-SA"/>
              </w:rPr>
            </w:pPr>
            <w:bookmarkStart w:id="41" w:name="_Toc10145"/>
            <w:r>
              <w:rPr>
                <w:rFonts w:hint="eastAsia" w:ascii="Times New Roman" w:hAnsi="Times New Roman" w:eastAsia="方正仿宋_GBK" w:cs="Times New Roman"/>
                <w:b/>
                <w:bCs/>
                <w:color w:val="auto"/>
                <w:kern w:val="2"/>
                <w:sz w:val="21"/>
                <w:szCs w:val="21"/>
                <w:highlight w:val="none"/>
                <w:lang w:val="en-US" w:eastAsia="zh-CN" w:bidi="ar-SA"/>
              </w:rPr>
              <w:t>二标段</w:t>
            </w:r>
            <w:r>
              <w:rPr>
                <w:rFonts w:hint="eastAsia" w:ascii="Times New Roman" w:hAnsi="Times New Roman" w:eastAsia="方正仿宋_GBK" w:cs="Times New Roman"/>
                <w:b w:val="0"/>
                <w:color w:val="auto"/>
                <w:kern w:val="2"/>
                <w:sz w:val="21"/>
                <w:szCs w:val="21"/>
                <w:highlight w:val="none"/>
                <w:lang w:val="en-US" w:eastAsia="zh-CN" w:bidi="ar-SA"/>
              </w:rPr>
              <w:t>：宁夏飓风建筑工程有限公司</w:t>
            </w:r>
            <w:bookmarkEnd w:id="41"/>
          </w:p>
          <w:p>
            <w:pPr>
              <w:pStyle w:val="5"/>
              <w:pageBreakBefore w:val="0"/>
              <w:kinsoku/>
              <w:wordWrap/>
              <w:overflowPunct w:val="0"/>
              <w:topLinePunct w:val="0"/>
              <w:autoSpaceDE/>
              <w:autoSpaceDN/>
              <w:bidi w:val="0"/>
              <w:adjustRightInd/>
              <w:spacing w:beforeLines="0" w:afterLines="0" w:line="320" w:lineRule="exact"/>
              <w:ind w:firstLine="412" w:firstLineChars="200"/>
              <w:textAlignment w:val="auto"/>
              <w:rPr>
                <w:rFonts w:hint="eastAsia" w:ascii="等线" w:hAnsi="等线" w:eastAsia="等线" w:cs="等线"/>
                <w:color w:val="000000"/>
                <w:kern w:val="0"/>
                <w:sz w:val="21"/>
                <w:szCs w:val="21"/>
                <w:lang w:val="en-US" w:eastAsia="zh-CN"/>
              </w:rPr>
            </w:pPr>
            <w:bookmarkStart w:id="42" w:name="_Toc27373"/>
            <w:r>
              <w:rPr>
                <w:rFonts w:hint="eastAsia" w:ascii="Times New Roman" w:hAnsi="Times New Roman" w:eastAsia="方正仿宋_GBK" w:cs="Times New Roman"/>
                <w:b w:val="0"/>
                <w:color w:val="auto"/>
                <w:kern w:val="2"/>
                <w:sz w:val="21"/>
                <w:szCs w:val="21"/>
                <w:highlight w:val="none"/>
                <w:lang w:val="en-US" w:eastAsia="zh-CN" w:bidi="ar-SA"/>
              </w:rPr>
              <w:t>负责给水管道、排水管道改造及室外铺装。</w:t>
            </w:r>
            <w:bookmarkEnd w:id="42"/>
          </w:p>
        </w:tc>
        <w:tc>
          <w:tcPr>
            <w:tcW w:w="90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已完成验收</w:t>
            </w:r>
          </w:p>
        </w:tc>
        <w:tc>
          <w:tcPr>
            <w:tcW w:w="104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824" w:firstLineChars="400"/>
              <w:jc w:val="both"/>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484"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412" w:firstLineChars="200"/>
              <w:jc w:val="both"/>
              <w:textAlignment w:val="auto"/>
              <w:rPr>
                <w:rFonts w:hint="eastAsia" w:ascii="Times New Roman" w:hAnsi="Times New Roman" w:eastAsia="方正仿宋_GBK" w:cs="Times New Roman"/>
                <w:color w:val="auto"/>
                <w:kern w:val="2"/>
                <w:sz w:val="21"/>
                <w:szCs w:val="21"/>
                <w:highlight w:val="none"/>
                <w:lang w:val="en-US" w:eastAsia="zh-CN" w:bidi="ar-SA"/>
              </w:rPr>
            </w:pPr>
          </w:p>
        </w:tc>
        <w:tc>
          <w:tcPr>
            <w:tcW w:w="440"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412" w:firstLineChars="200"/>
              <w:jc w:val="both"/>
              <w:textAlignment w:val="auto"/>
              <w:rPr>
                <w:rFonts w:hint="eastAsia" w:ascii="等线" w:hAnsi="等线" w:eastAsia="等线" w:cs="等线"/>
                <w:color w:val="000000"/>
                <w:kern w:val="0"/>
                <w:sz w:val="21"/>
                <w:szCs w:val="21"/>
                <w:lang w:val="en-US" w:eastAsia="zh-CN"/>
              </w:rPr>
            </w:pPr>
          </w:p>
        </w:tc>
        <w:tc>
          <w:tcPr>
            <w:tcW w:w="2126" w:type="pct"/>
            <w:tcBorders>
              <w:top w:val="single" w:color="auto" w:sz="4" w:space="0"/>
              <w:left w:val="single" w:color="000000" w:sz="4" w:space="0"/>
              <w:bottom w:val="single" w:color="auto" w:sz="4" w:space="0"/>
              <w:right w:val="single" w:color="000000" w:sz="4" w:space="0"/>
            </w:tcBorders>
            <w:shd w:val="clear" w:color="auto" w:fill="auto"/>
            <w:vAlign w:val="center"/>
          </w:tcPr>
          <w:p>
            <w:pPr>
              <w:pStyle w:val="5"/>
              <w:keepNext/>
              <w:keepLines/>
              <w:pageBreakBefore w:val="0"/>
              <w:widowControl w:val="0"/>
              <w:kinsoku/>
              <w:wordWrap/>
              <w:overflowPunct w:val="0"/>
              <w:topLinePunct w:val="0"/>
              <w:autoSpaceDE/>
              <w:autoSpaceDN/>
              <w:bidi w:val="0"/>
              <w:adjustRightInd/>
              <w:snapToGrid w:val="0"/>
              <w:spacing w:beforeLines="0" w:afterLines="0" w:line="320" w:lineRule="exact"/>
              <w:ind w:left="0" w:leftChars="0" w:firstLine="0" w:firstLineChars="0"/>
              <w:jc w:val="both"/>
              <w:textAlignment w:val="auto"/>
              <w:rPr>
                <w:rFonts w:hint="eastAsia" w:ascii="等线" w:hAnsi="等线" w:eastAsia="等线" w:cs="等线"/>
                <w:color w:val="000000"/>
                <w:kern w:val="0"/>
                <w:sz w:val="21"/>
                <w:szCs w:val="21"/>
                <w:lang w:val="en-US" w:eastAsia="zh-CN"/>
              </w:rPr>
            </w:pPr>
            <w:bookmarkStart w:id="43" w:name="_Toc13429"/>
            <w:r>
              <w:rPr>
                <w:rFonts w:hint="eastAsia" w:ascii="Times New Roman" w:hAnsi="Times New Roman" w:eastAsia="方正仿宋_GBK" w:cs="Times New Roman"/>
                <w:b/>
                <w:bCs/>
                <w:color w:val="auto"/>
                <w:kern w:val="2"/>
                <w:sz w:val="21"/>
                <w:szCs w:val="21"/>
                <w:highlight w:val="none"/>
                <w:lang w:val="en-US" w:eastAsia="zh-CN" w:bidi="ar-SA"/>
              </w:rPr>
              <w:t>三标段：</w:t>
            </w:r>
            <w:r>
              <w:rPr>
                <w:rFonts w:hint="eastAsia" w:ascii="Times New Roman" w:hAnsi="Times New Roman" w:eastAsia="方正仿宋_GBK" w:cs="Times New Roman"/>
                <w:b w:val="0"/>
                <w:color w:val="auto"/>
                <w:kern w:val="2"/>
                <w:sz w:val="21"/>
                <w:szCs w:val="21"/>
                <w:highlight w:val="none"/>
                <w:lang w:val="en-US" w:eastAsia="zh-CN" w:bidi="ar-SA"/>
              </w:rPr>
              <w:t>宁夏六建建设工程有限公司负责实施石油公司小区、邮电家属楼维修改造。</w:t>
            </w:r>
            <w:bookmarkEnd w:id="43"/>
          </w:p>
        </w:tc>
        <w:tc>
          <w:tcPr>
            <w:tcW w:w="90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已完成验收</w:t>
            </w:r>
          </w:p>
        </w:tc>
        <w:tc>
          <w:tcPr>
            <w:tcW w:w="104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824" w:firstLineChars="400"/>
              <w:jc w:val="both"/>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未结算</w:t>
            </w:r>
          </w:p>
        </w:tc>
      </w:tr>
      <w:bookmarkEnd w:id="32"/>
      <w:bookmarkEnd w:id="33"/>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sectPr>
          <w:pgSz w:w="16838" w:h="11906" w:orient="landscape"/>
          <w:pgMar w:top="1587" w:right="2098" w:bottom="1587" w:left="2098" w:header="1191" w:footer="935" w:gutter="0"/>
          <w:pgNumType w:fmt="decimal"/>
          <w:cols w:space="0" w:num="1"/>
          <w:rtlGutter w:val="0"/>
          <w:docGrid w:type="linesAndChars" w:linePitch="589" w:charSpace="-842"/>
        </w:sect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44" w:name="_Toc6475"/>
      <w:r>
        <w:rPr>
          <w:rFonts w:hint="eastAsia" w:asciiTheme="majorEastAsia" w:hAnsiTheme="majorEastAsia" w:eastAsiaTheme="majorEastAsia" w:cstheme="majorEastAsia"/>
          <w:b/>
          <w:bCs/>
          <w:sz w:val="30"/>
          <w:szCs w:val="30"/>
          <w:lang w:val="en-US" w:eastAsia="zh-CN"/>
        </w:rPr>
        <w:t>二、项目资金预算安排和使用情况</w:t>
      </w:r>
      <w:bookmarkEnd w:id="44"/>
    </w:p>
    <w:bookmarkEnd w:id="29"/>
    <w:bookmarkEnd w:id="30"/>
    <w:bookmarkEnd w:id="39"/>
    <w:bookmarkEnd w:id="40"/>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45" w:name="_Toc21063"/>
      <w:bookmarkStart w:id="46" w:name="_Toc29549"/>
      <w:bookmarkStart w:id="47" w:name="_Toc26094"/>
      <w:bookmarkStart w:id="48" w:name="_Toc31361"/>
      <w:bookmarkStart w:id="49" w:name="_Toc9451"/>
      <w:bookmarkStart w:id="50" w:name="_Toc7963"/>
      <w:bookmarkStart w:id="51" w:name="_Toc20409"/>
      <w:bookmarkStart w:id="52" w:name="_Toc2175"/>
      <w:bookmarkStart w:id="53" w:name="_Toc19300"/>
      <w:bookmarkStart w:id="54" w:name="_Toc29255"/>
      <w:bookmarkStart w:id="55" w:name="_Toc31216"/>
      <w:bookmarkStart w:id="56" w:name="_Toc24442"/>
      <w:bookmarkStart w:id="57" w:name="_Toc19319"/>
      <w:bookmarkStart w:id="58" w:name="_Toc26741"/>
      <w:bookmarkStart w:id="59" w:name="_Toc29008"/>
      <w:bookmarkStart w:id="60" w:name="_Toc19237"/>
      <w:bookmarkStart w:id="61" w:name="_Toc17609"/>
      <w:bookmarkStart w:id="62" w:name="_Toc14208"/>
      <w:bookmarkStart w:id="63" w:name="_Toc1375"/>
      <w:bookmarkStart w:id="64" w:name="_Toc26903"/>
      <w:bookmarkStart w:id="65" w:name="_Toc24129"/>
      <w:r>
        <w:rPr>
          <w:rFonts w:hint="eastAsia"/>
          <w:b/>
          <w:bCs/>
          <w:sz w:val="30"/>
          <w:szCs w:val="30"/>
          <w:lang w:val="en-US" w:eastAsia="zh-CN"/>
        </w:rPr>
        <w:t>（一）资金来源情况</w:t>
      </w:r>
      <w:bookmarkEnd w:id="45"/>
      <w:bookmarkEnd w:id="46"/>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66" w:name="_Toc21684"/>
      <w:bookmarkStart w:id="67" w:name="_Toc13949"/>
      <w:r>
        <w:rPr>
          <w:rFonts w:hint="eastAsia" w:ascii="Times New Roman" w:hAnsi="Times New Roman" w:eastAsia="方正仿宋_GBK" w:cs="Times New Roman"/>
          <w:color w:val="auto"/>
          <w:kern w:val="2"/>
          <w:sz w:val="30"/>
          <w:szCs w:val="30"/>
          <w:highlight w:val="none"/>
          <w:lang w:val="en-US" w:eastAsia="zh-CN" w:bidi="ar-SA"/>
        </w:rPr>
        <w:t>按照《</w:t>
      </w:r>
      <w:r>
        <w:rPr>
          <w:rFonts w:hint="eastAsia" w:ascii="Times New Roman" w:hAnsi="Times New Roman" w:eastAsia="方正仿宋_GB2312" w:cs="Times New Roman"/>
          <w:kern w:val="2"/>
          <w:sz w:val="30"/>
          <w:szCs w:val="30"/>
          <w:lang w:val="en-US" w:eastAsia="zh-CN" w:bidi="ar-SA"/>
        </w:rPr>
        <w:t>关于下达2021年新增政府一般债券资金指标的通知（第二批）》（宁财（债）指标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393号</w:t>
      </w:r>
      <w:r>
        <w:rPr>
          <w:rFonts w:hint="eastAsia" w:ascii="Times New Roman" w:hAnsi="Times New Roman" w:eastAsia="方正仿宋_GB2312" w:cs="Times New Roman"/>
          <w:kern w:val="2"/>
          <w:sz w:val="30"/>
          <w:szCs w:val="30"/>
          <w:lang w:val="en-US" w:eastAsia="zh-CN" w:bidi="ar-SA"/>
        </w:rPr>
        <w:t>）、《关于同心县本级财政2021年第二批新增政府一般债券资金预算调整方案（草案）的报告》</w:t>
      </w:r>
      <w:r>
        <w:rPr>
          <w:rFonts w:hint="eastAsia" w:ascii="Times New Roman" w:hAnsi="Times New Roman" w:eastAsia="方正仿宋_GBK" w:cs="Times New Roman"/>
          <w:color w:val="auto"/>
          <w:kern w:val="2"/>
          <w:sz w:val="30"/>
          <w:szCs w:val="30"/>
          <w:highlight w:val="none"/>
          <w:lang w:val="en-US" w:eastAsia="zh-CN" w:bidi="ar-SA"/>
        </w:rPr>
        <w:t>要求，一般债券资金落实到具体项目，切实加强债券资金管理，提高债券资金使用效益。</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68" w:name="_Toc13592"/>
      <w:bookmarkStart w:id="69" w:name="_Toc9287"/>
      <w:r>
        <w:rPr>
          <w:rFonts w:hint="eastAsia"/>
          <w:b/>
          <w:bCs/>
          <w:sz w:val="30"/>
          <w:szCs w:val="30"/>
          <w:lang w:val="en-US" w:eastAsia="zh-CN"/>
        </w:rPr>
        <w:t>（二）资金到位情况</w:t>
      </w:r>
      <w:bookmarkEnd w:id="68"/>
      <w:bookmarkEnd w:id="69"/>
    </w:p>
    <w:p>
      <w:pPr>
        <w:keepNext w:val="0"/>
        <w:keepLines w:val="0"/>
        <w:widowControl/>
        <w:suppressLineNumbers w:val="0"/>
        <w:jc w:val="left"/>
        <w:rPr>
          <w:rFonts w:hint="default"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2021年8月24日，根据同心县人大常委会《关于批准同心县本级财政 2022 年第二批新增政府一般债券资金预算调整方案的决议》（同人常发（2022) 24 号） 精神，由县财政局筹措资金490.00万元，用于解决老旧小区改造项目建设资金。截至评价时点，实际到位资金490.00万元，资金到位率100%，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sz w:val="30"/>
          <w:szCs w:val="30"/>
          <w:lang w:val="en-US" w:eastAsia="zh-CN"/>
        </w:rPr>
        <w:t>。</w:t>
      </w:r>
    </w:p>
    <w:p>
      <w:pPr>
        <w:pStyle w:val="4"/>
        <w:bidi w:val="0"/>
        <w:rPr>
          <w:rFonts w:hint="default"/>
          <w:lang w:val="en-US" w:eastAsia="zh-CN"/>
        </w:rPr>
      </w:pPr>
      <w:bookmarkStart w:id="70" w:name="_Toc3804"/>
      <w:bookmarkStart w:id="71" w:name="_Toc2147"/>
      <w:r>
        <w:rPr>
          <w:rFonts w:hint="eastAsia"/>
          <w:lang w:val="en-US" w:eastAsia="zh-CN"/>
        </w:rPr>
        <w:t>（三）资金管理情况</w:t>
      </w:r>
      <w:bookmarkEnd w:id="70"/>
      <w:bookmarkEnd w:id="71"/>
    </w:p>
    <w:p>
      <w:pPr>
        <w:overflowPunct w:val="0"/>
        <w:adjustRightInd w:val="0"/>
        <w:snapToGrid w:val="0"/>
        <w:spacing w:line="560" w:lineRule="exact"/>
        <w:ind w:firstLine="592"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w:t>
      </w:r>
      <w:r>
        <w:rPr>
          <w:rFonts w:hint="eastAsia" w:ascii="Times New Roman" w:hAnsi="Times New Roman" w:eastAsia="方正仿宋_GB2312" w:cs="Times New Roman"/>
          <w:kern w:val="2"/>
          <w:sz w:val="30"/>
          <w:szCs w:val="30"/>
          <w:lang w:val="en-US" w:eastAsia="zh-CN" w:bidi="ar-SA"/>
        </w:rPr>
        <w:t>关于下达2021年新增政府一般债券资金指标的通知（第二批）》（宁财（债）指标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393号</w:t>
      </w:r>
      <w:r>
        <w:rPr>
          <w:rFonts w:hint="eastAsia" w:ascii="Times New Roman" w:hAnsi="Times New Roman" w:eastAsia="方正仿宋_GB2312" w:cs="Times New Roman"/>
          <w:kern w:val="2"/>
          <w:sz w:val="30"/>
          <w:szCs w:val="30"/>
          <w:lang w:val="en-US" w:eastAsia="zh-CN" w:bidi="ar-SA"/>
        </w:rPr>
        <w:t>）、《关于同心县本级财政2021年第二批新增政府一般债券资金预算调整方案（草案）的报告》，同心县文旅局</w:t>
      </w:r>
      <w:r>
        <w:rPr>
          <w:rFonts w:hint="eastAsia" w:ascii="Times New Roman" w:hAnsi="Times New Roman" w:eastAsia="方正仿宋_GBK" w:cs="Times New Roman"/>
          <w:color w:val="auto"/>
          <w:kern w:val="2"/>
          <w:sz w:val="30"/>
          <w:szCs w:val="30"/>
          <w:highlight w:val="none"/>
          <w:lang w:val="en-US" w:eastAsia="zh-CN" w:bidi="ar-SA"/>
        </w:rPr>
        <w:t>并结合项目方案的要求，对项目资金进行管理和分配，每笔资金在拨付使用过程中均能够严格执行各项管理制度。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转移支付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bidi w:val="0"/>
        <w:rPr>
          <w:rFonts w:hint="default"/>
          <w:lang w:val="en-US" w:eastAsia="zh-CN"/>
        </w:rPr>
      </w:pPr>
      <w:bookmarkStart w:id="72" w:name="_Toc6553"/>
      <w:bookmarkStart w:id="73" w:name="_Toc6854"/>
      <w:r>
        <w:rPr>
          <w:rFonts w:hint="eastAsia"/>
          <w:lang w:val="en-US" w:eastAsia="zh-CN"/>
        </w:rPr>
        <w:t>（四）资金使用情况</w:t>
      </w:r>
      <w:bookmarkEnd w:id="72"/>
      <w:bookmarkEnd w:id="73"/>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红军西征纪念馆主体改造工程实际到位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490.00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490.00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66"/>
      <w:bookmarkEnd w:id="67"/>
      <w:bookmarkStart w:id="74" w:name="_Toc2578"/>
      <w:bookmarkStart w:id="75" w:name="_Toc31342"/>
    </w:p>
    <w:bookmarkEnd w:id="74"/>
    <w:bookmarkEnd w:id="75"/>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6" w:name="_Toc32620"/>
      <w:r>
        <w:rPr>
          <w:rFonts w:hint="eastAsia" w:asciiTheme="majorEastAsia" w:hAnsiTheme="majorEastAsia" w:eastAsiaTheme="majorEastAsia" w:cstheme="majorEastAsia"/>
          <w:b/>
          <w:bCs/>
          <w:sz w:val="30"/>
          <w:szCs w:val="30"/>
          <w:lang w:val="en-US" w:eastAsia="zh-CN"/>
        </w:rPr>
        <w:t>三、项目绩效</w:t>
      </w:r>
      <w:bookmarkEnd w:id="47"/>
      <w:bookmarkEnd w:id="48"/>
      <w:bookmarkEnd w:id="49"/>
      <w:bookmarkEnd w:id="50"/>
      <w:bookmarkEnd w:id="51"/>
      <w:bookmarkEnd w:id="52"/>
      <w:bookmarkEnd w:id="53"/>
      <w:bookmarkEnd w:id="54"/>
      <w:bookmarkEnd w:id="55"/>
      <w:bookmarkEnd w:id="56"/>
      <w:r>
        <w:rPr>
          <w:rFonts w:hint="eastAsia" w:asciiTheme="majorEastAsia" w:hAnsiTheme="majorEastAsia" w:eastAsiaTheme="majorEastAsia" w:cstheme="majorEastAsia"/>
          <w:b/>
          <w:bCs/>
          <w:sz w:val="30"/>
          <w:szCs w:val="30"/>
          <w:lang w:val="en-US" w:eastAsia="zh-CN"/>
        </w:rPr>
        <w:t>目标</w:t>
      </w:r>
      <w:bookmarkEnd w:id="76"/>
    </w:p>
    <w:p>
      <w:pPr>
        <w:pStyle w:val="4"/>
        <w:keepNext/>
        <w:keepLines/>
        <w:pageBreakBefore w:val="0"/>
        <w:widowControl/>
        <w:numPr>
          <w:ilvl w:val="-1"/>
          <w:numId w:val="0"/>
        </w:numPr>
        <w:kinsoku/>
        <w:wordWrap/>
        <w:overflowPunct w:val="0"/>
        <w:topLinePunct w:val="0"/>
        <w:autoSpaceDE/>
        <w:autoSpaceDN/>
        <w:bidi w:val="0"/>
        <w:adjustRightInd/>
        <w:snapToGrid w:val="0"/>
        <w:spacing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77" w:name="_Toc13880"/>
      <w:bookmarkStart w:id="78" w:name="_Toc23578"/>
      <w:bookmarkStart w:id="79" w:name="_Toc8204"/>
      <w:r>
        <w:rPr>
          <w:rFonts w:hint="eastAsia" w:ascii="方正楷体_GBK" w:hAnsi="方正楷体_GBK" w:eastAsia="方正楷体_GBK" w:cs="方正楷体_GBK"/>
          <w:sz w:val="30"/>
          <w:szCs w:val="30"/>
          <w:lang w:val="en-US" w:eastAsia="zh-CN"/>
        </w:rPr>
        <w:t>（一）绩效目标</w:t>
      </w:r>
      <w:bookmarkEnd w:id="77"/>
    </w:p>
    <w:bookmarkEnd w:id="78"/>
    <w:bookmarkEnd w:id="79"/>
    <w:p>
      <w:pPr>
        <w:pStyle w:val="2"/>
        <w:keepNext w:val="0"/>
        <w:keepLines w:val="0"/>
        <w:pageBreakBefore w:val="0"/>
        <w:widowControl w:val="0"/>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有效改善老旧小区居住条件、完善小区功能、创建舒适的居住环境，使安置区居民的居住条件和生活品质得到提升，人民群众的获得感、幸福感和安全感显著增强。</w:t>
      </w:r>
      <w:bookmarkStart w:id="80" w:name="_Toc29105"/>
      <w:bookmarkStart w:id="81" w:name="_Toc6859"/>
    </w:p>
    <w:p>
      <w:pPr>
        <w:pStyle w:val="4"/>
        <w:numPr>
          <w:ilvl w:val="0"/>
          <w:numId w:val="2"/>
        </w:numPr>
        <w:bidi w:val="0"/>
        <w:rPr>
          <w:rFonts w:hint="eastAsia"/>
          <w:lang w:val="en-US" w:eastAsia="zh-CN"/>
        </w:rPr>
      </w:pPr>
      <w:bookmarkStart w:id="82" w:name="_Toc31496"/>
      <w:r>
        <w:rPr>
          <w:rFonts w:hint="eastAsia"/>
          <w:lang w:val="en-US" w:eastAsia="zh-CN"/>
        </w:rPr>
        <w:t>项目绩效</w:t>
      </w:r>
      <w:bookmarkEnd w:id="80"/>
      <w:bookmarkEnd w:id="81"/>
      <w:bookmarkStart w:id="83" w:name="_Toc11708"/>
      <w:bookmarkStart w:id="84" w:name="_Toc13598"/>
      <w:bookmarkStart w:id="85" w:name="_Toc14067"/>
      <w:r>
        <w:rPr>
          <w:rFonts w:hint="eastAsia"/>
          <w:lang w:val="en-US" w:eastAsia="zh-CN"/>
        </w:rPr>
        <w:t>目标</w:t>
      </w:r>
      <w:bookmarkEnd w:id="82"/>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lang w:val="en-US" w:eastAsia="zh-CN"/>
        </w:rPr>
      </w:pPr>
      <w:r>
        <w:rPr>
          <w:rFonts w:hint="eastAsia" w:ascii="Times New Roman" w:hAnsi="Times New Roman" w:eastAsia="方正仿宋_GBK" w:cs="Times New Roman"/>
          <w:b w:val="0"/>
          <w:bCs w:val="0"/>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同心县2021年老旧小区改造配套基础设施建设项目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同心县教育局</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490.00.万元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sz w:val="21"/>
                <w:szCs w:val="21"/>
                <w:u w:val="none"/>
                <w:lang w:val="en-US" w:eastAsia="zh-CN"/>
              </w:rPr>
              <w:t>完善小区功能、创建舒适的居住环境，使安置区居民的居住条件和生活品质得到提升。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一标段项目完成率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二标段项目完成率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三标段项目完成率</w:t>
            </w:r>
          </w:p>
        </w:tc>
        <w:tc>
          <w:tcPr>
            <w:tcW w:w="120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有效改善居民居住环境</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长效管理机制健全性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≥95%</w:t>
            </w:r>
          </w:p>
        </w:tc>
      </w:tr>
      <w:bookmarkEnd w:id="83"/>
      <w:bookmarkEnd w:id="84"/>
      <w:bookmarkEnd w:id="85"/>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86" w:name="_Toc27311"/>
      <w:bookmarkStart w:id="87" w:name="_Toc2876"/>
      <w:bookmarkStart w:id="88" w:name="_Toc12031"/>
      <w:r>
        <w:rPr>
          <w:rFonts w:hint="eastAsia" w:asciiTheme="majorEastAsia" w:hAnsiTheme="majorEastAsia" w:eastAsiaTheme="majorEastAsia" w:cstheme="majorEastAsia"/>
          <w:b/>
          <w:bCs/>
          <w:sz w:val="30"/>
          <w:szCs w:val="30"/>
          <w:lang w:val="en-US" w:eastAsia="zh-CN"/>
        </w:rPr>
        <w:t>四、绩效评价工作开展情况</w:t>
      </w:r>
      <w:bookmarkEnd w:id="86"/>
      <w:bookmarkEnd w:id="87"/>
      <w:bookmarkEnd w:id="88"/>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9" w:name="_Toc30230"/>
      <w:bookmarkStart w:id="90" w:name="_Toc23289"/>
      <w:bookmarkStart w:id="91" w:name="_Toc13410"/>
      <w:r>
        <w:rPr>
          <w:rFonts w:hint="eastAsia" w:ascii="方正楷体_GBK" w:hAnsi="方正楷体_GBK" w:eastAsia="方正楷体_GBK" w:cs="方正楷体_GBK"/>
          <w:b/>
          <w:bCs/>
          <w:sz w:val="30"/>
          <w:szCs w:val="30"/>
          <w:lang w:val="en-US" w:eastAsia="zh-CN"/>
        </w:rPr>
        <w:t>（一）绩效评价目的</w:t>
      </w:r>
      <w:bookmarkEnd w:id="89"/>
      <w:bookmarkEnd w:id="90"/>
      <w:bookmarkEnd w:id="91"/>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2" w:name="_Toc21633"/>
      <w:r>
        <w:rPr>
          <w:rFonts w:hint="eastAsia" w:ascii="方正楷体_GBK" w:hAnsi="方正楷体_GBK" w:eastAsia="方正楷体_GBK" w:cs="方正楷体_GBK"/>
          <w:b/>
          <w:bCs/>
          <w:sz w:val="30"/>
          <w:szCs w:val="30"/>
          <w:lang w:val="en-US" w:eastAsia="zh-CN"/>
        </w:rPr>
        <w:t>（二）绩效评价对象</w:t>
      </w:r>
      <w:bookmarkEnd w:id="92"/>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同心县2021年老旧小区改造配套基础设施建设项目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3" w:name="_Toc26348"/>
      <w:bookmarkStart w:id="94" w:name="_Toc4083"/>
      <w:bookmarkStart w:id="95" w:name="_Toc22702"/>
      <w:r>
        <w:rPr>
          <w:rFonts w:hint="eastAsia" w:ascii="方正楷体_GBK" w:hAnsi="方正楷体_GBK" w:eastAsia="方正楷体_GBK" w:cs="方正楷体_GBK"/>
          <w:b/>
          <w:bCs/>
          <w:sz w:val="30"/>
          <w:szCs w:val="30"/>
          <w:lang w:val="en-US" w:eastAsia="zh-CN"/>
        </w:rPr>
        <w:t>（三）评价依据</w:t>
      </w:r>
      <w:bookmarkEnd w:id="93"/>
      <w:bookmarkEnd w:id="94"/>
      <w:bookmarkEnd w:id="95"/>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9.</w:t>
      </w:r>
      <w:r>
        <w:rPr>
          <w:rFonts w:hint="eastAsia" w:ascii="Times New Roman" w:hAnsi="Times New Roman" w:eastAsia="方正仿宋_GB2312" w:cs="Times New Roman"/>
          <w:kern w:val="2"/>
          <w:sz w:val="30"/>
          <w:szCs w:val="30"/>
          <w:lang w:val="en-US" w:eastAsia="zh-CN" w:bidi="ar-SA"/>
        </w:rPr>
        <w:t>《关于同心县2021 年老旧小区改造配套基础设施建设项目（给水、排水、供暖管道更新）初步设计的批复》</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同发改委</w:t>
      </w:r>
      <w:r>
        <w:rPr>
          <w:rFonts w:hint="default" w:ascii="Times New Roman" w:hAnsi="Times New Roman" w:eastAsia="方正仿宋_GBK" w:cs="Times New Roman"/>
          <w:kern w:val="2"/>
          <w:sz w:val="30"/>
          <w:szCs w:val="30"/>
          <w:lang w:val="en-US" w:eastAsia="zh-CN" w:bidi="ar-SA"/>
        </w:rPr>
        <w:t>〔202</w:t>
      </w:r>
      <w:r>
        <w:rPr>
          <w:rFonts w:hint="eastAsia" w:ascii="Times New Roman" w:hAnsi="Times New Roman" w:eastAsia="方正仿宋_GBK" w:cs="Times New Roman"/>
          <w:kern w:val="2"/>
          <w:sz w:val="30"/>
          <w:szCs w:val="30"/>
          <w:lang w:val="en-US" w:eastAsia="zh-CN" w:bidi="ar-SA"/>
        </w:rPr>
        <w:t>2</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135</w:t>
      </w:r>
      <w:r>
        <w:rPr>
          <w:rFonts w:hint="default" w:ascii="Times New Roman" w:hAnsi="Times New Roman" w:eastAsia="方正仿宋_GBK" w:cs="Times New Roman"/>
          <w:kern w:val="2"/>
          <w:sz w:val="30"/>
          <w:szCs w:val="30"/>
          <w:lang w:val="en-US" w:eastAsia="zh-CN" w:bidi="ar-SA"/>
        </w:rPr>
        <w:t>号）</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96" w:name="_Toc12022"/>
      <w:bookmarkStart w:id="97" w:name="_Toc22532"/>
      <w:r>
        <w:rPr>
          <w:rFonts w:hint="eastAsia" w:ascii="Times New Roman" w:hAnsi="Times New Roman" w:eastAsia="方正仿宋_GBK" w:cs="Times New Roman"/>
          <w:color w:val="auto"/>
          <w:kern w:val="2"/>
          <w:sz w:val="30"/>
          <w:szCs w:val="30"/>
          <w:highlight w:val="none"/>
          <w:lang w:val="en-US" w:eastAsia="zh-CN" w:bidi="ar-SA"/>
        </w:rPr>
        <w:t>10.《同心县2021年老旧小区改造配套基础设施建设项目（给水、排水、供暖管道更新）社会稳定风险分析信息公示》</w:t>
      </w:r>
      <w:bookmarkEnd w:id="96"/>
      <w:bookmarkEnd w:id="97"/>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11.相关行业政策、行业标准及专业技术规范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12.项目单位反映项目管理的有关资料，项目安排计划、资金拨付支出相关文件和凭证资料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8" w:name="_Toc18856"/>
      <w:bookmarkStart w:id="99" w:name="_Toc17802"/>
      <w:bookmarkStart w:id="100" w:name="_Toc8570"/>
      <w:r>
        <w:rPr>
          <w:rFonts w:hint="eastAsia" w:ascii="方正楷体_GBK" w:hAnsi="方正楷体_GBK" w:eastAsia="方正楷体_GBK" w:cs="方正楷体_GBK"/>
          <w:b/>
          <w:bCs/>
          <w:sz w:val="30"/>
          <w:szCs w:val="30"/>
          <w:lang w:val="en-US" w:eastAsia="zh-CN"/>
        </w:rPr>
        <w:t>（四）评价原则</w:t>
      </w:r>
      <w:bookmarkEnd w:id="98"/>
      <w:bookmarkEnd w:id="99"/>
      <w:bookmarkEnd w:id="100"/>
    </w:p>
    <w:p>
      <w:pPr>
        <w:rPr>
          <w:rFonts w:hint="default" w:ascii="Times New Roman" w:hAnsi="Times New Roman" w:eastAsia="方正仿宋_GBK" w:cs="Times New Roman"/>
          <w:b w:val="0"/>
          <w:bCs w:val="0"/>
          <w:kern w:val="0"/>
          <w:sz w:val="30"/>
          <w:szCs w:val="30"/>
          <w:lang w:val="en-US" w:eastAsia="zh-CN" w:bidi="zh-CN"/>
        </w:rPr>
      </w:pPr>
      <w:bookmarkStart w:id="101" w:name="_Toc14020"/>
      <w:bookmarkStart w:id="102" w:name="_Toc23108"/>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遵循</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同心县老旧小区改造规划方案暨五年实施方案</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规定，按照《财政部关于委托第三方机构参与预算绩效管理的指导意见》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103" w:name="_Toc11303"/>
      <w:r>
        <w:rPr>
          <w:rFonts w:hint="eastAsia" w:ascii="方正楷体_GBK" w:hAnsi="方正楷体_GBK" w:eastAsia="方正楷体_GBK" w:cs="方正楷体_GBK"/>
          <w:b/>
          <w:bCs/>
          <w:sz w:val="30"/>
          <w:szCs w:val="30"/>
          <w:lang w:val="en-US" w:eastAsia="zh-CN"/>
        </w:rPr>
        <w:t>（五）评价标准</w:t>
      </w:r>
      <w:bookmarkEnd w:id="103"/>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104" w:name="_Toc3027"/>
      <w:bookmarkStart w:id="105" w:name="_Toc19737"/>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104"/>
      <w:bookmarkEnd w:id="105"/>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rPr>
      </w:pPr>
      <w:bookmarkStart w:id="106" w:name="_Toc3842"/>
      <w:r>
        <w:rPr>
          <w:rFonts w:hint="eastAsia" w:ascii="方正楷体_GBK" w:hAnsi="方正楷体_GBK" w:eastAsia="方正楷体_GBK" w:cs="方正楷体_GBK"/>
          <w:color w:val="auto"/>
          <w:sz w:val="30"/>
          <w:szCs w:val="30"/>
        </w:rPr>
        <w:t>（</w:t>
      </w:r>
      <w:r>
        <w:rPr>
          <w:rFonts w:hint="eastAsia" w:ascii="方正楷体_GBK" w:hAnsi="方正楷体_GBK" w:eastAsia="方正楷体_GBK" w:cs="方正楷体_GBK"/>
          <w:color w:val="auto"/>
          <w:sz w:val="30"/>
          <w:szCs w:val="30"/>
          <w:lang w:eastAsia="zh-CN"/>
        </w:rPr>
        <w:t>六</w:t>
      </w:r>
      <w:r>
        <w:rPr>
          <w:rFonts w:hint="eastAsia" w:ascii="方正楷体_GBK" w:hAnsi="方正楷体_GBK" w:eastAsia="方正楷体_GBK" w:cs="方正楷体_GBK"/>
          <w:color w:val="auto"/>
          <w:sz w:val="30"/>
          <w:szCs w:val="30"/>
        </w:rPr>
        <w:t>）评价指标体系</w:t>
      </w:r>
      <w:bookmarkEnd w:id="101"/>
      <w:bookmarkEnd w:id="102"/>
      <w:bookmarkEnd w:id="106"/>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bookmarkStart w:id="107" w:name="_Toc31420"/>
      <w:bookmarkStart w:id="108" w:name="_Toc3585"/>
      <w:r>
        <w:rPr>
          <w:rFonts w:hint="eastAsia" w:ascii="Times New Roman" w:hAnsi="Times New Roman" w:eastAsia="方正仿宋_GBK" w:cs="Times New Roman"/>
          <w:b w:val="0"/>
          <w:bCs w:val="0"/>
          <w:kern w:val="0"/>
          <w:sz w:val="30"/>
          <w:szCs w:val="30"/>
          <w:lang w:val="en-US" w:eastAsia="zh-CN" w:bidi="zh-CN"/>
        </w:rPr>
        <w:t>同心县2021年老旧小区改造配套基础设施建设项目根据《项目支出绩效评价管理办法》（财预〔2020〕10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个一级指标构成，同时对应分解并设置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效益类指标包括项目社会效益、可持续影响和满意度3个二级指标，同时对应分解并选择设置红色旅游产业发展、增强红色教育、机制维护健全性和受益对象满意度4个三级指标进行考察评判。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9" w:name="_Toc13700"/>
      <w:bookmarkStart w:id="110" w:name="_Toc14289"/>
      <w:bookmarkStart w:id="111" w:name="_Toc3290"/>
      <w:bookmarkStart w:id="112" w:name="_Toc11592"/>
      <w:bookmarkStart w:id="113" w:name="_Toc18428"/>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9"/>
      <w:bookmarkEnd w:id="110"/>
      <w:bookmarkEnd w:id="111"/>
      <w:bookmarkEnd w:id="112"/>
      <w:bookmarkEnd w:id="113"/>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90</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含</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80</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含</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60</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含</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14" w:name="_Toc7042"/>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107"/>
      <w:bookmarkEnd w:id="108"/>
      <w:bookmarkEnd w:id="114"/>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15" w:name="_Toc10922"/>
      <w:bookmarkStart w:id="116" w:name="_Toc13959"/>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15"/>
      <w:bookmarkEnd w:id="116"/>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val="0"/>
          <w:color w:val="auto"/>
          <w:kern w:val="2"/>
          <w:sz w:val="30"/>
          <w:szCs w:val="30"/>
          <w:highlight w:val="none"/>
          <w:lang w:val="en-US" w:eastAsia="zh-CN" w:bidi="ar-SA"/>
        </w:rPr>
      </w:pPr>
      <w:bookmarkStart w:id="117" w:name="_Toc2624"/>
      <w:bookmarkStart w:id="118" w:name="_Toc12768"/>
      <w:r>
        <w:rPr>
          <w:rFonts w:hint="default"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同心县2021年老旧小区改造配套基础设施建设项目绩效评价主要采用因素分析法、比较法、现场核查法、公众评判法进行综合评价。具体评价方法如下：</w:t>
      </w:r>
      <w:bookmarkEnd w:id="117"/>
      <w:bookmarkEnd w:id="118"/>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同心县2021年老旧小区改造配套基础设施建设项目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19" w:name="_Toc15372"/>
      <w:bookmarkStart w:id="120" w:name="_Toc14287"/>
      <w:bookmarkStart w:id="121" w:name="_Toc16012"/>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19"/>
      <w:bookmarkEnd w:id="120"/>
      <w:bookmarkEnd w:id="121"/>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楷体_GBK" w:cs="Times New Roman"/>
          <w:b w:val="0"/>
          <w:bCs/>
          <w:color w:val="auto"/>
          <w:kern w:val="2"/>
          <w:sz w:val="30"/>
          <w:szCs w:val="30"/>
          <w:lang w:val="en-US" w:eastAsia="zh-CN" w:bidi="ar-SA"/>
        </w:rPr>
        <w:t>(</w:t>
      </w:r>
      <w:r>
        <w:rPr>
          <w:rFonts w:hint="default" w:ascii="Times New Roman" w:hAnsi="Times New Roman" w:eastAsia="方正仿宋_GBK" w:cs="Times New Roman"/>
          <w:b w:val="0"/>
          <w:bCs/>
          <w:color w:val="auto"/>
          <w:kern w:val="2"/>
          <w:sz w:val="30"/>
          <w:szCs w:val="30"/>
          <w:highlight w:val="none"/>
          <w:lang w:val="en-US" w:eastAsia="zh-CN" w:bidi="ar-SA"/>
        </w:rPr>
        <w:t>1</w:t>
      </w:r>
      <w:r>
        <w:rPr>
          <w:rFonts w:hint="default" w:ascii="Times New Roman" w:hAnsi="Times New Roman" w:eastAsia="方正楷体_GBK" w:cs="Times New Roman"/>
          <w:b w:val="0"/>
          <w:bCs/>
          <w:color w:val="auto"/>
          <w:kern w:val="2"/>
          <w:sz w:val="30"/>
          <w:szCs w:val="30"/>
          <w:lang w:val="en-US" w:eastAsia="zh-CN" w:bidi="ar-SA"/>
        </w:rPr>
        <w:t>)</w:t>
      </w:r>
      <w:r>
        <w:rPr>
          <w:rFonts w:hint="eastAsia" w:ascii="Times New Roman" w:hAnsi="Times New Roman" w:eastAsia="方正仿宋_GBK" w:cs="Times New Roman"/>
          <w:b w:val="0"/>
          <w:bCs/>
          <w:color w:val="auto"/>
          <w:kern w:val="2"/>
          <w:sz w:val="30"/>
          <w:szCs w:val="30"/>
          <w:highlight w:val="none"/>
          <w:lang w:val="en-US" w:eastAsia="zh-CN" w:bidi="ar-SA"/>
        </w:rPr>
        <w:t xml:space="preserve"> </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(3) </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(1) </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22" w:name="_Toc12432"/>
      <w:bookmarkStart w:id="123" w:name="_Toc15926"/>
      <w:bookmarkStart w:id="124" w:name="_Toc23927"/>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22"/>
      <w:bookmarkEnd w:id="123"/>
      <w:bookmarkEnd w:id="124"/>
    </w:p>
    <w:p>
      <w:pPr>
        <w:pStyle w:val="4"/>
        <w:bidi w:val="0"/>
        <w:rPr>
          <w:rFonts w:hint="default"/>
          <w:lang w:val="en-US" w:eastAsia="zh-CN"/>
        </w:rPr>
      </w:pPr>
      <w:bookmarkStart w:id="125" w:name="_Toc5591"/>
      <w:r>
        <w:rPr>
          <w:rFonts w:hint="eastAsia"/>
          <w:lang w:val="en-US" w:eastAsia="zh-CN"/>
        </w:rPr>
        <w:t>（一）项目完成情况</w:t>
      </w:r>
      <w:bookmarkEnd w:id="125"/>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同心县住房和城乡建设局的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w:t>
      </w:r>
      <w:r>
        <w:rPr>
          <w:rFonts w:hint="eastAsia" w:ascii="Times New Roman" w:hAnsi="Times New Roman" w:eastAsia="方正仿宋_GBK" w:cs="Times New Roman"/>
          <w:b/>
          <w:bCs/>
          <w:color w:val="auto"/>
          <w:kern w:val="2"/>
          <w:sz w:val="30"/>
          <w:szCs w:val="30"/>
          <w:highlight w:val="none"/>
          <w:lang w:val="en-US" w:eastAsia="zh-CN" w:bidi="ar-SA"/>
        </w:rPr>
        <w:t>专项资金</w:t>
      </w:r>
      <w:r>
        <w:rPr>
          <w:rFonts w:hint="default" w:ascii="Times New Roman" w:hAnsi="Times New Roman" w:eastAsia="方正仿宋_GBK" w:cs="Times New Roman"/>
          <w:b/>
          <w:bCs/>
          <w:color w:val="auto"/>
          <w:kern w:val="2"/>
          <w:sz w:val="30"/>
          <w:szCs w:val="30"/>
          <w:highlight w:val="none"/>
          <w:lang w:val="en-US" w:eastAsia="zh-CN" w:bidi="ar-SA"/>
        </w:rPr>
        <w:t>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能够对债券资金项目使用、执行和绩效进行穿透式管理，资金投向合规、资金管理严格，风险防范有效，确保资金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490.00.00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490.00.00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490.00.00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同心县2021年老旧小区改造配套基础设施建设项目，严格落实“项目四制”。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度，建设工程的勘察设计、施工、设备材料采购和工程监理等要依法订立合同，并明确安全质量要求以及违约责任等。经工程验收质量合格，工程建设投资成本合理控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spacing w:val="1"/>
          <w:sz w:val="30"/>
          <w:szCs w:val="30"/>
          <w:lang w:val="en-US" w:eastAsia="zh-CN"/>
        </w:rPr>
        <w:t>本次改造使安置区居民的生活环境和人居环境舒适度普遍提高，并极大提高了居住社区的和谐程度。从完成改造情况看，达到了整洁干净、亮化美化的要求，较好地融入了现代化城市格局，不仅增强了城市的吸引力和辐射力，实现了物业的保值增值，而且也为展示城市形象锦上添花，居民普遍反映良好</w:t>
      </w:r>
      <w:r>
        <w:rPr>
          <w:rFonts w:hint="eastAsia" w:ascii="Times New Roman" w:hAnsi="Times New Roman" w:eastAsia="方正仿宋_GBK" w:cs="Times New Roman"/>
          <w:b w:val="0"/>
          <w:bCs w:val="0"/>
          <w:color w:val="auto"/>
          <w:kern w:val="2"/>
          <w:sz w:val="30"/>
          <w:szCs w:val="30"/>
          <w:highlight w:val="none"/>
          <w:lang w:val="en-US" w:eastAsia="zh-CN" w:bidi="ar-SA"/>
        </w:rPr>
        <w:t>。经对项目实施地开展满意度问卷调查，整体满意度为95%。</w:t>
      </w:r>
    </w:p>
    <w:p>
      <w:pPr>
        <w:pStyle w:val="4"/>
        <w:bidi w:val="0"/>
        <w:rPr>
          <w:rFonts w:hint="default"/>
          <w:lang w:val="en-US" w:eastAsia="zh-CN"/>
        </w:rPr>
      </w:pPr>
      <w:bookmarkStart w:id="126" w:name="_Toc27068"/>
      <w:r>
        <w:rPr>
          <w:rFonts w:hint="eastAsia"/>
          <w:lang w:val="en-US" w:eastAsia="zh-CN"/>
        </w:rPr>
        <w:t>（二）评价结论</w:t>
      </w:r>
      <w:bookmarkEnd w:id="126"/>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同心县2021年老旧小区改造配套基础设施建设项目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实施内容符合国家、自治区及</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同心县专项</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资金支持范围，项目管理规范，项目资金拨付及时，资金到位率为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项目实施单位资金支出较规范</w:t>
      </w:r>
      <w:r>
        <w:rPr>
          <w:rFonts w:hint="eastAsia" w:ascii="Times New Roman" w:hAnsi="Times New Roman" w:eastAsia="方正仿宋_GBK" w:cs="Times New Roman"/>
          <w:spacing w:val="0"/>
          <w:kern w:val="0"/>
          <w:sz w:val="30"/>
          <w:szCs w:val="30"/>
          <w:lang w:bidi="zh-CN"/>
        </w:rPr>
        <w:t>，资金的拨付经单位主管领导、财政局业务科室、国库支付中心审批，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7" w:name="_Toc14682"/>
      <w:bookmarkStart w:id="128" w:name="_Toc9214"/>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 87.00”分，评定等级为“良”。</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13.00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26.00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auto"/>
                <w:sz w:val="22"/>
                <w:szCs w:val="22"/>
                <w:u w:val="none"/>
                <w:lang w:val="en-US"/>
              </w:rPr>
            </w:pPr>
            <w:r>
              <w:rPr>
                <w:rFonts w:hint="eastAsia" w:ascii="Times New Roman" w:hAnsi="Times New Roman" w:eastAsia="方正仿宋_GBK" w:cs="Times New Roman"/>
                <w:i w:val="0"/>
                <w:iCs w:val="0"/>
                <w:color w:val="auto"/>
                <w:kern w:val="0"/>
                <w:sz w:val="22"/>
                <w:szCs w:val="22"/>
                <w:u w:val="none"/>
                <w:lang w:val="en-US" w:eastAsia="zh-CN" w:bidi="ar"/>
              </w:rPr>
              <w:t>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65.00%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87.00%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29" w:name="_Toc460"/>
      <w:r>
        <w:rPr>
          <w:rFonts w:hint="eastAsia" w:asciiTheme="majorEastAsia" w:hAnsiTheme="majorEastAsia" w:eastAsiaTheme="majorEastAsia" w:cstheme="majorEastAsia"/>
          <w:b/>
          <w:bCs/>
          <w:sz w:val="32"/>
          <w:szCs w:val="32"/>
          <w:lang w:val="en-US" w:eastAsia="zh-CN"/>
        </w:rPr>
        <w:t>六、绩效评价指标分析</w:t>
      </w:r>
      <w:bookmarkEnd w:id="127"/>
      <w:bookmarkEnd w:id="128"/>
      <w:bookmarkEnd w:id="129"/>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30" w:name="_Toc10789"/>
      <w:bookmarkStart w:id="131" w:name="_Toc13089"/>
      <w:bookmarkStart w:id="132" w:name="_Toc24975"/>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30"/>
      <w:bookmarkEnd w:id="131"/>
      <w:r>
        <w:rPr>
          <w:rFonts w:hint="eastAsia" w:ascii="方正楷体_GBK" w:hAnsi="方正楷体_GBK" w:eastAsia="方正楷体_GBK" w:cs="方正楷体_GBK"/>
          <w:b/>
          <w:bCs w:val="0"/>
          <w:color w:val="auto"/>
          <w:sz w:val="30"/>
          <w:szCs w:val="30"/>
          <w:lang w:eastAsia="zh-CN"/>
        </w:rPr>
        <w:t>分析</w:t>
      </w:r>
      <w:bookmarkEnd w:id="132"/>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分，扣7.00 分，评价得分13.00 分，得分率为65.00%。具体评价指标分析如下：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keepNext w:val="0"/>
        <w:keepLines w:val="0"/>
        <w:pageBreakBefore w:val="0"/>
        <w:widowControl/>
        <w:suppressLineNumbers w:val="0"/>
        <w:kinsoku/>
        <w:wordWrap/>
        <w:overflowPunct w:val="0"/>
        <w:topLinePunct w:val="0"/>
        <w:autoSpaceDE/>
        <w:autoSpaceDN/>
        <w:bidi w:val="0"/>
        <w:adjustRightInd/>
        <w:snapToGrid/>
        <w:jc w:val="left"/>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2019年起，我县把城镇老旧小区改造连续五年写入政府工作报告，依据《同心县老旧小区改造规划方案暨五年实施方案》，从“供水、排水、防涝、供热、停车、出行”等困扰小区居民的急、难、愁、盼问题入手。</w:t>
      </w:r>
    </w:p>
    <w:p>
      <w:pPr>
        <w:keepNext w:val="0"/>
        <w:keepLines w:val="0"/>
        <w:widowControl/>
        <w:suppressLineNumbers w:val="0"/>
        <w:jc w:val="left"/>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2021年1月21日，同心县发展和改革局印发了《关于同心县2021 年老旧小区改造配套基础设施建设项目（给水、排水、供暖管道更新）初步设计的批复》（同发改委〔2022〕135号）批复同心县2021年老旧小区改造配套基础设施建设项目立项，同心县教育局制定了《同心县2021年老旧小区改造配套基础设施建设项目建设方案》，用以规范项目的具体实施。</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right="0" w:firstLine="596" w:firstLineChars="200"/>
        <w:jc w:val="both"/>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该项目按照《同心县政府投资项目管理办法》的要求，对老旧小区给水、排水及供暖管道系统进行改造，并优化排水管网系统，保证了小区内生活污水及雨水排放顺畅，有效缓解了原来下水淤堵，雨水排不出去现象出现，减少污水的无组织排放，改善了生态环境，美化了小区环境，并优化供热管网系统，改变项目区域居民冬季饱受严寒的现状，改善了同心县城市基本设施建设，极大地改善区域内人们的生活环境，逐步提升居民的幸福感</w:t>
      </w:r>
      <w:r>
        <w:rPr>
          <w:rFonts w:hint="eastAsia" w:ascii="Times New Roman" w:hAnsi="Times New Roman" w:eastAsia="方正仿宋_GB2312" w:cs="Times New Roman"/>
          <w:kern w:val="2"/>
          <w:sz w:val="30"/>
          <w:szCs w:val="30"/>
          <w:lang w:val="en-US" w:eastAsia="zh-CN" w:bidi="ar-SA"/>
        </w:rPr>
        <w:t>。</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同心县住房和城乡建设局职责相符，项目立项符合同心县义务教育发展的要求，项目建设对于解决同心县城市学校大班额突出的问题，加快推进同心县义务教育阶段优质教育均衡发展和城乡一体化具有重大而现实的意义；项目立项属于中央和自治区义务教育薄弱环节改善与能力提升工作项目建设专项资金支持范围。</w:t>
      </w:r>
      <w:r>
        <w:rPr>
          <w:rFonts w:hint="default" w:ascii="Times New Roman" w:hAnsi="Times New Roman" w:eastAsia="仿宋" w:cs="Times New Roman"/>
          <w:color w:val="000000"/>
          <w:kern w:val="0"/>
          <w:sz w:val="30"/>
          <w:szCs w:val="30"/>
          <w:lang w:val="en-US" w:eastAsia="zh-CN" w:bidi="ar"/>
        </w:rPr>
        <w:t xml:space="preserve">该指标满分 3分，根据评分标准得 </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仿宋" w:cs="Times New Roman"/>
          <w:color w:val="000000"/>
          <w:kern w:val="0"/>
          <w:sz w:val="30"/>
          <w:szCs w:val="30"/>
          <w:lang w:val="en-US" w:eastAsia="zh-CN" w:bidi="ar"/>
        </w:rPr>
        <w:t>该项目按照规定的程序审批，立项程序规范，同心县发展和改革局下发了</w:t>
      </w:r>
      <w:r>
        <w:rPr>
          <w:rFonts w:hint="eastAsia" w:ascii="Times New Roman" w:hAnsi="Times New Roman" w:eastAsia="方正仿宋_GB2312" w:cs="Times New Roman"/>
          <w:kern w:val="2"/>
          <w:sz w:val="30"/>
          <w:szCs w:val="30"/>
          <w:lang w:val="en-US" w:eastAsia="zh-CN" w:bidi="ar-SA"/>
        </w:rPr>
        <w:t>同心县发展和改革局印发了《关于同心县2021 年老旧小区改造配套基础设施建设项目（给水、排水、供暖管道更新）初步设计的批复》（同发改委〔2022〕135号）</w:t>
      </w:r>
      <w:r>
        <w:rPr>
          <w:rFonts w:hint="default" w:ascii="Times New Roman" w:hAnsi="Times New Roman" w:eastAsia="仿宋" w:cs="Times New Roman"/>
          <w:color w:val="000000"/>
          <w:kern w:val="0"/>
          <w:sz w:val="30"/>
          <w:szCs w:val="30"/>
          <w:lang w:val="en-US" w:eastAsia="zh-CN" w:bidi="ar"/>
        </w:rPr>
        <w:t>，所提交的文件、材料符合相关要求，事前已经过必要的可行性研究等。该指标满分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keepNext w:val="0"/>
        <w:keepLines w:val="0"/>
        <w:widowControl/>
        <w:suppressLineNumbers w:val="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未能根据</w:t>
      </w:r>
      <w:r>
        <w:rPr>
          <w:rFonts w:hint="default" w:ascii="仿宋" w:hAnsi="仿宋" w:eastAsia="仿宋" w:cs="仿宋"/>
          <w:color w:val="000000"/>
          <w:kern w:val="0"/>
          <w:sz w:val="30"/>
          <w:szCs w:val="30"/>
          <w:lang w:val="en-US" w:eastAsia="zh-CN" w:bidi="ar"/>
        </w:rPr>
        <w:t>《项目支出绩效评价管理办法》（财预〔2020〕10号）、《自治区党委 人民政府关于全面实施预算绩效管理的实施意见》（宁党发〔2019〕9号）</w:t>
      </w:r>
      <w:r>
        <w:rPr>
          <w:rFonts w:hint="eastAsia" w:ascii="仿宋" w:hAnsi="仿宋" w:eastAsia="仿宋" w:cs="仿宋"/>
          <w:color w:val="000000"/>
          <w:kern w:val="0"/>
          <w:sz w:val="30"/>
          <w:szCs w:val="30"/>
          <w:lang w:val="en-US" w:eastAsia="zh-CN" w:bidi="ar"/>
        </w:rPr>
        <w:t>以及</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结合项目特性，</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设定绩效目标</w:t>
      </w:r>
      <w:r>
        <w:rPr>
          <w:rFonts w:hint="default" w:ascii="仿宋" w:hAnsi="仿宋" w:eastAsia="仿宋" w:cs="仿宋"/>
          <w:color w:val="000000"/>
          <w:kern w:val="0"/>
          <w:sz w:val="30"/>
          <w:szCs w:val="30"/>
          <w:lang w:val="en-US" w:eastAsia="zh-CN" w:bidi="ar"/>
        </w:rPr>
        <w:t>，对预期产出数量的描述，缺失对预期实现效果和财政资金政策意图体</w:t>
      </w:r>
      <w:r>
        <w:rPr>
          <w:rFonts w:hint="eastAsia" w:ascii="仿宋" w:hAnsi="仿宋" w:eastAsia="仿宋" w:cs="仿宋"/>
          <w:color w:val="000000"/>
          <w:kern w:val="0"/>
          <w:sz w:val="30"/>
          <w:szCs w:val="30"/>
          <w:lang w:val="en-US" w:eastAsia="zh-CN" w:bidi="ar"/>
        </w:rPr>
        <w:t>现</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spacing w:val="-12"/>
          <w:sz w:val="30"/>
          <w:szCs w:val="30"/>
        </w:rPr>
        <w:t>该</w:t>
      </w:r>
      <w:r>
        <w:rPr>
          <w:rFonts w:hint="default" w:ascii="Times New Roman" w:hAnsi="Times New Roman" w:eastAsia="方正仿宋_GBK" w:cs="Times New Roman"/>
          <w:spacing w:val="-7"/>
          <w:sz w:val="30"/>
          <w:szCs w:val="30"/>
        </w:rPr>
        <w:t>指</w:t>
      </w:r>
      <w:r>
        <w:rPr>
          <w:rFonts w:hint="default" w:ascii="Times New Roman" w:hAnsi="Times New Roman" w:eastAsia="方正仿宋_GBK" w:cs="Times New Roman"/>
          <w:spacing w:val="-6"/>
          <w:sz w:val="30"/>
          <w:szCs w:val="30"/>
        </w:rPr>
        <w:t>标</w:t>
      </w:r>
      <w:r>
        <w:rPr>
          <w:rFonts w:hint="eastAsia" w:ascii="Times New Roman" w:hAnsi="Times New Roman" w:eastAsia="方正仿宋_GBK" w:cs="Times New Roman"/>
          <w:spacing w:val="-6"/>
          <w:sz w:val="30"/>
          <w:szCs w:val="30"/>
          <w:lang w:eastAsia="zh-CN"/>
        </w:rPr>
        <w:t>不得</w:t>
      </w:r>
      <w:r>
        <w:rPr>
          <w:rFonts w:hint="default" w:ascii="Times New Roman" w:hAnsi="Times New Roman" w:eastAsia="方正仿宋_GBK" w:cs="Times New Roman"/>
          <w:spacing w:val="-6"/>
          <w:sz w:val="30"/>
          <w:szCs w:val="30"/>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spacing w:before="0" w:line="560" w:lineRule="exact"/>
        <w:ind w:right="0"/>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实施单位评价范围内的项目尚未结合工作内容设置年度绩效目标，同时细化产出指标、效益指标、可持续影响和满意度指标。根据评分细则，</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33" w:name="_Toc5795"/>
      <w:bookmarkStart w:id="134" w:name="_Toc24800"/>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33"/>
      <w:bookmarkEnd w:id="134"/>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根据具体项目建设实施内容与规模、经济技术指标和相关定额标准及规范要求，经对投资概算进行测算后，结合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auto"/>
          <w:kern w:val="2"/>
          <w:sz w:val="30"/>
          <w:szCs w:val="30"/>
          <w:highlight w:val="none"/>
          <w:lang w:val="en-US" w:eastAsia="zh-CN" w:bidi="ar-SA"/>
        </w:rPr>
        <w:t>根据《中共同心县委常务会议纪要》（十四届〔2021〕3 号）、</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人大常委会关于批准同心县本级财政2022年第二批新增政府一般债券资金预算调整方案的决议</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（同人常发</w:t>
      </w:r>
      <w:r>
        <w:rPr>
          <w:rFonts w:hint="eastAsia"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sz w:val="30"/>
          <w:szCs w:val="30"/>
          <w:lang w:val="en-US" w:eastAsia="zh-CN"/>
        </w:rPr>
        <w:t>24</w:t>
      </w:r>
      <w:r>
        <w:rPr>
          <w:rFonts w:hint="default" w:ascii="Times New Roman" w:hAnsi="Times New Roman" w:eastAsia="方正仿宋_GBK" w:cs="Times New Roman"/>
          <w:sz w:val="30"/>
          <w:szCs w:val="30"/>
          <w:lang w:val="en-US" w:eastAsia="zh-CN"/>
        </w:rPr>
        <w:t>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《关于同心县本级财政 2022 年第二批新增政府一般债券资金预算调整方案的报告</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关于同心县本级财政 2022 年第二批新增政府</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股债券资金预算调整方案</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草案</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的报告</w:t>
      </w:r>
      <w:r>
        <w:rPr>
          <w:rFonts w:hint="eastAsia" w:ascii="Times New Roman" w:hAnsi="Times New Roman" w:eastAsia="方正仿宋_GBK" w:cs="Times New Roman"/>
          <w:color w:val="auto"/>
          <w:kern w:val="2"/>
          <w:sz w:val="30"/>
          <w:szCs w:val="30"/>
          <w:highlight w:val="none"/>
          <w:lang w:val="en-US" w:eastAsia="zh-CN" w:bidi="ar-SA"/>
        </w:rPr>
        <w:t>》并结合项目实际的要求，同心县财政局对重点项目资金进行管理和分配，并对项目实施和资金使用情况进行监督检查。</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5" w:name="_Toc982"/>
      <w:r>
        <w:rPr>
          <w:rFonts w:hint="eastAsia" w:ascii="方正楷体_GBK" w:hAnsi="方正楷体_GBK" w:eastAsia="方正楷体_GBK" w:cs="方正楷体_GBK"/>
          <w:sz w:val="30"/>
          <w:szCs w:val="30"/>
          <w:lang w:val="en-US" w:eastAsia="zh-CN"/>
        </w:rPr>
        <w:t>（二）项目过程</w:t>
      </w:r>
      <w:bookmarkEnd w:id="135"/>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本项指标共设2个二级指标、5个三级指标，权重分值20分，评价得分20分，得分率为 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，同心县2021年老旧小区改造配套基础设施建设项目预算安排中央资金490.00.00万元，实际到位资金490.00.00万元，资金到位率为100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项目绩效评价涉及预算资金为490.00.00万元，经绩效评价小组对各预算单位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，截止评价前，预算执行金额为：490.00.00万元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jc w:val="both"/>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suppressLineNumbers w:val="0"/>
        <w:kinsoku/>
        <w:wordWrap/>
        <w:topLinePunct w:val="0"/>
        <w:autoSpaceDE/>
        <w:autoSpaceDN/>
        <w:bidi w:val="0"/>
        <w:adjustRightInd/>
        <w:snapToGrid/>
        <w:jc w:val="both"/>
        <w:rPr>
          <w:rFonts w:hint="eastAsia" w:ascii="Times New Roman" w:hAnsi="Times New Roman" w:eastAsia="方正仿宋_GBK" w:cs="Times New Roman"/>
          <w:spacing w:val="0"/>
          <w:kern w:val="0"/>
          <w:sz w:val="30"/>
          <w:szCs w:val="30"/>
          <w:lang w:val="en-US" w:bidi="zh-CN"/>
        </w:rPr>
      </w:pPr>
      <w:r>
        <w:rPr>
          <w:rFonts w:hint="eastAsia" w:ascii="Times New Roman" w:hAnsi="Times New Roman" w:eastAsia="方正仿宋_GBK" w:cs="Times New Roman"/>
          <w:spacing w:val="0"/>
          <w:kern w:val="0"/>
          <w:sz w:val="30"/>
          <w:szCs w:val="30"/>
          <w:lang w:val="en-US" w:bidi="zh-CN"/>
        </w:rPr>
        <w:t>同心县住房和城乡建设局结合自身工作及业务实际，建立健全了各项规章制度先后组织制定、修订了包括《单位层级内部控制制度》《预算管理内部控制制度》《收支管理内部控制制度》《政府采购管理内部控制制度》《资产管理内部控制制度》《建设项目管理内部控制制度》《合同管理内部控制制度》等含工作规范、业务管理、资产管理、后勤保障管理、党风廉政建设方面的内控管理制度，将内控制度贯穿到各项经济活动中，制度设计较为完善，并基本得到了执行。</w:t>
      </w:r>
    </w:p>
    <w:p>
      <w:pPr>
        <w:keepNext w:val="0"/>
        <w:keepLines w:val="0"/>
        <w:pageBreakBefore w:val="0"/>
        <w:widowControl/>
        <w:suppressLineNumbers w:val="0"/>
        <w:kinsoku/>
        <w:wordWrap/>
        <w:topLinePunct w:val="0"/>
        <w:autoSpaceDE/>
        <w:autoSpaceDN/>
        <w:bidi w:val="0"/>
        <w:adjustRightInd/>
        <w:snapToGrid/>
        <w:jc w:val="both"/>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在人员岗位上实行不相容职务相分离原则，对“三重一大”事项通过支委会、党组会集决策、设置资金支付审批流程及权限，对各类资金支付实行会签制度，有效防御资金使用风险。实现各项工作有章可循、有文可依，形成了责任明确、管理规范、运行有序的管理工作体系。</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 xml:space="preserve">根据评分标准得 </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 xml:space="preserve"> 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实施单位在项目的实施过程中支出管理、预算管理遵守相关法律法规、相关管理规定和财务管理制度；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 xml:space="preserve">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6" w:name="_Toc551"/>
      <w:bookmarkStart w:id="137" w:name="_Toc1945"/>
      <w:bookmarkStart w:id="138" w:name="_Toc18498"/>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6"/>
      <w:bookmarkEnd w:id="137"/>
      <w:bookmarkEnd w:id="138"/>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本项指标共设2个二级指标、5个三级指标，权重分值34分，评价得分28分，得分率为82.35%。具体评价指标分析如下：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截至目前，均已完成</w:t>
      </w:r>
      <w:r>
        <w:rPr>
          <w:rFonts w:hint="default" w:ascii="Times New Roman" w:hAnsi="Times New Roman" w:eastAsia="方正仿宋_GBK" w:cs="Times New Roman"/>
          <w:spacing w:val="0"/>
          <w:kern w:val="0"/>
          <w:sz w:val="30"/>
          <w:szCs w:val="30"/>
          <w:lang w:val="en-US" w:eastAsia="zh-CN" w:bidi="zh-CN"/>
        </w:rPr>
        <w:t>给排水工程</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暖通工程</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电气工程</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建筑工程</w:t>
      </w:r>
      <w:r>
        <w:rPr>
          <w:rFonts w:hint="eastAsia" w:ascii="Times New Roman" w:hAnsi="Times New Roman" w:eastAsia="方正仿宋_GBK" w:cs="Times New Roman"/>
          <w:spacing w:val="0"/>
          <w:kern w:val="0"/>
          <w:sz w:val="30"/>
          <w:szCs w:val="30"/>
          <w:lang w:val="en-US" w:eastAsia="zh-CN" w:bidi="zh-CN"/>
        </w:rPr>
        <w:t>等全部既定内容，完成率100%。</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9" w:name="_Toc13258"/>
      <w:bookmarkStart w:id="140" w:name="_Toc13818"/>
      <w:bookmarkStart w:id="141" w:name="_Toc4341"/>
      <w:bookmarkStart w:id="142" w:name="_Toc25249"/>
      <w:r>
        <w:rPr>
          <w:rFonts w:hint="default" w:ascii="Times New Roman" w:hAnsi="Times New Roman" w:cs="Times New Roman"/>
          <w:lang w:val="en-US" w:eastAsia="zh-CN"/>
        </w:rPr>
        <w:t>（1）资金到位及时率</w:t>
      </w:r>
      <w:bookmarkEnd w:id="139"/>
      <w:bookmarkEnd w:id="140"/>
      <w:bookmarkEnd w:id="141"/>
      <w:bookmarkEnd w:id="142"/>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通过对项目资金使用计划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3" w:name="_Toc2959"/>
      <w:bookmarkStart w:id="144" w:name="_Toc21408"/>
      <w:bookmarkStart w:id="145" w:name="_Toc19549"/>
      <w:bookmarkStart w:id="146" w:name="_Toc12939"/>
      <w:r>
        <w:rPr>
          <w:rFonts w:hint="default" w:ascii="Times New Roman" w:hAnsi="Times New Roman" w:cs="Times New Roman"/>
          <w:lang w:val="en-US" w:eastAsia="zh-CN"/>
        </w:rPr>
        <w:t>（</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开工完工</w:t>
      </w:r>
      <w:r>
        <w:rPr>
          <w:rFonts w:hint="default" w:ascii="Times New Roman" w:hAnsi="Times New Roman" w:cs="Times New Roman"/>
          <w:lang w:val="en-US" w:eastAsia="zh-CN"/>
        </w:rPr>
        <w:t>及时率</w:t>
      </w:r>
      <w:bookmarkEnd w:id="143"/>
      <w:bookmarkEnd w:id="144"/>
      <w:bookmarkEnd w:id="145"/>
      <w:bookmarkEnd w:id="146"/>
    </w:p>
    <w:p>
      <w:pPr>
        <w:keepNext w:val="0"/>
        <w:keepLines w:val="0"/>
        <w:widowControl/>
        <w:suppressLineNumbers w:val="0"/>
        <w:jc w:val="left"/>
        <w:rPr>
          <w:rFonts w:hint="default" w:ascii="Times New Roman" w:hAnsi="Times New Roman" w:eastAsia="方正仿宋_GBK" w:cs="Times New Roman"/>
          <w:color w:val="auto"/>
          <w:spacing w:val="0"/>
          <w:kern w:val="0"/>
          <w:sz w:val="30"/>
          <w:szCs w:val="30"/>
          <w:lang w:val="en-US" w:eastAsia="zh-CN" w:bidi="zh-CN"/>
        </w:rPr>
      </w:pPr>
      <w:r>
        <w:rPr>
          <w:rFonts w:hint="default" w:ascii="Times New Roman" w:hAnsi="Times New Roman" w:eastAsia="方正仿宋_GBK" w:cs="Times New Roman"/>
          <w:color w:val="auto"/>
          <w:spacing w:val="0"/>
          <w:kern w:val="0"/>
          <w:sz w:val="30"/>
          <w:szCs w:val="30"/>
          <w:lang w:val="en-US" w:eastAsia="zh-CN" w:bidi="zh-CN"/>
        </w:rPr>
        <w:t>经现场资料审核，项目</w:t>
      </w:r>
      <w:r>
        <w:rPr>
          <w:rFonts w:hint="eastAsia" w:ascii="Times New Roman" w:hAnsi="Times New Roman" w:eastAsia="方正仿宋_GBK" w:cs="Times New Roman"/>
          <w:color w:val="auto"/>
          <w:spacing w:val="0"/>
          <w:kern w:val="0"/>
          <w:sz w:val="30"/>
          <w:szCs w:val="30"/>
          <w:lang w:val="en-US" w:eastAsia="zh-CN" w:bidi="zh-CN"/>
        </w:rPr>
        <w:t>能够</w:t>
      </w:r>
      <w:r>
        <w:rPr>
          <w:rFonts w:hint="default" w:ascii="Times New Roman" w:hAnsi="Times New Roman" w:eastAsia="方正仿宋_GBK" w:cs="Times New Roman"/>
          <w:color w:val="auto"/>
          <w:spacing w:val="0"/>
          <w:kern w:val="0"/>
          <w:sz w:val="30"/>
          <w:szCs w:val="30"/>
          <w:lang w:val="en-US" w:eastAsia="zh-CN" w:bidi="zh-CN"/>
        </w:rPr>
        <w:t>严格按照合同</w:t>
      </w:r>
      <w:r>
        <w:rPr>
          <w:rFonts w:hint="eastAsia" w:ascii="Times New Roman" w:hAnsi="Times New Roman" w:eastAsia="方正仿宋_GBK" w:cs="Times New Roman"/>
          <w:color w:val="auto"/>
          <w:spacing w:val="0"/>
          <w:kern w:val="0"/>
          <w:sz w:val="30"/>
          <w:szCs w:val="30"/>
          <w:lang w:val="en-US" w:eastAsia="zh-CN" w:bidi="zh-CN"/>
        </w:rPr>
        <w:t>、开工报告等</w:t>
      </w:r>
      <w:r>
        <w:rPr>
          <w:rFonts w:hint="default" w:ascii="Times New Roman" w:hAnsi="Times New Roman" w:eastAsia="方正仿宋_GBK" w:cs="Times New Roman"/>
          <w:color w:val="auto"/>
          <w:spacing w:val="0"/>
          <w:kern w:val="0"/>
          <w:sz w:val="30"/>
          <w:szCs w:val="30"/>
          <w:lang w:val="en-US" w:eastAsia="zh-CN" w:bidi="zh-CN"/>
        </w:rPr>
        <w:t>约定履行工期</w:t>
      </w:r>
      <w:r>
        <w:rPr>
          <w:rFonts w:hint="eastAsia" w:ascii="Times New Roman" w:hAnsi="Times New Roman" w:eastAsia="方正仿宋_GBK" w:cs="Times New Roman"/>
          <w:color w:val="auto"/>
          <w:spacing w:val="0"/>
          <w:kern w:val="0"/>
          <w:sz w:val="30"/>
          <w:szCs w:val="30"/>
          <w:lang w:val="en-US" w:eastAsia="zh-CN" w:bidi="zh-CN"/>
        </w:rPr>
        <w:t>，整体进展良好</w:t>
      </w:r>
      <w:r>
        <w:rPr>
          <w:rFonts w:hint="default" w:ascii="Times New Roman" w:hAnsi="Times New Roman" w:eastAsia="方正仿宋_GBK" w:cs="Times New Roman"/>
          <w:color w:val="auto"/>
          <w:spacing w:val="0"/>
          <w:kern w:val="0"/>
          <w:sz w:val="30"/>
          <w:szCs w:val="30"/>
          <w:lang w:val="en-US" w:eastAsia="zh-CN" w:bidi="zh-CN"/>
        </w:rPr>
        <w:t>。该指标本项满分3分，</w:t>
      </w:r>
      <w:r>
        <w:rPr>
          <w:rFonts w:hint="default" w:ascii="Times New Roman" w:hAnsi="Times New Roman" w:eastAsia="仿宋" w:cs="Times New Roman"/>
          <w:color w:val="auto"/>
          <w:kern w:val="0"/>
          <w:sz w:val="30"/>
          <w:szCs w:val="30"/>
          <w:lang w:val="en-US" w:eastAsia="zh-CN" w:bidi="ar"/>
        </w:rPr>
        <w:t xml:space="preserve">根据评分标准得 </w:t>
      </w:r>
      <w:r>
        <w:rPr>
          <w:rFonts w:hint="eastAsia" w:ascii="Times New Roman" w:hAnsi="Times New Roman" w:cs="Times New Roman"/>
          <w:color w:val="auto"/>
          <w:kern w:val="0"/>
          <w:sz w:val="30"/>
          <w:szCs w:val="30"/>
          <w:lang w:val="en-US" w:eastAsia="zh-CN" w:bidi="ar"/>
        </w:rPr>
        <w:t>3</w:t>
      </w:r>
      <w:r>
        <w:rPr>
          <w:rFonts w:hint="default" w:ascii="Times New Roman" w:hAnsi="Times New Roman" w:eastAsia="仿宋" w:cs="Times New Roman"/>
          <w:color w:val="auto"/>
          <w:kern w:val="0"/>
          <w:sz w:val="30"/>
          <w:szCs w:val="30"/>
          <w:lang w:val="en-US" w:eastAsia="zh-CN" w:bidi="ar"/>
        </w:rPr>
        <w:t xml:space="preserve"> 分</w:t>
      </w:r>
      <w:r>
        <w:rPr>
          <w:rFonts w:hint="default" w:ascii="Times New Roman" w:hAnsi="Times New Roman" w:eastAsia="方正仿宋_GBK" w:cs="Times New Roman"/>
          <w:color w:val="auto"/>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7" w:name="_Toc30038"/>
      <w:bookmarkStart w:id="148" w:name="_Toc4766"/>
      <w:bookmarkStart w:id="149" w:name="_Toc13913"/>
      <w:bookmarkStart w:id="150" w:name="_Toc28412"/>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47"/>
      <w:bookmarkEnd w:id="148"/>
      <w:bookmarkEnd w:id="149"/>
      <w:bookmarkEnd w:id="150"/>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51" w:name="_Toc15238"/>
      <w:bookmarkStart w:id="152" w:name="_Toc26427"/>
      <w:bookmarkStart w:id="153" w:name="_Toc9592"/>
      <w:bookmarkStart w:id="154" w:name="_Toc29820"/>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51"/>
      <w:bookmarkEnd w:id="152"/>
      <w:bookmarkEnd w:id="153"/>
      <w:bookmarkEnd w:id="154"/>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900.46万元、中标合同价总额706.63万元。从施工单位提交的中标通知书结果来看，本项目建设投资成本总额控制在初步设计批复总额以内。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55" w:name="_Toc17947"/>
      <w:bookmarkStart w:id="156" w:name="_Toc17587"/>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5"/>
      <w:bookmarkEnd w:id="156"/>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spacing w:line="560" w:lineRule="exact"/>
        <w:ind w:left="0" w:right="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pStyle w:val="4"/>
        <w:pageBreakBefore w:val="0"/>
        <w:kinsoku/>
        <w:wordWrap/>
        <w:topLinePunct w:val="0"/>
        <w:autoSpaceDE/>
        <w:autoSpaceDN/>
        <w:bidi w:val="0"/>
        <w:adjustRightInd/>
        <w:spacing w:beforeLines="0" w:afterLines="0" w:line="560" w:lineRule="exact"/>
        <w:ind w:left="0" w:right="0"/>
        <w:textAlignment w:val="auto"/>
        <w:rPr>
          <w:rFonts w:hint="eastAsia" w:ascii="Times New Roman" w:hAnsi="Times New Roman" w:eastAsia="楷体" w:cs="Times New Roman"/>
          <w:b/>
          <w:kern w:val="2"/>
          <w:sz w:val="32"/>
          <w:szCs w:val="32"/>
          <w:lang w:val="en-US" w:eastAsia="zh-CN" w:bidi="ar-SA"/>
        </w:rPr>
      </w:pPr>
      <w:bookmarkStart w:id="157" w:name="_Toc19646"/>
      <w:bookmarkStart w:id="158" w:name="_Toc19818"/>
      <w:bookmarkStart w:id="159" w:name="_Toc12708"/>
      <w:bookmarkStart w:id="160" w:name="_Toc15959"/>
      <w:r>
        <w:rPr>
          <w:rFonts w:hint="eastAsia" w:ascii="Times New Roman" w:hAnsi="Times New Roman" w:eastAsia="楷体" w:cs="Times New Roman"/>
          <w:b/>
          <w:kern w:val="2"/>
          <w:sz w:val="32"/>
          <w:szCs w:val="32"/>
          <w:lang w:val="en-US" w:eastAsia="zh-CN" w:bidi="ar-SA"/>
        </w:rPr>
        <w:t>（1）提升</w:t>
      </w:r>
      <w:bookmarkEnd w:id="157"/>
      <w:bookmarkEnd w:id="158"/>
      <w:bookmarkEnd w:id="159"/>
      <w:r>
        <w:rPr>
          <w:rFonts w:hint="eastAsia" w:ascii="Times New Roman" w:hAnsi="Times New Roman" w:cs="Times New Roman"/>
          <w:b/>
          <w:kern w:val="2"/>
          <w:sz w:val="32"/>
          <w:szCs w:val="32"/>
          <w:lang w:val="en-US" w:eastAsia="zh-CN" w:bidi="ar-SA"/>
        </w:rPr>
        <w:t>居住环境，提升居民幸福指数</w:t>
      </w:r>
      <w:bookmarkEnd w:id="160"/>
    </w:p>
    <w:p>
      <w:pPr>
        <w:pStyle w:val="9"/>
        <w:keepNext w:val="0"/>
        <w:keepLines w:val="0"/>
        <w:pageBreakBefore w:val="0"/>
        <w:widowControl w:val="0"/>
        <w:kinsoku/>
        <w:wordWrap/>
        <w:overflowPunct/>
        <w:topLinePunct w:val="0"/>
        <w:autoSpaceDE/>
        <w:autoSpaceDN/>
        <w:bidi w:val="0"/>
        <w:adjustRightInd/>
        <w:snapToGrid w:val="0"/>
        <w:spacing w:line="560" w:lineRule="exact"/>
        <w:ind w:left="0" w:right="0" w:firstLine="596" w:firstLineChars="200"/>
        <w:jc w:val="both"/>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spacing w:val="1"/>
          <w:kern w:val="2"/>
          <w:sz w:val="30"/>
          <w:szCs w:val="30"/>
          <w:lang w:val="en-US" w:eastAsia="zh-CN" w:bidi="ar-SA"/>
        </w:rPr>
        <w:t>老旧小区改造是重大民生工程和发展工程，对满足人民群众美好生活需要、推动惠民生扩内需、推进城市更新和开发建设方式转型、促进经济高质量发展具有十分重要的意义。</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right="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该项目按照《同心县政府投资项目管理办法》的要求，对老旧小区给水、排水及供暖管道系统进行改造，并优化排水管网系统，保证了小区内生活污水及雨水排放顺畅，有效缓解了原来下水淤堵，雨水排不出去现象出现，减少污水的无组织排放，改善了生态环境，美化了小区环境，并优化供热管网系统，改变项目区域居民冬季饱受严寒的现状，改善了同心县城市基本设施建设，极大地改善区域内人们的生活环境，逐步提升居民的幸福感。</w:t>
      </w:r>
    </w:p>
    <w:p>
      <w:pPr>
        <w:pStyle w:val="9"/>
        <w:keepNext w:val="0"/>
        <w:keepLines w:val="0"/>
        <w:pageBreakBefore w:val="0"/>
        <w:widowControl w:val="0"/>
        <w:kinsoku/>
        <w:wordWrap/>
        <w:overflowPunct/>
        <w:topLinePunct w:val="0"/>
        <w:autoSpaceDE/>
        <w:autoSpaceDN/>
        <w:bidi w:val="0"/>
        <w:adjustRightInd/>
        <w:snapToGrid w:val="0"/>
        <w:spacing w:before="0" w:line="560" w:lineRule="exact"/>
        <w:ind w:left="0" w:right="0" w:firstLine="596"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spacing w:val="1"/>
          <w:kern w:val="2"/>
          <w:sz w:val="30"/>
          <w:szCs w:val="30"/>
          <w:lang w:val="en-US" w:eastAsia="zh-CN" w:bidi="ar-SA"/>
        </w:rPr>
        <w:t>小区排水管网是城镇居民小区极为重要的基础设施之一，与居民日常生活的各个方面息息相关。本项目对原有小区内排水管网进行改造，通过更换排水管道、改变敷设方式等措施，从根本上解决项目所属区域内管道堵塞、排水不畅现象逐年加剧等问题。对原有小区内供热管网进行改造，通过更换供热管线、改变敷设方式等措施，从根本上解决项目所属区域内热力管线常年供热效率不高，跑冒滴漏现象严重，管道堵塞、锈蚀现象逐年加剧等问题。并通过优化设计，使项目排水系统管线、供热系统管线运行更为合理、有效，节省远期运行费用。项目的建成，大大改善安置片区居住环境，对利通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城市基础设施建设</w:t>
      </w:r>
      <w:r>
        <w:rPr>
          <w:rFonts w:hint="eastAsia" w:ascii="仿宋" w:hAnsi="仿宋" w:cs="仿宋"/>
          <w:color w:val="000000" w:themeColor="text1"/>
          <w:kern w:val="2"/>
          <w:sz w:val="32"/>
          <w:szCs w:val="32"/>
          <w:lang w:val="en-US" w:eastAsia="zh-CN" w:bidi="ar-SA"/>
          <w14:textFill>
            <w14:solidFill>
              <w14:schemeClr w14:val="tx1"/>
            </w14:solidFill>
          </w14:textFill>
        </w:rPr>
        <w:t>发展</w:t>
      </w:r>
      <w:r>
        <w:rPr>
          <w:rFonts w:hint="eastAsia" w:ascii="仿宋" w:hAnsi="仿宋" w:eastAsia="仿宋" w:cs="仿宋"/>
          <w:color w:val="000000" w:themeColor="text1"/>
          <w:kern w:val="2"/>
          <w:sz w:val="32"/>
          <w:szCs w:val="32"/>
          <w:lang w:val="en-US" w:eastAsia="zh-CN" w:bidi="ar-SA"/>
          <w14:textFill>
            <w14:solidFill>
              <w14:schemeClr w14:val="tx1"/>
            </w14:solidFill>
          </w14:textFill>
        </w:rPr>
        <w:t>较大的促进作用。</w:t>
      </w:r>
    </w:p>
    <w:p>
      <w:pPr>
        <w:keepNext w:val="0"/>
        <w:keepLines w:val="0"/>
        <w:pageBreakBefore w:val="0"/>
        <w:widowControl/>
        <w:suppressLineNumbers w:val="0"/>
        <w:kinsoku/>
        <w:wordWrap/>
        <w:overflowPunct w:val="0"/>
        <w:topLinePunct w:val="0"/>
        <w:autoSpaceDE/>
        <w:autoSpaceDN/>
        <w:bidi w:val="0"/>
        <w:adjustRightInd/>
        <w:snapToGrid/>
        <w:ind w:left="0" w:leftChars="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综上所述，本次改造使安置区居民的生活环境和人居环境舒适度普遍提高，并极大提高了居住社区的和谐程度。从完成改造情况看，达到了整洁干净、亮化美化的要求，较好地融入了现代化城市格局，不仅增强了城市的吸引力和辐射力，实现了物业的保值增值，而且也为展示城市形象锦上添花，居民普遍反映良好。</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10</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5</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61" w:name="_Toc11426"/>
      <w:bookmarkStart w:id="162" w:name="_Toc26089"/>
      <w:r>
        <w:rPr>
          <w:rFonts w:hint="eastAsia" w:ascii="Times New Roman" w:hAnsi="Times New Roman" w:eastAsia="方正仿宋_GBK" w:cs="Times New Roman"/>
          <w:b/>
          <w:bCs/>
          <w:spacing w:val="-6"/>
          <w:sz w:val="30"/>
          <w:szCs w:val="30"/>
          <w:lang w:val="en-US" w:eastAsia="zh-CN"/>
        </w:rPr>
        <w:t>2.可持续影响性</w:t>
      </w:r>
      <w:bookmarkEnd w:id="161"/>
      <w:bookmarkEnd w:id="162"/>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（1）</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长效机制健全性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①是否建立或具备长期维护机制、方案；②是否明确养护责任部门、配备维护管理人员；③养护维护支持经费来源是否有保障。项目在竣工后未定制细化可操作执行的维护方案。</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分，根据评分标准</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实施单位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63" w:name="_Toc3765"/>
      <w:bookmarkStart w:id="164" w:name="_Toc11589"/>
      <w:bookmarkStart w:id="165" w:name="_Toc9957"/>
      <w:bookmarkStart w:id="166" w:name="_Toc16497"/>
      <w:r>
        <w:rPr>
          <w:rFonts w:hint="eastAsia" w:ascii="Times New Roman" w:hAnsi="Times New Roman" w:eastAsia="楷体" w:cs="Times New Roman"/>
          <w:b/>
          <w:kern w:val="2"/>
          <w:sz w:val="32"/>
          <w:szCs w:val="32"/>
          <w:lang w:val="en-US" w:eastAsia="zh-CN" w:bidi="ar-SA"/>
        </w:rPr>
        <w:t>（2）</w:t>
      </w:r>
      <w:r>
        <w:rPr>
          <w:rFonts w:hint="eastAsia" w:ascii="Times New Roman" w:hAnsi="Times New Roman" w:cs="Times New Roman"/>
          <w:b/>
          <w:kern w:val="2"/>
          <w:sz w:val="32"/>
          <w:szCs w:val="32"/>
          <w:lang w:val="en-US" w:eastAsia="zh-CN" w:bidi="ar-SA"/>
        </w:rPr>
        <w:t>满意度</w:t>
      </w:r>
      <w:bookmarkEnd w:id="163"/>
      <w:bookmarkEnd w:id="164"/>
      <w:bookmarkEnd w:id="165"/>
      <w:bookmarkEnd w:id="16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我们通过发放调查问卷的方式，对项目实施地区人员进行了满意度调查，调查问卷内容包括项目建设情况、项目设计、历史要素、人文环境等方面。经统计，项目整体的</w:t>
      </w:r>
      <w:r>
        <w:rPr>
          <w:rFonts w:hint="default" w:ascii="Times New Roman" w:hAnsi="Times New Roman" w:eastAsia="方正仿宋_GBK" w:cs="Times New Roman"/>
          <w:spacing w:val="0"/>
          <w:kern w:val="0"/>
          <w:sz w:val="30"/>
          <w:szCs w:val="30"/>
          <w:lang w:val="en-US" w:eastAsia="zh-CN" w:bidi="zh-CN"/>
        </w:rPr>
        <w:t>满意度≥90分。该指标本项满分10分，根据评分标准得10分。</w:t>
      </w:r>
    </w:p>
    <w:p>
      <w:pPr>
        <w:pStyle w:val="3"/>
        <w:ind w:firstLine="592" w:firstLineChars="200"/>
        <w:rPr>
          <w:rFonts w:hint="eastAsia" w:asciiTheme="majorEastAsia" w:hAnsiTheme="majorEastAsia" w:eastAsiaTheme="majorEastAsia" w:cstheme="majorEastAsia"/>
          <w:b/>
          <w:bCs/>
          <w:sz w:val="30"/>
          <w:szCs w:val="30"/>
        </w:rPr>
      </w:pPr>
      <w:bookmarkStart w:id="167" w:name="_Toc1561"/>
      <w:bookmarkStart w:id="168" w:name="_Toc31782"/>
      <w:bookmarkStart w:id="169" w:name="_Toc15577"/>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67"/>
      <w:bookmarkEnd w:id="168"/>
      <w:bookmarkEnd w:id="169"/>
    </w:p>
    <w:p>
      <w:pPr>
        <w:pStyle w:val="4"/>
        <w:ind w:firstLine="562"/>
        <w:rPr>
          <w:rFonts w:ascii="方正楷体_GBK" w:hAnsi="方正楷体_GBK" w:eastAsia="方正楷体_GBK" w:cs="方正楷体_GBK"/>
          <w:b/>
          <w:bCs w:val="0"/>
          <w:sz w:val="32"/>
          <w:szCs w:val="32"/>
        </w:rPr>
      </w:pPr>
      <w:bookmarkStart w:id="170" w:name="_Toc19800"/>
      <w:bookmarkStart w:id="171" w:name="_Toc26930"/>
      <w:bookmarkStart w:id="172" w:name="_Toc4904"/>
      <w:r>
        <w:rPr>
          <w:rFonts w:hint="eastAsia" w:ascii="方正楷体_GBK" w:hAnsi="方正楷体_GBK" w:eastAsia="方正楷体_GBK" w:cs="方正楷体_GBK"/>
          <w:b/>
          <w:bCs w:val="0"/>
          <w:sz w:val="32"/>
          <w:szCs w:val="32"/>
        </w:rPr>
        <w:t>（一）经验做法</w:t>
      </w:r>
      <w:bookmarkEnd w:id="170"/>
      <w:bookmarkEnd w:id="171"/>
      <w:bookmarkEnd w:id="172"/>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同心县2021年老旧小区改造配套基础设施建设项目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73" w:name="_Toc14234"/>
      <w:bookmarkStart w:id="174" w:name="_Toc13811"/>
      <w:bookmarkStart w:id="175" w:name="_Toc16985"/>
      <w:r>
        <w:rPr>
          <w:rFonts w:hint="eastAsia" w:ascii="方正楷体_GBK" w:hAnsi="方正楷体_GBK" w:eastAsia="方正楷体_GBK" w:cs="方正楷体_GBK"/>
          <w:b/>
          <w:bCs w:val="0"/>
          <w:sz w:val="32"/>
          <w:szCs w:val="32"/>
        </w:rPr>
        <w:t>（二）存在的问题</w:t>
      </w:r>
      <w:bookmarkEnd w:id="173"/>
      <w:bookmarkEnd w:id="174"/>
      <w:bookmarkEnd w:id="175"/>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2.项目完工后，未及时结算。</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在资料审阅过程中发现，项目在结算审核、竣工财务决算编制、会计核算、在建工程“转固”等方面存在一些亟待解决的问题。结算工作滞后，导致新增资产价值难以确认。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76" w:name="_Toc3586"/>
      <w:r>
        <w:rPr>
          <w:rFonts w:hint="eastAsia" w:ascii="方正楷体_GBK" w:hAnsi="方正楷体_GBK" w:eastAsia="方正楷体_GBK" w:cs="方正楷体_GBK"/>
          <w:color w:val="333333"/>
          <w:sz w:val="30"/>
          <w:szCs w:val="30"/>
          <w:shd w:val="clear" w:fill="FFFFFF"/>
          <w:lang w:val="en-US" w:eastAsia="zh-CN" w:bidi="zh-CN"/>
        </w:rPr>
        <w:t>（三）建议</w:t>
      </w:r>
      <w:bookmarkEnd w:id="17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2.提质增效，加快结算。</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p>
    <w:p>
      <w:pPr>
        <w:pStyle w:val="3"/>
        <w:ind w:firstLine="592" w:firstLineChars="200"/>
        <w:rPr>
          <w:rFonts w:hint="eastAsia" w:asciiTheme="majorEastAsia" w:hAnsiTheme="majorEastAsia" w:eastAsiaTheme="majorEastAsia" w:cstheme="majorEastAsia"/>
          <w:b/>
          <w:bCs/>
          <w:sz w:val="30"/>
          <w:szCs w:val="30"/>
          <w:lang w:val="en-US" w:eastAsia="zh-CN"/>
        </w:rPr>
      </w:pPr>
      <w:bookmarkStart w:id="177" w:name="_Toc4252"/>
      <w:r>
        <w:rPr>
          <w:rFonts w:hint="eastAsia" w:asciiTheme="majorEastAsia" w:hAnsiTheme="majorEastAsia" w:eastAsiaTheme="majorEastAsia" w:cstheme="majorEastAsia"/>
          <w:b/>
          <w:bCs/>
          <w:sz w:val="30"/>
          <w:szCs w:val="30"/>
          <w:lang w:val="en-US" w:eastAsia="zh-CN"/>
        </w:rPr>
        <w:t>八、其他需要说明的问题</w:t>
      </w:r>
      <w:bookmarkEnd w:id="177"/>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本绩效评价报告是在被评价单位提供项目资料的基础上核实、分析而完成的，评价工作组现场核实的事项仅限于同心县</w:t>
      </w:r>
      <w:r>
        <w:rPr>
          <w:rFonts w:hint="eastAsia" w:ascii="Times New Roman" w:hAnsi="Times New Roman" w:eastAsia="方正仿宋_GBK" w:cs="Times New Roman"/>
          <w:color w:val="000000"/>
          <w:kern w:val="0"/>
          <w:sz w:val="30"/>
          <w:szCs w:val="30"/>
          <w:lang w:val="en-US" w:eastAsia="zh-CN" w:bidi="ar"/>
        </w:rPr>
        <w:t>2021年</w:t>
      </w:r>
      <w:r>
        <w:rPr>
          <w:rFonts w:hint="default" w:ascii="Times New Roman" w:hAnsi="Times New Roman" w:eastAsia="方正仿宋_GBK" w:cs="Times New Roman"/>
          <w:color w:val="000000"/>
          <w:kern w:val="0"/>
          <w:sz w:val="30"/>
          <w:szCs w:val="30"/>
          <w:lang w:val="en-US" w:eastAsia="zh-CN" w:bidi="ar"/>
        </w:rPr>
        <w:t>老旧小区改造配套基础设施建设项目项目补助资金有关的方面。同时评价报告及结论也受评价人员对项目的了解程度、专业知识和评价能力的限制，因此，本绩效评价报告仅对同心县</w:t>
      </w:r>
      <w:r>
        <w:rPr>
          <w:rFonts w:hint="eastAsia" w:ascii="Times New Roman" w:hAnsi="Times New Roman" w:eastAsia="方正仿宋_GBK" w:cs="Times New Roman"/>
          <w:color w:val="000000"/>
          <w:kern w:val="0"/>
          <w:sz w:val="30"/>
          <w:szCs w:val="30"/>
          <w:lang w:val="en-US" w:eastAsia="zh-CN" w:bidi="ar"/>
        </w:rPr>
        <w:t>2021年</w:t>
      </w:r>
      <w:r>
        <w:rPr>
          <w:rFonts w:hint="default" w:ascii="Times New Roman" w:hAnsi="Times New Roman" w:eastAsia="方正仿宋_GBK" w:cs="Times New Roman"/>
          <w:color w:val="000000"/>
          <w:kern w:val="0"/>
          <w:sz w:val="30"/>
          <w:szCs w:val="30"/>
          <w:lang w:val="en-US" w:eastAsia="zh-CN" w:bidi="ar"/>
        </w:rPr>
        <w:t>老旧小区改造配套基础设施建设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p>
    <w:p>
      <w:pPr>
        <w:pStyle w:val="5"/>
        <w:ind w:left="0" w:leftChars="0" w:firstLine="0" w:firstLineChars="0"/>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Times New Roman" w:hAnsi="Times New Roman" w:eastAsia="方正仿宋_GBK" w:cs="Times New Roman"/>
          <w:b w:val="0"/>
          <w:bCs w:val="0"/>
          <w:kern w:val="2"/>
          <w:sz w:val="30"/>
          <w:szCs w:val="30"/>
          <w:lang w:val="en-US" w:eastAsia="zh-CN" w:bidi="ar-SA"/>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5"/>
        <w:rPr>
          <w:rFonts w:hint="eastAsia" w:ascii="Times New Roman" w:hAnsi="Times New Roman" w:eastAsia="方正仿宋_GB2312" w:cs="Times New Roman"/>
          <w:b w:val="0"/>
          <w:bCs/>
          <w:sz w:val="28"/>
          <w:szCs w:val="28"/>
          <w:lang w:val="zh-CN"/>
        </w:rPr>
      </w:pPr>
      <w:bookmarkStart w:id="178" w:name="_Toc22333"/>
      <w:r>
        <w:rPr>
          <w:rFonts w:hint="eastAsia" w:ascii="Times New Roman" w:hAnsi="Times New Roman" w:eastAsia="方正仿宋_GB2312" w:cs="Times New Roman"/>
          <w:b w:val="0"/>
          <w:bCs/>
          <w:sz w:val="28"/>
          <w:szCs w:val="28"/>
          <w:lang w:val="zh-CN"/>
        </w:rPr>
        <w:t>（</w:t>
      </w:r>
      <w:r>
        <w:rPr>
          <w:rFonts w:hint="eastAsia" w:ascii="Times New Roman" w:hAnsi="Times New Roman" w:eastAsia="方正仿宋_GB2312" w:cs="Times New Roman"/>
          <w:b w:val="0"/>
          <w:bCs/>
          <w:sz w:val="28"/>
          <w:szCs w:val="28"/>
          <w:lang w:val="en-US" w:eastAsia="zh-CN"/>
        </w:rPr>
        <w:t>此页未签署页，无正文</w:t>
      </w:r>
      <w:r>
        <w:rPr>
          <w:rFonts w:hint="eastAsia" w:ascii="Times New Roman" w:hAnsi="Times New Roman" w:eastAsia="方正仿宋_GB2312" w:cs="Times New Roman"/>
          <w:b w:val="0"/>
          <w:bCs/>
          <w:sz w:val="28"/>
          <w:szCs w:val="28"/>
          <w:lang w:val="zh-CN"/>
        </w:rPr>
        <w:t>）</w:t>
      </w:r>
      <w:bookmarkEnd w:id="178"/>
    </w:p>
    <w:p>
      <w:pPr>
        <w:rPr>
          <w:rFonts w:hint="eastAsia"/>
          <w:lang w:val="zh-CN"/>
        </w:rPr>
      </w:pPr>
    </w:p>
    <w:p>
      <w:pPr>
        <w:pStyle w:val="5"/>
        <w:rPr>
          <w:rFonts w:hint="eastAsia"/>
          <w:lang w:val="zh-CN"/>
        </w:rPr>
      </w:pPr>
    </w:p>
    <w:p>
      <w:pPr>
        <w:rPr>
          <w:rFonts w:hint="eastAsia"/>
          <w:lang w:val="zh-CN"/>
        </w:rPr>
      </w:pPr>
    </w:p>
    <w:p>
      <w:pPr>
        <w:pStyle w:val="5"/>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5"/>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57"/>
      <w:bookmarkEnd w:id="58"/>
      <w:bookmarkEnd w:id="59"/>
      <w:bookmarkEnd w:id="60"/>
      <w:bookmarkEnd w:id="61"/>
      <w:bookmarkEnd w:id="62"/>
      <w:bookmarkEnd w:id="63"/>
      <w:bookmarkEnd w:id="64"/>
      <w:r>
        <w:rPr>
          <w:rFonts w:hint="eastAsia" w:ascii="Times New Roman" w:hAnsi="Times New Roman" w:eastAsia="方正仿宋_GB2312" w:cs="Times New Roman"/>
          <w:b w:val="0"/>
          <w:sz w:val="28"/>
          <w:szCs w:val="28"/>
          <w:lang w:val="en-US" w:eastAsia="zh-CN"/>
        </w:rPr>
        <w:t>2023年12月31日</w:t>
      </w:r>
      <w:bookmarkEnd w:id="27"/>
      <w:bookmarkEnd w:id="65"/>
      <w:bookmarkStart w:id="179" w:name="_Toc20313"/>
      <w:bookmarkStart w:id="180" w:name="_Toc5302"/>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pgSz w:w="11906" w:h="16838"/>
          <w:pgMar w:top="2098" w:right="1587" w:bottom="2098" w:left="1587" w:header="1587" w:footer="935" w:gutter="0"/>
          <w:pgNumType w:fmt="decimal"/>
          <w:cols w:space="0" w:num="1"/>
          <w:rtlGutter w:val="0"/>
          <w:docGrid w:type="linesAndChars" w:linePitch="589" w:charSpace="-842"/>
        </w:sectPr>
      </w:pPr>
    </w:p>
    <w:bookmarkEnd w:id="179"/>
    <w:bookmarkEnd w:id="180"/>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同心县2021年老旧小区改造配套基础设施建设项目绩效评价指标体系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w:t>
            </w:r>
            <w:r>
              <w:rPr>
                <w:rFonts w:hint="default" w:ascii="Times New Roman" w:hAnsi="Times New Roman" w:eastAsia="方正仿宋_GBK" w:cs="Times New Roman"/>
                <w:i w:val="0"/>
                <w:iCs w:val="0"/>
                <w:color w:val="000000"/>
                <w:kern w:val="0"/>
                <w:sz w:val="22"/>
                <w:szCs w:val="22"/>
                <w:u w:val="none"/>
                <w:lang w:val="en-US" w:eastAsia="zh-CN" w:bidi="ar"/>
              </w:rPr>
              <w:t>设定了绩效目标。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未编制</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指标不能够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项目预算资金490万元，实际支出490万元，预算执行率100%。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资金执行率=实际支付资金/实际到位资金×100%，专项资金执行率85%得满分。否则本指标得分=资金执行率×分值。</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8</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未完成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推动基础教育质量</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推动基础教育质量稳步提升，义务教育学校办学条件改善效果</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建立健全长期可维护机制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rPr>
                <w:rFonts w:hint="eastAsia" w:ascii="Times New Roman" w:hAnsi="Times New Roman" w:eastAsia="方正仿宋_GBK" w:cs="Times New Roman"/>
                <w:i w:val="0"/>
                <w:iCs w:val="0"/>
                <w:color w:val="000000"/>
                <w:kern w:val="0"/>
                <w:sz w:val="22"/>
                <w:szCs w:val="22"/>
                <w:u w:val="none"/>
                <w:lang w:val="en-US" w:eastAsia="zh-CN" w:bidi="ar"/>
              </w:rPr>
            </w:pP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87</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同心县2021年老旧小区改造配套基础设施建设项目</w:t>
      </w:r>
    </w:p>
    <w:p>
      <w:pPr>
        <w:pStyle w:val="2"/>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访谈方案</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专项资金项目的组织、实施、管理的具体情况，发现部门运行和管理中的问题，评估财政部门资金的使用以及部门职能，了解和评估财政资金使用的效率和效益，发现资金使用和管理中的问题，为项目的管理和执行提供充分的决策依据。</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同心县住房和城乡建设局财务科室负责人</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1.请简要介绍一下同心县2021年老旧小区改造配套基础设施建设项目实施中主要负责的工作内容？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de-DE" w:eastAsia="zh-CN" w:bidi="zh-CN"/>
        </w:rPr>
      </w:pPr>
      <w:bookmarkStart w:id="181" w:name="_Toc393466358"/>
      <w:bookmarkStart w:id="182" w:name="_Toc387361423"/>
      <w:bookmarkStart w:id="183" w:name="_Toc390983233"/>
      <w:bookmarkStart w:id="184" w:name="_Toc396323558"/>
      <w:bookmarkStart w:id="185" w:name="_Toc385352814"/>
      <w:bookmarkStart w:id="186" w:name="_Toc385521993"/>
      <w:bookmarkStart w:id="187" w:name="_Toc385522401"/>
      <w:r>
        <w:rPr>
          <w:rFonts w:hint="default" w:ascii="Times New Roman" w:hAnsi="Times New Roman" w:eastAsia="方正仿宋_GBK" w:cs="Times New Roman"/>
          <w:b w:val="0"/>
          <w:bCs w:val="0"/>
          <w:kern w:val="0"/>
          <w:sz w:val="30"/>
          <w:szCs w:val="30"/>
          <w:lang w:val="en-US" w:eastAsia="zh-CN" w:bidi="zh-CN"/>
        </w:rPr>
        <w:t>3.项目实施效果和意义，</w:t>
      </w:r>
      <w:r>
        <w:rPr>
          <w:rFonts w:hint="default"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4.请您简要介绍</w:t>
      </w:r>
      <w:r>
        <w:rPr>
          <w:rFonts w:hint="default" w:ascii="Times New Roman" w:hAnsi="Times New Roman" w:eastAsia="方正仿宋_GBK" w:cs="Times New Roman"/>
          <w:b w:val="0"/>
          <w:bCs w:val="0"/>
          <w:kern w:val="0"/>
          <w:sz w:val="30"/>
          <w:szCs w:val="30"/>
          <w:lang w:val="de-DE" w:eastAsia="zh-CN" w:bidi="zh-CN"/>
        </w:rPr>
        <w:t>项目</w:t>
      </w:r>
      <w:r>
        <w:rPr>
          <w:rFonts w:hint="default"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6.项目实施过程中采取了哪些控制措施？</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7.</w:t>
      </w:r>
      <w:bookmarkEnd w:id="181"/>
      <w:bookmarkEnd w:id="182"/>
      <w:bookmarkEnd w:id="183"/>
      <w:bookmarkEnd w:id="184"/>
      <w:bookmarkEnd w:id="185"/>
      <w:bookmarkEnd w:id="186"/>
      <w:bookmarkEnd w:id="187"/>
      <w:r>
        <w:rPr>
          <w:rFonts w:hint="default" w:ascii="Times New Roman" w:hAnsi="Times New Roman" w:eastAsia="方正仿宋_GBK" w:cs="Times New Roman"/>
          <w:b w:val="0"/>
          <w:bCs w:val="0"/>
          <w:kern w:val="0"/>
          <w:sz w:val="30"/>
          <w:szCs w:val="30"/>
          <w:lang w:val="en-US" w:eastAsia="zh-CN" w:bidi="zh-CN"/>
        </w:rPr>
        <w:t>项目过程中都有哪些好的经验做法？项目开展都有哪些难点和建议？</w:t>
      </w:r>
    </w:p>
    <w:p>
      <w:pPr>
        <w:pStyle w:val="4"/>
        <w:pageBreakBefore w:val="0"/>
        <w:widowControl w:val="0"/>
        <w:kinsoku/>
        <w:wordWrap/>
        <w:topLinePunct w:val="0"/>
        <w:bidi w:val="0"/>
        <w:adjustRightInd/>
        <w:snapToGrid/>
        <w:spacing w:beforeLines="0" w:afterLines="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同心县2021年老旧小区改造配套基础设施建设项目</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2021年老旧小区改造配套基础设施建设项目（给水、排水、供暖管道更新）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1.请问您得年龄？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□20岁以下   □21-40岁  □41-60岁  □61岁以上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2.请问您的文化程度？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□中专及以下 □大专   □本科     □研究生及以上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3.请问您是否为同心县当地居民？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□是     □否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1.您对同心县2021年老旧小区改造配套基础设施建设项目建设是否满意？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2.您对同心县2021年老旧小区改造配套基础设施建设项目施工过程的管理是否满意？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3.您对同心县2021年老旧小区改造配套基础设施建设项目总体进度是否满意？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（三）开放问题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您对同心县2021年老旧小区改造配套基础设施建设项目还有什么意见和建议？</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center"/>
        <w:textAlignment w:val="auto"/>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72" w:firstLineChars="200"/>
        <w:jc w:val="both"/>
        <w:textAlignment w:val="auto"/>
        <w:rPr>
          <w:rFonts w:hint="default" w:ascii="Times New Roman" w:hAnsi="Times New Roman" w:eastAsia="仿宋" w:cs="Times New Roman"/>
          <w:kern w:val="2"/>
          <w:sz w:val="30"/>
          <w:szCs w:val="30"/>
          <w:lang w:val="en-US" w:eastAsia="zh-CN" w:bidi="ar-SA"/>
        </w:rPr>
      </w:pPr>
      <w:r>
        <w:drawing>
          <wp:anchor distT="0" distB="0" distL="114300" distR="114300" simplePos="0" relativeHeight="251659264" behindDoc="1" locked="0" layoutInCell="1" allowOverlap="1">
            <wp:simplePos x="0" y="0"/>
            <wp:positionH relativeFrom="column">
              <wp:posOffset>309245</wp:posOffset>
            </wp:positionH>
            <wp:positionV relativeFrom="paragraph">
              <wp:posOffset>207645</wp:posOffset>
            </wp:positionV>
            <wp:extent cx="5039995" cy="6316345"/>
            <wp:effectExtent l="0" t="0" r="8255" b="825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039995" cy="6316345"/>
                    </a:xfrm>
                    <a:prstGeom prst="rect">
                      <a:avLst/>
                    </a:prstGeom>
                    <a:noFill/>
                    <a:ln>
                      <a:noFill/>
                    </a:ln>
                  </pic:spPr>
                </pic:pic>
              </a:graphicData>
            </a:graphic>
          </wp:anchor>
        </w:drawing>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A09A24-7EE7-4561-88B7-FB9BA49351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94898A33-A6CE-4E54-A280-37ECAC6D467E}"/>
  </w:font>
  <w:font w:name="楷体">
    <w:panose1 w:val="02010609060101010101"/>
    <w:charset w:val="86"/>
    <w:family w:val="auto"/>
    <w:pitch w:val="default"/>
    <w:sig w:usb0="800002BF" w:usb1="38CF7CFA" w:usb2="00000016" w:usb3="00000000" w:csb0="00040001" w:csb1="00000000"/>
    <w:embedRegular r:id="rId3" w:fontKey="{82F411F1-555B-4C92-978D-DE639EFE9223}"/>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870F3570-4E2A-4879-BAB0-B67FFFD37A83}"/>
  </w:font>
  <w:font w:name="方正仿宋_GBK">
    <w:panose1 w:val="02000000000000000000"/>
    <w:charset w:val="86"/>
    <w:family w:val="auto"/>
    <w:pitch w:val="default"/>
    <w:sig w:usb0="A00002BF" w:usb1="38CF7CFA" w:usb2="00082016" w:usb3="00000000" w:csb0="00040001" w:csb1="00000000"/>
    <w:embedRegular r:id="rId5" w:fontKey="{8DB0E34F-3DC6-43F2-9CBD-33681AF6007D}"/>
  </w:font>
  <w:font w:name="方正小标宋_GBK">
    <w:panose1 w:val="02000000000000000000"/>
    <w:charset w:val="86"/>
    <w:family w:val="auto"/>
    <w:pitch w:val="default"/>
    <w:sig w:usb0="A00002BF" w:usb1="38CF7CFA" w:usb2="00082016" w:usb3="00000000" w:csb0="00040001" w:csb1="00000000"/>
    <w:embedRegular r:id="rId6" w:fontKey="{FAD02127-2057-4A80-AD01-860BC1A83705}"/>
  </w:font>
  <w:font w:name="方正小标宋简体">
    <w:panose1 w:val="02000000000000000000"/>
    <w:charset w:val="86"/>
    <w:family w:val="auto"/>
    <w:pitch w:val="default"/>
    <w:sig w:usb0="00000001" w:usb1="08000000" w:usb2="00000000" w:usb3="00000000" w:csb0="00040000" w:csb1="00000000"/>
    <w:embedRegular r:id="rId7" w:fontKey="{F07881E2-4904-4013-BB22-DD0DC77BB4F5}"/>
  </w:font>
  <w:font w:name="方正正黑_GBK">
    <w:panose1 w:val="02000000000000000000"/>
    <w:charset w:val="86"/>
    <w:family w:val="auto"/>
    <w:pitch w:val="default"/>
    <w:sig w:usb0="A00002BF" w:usb1="38CF7CFA" w:usb2="00082016" w:usb3="00000000" w:csb0="00040001" w:csb1="00000000"/>
    <w:embedRegular r:id="rId8" w:fontKey="{BC58C0AC-7A8B-453D-9106-8441A366D59F}"/>
  </w:font>
  <w:font w:name="方正仿宋_GB2312">
    <w:panose1 w:val="02000000000000000000"/>
    <w:charset w:val="86"/>
    <w:family w:val="auto"/>
    <w:pitch w:val="default"/>
    <w:sig w:usb0="A00002BF" w:usb1="184F6CFA" w:usb2="00000012" w:usb3="00000000" w:csb0="00040001" w:csb1="00000000"/>
    <w:embedRegular r:id="rId9" w:fontKey="{361F3CA8-DDC9-4523-A19B-094E7ACC854D}"/>
  </w:font>
  <w:font w:name="方正楷体_GBK">
    <w:panose1 w:val="02000000000000000000"/>
    <w:charset w:val="86"/>
    <w:family w:val="auto"/>
    <w:pitch w:val="default"/>
    <w:sig w:usb0="800002BF" w:usb1="38CF7CFA" w:usb2="00000016" w:usb3="00000000" w:csb0="00040000" w:csb1="00000000"/>
    <w:embedRegular r:id="rId10" w:fontKey="{84329686-B10F-486F-A28E-02A933D6FDA5}"/>
  </w:font>
  <w:font w:name="方正公文小标宋">
    <w:panose1 w:val="02000500000000000000"/>
    <w:charset w:val="86"/>
    <w:family w:val="auto"/>
    <w:pitch w:val="default"/>
    <w:sig w:usb0="A00002BF" w:usb1="38CF7CFA" w:usb2="00000016" w:usb3="00000000" w:csb0="00040001" w:csb1="00000000"/>
    <w:embedRegular r:id="rId11" w:fontKey="{AB6CA416-C1FA-4D92-9338-AF58CE8B9EAE}"/>
  </w:font>
  <w:font w:name="微软雅黑">
    <w:panose1 w:val="020B0503020204020204"/>
    <w:charset w:val="86"/>
    <w:family w:val="auto"/>
    <w:pitch w:val="default"/>
    <w:sig w:usb0="80000287" w:usb1="2ACF3C50" w:usb2="00000016" w:usb3="00000000" w:csb0="0004001F" w:csb1="00000000"/>
    <w:embedRegular r:id="rId12" w:fontKey="{E9CB0721-4F55-49A5-8348-AF1EEAF17C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ind w:left="5940" w:hanging="5963" w:hangingChars="2700"/>
      <w:jc w:val="right"/>
      <w:rPr>
        <w:rFonts w:hint="eastAsia"/>
        <w:sz w:val="22"/>
        <w:szCs w:val="22"/>
        <w:lang w:val="en-US" w:eastAsia="zh-CN"/>
      </w:rPr>
    </w:pPr>
    <w:r>
      <w:rPr>
        <w:rFonts w:hint="eastAsia"/>
        <w:b/>
        <w:bCs/>
        <w:sz w:val="22"/>
        <w:szCs w:val="22"/>
        <w:lang w:val="en-US" w:eastAsia="zh-CN"/>
      </w:rPr>
      <w:t>同心县2021年老旧小区改造配套基础设施建设项目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5"/>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同心县2021年老旧小区改造配套基础设施建设项目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2C9DB"/>
    <w:multiLevelType w:val="singleLevel"/>
    <w:tmpl w:val="E0B2C9DB"/>
    <w:lvl w:ilvl="0" w:tentative="0">
      <w:start w:val="2"/>
      <w:numFmt w:val="chineseCounting"/>
      <w:suff w:val="nothing"/>
      <w:lvlText w:val="（%1）"/>
      <w:lvlJc w:val="left"/>
      <w:rPr>
        <w:rFonts w:hint="eastAsia"/>
      </w:rPr>
    </w:lvl>
  </w:abstractNum>
  <w:abstractNum w:abstractNumId="1">
    <w:nsid w:val="FB20EEF5"/>
    <w:multiLevelType w:val="singleLevel"/>
    <w:tmpl w:val="FB20EEF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2E1F6F"/>
    <w:rsid w:val="003A4DF7"/>
    <w:rsid w:val="00C83FFA"/>
    <w:rsid w:val="00C90E0C"/>
    <w:rsid w:val="00F1191B"/>
    <w:rsid w:val="010351AA"/>
    <w:rsid w:val="01277E1F"/>
    <w:rsid w:val="013B0A52"/>
    <w:rsid w:val="01711D58"/>
    <w:rsid w:val="01A22C15"/>
    <w:rsid w:val="02693F89"/>
    <w:rsid w:val="02B726F0"/>
    <w:rsid w:val="031F0282"/>
    <w:rsid w:val="03321D76"/>
    <w:rsid w:val="03782AE9"/>
    <w:rsid w:val="038F5644"/>
    <w:rsid w:val="049979AA"/>
    <w:rsid w:val="04CB2483"/>
    <w:rsid w:val="05127FF8"/>
    <w:rsid w:val="05373674"/>
    <w:rsid w:val="057E08FD"/>
    <w:rsid w:val="05DE7F94"/>
    <w:rsid w:val="05E661B9"/>
    <w:rsid w:val="06310741"/>
    <w:rsid w:val="067B3A34"/>
    <w:rsid w:val="06935222"/>
    <w:rsid w:val="07752028"/>
    <w:rsid w:val="079B438E"/>
    <w:rsid w:val="07C669DF"/>
    <w:rsid w:val="07DC0B0F"/>
    <w:rsid w:val="084314D4"/>
    <w:rsid w:val="08930BD4"/>
    <w:rsid w:val="08A2629B"/>
    <w:rsid w:val="08D765EB"/>
    <w:rsid w:val="09087391"/>
    <w:rsid w:val="094E2BC9"/>
    <w:rsid w:val="0978425B"/>
    <w:rsid w:val="09EE451A"/>
    <w:rsid w:val="0A104DC5"/>
    <w:rsid w:val="0A1421D6"/>
    <w:rsid w:val="0A1441B8"/>
    <w:rsid w:val="0A9E5F43"/>
    <w:rsid w:val="0B1A65E0"/>
    <w:rsid w:val="0BA37CB5"/>
    <w:rsid w:val="0C063DA0"/>
    <w:rsid w:val="0D112862"/>
    <w:rsid w:val="0D1B3E33"/>
    <w:rsid w:val="0D786F20"/>
    <w:rsid w:val="0D8710B2"/>
    <w:rsid w:val="0DA75E3E"/>
    <w:rsid w:val="0DF16443"/>
    <w:rsid w:val="0DF27CB1"/>
    <w:rsid w:val="0E294B7B"/>
    <w:rsid w:val="0E411EBB"/>
    <w:rsid w:val="0E6B4917"/>
    <w:rsid w:val="0EE8142C"/>
    <w:rsid w:val="0F0355A7"/>
    <w:rsid w:val="0F812D08"/>
    <w:rsid w:val="0FBA6D07"/>
    <w:rsid w:val="0FC1070A"/>
    <w:rsid w:val="0FC2315B"/>
    <w:rsid w:val="0FC65D57"/>
    <w:rsid w:val="0FE268D2"/>
    <w:rsid w:val="104430E9"/>
    <w:rsid w:val="10594DE6"/>
    <w:rsid w:val="10923E54"/>
    <w:rsid w:val="10B4026F"/>
    <w:rsid w:val="10F70CB9"/>
    <w:rsid w:val="11314F5D"/>
    <w:rsid w:val="11326D9C"/>
    <w:rsid w:val="11576F43"/>
    <w:rsid w:val="11877731"/>
    <w:rsid w:val="12057474"/>
    <w:rsid w:val="123478B9"/>
    <w:rsid w:val="12780A7F"/>
    <w:rsid w:val="12A803F6"/>
    <w:rsid w:val="12B800BB"/>
    <w:rsid w:val="1306193D"/>
    <w:rsid w:val="138163C4"/>
    <w:rsid w:val="13D16037"/>
    <w:rsid w:val="14642D3C"/>
    <w:rsid w:val="151B68BE"/>
    <w:rsid w:val="157F13EB"/>
    <w:rsid w:val="15BC373C"/>
    <w:rsid w:val="15D25F85"/>
    <w:rsid w:val="15D614F9"/>
    <w:rsid w:val="15E50ECA"/>
    <w:rsid w:val="16201F02"/>
    <w:rsid w:val="165E3157"/>
    <w:rsid w:val="17C26244"/>
    <w:rsid w:val="18070836"/>
    <w:rsid w:val="18CC35FF"/>
    <w:rsid w:val="18D555BD"/>
    <w:rsid w:val="190012D5"/>
    <w:rsid w:val="19A84F19"/>
    <w:rsid w:val="1A11557B"/>
    <w:rsid w:val="1A2F552A"/>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05F149B"/>
    <w:rsid w:val="21577FE6"/>
    <w:rsid w:val="218D141D"/>
    <w:rsid w:val="21D104AE"/>
    <w:rsid w:val="22111139"/>
    <w:rsid w:val="221E4098"/>
    <w:rsid w:val="223C7432"/>
    <w:rsid w:val="23244678"/>
    <w:rsid w:val="23487B6D"/>
    <w:rsid w:val="23637058"/>
    <w:rsid w:val="23687A05"/>
    <w:rsid w:val="23825220"/>
    <w:rsid w:val="23E8200D"/>
    <w:rsid w:val="23EB612F"/>
    <w:rsid w:val="23FA0237"/>
    <w:rsid w:val="24015121"/>
    <w:rsid w:val="242B2707"/>
    <w:rsid w:val="24533EA6"/>
    <w:rsid w:val="24A44DE5"/>
    <w:rsid w:val="24AF2BFF"/>
    <w:rsid w:val="25796D0E"/>
    <w:rsid w:val="25963936"/>
    <w:rsid w:val="25FF2DD9"/>
    <w:rsid w:val="26087208"/>
    <w:rsid w:val="26100882"/>
    <w:rsid w:val="26993D37"/>
    <w:rsid w:val="26D12065"/>
    <w:rsid w:val="26E34FB2"/>
    <w:rsid w:val="272621AB"/>
    <w:rsid w:val="273264EE"/>
    <w:rsid w:val="27341AD8"/>
    <w:rsid w:val="279A52BC"/>
    <w:rsid w:val="27CE7A10"/>
    <w:rsid w:val="28A11882"/>
    <w:rsid w:val="28B13905"/>
    <w:rsid w:val="28D2314B"/>
    <w:rsid w:val="28D47992"/>
    <w:rsid w:val="28E04120"/>
    <w:rsid w:val="28EC2844"/>
    <w:rsid w:val="29387837"/>
    <w:rsid w:val="295D5A2E"/>
    <w:rsid w:val="29972B84"/>
    <w:rsid w:val="299F1664"/>
    <w:rsid w:val="2A08236A"/>
    <w:rsid w:val="2A3744E2"/>
    <w:rsid w:val="2A4468E8"/>
    <w:rsid w:val="2A88139D"/>
    <w:rsid w:val="2B04761D"/>
    <w:rsid w:val="2B31540B"/>
    <w:rsid w:val="2BF612E4"/>
    <w:rsid w:val="2C07626C"/>
    <w:rsid w:val="2C265B3F"/>
    <w:rsid w:val="2C365B84"/>
    <w:rsid w:val="2C54430A"/>
    <w:rsid w:val="2C950AFD"/>
    <w:rsid w:val="2CD07D87"/>
    <w:rsid w:val="2D3477DA"/>
    <w:rsid w:val="2D921854"/>
    <w:rsid w:val="2DBA5D46"/>
    <w:rsid w:val="2DC2093D"/>
    <w:rsid w:val="2DEA5335"/>
    <w:rsid w:val="2E0E34EA"/>
    <w:rsid w:val="2E512AC0"/>
    <w:rsid w:val="2E59154F"/>
    <w:rsid w:val="2E7C1412"/>
    <w:rsid w:val="2E8D2405"/>
    <w:rsid w:val="2E96490B"/>
    <w:rsid w:val="2EB82AC2"/>
    <w:rsid w:val="2EDF2503"/>
    <w:rsid w:val="2EF064BE"/>
    <w:rsid w:val="2F96257F"/>
    <w:rsid w:val="304940ED"/>
    <w:rsid w:val="308C3833"/>
    <w:rsid w:val="3095731D"/>
    <w:rsid w:val="30B06230"/>
    <w:rsid w:val="30D50061"/>
    <w:rsid w:val="31164343"/>
    <w:rsid w:val="317928C0"/>
    <w:rsid w:val="317D7F2F"/>
    <w:rsid w:val="31A041CB"/>
    <w:rsid w:val="31EB3B69"/>
    <w:rsid w:val="31FC6110"/>
    <w:rsid w:val="32C75788"/>
    <w:rsid w:val="32EC308E"/>
    <w:rsid w:val="3301513E"/>
    <w:rsid w:val="330E3209"/>
    <w:rsid w:val="33210D4B"/>
    <w:rsid w:val="33753436"/>
    <w:rsid w:val="33AE6A83"/>
    <w:rsid w:val="33F20148"/>
    <w:rsid w:val="344C36D7"/>
    <w:rsid w:val="347D25A2"/>
    <w:rsid w:val="349124F1"/>
    <w:rsid w:val="34CF6284"/>
    <w:rsid w:val="34D94D78"/>
    <w:rsid w:val="34E43BF0"/>
    <w:rsid w:val="34FA0BAE"/>
    <w:rsid w:val="35A77929"/>
    <w:rsid w:val="366C6D72"/>
    <w:rsid w:val="36CC15BF"/>
    <w:rsid w:val="375A12C0"/>
    <w:rsid w:val="379D4EBE"/>
    <w:rsid w:val="37D93A30"/>
    <w:rsid w:val="38250B51"/>
    <w:rsid w:val="3846715C"/>
    <w:rsid w:val="39EC58CA"/>
    <w:rsid w:val="39FB2B8C"/>
    <w:rsid w:val="3A1F1BFC"/>
    <w:rsid w:val="3A3F02FA"/>
    <w:rsid w:val="3A5D44DB"/>
    <w:rsid w:val="3A887938"/>
    <w:rsid w:val="3A9262F0"/>
    <w:rsid w:val="3AC30F2B"/>
    <w:rsid w:val="3AE54968"/>
    <w:rsid w:val="3AED2368"/>
    <w:rsid w:val="3B261658"/>
    <w:rsid w:val="3B500B8C"/>
    <w:rsid w:val="3BB05953"/>
    <w:rsid w:val="3BCB0097"/>
    <w:rsid w:val="3C44609B"/>
    <w:rsid w:val="3C460065"/>
    <w:rsid w:val="3C653FC1"/>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B6846"/>
    <w:rsid w:val="439A2BC7"/>
    <w:rsid w:val="44112D07"/>
    <w:rsid w:val="44D67B06"/>
    <w:rsid w:val="45034416"/>
    <w:rsid w:val="455C18CC"/>
    <w:rsid w:val="459C4B6B"/>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302F6"/>
    <w:rsid w:val="49A80A70"/>
    <w:rsid w:val="49EE685A"/>
    <w:rsid w:val="49F25388"/>
    <w:rsid w:val="4A045B66"/>
    <w:rsid w:val="4A0D5D1E"/>
    <w:rsid w:val="4A1470AD"/>
    <w:rsid w:val="4A471230"/>
    <w:rsid w:val="4A6E0EB3"/>
    <w:rsid w:val="4A755EA0"/>
    <w:rsid w:val="4AB663B6"/>
    <w:rsid w:val="4AC24D5B"/>
    <w:rsid w:val="4BDB54C1"/>
    <w:rsid w:val="4C07336D"/>
    <w:rsid w:val="4C126731"/>
    <w:rsid w:val="4C561BFF"/>
    <w:rsid w:val="4C6C277D"/>
    <w:rsid w:val="4C80439B"/>
    <w:rsid w:val="4CD82614"/>
    <w:rsid w:val="4D283D09"/>
    <w:rsid w:val="4D650BDF"/>
    <w:rsid w:val="4D666D5C"/>
    <w:rsid w:val="4DAE09A0"/>
    <w:rsid w:val="4DB841F3"/>
    <w:rsid w:val="4DE92870"/>
    <w:rsid w:val="4E10402F"/>
    <w:rsid w:val="4E1F474B"/>
    <w:rsid w:val="4E2A0721"/>
    <w:rsid w:val="4E612ADD"/>
    <w:rsid w:val="4F813436"/>
    <w:rsid w:val="4FC73DE1"/>
    <w:rsid w:val="50485D02"/>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150435"/>
    <w:rsid w:val="56250D50"/>
    <w:rsid w:val="566C4581"/>
    <w:rsid w:val="56815ACA"/>
    <w:rsid w:val="5684380C"/>
    <w:rsid w:val="56C62FC9"/>
    <w:rsid w:val="58366D88"/>
    <w:rsid w:val="58B8408C"/>
    <w:rsid w:val="58C53371"/>
    <w:rsid w:val="592503CD"/>
    <w:rsid w:val="5A105AE3"/>
    <w:rsid w:val="5AC71F19"/>
    <w:rsid w:val="5ADC3C17"/>
    <w:rsid w:val="5B48305A"/>
    <w:rsid w:val="5BA00781"/>
    <w:rsid w:val="5BB1420F"/>
    <w:rsid w:val="5BE54D4D"/>
    <w:rsid w:val="5BED775E"/>
    <w:rsid w:val="5C0F1DCA"/>
    <w:rsid w:val="5C2F0C39"/>
    <w:rsid w:val="5CAF7795"/>
    <w:rsid w:val="5CB00EB7"/>
    <w:rsid w:val="5D086F45"/>
    <w:rsid w:val="5D323FC2"/>
    <w:rsid w:val="5DE828D3"/>
    <w:rsid w:val="5E08551F"/>
    <w:rsid w:val="5E525F9E"/>
    <w:rsid w:val="5E6F08FE"/>
    <w:rsid w:val="5EBA2711"/>
    <w:rsid w:val="5F745E66"/>
    <w:rsid w:val="5FA171DD"/>
    <w:rsid w:val="5FD749AD"/>
    <w:rsid w:val="6040150D"/>
    <w:rsid w:val="60936B26"/>
    <w:rsid w:val="60C2740B"/>
    <w:rsid w:val="611A0FF5"/>
    <w:rsid w:val="61495849"/>
    <w:rsid w:val="615A19EE"/>
    <w:rsid w:val="61797ACD"/>
    <w:rsid w:val="61A60F09"/>
    <w:rsid w:val="61B72CE8"/>
    <w:rsid w:val="61CA2D38"/>
    <w:rsid w:val="620B4BE9"/>
    <w:rsid w:val="620F4F28"/>
    <w:rsid w:val="621041A6"/>
    <w:rsid w:val="622019C2"/>
    <w:rsid w:val="62D022B3"/>
    <w:rsid w:val="62F35FA1"/>
    <w:rsid w:val="63103B19"/>
    <w:rsid w:val="631B6AE5"/>
    <w:rsid w:val="63222431"/>
    <w:rsid w:val="6338222B"/>
    <w:rsid w:val="634376F0"/>
    <w:rsid w:val="63492023"/>
    <w:rsid w:val="6392405C"/>
    <w:rsid w:val="6393578D"/>
    <w:rsid w:val="63DA61F3"/>
    <w:rsid w:val="64A5151D"/>
    <w:rsid w:val="64DA6254"/>
    <w:rsid w:val="652E5FF6"/>
    <w:rsid w:val="655C7097"/>
    <w:rsid w:val="6582360D"/>
    <w:rsid w:val="658A05B5"/>
    <w:rsid w:val="660576BF"/>
    <w:rsid w:val="66307F76"/>
    <w:rsid w:val="66F23DAD"/>
    <w:rsid w:val="675B4115"/>
    <w:rsid w:val="67AB0D31"/>
    <w:rsid w:val="67E85E78"/>
    <w:rsid w:val="68242759"/>
    <w:rsid w:val="68324E76"/>
    <w:rsid w:val="6832790E"/>
    <w:rsid w:val="684257ED"/>
    <w:rsid w:val="68672CFF"/>
    <w:rsid w:val="6873723D"/>
    <w:rsid w:val="68B64FF8"/>
    <w:rsid w:val="68BC0F70"/>
    <w:rsid w:val="68BC56C0"/>
    <w:rsid w:val="6A5437CA"/>
    <w:rsid w:val="6A917936"/>
    <w:rsid w:val="6AC16985"/>
    <w:rsid w:val="6ACA3A8C"/>
    <w:rsid w:val="6AD14E1A"/>
    <w:rsid w:val="6AF23C66"/>
    <w:rsid w:val="6B013226"/>
    <w:rsid w:val="6B1A20D3"/>
    <w:rsid w:val="6B6B233A"/>
    <w:rsid w:val="6BC7335C"/>
    <w:rsid w:val="6BEC38B2"/>
    <w:rsid w:val="6C2076DB"/>
    <w:rsid w:val="6D672203"/>
    <w:rsid w:val="6D67760E"/>
    <w:rsid w:val="6DAD31F1"/>
    <w:rsid w:val="6E4C2A0A"/>
    <w:rsid w:val="6E641B01"/>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554C45"/>
    <w:rsid w:val="767C258A"/>
    <w:rsid w:val="76AA651F"/>
    <w:rsid w:val="76DD54BE"/>
    <w:rsid w:val="774226B2"/>
    <w:rsid w:val="774A1F82"/>
    <w:rsid w:val="777A6824"/>
    <w:rsid w:val="77943863"/>
    <w:rsid w:val="779E42D6"/>
    <w:rsid w:val="77CE623E"/>
    <w:rsid w:val="77D53A70"/>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DA34BE9"/>
    <w:rsid w:val="7DCC321F"/>
    <w:rsid w:val="7E401EC6"/>
    <w:rsid w:val="7E4A6CF6"/>
    <w:rsid w:val="7E550EF8"/>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5">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6">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7">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0" w:firstLineChars="0"/>
    </w:pPr>
    <w:rPr>
      <w:rFonts w:ascii="仿宋_GB2312" w:hAnsi="仿宋_GB2312" w:eastAsia="仿宋_GB2312"/>
    </w:rPr>
  </w:style>
  <w:style w:type="paragraph" w:styleId="8">
    <w:name w:val="Normal Indent"/>
    <w:basedOn w:val="1"/>
    <w:autoRedefine/>
    <w:qFormat/>
    <w:uiPriority w:val="0"/>
    <w:pPr>
      <w:ind w:firstLine="200" w:firstLineChars="200"/>
    </w:pPr>
    <w:rPr>
      <w:rFonts w:ascii="Times New Roman" w:hAnsi="Times New Roman" w:eastAsia="宋体" w:cs="Times New Roman"/>
      <w:sz w:val="21"/>
    </w:rPr>
  </w:style>
  <w:style w:type="paragraph" w:styleId="9">
    <w:name w:val="Body Text"/>
    <w:basedOn w:val="1"/>
    <w:autoRedefine/>
    <w:qFormat/>
    <w:uiPriority w:val="1"/>
    <w:rPr>
      <w:rFonts w:ascii="宋体" w:hAnsi="宋体" w:cs="宋体"/>
      <w:sz w:val="32"/>
      <w:szCs w:val="32"/>
      <w:lang w:val="zh-CN" w:bidi="zh-CN"/>
    </w:rPr>
  </w:style>
  <w:style w:type="paragraph" w:styleId="10">
    <w:name w:val="Body Text Indent"/>
    <w:basedOn w:val="1"/>
    <w:next w:val="11"/>
    <w:autoRedefine/>
    <w:qFormat/>
    <w:uiPriority w:val="0"/>
    <w:pPr>
      <w:ind w:firstLine="640" w:firstLineChars="200"/>
    </w:pPr>
    <w:rPr>
      <w:rFonts w:ascii="仿宋_GB2312" w:eastAsia="仿宋_GB2312" w:cs="Times New Roman"/>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List 2"/>
    <w:basedOn w:val="1"/>
    <w:autoRedefine/>
    <w:unhideWhenUsed/>
    <w:qFormat/>
    <w:uiPriority w:val="99"/>
    <w:pPr>
      <w:ind w:left="100" w:leftChars="200" w:hanging="200" w:hangingChars="200"/>
    </w:pPr>
  </w:style>
  <w:style w:type="paragraph" w:styleId="13">
    <w:name w:val="toc 3"/>
    <w:basedOn w:val="1"/>
    <w:next w:val="1"/>
    <w:autoRedefine/>
    <w:qFormat/>
    <w:uiPriority w:val="0"/>
    <w:pPr>
      <w:ind w:left="840" w:leftChars="400"/>
    </w:pPr>
  </w:style>
  <w:style w:type="paragraph" w:styleId="14">
    <w:name w:val="Date"/>
    <w:basedOn w:val="1"/>
    <w:next w:val="1"/>
    <w:autoRedefine/>
    <w:unhideWhenUsed/>
    <w:qFormat/>
    <w:uiPriority w:val="99"/>
    <w:pPr>
      <w:spacing w:before="100" w:beforeAutospacing="1" w:after="100" w:afterAutospacing="1"/>
      <w:ind w:left="2500" w:leftChars="2500"/>
    </w:p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style>
  <w:style w:type="paragraph" w:styleId="17">
    <w:name w:val="toc 2"/>
    <w:basedOn w:val="1"/>
    <w:next w:val="1"/>
    <w:autoRedefine/>
    <w:qFormat/>
    <w:uiPriority w:val="0"/>
    <w:pPr>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20">
    <w:name w:val="Title"/>
    <w:basedOn w:val="1"/>
    <w:next w:val="1"/>
    <w:autoRedefine/>
    <w:qFormat/>
    <w:uiPriority w:val="99"/>
    <w:pPr>
      <w:spacing w:before="240" w:after="60"/>
      <w:jc w:val="center"/>
      <w:outlineLvl w:val="0"/>
    </w:pPr>
    <w:rPr>
      <w:rFonts w:ascii="Cambria" w:hAnsi="Cambria" w:eastAsia="宋体"/>
      <w:b/>
      <w:bCs/>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5"/>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22449</Words>
  <Characters>23383</Characters>
  <Lines>0</Lines>
  <Paragraphs>0</Paragraphs>
  <TotalTime>11</TotalTime>
  <ScaleCrop>false</ScaleCrop>
  <LinksUpToDate>false</LinksUpToDate>
  <CharactersWithSpaces>23797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