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kinsoku/>
        <w:wordWrap/>
        <w:overflowPunct/>
        <w:topLinePunct w:val="0"/>
        <w:autoSpaceDE/>
        <w:autoSpaceDN/>
        <w:bidi w:val="0"/>
        <w:adjustRightInd/>
        <w:snapToGrid/>
        <w:spacing w:after="0" w:line="760" w:lineRule="exact"/>
        <w:ind w:left="0" w:leftChars="0" w:firstLine="420" w:firstLineChars="0"/>
        <w:jc w:val="center"/>
        <w:textAlignment w:val="auto"/>
        <w:rPr>
          <w:rFonts w:hint="eastAsia" w:ascii="黑体" w:hAnsi="黑体" w:eastAsia="黑体" w:cs="Times New Roman"/>
          <w:kern w:val="0"/>
          <w:sz w:val="44"/>
          <w:szCs w:val="44"/>
          <w:lang w:val="en-US" w:eastAsia="zh-CN" w:bidi="ar-SA"/>
        </w:rPr>
      </w:pPr>
    </w:p>
    <w:p>
      <w:pPr>
        <w:rPr>
          <w:rFonts w:hint="eastAsia"/>
          <w:lang w:val="en-US" w:eastAsia="zh-CN"/>
        </w:rPr>
      </w:pPr>
    </w:p>
    <w:p>
      <w:pPr>
        <w:pStyle w:val="21"/>
        <w:keepNext w:val="0"/>
        <w:keepLines w:val="0"/>
        <w:pageBreakBefore w:val="0"/>
        <w:widowControl/>
        <w:kinsoku/>
        <w:wordWrap/>
        <w:overflowPunct/>
        <w:topLinePunct w:val="0"/>
        <w:autoSpaceDE/>
        <w:autoSpaceDN/>
        <w:bidi w:val="0"/>
        <w:adjustRightInd/>
        <w:snapToGrid/>
        <w:spacing w:after="0" w:line="760" w:lineRule="exact"/>
        <w:ind w:left="0" w:leftChars="0" w:firstLine="420" w:firstLineChars="0"/>
        <w:jc w:val="center"/>
        <w:textAlignment w:val="auto"/>
        <w:rPr>
          <w:rFonts w:hint="eastAsia" w:ascii="黑体" w:hAnsi="黑体" w:eastAsia="黑体" w:cs="Times New Roman"/>
          <w:kern w:val="0"/>
          <w:sz w:val="44"/>
          <w:szCs w:val="44"/>
          <w:lang w:val="en-US" w:eastAsia="zh-CN" w:bidi="ar-SA"/>
        </w:rPr>
      </w:pPr>
      <w:r>
        <w:rPr>
          <w:rFonts w:hint="eastAsia" w:ascii="黑体" w:hAnsi="黑体" w:eastAsia="黑体" w:cs="Times New Roman"/>
          <w:kern w:val="0"/>
          <w:sz w:val="44"/>
          <w:szCs w:val="44"/>
          <w:lang w:val="en-US" w:eastAsia="zh-CN" w:bidi="ar-SA"/>
        </w:rPr>
        <w:t>同心县民政局2022年困难残疾人生活补助和重度残疾人护理补贴项目</w:t>
      </w:r>
    </w:p>
    <w:p>
      <w:pPr>
        <w:pStyle w:val="21"/>
        <w:keepNext w:val="0"/>
        <w:keepLines w:val="0"/>
        <w:pageBreakBefore w:val="0"/>
        <w:widowControl/>
        <w:kinsoku/>
        <w:wordWrap/>
        <w:overflowPunct/>
        <w:topLinePunct w:val="0"/>
        <w:autoSpaceDE/>
        <w:autoSpaceDN/>
        <w:bidi w:val="0"/>
        <w:adjustRightInd/>
        <w:snapToGrid/>
        <w:spacing w:after="0" w:line="760" w:lineRule="exact"/>
        <w:ind w:left="0" w:leftChars="0" w:firstLine="420" w:firstLineChars="0"/>
        <w:jc w:val="center"/>
        <w:textAlignment w:val="auto"/>
        <w:rPr>
          <w:rFonts w:hint="eastAsia" w:ascii="黑体" w:hAnsi="黑体" w:eastAsia="黑体" w:cs="Times New Roman"/>
          <w:kern w:val="0"/>
          <w:sz w:val="44"/>
          <w:szCs w:val="44"/>
          <w:lang w:val="en-US" w:eastAsia="zh-CN" w:bidi="ar-SA"/>
        </w:rPr>
      </w:pPr>
      <w:r>
        <w:rPr>
          <w:rFonts w:hint="eastAsia" w:ascii="黑体" w:hAnsi="黑体" w:eastAsia="黑体" w:cs="Times New Roman"/>
          <w:kern w:val="0"/>
          <w:sz w:val="44"/>
          <w:szCs w:val="44"/>
          <w:lang w:val="en-US" w:eastAsia="zh-CN" w:bidi="ar-SA"/>
        </w:rPr>
        <w:t>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76"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w:t>
      </w:r>
      <w:r>
        <w:rPr>
          <w:rFonts w:hint="default" w:ascii="Times New Roman" w:hAnsi="Times New Roman" w:eastAsia="楷体" w:cs="Times New Roman"/>
          <w:b w:val="0"/>
          <w:bCs w:val="0"/>
          <w:i w:val="0"/>
          <w:iCs w:val="0"/>
          <w:sz w:val="32"/>
          <w:szCs w:val="32"/>
          <w:highlight w:val="none"/>
        </w:rPr>
        <w:t>字</w:t>
      </w:r>
      <w:r>
        <w:rPr>
          <w:rFonts w:hint="default" w:ascii="Times New Roman" w:hAnsi="Times New Roman" w:eastAsia="方正仿宋_GBK" w:cs="Times New Roman"/>
          <w:color w:val="auto"/>
          <w:kern w:val="2"/>
          <w:sz w:val="30"/>
          <w:szCs w:val="30"/>
          <w:highlight w:val="none"/>
          <w:lang w:val="en-US" w:eastAsia="zh-CN" w:bidi="ar-SA"/>
        </w:rPr>
        <w:t>〔20</w:t>
      </w:r>
      <w:r>
        <w:rPr>
          <w:rFonts w:hint="eastAsia" w:ascii="Times New Roman" w:hAnsi="Times New Roman" w:eastAsia="方正仿宋_GBK" w:cs="Times New Roman"/>
          <w:color w:val="auto"/>
          <w:kern w:val="2"/>
          <w:sz w:val="30"/>
          <w:szCs w:val="30"/>
          <w:highlight w:val="none"/>
          <w:lang w:val="en-US" w:eastAsia="zh-CN" w:bidi="ar-SA"/>
        </w:rPr>
        <w:t>23</w:t>
      </w:r>
      <w:r>
        <w:rPr>
          <w:rFonts w:hint="default"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楷体" w:cs="Times New Roman"/>
          <w:b w:val="0"/>
          <w:bCs w:val="0"/>
          <w:i w:val="0"/>
          <w:iCs w:val="0"/>
          <w:color w:val="auto"/>
          <w:sz w:val="32"/>
          <w:szCs w:val="32"/>
          <w:highlight w:val="none"/>
        </w:rPr>
        <w:t>第</w:t>
      </w:r>
      <w:r>
        <w:rPr>
          <w:rFonts w:hint="default" w:ascii="Times New Roman" w:hAnsi="Times New Roman" w:eastAsia="楷体" w:cs="Times New Roman"/>
          <w:b w:val="0"/>
          <w:bCs w:val="0"/>
          <w:i w:val="0"/>
          <w:iCs w:val="0"/>
          <w:color w:val="auto"/>
          <w:sz w:val="32"/>
          <w:szCs w:val="32"/>
          <w:highlight w:val="none"/>
          <w:lang w:val="en-US" w:eastAsia="zh-CN"/>
        </w:rPr>
        <w:t>009</w:t>
      </w:r>
      <w:r>
        <w:rPr>
          <w:rFonts w:hint="eastAsia" w:ascii="楷体" w:hAnsi="楷体" w:eastAsia="楷体" w:cs="楷体"/>
          <w:b w:val="0"/>
          <w:bCs w:val="0"/>
          <w:i w:val="0"/>
          <w:iCs w:val="0"/>
          <w:sz w:val="32"/>
          <w:szCs w:val="32"/>
          <w:highlight w:val="none"/>
        </w:rPr>
        <w:t>号</w:t>
      </w:r>
    </w:p>
    <w:p>
      <w:pPr>
        <w:keepNext w:val="0"/>
        <w:keepLines w:val="0"/>
        <w:pageBreakBefore w:val="0"/>
        <w:widowControl w:val="0"/>
        <w:kinsoku/>
        <w:wordWrap/>
        <w:overflowPunct w:val="0"/>
        <w:topLinePunct w:val="0"/>
        <w:autoSpaceDE/>
        <w:autoSpaceDN/>
        <w:bidi w:val="0"/>
        <w:adjustRightInd/>
        <w:snapToGrid/>
        <w:spacing w:line="560" w:lineRule="exact"/>
        <w:ind w:firstLine="3220" w:firstLineChars="1000"/>
        <w:jc w:val="both"/>
        <w:textAlignment w:val="auto"/>
        <w:rPr>
          <w:rFonts w:hint="eastAsia" w:ascii="楷体" w:hAnsi="楷体" w:eastAsia="楷体" w:cs="楷体"/>
          <w:b w:val="0"/>
          <w:bCs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3220" w:firstLineChars="1000"/>
        <w:jc w:val="both"/>
        <w:textAlignment w:val="auto"/>
        <w:rPr>
          <w:rFonts w:hint="eastAsia" w:ascii="楷体" w:hAnsi="楷体" w:eastAsia="楷体" w:cs="楷体"/>
          <w:b w:val="0"/>
          <w:bCs w:val="0"/>
          <w:sz w:val="32"/>
          <w:szCs w:val="32"/>
          <w:highlight w:val="none"/>
          <w:lang w:val="en-US" w:eastAsia="zh-CN"/>
        </w:rPr>
      </w:pPr>
    </w:p>
    <w:p>
      <w:pPr>
        <w:pStyle w:val="21"/>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1"/>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1"/>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660" w:lineRule="exact"/>
        <w:ind w:firstLine="1812" w:firstLineChars="600"/>
        <w:jc w:val="both"/>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spacing w:line="660" w:lineRule="exact"/>
        <w:ind w:left="0" w:leftChars="0" w:firstLine="1812" w:firstLineChars="600"/>
        <w:jc w:val="both"/>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黑体" w:hAnsi="黑体" w:eastAsia="黑体" w:cs="黑体"/>
          <w:b w:val="0"/>
          <w:bCs w:val="0"/>
          <w:kern w:val="0"/>
          <w:sz w:val="30"/>
          <w:szCs w:val="30"/>
          <w:lang w:val="en-US" w:eastAsia="zh-CN" w:bidi="en-US"/>
        </w:rPr>
        <w:t>评价机构名称：宁夏万协项目管理有限公司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1812" w:firstLineChars="600"/>
        <w:jc w:val="both"/>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评价报告时间：二〇二三年十二月</w:t>
      </w:r>
    </w:p>
    <w:p>
      <w:pPr>
        <w:ind w:left="0" w:leftChars="0" w:firstLine="0" w:firstLineChars="0"/>
        <w:jc w:val="both"/>
        <w:rPr>
          <w:rFonts w:hint="eastAsia" w:ascii="楷体" w:hAnsi="楷体" w:eastAsia="楷体" w:cs="楷体"/>
          <w:b/>
          <w:bCs/>
          <w:color w:val="0049AF"/>
          <w:spacing w:val="62"/>
          <w:sz w:val="32"/>
          <w:szCs w:val="32"/>
        </w:rPr>
      </w:pPr>
    </w:p>
    <w:p>
      <w:pPr>
        <w:keepNext w:val="0"/>
        <w:keepLines w:val="0"/>
        <w:pageBreakBefore w:val="0"/>
        <w:widowControl w:val="0"/>
        <w:kinsoku/>
        <w:wordWrap/>
        <w:overflowPunct w:val="0"/>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val="0"/>
        <w:topLinePunct w:val="0"/>
        <w:autoSpaceDE/>
        <w:autoSpaceDN/>
        <w:bidi w:val="0"/>
        <w:adjustRightInd/>
        <w:snapToGrid/>
        <w:spacing w:line="760" w:lineRule="exact"/>
        <w:ind w:left="0" w:leftChars="0" w:firstLine="0" w:firstLineChars="0"/>
        <w:jc w:val="both"/>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val="0"/>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r>
        <w:rPr>
          <w:rFonts w:hint="eastAsia" w:ascii="方正小标宋简体" w:hAnsi="方正小标宋简体" w:eastAsia="方正小标宋简体" w:cs="方正小标宋简体"/>
          <w:b w:val="0"/>
          <w:color w:val="000000"/>
          <w:kern w:val="0"/>
          <w:sz w:val="43"/>
          <w:szCs w:val="43"/>
          <w:lang w:val="en-US" w:eastAsia="zh-CN" w:bidi="ar"/>
        </w:rPr>
        <w:t>同心县民政局2022年困难残疾人生活补助和重度残疾人护理补贴项目</w:t>
      </w:r>
    </w:p>
    <w:p>
      <w:pPr>
        <w:keepNext w:val="0"/>
        <w:keepLines w:val="0"/>
        <w:pageBreakBefore w:val="0"/>
        <w:widowControl w:val="0"/>
        <w:kinsoku/>
        <w:wordWrap/>
        <w:overflowPunct w:val="0"/>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r>
        <w:rPr>
          <w:rFonts w:hint="eastAsia" w:ascii="方正小标宋简体" w:hAnsi="方正小标宋简体" w:eastAsia="方正小标宋简体" w:cs="方正小标宋简体"/>
          <w:b w:val="0"/>
          <w:color w:val="000000"/>
          <w:kern w:val="0"/>
          <w:sz w:val="43"/>
          <w:szCs w:val="43"/>
          <w:lang w:val="en-US" w:eastAsia="zh-CN" w:bidi="ar"/>
        </w:rPr>
        <w:t>绩效评价报告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color w:val="auto"/>
          <w:kern w:val="2"/>
          <w:sz w:val="30"/>
          <w:szCs w:val="30"/>
          <w:highlight w:val="none"/>
          <w:lang w:val="en-US" w:eastAsia="zh-CN" w:bidi="ar-SA"/>
        </w:rPr>
        <w:t>〔20</w:t>
      </w:r>
      <w:r>
        <w:rPr>
          <w:rFonts w:hint="eastAsia" w:ascii="Times New Roman" w:hAnsi="Times New Roman" w:eastAsia="方正仿宋_GBK" w:cs="Times New Roman"/>
          <w:color w:val="auto"/>
          <w:kern w:val="2"/>
          <w:sz w:val="30"/>
          <w:szCs w:val="30"/>
          <w:highlight w:val="none"/>
          <w:lang w:val="en-US" w:eastAsia="zh-CN" w:bidi="ar-SA"/>
        </w:rPr>
        <w:t>23</w:t>
      </w:r>
      <w:r>
        <w:rPr>
          <w:rFonts w:hint="default"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楷体" w:cs="Times New Roman"/>
          <w:color w:val="000000"/>
          <w:kern w:val="0"/>
          <w:sz w:val="31"/>
          <w:szCs w:val="31"/>
          <w:lang w:val="en-US" w:eastAsia="zh-CN" w:bidi="ar"/>
        </w:rPr>
        <w:t>第</w:t>
      </w:r>
      <w:r>
        <w:rPr>
          <w:rFonts w:hint="default" w:ascii="Times New Roman" w:hAnsi="Times New Roman" w:eastAsia="楷体" w:cs="Times New Roman"/>
          <w:color w:val="0000FF"/>
          <w:kern w:val="0"/>
          <w:sz w:val="31"/>
          <w:szCs w:val="31"/>
          <w:lang w:val="en-US" w:eastAsia="zh-CN" w:bidi="ar"/>
        </w:rPr>
        <w:t xml:space="preserve"> </w:t>
      </w:r>
      <w:r>
        <w:rPr>
          <w:rFonts w:hint="default" w:ascii="Times New Roman" w:hAnsi="Times New Roman" w:eastAsia="楷体" w:cs="Times New Roman"/>
          <w:color w:val="auto"/>
          <w:kern w:val="0"/>
          <w:sz w:val="31"/>
          <w:szCs w:val="31"/>
          <w:lang w:val="en-US" w:eastAsia="zh-CN" w:bidi="ar"/>
        </w:rPr>
        <w:t>009</w:t>
      </w:r>
      <w:r>
        <w:rPr>
          <w:rFonts w:hint="eastAsia" w:ascii="楷体" w:hAnsi="楷体" w:eastAsia="楷体" w:cs="楷体"/>
          <w:color w:val="000000"/>
          <w:kern w:val="0"/>
          <w:sz w:val="31"/>
          <w:szCs w:val="31"/>
          <w:lang w:val="en-US" w:eastAsia="zh-CN" w:bidi="ar"/>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56"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bookmarkStart w:id="180" w:name="_GoBack"/>
      <w:bookmarkEnd w:id="180"/>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867"/>
        </w:tabs>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firstLine="1692" w:firstLineChars="60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firstLine="1692" w:firstLineChars="60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评价对象名称：同心县民政局</w:t>
      </w:r>
    </w:p>
    <w:p>
      <w:pPr>
        <w:keepNext w:val="0"/>
        <w:keepLines w:val="0"/>
        <w:pageBreakBefore w:val="0"/>
        <w:widowControl/>
        <w:suppressLineNumbers w:val="0"/>
        <w:kinsoku/>
        <w:wordWrap/>
        <w:overflowPunct w:val="0"/>
        <w:topLinePunct w:val="0"/>
        <w:autoSpaceDE/>
        <w:autoSpaceDN/>
        <w:bidi w:val="0"/>
        <w:adjustRightInd/>
        <w:snapToGrid/>
        <w:ind w:firstLine="1692" w:firstLineChars="60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1910" w:leftChars="522" w:hanging="230" w:hangingChars="82"/>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评价报告时间：二〇二三年十二月</w:t>
      </w:r>
    </w:p>
    <w:p>
      <w:pPr>
        <w:rPr>
          <w:rFonts w:hint="eastAsia"/>
          <w:lang w:val="en-US" w:eastAsia="zh-CN"/>
        </w:rPr>
      </w:pPr>
    </w:p>
    <w:p>
      <w:pPr>
        <w:pStyle w:val="21"/>
        <w:rPr>
          <w:rFonts w:hint="eastAsia"/>
        </w:rPr>
        <w:sectPr>
          <w:headerReference r:id="rId5" w:type="default"/>
          <w:footerReference r:id="rId6" w:type="default"/>
          <w:pgSz w:w="11905" w:h="16838"/>
          <w:pgMar w:top="2098" w:right="1587" w:bottom="2098" w:left="1587" w:header="1191" w:footer="935" w:gutter="0"/>
          <w:pgBorders>
            <w:top w:val="none" w:sz="0" w:space="0"/>
            <w:left w:val="none" w:sz="0" w:space="0"/>
            <w:bottom w:val="none" w:sz="0" w:space="0"/>
            <w:right w:val="none" w:sz="0" w:space="0"/>
          </w:pgBorders>
          <w:pgNumType w:fmt="decimal"/>
          <w:cols w:space="0" w:num="1"/>
          <w:rtlGutter w:val="0"/>
          <w:docGrid w:type="linesAndChars" w:linePitch="549" w:charSpace="614"/>
        </w:sectPr>
      </w:pPr>
    </w:p>
    <w:p>
      <w:pPr>
        <w:ind w:firstLine="3536"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2"/>
        <w:keepNext/>
        <w:keepLines/>
        <w:pageBreakBefore w:val="0"/>
        <w:widowControl w:val="0"/>
        <w:kinsoku/>
        <w:wordWrap/>
        <w:overflowPunct/>
        <w:topLinePunct w:val="0"/>
        <w:autoSpaceDE/>
        <w:autoSpaceDN/>
        <w:bidi w:val="0"/>
        <w:adjustRightInd/>
        <w:snapToGrid w:val="0"/>
        <w:spacing w:beforeLines="0" w:afterLines="0"/>
        <w:ind w:firstLine="604"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30593"/>
      <w:bookmarkStart w:id="1" w:name="_Toc31490"/>
      <w:bookmarkStart w:id="2" w:name="_Toc1587"/>
      <w:r>
        <w:rPr>
          <w:rFonts w:hint="eastAsia" w:asciiTheme="majorEastAsia" w:hAnsiTheme="majorEastAsia" w:eastAsiaTheme="majorEastAsia" w:cstheme="majorEastAsia"/>
          <w:b/>
          <w:bCs/>
          <w:sz w:val="30"/>
          <w:szCs w:val="30"/>
          <w:lang w:val="en-US" w:eastAsia="zh-CN"/>
        </w:rPr>
        <w:t>一、项目背景</w:t>
      </w:r>
      <w:bookmarkEnd w:id="0"/>
      <w:bookmarkEnd w:id="1"/>
      <w:bookmarkEnd w:id="2"/>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3" w:name="_Toc13114"/>
      <w:bookmarkStart w:id="4" w:name="_Toc32242"/>
      <w:bookmarkStart w:id="5" w:name="_Toc18303"/>
      <w:r>
        <w:rPr>
          <w:rFonts w:hint="default" w:ascii="Times New Roman" w:hAnsi="Times New Roman" w:eastAsia="方正仿宋_GBK" w:cs="Times New Roman"/>
          <w:color w:val="auto"/>
          <w:kern w:val="2"/>
          <w:sz w:val="30"/>
          <w:szCs w:val="30"/>
          <w:highlight w:val="none"/>
          <w:lang w:val="en-US" w:eastAsia="zh-CN" w:bidi="ar-SA"/>
        </w:rPr>
        <w:t>残疾人事业是中国特色社会主义事业的重要组成部分，扶残助残是社会文明进步的重要标志。习近平总书记强调，“残疾人事业一定要继续推动”，要“促进残疾人全面发展和共同富裕”。党中央、国务院高度重视残疾人事业发展。自治区党委和政府坚决贯彻党中央、国务院决策部署，坚持以人民为中心的发展思想，落实“全面建成小康社会，残疾人一个也不能少”的要求，将残疾人工作作为保障民生、促进经济社会发展的重要内容。</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同心县民政工作在县委、县政府的坚强领导下，在自治区民政厅的精心指导下，坚持以习近平新时代中国特色社会主义思想为指导，紧紧围绕统筹安全与发展，坚持“民政为民、民政爱民”工作理念，聚焦乡村振兴、聚焦特殊群体、聚焦群众关切，扎实推进社会救助兜底保障工作，改善特殊群体生活品质，促进特殊群体共享经济社会发展成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leftChars="0" w:right="0" w:firstLine="604" w:firstLineChars="200"/>
        <w:jc w:val="both"/>
        <w:textAlignment w:val="auto"/>
        <w:rPr>
          <w:rFonts w:hint="eastAsia" w:asciiTheme="majorEastAsia" w:hAnsiTheme="majorEastAsia" w:eastAsiaTheme="majorEastAsia" w:cstheme="majorEastAsia"/>
          <w:b/>
          <w:bCs/>
          <w:kern w:val="0"/>
          <w:sz w:val="30"/>
          <w:szCs w:val="30"/>
          <w:lang w:val="en-US" w:eastAsia="zh-CN" w:bidi="zh-CN"/>
        </w:rPr>
      </w:pPr>
      <w:r>
        <w:rPr>
          <w:rFonts w:hint="eastAsia" w:asciiTheme="majorEastAsia" w:hAnsiTheme="majorEastAsia" w:eastAsiaTheme="majorEastAsia" w:cstheme="majorEastAsia"/>
          <w:b/>
          <w:bCs/>
          <w:kern w:val="44"/>
          <w:sz w:val="30"/>
          <w:szCs w:val="30"/>
          <w:lang w:val="en-US" w:eastAsia="zh-CN" w:bidi="ar-SA"/>
        </w:rPr>
        <w:t>二.项目预算资金</w:t>
      </w:r>
      <w:bookmarkEnd w:id="3"/>
      <w:bookmarkEnd w:id="4"/>
      <w:bookmarkEnd w:id="5"/>
    </w:p>
    <w:p>
      <w:pPr>
        <w:pStyle w:val="18"/>
        <w:keepNext w:val="0"/>
        <w:keepLines w:val="0"/>
        <w:pageBreakBefore w:val="0"/>
        <w:widowControl w:val="0"/>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该项目投入资金共计2261.58万元。资金来源分别为《自治区财政厅关于提前下达2022年自治区困难残疾人生活补贴和重度残疾人护理补贴预算指标的通知》（宁财（社）指标</w:t>
      </w:r>
      <w:r>
        <w:rPr>
          <w:rFonts w:hint="eastAsia" w:ascii="宋体" w:hAnsi="宋体" w:eastAsia="宋体" w:cs="宋体"/>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2021〕554号），向同心县下达资金1922.00万元（其中困难补贴资金1095万元，护理补贴资金827万元），同心县配套资金339.58万元，实际支出2261.58万元，</w:t>
      </w:r>
      <w:r>
        <w:rPr>
          <w:rFonts w:hint="eastAsia" w:ascii="Times New Roman" w:hAnsi="Times New Roman" w:eastAsia="方正仿宋_GB2312" w:cs="Times New Roman"/>
          <w:sz w:val="30"/>
          <w:szCs w:val="30"/>
          <w:lang w:val="en-US" w:eastAsia="zh-CN"/>
        </w:rPr>
        <w:t>预算执行率100%</w:t>
      </w:r>
      <w:r>
        <w:rPr>
          <w:rFonts w:hint="default" w:ascii="Times New Roman" w:hAnsi="Times New Roman" w:eastAsia="方正仿宋_GBK" w:cs="Times New Roman"/>
          <w:color w:val="auto"/>
          <w:kern w:val="2"/>
          <w:sz w:val="30"/>
          <w:szCs w:val="30"/>
          <w:highlight w:val="none"/>
          <w:lang w:val="en-US" w:eastAsia="zh-CN" w:bidi="ar-SA"/>
        </w:rPr>
        <w:t>。</w:t>
      </w:r>
    </w:p>
    <w:p>
      <w:pPr>
        <w:pStyle w:val="2"/>
        <w:keepNext/>
        <w:keepLines/>
        <w:pageBreakBefore w:val="0"/>
        <w:widowControl w:val="0"/>
        <w:kinsoku/>
        <w:wordWrap/>
        <w:overflowPunct/>
        <w:topLinePunct w:val="0"/>
        <w:autoSpaceDE/>
        <w:autoSpaceDN/>
        <w:bidi w:val="0"/>
        <w:adjustRightInd/>
        <w:snapToGrid w:val="0"/>
        <w:ind w:firstLine="604" w:firstLineChars="200"/>
        <w:textAlignment w:val="auto"/>
        <w:rPr>
          <w:rFonts w:hint="eastAsia" w:ascii="方正正黑_GBK" w:hAnsi="方正正黑_GBK" w:eastAsia="方正正黑_GBK" w:cs="方正正黑_GBK"/>
          <w:sz w:val="30"/>
          <w:szCs w:val="30"/>
          <w:lang w:val="en-US" w:eastAsia="zh-CN"/>
        </w:rPr>
      </w:pPr>
      <w:bookmarkStart w:id="6" w:name="_Toc19181"/>
      <w:bookmarkStart w:id="7" w:name="_Toc27065"/>
      <w:bookmarkStart w:id="8" w:name="_Toc3837"/>
      <w:bookmarkStart w:id="9" w:name="_Toc31152"/>
      <w:r>
        <w:rPr>
          <w:rFonts w:hint="eastAsia" w:ascii="方正正黑_GBK" w:hAnsi="方正正黑_GBK" w:eastAsia="方正正黑_GBK" w:cs="方正正黑_GBK"/>
          <w:sz w:val="30"/>
          <w:szCs w:val="30"/>
          <w:lang w:val="en-US" w:eastAsia="zh-CN"/>
        </w:rPr>
        <w:t>二、评价结论</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0" w:name="_Toc10088"/>
      <w:bookmarkStart w:id="11" w:name="_Toc16100"/>
      <w:bookmarkStart w:id="12" w:name="_Toc19466"/>
      <w:bookmarkStart w:id="13" w:name="_Toc12376"/>
      <w:bookmarkStart w:id="14" w:name="_Toc752"/>
      <w:bookmarkStart w:id="15" w:name="_Toc21407"/>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93.50</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”分，评定等级为“优</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val="0"/>
        <w:ind w:firstLine="604" w:firstLineChars="200"/>
        <w:textAlignment w:val="auto"/>
        <w:rPr>
          <w:rFonts w:hint="eastAsia" w:ascii="方正正黑_GBK" w:hAnsi="方正正黑_GBK" w:eastAsia="方正正黑_GBK" w:cs="方正正黑_GBK"/>
          <w:sz w:val="30"/>
          <w:szCs w:val="30"/>
          <w:lang w:val="en-US" w:eastAsia="zh-CN"/>
        </w:rPr>
      </w:pPr>
      <w:bookmarkStart w:id="16" w:name="_Toc6288"/>
      <w:r>
        <w:rPr>
          <w:rFonts w:hint="eastAsia" w:ascii="方正正黑_GBK" w:hAnsi="方正正黑_GBK" w:eastAsia="方正正黑_GBK" w:cs="方正正黑_GBK"/>
          <w:sz w:val="30"/>
          <w:szCs w:val="30"/>
          <w:lang w:val="en-US" w:eastAsia="zh-CN"/>
        </w:rPr>
        <w:t>三、主要经验</w:t>
      </w:r>
      <w:bookmarkEnd w:id="10"/>
      <w:bookmarkEnd w:id="11"/>
      <w:bookmarkEnd w:id="12"/>
      <w:bookmarkEnd w:id="13"/>
      <w:bookmarkEnd w:id="14"/>
      <w:bookmarkEnd w:id="15"/>
      <w:bookmarkEnd w:id="16"/>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bookmarkStart w:id="17" w:name="_Toc29010"/>
      <w:bookmarkStart w:id="18" w:name="_Toc5586"/>
      <w:bookmarkStart w:id="19" w:name="_Toc3362"/>
      <w:bookmarkStart w:id="20" w:name="_Toc23081"/>
      <w:bookmarkStart w:id="21" w:name="_Toc3831"/>
      <w:bookmarkStart w:id="22" w:name="_Toc21733"/>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该项目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一是提升基层社会救助工作能力。开展全县村（社区）民政工作人员政策业务</w:t>
      </w:r>
      <w:r>
        <w:rPr>
          <w:rFonts w:hint="eastAsia" w:ascii="仿宋" w:hAnsi="仿宋" w:eastAsia="仿宋" w:cs="仿宋"/>
          <w:color w:val="auto"/>
          <w:kern w:val="0"/>
          <w:sz w:val="30"/>
          <w:szCs w:val="30"/>
          <w:lang w:val="en-US" w:eastAsia="zh-CN" w:bidi="zh-CN"/>
        </w:rPr>
        <w:t>培训</w:t>
      </w:r>
      <w:r>
        <w:rPr>
          <w:rFonts w:hint="eastAsia" w:ascii="Times New Roman" w:hAnsi="Times New Roman" w:eastAsia="方正仿宋_GBK" w:cs="Times New Roman"/>
          <w:color w:val="auto"/>
          <w:kern w:val="0"/>
          <w:sz w:val="30"/>
          <w:szCs w:val="30"/>
          <w:lang w:val="en-US" w:eastAsia="zh-CN" w:bidi="zh-CN"/>
        </w:rPr>
        <w:t>，重点解</w:t>
      </w:r>
      <w:r>
        <w:rPr>
          <w:rFonts w:hint="eastAsia" w:ascii="仿宋" w:hAnsi="仿宋" w:eastAsia="仿宋" w:cs="仿宋"/>
          <w:color w:val="auto"/>
          <w:kern w:val="0"/>
          <w:sz w:val="30"/>
          <w:szCs w:val="30"/>
          <w:lang w:val="en-US" w:eastAsia="zh-CN" w:bidi="zh-CN"/>
        </w:rPr>
        <w:t>读</w:t>
      </w:r>
      <w:r>
        <w:rPr>
          <w:rFonts w:hint="eastAsia" w:ascii="Times New Roman" w:hAnsi="Times New Roman" w:eastAsia="方正仿宋_GBK" w:cs="Times New Roman"/>
          <w:color w:val="auto"/>
          <w:kern w:val="0"/>
          <w:sz w:val="30"/>
          <w:szCs w:val="30"/>
          <w:lang w:val="en-US" w:eastAsia="zh-CN" w:bidi="zh-CN"/>
        </w:rPr>
        <w:t>社会救助和儿童福利各项政策文件，聚焦困难群众物质精神</w:t>
      </w:r>
      <w:r>
        <w:rPr>
          <w:rFonts w:hint="eastAsia" w:ascii="仿宋" w:hAnsi="仿宋" w:eastAsia="仿宋" w:cs="仿宋"/>
          <w:color w:val="auto"/>
          <w:kern w:val="0"/>
          <w:sz w:val="30"/>
          <w:szCs w:val="30"/>
          <w:lang w:val="en-US" w:eastAsia="zh-CN" w:bidi="zh-CN"/>
        </w:rPr>
        <w:t>双</w:t>
      </w:r>
      <w:r>
        <w:rPr>
          <w:rFonts w:hint="eastAsia" w:ascii="Times New Roman" w:hAnsi="Times New Roman" w:eastAsia="方正仿宋_GBK" w:cs="Times New Roman"/>
          <w:color w:val="auto"/>
          <w:kern w:val="0"/>
          <w:sz w:val="30"/>
          <w:szCs w:val="30"/>
          <w:lang w:val="en-US" w:eastAsia="zh-CN" w:bidi="zh-CN"/>
        </w:rPr>
        <w:t>富有，落实困难群众优</w:t>
      </w:r>
      <w:r>
        <w:rPr>
          <w:rFonts w:hint="eastAsia" w:ascii="仿宋" w:hAnsi="仿宋" w:eastAsia="仿宋" w:cs="仿宋"/>
          <w:color w:val="auto"/>
          <w:kern w:val="0"/>
          <w:sz w:val="30"/>
          <w:szCs w:val="30"/>
          <w:lang w:val="en-US" w:eastAsia="zh-CN" w:bidi="zh-CN"/>
        </w:rPr>
        <w:t>惠</w:t>
      </w:r>
      <w:r>
        <w:rPr>
          <w:rFonts w:hint="eastAsia" w:ascii="Times New Roman" w:hAnsi="Times New Roman" w:eastAsia="方正仿宋_GBK" w:cs="Times New Roman"/>
          <w:color w:val="auto"/>
          <w:kern w:val="0"/>
          <w:sz w:val="30"/>
          <w:szCs w:val="30"/>
          <w:lang w:val="en-US" w:eastAsia="zh-CN" w:bidi="zh-CN"/>
        </w:rPr>
        <w:t>政策。</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二是进一步建立健全困难群众救助工作信息共享的长效机制，切实防止类</w:t>
      </w:r>
      <w:r>
        <w:rPr>
          <w:rFonts w:hint="eastAsia" w:ascii="仿宋" w:hAnsi="仿宋" w:eastAsia="仿宋" w:cs="仿宋"/>
          <w:color w:val="auto"/>
          <w:kern w:val="0"/>
          <w:sz w:val="30"/>
          <w:szCs w:val="30"/>
          <w:lang w:val="en-US" w:eastAsia="zh-CN" w:bidi="zh-CN"/>
        </w:rPr>
        <w:t>似</w:t>
      </w:r>
      <w:r>
        <w:rPr>
          <w:rFonts w:hint="eastAsia" w:ascii="Times New Roman" w:hAnsi="Times New Roman" w:eastAsia="方正仿宋_GBK" w:cs="Times New Roman"/>
          <w:color w:val="auto"/>
          <w:kern w:val="0"/>
          <w:sz w:val="30"/>
          <w:szCs w:val="30"/>
          <w:lang w:val="en-US" w:eastAsia="zh-CN" w:bidi="zh-CN"/>
        </w:rPr>
        <w:t>性、重复性问题发生。坚持工作标准、改进工作作风，深入推进专项整治工作各项要求落实落细审计发现问题、取得扎实成效。</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三是县</w:t>
      </w:r>
      <w:r>
        <w:rPr>
          <w:rFonts w:hint="default" w:ascii="Times New Roman" w:hAnsi="Times New Roman" w:eastAsia="方正仿宋_GBK" w:cs="Times New Roman"/>
          <w:color w:val="auto"/>
          <w:kern w:val="0"/>
          <w:sz w:val="30"/>
          <w:szCs w:val="30"/>
          <w:lang w:val="en-US" w:eastAsia="zh-CN" w:bidi="zh-CN"/>
        </w:rPr>
        <w:t>民政局和</w:t>
      </w:r>
      <w:r>
        <w:rPr>
          <w:rFonts w:hint="eastAsia" w:ascii="Times New Roman" w:hAnsi="Times New Roman" w:eastAsia="方正仿宋_GBK" w:cs="Times New Roman"/>
          <w:color w:val="auto"/>
          <w:kern w:val="0"/>
          <w:sz w:val="30"/>
          <w:szCs w:val="30"/>
          <w:lang w:val="en-US" w:eastAsia="zh-CN" w:bidi="zh-CN"/>
        </w:rPr>
        <w:t>县</w:t>
      </w:r>
      <w:r>
        <w:rPr>
          <w:rFonts w:hint="default" w:ascii="Times New Roman" w:hAnsi="Times New Roman" w:eastAsia="方正仿宋_GBK" w:cs="Times New Roman"/>
          <w:color w:val="auto"/>
          <w:kern w:val="0"/>
          <w:sz w:val="30"/>
          <w:szCs w:val="30"/>
          <w:lang w:val="en-US" w:eastAsia="zh-CN" w:bidi="zh-CN"/>
        </w:rPr>
        <w:t>残疾人联合会密切沟通，分工明确，对符合条件的残疾人积极</w:t>
      </w:r>
      <w:r>
        <w:rPr>
          <w:rFonts w:hint="eastAsia" w:ascii="Times New Roman" w:hAnsi="Times New Roman" w:eastAsia="方正仿宋_GBK" w:cs="Times New Roman"/>
          <w:color w:val="auto"/>
          <w:kern w:val="0"/>
          <w:sz w:val="30"/>
          <w:szCs w:val="30"/>
          <w:lang w:val="en-US" w:eastAsia="zh-CN" w:bidi="zh-CN"/>
        </w:rPr>
        <w:t>纳入</w:t>
      </w:r>
      <w:r>
        <w:rPr>
          <w:rFonts w:hint="default" w:ascii="Times New Roman" w:hAnsi="Times New Roman" w:eastAsia="方正仿宋_GBK" w:cs="Times New Roman"/>
          <w:color w:val="auto"/>
          <w:kern w:val="0"/>
          <w:sz w:val="30"/>
          <w:szCs w:val="30"/>
          <w:lang w:val="en-US" w:eastAsia="zh-CN" w:bidi="zh-CN"/>
        </w:rPr>
        <w:t>补贴范围内，做好线上与线下的协调沟通工作，采取动态管理，严格执行上级文件精神按月发放的原则，做到全过程公开化、透明化，做到资金专款专用，严</w:t>
      </w:r>
      <w:r>
        <w:rPr>
          <w:rFonts w:hint="eastAsia" w:ascii="仿宋" w:hAnsi="仿宋" w:eastAsia="仿宋" w:cs="仿宋"/>
          <w:color w:val="auto"/>
          <w:kern w:val="0"/>
          <w:sz w:val="30"/>
          <w:szCs w:val="30"/>
          <w:lang w:val="en-US" w:eastAsia="zh-CN" w:bidi="zh-CN"/>
        </w:rPr>
        <w:t>禁</w:t>
      </w:r>
      <w:r>
        <w:rPr>
          <w:rFonts w:hint="default" w:ascii="Times New Roman" w:hAnsi="Times New Roman" w:eastAsia="方正仿宋_GBK" w:cs="Times New Roman"/>
          <w:color w:val="auto"/>
          <w:kern w:val="0"/>
          <w:sz w:val="30"/>
          <w:szCs w:val="30"/>
          <w:lang w:val="en-US" w:eastAsia="zh-CN" w:bidi="zh-CN"/>
        </w:rPr>
        <w:t>挤占、挪用和截留，确保了专项资金的使用安全有效，真正落到实处。</w:t>
      </w:r>
    </w:p>
    <w:p>
      <w:pPr>
        <w:pStyle w:val="2"/>
        <w:keepNext/>
        <w:keepLines/>
        <w:pageBreakBefore w:val="0"/>
        <w:widowControl w:val="0"/>
        <w:kinsoku/>
        <w:wordWrap/>
        <w:overflowPunct/>
        <w:topLinePunct w:val="0"/>
        <w:autoSpaceDE/>
        <w:autoSpaceDN/>
        <w:bidi w:val="0"/>
        <w:adjustRightInd/>
        <w:snapToGrid w:val="0"/>
        <w:ind w:firstLine="604" w:firstLineChars="200"/>
        <w:textAlignment w:val="auto"/>
        <w:rPr>
          <w:rFonts w:hint="eastAsia" w:ascii="方正正黑_GBK" w:hAnsi="方正正黑_GBK" w:eastAsia="方正正黑_GBK" w:cs="方正正黑_GBK"/>
          <w:sz w:val="30"/>
          <w:szCs w:val="30"/>
          <w:highlight w:val="none"/>
          <w:lang w:val="en-US" w:eastAsia="zh-CN"/>
        </w:rPr>
      </w:pPr>
      <w:bookmarkStart w:id="23" w:name="_Toc1952"/>
      <w:r>
        <w:rPr>
          <w:rFonts w:hint="eastAsia" w:ascii="方正正黑_GBK" w:hAnsi="方正正黑_GBK" w:eastAsia="方正正黑_GBK" w:cs="方正正黑_GBK"/>
          <w:sz w:val="30"/>
          <w:szCs w:val="30"/>
          <w:highlight w:val="none"/>
          <w:lang w:val="en-US" w:eastAsia="zh-CN"/>
        </w:rPr>
        <w:t>四、存在的问题</w:t>
      </w:r>
      <w:bookmarkEnd w:id="17"/>
      <w:bookmarkEnd w:id="18"/>
      <w:bookmarkEnd w:id="19"/>
      <w:r>
        <w:rPr>
          <w:rFonts w:hint="eastAsia" w:ascii="方正正黑_GBK" w:hAnsi="方正正黑_GBK" w:eastAsia="方正正黑_GBK" w:cs="方正正黑_GBK"/>
          <w:sz w:val="30"/>
          <w:szCs w:val="30"/>
          <w:highlight w:val="none"/>
          <w:lang w:val="en-US" w:eastAsia="zh-CN"/>
        </w:rPr>
        <w:t>及建议</w:t>
      </w:r>
      <w:bookmarkEnd w:id="20"/>
      <w:bookmarkEnd w:id="21"/>
      <w:bookmarkEnd w:id="22"/>
      <w:bookmarkEnd w:id="23"/>
    </w:p>
    <w:p>
      <w:pPr>
        <w:pStyle w:val="3"/>
        <w:pageBreakBefore w:val="0"/>
        <w:kinsoku/>
        <w:wordWrap/>
        <w:overflowPunct w:val="0"/>
        <w:topLinePunct w:val="0"/>
        <w:autoSpaceDE/>
        <w:autoSpaceDN/>
        <w:bidi w:val="0"/>
        <w:adjustRightInd/>
        <w:spacing w:beforeLines="0" w:afterLines="0"/>
        <w:textAlignment w:val="auto"/>
        <w:rPr>
          <w:rFonts w:hint="eastAsia" w:ascii="方正楷体_GBK" w:hAnsi="方正楷体_GBK" w:eastAsia="方正楷体_GBK" w:cs="方正楷体_GBK"/>
          <w:sz w:val="30"/>
          <w:szCs w:val="30"/>
          <w:highlight w:val="none"/>
          <w:lang w:val="en-US" w:eastAsia="zh-CN"/>
        </w:rPr>
      </w:pPr>
      <w:bookmarkStart w:id="24" w:name="_Toc15034"/>
      <w:bookmarkStart w:id="25" w:name="_Toc25464"/>
      <w:bookmarkStart w:id="26" w:name="_Toc31825"/>
      <w:bookmarkStart w:id="27" w:name="_Toc3916"/>
      <w:r>
        <w:rPr>
          <w:rFonts w:hint="eastAsia" w:ascii="方正楷体_GBK" w:hAnsi="方正楷体_GBK" w:eastAsia="方正楷体_GBK" w:cs="方正楷体_GBK"/>
          <w:sz w:val="30"/>
          <w:szCs w:val="30"/>
          <w:highlight w:val="none"/>
          <w:lang w:val="en-US" w:eastAsia="zh-CN"/>
        </w:rPr>
        <w:t>（一）</w:t>
      </w:r>
      <w:r>
        <w:rPr>
          <w:rFonts w:hint="eastAsia" w:ascii="方正楷体_GBK" w:hAnsi="方正楷体_GBK" w:eastAsia="方正楷体_GBK" w:cs="方正楷体_GBK"/>
          <w:sz w:val="30"/>
          <w:szCs w:val="30"/>
          <w:highlight w:val="none"/>
        </w:rPr>
        <w:t>存在</w:t>
      </w:r>
      <w:r>
        <w:rPr>
          <w:rFonts w:hint="eastAsia" w:ascii="方正楷体_GBK" w:hAnsi="方正楷体_GBK" w:eastAsia="方正楷体_GBK" w:cs="方正楷体_GBK"/>
          <w:sz w:val="30"/>
          <w:szCs w:val="30"/>
          <w:highlight w:val="none"/>
          <w:lang w:val="en-US" w:eastAsia="zh-CN"/>
        </w:rPr>
        <w:t>的</w:t>
      </w:r>
      <w:r>
        <w:rPr>
          <w:rFonts w:hint="eastAsia" w:ascii="方正楷体_GBK" w:hAnsi="方正楷体_GBK" w:eastAsia="方正楷体_GBK" w:cs="方正楷体_GBK"/>
          <w:sz w:val="30"/>
          <w:szCs w:val="30"/>
          <w:highlight w:val="none"/>
        </w:rPr>
        <w:t>问题</w:t>
      </w:r>
      <w:bookmarkEnd w:id="24"/>
      <w:bookmarkEnd w:id="25"/>
      <w:bookmarkEnd w:id="26"/>
      <w:bookmarkEnd w:id="27"/>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1.预算确定的资金量无对应的补贴对象人数。</w:t>
      </w:r>
    </w:p>
    <w:p>
      <w:pPr>
        <w:keepNext w:val="0"/>
        <w:keepLines w:val="0"/>
        <w:pageBreakBefore w:val="0"/>
        <w:widowControl w:val="0"/>
        <w:kinsoku/>
        <w:wordWrap/>
        <w:overflowPunct w:val="0"/>
        <w:topLinePunct/>
        <w:autoSpaceDE/>
        <w:autoSpaceDN/>
        <w:bidi w:val="0"/>
        <w:adjustRightInd/>
        <w:snapToGrid/>
        <w:spacing w:line="560" w:lineRule="exact"/>
        <w:ind w:firstLine="604" w:firstLineChars="200"/>
        <w:textAlignment w:val="auto"/>
        <w:outlineLvl w:val="0"/>
        <w:rPr>
          <w:rFonts w:hint="eastAsia" w:ascii="Times New Roman" w:hAnsi="Times New Roman" w:eastAsia="方正仿宋_GBK" w:cs="Times New Roman"/>
          <w:b/>
          <w:bCs/>
          <w:color w:val="000000"/>
          <w:kern w:val="0"/>
          <w:sz w:val="30"/>
          <w:szCs w:val="30"/>
          <w:lang w:val="en-US" w:eastAsia="zh-CN" w:bidi="ar"/>
        </w:rPr>
      </w:pPr>
      <w:bookmarkStart w:id="28" w:name="_Toc517"/>
      <w:r>
        <w:rPr>
          <w:rFonts w:hint="eastAsia" w:ascii="Times New Roman" w:hAnsi="Times New Roman" w:eastAsia="方正仿宋_GBK" w:cs="Times New Roman"/>
          <w:color w:val="auto"/>
          <w:kern w:val="2"/>
          <w:sz w:val="30"/>
          <w:szCs w:val="30"/>
          <w:highlight w:val="none"/>
          <w:lang w:val="en-US" w:eastAsia="zh-CN" w:bidi="ar-SA"/>
        </w:rPr>
        <w:t>查看相关资料，自治区下达同心县1992万元（其中困难补贴资金1095万元，护理补贴资金827万元），残疾人“两项补贴”滚存结余均为0，预算确定的资金量无对应的补贴对象人数。</w:t>
      </w:r>
      <w:bookmarkEnd w:id="28"/>
    </w:p>
    <w:p>
      <w:pPr>
        <w:pStyle w:val="1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残疾人“两项补贴”县级资金未按要求分担。</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604" w:firstLineChars="200"/>
        <w:textAlignment w:val="auto"/>
        <w:rPr>
          <w:rFonts w:hint="default" w:ascii="Times New Roman" w:hAnsi="Times New Roman" w:eastAsia="方正仿宋_GBK" w:cs="Times New Roman"/>
          <w:color w:val="000000"/>
          <w:kern w:val="0"/>
          <w:sz w:val="30"/>
          <w:szCs w:val="30"/>
          <w:lang w:val="en-US" w:eastAsia="zh-CN" w:bidi="ar"/>
        </w:rPr>
      </w:pPr>
      <w:r>
        <w:rPr>
          <w:rFonts w:hint="eastAsia" w:ascii="Times New Roman" w:hAnsi="Times New Roman" w:eastAsia="方正仿宋_GBK" w:cs="Times New Roman"/>
          <w:kern w:val="0"/>
          <w:sz w:val="30"/>
          <w:szCs w:val="30"/>
          <w:lang w:val="en-US" w:eastAsia="zh-CN" w:bidi="zh-CN"/>
        </w:rPr>
        <w:t>根据《宁夏回族自治区困难残疾人生活补贴办法（修订）》和《宁夏回族自治区重度残疾人护理补贴办法（修订）》文件规定，残疾人“两项补贴”由自治区和市、县（市、区）共同分担，分担比例为自治区80%，同心县20%。</w:t>
      </w:r>
      <w:r>
        <w:rPr>
          <w:rFonts w:hint="eastAsia" w:ascii="Times New Roman" w:hAnsi="Times New Roman" w:eastAsia="方正仿宋_GBK" w:cs="Times New Roman"/>
          <w:spacing w:val="1"/>
          <w:sz w:val="30"/>
          <w:szCs w:val="30"/>
          <w:lang w:val="en-US" w:eastAsia="zh-CN"/>
        </w:rPr>
        <w:t>该项目2022年共计发放2261.58万元，</w:t>
      </w:r>
      <w:r>
        <w:rPr>
          <w:rFonts w:hint="eastAsia" w:ascii="Times New Roman" w:hAnsi="Times New Roman" w:eastAsia="方正仿宋_GBK" w:cs="Times New Roman"/>
          <w:color w:val="auto"/>
          <w:kern w:val="2"/>
          <w:sz w:val="30"/>
          <w:szCs w:val="30"/>
          <w:highlight w:val="none"/>
          <w:lang w:val="en-US" w:eastAsia="zh-CN" w:bidi="ar-SA"/>
        </w:rPr>
        <w:t>县级承担20%即452.32万元，县级资金到位339.58万元，资金到位率75.08%。</w:t>
      </w:r>
    </w:p>
    <w:p>
      <w:pPr>
        <w:pStyle w:val="2"/>
        <w:keepNext/>
        <w:keepLines/>
        <w:pageBreakBefore w:val="0"/>
        <w:widowControl w:val="0"/>
        <w:kinsoku/>
        <w:wordWrap/>
        <w:overflowPunct w:val="0"/>
        <w:topLinePunct w:val="0"/>
        <w:autoSpaceDE/>
        <w:autoSpaceDN/>
        <w:bidi w:val="0"/>
        <w:adjustRightInd/>
        <w:snapToGrid/>
        <w:spacing w:beforeLines="0" w:afterLines="0"/>
        <w:ind w:firstLine="604" w:firstLineChars="200"/>
        <w:textAlignment w:val="auto"/>
        <w:rPr>
          <w:rFonts w:hint="default" w:ascii="Times New Roman" w:hAnsi="Times New Roman" w:eastAsia="方正仿宋_GBK" w:cs="Times New Roman"/>
          <w:b/>
          <w:bCs/>
          <w:color w:val="000000"/>
          <w:kern w:val="0"/>
          <w:sz w:val="30"/>
          <w:szCs w:val="30"/>
          <w:lang w:val="en-US" w:eastAsia="zh-CN" w:bidi="ar"/>
        </w:rPr>
      </w:pPr>
      <w:bookmarkStart w:id="29" w:name="_Toc18579"/>
      <w:r>
        <w:rPr>
          <w:rFonts w:hint="eastAsia" w:ascii="Times New Roman" w:hAnsi="Times New Roman" w:eastAsia="方正仿宋_GBK" w:cs="Times New Roman"/>
          <w:b/>
          <w:bCs/>
          <w:color w:val="000000"/>
          <w:kern w:val="0"/>
          <w:sz w:val="30"/>
          <w:szCs w:val="30"/>
          <w:lang w:val="en-US" w:eastAsia="zh-CN" w:bidi="ar"/>
        </w:rPr>
        <w:t>3.残疾人参与社会活动的能力相对较弱。</w:t>
      </w:r>
      <w:bookmarkEnd w:id="29"/>
    </w:p>
    <w:p>
      <w:pPr>
        <w:rPr>
          <w:rFonts w:hint="eastAsia" w:asciiTheme="majorEastAsia" w:hAnsiTheme="majorEastAsia" w:eastAsiaTheme="majorEastAsia" w:cstheme="majorEastAsia"/>
          <w:b/>
          <w:bCs/>
          <w:sz w:val="32"/>
          <w:szCs w:val="32"/>
          <w:lang w:val="en-US" w:eastAsia="zh-CN"/>
        </w:rPr>
      </w:pPr>
      <w:r>
        <w:rPr>
          <w:rFonts w:hint="eastAsia" w:ascii="Times New Roman" w:hAnsi="Times New Roman" w:eastAsia="方正仿宋_GBK" w:cs="Times New Roman"/>
          <w:spacing w:val="0"/>
          <w:kern w:val="0"/>
          <w:sz w:val="30"/>
          <w:szCs w:val="30"/>
          <w:lang w:val="en-US" w:eastAsia="zh-CN" w:bidi="zh-CN"/>
        </w:rPr>
        <w:t>残疾人发展能力相对就较弱，通过实地走访 ，目前同心县残疾人主要从事农业种植业、养殖业和传统加工业，或者通过灵活就业获得收入，家庭经济来源单一。同时，由于生理、心理多方面的缺陷，残疾人在医疗、康复和照护方面的费用，要比健康人高。在双重因素下，残疾人的生活困难程度就更高一些，其生活质量更低一些。此外，残疾人群体相对较小，社会关注度较低，他们在社会生活中的相关诉求无法得到充分表达。</w:t>
      </w:r>
    </w:p>
    <w:p>
      <w:pPr>
        <w:rPr>
          <w:rFonts w:hint="default" w:ascii="方正楷体_GBK" w:hAnsi="方正楷体_GBK" w:eastAsia="方正楷体_GBK" w:cs="方正楷体_GBK"/>
          <w:b/>
          <w:bCs w:val="0"/>
          <w:kern w:val="2"/>
          <w:sz w:val="32"/>
          <w:szCs w:val="32"/>
          <w:lang w:val="en-US" w:eastAsia="zh-CN" w:bidi="ar-SA"/>
        </w:rPr>
      </w:pPr>
      <w:r>
        <w:rPr>
          <w:rFonts w:hint="eastAsia" w:ascii="方正楷体_GBK" w:hAnsi="方正楷体_GBK" w:eastAsia="方正楷体_GBK" w:cs="方正楷体_GBK"/>
          <w:b/>
          <w:bCs w:val="0"/>
          <w:kern w:val="2"/>
          <w:sz w:val="32"/>
          <w:szCs w:val="32"/>
          <w:lang w:val="en-US" w:eastAsia="zh-CN" w:bidi="ar-SA"/>
        </w:rPr>
        <w:t>（三）建议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1.按相关要求编制预算。</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eastAsia"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color w:val="auto"/>
          <w:kern w:val="2"/>
          <w:sz w:val="30"/>
          <w:szCs w:val="30"/>
          <w:highlight w:val="none"/>
          <w:lang w:val="en-US" w:eastAsia="zh-CN" w:bidi="ar-SA"/>
        </w:rPr>
        <w:t>建议按《宁夏回族自治区困难残疾人生活补贴办法（修订）》第十二条，《宁夏回族自治区重度残疾人护理补贴办法（修订）》第九条编制预算，根据</w:t>
      </w:r>
      <w:r>
        <w:rPr>
          <w:rFonts w:hint="default" w:ascii="Times New Roman" w:hAnsi="Times New Roman" w:eastAsia="方正仿宋_GBK" w:cs="Times New Roman"/>
          <w:color w:val="auto"/>
          <w:kern w:val="2"/>
          <w:sz w:val="30"/>
          <w:szCs w:val="30"/>
          <w:highlight w:val="none"/>
          <w:lang w:val="en-US" w:eastAsia="zh-CN" w:bidi="ar-SA"/>
        </w:rPr>
        <w:t>困难残疾人生活补贴</w:t>
      </w:r>
      <w:r>
        <w:rPr>
          <w:rFonts w:hint="eastAsia" w:ascii="Times New Roman" w:hAnsi="Times New Roman" w:eastAsia="方正仿宋_GBK" w:cs="Times New Roman"/>
          <w:color w:val="auto"/>
          <w:kern w:val="2"/>
          <w:sz w:val="30"/>
          <w:szCs w:val="30"/>
          <w:highlight w:val="none"/>
          <w:lang w:val="en-US" w:eastAsia="zh-CN" w:bidi="ar-SA"/>
        </w:rPr>
        <w:t>对象人数、困难重度残疾人护理补贴对象人数、补贴标准、补助水平和滚存结余等有关数据，提出下一年度补贴资金预算计划。</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2.县级资金按相关要求分担。</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建议县级应按</w:t>
      </w:r>
      <w:r>
        <w:rPr>
          <w:rFonts w:hint="eastAsia" w:ascii="Times New Roman" w:hAnsi="Times New Roman" w:eastAsia="方正仿宋_GBK" w:cs="Times New Roman"/>
          <w:kern w:val="0"/>
          <w:sz w:val="30"/>
          <w:szCs w:val="30"/>
          <w:lang w:val="en-US" w:eastAsia="zh-CN" w:bidi="zh-CN"/>
        </w:rPr>
        <w:t>《宁夏回族自治区困难残疾人生活补贴办法（修订）》第六条第二款，《宁夏回族自治区重度残疾人护理补贴办法（修订）》第四条第二款要求分担残疾人“两项补贴”资金。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3.帮助残疾人增强发展能力。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1）提高残疾人的发展能力，通过普通教育、专业技能培养、适宜的社会化劳动和各类社会活动参与进行锻炼。鼓励企业吸纳残疾学生就业和实习实训，对符合条件的企业减征免征残疾人就业保障金。开展残疾人教育教师培训，创新培养方式，提升教书育人能力素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2）给予就业、创业支持及劳动保护。县政府通过一定的法规，要求各类用人单位按一定的比例安排残疾人就业，尤其要求公共部门和国有企业模范地执行这一规定。对残疾人创业应当给予特别的重视，除了享有一般社会成员创业的扶持政策之外，还需要给残疾人创业以特殊的政策。例如，给予残疾人企业注册登记、信贷服务等方面的支持。残疾劳动者遭遇风险的可能性或严重程度也会更高一些，应当予以残疾人劳动就业相关的基本风险保障制度，并在相关的项目中予以一定的倾斜和优惠。</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3）加强残疾人事业媒体传播能力建设，办好全国助残日、国际残疾人日等主题宣传活动，支持残疾人题材公益广告、网络视听节目等制作播出。鼓励残联、工会、共青团、妇联、科协、红十字会、慈善总会等群团组织和社会组织、企事业单位、个人等参与实施助残慈善项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44" w:firstLineChars="200"/>
        <w:jc w:val="both"/>
        <w:textAlignment w:val="auto"/>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both"/>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3"/>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pStyle w:val="3"/>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3"/>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both"/>
        <w:rPr>
          <w:rFonts w:hint="eastAsia" w:ascii="方正仿宋_GBK" w:hAnsi="方正仿宋_GBK" w:eastAsia="方正仿宋_GBK" w:cs="方正仿宋_GBK"/>
          <w:b/>
          <w:bCs/>
          <w:sz w:val="30"/>
          <w:szCs w:val="30"/>
          <w:lang w:val="en-US" w:eastAsia="zh-CN"/>
        </w:rPr>
      </w:pPr>
    </w:p>
    <w:p>
      <w:pPr>
        <w:pStyle w:val="3"/>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both"/>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pPr>
      <w:r>
        <w:rPr>
          <w:rFonts w:hint="eastAsia" w:ascii="华文仿宋" w:hAnsi="华文仿宋" w:eastAsia="华文仿宋" w:cs="华文仿宋"/>
          <w:b/>
          <w:bCs/>
          <w:sz w:val="28"/>
          <w:szCs w:val="28"/>
          <w:lang w:val="en-US" w:eastAsia="zh-CN"/>
        </w:rPr>
        <w:t>目 录</w:t>
      </w:r>
      <w:r>
        <w:rPr>
          <w:rFonts w:hint="eastAsia" w:ascii="华文仿宋" w:hAnsi="华文仿宋" w:eastAsia="华文仿宋" w:cs="华文仿宋"/>
          <w:b w:val="0"/>
          <w:bCs w:val="0"/>
          <w:kern w:val="0"/>
          <w:sz w:val="24"/>
          <w:szCs w:val="24"/>
          <w:lang w:val="en-US" w:eastAsia="zh-CN" w:bidi="zh-CN"/>
        </w:rPr>
        <w:fldChar w:fldCharType="begin"/>
      </w:r>
      <w:r>
        <w:rPr>
          <w:rFonts w:hint="eastAsia" w:ascii="华文仿宋" w:hAnsi="华文仿宋" w:eastAsia="华文仿宋" w:cs="华文仿宋"/>
          <w:b w:val="0"/>
          <w:bCs w:val="0"/>
          <w:kern w:val="0"/>
          <w:sz w:val="24"/>
          <w:szCs w:val="24"/>
          <w:lang w:val="en-US" w:eastAsia="zh-CN" w:bidi="zh-CN"/>
        </w:rPr>
        <w:instrText xml:space="preserve">TOC \o "1-3" \h \u </w:instrText>
      </w:r>
      <w:r>
        <w:rPr>
          <w:rFonts w:hint="eastAsia" w:ascii="华文仿宋" w:hAnsi="华文仿宋" w:eastAsia="华文仿宋" w:cs="华文仿宋"/>
          <w:b w:val="0"/>
          <w:bCs w:val="0"/>
          <w:kern w:val="0"/>
          <w:sz w:val="24"/>
          <w:szCs w:val="24"/>
          <w:lang w:val="en-US" w:eastAsia="zh-CN" w:bidi="zh-CN"/>
        </w:rPr>
        <w:fldChar w:fldCharType="separate"/>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_Toc9464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_Toc9464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_Toc31631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_Toc31631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_Toc12841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二、资金情况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_Toc12841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_Toc2283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_Toc2283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_Toc31185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_Toc31185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_Toc25289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_Toc25289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_Toc25431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_Toc25431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_Toc9212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_Toc9212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7</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_Toc32015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_Toc32015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_Toc5906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_Toc5906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_Toc27267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_Toc27267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9</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_Toc32182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_Toc32182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_Toc17410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_Toc17410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_Toc1056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_Toc1056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_Toc4788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_Toc4788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_Toc8802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_Toc8802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_Toc2182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七</w:t>
      </w:r>
      <w:r>
        <w:rPr>
          <w:rFonts w:hint="eastAsia" w:ascii="仿宋" w:hAnsi="仿宋" w:eastAsia="仿宋" w:cs="仿宋"/>
          <w:sz w:val="24"/>
          <w:szCs w:val="24"/>
          <w:lang w:eastAsia="zh-CN"/>
        </w:rPr>
        <w:t>）</w:t>
      </w:r>
      <w:r>
        <w:rPr>
          <w:rFonts w:hint="eastAsia" w:ascii="仿宋" w:hAnsi="仿宋" w:eastAsia="仿宋" w:cs="仿宋"/>
          <w:sz w:val="24"/>
          <w:szCs w:val="24"/>
        </w:rPr>
        <w:t>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_Toc62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_Toc7577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_Toc7577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_Toc28460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highlight w:val="none"/>
          <w:lang w:val="en-US" w:eastAsia="zh-CN"/>
        </w:rPr>
        <w:t>五</w:t>
      </w:r>
      <w:r>
        <w:rPr>
          <w:rFonts w:hint="eastAsia" w:ascii="仿宋" w:hAnsi="仿宋" w:eastAsia="仿宋" w:cs="仿宋"/>
          <w:b/>
          <w:bCs/>
          <w:sz w:val="24"/>
          <w:szCs w:val="24"/>
          <w:highlight w:val="none"/>
        </w:rPr>
        <w:t>、综合评价情况及评价结论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_Toc28460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_Toc6136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highlight w:val="none"/>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_Toc6136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_Toc13751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_Toc13751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_Toc513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六、绩效评价指标分析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_Toc513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20</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_Toc8892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（一）项目决策情况分析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_Toc8892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_Toc3378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_Toc3378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_Toc3982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_Toc3982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_Toc3123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_Toc3123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_Toc19450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七、主要经验做法、存在问题及建议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_Toc19450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_Toc14289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_Toc14289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_Toc516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bidi="zh-CN"/>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_Toc516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_Toc11705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_Toc11705 \h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1"/>
        </w:tabs>
        <w:kinsoku/>
        <w:wordWrap/>
        <w:overflowPunct w:val="0"/>
        <w:topLinePunct w:val="0"/>
        <w:autoSpaceDE/>
        <w:autoSpaceDN/>
        <w:bidi w:val="0"/>
        <w:adjustRightInd w:val="0"/>
        <w:snapToGrid w:val="0"/>
        <w:spacing w:line="360" w:lineRule="exact"/>
        <w:ind w:firstLine="0" w:firstLineChars="0"/>
        <w:textAlignment w:val="auto"/>
        <w:rPr>
          <w:b/>
          <w:bCs/>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_Toc12641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八、其他需要说明的问题</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_Toc12641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kern w:val="0"/>
          <w:sz w:val="28"/>
          <w:szCs w:val="28"/>
          <w:lang w:val="en-US" w:eastAsia="zh-CN" w:bidi="zh-CN"/>
        </w:rPr>
        <w:sectPr>
          <w:pgSz w:w="11905" w:h="16838"/>
          <w:pgMar w:top="2098" w:right="1587" w:bottom="2098" w:left="1587" w:header="1191" w:footer="935" w:gutter="0"/>
          <w:pgNumType w:fmt="decimal" w:start="1"/>
          <w:cols w:space="0" w:num="1"/>
          <w:rtlGutter w:val="0"/>
          <w:docGrid w:type="linesAndChars" w:linePitch="549" w:charSpace="614"/>
        </w:sectPr>
      </w:pPr>
      <w:r>
        <w:rPr>
          <w:rFonts w:hint="eastAsia" w:ascii="华文仿宋" w:hAnsi="华文仿宋" w:eastAsia="华文仿宋" w:cs="华文仿宋"/>
          <w:bCs w:val="0"/>
          <w:kern w:val="0"/>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同心县民政局2022年困难残疾人生活补助和重度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残疾人护理补贴项目绩效评价报告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，宁夏万协项目管理有限公司受同心县财政局委托，对2022年同心县困难残疾人生活补助和重度残疾人护理补贴项目（以下简称该项目）开展绩效评价相关工作。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2"/>
        <w:keepNext/>
        <w:keepLines/>
        <w:pageBreakBefore w:val="0"/>
        <w:widowControl w:val="0"/>
        <w:kinsoku/>
        <w:wordWrap/>
        <w:overflowPunct/>
        <w:topLinePunct w:val="0"/>
        <w:autoSpaceDE/>
        <w:autoSpaceDN/>
        <w:bidi w:val="0"/>
        <w:adjustRightInd/>
        <w:snapToGrid w:val="0"/>
        <w:spacing w:beforeLines="0" w:afterLines="0"/>
        <w:ind w:firstLine="604" w:firstLineChars="200"/>
        <w:textAlignment w:val="auto"/>
        <w:rPr>
          <w:rFonts w:hint="eastAsia" w:asciiTheme="majorEastAsia" w:hAnsiTheme="majorEastAsia" w:eastAsiaTheme="majorEastAsia" w:cstheme="majorEastAsia"/>
          <w:b/>
          <w:bCs/>
          <w:sz w:val="30"/>
          <w:szCs w:val="30"/>
          <w:lang w:val="en-US" w:eastAsia="zh-CN"/>
        </w:rPr>
      </w:pPr>
      <w:bookmarkStart w:id="30" w:name="_Toc12033"/>
      <w:bookmarkStart w:id="31" w:name="_Toc9464"/>
      <w:bookmarkStart w:id="32" w:name="_Toc30196"/>
      <w:r>
        <w:rPr>
          <w:rFonts w:hint="eastAsia" w:asciiTheme="majorEastAsia" w:hAnsiTheme="majorEastAsia" w:eastAsiaTheme="majorEastAsia" w:cstheme="majorEastAsia"/>
          <w:b/>
          <w:bCs/>
          <w:sz w:val="30"/>
          <w:szCs w:val="30"/>
          <w:lang w:val="en-US" w:eastAsia="zh-CN"/>
        </w:rPr>
        <w:t>一、项目基本情况</w:t>
      </w:r>
      <w:bookmarkEnd w:id="30"/>
      <w:bookmarkEnd w:id="31"/>
      <w:bookmarkEnd w:id="32"/>
    </w:p>
    <w:p>
      <w:pPr>
        <w:pStyle w:val="3"/>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33" w:name="_Toc25760"/>
      <w:bookmarkStart w:id="34" w:name="_Toc5690"/>
      <w:bookmarkStart w:id="35" w:name="_Toc31631"/>
      <w:r>
        <w:rPr>
          <w:rFonts w:hint="eastAsia"/>
          <w:b/>
          <w:bCs/>
          <w:sz w:val="30"/>
          <w:szCs w:val="30"/>
          <w:lang w:val="en-US" w:eastAsia="zh-CN"/>
        </w:rPr>
        <w:t>（一）项目</w:t>
      </w:r>
      <w:bookmarkEnd w:id="33"/>
      <w:bookmarkEnd w:id="34"/>
      <w:r>
        <w:rPr>
          <w:rFonts w:hint="eastAsia"/>
          <w:b/>
          <w:bCs/>
          <w:sz w:val="30"/>
          <w:szCs w:val="30"/>
          <w:lang w:val="en-US" w:eastAsia="zh-CN"/>
        </w:rPr>
        <w:t>背景</w:t>
      </w:r>
      <w:bookmarkEnd w:id="35"/>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36" w:name="_Toc24381"/>
      <w:bookmarkStart w:id="37" w:name="_Toc25776"/>
      <w:bookmarkStart w:id="38" w:name="_Toc5111"/>
      <w:r>
        <w:rPr>
          <w:rFonts w:hint="default" w:ascii="Times New Roman" w:hAnsi="Times New Roman" w:eastAsia="方正仿宋_GBK" w:cs="Times New Roman"/>
          <w:color w:val="auto"/>
          <w:kern w:val="2"/>
          <w:sz w:val="30"/>
          <w:szCs w:val="30"/>
          <w:highlight w:val="none"/>
          <w:lang w:val="en-US" w:eastAsia="zh-CN" w:bidi="ar-SA"/>
        </w:rPr>
        <w:t>残疾人事业是中国特色社会主义事业的重要组成部分，扶残助残是社会文明进步的重要标志。习近平总书记强调，“残疾人事业一定要继续推动”，要“促进残疾人全面发展和共同富裕”。党中央、国务院高度重视残疾人事业发展。自治区党委和政府坚决贯彻党中央、国务院决策部署，坚持以人民为中心的发展思想，落实“全面建成小康社会，残疾人一个也不能少”的要求，将残疾人工作作为保障民生、促进经济社会发展的重要内容。</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同心县</w:t>
      </w:r>
      <w:r>
        <w:rPr>
          <w:rFonts w:hint="default" w:ascii="Times New Roman" w:hAnsi="Times New Roman" w:eastAsia="方正仿宋_GBK" w:cs="Times New Roman"/>
          <w:color w:val="auto"/>
          <w:kern w:val="2"/>
          <w:sz w:val="30"/>
          <w:szCs w:val="30"/>
          <w:highlight w:val="none"/>
          <w:lang w:val="en-US" w:eastAsia="zh-CN" w:bidi="ar-SA"/>
        </w:rPr>
        <w:t>坚持以习近平新时代中国特色社会主义思想为指导，深入贯彻习近平总书记关于残疾人事业的重要论述、重要指示批示精神和视察宁夏重要讲话精神，全面落实党中央、国务院和自治区党委、政府决策部署，践行以人民为中心的发展思想，立足新发展阶段、贯彻新发展理念、构建新发展格局，坚持弱有所扶，推动残疾人事业高质量发展为目标。围绕打造“重要窗口”主题主线，以保障残疾人基本民生、公共服务和平等权益、优化残疾人服务供给、创新创优发展环境和工作机制为重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巩固拓展残疾人脱贫攻坚成果</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健全残疾人帮扶制度</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夯实发展基础和基层组织</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推进残疾人事业信息化建设</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激发强化残疾人主体作用</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促进残疾人共享发展、融合发展，不断满足残疾人美好生活需要</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着力开启残疾人事业现代化建设新征程，紧紧围绕“生态立县、产业富县、文化兴县、依法治县”部署，严格落实全县关于巩固拓展脱贫攻坚成果同乡村振兴有效衔接的各项部署，建体系、夯基础、强保障，多措并举推动全县残疾人事业高质量发展。</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同心县民政工作在县委、县政府的坚强领导下，在自治区民政厅的精心指导下，坚持以习近平新时代中国特色社会主义思想为指导，紧紧围绕统筹安全与发展，坚持“民政为民、民政爱民”工作理念，聚焦乡村振兴、聚焦特殊群体、聚焦群众关切，扎实推进社会救助兜底保障工作，改善特殊群体生活品质，促进特殊群体共享经济社会发展成果。</w:t>
      </w:r>
    </w:p>
    <w:p>
      <w:pPr>
        <w:pStyle w:val="3"/>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sz w:val="30"/>
          <w:szCs w:val="30"/>
          <w:lang w:val="en-US" w:eastAsia="zh-CN"/>
        </w:rPr>
      </w:pPr>
      <w:bookmarkStart w:id="39" w:name="_Toc170"/>
      <w:r>
        <w:rPr>
          <w:rFonts w:hint="eastAsia" w:ascii="方正楷体_GBK" w:hAnsi="方正楷体_GBK" w:eastAsia="方正楷体_GBK" w:cs="方正楷体_GBK"/>
          <w:sz w:val="30"/>
          <w:szCs w:val="30"/>
          <w:lang w:val="en-US" w:eastAsia="zh-CN"/>
        </w:rPr>
        <w:t>（二）项目实施主要内容</w:t>
      </w:r>
      <w:bookmarkEnd w:id="36"/>
      <w:bookmarkEnd w:id="37"/>
      <w:bookmarkEnd w:id="39"/>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40" w:name="_Toc8550"/>
      <w:bookmarkStart w:id="41" w:name="_Toc1917"/>
      <w:r>
        <w:rPr>
          <w:rFonts w:hint="eastAsia" w:ascii="Times New Roman" w:hAnsi="Times New Roman" w:eastAsia="方正仿宋_GBK" w:cs="Times New Roman"/>
          <w:b/>
          <w:bCs/>
          <w:color w:val="auto"/>
          <w:kern w:val="2"/>
          <w:sz w:val="30"/>
          <w:szCs w:val="30"/>
          <w:highlight w:val="none"/>
          <w:lang w:val="en-US" w:eastAsia="zh-CN" w:bidi="ar-SA"/>
        </w:rPr>
        <w:t>1.困难残疾人生活补贴</w:t>
      </w:r>
      <w:r>
        <w:rPr>
          <w:rFonts w:hint="eastAsia" w:ascii="Times New Roman" w:hAnsi="Times New Roman" w:eastAsia="方正仿宋_GBK" w:cs="Times New Roman"/>
          <w:color w:val="auto"/>
          <w:kern w:val="2"/>
          <w:sz w:val="30"/>
          <w:szCs w:val="30"/>
          <w:highlight w:val="none"/>
          <w:lang w:val="en-US" w:eastAsia="zh-CN" w:bidi="ar-SA"/>
        </w:rPr>
        <w:t>主要补助残疾人因残疾产生的额外生活支出，对象为具有宁夏户籍、持有第二代《中华人民共和国残疾人证》（以下简称“第二代残疾人证”）的低保家庭中的残疾人。 对符合条件的城乡困难残疾人每人每月给予</w:t>
      </w:r>
      <w:r>
        <w:rPr>
          <w:rFonts w:hint="eastAsia" w:ascii="Times New Roman" w:hAnsi="Times New Roman" w:eastAsia="方正仿宋_GBK" w:cs="Times New Roman"/>
          <w:b w:val="0"/>
          <w:bCs w:val="0"/>
          <w:color w:val="auto"/>
          <w:kern w:val="2"/>
          <w:sz w:val="30"/>
          <w:szCs w:val="30"/>
          <w:highlight w:val="none"/>
          <w:lang w:val="en-US" w:eastAsia="zh-CN" w:bidi="ar-SA"/>
        </w:rPr>
        <w:t>110元</w:t>
      </w:r>
      <w:r>
        <w:rPr>
          <w:rFonts w:hint="eastAsia" w:ascii="Times New Roman" w:hAnsi="Times New Roman" w:eastAsia="方正仿宋_GBK" w:cs="Times New Roman"/>
          <w:color w:val="auto"/>
          <w:kern w:val="2"/>
          <w:sz w:val="30"/>
          <w:szCs w:val="30"/>
          <w:highlight w:val="none"/>
          <w:lang w:val="en-US" w:eastAsia="zh-CN" w:bidi="ar-SA"/>
        </w:rPr>
        <w:t>的生活补贴（2021年1月1日起生活补贴标准从每人每月100元提高到110元）。符合条件的残疾人，可同时申领困难残疾人生活补贴和重度残疾人护理补贴。既符合困难残疾人生活补贴条件，又符合老年、因公残疾、离休等福利性生活补贴（津贴）条件的残疾人，可择高申领其中一类生活补贴（津贴）。享受孤儿基本生活保障政策的残疾儿童不享受困难残疾人生活补贴，可享受重度残疾人护理补贴。困难残疾人生活补贴不计入城乡最低生活保障家庭的收入。领取工伤保险生活护理费、纳入特困人员供养保障的残疾人不享受困难残疾人生活补贴。</w:t>
      </w:r>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2.重度残疾人护理补贴</w:t>
      </w:r>
      <w:r>
        <w:rPr>
          <w:rFonts w:hint="eastAsia" w:ascii="Times New Roman" w:hAnsi="Times New Roman" w:eastAsia="方正仿宋_GBK" w:cs="Times New Roman"/>
          <w:color w:val="auto"/>
          <w:kern w:val="2"/>
          <w:sz w:val="30"/>
          <w:szCs w:val="30"/>
          <w:highlight w:val="none"/>
          <w:lang w:val="en-US" w:eastAsia="zh-CN" w:bidi="ar-SA"/>
        </w:rPr>
        <w:t>主要补助残疾人因残疾产生的额外长期照护支出，对象为具有宁夏户籍、持有“第二代残疾人证”的残疾等级被评定为一级、二级且需要长期照护</w:t>
      </w:r>
      <w:r>
        <w:rPr>
          <w:rStyle w:val="28"/>
          <w:rFonts w:hint="eastAsia" w:ascii="Times New Roman" w:hAnsi="Times New Roman" w:eastAsia="方正仿宋_GBK" w:cs="Times New Roman"/>
          <w:color w:val="auto"/>
          <w:kern w:val="2"/>
          <w:sz w:val="30"/>
          <w:szCs w:val="30"/>
          <w:highlight w:val="none"/>
          <w:lang w:val="en-US" w:eastAsia="zh-CN" w:bidi="ar-SA"/>
        </w:rPr>
        <w:footnoteReference w:id="0"/>
      </w:r>
      <w:r>
        <w:rPr>
          <w:rFonts w:hint="eastAsia" w:ascii="Times New Roman" w:hAnsi="Times New Roman" w:eastAsia="方正仿宋_GBK" w:cs="Times New Roman"/>
          <w:color w:val="auto"/>
          <w:kern w:val="2"/>
          <w:sz w:val="30"/>
          <w:szCs w:val="30"/>
          <w:highlight w:val="none"/>
          <w:lang w:val="en-US" w:eastAsia="zh-CN" w:bidi="ar-SA"/>
        </w:rPr>
        <w:t>的重度残疾人，有条件的地方可扩大到非重度智力、精神残疾人或其他残疾人，逐步推动形成面向所有需要长期照护残疾人的护理补贴制度。对符合规定的残疾人，每人每月给予120元的护理补贴（含生活半自理和不能自理的分散供养特困人员照料护理补贴）。有条件的市、县（市、区）可以在本办法规定标准上提高补贴标准，也可将其他类别需要长期照护的重度残疾人纳入补贴范围。领取工伤保险生活护理费、纳入特困人员供养保障的残疾人不享受重度残疾人护理补贴。享受孤儿基本生活保障政策的残疾儿童可享受重度残疾人护理补贴。重度残疾人护理补贴不计入城乡最低生活保障家庭的收入，不得冲抵低保和困难残疾人生活补贴。</w:t>
      </w:r>
    </w:p>
    <w:p>
      <w:pPr>
        <w:pStyle w:val="2"/>
        <w:keepNext/>
        <w:keepLines/>
        <w:pageBreakBefore w:val="0"/>
        <w:widowControl w:val="0"/>
        <w:kinsoku/>
        <w:wordWrap/>
        <w:overflowPunct/>
        <w:topLinePunct w:val="0"/>
        <w:autoSpaceDE/>
        <w:autoSpaceDN/>
        <w:bidi w:val="0"/>
        <w:adjustRightInd/>
        <w:snapToGrid w:val="0"/>
        <w:spacing w:beforeLines="0" w:afterLines="0"/>
        <w:ind w:firstLine="604" w:firstLineChars="200"/>
        <w:textAlignment w:val="auto"/>
        <w:rPr>
          <w:rFonts w:hint="eastAsia" w:asciiTheme="majorEastAsia" w:hAnsiTheme="majorEastAsia" w:eastAsiaTheme="majorEastAsia" w:cstheme="majorEastAsia"/>
          <w:b/>
          <w:bCs/>
          <w:sz w:val="30"/>
          <w:szCs w:val="30"/>
          <w:lang w:val="en-US" w:eastAsia="zh-CN"/>
        </w:rPr>
      </w:pPr>
      <w:bookmarkStart w:id="42" w:name="_Toc17160"/>
      <w:bookmarkStart w:id="43" w:name="_Toc12841"/>
      <w:bookmarkStart w:id="44" w:name="_Toc22184"/>
      <w:r>
        <w:rPr>
          <w:rFonts w:hint="eastAsia" w:asciiTheme="majorEastAsia" w:hAnsiTheme="majorEastAsia" w:eastAsiaTheme="majorEastAsia" w:cstheme="majorEastAsia"/>
          <w:b/>
          <w:bCs/>
          <w:sz w:val="30"/>
          <w:szCs w:val="30"/>
          <w:lang w:val="en-US" w:eastAsia="zh-CN"/>
        </w:rPr>
        <w:t>二、资金情况</w:t>
      </w:r>
      <w:bookmarkEnd w:id="42"/>
      <w:bookmarkEnd w:id="43"/>
      <w:bookmarkEnd w:id="44"/>
    </w:p>
    <w:p>
      <w:pPr>
        <w:pStyle w:val="3"/>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5" w:name="_Toc31374"/>
      <w:bookmarkStart w:id="46" w:name="_Toc2283"/>
      <w:bookmarkStart w:id="47" w:name="_Toc3047"/>
      <w:r>
        <w:rPr>
          <w:rFonts w:hint="eastAsia"/>
          <w:b/>
          <w:bCs/>
          <w:sz w:val="30"/>
          <w:szCs w:val="30"/>
          <w:lang w:val="en-US" w:eastAsia="zh-CN"/>
        </w:rPr>
        <w:t>（一）资金来源情况</w:t>
      </w:r>
      <w:bookmarkEnd w:id="45"/>
      <w:bookmarkEnd w:id="46"/>
      <w:bookmarkEnd w:id="47"/>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48" w:name="_Toc21684"/>
      <w:bookmarkStart w:id="49" w:name="_Toc13949"/>
      <w:r>
        <w:rPr>
          <w:rFonts w:hint="eastAsia" w:ascii="Times New Roman" w:hAnsi="Times New Roman" w:eastAsia="方正仿宋_GBK" w:cs="Times New Roman"/>
          <w:color w:val="auto"/>
          <w:kern w:val="2"/>
          <w:sz w:val="30"/>
          <w:szCs w:val="30"/>
          <w:highlight w:val="none"/>
          <w:lang w:val="en-US" w:eastAsia="zh-CN" w:bidi="ar-SA"/>
        </w:rPr>
        <w:t>困难残疾人生活补贴资金由自治区和市、县（市、区）共同分担，并列入财政预算。同心县分担20%，自治区分担80%。</w:t>
      </w:r>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重度残疾人护理补贴资金由自治区和设区的市、县（市、区）共同分担，并列入财政预算。同心县分担20%，自治区分担80%。</w:t>
      </w:r>
    </w:p>
    <w:p>
      <w:pPr>
        <w:pStyle w:val="18"/>
        <w:keepNext w:val="0"/>
        <w:keepLines w:val="0"/>
        <w:pageBreakBefore w:val="0"/>
        <w:widowControl w:val="0"/>
        <w:suppressLineNumbers w:val="0"/>
        <w:kinsoku/>
        <w:wordWrap/>
        <w:overflowPunct w:val="0"/>
        <w:topLinePunct w:val="0"/>
        <w:autoSpaceDE/>
        <w:autoSpaceDN/>
        <w:bidi w:val="0"/>
        <w:adjustRightInd/>
        <w:snapToGrid/>
        <w:ind w:left="0" w:leftChars="0" w:firstLine="604"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该项目投入资金共计2261.58万元。资金来源分别为《自治区财政厅关于提前下达2022年自治区困难残疾人生活补贴和重度残疾人护理补贴预算指标的通知》（宁财（社）指标</w:t>
      </w:r>
      <w:r>
        <w:rPr>
          <w:rFonts w:hint="eastAsia" w:ascii="宋体" w:hAnsi="宋体" w:eastAsia="宋体" w:cs="宋体"/>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2021〕554号），向同心县下达资金1922.00万元（其中困难补贴资金1095万元，护理补贴资金827万元），同心县配套资金339.58万元。</w:t>
      </w:r>
    </w:p>
    <w:p>
      <w:pPr>
        <w:pStyle w:val="3"/>
        <w:keepNext w:val="0"/>
        <w:keepLines w:val="0"/>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50" w:name="_Toc31185"/>
      <w:r>
        <w:rPr>
          <w:rFonts w:hint="eastAsia"/>
          <w:b/>
          <w:bCs/>
          <w:sz w:val="30"/>
          <w:szCs w:val="30"/>
          <w:lang w:val="en-US" w:eastAsia="zh-CN"/>
        </w:rPr>
        <w:t>（二）资金到位情况</w:t>
      </w:r>
      <w:bookmarkEnd w:id="50"/>
    </w:p>
    <w:p>
      <w:pPr>
        <w:keepNext w:val="0"/>
        <w:keepLines w:val="0"/>
        <w:pageBreakBefore w:val="0"/>
        <w:widowControl w:val="0"/>
        <w:suppressLineNumbers w:val="0"/>
        <w:kinsoku/>
        <w:wordWrap/>
        <w:topLinePunct w:val="0"/>
        <w:autoSpaceDE/>
        <w:autoSpaceDN/>
        <w:bidi w:val="0"/>
        <w:adjustRightInd/>
        <w:jc w:val="left"/>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2022年该项目自治区财政资金到位1922.00万元，同心县配套资金到位339.58万元，到位资金共计2261.58万元。</w:t>
      </w:r>
    </w:p>
    <w:p>
      <w:pPr>
        <w:pStyle w:val="3"/>
        <w:bidi w:val="0"/>
        <w:rPr>
          <w:rFonts w:hint="default"/>
          <w:lang w:val="en-US" w:eastAsia="zh-CN"/>
        </w:rPr>
      </w:pPr>
      <w:bookmarkStart w:id="51" w:name="_Toc25289"/>
      <w:r>
        <w:rPr>
          <w:rFonts w:hint="eastAsia"/>
          <w:lang w:val="en-US" w:eastAsia="zh-CN"/>
        </w:rPr>
        <w:t>（三）资金管理情况</w:t>
      </w:r>
      <w:bookmarkEnd w:id="51"/>
    </w:p>
    <w:p>
      <w:pPr>
        <w:overflowPunct w:val="0"/>
        <w:adjustRightInd w:val="0"/>
        <w:snapToGrid w:val="0"/>
        <w:spacing w:line="560" w:lineRule="exact"/>
        <w:ind w:firstLine="604"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同心县根据《民政部 财政部 中国残联关于进一步完善困难残疾人生活补贴和重度残疾人护理补贴制度的意见》（民发〔2021〕70号）和《</w:t>
      </w:r>
      <w:r>
        <w:rPr>
          <w:rFonts w:hint="eastAsia" w:ascii="仿宋" w:hAnsi="仿宋" w:eastAsia="仿宋" w:cs="仿宋"/>
          <w:i w:val="0"/>
          <w:iCs w:val="0"/>
          <w:caps w:val="0"/>
          <w:color w:val="333333"/>
          <w:spacing w:val="0"/>
          <w:sz w:val="32"/>
          <w:szCs w:val="32"/>
          <w:shd w:val="clear" w:color="auto" w:fill="FFFFFF"/>
        </w:rPr>
        <w:t>自治区民政厅、财政厅、残疾人联合会</w:t>
      </w:r>
      <w:r>
        <w:rPr>
          <w:rFonts w:hint="eastAsia" w:cs="仿宋"/>
          <w:i w:val="0"/>
          <w:iCs w:val="0"/>
          <w:caps w:val="0"/>
          <w:color w:val="333333"/>
          <w:spacing w:val="0"/>
          <w:sz w:val="32"/>
          <w:szCs w:val="32"/>
          <w:shd w:val="clear" w:color="auto" w:fill="FFFFFF"/>
          <w:lang w:eastAsia="zh-CN"/>
        </w:rPr>
        <w:t>〈</w:t>
      </w:r>
      <w:r>
        <w:rPr>
          <w:rFonts w:hint="eastAsia" w:ascii="Times New Roman" w:hAnsi="Times New Roman" w:eastAsia="方正仿宋_GBK" w:cs="Times New Roman"/>
          <w:color w:val="auto"/>
          <w:kern w:val="2"/>
          <w:sz w:val="30"/>
          <w:szCs w:val="30"/>
          <w:highlight w:val="none"/>
          <w:lang w:val="en-US" w:eastAsia="zh-CN" w:bidi="ar-SA"/>
        </w:rPr>
        <w:t>关于提高困难残疾人生活补贴和重度残疾人护理补贴标准并建立动态调整机制的通知〉》（宁民发〔2020〕81号）要求，经县人民政府同意，提高全县困难残疾人生活补贴和重度残疾人护理补贴标准。全县困难残疾人生活补贴标准从每人每月100元提高到110元，重度残疾人护理补贴标准从每人每月80元提高到120元（含生活半自理和不能自理的分散供养特困人员照料护理补贴）。从2021年1月1日起执行。通过“一</w:t>
      </w:r>
      <w:r>
        <w:rPr>
          <w:rFonts w:hint="eastAsia" w:ascii="仿宋" w:hAnsi="仿宋" w:eastAsia="仿宋" w:cs="仿宋"/>
          <w:color w:val="auto"/>
          <w:kern w:val="2"/>
          <w:sz w:val="30"/>
          <w:szCs w:val="30"/>
          <w:highlight w:val="none"/>
          <w:lang w:val="en-US" w:eastAsia="zh-CN" w:bidi="ar-SA"/>
        </w:rPr>
        <w:t>卡</w:t>
      </w:r>
      <w:r>
        <w:rPr>
          <w:rFonts w:hint="eastAsia" w:ascii="Times New Roman" w:hAnsi="Times New Roman" w:eastAsia="方正仿宋_GBK" w:cs="Times New Roman"/>
          <w:color w:val="auto"/>
          <w:kern w:val="2"/>
          <w:sz w:val="30"/>
          <w:szCs w:val="30"/>
          <w:highlight w:val="none"/>
          <w:lang w:val="en-US" w:eastAsia="zh-CN" w:bidi="ar-SA"/>
        </w:rPr>
        <w:t>通”形式发放。</w:t>
      </w:r>
    </w:p>
    <w:p>
      <w:pPr>
        <w:overflowPunct w:val="0"/>
        <w:adjustRightInd w:val="0"/>
        <w:snapToGrid w:val="0"/>
        <w:spacing w:line="560" w:lineRule="exact"/>
        <w:ind w:firstLine="604"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预算单位未见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和套取等违法违规现象</w:t>
      </w:r>
    </w:p>
    <w:p>
      <w:pPr>
        <w:pStyle w:val="3"/>
        <w:bidi w:val="0"/>
        <w:rPr>
          <w:rFonts w:hint="default"/>
          <w:lang w:val="en-US" w:eastAsia="zh-CN"/>
        </w:rPr>
      </w:pPr>
      <w:bookmarkStart w:id="52" w:name="_Toc25431"/>
      <w:r>
        <w:rPr>
          <w:rFonts w:hint="eastAsia"/>
          <w:lang w:val="en-US" w:eastAsia="zh-CN"/>
        </w:rPr>
        <w:t>（四）资金使用情况</w:t>
      </w:r>
      <w:bookmarkEnd w:id="52"/>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04"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该项目实际到位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K" w:cs="Times New Roman"/>
          <w:color w:val="auto"/>
          <w:kern w:val="2"/>
          <w:sz w:val="30"/>
          <w:szCs w:val="30"/>
          <w:highlight w:val="none"/>
          <w:lang w:val="en-US" w:eastAsia="zh-CN" w:bidi="ar-SA"/>
        </w:rPr>
        <w:t>2261.58</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2261.58</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bookmarkEnd w:id="48"/>
      <w:bookmarkEnd w:id="49"/>
      <w:bookmarkStart w:id="53" w:name="_Toc2578"/>
      <w:bookmarkStart w:id="54" w:name="_Toc31342"/>
      <w:r>
        <w:rPr>
          <w:rFonts w:hint="eastAsia" w:ascii="Times New Roman" w:hAnsi="Times New Roman" w:eastAsia="方正仿宋_GBK" w:cs="Times New Roman"/>
          <w:color w:val="auto"/>
          <w:kern w:val="2"/>
          <w:sz w:val="30"/>
          <w:szCs w:val="30"/>
          <w:highlight w:val="none"/>
          <w:lang w:val="en-US" w:eastAsia="zh-CN" w:bidi="ar-SA"/>
        </w:rPr>
        <w:t>困难残疾人生活补贴</w:t>
      </w:r>
      <w:r>
        <w:rPr>
          <w:rFonts w:hint="eastAsia" w:ascii="仿宋" w:hAnsi="仿宋" w:eastAsia="仿宋" w:cs="仿宋"/>
          <w:color w:val="auto"/>
          <w:kern w:val="2"/>
          <w:sz w:val="30"/>
          <w:szCs w:val="30"/>
          <w:highlight w:val="none"/>
          <w:lang w:val="en-US" w:eastAsia="zh-CN" w:bidi="ar-SA"/>
        </w:rPr>
        <w:t>累</w:t>
      </w:r>
      <w:r>
        <w:rPr>
          <w:rFonts w:hint="eastAsia" w:ascii="Times New Roman" w:hAnsi="Times New Roman" w:eastAsia="方正仿宋_GBK" w:cs="Times New Roman"/>
          <w:color w:val="auto"/>
          <w:kern w:val="2"/>
          <w:sz w:val="30"/>
          <w:szCs w:val="30"/>
          <w:highlight w:val="none"/>
          <w:lang w:val="en-US" w:eastAsia="zh-CN" w:bidi="ar-SA"/>
        </w:rPr>
        <w:t>计发放111545人次1227.00万元，重度残疾人护理补贴</w:t>
      </w:r>
      <w:r>
        <w:rPr>
          <w:rFonts w:hint="eastAsia" w:ascii="仿宋" w:hAnsi="仿宋" w:eastAsia="仿宋" w:cs="仿宋"/>
          <w:color w:val="auto"/>
          <w:kern w:val="2"/>
          <w:sz w:val="30"/>
          <w:szCs w:val="30"/>
          <w:highlight w:val="none"/>
          <w:lang w:val="en-US" w:eastAsia="zh-CN" w:bidi="ar-SA"/>
        </w:rPr>
        <w:t>累</w:t>
      </w:r>
      <w:r>
        <w:rPr>
          <w:rFonts w:hint="eastAsia" w:ascii="Times New Roman" w:hAnsi="Times New Roman" w:eastAsia="方正仿宋_GBK" w:cs="Times New Roman"/>
          <w:color w:val="auto"/>
          <w:kern w:val="2"/>
          <w:sz w:val="30"/>
          <w:szCs w:val="30"/>
          <w:highlight w:val="none"/>
          <w:lang w:val="en-US" w:eastAsia="zh-CN" w:bidi="ar-SA"/>
        </w:rPr>
        <w:t>计发放86230人次1034.76 万元。</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jc w:val="center"/>
        <w:textAlignment w:val="auto"/>
        <w:rPr>
          <w:rFonts w:hint="eastAsia" w:ascii="方正仿宋_GBK" w:hAnsi="方正仿宋_GBK" w:eastAsia="方正仿宋_GBK" w:cs="方正仿宋_GBK"/>
          <w:b/>
          <w:bCs/>
          <w:kern w:val="44"/>
          <w:sz w:val="28"/>
          <w:szCs w:val="28"/>
          <w:lang w:val="en-US" w:eastAsia="zh-CN"/>
        </w:rPr>
      </w:pPr>
      <w:r>
        <w:rPr>
          <w:rFonts w:hint="eastAsia" w:ascii="方正仿宋_GBK" w:hAnsi="方正仿宋_GBK" w:eastAsia="方正仿宋_GBK" w:cs="方正仿宋_GBK"/>
          <w:b/>
          <w:bCs/>
          <w:kern w:val="44"/>
          <w:sz w:val="28"/>
          <w:szCs w:val="28"/>
          <w:lang w:eastAsia="zh-CN"/>
        </w:rPr>
        <w:t>2022年困难残疾人生活补助和重度残疾人护理补贴</w:t>
      </w:r>
      <w:r>
        <w:rPr>
          <w:rFonts w:hint="eastAsia" w:ascii="方正仿宋_GBK" w:hAnsi="方正仿宋_GBK" w:eastAsia="方正仿宋_GBK" w:cs="方正仿宋_GBK"/>
          <w:b/>
          <w:bCs/>
          <w:kern w:val="44"/>
          <w:sz w:val="28"/>
          <w:szCs w:val="28"/>
          <w:lang w:val="en-US" w:eastAsia="zh-CN"/>
        </w:rPr>
        <w:t>明细表</w:t>
      </w:r>
    </w:p>
    <w:tbl>
      <w:tblPr>
        <w:tblStyle w:val="22"/>
        <w:tblW w:w="85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2"/>
        <w:gridCol w:w="2250"/>
        <w:gridCol w:w="2251"/>
        <w:gridCol w:w="2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blHeader/>
        </w:trPr>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月份</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补助标准（元）</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val="0"/>
              <w:topLinePunct w:val="0"/>
              <w:autoSpaceDE/>
              <w:autoSpaceDN/>
              <w:bidi w:val="0"/>
              <w:adjustRightInd w:val="0"/>
              <w:snapToGrid w:val="0"/>
              <w:ind w:firstLine="0" w:firstLineChars="0"/>
              <w:jc w:val="center"/>
              <w:textAlignment w:val="auto"/>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bidi="ar"/>
              </w:rPr>
              <w:t>发放金额（万元）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9188</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7116</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9188</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7117</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7121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9252</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7173</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9258</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7170</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9159</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7134</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9129</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7077</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9167</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7085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7063</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9490</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7307</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9583</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7372</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9785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7495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val="0"/>
              <w:topLinePunct w:val="0"/>
              <w:autoSpaceDE/>
              <w:autoSpaceDN/>
              <w:bidi w:val="0"/>
              <w:adjustRightInd w:val="0"/>
              <w:snapToGrid w:val="0"/>
              <w:ind w:firstLine="0" w:firstLineChars="0"/>
              <w:jc w:val="center"/>
              <w:textAlignment w:val="auto"/>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fldChar w:fldCharType="begin"/>
            </w:r>
            <w:r>
              <w:rPr>
                <w:rFonts w:hint="eastAsia" w:ascii="宋体" w:hAnsi="宋体" w:eastAsia="宋体" w:cs="宋体"/>
                <w:b/>
                <w:bCs/>
                <w:i w:val="0"/>
                <w:iCs w:val="0"/>
                <w:color w:val="000000"/>
                <w:sz w:val="24"/>
                <w:szCs w:val="24"/>
                <w:u w:val="none"/>
              </w:rPr>
              <w:instrText xml:space="preserve"> = sum(D2:D25) \* MERGEFORMAT </w:instrText>
            </w:r>
            <w:r>
              <w:rPr>
                <w:rFonts w:hint="eastAsia" w:ascii="宋体" w:hAnsi="宋体" w:eastAsia="宋体" w:cs="宋体"/>
                <w:b/>
                <w:bCs/>
                <w:i w:val="0"/>
                <w:iCs w:val="0"/>
                <w:color w:val="000000"/>
                <w:sz w:val="24"/>
                <w:szCs w:val="24"/>
                <w:u w:val="none"/>
              </w:rPr>
              <w:fldChar w:fldCharType="separate"/>
            </w:r>
            <w:r>
              <w:rPr>
                <w:rFonts w:hint="eastAsia" w:ascii="宋体" w:hAnsi="宋体" w:eastAsia="宋体" w:cs="宋体"/>
                <w:b/>
                <w:bCs/>
                <w:i w:val="0"/>
                <w:iCs w:val="0"/>
                <w:color w:val="000000"/>
                <w:sz w:val="24"/>
                <w:szCs w:val="24"/>
                <w:u w:val="none"/>
              </w:rPr>
              <w:t>2261.76</w:t>
            </w:r>
            <w:r>
              <w:rPr>
                <w:rFonts w:hint="eastAsia" w:ascii="宋体" w:hAnsi="宋体" w:eastAsia="宋体" w:cs="宋体"/>
                <w:b/>
                <w:bCs/>
                <w:i w:val="0"/>
                <w:iCs w:val="0"/>
                <w:color w:val="000000"/>
                <w:sz w:val="24"/>
                <w:szCs w:val="24"/>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topLinePunct w:val="0"/>
              <w:autoSpaceDE/>
              <w:autoSpaceDN/>
              <w:bidi w:val="0"/>
              <w:adjustRightInd/>
              <w:snapToGrid/>
              <w:ind w:firstLine="0" w:firstLineChars="0"/>
              <w:jc w:val="center"/>
              <w:rPr>
                <w:rFonts w:hint="default" w:ascii="宋体" w:hAnsi="宋体" w:eastAsia="宋体" w:cs="宋体"/>
                <w:b/>
                <w:bCs/>
                <w:i w:val="0"/>
                <w:iCs w:val="0"/>
                <w:color w:val="000000"/>
                <w:sz w:val="24"/>
                <w:szCs w:val="24"/>
                <w:u w:val="none"/>
                <w:lang w:val="en-US" w:eastAsia="zh-CN"/>
              </w:rPr>
            </w:pPr>
            <w:bookmarkStart w:id="55" w:name="_Toc19300"/>
            <w:bookmarkStart w:id="56" w:name="_Toc7963"/>
            <w:bookmarkStart w:id="57" w:name="_Toc26094"/>
            <w:bookmarkStart w:id="58" w:name="_Toc9451"/>
            <w:bookmarkStart w:id="59" w:name="_Toc29255"/>
            <w:bookmarkStart w:id="60" w:name="_Toc20409"/>
            <w:bookmarkStart w:id="61" w:name="_Toc2175"/>
            <w:bookmarkStart w:id="62" w:name="_Toc31361"/>
            <w:bookmarkStart w:id="63" w:name="_Toc31216"/>
            <w:bookmarkStart w:id="64" w:name="_Toc24442"/>
            <w:bookmarkStart w:id="65" w:name="_Toc29008"/>
            <w:bookmarkStart w:id="66" w:name="_Toc19237"/>
            <w:bookmarkStart w:id="67" w:name="_Toc1375"/>
            <w:bookmarkStart w:id="68" w:name="_Toc26741"/>
            <w:bookmarkStart w:id="69" w:name="_Toc14208"/>
            <w:bookmarkStart w:id="70" w:name="_Toc26903"/>
            <w:bookmarkStart w:id="71" w:name="_Toc19319"/>
            <w:bookmarkStart w:id="72" w:name="_Toc17609"/>
            <w:bookmarkStart w:id="73" w:name="_Toc24129"/>
            <w:r>
              <w:rPr>
                <w:rFonts w:hint="eastAsia" w:ascii="宋体" w:hAnsi="宋体" w:eastAsia="宋体" w:cs="宋体"/>
                <w:b/>
                <w:bCs/>
                <w:i w:val="0"/>
                <w:iCs w:val="0"/>
                <w:color w:val="000000"/>
                <w:sz w:val="24"/>
                <w:szCs w:val="24"/>
                <w:u w:val="none"/>
                <w:lang w:val="en-US" w:eastAsia="zh-CN"/>
              </w:rPr>
              <w:t>支出</w:t>
            </w:r>
            <w:r>
              <w:rPr>
                <w:rFonts w:hint="eastAsia" w:ascii="Times New Roman" w:hAnsi="Times New Roman" w:eastAsia="方正仿宋_GBK" w:cs="Times New Roman"/>
                <w:color w:val="auto"/>
                <w:kern w:val="2"/>
                <w:sz w:val="24"/>
                <w:szCs w:val="24"/>
                <w:highlight w:val="none"/>
                <w:lang w:val="en-US" w:eastAsia="zh-CN" w:bidi="ar-SA"/>
              </w:rPr>
              <w:t>2261.58</w:t>
            </w:r>
            <w:r>
              <w:rPr>
                <w:rFonts w:hint="default" w:ascii="Times New Roman" w:hAnsi="Times New Roman" w:eastAsia="方正仿宋_GBK" w:cs="Times New Roman"/>
                <w:color w:val="auto"/>
                <w:kern w:val="2"/>
                <w:sz w:val="24"/>
                <w:szCs w:val="24"/>
                <w:highlight w:val="none"/>
                <w:lang w:val="en-US" w:eastAsia="zh-CN" w:bidi="ar-SA"/>
              </w:rPr>
              <w:t>万元</w:t>
            </w:r>
            <w:r>
              <w:rPr>
                <w:rFonts w:hint="eastAsia" w:ascii="Times New Roman" w:hAnsi="Times New Roman" w:eastAsia="方正仿宋_GBK" w:cs="Times New Roman"/>
                <w:color w:val="auto"/>
                <w:kern w:val="2"/>
                <w:sz w:val="24"/>
                <w:szCs w:val="24"/>
                <w:highlight w:val="none"/>
                <w:lang w:val="en-US" w:eastAsia="zh-CN" w:bidi="ar-SA"/>
              </w:rPr>
              <w:t>，差额=2261.76-2261.58=0.18万元为补发金额</w:t>
            </w:r>
          </w:p>
        </w:tc>
      </w:tr>
      <w:bookmarkEnd w:id="40"/>
      <w:bookmarkEnd w:id="41"/>
      <w:bookmarkEnd w:id="53"/>
      <w:bookmarkEnd w:id="54"/>
    </w:tbl>
    <w:p>
      <w:pPr>
        <w:pStyle w:val="2"/>
        <w:keepNext/>
        <w:keepLines/>
        <w:pageBreakBefore w:val="0"/>
        <w:widowControl w:val="0"/>
        <w:kinsoku/>
        <w:wordWrap/>
        <w:overflowPunct/>
        <w:topLinePunct w:val="0"/>
        <w:autoSpaceDE/>
        <w:autoSpaceDN/>
        <w:bidi w:val="0"/>
        <w:adjustRightInd/>
        <w:snapToGrid w:val="0"/>
        <w:spacing w:beforeLines="0" w:afterLines="0"/>
        <w:ind w:left="0" w:leftChars="0" w:firstLine="604" w:firstLineChars="200"/>
        <w:textAlignment w:val="auto"/>
        <w:rPr>
          <w:rFonts w:hint="eastAsia" w:asciiTheme="majorEastAsia" w:hAnsiTheme="majorEastAsia" w:eastAsiaTheme="majorEastAsia" w:cstheme="majorEastAsia"/>
          <w:b/>
          <w:bCs/>
          <w:sz w:val="30"/>
          <w:szCs w:val="30"/>
          <w:lang w:val="en-US" w:eastAsia="zh-CN"/>
        </w:rPr>
      </w:pPr>
      <w:bookmarkStart w:id="74" w:name="_Toc9212"/>
      <w:r>
        <w:rPr>
          <w:rFonts w:hint="eastAsia" w:asciiTheme="majorEastAsia" w:hAnsiTheme="majorEastAsia" w:eastAsiaTheme="majorEastAsia" w:cstheme="majorEastAsia"/>
          <w:b/>
          <w:bCs/>
          <w:sz w:val="30"/>
          <w:szCs w:val="30"/>
          <w:lang w:val="en-US" w:eastAsia="zh-CN"/>
        </w:rPr>
        <w:t>三、项目绩效</w:t>
      </w:r>
      <w:bookmarkEnd w:id="55"/>
      <w:bookmarkEnd w:id="56"/>
      <w:bookmarkEnd w:id="57"/>
      <w:bookmarkEnd w:id="58"/>
      <w:bookmarkEnd w:id="59"/>
      <w:bookmarkEnd w:id="60"/>
      <w:bookmarkEnd w:id="61"/>
      <w:bookmarkEnd w:id="62"/>
      <w:bookmarkEnd w:id="63"/>
      <w:bookmarkEnd w:id="64"/>
      <w:r>
        <w:rPr>
          <w:rFonts w:hint="eastAsia" w:asciiTheme="majorEastAsia" w:hAnsiTheme="majorEastAsia" w:eastAsiaTheme="majorEastAsia" w:cstheme="majorEastAsia"/>
          <w:b/>
          <w:bCs/>
          <w:sz w:val="30"/>
          <w:szCs w:val="30"/>
          <w:lang w:val="en-US" w:eastAsia="zh-CN"/>
        </w:rPr>
        <w:t>目标</w:t>
      </w:r>
      <w:bookmarkEnd w:id="74"/>
    </w:p>
    <w:p>
      <w:pPr>
        <w:pStyle w:val="3"/>
        <w:keepNext/>
        <w:keepLines/>
        <w:pageBreakBefore w:val="0"/>
        <w:widowControl/>
        <w:numPr>
          <w:ilvl w:val="-1"/>
          <w:numId w:val="0"/>
        </w:numPr>
        <w:kinsoku/>
        <w:wordWrap/>
        <w:overflowPunct w:val="0"/>
        <w:topLinePunct w:val="0"/>
        <w:autoSpaceDE/>
        <w:autoSpaceDN/>
        <w:bidi w:val="0"/>
        <w:adjustRightInd/>
        <w:snapToGrid w:val="0"/>
        <w:spacing w:before="0" w:beforeLines="0" w:afterLines="0" w:line="560" w:lineRule="exact"/>
        <w:ind w:left="0" w:leftChars="0" w:firstLine="604" w:firstLineChars="200"/>
        <w:textAlignment w:val="auto"/>
        <w:outlineLvl w:val="9"/>
        <w:rPr>
          <w:rFonts w:hint="default" w:ascii="方正楷体_GBK" w:hAnsi="方正楷体_GBK" w:eastAsia="方正楷体_GBK" w:cs="方正楷体_GBK"/>
          <w:sz w:val="30"/>
          <w:szCs w:val="30"/>
          <w:lang w:val="en-US" w:eastAsia="zh-CN"/>
        </w:rPr>
      </w:pPr>
      <w:bookmarkStart w:id="75" w:name="_Toc32015"/>
      <w:bookmarkStart w:id="76" w:name="_Toc8204"/>
      <w:bookmarkStart w:id="77" w:name="_Toc23578"/>
      <w:r>
        <w:rPr>
          <w:rFonts w:hint="eastAsia" w:ascii="方正楷体_GBK" w:hAnsi="方正楷体_GBK" w:eastAsia="方正楷体_GBK" w:cs="方正楷体_GBK"/>
          <w:sz w:val="30"/>
          <w:szCs w:val="30"/>
          <w:lang w:val="en-US" w:eastAsia="zh-CN"/>
        </w:rPr>
        <w:t>（一）绩效目标</w:t>
      </w:r>
      <w:bookmarkEnd w:id="75"/>
    </w:p>
    <w:p>
      <w:pPr>
        <w:pStyle w:val="3"/>
        <w:keepNext/>
        <w:keepLines/>
        <w:widowControl w:val="0"/>
        <w:snapToGrid w:val="0"/>
        <w:spacing w:before="0" w:beforeLines="0" w:afterLines="0" w:line="560" w:lineRule="exact"/>
        <w:ind w:left="0" w:firstLine="604" w:firstLineChars="200"/>
        <w:rPr>
          <w:rFonts w:hint="default" w:ascii="Times New Roman" w:hAnsi="Times New Roman" w:eastAsia="方正楷体_GBK" w:cs="Times New Roman"/>
          <w:b/>
          <w:bCs w:val="0"/>
          <w:sz w:val="30"/>
          <w:szCs w:val="30"/>
          <w:lang w:eastAsia="zh-CN"/>
        </w:rPr>
      </w:pPr>
      <w:bookmarkStart w:id="78" w:name="_Toc15106"/>
      <w:bookmarkStart w:id="79" w:name="_Toc29875"/>
      <w:bookmarkStart w:id="80" w:name="_Toc15116"/>
      <w:r>
        <w:rPr>
          <w:rFonts w:hint="default" w:ascii="Times New Roman" w:hAnsi="Times New Roman" w:eastAsia="方正楷体_GBK" w:cs="Times New Roman"/>
          <w:b/>
          <w:bCs w:val="0"/>
          <w:sz w:val="30"/>
          <w:szCs w:val="30"/>
          <w:lang w:val="en-US" w:eastAsia="zh-CN"/>
        </w:rPr>
        <w:t>1.总体</w:t>
      </w:r>
      <w:r>
        <w:rPr>
          <w:rFonts w:hint="default" w:ascii="Times New Roman" w:hAnsi="Times New Roman" w:eastAsia="方正楷体_GBK" w:cs="Times New Roman"/>
          <w:b/>
          <w:bCs w:val="0"/>
          <w:sz w:val="30"/>
          <w:szCs w:val="30"/>
          <w:lang w:eastAsia="zh-CN"/>
        </w:rPr>
        <w:t>目标</w:t>
      </w:r>
      <w:bookmarkEnd w:id="76"/>
      <w:bookmarkEnd w:id="77"/>
      <w:bookmarkEnd w:id="78"/>
      <w:bookmarkEnd w:id="79"/>
      <w:bookmarkEnd w:id="80"/>
    </w:p>
    <w:p>
      <w:pPr>
        <w:overflowPunct w:val="0"/>
        <w:adjustRightInd w:val="0"/>
        <w:snapToGrid w:val="0"/>
        <w:spacing w:line="560" w:lineRule="exact"/>
        <w:ind w:firstLine="604"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到2025年，同心县将在巩固和拓展脱贫攻坚成果的基础上，进一步提升残疾人社会保障水平，建立健全全方位的残疾人服务体系，促进城乡残疾人服务融合发展，特别是要加强对重度残疾人、残疾儿童、残疾</w:t>
      </w:r>
      <w:r>
        <w:rPr>
          <w:rFonts w:hint="eastAsia" w:ascii="仿宋" w:hAnsi="仿宋" w:eastAsia="仿宋" w:cs="仿宋"/>
          <w:color w:val="auto"/>
          <w:kern w:val="2"/>
          <w:sz w:val="30"/>
          <w:szCs w:val="30"/>
          <w:highlight w:val="none"/>
          <w:lang w:val="en-US" w:eastAsia="zh-CN" w:bidi="ar-SA"/>
        </w:rPr>
        <w:t>妇</w:t>
      </w:r>
      <w:r>
        <w:rPr>
          <w:rFonts w:hint="eastAsia" w:ascii="Times New Roman" w:hAnsi="Times New Roman" w:eastAsia="方正仿宋_GBK" w:cs="Times New Roman"/>
          <w:color w:val="auto"/>
          <w:kern w:val="2"/>
          <w:sz w:val="30"/>
          <w:szCs w:val="30"/>
          <w:highlight w:val="none"/>
          <w:lang w:val="en-US" w:eastAsia="zh-CN" w:bidi="ar-SA"/>
        </w:rPr>
        <w:t>女、残疾老人、重度精神残疾人等特殊困难人群和一户多残等特殊困难家庭的关爱和保障服务，提高他们的生活质量和幸福指数。进一步推进全县残疾人事业与经济社会协调发展，进一步改善残疾人生存和发展状况，确保残疾人与全县人民共享更高水平的小康。</w:t>
      </w:r>
    </w:p>
    <w:p>
      <w:pPr>
        <w:overflowPunct w:val="0"/>
        <w:adjustRightInd w:val="0"/>
        <w:snapToGrid w:val="0"/>
        <w:spacing w:line="560" w:lineRule="exact"/>
        <w:ind w:firstLine="604" w:firstLineChars="200"/>
        <w:jc w:val="both"/>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2025年同心县实现困难残疾人生活补贴100%</w:t>
      </w:r>
      <w:r>
        <w:rPr>
          <w:rFonts w:hint="eastAsia" w:ascii="仿宋" w:hAnsi="仿宋" w:eastAsia="仿宋" w:cs="仿宋"/>
          <w:color w:val="auto"/>
          <w:kern w:val="2"/>
          <w:sz w:val="30"/>
          <w:szCs w:val="30"/>
          <w:highlight w:val="none"/>
          <w:lang w:val="en-US" w:eastAsia="zh-CN" w:bidi="ar-SA"/>
        </w:rPr>
        <w:t>覆</w:t>
      </w:r>
      <w:r>
        <w:rPr>
          <w:rFonts w:hint="eastAsia" w:ascii="Times New Roman" w:hAnsi="Times New Roman" w:eastAsia="方正仿宋_GBK" w:cs="Times New Roman"/>
          <w:color w:val="auto"/>
          <w:kern w:val="2"/>
          <w:sz w:val="30"/>
          <w:szCs w:val="30"/>
          <w:highlight w:val="none"/>
          <w:lang w:val="en-US" w:eastAsia="zh-CN" w:bidi="ar-SA"/>
        </w:rPr>
        <w:t>盖，重度残疾人护理补贴100%</w:t>
      </w:r>
      <w:r>
        <w:rPr>
          <w:rFonts w:hint="eastAsia" w:ascii="仿宋" w:hAnsi="仿宋" w:eastAsia="仿宋" w:cs="仿宋"/>
          <w:color w:val="auto"/>
          <w:kern w:val="2"/>
          <w:sz w:val="30"/>
          <w:szCs w:val="30"/>
          <w:highlight w:val="none"/>
          <w:lang w:val="en-US" w:eastAsia="zh-CN" w:bidi="ar-SA"/>
        </w:rPr>
        <w:t>覆</w:t>
      </w:r>
      <w:r>
        <w:rPr>
          <w:rFonts w:hint="eastAsia" w:ascii="Times New Roman" w:hAnsi="Times New Roman" w:eastAsia="方正仿宋_GBK" w:cs="Times New Roman"/>
          <w:color w:val="auto"/>
          <w:kern w:val="2"/>
          <w:sz w:val="30"/>
          <w:szCs w:val="30"/>
          <w:highlight w:val="none"/>
          <w:lang w:val="en-US" w:eastAsia="zh-CN" w:bidi="ar-SA"/>
        </w:rPr>
        <w:t>盖，切实做到应补尽补，不断增强残疾人幸福感、获得感和安全感。</w:t>
      </w:r>
    </w:p>
    <w:p>
      <w:pPr>
        <w:keepNext w:val="0"/>
        <w:keepLines w:val="0"/>
        <w:pageBreakBefore w:val="0"/>
        <w:widowControl w:val="0"/>
        <w:numPr>
          <w:ilvl w:val="0"/>
          <w:numId w:val="2"/>
        </w:numPr>
        <w:shd w:val="clear"/>
        <w:kinsoku/>
        <w:wordWrap/>
        <w:overflowPunct w:val="0"/>
        <w:topLinePunct w:val="0"/>
        <w:autoSpaceDE/>
        <w:autoSpaceDN/>
        <w:bidi w:val="0"/>
        <w:adjustRightInd/>
        <w:snapToGrid/>
        <w:ind w:left="0" w:leftChars="0" w:firstLine="604"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年度绩效</w:t>
      </w:r>
      <w:r>
        <w:rPr>
          <w:rFonts w:hint="default" w:ascii="Times New Roman" w:hAnsi="Times New Roman" w:eastAsia="方正仿宋_GBK" w:cs="Times New Roman"/>
          <w:b/>
          <w:bCs/>
          <w:sz w:val="30"/>
          <w:szCs w:val="30"/>
          <w:lang w:val="en-US" w:eastAsia="zh-CN"/>
        </w:rPr>
        <w:t>目标</w:t>
      </w:r>
    </w:p>
    <w:p>
      <w:pPr>
        <w:keepNext w:val="0"/>
        <w:keepLines w:val="0"/>
        <w:pageBreakBefore w:val="0"/>
        <w:widowControl w:val="0"/>
        <w:kinsoku/>
        <w:wordWrap/>
        <w:overflowPunct w:val="0"/>
        <w:topLinePunct w:val="0"/>
        <w:autoSpaceDE/>
        <w:autoSpaceDN/>
        <w:bidi w:val="0"/>
        <w:adjustRightInd/>
        <w:snapToGrid/>
        <w:ind w:left="0" w:leftChars="0" w:firstLine="604" w:firstLineChars="200"/>
        <w:jc w:val="left"/>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通过该项目的实施，保障困难残疾人的基本生活和改善长期需要照护重度残疾人的基本家庭生活，帮助重度残疾人解决长期护理问题，保障残疾人生存发展权益，实现残疾人“两项补贴动态全</w:t>
      </w:r>
      <w:r>
        <w:rPr>
          <w:rFonts w:hint="eastAsia" w:ascii="仿宋" w:hAnsi="仿宋" w:eastAsia="仿宋" w:cs="仿宋"/>
          <w:color w:val="auto"/>
          <w:kern w:val="2"/>
          <w:sz w:val="30"/>
          <w:szCs w:val="30"/>
          <w:highlight w:val="none"/>
          <w:lang w:val="en-US" w:eastAsia="zh-CN" w:bidi="ar-SA"/>
        </w:rPr>
        <w:t>覆</w:t>
      </w:r>
      <w:r>
        <w:rPr>
          <w:rFonts w:hint="eastAsia" w:ascii="Times New Roman" w:hAnsi="Times New Roman" w:eastAsia="方正仿宋_GBK" w:cs="Times New Roman"/>
          <w:color w:val="auto"/>
          <w:kern w:val="2"/>
          <w:sz w:val="30"/>
          <w:szCs w:val="30"/>
          <w:highlight w:val="none"/>
          <w:lang w:val="en-US" w:eastAsia="zh-CN" w:bidi="ar-SA"/>
        </w:rPr>
        <w:t>盖”。</w:t>
      </w:r>
    </w:p>
    <w:p>
      <w:pPr>
        <w:pStyle w:val="3"/>
        <w:numPr>
          <w:ilvl w:val="0"/>
          <w:numId w:val="3"/>
        </w:numPr>
        <w:bidi w:val="0"/>
        <w:rPr>
          <w:rFonts w:hint="eastAsia"/>
          <w:lang w:val="en-US" w:eastAsia="zh-CN"/>
        </w:rPr>
      </w:pPr>
      <w:bookmarkStart w:id="81" w:name="_Toc29105"/>
      <w:bookmarkStart w:id="82" w:name="_Toc6859"/>
      <w:bookmarkStart w:id="83" w:name="_Toc5906"/>
      <w:r>
        <w:rPr>
          <w:rFonts w:hint="eastAsia"/>
          <w:lang w:val="en-US" w:eastAsia="zh-CN"/>
        </w:rPr>
        <w:t>项目绩效</w:t>
      </w:r>
      <w:bookmarkEnd w:id="81"/>
      <w:bookmarkEnd w:id="82"/>
      <w:bookmarkStart w:id="84" w:name="_Toc14067"/>
      <w:bookmarkStart w:id="85" w:name="_Toc13598"/>
      <w:bookmarkStart w:id="86" w:name="_Toc11708"/>
      <w:r>
        <w:rPr>
          <w:rFonts w:hint="eastAsia"/>
          <w:lang w:val="en-US" w:eastAsia="zh-CN"/>
        </w:rPr>
        <w:t>目标</w:t>
      </w:r>
      <w:bookmarkEnd w:id="83"/>
    </w:p>
    <w:p>
      <w:pPr>
        <w:pStyle w:val="3"/>
        <w:keepNext/>
        <w:keepLines/>
        <w:pageBreakBefore w:val="0"/>
        <w:widowControl/>
        <w:numPr>
          <w:ilvl w:val="0"/>
          <w:numId w:val="0"/>
        </w:numPr>
        <w:kinsoku/>
        <w:wordWrap/>
        <w:overflowPunct w:val="0"/>
        <w:topLinePunct w:val="0"/>
        <w:autoSpaceDE/>
        <w:autoSpaceDN/>
        <w:bidi w:val="0"/>
        <w:adjustRightInd/>
        <w:snapToGrid w:val="0"/>
        <w:spacing w:before="0" w:beforeLines="0" w:afterLines="0" w:line="560" w:lineRule="exact"/>
        <w:ind w:firstLine="604" w:firstLineChars="200"/>
        <w:textAlignment w:val="auto"/>
        <w:outlineLvl w:val="9"/>
        <w:rPr>
          <w:rFonts w:hint="eastAsia" w:ascii="Times New Roman" w:hAnsi="Times New Roman" w:eastAsia="方正仿宋_GBK" w:cs="Times New Roman"/>
          <w:b w:val="0"/>
          <w:color w:val="auto"/>
          <w:kern w:val="44"/>
          <w:sz w:val="30"/>
          <w:szCs w:val="30"/>
          <w:shd w:val="clear" w:fill="auto"/>
          <w:lang w:val="en-US" w:eastAsia="zh-CN" w:bidi="zh-CN"/>
        </w:rPr>
      </w:pPr>
      <w:bookmarkStart w:id="87" w:name="_Toc11188"/>
      <w:bookmarkStart w:id="88" w:name="_Toc13147"/>
      <w:bookmarkStart w:id="89" w:name="_Toc11482"/>
      <w:r>
        <w:rPr>
          <w:rFonts w:hint="eastAsia" w:ascii="Times New Roman" w:hAnsi="Times New Roman" w:eastAsia="方正仿宋_GBK" w:cs="Times New Roman"/>
          <w:b w:val="0"/>
          <w:color w:val="auto"/>
          <w:kern w:val="44"/>
          <w:sz w:val="30"/>
          <w:szCs w:val="30"/>
          <w:shd w:val="clear" w:fill="auto"/>
          <w:lang w:val="en-US" w:eastAsia="zh-CN" w:bidi="zh-CN"/>
        </w:rPr>
        <w:t>通过前期实地调研，评价组与被评价单位进行充分、有效地沟通，依据项目的功能特性，明确项目在一定时期内的总体产出和效果，以定性和定量的方式确定所要实现的目标，明确了总体绩效目标。具体情况如下表：</w:t>
      </w:r>
      <w:bookmarkEnd w:id="87"/>
      <w:bookmarkEnd w:id="88"/>
      <w:bookmarkEnd w:id="89"/>
    </w:p>
    <w:tbl>
      <w:tblPr>
        <w:tblStyle w:val="22"/>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8"/>
        <w:gridCol w:w="1486"/>
        <w:gridCol w:w="2096"/>
        <w:gridCol w:w="1224"/>
        <w:gridCol w:w="120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8"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212"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2022年同心县困难残疾人生活补助和重度残疾人护理补贴项目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7" w:hRule="atLeast"/>
          <w:jc w:val="center"/>
        </w:trPr>
        <w:tc>
          <w:tcPr>
            <w:tcW w:w="1088"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3582"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w:t>
            </w:r>
            <w:r>
              <w:rPr>
                <w:rFonts w:hint="eastAsia" w:ascii="Times New Roman" w:hAnsi="Times New Roman" w:eastAsia="方正仿宋_GBK" w:cs="Times New Roman"/>
                <w:i w:val="0"/>
                <w:iCs w:val="0"/>
                <w:color w:val="000000"/>
                <w:sz w:val="21"/>
                <w:szCs w:val="21"/>
                <w:u w:val="none"/>
                <w:lang w:val="en-US" w:eastAsia="zh-CN"/>
              </w:rPr>
              <w:t>民政局</w:t>
            </w:r>
          </w:p>
        </w:tc>
        <w:tc>
          <w:tcPr>
            <w:tcW w:w="1224"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212"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2261.58万元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8" w:type="dxa"/>
            <w:vMerge w:val="restart"/>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3582"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3706" w:type="dxa"/>
            <w:gridSpan w:val="3"/>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212"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3582"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left"/>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1.保障残疾人发展权益，实现残疾人“两项补贴动态全</w:t>
            </w:r>
            <w:r>
              <w:rPr>
                <w:rFonts w:hint="eastAsia" w:ascii="仿宋" w:hAnsi="仿宋" w:eastAsia="仿宋" w:cs="仿宋"/>
                <w:i w:val="0"/>
                <w:iCs w:val="0"/>
                <w:color w:val="000000"/>
                <w:sz w:val="21"/>
                <w:szCs w:val="21"/>
                <w:u w:val="none"/>
                <w:lang w:val="en-US" w:eastAsia="zh-CN"/>
              </w:rPr>
              <w:t>覆</w:t>
            </w:r>
            <w:r>
              <w:rPr>
                <w:rFonts w:hint="eastAsia" w:ascii="Times New Roman" w:hAnsi="Times New Roman" w:eastAsia="方正仿宋_GBK" w:cs="Times New Roman"/>
                <w:i w:val="0"/>
                <w:iCs w:val="0"/>
                <w:color w:val="000000"/>
                <w:sz w:val="21"/>
                <w:szCs w:val="21"/>
                <w:u w:val="none"/>
                <w:lang w:val="en-US" w:eastAsia="zh-CN"/>
              </w:rPr>
              <w:t>盖”；                                   2.及时足额发放残疾人“两项补贴”，困难残疾人生活补助每人每月110元，重度残疾人护理补贴每人每月120元；                                        3.坚持问题导向、目标导向、结果导向，着力消除残疾人家庭生活障</w:t>
            </w:r>
            <w:r>
              <w:rPr>
                <w:rFonts w:hint="eastAsia" w:ascii="仿宋" w:hAnsi="仿宋" w:eastAsia="仿宋" w:cs="仿宋"/>
                <w:i w:val="0"/>
                <w:iCs w:val="0"/>
                <w:color w:val="000000"/>
                <w:sz w:val="21"/>
                <w:szCs w:val="21"/>
                <w:u w:val="none"/>
                <w:lang w:val="en-US" w:eastAsia="zh-CN"/>
              </w:rPr>
              <w:t>碍</w:t>
            </w:r>
            <w:r>
              <w:rPr>
                <w:rFonts w:hint="eastAsia" w:ascii="Times New Roman" w:hAnsi="Times New Roman" w:eastAsia="方正仿宋_GBK" w:cs="Times New Roman"/>
                <w:i w:val="0"/>
                <w:iCs w:val="0"/>
                <w:color w:val="000000"/>
                <w:sz w:val="21"/>
                <w:szCs w:val="21"/>
                <w:u w:val="none"/>
                <w:lang w:val="en-US" w:eastAsia="zh-CN"/>
              </w:rPr>
              <w:t>，提高残疾人</w:t>
            </w:r>
            <w:r>
              <w:rPr>
                <w:rFonts w:hint="eastAsia" w:ascii="仿宋" w:hAnsi="仿宋" w:eastAsia="仿宋" w:cs="仿宋"/>
                <w:i w:val="0"/>
                <w:iCs w:val="0"/>
                <w:color w:val="000000"/>
                <w:sz w:val="21"/>
                <w:szCs w:val="21"/>
                <w:u w:val="none"/>
                <w:lang w:val="en-US" w:eastAsia="zh-CN"/>
              </w:rPr>
              <w:t>居住</w:t>
            </w:r>
            <w:r>
              <w:rPr>
                <w:rFonts w:hint="eastAsia" w:ascii="Times New Roman" w:hAnsi="Times New Roman" w:eastAsia="方正仿宋_GBK" w:cs="Times New Roman"/>
                <w:i w:val="0"/>
                <w:iCs w:val="0"/>
                <w:color w:val="000000"/>
                <w:sz w:val="21"/>
                <w:szCs w:val="21"/>
                <w:u w:val="none"/>
                <w:lang w:val="en-US" w:eastAsia="zh-CN"/>
              </w:rPr>
              <w:t>环境和生活品质，助力残疾人全面发展和共同富裕。</w:t>
            </w:r>
          </w:p>
        </w:tc>
        <w:tc>
          <w:tcPr>
            <w:tcW w:w="3706" w:type="dxa"/>
            <w:gridSpan w:val="3"/>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1.全年</w:t>
            </w:r>
            <w:r>
              <w:rPr>
                <w:rFonts w:hint="eastAsia" w:ascii="仿宋" w:hAnsi="仿宋" w:eastAsia="仿宋" w:cs="仿宋"/>
                <w:i w:val="0"/>
                <w:iCs w:val="0"/>
                <w:color w:val="000000"/>
                <w:kern w:val="0"/>
                <w:sz w:val="21"/>
                <w:szCs w:val="21"/>
                <w:u w:val="none"/>
                <w:lang w:val="en-US" w:eastAsia="zh-CN" w:bidi="ar"/>
              </w:rPr>
              <w:t>累</w:t>
            </w:r>
            <w:r>
              <w:rPr>
                <w:rFonts w:hint="eastAsia" w:ascii="Times New Roman" w:hAnsi="Times New Roman" w:eastAsia="方正仿宋_GBK" w:cs="Times New Roman"/>
                <w:i w:val="0"/>
                <w:iCs w:val="0"/>
                <w:color w:val="000000"/>
                <w:kern w:val="0"/>
                <w:sz w:val="21"/>
                <w:szCs w:val="21"/>
                <w:u w:val="none"/>
                <w:lang w:val="en-US" w:eastAsia="zh-CN" w:bidi="ar"/>
              </w:rPr>
              <w:t>计发放困难残疾人生活补贴111545人次1227.00万元，重度残疾人护理补贴86230人次1034.76 万元，实现残疾人“两项补贴动态全</w:t>
            </w:r>
            <w:r>
              <w:rPr>
                <w:rFonts w:hint="eastAsia" w:ascii="仿宋" w:hAnsi="仿宋" w:eastAsia="仿宋" w:cs="仿宋"/>
                <w:i w:val="0"/>
                <w:iCs w:val="0"/>
                <w:color w:val="000000"/>
                <w:kern w:val="0"/>
                <w:sz w:val="21"/>
                <w:szCs w:val="21"/>
                <w:u w:val="none"/>
                <w:lang w:val="en-US" w:eastAsia="zh-CN" w:bidi="ar"/>
              </w:rPr>
              <w:t>覆</w:t>
            </w:r>
            <w:r>
              <w:rPr>
                <w:rFonts w:hint="eastAsia" w:ascii="Times New Roman" w:hAnsi="Times New Roman" w:eastAsia="方正仿宋_GBK" w:cs="Times New Roman"/>
                <w:i w:val="0"/>
                <w:iCs w:val="0"/>
                <w:color w:val="000000"/>
                <w:kern w:val="0"/>
                <w:sz w:val="21"/>
                <w:szCs w:val="21"/>
                <w:u w:val="none"/>
                <w:lang w:val="en-US" w:eastAsia="zh-CN" w:bidi="ar"/>
              </w:rPr>
              <w:t>盖”；                    2.残疾人“两项补贴”及时发放，保障残疾人生活保障需求和长期照护需求。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Merge w:val="restart"/>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残疾人补贴</w:t>
            </w:r>
            <w:r>
              <w:rPr>
                <w:rFonts w:hint="eastAsia" w:ascii="仿宋" w:hAnsi="仿宋" w:eastAsia="仿宋" w:cs="仿宋"/>
                <w:i w:val="0"/>
                <w:iCs w:val="0"/>
                <w:color w:val="000000"/>
                <w:kern w:val="0"/>
                <w:sz w:val="22"/>
                <w:szCs w:val="22"/>
                <w:u w:val="none"/>
                <w:lang w:val="en-US" w:eastAsia="zh-CN" w:bidi="ar"/>
              </w:rPr>
              <w:t>覆</w:t>
            </w:r>
            <w:r>
              <w:rPr>
                <w:rFonts w:hint="eastAsia" w:ascii="Times New Roman" w:hAnsi="Times New Roman" w:eastAsia="方正仿宋_GBK" w:cs="Times New Roman"/>
                <w:i w:val="0"/>
                <w:iCs w:val="0"/>
                <w:color w:val="000000"/>
                <w:kern w:val="0"/>
                <w:sz w:val="22"/>
                <w:szCs w:val="22"/>
                <w:u w:val="none"/>
                <w:lang w:val="en-US" w:eastAsia="zh-CN" w:bidi="ar"/>
              </w:rPr>
              <w:t>盖率</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两项补贴动态全</w:t>
            </w:r>
            <w:r>
              <w:rPr>
                <w:rFonts w:hint="eastAsia" w:ascii="仿宋" w:hAnsi="仿宋" w:eastAsia="仿宋" w:cs="仿宋"/>
                <w:i w:val="0"/>
                <w:iCs w:val="0"/>
                <w:color w:val="000000"/>
                <w:kern w:val="0"/>
                <w:sz w:val="22"/>
                <w:szCs w:val="22"/>
                <w:u w:val="none"/>
                <w:lang w:val="en-US" w:eastAsia="zh-CN" w:bidi="ar"/>
              </w:rPr>
              <w:t>覆</w:t>
            </w:r>
            <w:r>
              <w:rPr>
                <w:rFonts w:hint="eastAsia" w:ascii="Times New Roman" w:hAnsi="Times New Roman" w:eastAsia="方正仿宋_GBK" w:cs="Times New Roman"/>
                <w:i w:val="0"/>
                <w:iCs w:val="0"/>
                <w:color w:val="000000"/>
                <w:kern w:val="0"/>
                <w:sz w:val="22"/>
                <w:szCs w:val="22"/>
                <w:u w:val="none"/>
                <w:lang w:val="en-US" w:eastAsia="zh-CN" w:bidi="ar"/>
              </w:rPr>
              <w:t>盖</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两项补贴动态全</w:t>
            </w:r>
            <w:r>
              <w:rPr>
                <w:rFonts w:hint="eastAsia" w:ascii="仿宋" w:hAnsi="仿宋" w:eastAsia="仿宋" w:cs="仿宋"/>
                <w:i w:val="0"/>
                <w:iCs w:val="0"/>
                <w:color w:val="000000"/>
                <w:kern w:val="0"/>
                <w:sz w:val="22"/>
                <w:szCs w:val="22"/>
                <w:u w:val="none"/>
                <w:lang w:val="en-US" w:eastAsia="zh-CN" w:bidi="ar"/>
              </w:rPr>
              <w:t>覆</w:t>
            </w:r>
            <w:r>
              <w:rPr>
                <w:rFonts w:hint="eastAsia" w:ascii="Times New Roman" w:hAnsi="Times New Roman" w:eastAsia="方正仿宋_GBK" w:cs="Times New Roman"/>
                <w:i w:val="0"/>
                <w:iCs w:val="0"/>
                <w:color w:val="000000"/>
                <w:kern w:val="0"/>
                <w:sz w:val="22"/>
                <w:szCs w:val="22"/>
                <w:u w:val="none"/>
                <w:lang w:val="en-US" w:eastAsia="zh-CN" w:bidi="ar"/>
              </w:rPr>
              <w:t>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残疾人“两项补贴”应补尽补率</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222"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残疾人“两项补贴”发放及时率</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困难残疾人生活补贴标准</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110元/月</w:t>
            </w:r>
            <w:r>
              <w:rPr>
                <w:rFonts w:hint="eastAsia" w:ascii="微软雅黑" w:hAnsi="微软雅黑" w:eastAsia="微软雅黑" w:cs="微软雅黑"/>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人</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110元/月</w:t>
            </w:r>
            <w:r>
              <w:rPr>
                <w:rFonts w:hint="eastAsia" w:ascii="微软雅黑" w:hAnsi="微软雅黑" w:eastAsia="微软雅黑" w:cs="微软雅黑"/>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pPr>
          </w:p>
        </w:tc>
        <w:tc>
          <w:tcPr>
            <w:tcW w:w="1486"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pP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重度残疾人护理部补贴标准</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120元/月</w:t>
            </w:r>
            <w:r>
              <w:rPr>
                <w:rFonts w:hint="eastAsia" w:ascii="微软雅黑" w:hAnsi="微软雅黑" w:eastAsia="微软雅黑" w:cs="微软雅黑"/>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人</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120元/月</w:t>
            </w:r>
            <w:r>
              <w:rPr>
                <w:rFonts w:hint="eastAsia" w:ascii="微软雅黑" w:hAnsi="微软雅黑" w:eastAsia="微软雅黑" w:cs="微软雅黑"/>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jc w:val="center"/>
        </w:trPr>
        <w:tc>
          <w:tcPr>
            <w:tcW w:w="1088" w:type="dxa"/>
            <w:vMerge w:val="restart"/>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vMerge w:val="restart"/>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社会效益</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困难残疾人生活水平改善程度</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重度残疾人护理水平提高程度</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建立健全长效管理机制</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bookmarkStart w:id="90" w:name="_Toc2876"/>
            <w:bookmarkStart w:id="91" w:name="_Toc12031"/>
          </w:p>
        </w:tc>
        <w:tc>
          <w:tcPr>
            <w:tcW w:w="1486"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受助残疾人家庭满意度</w:t>
            </w:r>
          </w:p>
        </w:tc>
        <w:tc>
          <w:tcPr>
            <w:tcW w:w="1207"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color w:val="000000"/>
                <w:kern w:val="0"/>
                <w:sz w:val="19"/>
                <w:szCs w:val="19"/>
                <w:lang w:val="en-US" w:eastAsia="zh-CN" w:bidi="ar"/>
              </w:rPr>
            </w:pPr>
            <w:r>
              <w:rPr>
                <w:rFonts w:hint="default" w:ascii="Arial" w:hAnsi="Arial" w:eastAsia="仿宋" w:cs="Arial"/>
                <w:color w:val="000000"/>
                <w:kern w:val="0"/>
                <w:sz w:val="19"/>
                <w:szCs w:val="19"/>
                <w:lang w:val="en-US" w:eastAsia="zh-CN" w:bidi="ar"/>
              </w:rPr>
              <w:t>≥</w:t>
            </w:r>
            <w:r>
              <w:rPr>
                <w:rFonts w:hint="eastAsia" w:cs="仿宋"/>
                <w:color w:val="000000"/>
                <w:kern w:val="0"/>
                <w:sz w:val="19"/>
                <w:szCs w:val="19"/>
                <w:lang w:val="en-US" w:eastAsia="zh-CN" w:bidi="ar"/>
              </w:rPr>
              <w:t>80%</w:t>
            </w:r>
          </w:p>
        </w:tc>
        <w:tc>
          <w:tcPr>
            <w:tcW w:w="1275" w:type="dxa"/>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color w:val="000000"/>
                <w:kern w:val="0"/>
                <w:sz w:val="19"/>
                <w:szCs w:val="19"/>
                <w:lang w:val="en-US" w:eastAsia="zh-CN" w:bidi="ar"/>
              </w:rPr>
            </w:pPr>
            <w:r>
              <w:rPr>
                <w:rFonts w:hint="eastAsia" w:cs="仿宋"/>
                <w:color w:val="000000"/>
                <w:kern w:val="0"/>
                <w:sz w:val="19"/>
                <w:szCs w:val="19"/>
                <w:lang w:val="en-US" w:eastAsia="zh-CN" w:bidi="ar"/>
              </w:rPr>
              <w:t>89.4%</w:t>
            </w:r>
          </w:p>
        </w:tc>
      </w:tr>
      <w:bookmarkEnd w:id="84"/>
      <w:bookmarkEnd w:id="85"/>
      <w:bookmarkEnd w:id="86"/>
    </w:tbl>
    <w:p>
      <w:pPr>
        <w:pStyle w:val="2"/>
        <w:keepNext/>
        <w:keepLines/>
        <w:pageBreakBefore w:val="0"/>
        <w:widowControl w:val="0"/>
        <w:kinsoku/>
        <w:wordWrap/>
        <w:overflowPunct/>
        <w:topLinePunct w:val="0"/>
        <w:autoSpaceDE/>
        <w:autoSpaceDN/>
        <w:bidi w:val="0"/>
        <w:adjustRightInd/>
        <w:snapToGrid w:val="0"/>
        <w:spacing w:beforeLines="0" w:afterLines="0"/>
        <w:ind w:firstLine="604" w:firstLineChars="200"/>
        <w:textAlignment w:val="auto"/>
        <w:rPr>
          <w:rFonts w:hint="eastAsia" w:asciiTheme="majorEastAsia" w:hAnsiTheme="majorEastAsia" w:eastAsiaTheme="majorEastAsia" w:cstheme="majorEastAsia"/>
          <w:b/>
          <w:bCs/>
          <w:sz w:val="30"/>
          <w:szCs w:val="30"/>
          <w:lang w:val="en-US" w:eastAsia="zh-CN"/>
        </w:rPr>
      </w:pPr>
      <w:bookmarkStart w:id="92" w:name="_Toc27267"/>
      <w:r>
        <w:rPr>
          <w:rFonts w:hint="eastAsia" w:asciiTheme="majorEastAsia" w:hAnsiTheme="majorEastAsia" w:eastAsiaTheme="majorEastAsia" w:cstheme="majorEastAsia"/>
          <w:b/>
          <w:bCs/>
          <w:sz w:val="30"/>
          <w:szCs w:val="30"/>
          <w:lang w:val="en-US" w:eastAsia="zh-CN"/>
        </w:rPr>
        <w:t>四、绩效评价工作开展情况</w:t>
      </w:r>
      <w:bookmarkEnd w:id="90"/>
      <w:bookmarkEnd w:id="91"/>
      <w:bookmarkEnd w:id="92"/>
    </w:p>
    <w:p>
      <w:pPr>
        <w:pStyle w:val="3"/>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3" w:name="_Toc23289"/>
      <w:bookmarkStart w:id="94" w:name="_Toc32182"/>
      <w:bookmarkStart w:id="95" w:name="_Toc30230"/>
      <w:r>
        <w:rPr>
          <w:rFonts w:hint="eastAsia" w:ascii="方正楷体_GBK" w:hAnsi="方正楷体_GBK" w:eastAsia="方正楷体_GBK" w:cs="方正楷体_GBK"/>
          <w:b/>
          <w:bCs/>
          <w:sz w:val="30"/>
          <w:szCs w:val="30"/>
          <w:lang w:val="en-US" w:eastAsia="zh-CN"/>
        </w:rPr>
        <w:t>（一）绩效评价目的</w:t>
      </w:r>
      <w:bookmarkEnd w:id="93"/>
      <w:bookmarkEnd w:id="94"/>
      <w:bookmarkEnd w:id="95"/>
    </w:p>
    <w:p>
      <w:pPr>
        <w:pStyle w:val="19"/>
        <w:overflowPunct w:val="0"/>
        <w:spacing w:before="0" w:beforeAutospacing="0" w:after="0" w:afterAutospacing="0" w:line="560" w:lineRule="exact"/>
        <w:ind w:firstLine="604" w:firstLineChars="200"/>
        <w:jc w:val="both"/>
        <w:rPr>
          <w:rFonts w:hint="eastAsia" w:ascii="仿宋" w:hAnsi="仿宋" w:eastAsia="仿宋" w:cs="仿宋"/>
          <w:color w:val="000000"/>
          <w:sz w:val="32"/>
          <w:szCs w:val="32"/>
          <w:lang w:eastAsia="zh-CN"/>
        </w:rPr>
      </w:pPr>
      <w:r>
        <w:rPr>
          <w:rFonts w:hint="eastAsia" w:ascii="Times New Roman" w:hAnsi="Times New Roman" w:eastAsia="方正仿宋_GBK" w:cs="Times New Roman"/>
          <w:sz w:val="30"/>
          <w:szCs w:val="30"/>
          <w:lang w:val="en-US" w:eastAsia="zh-CN"/>
        </w:rPr>
        <w:t>通过对2022年同心县残疾人“两项补贴”在项目预算管理、资金决策、组织实施等方面进行评价，可以全面综合了解项目管理情况，以及项目实施取得的成绩和效果，对该项目决策、管理、产出、效益进行衡量比较和客观、公正地评价，总结项目经验做法，及时发现存在的问题，并提出相关意见，进一步强化预算部门的支出责任，</w:t>
      </w:r>
      <w:r>
        <w:rPr>
          <w:rFonts w:ascii="宋体" w:hAnsi="宋体" w:eastAsia="仿宋" w:cs="Times New Roman"/>
          <w:color w:val="000000"/>
          <w:sz w:val="32"/>
          <w:szCs w:val="32"/>
          <w:lang w:eastAsia="zh-CN"/>
        </w:rPr>
        <w:t>为改善财政支出预算管理</w:t>
      </w:r>
      <w:r>
        <w:rPr>
          <w:rFonts w:ascii="仿宋" w:hAnsi="仿宋" w:eastAsia="仿宋"/>
          <w:color w:val="000000"/>
          <w:sz w:val="32"/>
          <w:szCs w:val="32"/>
        </w:rPr>
        <w:t>以及</w:t>
      </w:r>
      <w:r>
        <w:rPr>
          <w:rFonts w:hint="eastAsia" w:ascii="仿宋" w:hAnsi="仿宋" w:eastAsia="仿宋"/>
          <w:color w:val="000000"/>
          <w:sz w:val="32"/>
          <w:szCs w:val="32"/>
          <w:lang w:val="en-US" w:eastAsia="zh-CN"/>
        </w:rPr>
        <w:t>为</w:t>
      </w:r>
      <w:r>
        <w:rPr>
          <w:rFonts w:hint="eastAsia" w:ascii="仿宋" w:hAnsi="仿宋" w:eastAsia="仿宋" w:cs="宋体"/>
          <w:sz w:val="32"/>
          <w:szCs w:val="32"/>
          <w:lang w:val="en-US" w:eastAsia="zh-CN"/>
        </w:rPr>
        <w:t>项目</w:t>
      </w:r>
      <w:r>
        <w:rPr>
          <w:rFonts w:hint="eastAsia" w:ascii="仿宋" w:hAnsi="仿宋" w:eastAsia="仿宋" w:cs="仿宋"/>
          <w:color w:val="000000"/>
          <w:sz w:val="32"/>
          <w:szCs w:val="32"/>
          <w:lang w:eastAsia="zh-CN"/>
        </w:rPr>
        <w:t>的管理决策提供参考</w:t>
      </w:r>
      <w:r>
        <w:rPr>
          <w:rFonts w:ascii="仿宋" w:hAnsi="仿宋" w:eastAsia="仿宋"/>
          <w:color w:val="000000"/>
          <w:sz w:val="32"/>
          <w:szCs w:val="32"/>
        </w:rPr>
        <w:t>。</w:t>
      </w:r>
    </w:p>
    <w:p>
      <w:pPr>
        <w:keepNext w:val="0"/>
        <w:keepLines w:val="0"/>
        <w:pageBreakBefore w:val="0"/>
        <w:widowControl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（1）加强项目管理。考察项目实施的完成情况，</w:t>
      </w:r>
      <w:r>
        <w:rPr>
          <w:rFonts w:hint="eastAsia" w:ascii="仿宋" w:hAnsi="仿宋" w:eastAsia="仿宋" w:cs="仿宋"/>
          <w:sz w:val="30"/>
          <w:szCs w:val="30"/>
          <w:lang w:val="en-US" w:eastAsia="zh-CN"/>
        </w:rPr>
        <w:t>找</w:t>
      </w:r>
      <w:r>
        <w:rPr>
          <w:rFonts w:hint="default" w:ascii="Times New Roman" w:hAnsi="Times New Roman" w:eastAsia="方正仿宋_GBK" w:cs="Times New Roman"/>
          <w:sz w:val="30"/>
          <w:szCs w:val="30"/>
          <w:lang w:val="en-US" w:eastAsia="zh-CN"/>
        </w:rPr>
        <w:t>准存在的问题及改进方向，为加强项目资金管理提供有力依据。</w:t>
      </w:r>
    </w:p>
    <w:p>
      <w:pPr>
        <w:keepNext w:val="0"/>
        <w:keepLines w:val="0"/>
        <w:pageBreakBefore w:val="0"/>
        <w:widowControl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（2）增强责任意识。通过绩效评价向实施方提供有关项目绩效的信息，能</w:t>
      </w:r>
      <w:r>
        <w:rPr>
          <w:rFonts w:hint="eastAsia" w:ascii="仿宋" w:hAnsi="仿宋" w:eastAsia="仿宋" w:cs="仿宋"/>
          <w:sz w:val="30"/>
          <w:szCs w:val="30"/>
          <w:lang w:val="en-US" w:eastAsia="zh-CN"/>
        </w:rPr>
        <w:t>让</w:t>
      </w:r>
      <w:r>
        <w:rPr>
          <w:rFonts w:hint="default" w:ascii="Times New Roman" w:hAnsi="Times New Roman" w:eastAsia="方正仿宋_GBK" w:cs="Times New Roman"/>
          <w:sz w:val="30"/>
          <w:szCs w:val="30"/>
          <w:lang w:val="en-US" w:eastAsia="zh-CN"/>
        </w:rPr>
        <w:t>实施方准确分析投入产生的效果，督促实施方明确责任，加大力度，多管齐下，以获得最大成效。</w:t>
      </w:r>
    </w:p>
    <w:p>
      <w:pPr>
        <w:keepNext w:val="0"/>
        <w:keepLines w:val="0"/>
        <w:pageBreakBefore w:val="0"/>
        <w:widowControl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（3）及时掌握情况。通过绩效评价提供更为有效信息，从而更好</w:t>
      </w:r>
      <w:r>
        <w:rPr>
          <w:rFonts w:hint="eastAsia" w:ascii="Times New Roman" w:hAnsi="Times New Roman" w:eastAsia="方正仿宋_GBK" w:cs="Times New Roman"/>
          <w:sz w:val="30"/>
          <w:szCs w:val="30"/>
          <w:lang w:val="en-US" w:eastAsia="zh-CN"/>
        </w:rPr>
        <w:t>地</w:t>
      </w:r>
      <w:r>
        <w:rPr>
          <w:rFonts w:hint="default" w:ascii="Times New Roman" w:hAnsi="Times New Roman" w:eastAsia="方正仿宋_GBK" w:cs="Times New Roman"/>
          <w:sz w:val="30"/>
          <w:szCs w:val="30"/>
          <w:lang w:val="en-US" w:eastAsia="zh-CN"/>
        </w:rPr>
        <w:t>掌握情况，了解进度，及时调整决策，控制好规模，对效果不明显的找出对策，提出合理化建议。</w:t>
      </w:r>
    </w:p>
    <w:p>
      <w:pPr>
        <w:keepNext w:val="0"/>
        <w:keepLines w:val="0"/>
        <w:pageBreakBefore w:val="0"/>
        <w:widowControl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（4）优化资源配置。通过绩效评价，提升公共机构有效配置资源的能力。在公共机构资源有限和社会公共需求持续扩大的情况下，有效地配置资源，有效地规避公共机构的</w:t>
      </w:r>
      <w:r>
        <w:rPr>
          <w:rFonts w:hint="eastAsia" w:ascii="仿宋" w:hAnsi="仿宋" w:eastAsia="仿宋" w:cs="仿宋"/>
          <w:sz w:val="30"/>
          <w:szCs w:val="30"/>
          <w:lang w:val="en-US" w:eastAsia="zh-CN"/>
        </w:rPr>
        <w:t>短</w:t>
      </w:r>
      <w:r>
        <w:rPr>
          <w:rFonts w:hint="default" w:ascii="Times New Roman" w:hAnsi="Times New Roman" w:eastAsia="方正仿宋_GBK" w:cs="Times New Roman"/>
          <w:sz w:val="30"/>
          <w:szCs w:val="30"/>
          <w:lang w:val="en-US" w:eastAsia="zh-CN"/>
        </w:rPr>
        <w:t>期行为，促进社会的可持续发展和资源的有效利用。</w:t>
      </w:r>
    </w:p>
    <w:p>
      <w:pPr>
        <w:pStyle w:val="3"/>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6" w:name="_Toc17410"/>
      <w:r>
        <w:rPr>
          <w:rFonts w:hint="eastAsia" w:ascii="方正楷体_GBK" w:hAnsi="方正楷体_GBK" w:eastAsia="方正楷体_GBK" w:cs="方正楷体_GBK"/>
          <w:b/>
          <w:bCs/>
          <w:sz w:val="30"/>
          <w:szCs w:val="30"/>
          <w:lang w:val="en-US" w:eastAsia="zh-CN"/>
        </w:rPr>
        <w:t>（二）绩效评价对象</w:t>
      </w:r>
      <w:bookmarkEnd w:id="96"/>
    </w:p>
    <w:p>
      <w:pPr>
        <w:keepNext w:val="0"/>
        <w:keepLines w:val="0"/>
        <w:pageBreakBefore w:val="0"/>
        <w:widowControl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2022年同心县困难残疾人生活补助和重度残疾人护理补贴项目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3"/>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7" w:name="_Toc1056"/>
      <w:bookmarkStart w:id="98" w:name="_Toc4083"/>
      <w:bookmarkStart w:id="99" w:name="_Toc22702"/>
      <w:r>
        <w:rPr>
          <w:rFonts w:hint="eastAsia" w:ascii="方正楷体_GBK" w:hAnsi="方正楷体_GBK" w:eastAsia="方正楷体_GBK" w:cs="方正楷体_GBK"/>
          <w:b/>
          <w:bCs/>
          <w:sz w:val="30"/>
          <w:szCs w:val="30"/>
          <w:lang w:val="en-US" w:eastAsia="zh-CN"/>
        </w:rPr>
        <w:t>（三）评价依据</w:t>
      </w:r>
      <w:bookmarkEnd w:id="97"/>
      <w:bookmarkEnd w:id="98"/>
      <w:bookmarkEnd w:id="99"/>
    </w:p>
    <w:p>
      <w:pPr>
        <w:keepNext w:val="0"/>
        <w:keepLines w:val="0"/>
        <w:pageBreakBefore w:val="0"/>
        <w:widowControl w:val="0"/>
        <w:kinsoku/>
        <w:wordWrap/>
        <w:overflowPunct/>
        <w:topLinePunct w:val="0"/>
        <w:autoSpaceDE/>
        <w:autoSpaceDN/>
        <w:bidi w:val="0"/>
        <w:adjustRightInd/>
        <w:snapToGrid w:val="0"/>
        <w:ind w:left="0" w:leftChars="0" w:firstLine="604"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604"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val="0"/>
        <w:ind w:left="0" w:leftChars="0" w:firstLine="604"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604"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604"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604"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604"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1"/>
        <w:ind w:left="0" w:leftChars="0" w:firstLine="604"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bidi w:val="0"/>
        <w:rPr>
          <w:rFonts w:hint="eastAsia"/>
          <w:lang w:val="en-US" w:eastAsia="zh-CN"/>
        </w:rPr>
      </w:pPr>
      <w:bookmarkStart w:id="100" w:name="_Toc18626"/>
      <w:bookmarkStart w:id="101" w:name="_Toc6411"/>
      <w:bookmarkStart w:id="102" w:name="_Toc23907"/>
      <w:r>
        <w:rPr>
          <w:rFonts w:hint="eastAsia"/>
          <w:lang w:val="en-US" w:eastAsia="zh-CN"/>
        </w:rPr>
        <w:t>9.</w:t>
      </w:r>
      <w:bookmarkEnd w:id="100"/>
      <w:bookmarkEnd w:id="101"/>
      <w:bookmarkEnd w:id="102"/>
      <w:r>
        <w:rPr>
          <w:rFonts w:hint="eastAsia"/>
          <w:lang w:val="en-US" w:eastAsia="zh-CN"/>
        </w:rPr>
        <w:t>《国务院关于全面建立困难残疾人生活补贴和重度残疾人护理补贴制度的意见》（国发〔2015〕52号）</w:t>
      </w:r>
    </w:p>
    <w:p>
      <w:pPr>
        <w:pStyle w:val="21"/>
        <w:ind w:left="0" w:leftChars="0" w:firstLine="604" w:firstLineChars="200"/>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10.《民政部财政部中国残联关于建立困难残疾人生活补贴和重度残疾人护理补贴标准动态调整机制的指导意见》（民发〔2019〕67号）</w:t>
      </w:r>
    </w:p>
    <w:p>
      <w:pPr>
        <w:bidi w:val="0"/>
        <w:rPr>
          <w:rFonts w:hint="eastAsia"/>
          <w:lang w:val="en-US" w:eastAsia="zh-CN"/>
        </w:rPr>
      </w:pPr>
      <w:bookmarkStart w:id="103" w:name="_Toc22052"/>
      <w:bookmarkStart w:id="104" w:name="_Toc13604"/>
      <w:bookmarkStart w:id="105" w:name="_Toc4808"/>
      <w:r>
        <w:rPr>
          <w:rFonts w:hint="eastAsia"/>
          <w:lang w:val="en-US" w:eastAsia="zh-CN"/>
        </w:rPr>
        <w:t>11.</w:t>
      </w:r>
      <w:bookmarkEnd w:id="103"/>
      <w:bookmarkEnd w:id="104"/>
      <w:bookmarkEnd w:id="105"/>
      <w:r>
        <w:rPr>
          <w:rFonts w:hint="eastAsia"/>
          <w:lang w:val="en-US" w:eastAsia="zh-CN"/>
        </w:rPr>
        <w:t>《民政部 财政部 中国残联关于进一步完善困难残疾人生活补贴和重度残疾人护理补贴制度的意见》（民发〔2021〕70号）</w:t>
      </w:r>
    </w:p>
    <w:p>
      <w:pPr>
        <w:bidi w:val="0"/>
        <w:rPr>
          <w:rFonts w:hint="eastAsia"/>
          <w:lang w:val="en-US" w:eastAsia="zh-CN"/>
        </w:rPr>
      </w:pPr>
      <w:r>
        <w:rPr>
          <w:rFonts w:hint="eastAsia"/>
          <w:lang w:val="en-US" w:eastAsia="zh-CN"/>
        </w:rPr>
        <w:t>12.《宁夏回族自治区困难残疾人生活补贴办法（修订）》和《银川市重度残疾人护理补贴办法（修订）》（宁政办发〔2017〕46号）</w:t>
      </w:r>
    </w:p>
    <w:p>
      <w:pPr>
        <w:bidi w:val="0"/>
        <w:rPr>
          <w:rFonts w:hint="default"/>
          <w:lang w:val="en-US" w:eastAsia="zh-CN"/>
        </w:rPr>
      </w:pPr>
      <w:r>
        <w:rPr>
          <w:rFonts w:hint="eastAsia"/>
          <w:lang w:val="en-US" w:eastAsia="zh-CN"/>
        </w:rPr>
        <w:t xml:space="preserve">13.《关于提高困难残疾人生活补贴和重度残疾人护理补贴标准并建立动态调整机制的通知》（宁民发〔2020〕81号） </w:t>
      </w:r>
    </w:p>
    <w:p>
      <w:pPr>
        <w:bidi w:val="0"/>
        <w:rPr>
          <w:rFonts w:hint="eastAsia"/>
          <w:lang w:val="en-US" w:eastAsia="zh-CN"/>
        </w:rPr>
      </w:pPr>
      <w:r>
        <w:rPr>
          <w:rFonts w:hint="eastAsia"/>
          <w:lang w:val="en-US" w:eastAsia="zh-CN"/>
        </w:rPr>
        <w:t>14.《关于提高全县困难残疾人生活补贴和重度残疾人护理补贴标准的通知》（同民发〔2020〕120号）</w:t>
      </w:r>
    </w:p>
    <w:p>
      <w:pPr>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15.项目单位反映项目管理的有关资料，项目安排计划、资金拨付支出相关文件和凭证资料等</w:t>
      </w:r>
    </w:p>
    <w:p>
      <w:pPr>
        <w:pStyle w:val="3"/>
        <w:bidi w:val="0"/>
        <w:rPr>
          <w:rFonts w:hint="eastAsia"/>
          <w:lang w:val="en-US" w:eastAsia="zh-CN"/>
        </w:rPr>
      </w:pPr>
      <w:bookmarkStart w:id="106" w:name="_Toc4788"/>
      <w:bookmarkStart w:id="107" w:name="_Toc17802"/>
      <w:bookmarkStart w:id="108" w:name="_Toc8570"/>
      <w:r>
        <w:rPr>
          <w:rFonts w:hint="eastAsia"/>
          <w:lang w:val="en-US" w:eastAsia="zh-CN"/>
        </w:rPr>
        <w:t>（四）评价原则</w:t>
      </w:r>
      <w:bookmarkEnd w:id="106"/>
      <w:bookmarkEnd w:id="107"/>
      <w:bookmarkEnd w:id="108"/>
    </w:p>
    <w:p>
      <w:pPr>
        <w:bidi w:val="0"/>
        <w:rPr>
          <w:rFonts w:hint="default"/>
          <w:lang w:val="en-US" w:eastAsia="zh-CN"/>
        </w:rPr>
      </w:pPr>
      <w:bookmarkStart w:id="109" w:name="_Toc2877"/>
      <w:bookmarkStart w:id="110" w:name="_Toc25357"/>
      <w:bookmarkStart w:id="111" w:name="_Toc32246"/>
      <w:bookmarkStart w:id="112" w:name="_Toc23108"/>
      <w:bookmarkStart w:id="113" w:name="_Toc14020"/>
      <w:r>
        <w:rPr>
          <w:rFonts w:hint="default"/>
          <w:lang w:val="en-US" w:eastAsia="zh-CN"/>
        </w:rPr>
        <w:t>此次绩效评价遵循“独立原则、客观原则、规范原则”</w:t>
      </w:r>
      <w:r>
        <w:rPr>
          <w:rFonts w:hint="eastAsia"/>
          <w:lang w:val="en-US" w:eastAsia="zh-CN"/>
        </w:rPr>
        <w:t>秉</w:t>
      </w:r>
      <w:r>
        <w:rPr>
          <w:rFonts w:hint="default"/>
          <w:lang w:val="en-US" w:eastAsia="zh-CN"/>
        </w:rPr>
        <w:t>承相关性、重要性、可比性、系统性和经济性原则，科学设置评价指标体系，设计指标首选量化指标，对无法量化的指标采取定性的方式，全面掌握项目管理和实施情况，真实、客观、公正评价财政支出的经济性、效率性和公平性。</w:t>
      </w:r>
      <w:bookmarkEnd w:id="109"/>
      <w:bookmarkEnd w:id="110"/>
      <w:bookmarkEnd w:id="111"/>
    </w:p>
    <w:p>
      <w:pPr>
        <w:bidi w:val="0"/>
        <w:rPr>
          <w:rFonts w:hint="default"/>
          <w:lang w:val="en-US" w:eastAsia="zh-CN"/>
        </w:rPr>
      </w:pPr>
      <w:r>
        <w:rPr>
          <w:rFonts w:hint="eastAsia"/>
          <w:lang w:val="en-US" w:eastAsia="zh-CN"/>
        </w:rPr>
        <w:t>独</w:t>
      </w:r>
      <w:r>
        <w:rPr>
          <w:rFonts w:hint="default"/>
          <w:lang w:val="en-US" w:eastAsia="zh-CN"/>
        </w:rPr>
        <w:t>立原则：评价组在</w:t>
      </w:r>
      <w:r>
        <w:rPr>
          <w:rFonts w:hint="eastAsia"/>
          <w:lang w:val="en-US" w:eastAsia="zh-CN"/>
        </w:rPr>
        <w:t>县</w:t>
      </w:r>
      <w:r>
        <w:rPr>
          <w:rFonts w:hint="default"/>
          <w:lang w:val="en-US" w:eastAsia="zh-CN"/>
        </w:rPr>
        <w:t>财政局和</w:t>
      </w:r>
      <w:r>
        <w:rPr>
          <w:rFonts w:hint="eastAsia"/>
          <w:lang w:val="en-US" w:eastAsia="zh-CN"/>
        </w:rPr>
        <w:t>县</w:t>
      </w:r>
      <w:r>
        <w:rPr>
          <w:rFonts w:hint="default"/>
          <w:lang w:val="en-US" w:eastAsia="zh-CN"/>
        </w:rPr>
        <w:t>民政局提供工作</w:t>
      </w:r>
      <w:r>
        <w:rPr>
          <w:rFonts w:hint="eastAsia"/>
          <w:lang w:val="en-US" w:eastAsia="zh-CN"/>
        </w:rPr>
        <w:t>便</w:t>
      </w:r>
      <w:r>
        <w:rPr>
          <w:rFonts w:hint="default"/>
          <w:lang w:val="en-US" w:eastAsia="zh-CN"/>
        </w:rPr>
        <w:t>利条件和相关资料的情况下，保证</w:t>
      </w:r>
      <w:r>
        <w:rPr>
          <w:rFonts w:hint="eastAsia"/>
          <w:lang w:val="en-US" w:eastAsia="zh-CN"/>
        </w:rPr>
        <w:t>独</w:t>
      </w:r>
      <w:r>
        <w:rPr>
          <w:rFonts w:hint="default"/>
          <w:lang w:val="en-US" w:eastAsia="zh-CN"/>
        </w:rPr>
        <w:t>立完成评价工作。</w:t>
      </w:r>
    </w:p>
    <w:p>
      <w:pPr>
        <w:bidi w:val="0"/>
        <w:rPr>
          <w:rFonts w:hint="default"/>
          <w:lang w:val="en-US" w:eastAsia="zh-CN"/>
        </w:rPr>
      </w:pPr>
      <w:r>
        <w:rPr>
          <w:rFonts w:hint="default"/>
          <w:lang w:val="en-US" w:eastAsia="zh-CN"/>
        </w:rPr>
        <w:t>客观原则：评价组严格按照绩效评价协议中约定事项客观公正、实事求是地开展预算绩效评价。</w:t>
      </w:r>
    </w:p>
    <w:p>
      <w:pPr>
        <w:bidi w:val="0"/>
        <w:rPr>
          <w:rFonts w:hint="default"/>
          <w:lang w:val="en-US" w:eastAsia="zh-CN"/>
        </w:rPr>
      </w:pPr>
      <w:r>
        <w:rPr>
          <w:rFonts w:hint="default"/>
          <w:lang w:val="en-US" w:eastAsia="zh-CN"/>
        </w:rPr>
        <w:t>规范原则：评价组严格履行必要的评价程序，合理选取具有代表性的样本，对原始资料进行必要的核查验证，形成结论并出具绩效评价报告。</w:t>
      </w:r>
    </w:p>
    <w:p>
      <w:pPr>
        <w:bidi w:val="0"/>
        <w:rPr>
          <w:rFonts w:hint="default"/>
          <w:lang w:val="en-US" w:eastAsia="zh-CN"/>
        </w:rPr>
      </w:pPr>
      <w:r>
        <w:rPr>
          <w:rFonts w:hint="default"/>
          <w:lang w:val="en-US" w:eastAsia="zh-CN"/>
        </w:rPr>
        <w:t>可比性原则：项目计划的绩效目</w:t>
      </w:r>
      <w:r>
        <w:rPr>
          <w:rFonts w:hint="eastAsia"/>
          <w:lang w:val="en-US" w:eastAsia="zh-CN"/>
        </w:rPr>
        <w:t>标与</w:t>
      </w:r>
      <w:r>
        <w:rPr>
          <w:rFonts w:hint="default"/>
          <w:lang w:val="en-US" w:eastAsia="zh-CN"/>
        </w:rPr>
        <w:t>实际完成的绩效目标进行</w:t>
      </w:r>
      <w:r>
        <w:rPr>
          <w:rFonts w:hint="eastAsia"/>
          <w:lang w:val="en-US" w:eastAsia="zh-CN"/>
        </w:rPr>
        <w:t>比较。</w:t>
      </w:r>
    </w:p>
    <w:p>
      <w:pPr>
        <w:pStyle w:val="3"/>
        <w:bidi w:val="0"/>
        <w:rPr>
          <w:rFonts w:hint="eastAsia"/>
          <w:lang w:val="en-US" w:eastAsia="zh-CN"/>
        </w:rPr>
      </w:pPr>
      <w:bookmarkStart w:id="114" w:name="_Toc8802"/>
      <w:r>
        <w:rPr>
          <w:rFonts w:hint="eastAsia"/>
          <w:lang w:val="en-US" w:eastAsia="zh-CN"/>
        </w:rPr>
        <w:t>（五）评价标准</w:t>
      </w:r>
      <w:bookmarkEnd w:id="114"/>
    </w:p>
    <w:p>
      <w:pPr>
        <w:bidi w:val="0"/>
        <w:rPr>
          <w:rFonts w:hint="default"/>
          <w:lang w:val="en-US" w:eastAsia="zh-CN"/>
        </w:rPr>
      </w:pPr>
      <w:bookmarkStart w:id="115" w:name="_Toc527"/>
      <w:bookmarkStart w:id="116" w:name="_Toc11230"/>
      <w:bookmarkStart w:id="117" w:name="_Toc20228"/>
      <w:r>
        <w:rPr>
          <w:rFonts w:hint="default"/>
          <w:lang w:val="en-US" w:eastAsia="zh-CN"/>
        </w:rPr>
        <w:t xml:space="preserve">本次评价根据《项目支出绩效评价管理办法》（财预（2020）10 号）、 </w:t>
      </w:r>
      <w:r>
        <w:rPr>
          <w:rFonts w:hint="eastAsia"/>
          <w:lang w:val="en-US" w:eastAsia="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115"/>
      <w:bookmarkEnd w:id="116"/>
      <w:bookmarkEnd w:id="117"/>
    </w:p>
    <w:p>
      <w:pPr>
        <w:pStyle w:val="3"/>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highlight w:val="none"/>
        </w:rPr>
      </w:pPr>
      <w:bookmarkStart w:id="118" w:name="_Toc2182"/>
      <w:r>
        <w:rPr>
          <w:rFonts w:hint="eastAsia" w:ascii="方正楷体_GBK" w:hAnsi="方正楷体_GBK" w:eastAsia="方正楷体_GBK" w:cs="方正楷体_GBK"/>
          <w:color w:val="auto"/>
          <w:sz w:val="30"/>
          <w:szCs w:val="30"/>
          <w:highlight w:val="none"/>
        </w:rPr>
        <w:t>（</w:t>
      </w:r>
      <w:r>
        <w:rPr>
          <w:rFonts w:hint="eastAsia" w:ascii="方正楷体_GBK" w:hAnsi="方正楷体_GBK" w:eastAsia="方正楷体_GBK" w:cs="方正楷体_GBK"/>
          <w:color w:val="auto"/>
          <w:sz w:val="30"/>
          <w:szCs w:val="30"/>
          <w:highlight w:val="none"/>
          <w:lang w:eastAsia="zh-CN"/>
        </w:rPr>
        <w:t>六</w:t>
      </w:r>
      <w:r>
        <w:rPr>
          <w:rFonts w:hint="eastAsia" w:ascii="方正楷体_GBK" w:hAnsi="方正楷体_GBK" w:eastAsia="方正楷体_GBK" w:cs="方正楷体_GBK"/>
          <w:color w:val="auto"/>
          <w:sz w:val="30"/>
          <w:szCs w:val="30"/>
          <w:highlight w:val="none"/>
        </w:rPr>
        <w:t>）评价指标体系</w:t>
      </w:r>
      <w:bookmarkEnd w:id="112"/>
      <w:bookmarkEnd w:id="113"/>
      <w:bookmarkEnd w:id="118"/>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2022年同心县困难残疾人生活补助和重度残疾人护理补贴项目根据《项目支出绩效评价管理办法》（财预〔2020〕10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 xml:space="preserve">权重占比 20%，过程指标权重占比 20%，产出指标权重占比 </w:t>
      </w:r>
      <w:r>
        <w:rPr>
          <w:rFonts w:hint="eastAsia" w:ascii="Times New Roman" w:hAnsi="Times New Roman" w:eastAsia="方正仿宋_GBK" w:cs="Times New Roman"/>
          <w:b w:val="0"/>
          <w:bCs w:val="0"/>
          <w:kern w:val="0"/>
          <w:sz w:val="30"/>
          <w:szCs w:val="30"/>
          <w:lang w:val="en-US" w:eastAsia="zh-CN" w:bidi="zh-CN"/>
        </w:rPr>
        <w:t>32</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28</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项目过程合规性6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个二级指标，同时对补贴计划完成率、残疾人“两项补贴”应补尽补率、计划工作完成及时率、补贴标准4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default"/>
          <w:i w:val="0"/>
          <w:iCs w:val="0"/>
          <w:lang w:val="en-US"/>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困难残疾人生活水平改善程度、重度残疾人护理水平改善程度、机制维护健全性、带动全社会积极参与和支持、受益对象满意度5个三级指标进行考察评判。</w:t>
      </w:r>
      <w:r>
        <w:rPr>
          <w:rFonts w:ascii="仿宋" w:hAnsi="仿宋" w:eastAsia="仿宋" w:cs="仿宋"/>
          <w:b/>
          <w:bCs/>
          <w:i w:val="0"/>
          <w:iCs w:val="0"/>
          <w:color w:val="000000"/>
          <w:kern w:val="0"/>
          <w:sz w:val="27"/>
          <w:szCs w:val="27"/>
          <w:lang w:val="en-US" w:eastAsia="zh-CN" w:bidi="ar"/>
        </w:rPr>
        <w:t xml:space="preserve">具体评价指标体系表详见附件 </w:t>
      </w:r>
      <w:r>
        <w:rPr>
          <w:rFonts w:hint="eastAsia" w:cs="仿宋"/>
          <w:b/>
          <w:bCs/>
          <w:i w:val="0"/>
          <w:iCs w:val="0"/>
          <w:color w:val="000000"/>
          <w:kern w:val="0"/>
          <w:sz w:val="27"/>
          <w:szCs w:val="27"/>
          <w:lang w:val="en-US" w:eastAsia="zh-CN" w:bidi="ar"/>
        </w:rPr>
        <w:t>1</w:t>
      </w:r>
    </w:p>
    <w:p>
      <w:pPr>
        <w:bidi w:val="0"/>
      </w:pPr>
      <w:bookmarkStart w:id="119" w:name="_Toc3290"/>
      <w:bookmarkStart w:id="120" w:name="_Toc13700"/>
      <w:bookmarkStart w:id="121" w:name="_Toc11592"/>
      <w:r>
        <w:rPr>
          <w:rFonts w:hint="eastAsia"/>
          <w:lang w:val="en-US" w:eastAsia="zh-CN"/>
        </w:rPr>
        <w:t>绩效评价结果采取评分和评级相结合的方式，总分设置为 100 分等级划分为四档：90（含）-100 分为优；80（含）-90 分为良；60（含）-80分为中；60分以下为差。</w:t>
      </w:r>
      <w:bookmarkEnd w:id="119"/>
      <w:bookmarkEnd w:id="120"/>
      <w:bookmarkEnd w:id="121"/>
    </w:p>
    <w:p>
      <w:pPr>
        <w:pStyle w:val="3"/>
        <w:bidi w:val="0"/>
        <w:rPr>
          <w:rFonts w:hint="eastAsia"/>
        </w:rPr>
      </w:pPr>
      <w:bookmarkStart w:id="122" w:name="_Toc62"/>
      <w:bookmarkStart w:id="123" w:name="_Toc31420"/>
      <w:bookmarkStart w:id="124" w:name="_Toc3585"/>
      <w:r>
        <w:rPr>
          <w:rFonts w:hint="eastAsia"/>
          <w:lang w:eastAsia="zh-CN"/>
        </w:rPr>
        <w:t>（</w:t>
      </w:r>
      <w:r>
        <w:rPr>
          <w:rFonts w:hint="eastAsia"/>
          <w:lang w:val="en-US" w:eastAsia="zh-CN"/>
        </w:rPr>
        <w:t>七</w:t>
      </w:r>
      <w:r>
        <w:rPr>
          <w:rFonts w:hint="eastAsia"/>
          <w:lang w:eastAsia="zh-CN"/>
        </w:rPr>
        <w:t>）</w:t>
      </w:r>
      <w:r>
        <w:rPr>
          <w:rFonts w:hint="eastAsia"/>
        </w:rPr>
        <w:t>评价方法</w:t>
      </w:r>
      <w:bookmarkEnd w:id="122"/>
      <w:bookmarkEnd w:id="123"/>
      <w:bookmarkEnd w:id="124"/>
    </w:p>
    <w:p>
      <w:pPr>
        <w:bidi w:val="0"/>
        <w:rPr>
          <w:rFonts w:hint="default"/>
          <w:lang w:val="en-US" w:eastAsia="zh-CN"/>
        </w:rPr>
      </w:pPr>
      <w:bookmarkStart w:id="125" w:name="_Toc23890"/>
      <w:bookmarkStart w:id="126" w:name="_Toc8518"/>
      <w:r>
        <w:rPr>
          <w:rFonts w:hint="default"/>
          <w:lang w:val="en-US" w:eastAsia="zh-CN"/>
        </w:rPr>
        <w:t>1.评价方法</w:t>
      </w:r>
      <w:bookmarkEnd w:id="125"/>
      <w:bookmarkEnd w:id="126"/>
    </w:p>
    <w:p>
      <w:pPr>
        <w:bidi w:val="0"/>
        <w:rPr>
          <w:rFonts w:hint="eastAsia"/>
          <w:lang w:val="en-US" w:eastAsia="zh-CN"/>
        </w:rPr>
      </w:pPr>
      <w:bookmarkStart w:id="127" w:name="_Toc16900"/>
      <w:bookmarkStart w:id="128" w:name="_Toc32670"/>
      <w:r>
        <w:rPr>
          <w:rFonts w:hint="eastAsia"/>
          <w:lang w:val="en-US" w:eastAsia="zh-CN"/>
        </w:rPr>
        <w:t>该项目绩效评价主要采用因素分析法、比较法、现场核查法、公众评判法进行综合评价。具体评价方法如下：</w:t>
      </w:r>
      <w:bookmarkEnd w:id="127"/>
      <w:bookmarkEnd w:id="128"/>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该项目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该项目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该项目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三是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现场核查。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公众评判法。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公众评判法是指通过公众问卷等方式进行评判的方法。我们按照项目类型分别设计项目受益单位或群体、服务对象两种调查问卷，开展线上或线下满意度调查，用以了解项目实施效率及效果。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4"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3"/>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604" w:firstLineChars="200"/>
        <w:textAlignment w:val="auto"/>
        <w:rPr>
          <w:rFonts w:hint="default" w:ascii="方正楷体_GBK" w:hAnsi="方正楷体_GBK" w:eastAsia="方正楷体_GBK" w:cs="方正楷体_GBK"/>
          <w:color w:val="auto"/>
          <w:sz w:val="30"/>
          <w:szCs w:val="30"/>
          <w:lang w:val="en-US" w:eastAsia="zh-CN"/>
        </w:rPr>
      </w:pPr>
      <w:bookmarkStart w:id="129" w:name="_Toc7577"/>
      <w:bookmarkStart w:id="130" w:name="_Toc14287"/>
      <w:bookmarkStart w:id="131" w:name="_Toc15372"/>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29"/>
      <w:bookmarkEnd w:id="130"/>
      <w:bookmarkEnd w:id="131"/>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本次绩效评价自2023年11月</w:t>
      </w:r>
      <w:r>
        <w:rPr>
          <w:rFonts w:hint="eastAsia" w:ascii="Times New Roman" w:hAnsi="Times New Roman" w:eastAsia="方正仿宋_GBK" w:cs="Times New Roman"/>
          <w:color w:val="auto"/>
          <w:kern w:val="2"/>
          <w:sz w:val="30"/>
          <w:szCs w:val="30"/>
          <w:highlight w:val="none"/>
          <w:lang w:val="en-US" w:eastAsia="zh-CN" w:bidi="ar-SA"/>
        </w:rPr>
        <w:t>30</w:t>
      </w:r>
      <w:r>
        <w:rPr>
          <w:rFonts w:hint="default" w:ascii="Times New Roman" w:hAnsi="Times New Roman" w:eastAsia="方正仿宋_GBK" w:cs="Times New Roman"/>
          <w:color w:val="auto"/>
          <w:kern w:val="2"/>
          <w:sz w:val="30"/>
          <w:szCs w:val="30"/>
          <w:highlight w:val="none"/>
          <w:lang w:val="en-US" w:eastAsia="zh-CN" w:bidi="ar-SA"/>
        </w:rPr>
        <w:t>日开始，至本报告出具日工作全面完成。具体包括前期准备、组织实施、分析评价、意见征询和提交报告四个阶段。</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r>
        <w:rPr>
          <w:rFonts w:hint="eastAsia" w:ascii="Times New Roman" w:hAnsi="Times New Roman" w:eastAsia="方正仿宋_GBK" w:cs="Times New Roman"/>
          <w:b/>
          <w:bCs/>
          <w:color w:val="auto"/>
          <w:kern w:val="2"/>
          <w:sz w:val="30"/>
          <w:szCs w:val="30"/>
          <w:highlight w:val="none"/>
          <w:lang w:val="en-US" w:eastAsia="zh-CN" w:bidi="ar-SA"/>
        </w:rPr>
        <w:t>阶段</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2.组织实施阶段</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（3）</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3.数据集中分析阶段</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主要工作内容包括： 综合分析评价项目实施情况、撰写报告。</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val="0"/>
          <w:bCs w:val="0"/>
          <w:color w:val="auto"/>
          <w:kern w:val="2"/>
          <w:sz w:val="30"/>
          <w:szCs w:val="30"/>
          <w:highlight w:val="none"/>
          <w:lang w:val="en-US" w:eastAsia="zh-CN" w:bidi="ar-SA"/>
        </w:rPr>
        <w:t>（1） 综合分析评价。</w:t>
      </w:r>
      <w:r>
        <w:rPr>
          <w:rFonts w:hint="eastAsia" w:ascii="Times New Roman" w:hAnsi="Times New Roman" w:eastAsia="方正仿宋_GBK" w:cs="Times New Roman"/>
          <w:color w:val="auto"/>
          <w:kern w:val="2"/>
          <w:sz w:val="30"/>
          <w:szCs w:val="30"/>
          <w:highlight w:val="none"/>
          <w:lang w:val="en-US" w:eastAsia="zh-CN" w:bidi="ar-SA"/>
        </w:rPr>
        <w:t>对采集的资料和数据进行系统的汇集及综合分析，按照评价工作方案设定的评价指标、标准和方法，对宁南医院子项目的绩效情况进行全面的分析评价，形成评价结果。</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val="0"/>
          <w:bCs w:val="0"/>
          <w:color w:val="auto"/>
          <w:kern w:val="2"/>
          <w:sz w:val="30"/>
          <w:szCs w:val="30"/>
          <w:highlight w:val="none"/>
          <w:lang w:val="en-US" w:eastAsia="zh-CN" w:bidi="ar-SA"/>
        </w:rPr>
        <w:t>（2）撰写评价报告。</w:t>
      </w:r>
      <w:r>
        <w:rPr>
          <w:rFonts w:hint="eastAsia" w:ascii="Times New Roman" w:hAnsi="Times New Roman" w:eastAsia="方正仿宋_GBK" w:cs="Times New Roman"/>
          <w:color w:val="auto"/>
          <w:kern w:val="2"/>
          <w:sz w:val="30"/>
          <w:szCs w:val="30"/>
          <w:highlight w:val="none"/>
          <w:lang w:val="en-US" w:eastAsia="zh-CN" w:bidi="ar-SA"/>
        </w:rPr>
        <w:t>根据综合分析评价结果及相关数据等资料撰写绩效评价报告初稿。绩效评价报告包含了项目基本情况、绩效评价工作开展情况、综合评价情况及评价结论、绩效评价指标分析情况、主要经验及做法、存在的问题及原因分析和建议六大部分，又进一步细分为项目概况、项目绩效目标、项目绩效评价目的、绩效评价原则、绩效评价的对象和范围、绩效评价的依据、绩效评价指标体系、评价标准、评价方法、项目决策情况分析、项目过程情况分析、项目产出情况分析、项目效益情况分析等具体内容。</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bookmarkStart w:id="132" w:name="_Toc15926"/>
      <w:bookmarkStart w:id="133" w:name="_Toc23927"/>
      <w:r>
        <w:rPr>
          <w:rFonts w:hint="eastAsia" w:ascii="Times New Roman" w:hAnsi="Times New Roman" w:eastAsia="方正仿宋_GBK" w:cs="Times New Roman"/>
          <w:b/>
          <w:bCs/>
          <w:color w:val="auto"/>
          <w:kern w:val="2"/>
          <w:sz w:val="30"/>
          <w:szCs w:val="30"/>
          <w:highlight w:val="none"/>
          <w:lang w:val="en-US" w:eastAsia="zh-CN" w:bidi="ar-SA"/>
        </w:rPr>
        <w:t>4.征询意见和提交报告阶段</w:t>
      </w:r>
    </w:p>
    <w:p>
      <w:pPr>
        <w:bidi w:val="0"/>
        <w:rPr>
          <w:rFonts w:hint="eastAsia"/>
          <w:lang w:val="en-US" w:eastAsia="zh-CN"/>
        </w:rPr>
      </w:pPr>
      <w:bookmarkStart w:id="134" w:name="_Toc9592"/>
      <w:bookmarkStart w:id="135" w:name="_Toc27482"/>
      <w:r>
        <w:rPr>
          <w:rFonts w:hint="eastAsia"/>
          <w:lang w:val="en-US" w:eastAsia="zh-CN"/>
        </w:rPr>
        <w:t>形成绩效评价报告初稿后送被评价单位和委托单位征求意见；分析听取反馈意见，对反馈的意见逐一核实，逐条说明采纳或不予采纳的理由，并根据反馈的有效意见对评价报告初稿进行修改。再经内部三级质量控制审核后出具正式绩效评价报告。</w:t>
      </w:r>
      <w:bookmarkEnd w:id="134"/>
      <w:bookmarkEnd w:id="135"/>
    </w:p>
    <w:p>
      <w:pPr>
        <w:pStyle w:val="2"/>
        <w:keepNext/>
        <w:keepLines/>
        <w:pageBreakBefore w:val="0"/>
        <w:widowControl w:val="0"/>
        <w:kinsoku/>
        <w:wordWrap/>
        <w:overflowPunct w:val="0"/>
        <w:topLinePunct w:val="0"/>
        <w:autoSpaceDE/>
        <w:autoSpaceDN/>
        <w:bidi w:val="0"/>
        <w:adjustRightInd/>
        <w:snapToGrid/>
        <w:spacing w:beforeLines="0" w:afterLines="0"/>
        <w:ind w:firstLine="644" w:firstLineChars="200"/>
        <w:textAlignment w:val="auto"/>
        <w:rPr>
          <w:rFonts w:hint="eastAsia" w:ascii="方正正黑_GBK" w:hAnsi="方正正黑_GBK" w:eastAsia="方正正黑_GBK" w:cs="方正正黑_GBK"/>
          <w:sz w:val="32"/>
          <w:szCs w:val="32"/>
          <w:highlight w:val="none"/>
        </w:rPr>
      </w:pPr>
      <w:bookmarkStart w:id="136" w:name="_Toc28460"/>
      <w:r>
        <w:rPr>
          <w:rFonts w:hint="eastAsia" w:asciiTheme="majorEastAsia" w:hAnsiTheme="majorEastAsia" w:eastAsiaTheme="majorEastAsia" w:cstheme="majorEastAsia"/>
          <w:b/>
          <w:bCs/>
          <w:sz w:val="32"/>
          <w:szCs w:val="32"/>
          <w:highlight w:val="none"/>
          <w:lang w:val="en-US" w:eastAsia="zh-CN"/>
        </w:rPr>
        <w:t>五</w:t>
      </w:r>
      <w:r>
        <w:rPr>
          <w:rFonts w:hint="eastAsia" w:asciiTheme="majorEastAsia" w:hAnsiTheme="majorEastAsia" w:eastAsiaTheme="majorEastAsia" w:cstheme="majorEastAsia"/>
          <w:b/>
          <w:bCs/>
          <w:sz w:val="32"/>
          <w:szCs w:val="32"/>
          <w:highlight w:val="none"/>
        </w:rPr>
        <w:t>、综合评价情况及评价结论</w:t>
      </w:r>
      <w:bookmarkEnd w:id="132"/>
      <w:bookmarkEnd w:id="133"/>
      <w:bookmarkEnd w:id="136"/>
    </w:p>
    <w:p>
      <w:pPr>
        <w:pStyle w:val="3"/>
        <w:bidi w:val="0"/>
        <w:rPr>
          <w:rFonts w:hint="default"/>
          <w:highlight w:val="none"/>
          <w:lang w:val="en-US" w:eastAsia="zh-CN"/>
        </w:rPr>
      </w:pPr>
      <w:bookmarkStart w:id="137" w:name="_Toc6136"/>
      <w:r>
        <w:rPr>
          <w:rFonts w:hint="eastAsia"/>
          <w:highlight w:val="none"/>
          <w:lang w:val="en-US" w:eastAsia="zh-CN"/>
        </w:rPr>
        <w:t>（一）项目完成情况</w:t>
      </w:r>
      <w:bookmarkEnd w:id="137"/>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同心县文旅局的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本项目实际到位资金</w:t>
      </w:r>
      <w:r>
        <w:rPr>
          <w:rFonts w:hint="eastAsia" w:ascii="Times New Roman" w:hAnsi="Times New Roman" w:eastAsia="方正仿宋_GBK" w:cs="Times New Roman"/>
          <w:color w:val="auto"/>
          <w:kern w:val="2"/>
          <w:sz w:val="30"/>
          <w:szCs w:val="30"/>
          <w:highlight w:val="none"/>
          <w:lang w:val="en-US" w:eastAsia="zh-CN" w:bidi="ar-SA"/>
        </w:rPr>
        <w:t>2261.58</w:t>
      </w:r>
      <w:r>
        <w:rPr>
          <w:rFonts w:hint="default" w:ascii="Times New Roman" w:hAnsi="Times New Roman" w:eastAsia="方正仿宋_GBK" w:cs="Times New Roman"/>
          <w:color w:val="auto"/>
          <w:kern w:val="2"/>
          <w:sz w:val="30"/>
          <w:szCs w:val="30"/>
          <w:highlight w:val="none"/>
          <w:lang w:val="en-US" w:eastAsia="zh-CN" w:bidi="ar-SA"/>
        </w:rPr>
        <w:t>万元，年末实际支出</w:t>
      </w:r>
      <w:r>
        <w:rPr>
          <w:rFonts w:hint="eastAsia" w:ascii="Times New Roman" w:hAnsi="Times New Roman" w:eastAsia="方正仿宋_GBK" w:cs="Times New Roman"/>
          <w:color w:val="auto"/>
          <w:kern w:val="2"/>
          <w:sz w:val="30"/>
          <w:szCs w:val="30"/>
          <w:highlight w:val="none"/>
          <w:lang w:val="en-US" w:eastAsia="zh-CN" w:bidi="ar-SA"/>
        </w:rPr>
        <w:t>2261.58</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 xml:space="preserve">在项目产出方面： </w:t>
      </w:r>
      <w:r>
        <w:rPr>
          <w:rFonts w:hint="eastAsia" w:ascii="Times New Roman" w:hAnsi="Times New Roman" w:eastAsia="方正仿宋_GBK" w:cs="Times New Roman"/>
          <w:spacing w:val="1"/>
          <w:sz w:val="30"/>
          <w:szCs w:val="30"/>
          <w:lang w:val="en-US" w:eastAsia="zh-CN"/>
        </w:rPr>
        <w:t>2022年累计发放困难残疾人生活补贴111545人次1227.00万元，重度残疾人护理补贴86230人次1034.76 万元，实现残疾人“两项补贴动态全覆盖”。</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两项补贴明显提高残疾人生活及护理水平，大大缓解了残疾人的心理压力，增强了他们参与社会生活的信心，为残疾人的心理健康注入了生机与活力。经对项目周边群众等对象开展满意度问卷调查，整体满意度为90.6%。</w:t>
      </w:r>
    </w:p>
    <w:p>
      <w:pPr>
        <w:pStyle w:val="3"/>
        <w:bidi w:val="0"/>
        <w:rPr>
          <w:rFonts w:hint="default"/>
          <w:lang w:val="en-US" w:eastAsia="zh-CN"/>
        </w:rPr>
      </w:pPr>
      <w:bookmarkStart w:id="138" w:name="_Toc13751"/>
      <w:r>
        <w:rPr>
          <w:rFonts w:hint="eastAsia"/>
          <w:lang w:val="en-US" w:eastAsia="zh-CN"/>
        </w:rPr>
        <w:t>（二）评价结论</w:t>
      </w:r>
      <w:bookmarkEnd w:id="138"/>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该项目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实施内容符合国家、残疾人保障和发展规划范围，项目管理规范，项目资金拨付及时，资金到位率为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%，产出效果较明显。项目实施单位资金支出较规范，未发现截留、挤占、挪用、虚列支出等情况，管理制度基本健全且得到有效执行</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对项目实施起到了积极的推动作用。</w:t>
      </w:r>
      <w:bookmarkStart w:id="139" w:name="_Toc9214"/>
      <w:bookmarkStart w:id="140" w:name="_Toc14682"/>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绩效评价等级分为优、良、中、差四档。评价得分为［90、100］分、评级为优</w:t>
      </w:r>
      <w:r>
        <w:rPr>
          <w:rFonts w:hint="default" w:ascii="Times New Roman" w:hAnsi="Times New Roman" w:eastAsia="方正仿宋_GBK" w:cs="Times New Roman"/>
          <w:color w:val="000000" w:themeColor="text1"/>
          <w:kern w:val="2"/>
          <w:sz w:val="30"/>
          <w:szCs w:val="30"/>
          <w:highlight w:val="none"/>
          <w:lang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［80、90］分、评级为良；［60、80］分、评级为中；60分以下评级为差。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93.50</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”分，评定等级为“优</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604"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2"/>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22"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22"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32.00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28.00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22"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19.00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19.500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32.00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97.50%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82.14%</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ind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93.50%</w:t>
            </w:r>
          </w:p>
        </w:tc>
      </w:tr>
    </w:tbl>
    <w:p>
      <w:pPr>
        <w:pStyle w:val="2"/>
        <w:keepNext/>
        <w:keepLines/>
        <w:pageBreakBefore w:val="0"/>
        <w:widowControl w:val="0"/>
        <w:kinsoku/>
        <w:wordWrap/>
        <w:overflowPunct w:val="0"/>
        <w:topLinePunct w:val="0"/>
        <w:autoSpaceDE/>
        <w:autoSpaceDN/>
        <w:bidi w:val="0"/>
        <w:adjustRightInd/>
        <w:snapToGrid/>
        <w:spacing w:beforeLines="0" w:afterLines="0"/>
        <w:ind w:firstLine="644" w:firstLineChars="200"/>
        <w:textAlignment w:val="auto"/>
        <w:rPr>
          <w:rFonts w:hint="eastAsia" w:asciiTheme="majorEastAsia" w:hAnsiTheme="majorEastAsia" w:eastAsiaTheme="majorEastAsia" w:cstheme="majorEastAsia"/>
          <w:b/>
          <w:bCs/>
          <w:sz w:val="32"/>
          <w:szCs w:val="32"/>
          <w:lang w:val="en-US" w:eastAsia="zh-CN"/>
        </w:rPr>
      </w:pPr>
      <w:bookmarkStart w:id="141" w:name="_Toc513"/>
      <w:r>
        <w:rPr>
          <w:rFonts w:hint="eastAsia" w:asciiTheme="majorEastAsia" w:hAnsiTheme="majorEastAsia" w:eastAsiaTheme="majorEastAsia" w:cstheme="majorEastAsia"/>
          <w:b/>
          <w:bCs/>
          <w:sz w:val="32"/>
          <w:szCs w:val="32"/>
          <w:lang w:val="en-US" w:eastAsia="zh-CN"/>
        </w:rPr>
        <w:t>六、绩效评价指标分析</w:t>
      </w:r>
      <w:bookmarkEnd w:id="139"/>
      <w:bookmarkEnd w:id="140"/>
      <w:bookmarkEnd w:id="141"/>
    </w:p>
    <w:p>
      <w:pPr>
        <w:pStyle w:val="3"/>
        <w:bidi w:val="0"/>
        <w:rPr>
          <w:rFonts w:hint="eastAsia"/>
        </w:rPr>
      </w:pPr>
      <w:bookmarkStart w:id="142" w:name="_Toc24905"/>
      <w:bookmarkStart w:id="143" w:name="_Toc8892"/>
      <w:bookmarkStart w:id="144" w:name="_Toc24502"/>
      <w:r>
        <w:rPr>
          <w:rFonts w:hint="eastAsia"/>
        </w:rPr>
        <w:t>（一）项目决策情况分析</w:t>
      </w:r>
      <w:bookmarkEnd w:id="142"/>
      <w:bookmarkEnd w:id="143"/>
      <w:bookmarkEnd w:id="144"/>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608" w:firstLineChars="20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本项指标共设3个二级指标6 个三级指标，权重分值 20 分，评价得分19分，得分率为 95.00%。具体评价指标分析如下：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608" w:firstLineChars="200"/>
        <w:textAlignment w:val="auto"/>
        <w:rPr>
          <w:rFonts w:hint="eastAsia" w:ascii="Times New Roman" w:hAnsi="Times New Roman" w:eastAsia="方正仿宋_GBK" w:cs="Times New Roman"/>
          <w:spacing w:val="1"/>
          <w:sz w:val="30"/>
          <w:szCs w:val="30"/>
          <w:lang w:val="en-US" w:eastAsia="zh-CN"/>
        </w:rPr>
      </w:pPr>
    </w:p>
    <w:tbl>
      <w:tblPr>
        <w:tblStyle w:val="22"/>
        <w:tblW w:w="86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9"/>
        <w:gridCol w:w="3277"/>
        <w:gridCol w:w="1236"/>
        <w:gridCol w:w="1236"/>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二级指标</w:t>
            </w:r>
          </w:p>
        </w:tc>
        <w:tc>
          <w:tcPr>
            <w:tcW w:w="3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三级指标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分值</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评价得分</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项目立项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实施依据充分性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rPr>
                <w:rFonts w:hint="eastAsia" w:ascii="Times New Roman" w:hAnsi="Times New Roman" w:eastAsia="方正仿宋_GBK" w:cs="Times New Roman"/>
                <w:spacing w:val="1"/>
                <w:kern w:val="2"/>
                <w:sz w:val="24"/>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实施程序规范性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绩效目标合理性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rPr>
                <w:rFonts w:hint="eastAsia" w:ascii="Times New Roman" w:hAnsi="Times New Roman" w:eastAsia="方正仿宋_GBK" w:cs="Times New Roman"/>
                <w:spacing w:val="1"/>
                <w:kern w:val="2"/>
                <w:sz w:val="24"/>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绩效目标明确性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资金投入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预算编制科学性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default"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rPr>
                <w:rFonts w:hint="eastAsia" w:ascii="Times New Roman" w:hAnsi="Times New Roman" w:eastAsia="方正仿宋_GBK" w:cs="Times New Roman"/>
                <w:spacing w:val="1"/>
                <w:kern w:val="2"/>
                <w:sz w:val="24"/>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资金分配合理性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default"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95.00%</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608" w:firstLineChars="200"/>
        <w:textAlignment w:val="auto"/>
        <w:rPr>
          <w:rFonts w:hint="default" w:ascii="Times New Roman" w:hAnsi="Times New Roman" w:eastAsia="方正仿宋_GBK" w:cs="Times New Roman"/>
          <w:b/>
          <w:bCs/>
          <w:spacing w:val="1"/>
          <w:sz w:val="30"/>
          <w:szCs w:val="30"/>
          <w:lang w:val="en-US" w:eastAsia="zh-CN"/>
        </w:rPr>
      </w:pPr>
      <w:r>
        <w:rPr>
          <w:rFonts w:hint="default" w:ascii="Times New Roman" w:hAnsi="Times New Roman" w:eastAsia="方正仿宋_GBK" w:cs="Times New Roman"/>
          <w:b/>
          <w:bCs/>
          <w:spacing w:val="1"/>
          <w:sz w:val="30"/>
          <w:szCs w:val="30"/>
          <w:lang w:val="en-US" w:eastAsia="zh-CN"/>
        </w:rPr>
        <w:t>1.项目立项方面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608" w:firstLineChars="200"/>
        <w:textAlignment w:val="auto"/>
        <w:rPr>
          <w:rFonts w:hint="eastAsia" w:ascii="方正仿宋_GBK" w:hAnsi="方正仿宋_GBK" w:eastAsia="方正仿宋_GBK" w:cs="方正仿宋_GBK"/>
          <w:b/>
          <w:bCs/>
          <w:spacing w:val="1"/>
          <w:sz w:val="30"/>
          <w:szCs w:val="30"/>
          <w:lang w:val="en-US" w:eastAsia="zh-CN"/>
        </w:rPr>
      </w:pPr>
      <w:r>
        <w:rPr>
          <w:rFonts w:hint="default" w:ascii="Times New Roman" w:hAnsi="Times New Roman" w:eastAsia="方正仿宋_GBK"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bidi w:val="0"/>
        <w:rPr>
          <w:rFonts w:hint="eastAsia"/>
          <w:lang w:val="en-US" w:eastAsia="zh-CN"/>
        </w:rPr>
      </w:pPr>
      <w:bookmarkStart w:id="145" w:name="_Toc13859"/>
      <w:bookmarkStart w:id="146" w:name="_Toc13646"/>
      <w:r>
        <w:rPr>
          <w:rFonts w:hint="eastAsia"/>
          <w:lang w:val="en-US" w:eastAsia="zh-CN"/>
        </w:rPr>
        <w:t>根据《国务院关于全面建立困难残疾人生活补贴和重度残疾人护理补贴制度的意见》（国发〔2015〕52号）要求，要从残疾人最直接最现实最迫切的需求入手，着力解决残疾人因残疾产生的额外生活支出和长期照护支出困难，做到应补尽补，确保残疾人两项补贴制度覆盖所有符合条件的残疾人。民政部门要履行主管部门职责，做好补贴资格审定、补贴发放、监督管理等工作，推进残疾人两项补贴制度与相关社会福利、社会救助、社会保险制度有机衔接。</w:t>
      </w:r>
    </w:p>
    <w:p>
      <w:pPr>
        <w:bidi w:val="0"/>
        <w:rPr>
          <w:rFonts w:hint="default"/>
          <w:lang w:val="en-US" w:eastAsia="zh-CN"/>
        </w:rPr>
      </w:pPr>
      <w:r>
        <w:rPr>
          <w:rFonts w:hint="eastAsia"/>
          <w:lang w:val="en-US" w:eastAsia="zh-CN"/>
        </w:rPr>
        <w:t>《自治区人民政府关于印发〈宁夏回族自治区残疾人保障和发展“十四五”规划〉的通知》（宁政发〔2021〕34号）提出，“对标高质量发展要求和残疾人对美好生活的新向往、新期盼，我区残疾人事业发展还面临着一些问题：残疾人家庭人均收入与社会平均水平差距大，相对贫困的状况短期内难以得到根本性转变。残疾人脱贫基础相对薄弱，抵御风险能力差，巩固拓展残疾人脱贫成果的任务仍然艰巨。残疾人就业、康复等服务供需不匹配的结构性矛盾依然突出。基层残疾人工作体系尚不健全，治理能力水平亟待提升。残疾人融入社会、参与建设的内生动力有待进一步激发。“十四五”期间，必须着力解决以上问题，补齐发展短板，努力开创我区残疾人事业发展新局面”。</w:t>
      </w:r>
    </w:p>
    <w:p>
      <w:pPr>
        <w:bidi w:val="0"/>
        <w:rPr>
          <w:rFonts w:hint="eastAsia"/>
          <w:lang w:val="en-US" w:eastAsia="zh-CN"/>
        </w:rPr>
      </w:pPr>
      <w:r>
        <w:rPr>
          <w:rFonts w:hint="eastAsia"/>
          <w:lang w:val="en-US" w:eastAsia="zh-CN"/>
        </w:rPr>
        <w:t>该项目符合国家政策、自治区残疾人保障和发展规划，项目实施与同心县民政局职责范围相符，属于部门履职所需，立项依据充分。</w:t>
      </w:r>
      <w:r>
        <w:rPr>
          <w:rFonts w:hint="default"/>
        </w:rPr>
        <w:t>该指标满分</w:t>
      </w:r>
      <w:r>
        <w:rPr>
          <w:rFonts w:hint="eastAsia"/>
          <w:lang w:val="en-US" w:eastAsia="zh-CN"/>
        </w:rPr>
        <w:t>4</w:t>
      </w:r>
      <w:r>
        <w:rPr>
          <w:rFonts w:hint="default"/>
        </w:rPr>
        <w:t xml:space="preserve">分，根据评分标准得 </w:t>
      </w:r>
      <w:r>
        <w:rPr>
          <w:rFonts w:hint="eastAsia"/>
          <w:lang w:val="en-US" w:eastAsia="zh-CN"/>
        </w:rPr>
        <w:t>4</w:t>
      </w:r>
      <w:r>
        <w:rPr>
          <w:rFonts w:hint="default"/>
        </w:rPr>
        <w:t>分。</w:t>
      </w:r>
      <w:bookmarkEnd w:id="145"/>
      <w:bookmarkEnd w:id="146"/>
    </w:p>
    <w:p>
      <w:pPr>
        <w:bidi w:val="0"/>
        <w:rPr>
          <w:rFonts w:hint="eastAsia"/>
          <w:lang w:eastAsia="zh-CN"/>
        </w:rPr>
      </w:pPr>
      <w:r>
        <w:rPr>
          <w:rFonts w:hint="eastAsia"/>
          <w:lang w:val="en-US" w:eastAsia="zh-CN"/>
        </w:rPr>
        <w:t>（2）</w:t>
      </w:r>
      <w:r>
        <w:rPr>
          <w:rFonts w:hint="eastAsia"/>
          <w:lang w:eastAsia="zh-CN"/>
        </w:rPr>
        <w:t>实施程序规范性</w:t>
      </w:r>
    </w:p>
    <w:p>
      <w:pPr>
        <w:bidi w:val="0"/>
        <w:rPr>
          <w:rFonts w:hint="default"/>
        </w:rPr>
      </w:pPr>
      <w:bookmarkStart w:id="147" w:name="_Toc21181"/>
      <w:bookmarkStart w:id="148" w:name="_Toc21762"/>
      <w:r>
        <w:rPr>
          <w:rFonts w:hint="eastAsia"/>
          <w:lang w:val="en-US" w:eastAsia="zh-CN"/>
        </w:rPr>
        <w:t>同心县民政局按照《宁夏回族自治区困难残疾人生活补贴办法》和《宁夏回族自治区重度残疾人护理补贴办法》对符合条件的残疾人发放生活补贴和护理补贴。同心县人民政府根据自治区民政厅、财政厅、残疾人联合会《关于提高困难残疾人生活补贴和重度残疾人护理补贴标准并建立动态调整机制的通知》（宁民发〔2020〕81号）要求，提高全县困难残疾人生活补贴和重度残疾人护理补贴标准，从2021年1月1日起执行。</w:t>
      </w:r>
      <w:r>
        <w:rPr>
          <w:rFonts w:hint="default"/>
        </w:rPr>
        <w:t>该指标满分 3分，根据评分标准得</w:t>
      </w:r>
      <w:r>
        <w:rPr>
          <w:rFonts w:hint="eastAsia"/>
          <w:lang w:val="en-US" w:eastAsia="zh-CN"/>
        </w:rPr>
        <w:t>3</w:t>
      </w:r>
      <w:r>
        <w:rPr>
          <w:rFonts w:hint="default"/>
        </w:rPr>
        <w:t>分。</w:t>
      </w:r>
      <w:bookmarkEnd w:id="147"/>
      <w:bookmarkEnd w:id="148"/>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left="0" w:leftChars="0" w:firstLine="604"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（1）绩效目标合理</w:t>
      </w:r>
      <w:r>
        <w:rPr>
          <w:rFonts w:hint="default" w:ascii="Times New Roman" w:hAnsi="Times New Roman" w:eastAsia="方正仿宋_GBK" w:cs="Times New Roman"/>
          <w:b/>
          <w:bCs/>
          <w:sz w:val="30"/>
          <w:szCs w:val="30"/>
          <w:lang w:val="en-US" w:eastAsia="zh-CN"/>
        </w:rPr>
        <w:t>性</w:t>
      </w:r>
    </w:p>
    <w:p>
      <w:pPr>
        <w:keepNext w:val="0"/>
        <w:keepLines w:val="0"/>
        <w:widowControl/>
        <w:suppressLineNumbers w:val="0"/>
        <w:jc w:val="left"/>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查阅项目绩效目标申报表，项目绩效目标与实际工作内容相关，项目预期产出效益和效果符合正常的业绩水平，绩效目标与预算确定资金量基本匹配。该指标满分4分，根据评分标准得4分。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04"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b/>
          <w:bCs/>
          <w:sz w:val="30"/>
          <w:szCs w:val="30"/>
          <w:lang w:val="en-US" w:eastAsia="zh-CN"/>
        </w:rPr>
        <w:t>绩效</w:t>
      </w:r>
      <w:r>
        <w:rPr>
          <w:rFonts w:hint="eastAsia" w:ascii="Times New Roman" w:hAnsi="Times New Roman" w:eastAsia="方正仿宋_GBK" w:cs="Times New Roman"/>
          <w:b/>
          <w:bCs/>
          <w:sz w:val="30"/>
          <w:szCs w:val="30"/>
          <w:lang w:val="en-US" w:eastAsia="zh-CN"/>
        </w:rPr>
        <w:t>指标</w:t>
      </w:r>
      <w:r>
        <w:rPr>
          <w:rFonts w:hint="default" w:ascii="Times New Roman" w:hAnsi="Times New Roman" w:eastAsia="方正仿宋_GBK" w:cs="Times New Roman"/>
          <w:b/>
          <w:bCs/>
          <w:sz w:val="30"/>
          <w:szCs w:val="30"/>
          <w:lang w:val="en-US" w:eastAsia="zh-CN"/>
        </w:rPr>
        <w:t>明确性</w:t>
      </w:r>
    </w:p>
    <w:p>
      <w:pPr>
        <w:keepNext w:val="0"/>
        <w:keepLines w:val="0"/>
        <w:widowControl/>
        <w:suppressLineNumbers w:val="0"/>
        <w:jc w:val="left"/>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查阅项目绩效目标申报表，将项目绩效目标细化分解为具体的绩效指标，绩效指标采用定性和定量指标相结合的形式体现，定量指标能够通过清晰、可衡量的指标值予以体现，项目产出、效益与计划数相对应。该指标满分3分，根据评分标准得3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04"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3.资金投入情况方面</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default" w:ascii="Times New Roman" w:hAnsi="Times New Roman" w:eastAsia="方正仿宋_GBK" w:cs="Times New Roman"/>
          <w:b w:val="0"/>
          <w:spacing w:val="-3"/>
          <w:kern w:val="2"/>
          <w:sz w:val="30"/>
          <w:szCs w:val="30"/>
          <w:lang w:val="en-US" w:eastAsia="zh-CN" w:bidi="ar-SA"/>
        </w:rPr>
      </w:pP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（1）预算编制科学性</w:t>
      </w:r>
    </w:p>
    <w:p>
      <w:pPr>
        <w:bidi w:val="0"/>
        <w:rPr>
          <w:rFonts w:hint="eastAsia"/>
          <w:lang w:val="en-US" w:eastAsia="zh-CN"/>
        </w:rPr>
      </w:pPr>
      <w:r>
        <w:rPr>
          <w:rFonts w:hint="eastAsia"/>
          <w:lang w:val="en-US" w:eastAsia="zh-CN"/>
        </w:rPr>
        <w:t>根据《关于提高困难残疾人生活补贴和重度残疾人护理补贴标准并建立动态调整机制的通知》（宁民发〔2020〕81号）文件，同心县人民政府将全县困难残疾人生活补贴标准从每人每月100元提高到110元，重度残疾人护理补贴标准从每人每月80元提高到120元（含生活半自理和不能自理的分散供养特困人员照料护理补贴），预算编制依据充分，但是预算确定的资金量无匹配的工作任务数。</w:t>
      </w:r>
    </w:p>
    <w:p>
      <w:pPr>
        <w:bidi w:val="0"/>
        <w:rPr>
          <w:rFonts w:hint="default"/>
          <w:lang w:val="en-US" w:eastAsia="zh-CN"/>
        </w:rPr>
      </w:pPr>
      <w:r>
        <w:rPr>
          <w:rFonts w:hint="eastAsia"/>
          <w:lang w:val="en-US" w:eastAsia="zh-CN"/>
        </w:rPr>
        <w:t>根据《宁夏回族自治区困难残疾人生活补贴办法（修订）》第十二条“</w:t>
      </w:r>
      <w:r>
        <w:rPr>
          <w:rFonts w:hint="default"/>
          <w:lang w:val="en-US" w:eastAsia="zh-CN"/>
        </w:rPr>
        <w:t>各级民政部门会同同级残联应按照预算编制要求，根据困难残疾人生活补贴对象人数、补贴标准、补助水平和滚存结余等有关数据，提出下一年度补贴资金预算计划</w:t>
      </w:r>
      <w:r>
        <w:rPr>
          <w:rFonts w:hint="eastAsia"/>
          <w:lang w:val="en-US" w:eastAsia="zh-CN"/>
        </w:rPr>
        <w:t>”，《宁夏回族自治区重度残疾人护理补贴办法（修订）》第九条“各级民政部门和残联应按照预算编制要求，根据重度残疾人护理补贴对象人数、补贴标准、补助水平和滚存结余等有关数据，提出下一年度补贴资金预算计划”。查看相关资料，自治区下达同心县1992万元（其中困难补贴资金1095万元，护理补贴资金827万元），残疾人“两项补贴”滚存结余均为0，预算确定的资金量无对应的补贴对象人数。该指标满分4分，根据评分标准扣1分，得3分。</w:t>
      </w:r>
    </w:p>
    <w:p>
      <w:pPr>
        <w:keepNext w:val="0"/>
        <w:keepLines w:val="0"/>
        <w:pageBreakBefore w:val="0"/>
        <w:widowControl w:val="0"/>
        <w:kinsoku/>
        <w:wordWrap/>
        <w:overflowPunct w:val="0"/>
        <w:topLinePunct w:val="0"/>
        <w:autoSpaceDE/>
        <w:autoSpaceDN/>
        <w:bidi w:val="0"/>
        <w:adjustRightInd/>
        <w:snapToGrid/>
        <w:spacing w:before="0" w:line="560" w:lineRule="exact"/>
        <w:ind w:right="0"/>
        <w:textAlignment w:val="auto"/>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bidi w:val="0"/>
        <w:rPr>
          <w:rFonts w:hint="default"/>
          <w:lang w:val="en-US" w:eastAsia="zh-CN"/>
        </w:rPr>
      </w:pPr>
      <w:r>
        <w:rPr>
          <w:rFonts w:hint="eastAsia"/>
          <w:lang w:val="en-US" w:eastAsia="zh-CN"/>
        </w:rPr>
        <w:t>根据《宁夏回族自治区困难残疾人生活补贴办法（修订）》和《宁夏回族自治区重度残疾人护理补贴办法（修订）》文件规定，残疾人“两项补贴”由自治区和市、县（市、区）共同分担，分担比例为自治区80%，同心县20%。预算资金分配依据充分，分配额度合理。</w:t>
      </w:r>
      <w:r>
        <w:rPr>
          <w:rFonts w:hint="default"/>
          <w:lang w:val="en-US" w:eastAsia="zh-CN"/>
        </w:rPr>
        <w:t>该指标满分</w:t>
      </w:r>
      <w:r>
        <w:rPr>
          <w:rFonts w:hint="eastAsia"/>
          <w:lang w:val="en-US" w:eastAsia="zh-CN"/>
        </w:rPr>
        <w:t>2</w:t>
      </w:r>
      <w:r>
        <w:rPr>
          <w:rFonts w:hint="default"/>
          <w:lang w:val="en-US" w:eastAsia="zh-CN"/>
        </w:rPr>
        <w:t xml:space="preserve">分，根据评分标准得 </w:t>
      </w:r>
      <w:r>
        <w:rPr>
          <w:rFonts w:hint="eastAsia"/>
          <w:lang w:val="en-US" w:eastAsia="zh-CN"/>
        </w:rPr>
        <w:t>2</w:t>
      </w:r>
      <w:r>
        <w:rPr>
          <w:rFonts w:hint="default"/>
          <w:lang w:val="en-US" w:eastAsia="zh-CN"/>
        </w:rPr>
        <w:t>分。</w:t>
      </w:r>
    </w:p>
    <w:p>
      <w:pPr>
        <w:pStyle w:val="3"/>
        <w:bidi w:val="0"/>
        <w:rPr>
          <w:rFonts w:hint="eastAsia"/>
          <w:lang w:val="en-US" w:eastAsia="zh-CN"/>
        </w:rPr>
      </w:pPr>
      <w:bookmarkStart w:id="149" w:name="_Toc3378"/>
      <w:r>
        <w:rPr>
          <w:rFonts w:hint="eastAsia"/>
          <w:lang w:val="en-US" w:eastAsia="zh-CN"/>
        </w:rPr>
        <w:t>（二）项目过程情况分析</w:t>
      </w:r>
      <w:bookmarkEnd w:id="149"/>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本项指标共设2个二级指标5个三级指标，权重分值20分，评价得分19分，得分率为 95.00%。具体评价指标分析如下：</w:t>
      </w:r>
    </w:p>
    <w:tbl>
      <w:tblPr>
        <w:tblStyle w:val="22"/>
        <w:tblW w:w="87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24"/>
        <w:gridCol w:w="3305"/>
        <w:gridCol w:w="1246"/>
        <w:gridCol w:w="1246"/>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5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二级指标</w:t>
            </w:r>
          </w:p>
        </w:tc>
        <w:tc>
          <w:tcPr>
            <w:tcW w:w="3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三级指标</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分值</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评价得分</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资金管理</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资金到位率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default"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3.50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预算执行率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资金使用合规性</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组织实施</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管理制度健全性</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制度执行有效性</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项目过程合规性</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default"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19.50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240" w:lineRule="auto"/>
              <w:ind w:firstLine="0" w:firstLineChars="0"/>
              <w:jc w:val="center"/>
              <w:textAlignment w:val="auto"/>
              <w:rPr>
                <w:rFonts w:hint="eastAsia" w:ascii="Times New Roman" w:hAnsi="Times New Roman" w:eastAsia="方正仿宋_GBK" w:cs="Times New Roman"/>
                <w:spacing w:val="1"/>
                <w:sz w:val="24"/>
                <w:szCs w:val="24"/>
                <w:lang w:val="en-US" w:eastAsia="zh-CN"/>
              </w:rPr>
            </w:pPr>
            <w:r>
              <w:rPr>
                <w:rFonts w:hint="eastAsia" w:ascii="Times New Roman" w:hAnsi="Times New Roman" w:eastAsia="方正仿宋_GBK" w:cs="Times New Roman"/>
                <w:spacing w:val="1"/>
                <w:sz w:val="24"/>
                <w:szCs w:val="24"/>
                <w:lang w:val="en-US" w:eastAsia="zh-CN"/>
              </w:rPr>
              <w:t>97.50%</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4" w:firstLineChars="200"/>
        <w:jc w:val="both"/>
        <w:textAlignment w:val="center"/>
        <w:rPr>
          <w:rFonts w:hint="default" w:ascii="方正楷体_GBK" w:hAnsi="方正楷体_GBK" w:eastAsia="方正楷体_GBK" w:cs="方正楷体_GBK"/>
          <w:b/>
          <w:kern w:val="2"/>
          <w:sz w:val="30"/>
          <w:szCs w:val="30"/>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1.资</w:t>
      </w:r>
      <w:r>
        <w:rPr>
          <w:rFonts w:hint="eastAsia" w:ascii="方正楷体_GBK" w:hAnsi="方正楷体_GBK" w:eastAsia="方正楷体_GBK" w:cs="方正楷体_GBK"/>
          <w:b/>
          <w:kern w:val="2"/>
          <w:sz w:val="30"/>
          <w:szCs w:val="30"/>
          <w:lang w:val="en-US" w:eastAsia="zh-CN" w:bidi="ar-SA"/>
        </w:rPr>
        <w:t>金管理方面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604"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（1）资</w:t>
      </w:r>
      <w:r>
        <w:rPr>
          <w:rFonts w:hint="default" w:ascii="Times New Roman" w:hAnsi="Times New Roman" w:eastAsia="方正仿宋_GBK" w:cs="Times New Roman"/>
          <w:b/>
          <w:bCs/>
          <w:color w:val="auto"/>
          <w:kern w:val="2"/>
          <w:sz w:val="30"/>
          <w:szCs w:val="30"/>
          <w:highlight w:val="none"/>
          <w:lang w:val="en-US" w:eastAsia="zh-CN" w:bidi="ar-SA"/>
        </w:rPr>
        <w:t>金到位率</w:t>
      </w:r>
    </w:p>
    <w:p>
      <w:pPr>
        <w:keepNext w:val="0"/>
        <w:keepLines w:val="0"/>
        <w:pageBreakBefore w:val="0"/>
        <w:widowControl w:val="0"/>
        <w:kinsoku/>
        <w:wordWrap/>
        <w:overflowPunct w:val="0"/>
        <w:topLinePunct w:val="0"/>
        <w:autoSpaceDE/>
        <w:autoSpaceDN/>
        <w:bidi w:val="0"/>
        <w:adjustRightInd/>
        <w:snapToGrid/>
        <w:spacing w:before="0" w:line="560" w:lineRule="exact"/>
        <w:ind w:right="0"/>
        <w:textAlignment w:val="auto"/>
        <w:rPr>
          <w:rFonts w:hint="default"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该项目2022年共计发放2261.58万元，根据相关规定自治区承担80%即1809.26万元，</w:t>
      </w:r>
      <w:r>
        <w:rPr>
          <w:rFonts w:hint="eastAsia" w:ascii="Times New Roman" w:hAnsi="Times New Roman" w:eastAsia="方正仿宋_GBK" w:cs="Times New Roman"/>
          <w:color w:val="auto"/>
          <w:kern w:val="2"/>
          <w:sz w:val="30"/>
          <w:szCs w:val="30"/>
          <w:highlight w:val="none"/>
          <w:lang w:val="en-US" w:eastAsia="zh-CN" w:bidi="ar-SA"/>
        </w:rPr>
        <w:t>自治区级资金到位1922.00万元，资金全部到位；县级承担20%即452.32万元，县级资金到位339.58万元，资金到位率75.08%。该指标满分4分，根据评分标准扣1分，得3分。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604"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该项目实际到位资金2261.58万元，其中自治区资金1922.00万元，实际支出1922.00万元，预算执行率100%；县级资金339.58万元，实际支出339.58万元，预算执行率100%。</w:t>
      </w:r>
      <w:r>
        <w:rPr>
          <w:rFonts w:hint="default" w:ascii="Times New Roman" w:hAnsi="Times New Roman" w:eastAsia="方正仿宋_GBK" w:cs="Times New Roman"/>
          <w:spacing w:val="1"/>
          <w:sz w:val="30"/>
          <w:szCs w:val="30"/>
          <w:lang w:val="en-US" w:eastAsia="zh-CN"/>
        </w:rPr>
        <w:t xml:space="preserve">该指标满分 </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 xml:space="preserve"> 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r>
        <w:rPr>
          <w:rFonts w:ascii="Times New Roman" w:hAnsi="Times New Roman" w:eastAsia="仿宋" w:cs="Times New Roman"/>
          <w:spacing w:val="-3"/>
          <w:sz w:val="30"/>
          <w:szCs w:val="30"/>
          <w:u w:val="none"/>
          <w:lang w:bidi="ar"/>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604"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w:t>
      </w:r>
      <w:r>
        <w:rPr>
          <w:rFonts w:hint="default" w:ascii="Times New Roman" w:hAnsi="Times New Roman" w:eastAsia="方正仿宋_GBK" w:cs="Times New Roman"/>
          <w:b/>
          <w:bCs/>
          <w:color w:val="auto"/>
          <w:kern w:val="2"/>
          <w:sz w:val="30"/>
          <w:szCs w:val="30"/>
          <w:highlight w:val="none"/>
          <w:lang w:val="en-US" w:eastAsia="zh-CN" w:bidi="ar-SA"/>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04" w:firstLineChars="200"/>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自治区人民政府办公厅关于印发〈宁夏回族自治区困难残疾人生活补贴办法（修订）〉和〈宁夏回族自治区重度残疾人护理补贴办法（修订）〉的通知》（宁政办发〔2017〕46号）、《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资金拨付申请手续和审批流程完备、合规，支出使用符合预算批复内容和项目支出用途，资金补贴通过“一卡通”形式发放，未发现</w:t>
      </w:r>
      <w:r>
        <w:rPr>
          <w:rFonts w:hint="eastAsia" w:ascii="Times New Roman" w:hAnsi="Times New Roman" w:eastAsia="方正仿宋_GBK" w:cs="Times New Roman"/>
          <w:spacing w:val="0"/>
          <w:kern w:val="0"/>
          <w:sz w:val="30"/>
          <w:szCs w:val="30"/>
          <w:lang w:bidi="zh-CN"/>
        </w:rPr>
        <w:t>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1"/>
          <w:sz w:val="30"/>
          <w:szCs w:val="30"/>
          <w:lang w:val="en-US" w:eastAsia="zh-CN"/>
        </w:rPr>
        <w:t>根据评分标准</w:t>
      </w:r>
      <w:r>
        <w:rPr>
          <w:rFonts w:hint="eastAsia" w:ascii="Times New Roman" w:hAnsi="Times New Roman" w:eastAsia="方正仿宋_GBK" w:cs="Times New Roman"/>
          <w:spacing w:val="0"/>
          <w:kern w:val="0"/>
          <w:sz w:val="30"/>
          <w:szCs w:val="30"/>
          <w:lang w:val="en-US" w:eastAsia="zh-CN" w:bidi="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04" w:firstLineChars="200"/>
        <w:jc w:val="both"/>
        <w:textAlignment w:val="center"/>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2.组织实施方面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604"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管理制度健全性</w:t>
      </w:r>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同心县残疾人“两项补贴”执行《国务院关于全面建立困难残疾人生活补贴和重度残疾人护理补贴制度的意见》《宁夏回族自治区困难残疾人生活补贴办法（修订）》《宁夏回族自治区重度残疾人护理补贴办法（修订）》</w:t>
      </w:r>
      <w:r>
        <w:rPr>
          <w:rFonts w:hint="default" w:ascii="Times New Roman" w:hAnsi="Times New Roman" w:eastAsia="方正仿宋_GBK" w:cs="Times New Roman"/>
          <w:spacing w:val="1"/>
          <w:sz w:val="30"/>
          <w:szCs w:val="30"/>
          <w:lang w:val="en-US" w:eastAsia="zh-CN"/>
        </w:rPr>
        <w:t>等文件的规定</w:t>
      </w:r>
      <w:r>
        <w:rPr>
          <w:rFonts w:hint="eastAsia" w:ascii="Times New Roman" w:hAnsi="Times New Roman" w:eastAsia="方正仿宋_GBK" w:cs="Times New Roman"/>
          <w:spacing w:val="1"/>
          <w:sz w:val="30"/>
          <w:szCs w:val="30"/>
          <w:lang w:val="en-US" w:eastAsia="zh-CN"/>
        </w:rPr>
        <w:t>。自治区提高残疾人补贴标准，同心县人民政府随之提高相关补助标准，并在政府</w:t>
      </w:r>
      <w:r>
        <w:rPr>
          <w:rFonts w:hint="eastAsia" w:ascii="仿宋" w:hAnsi="仿宋" w:eastAsia="仿宋" w:cs="仿宋"/>
          <w:spacing w:val="1"/>
          <w:sz w:val="30"/>
          <w:szCs w:val="30"/>
          <w:lang w:val="en-US" w:eastAsia="zh-CN"/>
        </w:rPr>
        <w:t>官网</w:t>
      </w:r>
      <w:r>
        <w:rPr>
          <w:rFonts w:hint="eastAsia" w:ascii="Times New Roman" w:hAnsi="Times New Roman" w:eastAsia="方正仿宋_GBK" w:cs="Times New Roman"/>
          <w:spacing w:val="1"/>
          <w:sz w:val="30"/>
          <w:szCs w:val="30"/>
          <w:lang w:val="en-US" w:eastAsia="zh-CN"/>
        </w:rPr>
        <w:t>公开《关于提高全县困难残疾人生活补贴和重度残疾人护理补贴标准的通知》以</w:t>
      </w:r>
      <w:r>
        <w:rPr>
          <w:rFonts w:hint="eastAsia" w:ascii="仿宋" w:hAnsi="仿宋" w:eastAsia="仿宋" w:cs="仿宋"/>
          <w:spacing w:val="1"/>
          <w:sz w:val="30"/>
          <w:szCs w:val="30"/>
          <w:lang w:val="en-US" w:eastAsia="zh-CN"/>
        </w:rPr>
        <w:t>便让</w:t>
      </w:r>
      <w:r>
        <w:rPr>
          <w:rFonts w:hint="eastAsia" w:ascii="Times New Roman" w:hAnsi="Times New Roman" w:eastAsia="方正仿宋_GBK" w:cs="Times New Roman"/>
          <w:spacing w:val="1"/>
          <w:sz w:val="30"/>
          <w:szCs w:val="30"/>
          <w:lang w:val="en-US" w:eastAsia="zh-CN"/>
        </w:rPr>
        <w:t>更多的人了解此政策，建立残疾人“两项补贴”信息比对机制，做好补贴资金审核，发放及监督管理工作</w:t>
      </w:r>
      <w:r>
        <w:rPr>
          <w:rFonts w:hint="default" w:ascii="Times New Roman" w:hAnsi="Times New Roman" w:eastAsia="方正仿宋_GBK" w:cs="Times New Roman"/>
          <w:spacing w:val="1"/>
          <w:sz w:val="30"/>
          <w:szCs w:val="30"/>
          <w:lang w:val="en-US" w:eastAsia="zh-CN"/>
        </w:rPr>
        <w:t>。</w:t>
      </w:r>
      <w:r>
        <w:rPr>
          <w:rFonts w:hint="eastAsia" w:ascii="Times New Roman" w:hAnsi="Times New Roman" w:eastAsia="方正仿宋_GBK" w:cs="Times New Roman"/>
          <w:spacing w:val="1"/>
          <w:sz w:val="30"/>
          <w:szCs w:val="30"/>
          <w:lang w:val="en-US" w:eastAsia="zh-CN"/>
        </w:rPr>
        <w:t>该指标本项满分 4分，评价得分4分。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604"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（2）制度执行有效性</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经现场核查，依据指标设计对项目实施过程中资金管理、补贴办法等各项管理制度执行情况、项目支出的审核手续、档案资料建立情况进行考察。本项目实施过程中基本能够遵守各项管理制度和专项资金管理办法的规定，项目支出审核签批手续完备，项目实施前后档案资料齐全并及时归档。该指标本项满分3分，</w:t>
      </w:r>
      <w:r>
        <w:rPr>
          <w:rFonts w:hint="default" w:ascii="Times New Roman" w:hAnsi="Times New Roman" w:eastAsia="方正仿宋_GBK" w:cs="Times New Roman"/>
          <w:spacing w:val="1"/>
          <w:sz w:val="30"/>
          <w:szCs w:val="30"/>
          <w:lang w:val="en-US" w:eastAsia="zh-CN"/>
        </w:rPr>
        <w:t>根据评分标准</w:t>
      </w:r>
      <w:r>
        <w:rPr>
          <w:rFonts w:hint="eastAsia" w:ascii="Times New Roman" w:hAnsi="Times New Roman" w:eastAsia="方正仿宋_GBK" w:cs="Times New Roman"/>
          <w:spacing w:val="0"/>
          <w:kern w:val="0"/>
          <w:sz w:val="30"/>
          <w:szCs w:val="30"/>
          <w:lang w:val="en-US" w:eastAsia="zh-CN" w:bidi="zh-CN"/>
        </w:rPr>
        <w:t>3分。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200" w:right="0" w:rightChars="0"/>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（3）项目过程合规性</w:t>
      </w:r>
      <w:bookmarkStart w:id="150" w:name="_Toc18498"/>
      <w:bookmarkStart w:id="151" w:name="_Toc1945"/>
    </w:p>
    <w:p>
      <w:pPr>
        <w:keepNext w:val="0"/>
        <w:keepLines w:val="0"/>
        <w:pageBreakBefore w:val="0"/>
        <w:widowControl w:val="0"/>
        <w:numPr>
          <w:ilvl w:val="0"/>
          <w:numId w:val="0"/>
        </w:numPr>
        <w:kinsoku/>
        <w:wordWrap/>
        <w:overflowPunct w:val="0"/>
        <w:topLinePunct w:val="0"/>
        <w:autoSpaceDE/>
        <w:autoSpaceDN/>
        <w:bidi w:val="0"/>
        <w:adjustRightInd/>
        <w:snapToGrid/>
        <w:ind w:firstLine="608" w:firstLineChars="200"/>
        <w:textAlignment w:val="auto"/>
        <w:rPr>
          <w:rFonts w:hint="eastAsia" w:ascii="Times New Roman" w:hAnsi="Times New Roman" w:eastAsia="方正仿宋_GBK" w:cs="Times New Roman"/>
          <w:b w:val="0"/>
          <w:spacing w:val="1"/>
          <w:kern w:val="2"/>
          <w:sz w:val="30"/>
          <w:szCs w:val="30"/>
          <w:lang w:val="en-US" w:eastAsia="zh-CN" w:bidi="ar-SA"/>
        </w:rPr>
      </w:pPr>
      <w:r>
        <w:rPr>
          <w:rFonts w:hint="eastAsia" w:ascii="Times New Roman" w:hAnsi="Times New Roman" w:eastAsia="方正仿宋_GBK" w:cs="Times New Roman"/>
          <w:b w:val="0"/>
          <w:spacing w:val="1"/>
          <w:kern w:val="2"/>
          <w:sz w:val="30"/>
          <w:szCs w:val="30"/>
          <w:lang w:val="en-US" w:eastAsia="zh-CN" w:bidi="ar-SA"/>
        </w:rPr>
        <w:t>同心县残疾人工作在县委、县政府领导、支持下，围绕全县展开中心工作。一是明确受理、审核、发放环节的部门职责、任务分工和工作时限等要求，依托城乡社区社会救助服务窗口，建立“一门受理、协同办理”机制，由残疾人联合会向社会公开残疾人两项补贴申领须知、制式申请材料、办理流程图等信息，方</w:t>
      </w:r>
      <w:r>
        <w:rPr>
          <w:rFonts w:hint="eastAsia" w:ascii="仿宋" w:hAnsi="仿宋" w:eastAsia="仿宋" w:cs="仿宋"/>
          <w:b w:val="0"/>
          <w:spacing w:val="1"/>
          <w:kern w:val="2"/>
          <w:sz w:val="30"/>
          <w:szCs w:val="30"/>
          <w:lang w:val="en-US" w:eastAsia="zh-CN" w:bidi="ar-SA"/>
        </w:rPr>
        <w:t>便</w:t>
      </w:r>
      <w:r>
        <w:rPr>
          <w:rFonts w:hint="eastAsia" w:ascii="Times New Roman" w:hAnsi="Times New Roman" w:eastAsia="方正仿宋_GBK" w:cs="Times New Roman"/>
          <w:b w:val="0"/>
          <w:spacing w:val="1"/>
          <w:kern w:val="2"/>
          <w:sz w:val="30"/>
          <w:szCs w:val="30"/>
          <w:lang w:val="en-US" w:eastAsia="zh-CN" w:bidi="ar-SA"/>
        </w:rPr>
        <w:t>申请人知</w:t>
      </w:r>
      <w:r>
        <w:rPr>
          <w:rFonts w:hint="eastAsia" w:ascii="仿宋" w:hAnsi="仿宋" w:eastAsia="仿宋" w:cs="仿宋"/>
          <w:b w:val="0"/>
          <w:spacing w:val="1"/>
          <w:kern w:val="2"/>
          <w:sz w:val="30"/>
          <w:szCs w:val="30"/>
          <w:lang w:val="en-US" w:eastAsia="zh-CN" w:bidi="ar-SA"/>
        </w:rPr>
        <w:t>悉</w:t>
      </w:r>
      <w:r>
        <w:rPr>
          <w:rFonts w:hint="eastAsia" w:ascii="Times New Roman" w:hAnsi="Times New Roman" w:eastAsia="方正仿宋_GBK" w:cs="Times New Roman"/>
          <w:b w:val="0"/>
          <w:spacing w:val="1"/>
          <w:kern w:val="2"/>
          <w:sz w:val="30"/>
          <w:szCs w:val="30"/>
          <w:lang w:val="en-US" w:eastAsia="zh-CN" w:bidi="ar-SA"/>
        </w:rPr>
        <w:t>办理事宜；二是由残疾人向户籍所在地</w:t>
      </w:r>
      <w:r>
        <w:rPr>
          <w:rFonts w:hint="eastAsia" w:ascii="仿宋" w:hAnsi="仿宋" w:eastAsia="仿宋" w:cs="仿宋"/>
          <w:b w:val="0"/>
          <w:spacing w:val="1"/>
          <w:kern w:val="2"/>
          <w:sz w:val="30"/>
          <w:szCs w:val="30"/>
          <w:lang w:val="en-US" w:eastAsia="zh-CN" w:bidi="ar-SA"/>
        </w:rPr>
        <w:t>街道</w:t>
      </w:r>
      <w:r>
        <w:rPr>
          <w:rFonts w:hint="eastAsia" w:ascii="Times New Roman" w:hAnsi="Times New Roman" w:eastAsia="方正仿宋_GBK" w:cs="Times New Roman"/>
          <w:b w:val="0"/>
          <w:spacing w:val="1"/>
          <w:kern w:val="2"/>
          <w:sz w:val="30"/>
          <w:szCs w:val="30"/>
          <w:lang w:val="en-US" w:eastAsia="zh-CN" w:bidi="ar-SA"/>
        </w:rPr>
        <w:t>办事处或者乡（</w:t>
      </w:r>
      <w:r>
        <w:rPr>
          <w:rFonts w:hint="eastAsia" w:ascii="仿宋" w:hAnsi="仿宋" w:eastAsia="仿宋" w:cs="仿宋"/>
          <w:b w:val="0"/>
          <w:spacing w:val="1"/>
          <w:kern w:val="2"/>
          <w:sz w:val="30"/>
          <w:szCs w:val="30"/>
          <w:lang w:val="en-US" w:eastAsia="zh-CN" w:bidi="ar-SA"/>
        </w:rPr>
        <w:t>镇</w:t>
      </w:r>
      <w:r>
        <w:rPr>
          <w:rFonts w:hint="eastAsia" w:cs="仿宋"/>
          <w:b w:val="0"/>
          <w:spacing w:val="1"/>
          <w:kern w:val="2"/>
          <w:sz w:val="30"/>
          <w:szCs w:val="30"/>
          <w:lang w:val="en-US" w:eastAsia="zh-CN" w:bidi="ar-SA"/>
        </w:rPr>
        <w:t>）</w:t>
      </w:r>
      <w:r>
        <w:rPr>
          <w:rFonts w:hint="eastAsia" w:ascii="Times New Roman" w:hAnsi="Times New Roman" w:eastAsia="方正仿宋_GBK" w:cs="Times New Roman"/>
          <w:b w:val="0"/>
          <w:spacing w:val="1"/>
          <w:kern w:val="2"/>
          <w:sz w:val="30"/>
          <w:szCs w:val="30"/>
          <w:lang w:val="en-US" w:eastAsia="zh-CN" w:bidi="ar-SA"/>
        </w:rPr>
        <w:t>人民政府受理窗口提交书面申请，并填写《宁夏困难残疾人生活补贴申请审批表》和《宁夏重度残疾人生活补贴申请审批表》报县级残联审核；三是县级残联将审核合格材料转送县级人民政府民政部门审核，由县级人民政府民政部门会同县级残联报请同级财政部门，自</w:t>
      </w:r>
      <w:r>
        <w:rPr>
          <w:rFonts w:hint="eastAsia" w:ascii="仿宋" w:hAnsi="仿宋" w:eastAsia="仿宋" w:cs="仿宋"/>
          <w:b w:val="0"/>
          <w:spacing w:val="1"/>
          <w:kern w:val="2"/>
          <w:sz w:val="30"/>
          <w:szCs w:val="30"/>
          <w:lang w:val="en-US" w:eastAsia="zh-CN" w:bidi="ar-SA"/>
        </w:rPr>
        <w:t>递</w:t>
      </w:r>
      <w:r>
        <w:rPr>
          <w:rFonts w:hint="eastAsia" w:ascii="Times New Roman" w:hAnsi="Times New Roman" w:eastAsia="方正仿宋_GBK" w:cs="Times New Roman"/>
          <w:b w:val="0"/>
          <w:spacing w:val="1"/>
          <w:kern w:val="2"/>
          <w:sz w:val="30"/>
          <w:szCs w:val="30"/>
          <w:lang w:val="en-US" w:eastAsia="zh-CN" w:bidi="ar-SA"/>
        </w:rPr>
        <w:t>交申请当月计发补贴资金，通过“一卡通”的方式按月将补贴资金发放给补贴对象；四是各级民政部门和残联建立困难残疾人生活补贴管理发放定期复核制度，县民政局每月抽取30%复核申请人资格条件是否发生变化、补贴是否及时足额发放到位等，实行动态管理，做到应补尽补、应</w:t>
      </w:r>
      <w:r>
        <w:rPr>
          <w:rFonts w:hint="eastAsia" w:ascii="仿宋" w:hAnsi="仿宋" w:eastAsia="仿宋" w:cs="仿宋"/>
          <w:b w:val="0"/>
          <w:spacing w:val="1"/>
          <w:kern w:val="2"/>
          <w:sz w:val="30"/>
          <w:szCs w:val="30"/>
          <w:lang w:val="en-US" w:eastAsia="zh-CN" w:bidi="ar-SA"/>
        </w:rPr>
        <w:t>退</w:t>
      </w:r>
      <w:r>
        <w:rPr>
          <w:rFonts w:hint="eastAsia" w:ascii="Times New Roman" w:hAnsi="Times New Roman" w:eastAsia="方正仿宋_GBK" w:cs="Times New Roman"/>
          <w:b w:val="0"/>
          <w:spacing w:val="1"/>
          <w:kern w:val="2"/>
          <w:sz w:val="30"/>
          <w:szCs w:val="30"/>
          <w:lang w:val="en-US" w:eastAsia="zh-CN" w:bidi="ar-SA"/>
        </w:rPr>
        <w:t>则</w:t>
      </w:r>
      <w:r>
        <w:rPr>
          <w:rFonts w:hint="eastAsia" w:ascii="仿宋" w:hAnsi="仿宋" w:eastAsia="仿宋" w:cs="仿宋"/>
          <w:b w:val="0"/>
          <w:spacing w:val="1"/>
          <w:kern w:val="2"/>
          <w:sz w:val="30"/>
          <w:szCs w:val="30"/>
          <w:lang w:val="en-US" w:eastAsia="zh-CN" w:bidi="ar-SA"/>
        </w:rPr>
        <w:t>退</w:t>
      </w:r>
      <w:r>
        <w:rPr>
          <w:rFonts w:hint="eastAsia" w:ascii="Times New Roman" w:hAnsi="Times New Roman" w:eastAsia="方正仿宋_GBK" w:cs="Times New Roman"/>
          <w:b w:val="0"/>
          <w:spacing w:val="1"/>
          <w:kern w:val="2"/>
          <w:sz w:val="30"/>
          <w:szCs w:val="30"/>
          <w:lang w:val="en-US" w:eastAsia="zh-CN" w:bidi="ar-SA"/>
        </w:rPr>
        <w:t>，做到专款专用。</w:t>
      </w:r>
      <w:r>
        <w:rPr>
          <w:rFonts w:hint="eastAsia" w:ascii="Times New Roman" w:hAnsi="Times New Roman" w:eastAsia="方正仿宋_GBK" w:cs="Times New Roman"/>
          <w:spacing w:val="0"/>
          <w:kern w:val="0"/>
          <w:sz w:val="30"/>
          <w:szCs w:val="30"/>
          <w:lang w:val="en-US" w:eastAsia="zh-CN" w:bidi="zh-CN"/>
        </w:rPr>
        <w:t>该指标本项满分3分，</w:t>
      </w:r>
      <w:r>
        <w:rPr>
          <w:rFonts w:hint="default" w:ascii="Times New Roman" w:hAnsi="Times New Roman" w:eastAsia="方正仿宋_GBK" w:cs="Times New Roman"/>
          <w:spacing w:val="1"/>
          <w:sz w:val="30"/>
          <w:szCs w:val="30"/>
          <w:lang w:val="en-US" w:eastAsia="zh-CN"/>
        </w:rPr>
        <w:t>根据评分标准</w:t>
      </w:r>
      <w:r>
        <w:rPr>
          <w:rFonts w:hint="eastAsia" w:ascii="Times New Roman" w:hAnsi="Times New Roman" w:eastAsia="方正仿宋_GBK" w:cs="Times New Roman"/>
          <w:spacing w:val="0"/>
          <w:kern w:val="0"/>
          <w:sz w:val="30"/>
          <w:szCs w:val="30"/>
          <w:lang w:val="en-US" w:eastAsia="zh-CN" w:bidi="zh-CN"/>
        </w:rPr>
        <w:t>3分。</w:t>
      </w:r>
    </w:p>
    <w:p>
      <w:pPr>
        <w:pStyle w:val="3"/>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lang w:eastAsia="zh-CN"/>
        </w:rPr>
      </w:pPr>
      <w:bookmarkStart w:id="152" w:name="_Toc3982"/>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50"/>
      <w:bookmarkEnd w:id="151"/>
      <w:r>
        <w:rPr>
          <w:rFonts w:hint="eastAsia" w:ascii="方正楷体_GBK" w:hAnsi="方正楷体_GBK" w:eastAsia="方正楷体_GBK" w:cs="方正楷体_GBK"/>
          <w:spacing w:val="0"/>
          <w:sz w:val="30"/>
          <w:szCs w:val="30"/>
          <w:lang w:eastAsia="zh-CN"/>
        </w:rPr>
        <w:t>分析</w:t>
      </w:r>
      <w:bookmarkEnd w:id="152"/>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spacing w:val="1"/>
          <w:sz w:val="30"/>
          <w:szCs w:val="30"/>
          <w:lang w:val="en-US" w:eastAsia="zh-CN"/>
        </w:rPr>
        <w:t>本项指标共设4个二级指标4个三级指标，权重分值32分，评价得分32分，得分率为 100.00%。具体评价指标分析如下：</w:t>
      </w:r>
    </w:p>
    <w:tbl>
      <w:tblPr>
        <w:tblStyle w:val="22"/>
        <w:tblW w:w="56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9"/>
        <w:gridCol w:w="3442"/>
        <w:gridCol w:w="1299"/>
        <w:gridCol w:w="1299"/>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二级指标</w:t>
            </w:r>
          </w:p>
        </w:tc>
        <w:tc>
          <w:tcPr>
            <w:tcW w:w="3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三级指标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分值</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评价得分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产出数量</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补贴计划完成率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产出质量</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残疾人“两项补贴”应补尽补率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产出时效</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计划工作完成及时率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产出成本</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bl>
    <w:p>
      <w:pPr>
        <w:keepNext w:val="0"/>
        <w:keepLines w:val="0"/>
        <w:pageBreakBefore w:val="0"/>
        <w:widowControl w:val="0"/>
        <w:kinsoku/>
        <w:wordWrap/>
        <w:overflowPunct w:val="0"/>
        <w:topLinePunct w:val="0"/>
        <w:autoSpaceDE/>
        <w:autoSpaceDN/>
        <w:bidi w:val="0"/>
        <w:adjustRightInd/>
        <w:snapToGrid/>
        <w:spacing w:line="560" w:lineRule="exact"/>
        <w:ind w:left="0" w:leftChars="0" w:firstLine="580" w:firstLineChars="200"/>
        <w:textAlignment w:val="auto"/>
        <w:rPr>
          <w:rFonts w:hint="eastAsia" w:ascii="方正仿宋_GBK" w:hAnsi="方正仿宋_GBK" w:eastAsia="方正仿宋_GBK" w:cs="方正仿宋_GBK"/>
          <w:b/>
          <w:bCs/>
          <w:spacing w:val="-6"/>
          <w:sz w:val="30"/>
          <w:szCs w:val="30"/>
          <w:lang w:val="en-US" w:eastAsia="zh-CN"/>
        </w:rPr>
      </w:pPr>
      <w:r>
        <w:rPr>
          <w:rFonts w:hint="default" w:ascii="Times New Roman" w:hAnsi="Times New Roman" w:eastAsia="方正仿宋_GBK" w:cs="Times New Roman"/>
          <w:b/>
          <w:bCs/>
          <w:spacing w:val="-6"/>
          <w:sz w:val="30"/>
          <w:szCs w:val="30"/>
          <w:lang w:val="en-US" w:eastAsia="zh-CN"/>
        </w:rPr>
        <w:t>1.</w:t>
      </w:r>
      <w:r>
        <w:rPr>
          <w:rFonts w:hint="eastAsia" w:ascii="方正仿宋_GBK" w:hAnsi="方正仿宋_GBK" w:eastAsia="方正仿宋_GBK" w:cs="方正仿宋_GBK"/>
          <w:b/>
          <w:bCs/>
          <w:spacing w:val="-6"/>
          <w:sz w:val="30"/>
          <w:szCs w:val="30"/>
          <w:lang w:val="en-US" w:eastAsia="zh-CN"/>
        </w:rPr>
        <w:t>产出数量方面</w:t>
      </w:r>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经项目组整理资料、汇总相关数据，2022年累计发放困难残疾人生活补贴111545人次1227.00万元，重度残疾人护理补贴86230人次1034.76 万元，实现残疾人“两项补贴动态全覆盖”。该指标满分8分，根据评分标准得8分。</w:t>
      </w:r>
    </w:p>
    <w:p>
      <w:pPr>
        <w:keepNext w:val="0"/>
        <w:keepLines w:val="0"/>
        <w:pageBreakBefore w:val="0"/>
        <w:widowControl w:val="0"/>
        <w:kinsoku/>
        <w:wordWrap/>
        <w:overflowPunct w:val="0"/>
        <w:topLinePunct w:val="0"/>
        <w:autoSpaceDE/>
        <w:autoSpaceDN/>
        <w:bidi w:val="0"/>
        <w:adjustRightInd/>
        <w:snapToGrid/>
        <w:spacing w:line="560" w:lineRule="exact"/>
        <w:ind w:left="0" w:firstLine="580"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残疾人“两项补贴”由</w:t>
      </w:r>
      <w:r>
        <w:rPr>
          <w:rFonts w:hint="eastAsia" w:ascii="仿宋" w:hAnsi="仿宋" w:eastAsia="仿宋" w:cs="仿宋"/>
          <w:spacing w:val="0"/>
          <w:kern w:val="0"/>
          <w:sz w:val="30"/>
          <w:szCs w:val="30"/>
          <w:lang w:val="en-US" w:eastAsia="zh-CN" w:bidi="zh-CN"/>
        </w:rPr>
        <w:t>街道</w:t>
      </w:r>
      <w:r>
        <w:rPr>
          <w:rFonts w:hint="eastAsia" w:ascii="Times New Roman" w:hAnsi="Times New Roman" w:eastAsia="方正仿宋_GBK" w:cs="Times New Roman"/>
          <w:spacing w:val="0"/>
          <w:kern w:val="0"/>
          <w:sz w:val="30"/>
          <w:szCs w:val="30"/>
          <w:lang w:val="en-US" w:eastAsia="zh-CN" w:bidi="zh-CN"/>
        </w:rPr>
        <w:t>办事处或乡</w:t>
      </w:r>
      <w:r>
        <w:rPr>
          <w:rFonts w:hint="eastAsia" w:ascii="仿宋" w:hAnsi="仿宋" w:eastAsia="仿宋" w:cs="仿宋"/>
          <w:spacing w:val="0"/>
          <w:kern w:val="0"/>
          <w:sz w:val="30"/>
          <w:szCs w:val="30"/>
          <w:lang w:val="en-US" w:eastAsia="zh-CN" w:bidi="zh-CN"/>
        </w:rPr>
        <w:t>镇</w:t>
      </w:r>
      <w:r>
        <w:rPr>
          <w:rFonts w:hint="eastAsia" w:cs="仿宋"/>
          <w:spacing w:val="0"/>
          <w:kern w:val="0"/>
          <w:sz w:val="30"/>
          <w:szCs w:val="30"/>
          <w:lang w:val="en-US" w:eastAsia="zh-CN" w:bidi="zh-CN"/>
        </w:rPr>
        <w:t>政府进行初审、县残联进行相关审核、县民政部门审定，补贴采取社会化形式发放，通过金融机构转账存入残疾人账户，防止和杜绝冒领、重复领取。克扣现象。残疾人“两项补贴”实行动态管理，对不符合条件的应退则退，符合条件的应补尽补。</w:t>
      </w:r>
      <w:r>
        <w:rPr>
          <w:rFonts w:hint="eastAsia" w:ascii="Times New Roman" w:hAnsi="Times New Roman" w:eastAsia="方正仿宋_GBK" w:cs="Times New Roman"/>
          <w:spacing w:val="1"/>
          <w:sz w:val="30"/>
          <w:szCs w:val="30"/>
          <w:lang w:val="en-US" w:eastAsia="zh-CN"/>
        </w:rPr>
        <w:t>该指标满分8分，根据评分标准得8分。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80"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4.产出时效方面</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通过查阅资金拨付资料，各年度预算经批准通过后，预算指标按期及时下达；财政部门根据项目单位资金支出使用进度需求，及时审核并拨付。查阅2022年度补贴发放</w:t>
      </w:r>
      <w:r>
        <w:rPr>
          <w:rFonts w:hint="eastAsia" w:ascii="仿宋" w:hAnsi="仿宋" w:eastAsia="仿宋" w:cs="仿宋"/>
          <w:spacing w:val="0"/>
          <w:kern w:val="0"/>
          <w:sz w:val="30"/>
          <w:szCs w:val="30"/>
          <w:lang w:val="en-US" w:eastAsia="zh-CN" w:bidi="zh-CN"/>
        </w:rPr>
        <w:t>台</w:t>
      </w:r>
      <w:r>
        <w:rPr>
          <w:rFonts w:hint="eastAsia" w:ascii="Times New Roman" w:hAnsi="Times New Roman" w:eastAsia="方正仿宋_GBK" w:cs="Times New Roman"/>
          <w:spacing w:val="0"/>
          <w:kern w:val="0"/>
          <w:sz w:val="30"/>
          <w:szCs w:val="30"/>
          <w:lang w:val="en-US" w:eastAsia="zh-CN" w:bidi="zh-CN"/>
        </w:rPr>
        <w:t>账、发放名册、公示信息及相关财务资料，各项补贴总体能够按期支付到位。</w:t>
      </w:r>
      <w:r>
        <w:rPr>
          <w:rFonts w:hint="eastAsia" w:ascii="Times New Roman" w:hAnsi="Times New Roman" w:eastAsia="方正仿宋_GBK" w:cs="Times New Roman"/>
          <w:spacing w:val="1"/>
          <w:sz w:val="30"/>
          <w:szCs w:val="30"/>
          <w:lang w:val="en-US" w:eastAsia="zh-CN"/>
        </w:rPr>
        <w:t>该指标满分8分，根据评分标准得8分。</w:t>
      </w:r>
    </w:p>
    <w:p>
      <w:pPr>
        <w:keepNext w:val="0"/>
        <w:keepLines w:val="0"/>
        <w:pageBreakBefore w:val="0"/>
        <w:widowControl w:val="0"/>
        <w:kinsoku/>
        <w:wordWrap/>
        <w:overflowPunct w:val="0"/>
        <w:topLinePunct w:val="0"/>
        <w:autoSpaceDE/>
        <w:autoSpaceDN/>
        <w:bidi w:val="0"/>
        <w:adjustRightInd/>
        <w:snapToGrid/>
        <w:spacing w:line="560" w:lineRule="exact"/>
        <w:ind w:left="0" w:firstLine="580"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val="0"/>
        <w:numPr>
          <w:ilvl w:val="0"/>
          <w:numId w:val="0"/>
        </w:numPr>
        <w:kinsoku/>
        <w:wordWrap/>
        <w:overflowPunct w:val="0"/>
        <w:topLinePunct w:val="0"/>
        <w:autoSpaceDE/>
        <w:autoSpaceDN/>
        <w:bidi w:val="0"/>
        <w:adjustRightInd/>
        <w:snapToGrid/>
        <w:ind w:firstLine="604"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查阅2022年度补贴发放</w:t>
      </w:r>
      <w:r>
        <w:rPr>
          <w:rFonts w:hint="eastAsia" w:ascii="仿宋" w:hAnsi="仿宋" w:eastAsia="仿宋" w:cs="仿宋"/>
          <w:spacing w:val="0"/>
          <w:kern w:val="0"/>
          <w:sz w:val="30"/>
          <w:szCs w:val="30"/>
          <w:lang w:val="en-US" w:eastAsia="zh-CN" w:bidi="zh-CN"/>
        </w:rPr>
        <w:t>台</w:t>
      </w:r>
      <w:r>
        <w:rPr>
          <w:rFonts w:hint="eastAsia" w:ascii="Times New Roman" w:hAnsi="Times New Roman" w:eastAsia="方正仿宋_GBK" w:cs="Times New Roman"/>
          <w:spacing w:val="0"/>
          <w:kern w:val="0"/>
          <w:sz w:val="30"/>
          <w:szCs w:val="30"/>
          <w:lang w:val="en-US" w:eastAsia="zh-CN" w:bidi="zh-CN"/>
        </w:rPr>
        <w:t>账、发放名册、公示信息及相关财务资料，同心县残疾人“两项补贴”按规定标准发放，未发现超标或低于标准发放的情形（即困难残疾人生活补助110元/月•人，重度残疾人护理补助120元/月•人）。</w:t>
      </w:r>
      <w:r>
        <w:rPr>
          <w:rFonts w:hint="eastAsia" w:ascii="Times New Roman" w:hAnsi="Times New Roman" w:eastAsia="方正仿宋_GBK" w:cs="Times New Roman"/>
          <w:spacing w:val="1"/>
          <w:sz w:val="30"/>
          <w:szCs w:val="30"/>
          <w:lang w:val="en-US" w:eastAsia="zh-CN"/>
        </w:rPr>
        <w:t>该指标满分8分，根据评分标准得8分。</w:t>
      </w:r>
    </w:p>
    <w:p>
      <w:pPr>
        <w:pStyle w:val="3"/>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lang w:eastAsia="zh-CN"/>
        </w:rPr>
      </w:pPr>
      <w:r>
        <w:rPr>
          <w:rFonts w:hint="eastAsia" w:ascii="仿宋" w:hAnsi="仿宋" w:eastAsia="仿宋" w:cs="仿宋"/>
          <w:b w:val="0"/>
          <w:color w:val="000000"/>
          <w:kern w:val="0"/>
          <w:sz w:val="30"/>
          <w:szCs w:val="30"/>
          <w:lang w:val="en-US" w:eastAsia="zh-CN" w:bidi="ar"/>
        </w:rPr>
        <w:t xml:space="preserve"> </w:t>
      </w:r>
      <w:bookmarkStart w:id="153" w:name="_Toc3123"/>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3"/>
    </w:p>
    <w:p>
      <w:pPr>
        <w:keepNext w:val="0"/>
        <w:keepLines w:val="0"/>
        <w:pageBreakBefore w:val="0"/>
        <w:widowControl w:val="0"/>
        <w:kinsoku/>
        <w:wordWrap/>
        <w:overflowPunct w:val="0"/>
        <w:topLinePunct w:val="0"/>
        <w:autoSpaceDE/>
        <w:autoSpaceDN/>
        <w:bidi w:val="0"/>
        <w:adjustRightInd/>
        <w:snapToGrid/>
        <w:spacing w:line="560" w:lineRule="exact"/>
        <w:ind w:left="0" w:firstLine="60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本项指标共设3个二级指标、4个三级指标，权重分值28分，评价得分23分，得分率为 82.14%。具体评价指标分析如下：</w:t>
      </w:r>
    </w:p>
    <w:tbl>
      <w:tblPr>
        <w:tblStyle w:val="22"/>
        <w:tblW w:w="87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0"/>
        <w:gridCol w:w="3775"/>
        <w:gridCol w:w="1100"/>
        <w:gridCol w:w="1197"/>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二级指标</w:t>
            </w: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三级指标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分值</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评价得分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社会效益</w:t>
            </w: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困难残疾人生活水平改善程度</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重度残疾人护理水平提高程度</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可持续影响</w:t>
            </w: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机制维护健全性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带动全社会积极参与和</w:t>
            </w:r>
            <w:r>
              <w:rPr>
                <w:rFonts w:hint="eastAsia" w:ascii="Times New Roman" w:hAnsi="Times New Roman" w:eastAsia="方正仿宋_GBK" w:cs="Times New Roman"/>
                <w:spacing w:val="1"/>
                <w:kern w:val="2"/>
                <w:sz w:val="24"/>
                <w:szCs w:val="24"/>
                <w:lang w:val="en-US" w:eastAsia="zh-CN" w:bidi="ar-SA"/>
              </w:rPr>
              <w:br w:type="textWrapping"/>
            </w:r>
            <w:r>
              <w:rPr>
                <w:rFonts w:hint="eastAsia" w:ascii="Times New Roman" w:hAnsi="Times New Roman" w:eastAsia="方正仿宋_GBK" w:cs="Times New Roman"/>
                <w:spacing w:val="1"/>
                <w:kern w:val="2"/>
                <w:sz w:val="24"/>
                <w:szCs w:val="24"/>
                <w:lang w:val="en-US" w:eastAsia="zh-CN" w:bidi="ar-SA"/>
              </w:rPr>
              <w:t>支持</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满意度</w:t>
            </w:r>
          </w:p>
        </w:tc>
        <w:tc>
          <w:tcPr>
            <w:tcW w:w="3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受益对象满意度</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合计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28</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23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82.14%</w:t>
            </w:r>
          </w:p>
        </w:tc>
      </w:tr>
    </w:tbl>
    <w:p>
      <w:pPr>
        <w:keepNext w:val="0"/>
        <w:keepLines w:val="0"/>
        <w:pageBreakBefore w:val="0"/>
        <w:widowControl w:val="0"/>
        <w:kinsoku/>
        <w:wordWrap/>
        <w:overflowPunct w:val="0"/>
        <w:topLinePunct w:val="0"/>
        <w:autoSpaceDE/>
        <w:autoSpaceDN/>
        <w:bidi w:val="0"/>
        <w:adjustRightInd/>
        <w:snapToGrid/>
        <w:spacing w:line="560" w:lineRule="exact"/>
        <w:ind w:left="0" w:leftChars="0" w:firstLine="580"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1.社会效益方面</w:t>
      </w:r>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宁夏困难残疾人生活补贴和重度残疾人护理补贴与西部其他省份标准相比处于中上水平，同心县执行自治区补贴标准有效改善残疾人家庭条件，减轻社会压力，对于补齐民生短板、提高残疾人福利水平，缓解社会矛盾，维护社会稳定与促进社会和谐具有可持续的推动作用。</w:t>
      </w:r>
    </w:p>
    <w:tbl>
      <w:tblPr>
        <w:tblStyle w:val="22"/>
        <w:tblW w:w="86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1"/>
        <w:gridCol w:w="4320"/>
        <w:gridCol w:w="3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省份</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残疾人生活补助</w:t>
            </w:r>
          </w:p>
        </w:tc>
        <w:tc>
          <w:tcPr>
            <w:tcW w:w="3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残疾人护理补助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内蒙古</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一级、二级困难残疾人生活补贴标准为每人每月100元，三级、四级困难残疾人生活补贴标准为每人每月50元。</w:t>
            </w:r>
          </w:p>
        </w:tc>
        <w:tc>
          <w:tcPr>
            <w:tcW w:w="3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护理补贴标准为每人每月100元。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青海</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一级、二级困难残疾人生活补贴标准为每人每月100元，三级、四级困难残疾人生活补贴标准为每人每月50元。</w:t>
            </w:r>
          </w:p>
        </w:tc>
        <w:tc>
          <w:tcPr>
            <w:tcW w:w="3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护理补贴标准为每人每月100元。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甘肃</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城市低保家庭和农村一、二类低保家庭中残疾人每人每月110元，农村三、四类低保家庭残疾人补贴标准由各地自行确定。</w:t>
            </w:r>
          </w:p>
        </w:tc>
        <w:tc>
          <w:tcPr>
            <w:tcW w:w="3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肢体、视力、智力、精神一级和智力、精神二级残疾人每人每月110元，听力、言语一级和肢体、视力、听力、言语二级残疾人每人每月60元。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宁夏</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困难残疾人生活补助每人每月给予110元。</w:t>
            </w:r>
          </w:p>
        </w:tc>
        <w:tc>
          <w:tcPr>
            <w:tcW w:w="3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4"/>
                <w:szCs w:val="24"/>
                <w:lang w:val="en-US" w:eastAsia="zh-CN" w:bidi="ar-SA"/>
              </w:rPr>
            </w:pPr>
            <w:r>
              <w:rPr>
                <w:rFonts w:hint="eastAsia" w:ascii="Times New Roman" w:hAnsi="Times New Roman" w:eastAsia="方正仿宋_GBK" w:cs="Times New Roman"/>
                <w:spacing w:val="1"/>
                <w:kern w:val="2"/>
                <w:sz w:val="24"/>
                <w:szCs w:val="24"/>
                <w:lang w:val="en-US" w:eastAsia="zh-CN" w:bidi="ar-SA"/>
              </w:rPr>
              <w:t>重度残疾人护理补贴每人每月120元。</w:t>
            </w:r>
          </w:p>
        </w:tc>
      </w:tr>
    </w:tbl>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享受残疾人补贴的家庭基本为支出型家庭，有人长期依赖药物、有人需要长期护理等，两项补贴明显提高残疾人生活及护理水平，大大缓解了残疾人的心理压力，增强了他们参与社会生活的信心，为残疾人的心理健康注入了生机与活力。通过问卷调查困难残疾人生活补贴满意度为91.5%，重度残疾人护理补贴满意度为90.2%。两项指标满分均为5分，根据评分标准均扣1分，得4分。</w:t>
      </w:r>
    </w:p>
    <w:p>
      <w:pPr>
        <w:pStyle w:val="3"/>
        <w:keepNext/>
        <w:keepLines/>
        <w:pageBreakBefore w:val="0"/>
        <w:widowControl w:val="0"/>
        <w:numPr>
          <w:ilvl w:val="0"/>
          <w:numId w:val="0"/>
        </w:numPr>
        <w:kinsoku/>
        <w:wordWrap/>
        <w:overflowPunct w:val="0"/>
        <w:topLinePunct w:val="0"/>
        <w:autoSpaceDE/>
        <w:autoSpaceDN/>
        <w:bidi w:val="0"/>
        <w:adjustRightInd/>
        <w:snapToGrid/>
        <w:ind w:firstLine="644" w:firstLineChars="200"/>
        <w:textAlignment w:val="auto"/>
        <w:rPr>
          <w:rFonts w:hint="eastAsia" w:ascii="Times New Roman" w:hAnsi="Times New Roman" w:eastAsia="楷体" w:cs="Times New Roman"/>
          <w:b/>
          <w:kern w:val="2"/>
          <w:sz w:val="32"/>
          <w:szCs w:val="32"/>
          <w:lang w:val="en-US" w:eastAsia="zh-CN" w:bidi="ar-SA"/>
        </w:rPr>
      </w:pPr>
      <w:bookmarkStart w:id="154" w:name="_Toc11426"/>
      <w:bookmarkStart w:id="155" w:name="_Toc28749"/>
      <w:bookmarkStart w:id="156" w:name="_Toc26089"/>
      <w:r>
        <w:rPr>
          <w:rFonts w:hint="eastAsia" w:ascii="Times New Roman" w:hAnsi="Times New Roman" w:cs="Times New Roman"/>
          <w:b/>
          <w:kern w:val="2"/>
          <w:sz w:val="32"/>
          <w:szCs w:val="32"/>
          <w:lang w:val="en-US" w:eastAsia="zh-CN" w:bidi="ar-SA"/>
        </w:rPr>
        <w:t>2.可持续影响性</w:t>
      </w:r>
      <w:bookmarkEnd w:id="154"/>
      <w:bookmarkEnd w:id="155"/>
      <w:bookmarkEnd w:id="156"/>
    </w:p>
    <w:p>
      <w:pPr>
        <w:keepNext w:val="0"/>
        <w:keepLines w:val="0"/>
        <w:pageBreakBefore w:val="0"/>
        <w:widowControl/>
        <w:suppressLineNumbers w:val="0"/>
        <w:kinsoku/>
        <w:wordWrap/>
        <w:overflowPunct w:val="0"/>
        <w:topLinePunct w:val="0"/>
        <w:autoSpaceDE/>
        <w:autoSpaceDN/>
        <w:bidi w:val="0"/>
        <w:adjustRightInd/>
        <w:snapToGrid/>
        <w:ind w:left="0" w:leftChars="0" w:firstLine="644" w:firstLineChars="200"/>
        <w:jc w:val="both"/>
        <w:textAlignment w:val="auto"/>
        <w:rPr>
          <w:rFonts w:hint="eastAsia" w:ascii="Times New Roman" w:hAnsi="Times New Roman" w:eastAsia="楷体" w:cs="Times New Roman"/>
          <w:b/>
          <w:kern w:val="2"/>
          <w:sz w:val="32"/>
          <w:szCs w:val="32"/>
          <w:lang w:val="en-US" w:eastAsia="zh-CN" w:bidi="ar-SA"/>
        </w:rPr>
      </w:pPr>
      <w:r>
        <w:rPr>
          <w:rFonts w:hint="eastAsia" w:ascii="Times New Roman" w:hAnsi="Times New Roman" w:eastAsia="楷体" w:cs="Times New Roman"/>
          <w:b/>
          <w:kern w:val="2"/>
          <w:sz w:val="32"/>
          <w:szCs w:val="32"/>
          <w:lang w:val="en-US" w:eastAsia="zh-CN" w:bidi="ar-SA"/>
        </w:rPr>
        <w:t>（1）机制维护健全性</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该项目是建立健全残疾人补贴保障体系的重要内容，也是国家的重点项目，政策制度持续执行，两项补贴能持续发放。但由于残疾人的整体数量并不多，市民对该项补贴的知晓率不高。因此，实施机构加大政策制度宣传力度，通过服务窗口、媒体进行宣传，提高社会公众知晓率，提高残疾人两项补贴项目后续运行及成效发挥的可持续影响。该指标满分5分，根据评分标准得5分。</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leftChars="200"/>
        <w:jc w:val="both"/>
        <w:textAlignment w:val="auto"/>
        <w:rPr>
          <w:rFonts w:hint="eastAsia" w:ascii="Times New Roman" w:hAnsi="Times New Roman" w:eastAsia="楷体" w:cs="Times New Roman"/>
          <w:b/>
          <w:kern w:val="2"/>
          <w:sz w:val="32"/>
          <w:szCs w:val="32"/>
          <w:lang w:val="en-US" w:eastAsia="zh-CN" w:bidi="ar-SA"/>
        </w:rPr>
      </w:pPr>
      <w:r>
        <w:rPr>
          <w:rFonts w:hint="eastAsia" w:ascii="Times New Roman" w:hAnsi="Times New Roman" w:eastAsia="楷体" w:cs="Times New Roman"/>
          <w:b/>
          <w:kern w:val="2"/>
          <w:sz w:val="32"/>
          <w:szCs w:val="32"/>
          <w:lang w:val="en-US" w:eastAsia="zh-CN" w:bidi="ar-SA"/>
        </w:rPr>
        <w:t>（2）带动全社会积极参与和支持</w:t>
      </w:r>
    </w:p>
    <w:p>
      <w:pPr>
        <w:keepNext w:val="0"/>
        <w:keepLines w:val="0"/>
        <w:pageBreakBefore w:val="0"/>
        <w:widowControl/>
        <w:suppressLineNumbers w:val="0"/>
        <w:kinsoku/>
        <w:wordWrap/>
        <w:overflowPunct w:val="0"/>
        <w:topLinePunct w:val="0"/>
        <w:autoSpaceDE/>
        <w:autoSpaceDN/>
        <w:bidi w:val="0"/>
        <w:adjustRightInd/>
        <w:snapToGrid/>
        <w:ind w:left="0" w:leftChars="0" w:firstLine="604"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在自身条件和社会环境的影响下，残疾人无法像健全人那样 接受教育、参加工作，残疾人受教育程度和自主就业的就业层次都相对较低，因而这个群体的收入水平也较低。通过实地走访 ，目前同心县残疾人主要从事农业种植业、养殖业和传统加工业，或者通过灵活就业获得收入，家庭经济来源单一</w:t>
      </w:r>
      <w:bookmarkStart w:id="157" w:name="_Toc3765"/>
      <w:bookmarkStart w:id="158" w:name="_Toc9957"/>
      <w:r>
        <w:rPr>
          <w:rFonts w:hint="eastAsia" w:ascii="Times New Roman" w:hAnsi="Times New Roman" w:eastAsia="方正仿宋_GBK" w:cs="Times New Roman"/>
          <w:spacing w:val="0"/>
          <w:kern w:val="0"/>
          <w:sz w:val="30"/>
          <w:szCs w:val="30"/>
          <w:lang w:val="en-US" w:eastAsia="zh-CN" w:bidi="zh-CN"/>
        </w:rPr>
        <w:t>。同时，由于生理、心理多方面的缺陷，残疾人在医疗、康复和照护方面的费用，要比健康人高。在双重因素下，残疾人的生活困难程度就更高一些，其生活质量更低一些。此外，残疾人群体相对较小，社会关注度较低，他们在社会生活中的相关诉求无法得到充分表达。该指标满分5分，根据评分标准扣3分，得2分。</w:t>
      </w:r>
    </w:p>
    <w:p>
      <w:pPr>
        <w:pStyle w:val="3"/>
        <w:keepNext/>
        <w:keepLines/>
        <w:pageBreakBefore w:val="0"/>
        <w:widowControl w:val="0"/>
        <w:numPr>
          <w:ilvl w:val="0"/>
          <w:numId w:val="0"/>
        </w:numPr>
        <w:kinsoku/>
        <w:wordWrap/>
        <w:overflowPunct w:val="0"/>
        <w:topLinePunct w:val="0"/>
        <w:autoSpaceDE/>
        <w:autoSpaceDN/>
        <w:bidi w:val="0"/>
        <w:adjustRightInd/>
        <w:snapToGrid/>
        <w:ind w:firstLine="644" w:firstLineChars="200"/>
        <w:textAlignment w:val="auto"/>
        <w:rPr>
          <w:rFonts w:hint="eastAsia" w:ascii="Times New Roman" w:hAnsi="Times New Roman" w:eastAsia="楷体" w:cs="Times New Roman"/>
          <w:b/>
          <w:kern w:val="2"/>
          <w:sz w:val="32"/>
          <w:szCs w:val="32"/>
          <w:lang w:val="en-US" w:eastAsia="zh-CN" w:bidi="ar-SA"/>
        </w:rPr>
      </w:pPr>
      <w:bookmarkStart w:id="159" w:name="_Toc18001"/>
      <w:r>
        <w:rPr>
          <w:rFonts w:hint="eastAsia" w:ascii="Times New Roman" w:hAnsi="Times New Roman" w:cs="Times New Roman"/>
          <w:b/>
          <w:kern w:val="2"/>
          <w:sz w:val="32"/>
          <w:szCs w:val="32"/>
          <w:lang w:val="en-US" w:eastAsia="zh-CN" w:bidi="ar-SA"/>
        </w:rPr>
        <w:t>3.满意度</w:t>
      </w:r>
      <w:bookmarkEnd w:id="157"/>
      <w:bookmarkEnd w:id="158"/>
      <w:bookmarkEnd w:id="159"/>
    </w:p>
    <w:p>
      <w:pPr>
        <w:keepNext w:val="0"/>
        <w:keepLines w:val="0"/>
        <w:pageBreakBefore w:val="0"/>
        <w:widowControl/>
        <w:suppressLineNumbers w:val="0"/>
        <w:kinsoku/>
        <w:wordWrap/>
        <w:overflowPunct w:val="0"/>
        <w:topLinePunct w:val="0"/>
        <w:autoSpaceDE/>
        <w:autoSpaceDN/>
        <w:bidi w:val="0"/>
        <w:adjustRightInd/>
        <w:snapToGrid/>
        <w:ind w:left="0" w:leftChars="0" w:firstLine="644"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lang w:val="en-US" w:eastAsia="zh-CN"/>
        </w:rPr>
        <w:t>我们通过发放调查问卷的方式，对同心县辖区享受残疾人“两项补贴”人员进行了满意度调查，调查问卷内容包括项目建设情况、项目设计、历史要素、人文环境等方面。经统计，项目整体的满意度90.6分。</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8</w:t>
      </w:r>
      <w:r>
        <w:rPr>
          <w:rFonts w:hint="default" w:ascii="Times New Roman" w:hAnsi="Times New Roman" w:eastAsia="方正仿宋_GBK" w:cs="Times New Roman"/>
          <w:spacing w:val="0"/>
          <w:kern w:val="0"/>
          <w:sz w:val="30"/>
          <w:szCs w:val="30"/>
          <w:lang w:val="en-US" w:eastAsia="zh-CN" w:bidi="zh-CN"/>
        </w:rPr>
        <w:t>分，评价得分</w:t>
      </w:r>
      <w:r>
        <w:rPr>
          <w:rFonts w:hint="eastAsia" w:ascii="Times New Roman" w:hAnsi="Times New Roman" w:eastAsia="方正仿宋_GBK" w:cs="Times New Roman"/>
          <w:spacing w:val="0"/>
          <w:kern w:val="0"/>
          <w:sz w:val="30"/>
          <w:szCs w:val="30"/>
          <w:lang w:val="en-US" w:eastAsia="zh-CN" w:bidi="zh-CN"/>
        </w:rPr>
        <w:t>8</w:t>
      </w:r>
      <w:r>
        <w:rPr>
          <w:rFonts w:hint="default" w:ascii="Times New Roman" w:hAnsi="Times New Roman" w:eastAsia="方正仿宋_GBK" w:cs="Times New Roman"/>
          <w:spacing w:val="0"/>
          <w:kern w:val="0"/>
          <w:sz w:val="30"/>
          <w:szCs w:val="30"/>
          <w:lang w:val="en-US" w:eastAsia="zh-CN" w:bidi="zh-CN"/>
        </w:rPr>
        <w:t>分。</w:t>
      </w:r>
      <w:bookmarkStart w:id="160" w:name="_Toc1561"/>
      <w:bookmarkStart w:id="161" w:name="_Toc31782"/>
      <w:r>
        <w:rPr>
          <w:rFonts w:hint="eastAsia" w:ascii="Times New Roman" w:hAnsi="Times New Roman" w:eastAsia="方正仿宋_GBK" w:cs="Times New Roman"/>
          <w:spacing w:val="0"/>
          <w:kern w:val="0"/>
          <w:sz w:val="30"/>
          <w:szCs w:val="30"/>
          <w:lang w:val="en-US" w:eastAsia="zh-CN" w:bidi="zh-CN"/>
        </w:rPr>
        <w:t xml:space="preserve"> </w:t>
      </w:r>
    </w:p>
    <w:p>
      <w:pPr>
        <w:pStyle w:val="2"/>
        <w:bidi w:val="0"/>
        <w:rPr>
          <w:rFonts w:hint="eastAsia"/>
          <w:lang w:val="en-US" w:eastAsia="zh-CN"/>
        </w:rPr>
      </w:pPr>
      <w:bookmarkStart w:id="162" w:name="_Toc19450"/>
      <w:r>
        <w:rPr>
          <w:rFonts w:hint="eastAsia"/>
          <w:lang w:val="en-US" w:eastAsia="zh-CN"/>
        </w:rPr>
        <w:t>七、主要经验做法、存在问题及建议</w:t>
      </w:r>
      <w:bookmarkEnd w:id="160"/>
      <w:bookmarkEnd w:id="161"/>
      <w:bookmarkEnd w:id="162"/>
      <w:bookmarkStart w:id="163" w:name="_Toc19800"/>
      <w:bookmarkStart w:id="164" w:name="_Toc4904"/>
    </w:p>
    <w:p>
      <w:pPr>
        <w:pStyle w:val="3"/>
        <w:bidi w:val="0"/>
      </w:pPr>
      <w:bookmarkStart w:id="165" w:name="_Toc14289"/>
      <w:r>
        <w:rPr>
          <w:rFonts w:hint="eastAsia"/>
        </w:rPr>
        <w:t>（一）经验做法</w:t>
      </w:r>
      <w:bookmarkEnd w:id="163"/>
      <w:bookmarkEnd w:id="164"/>
      <w:bookmarkEnd w:id="165"/>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该项目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一是提升基层社会救助工作能力。开展全县村（社区）民政工作人员政策业务</w:t>
      </w:r>
      <w:r>
        <w:rPr>
          <w:rFonts w:hint="eastAsia" w:ascii="仿宋" w:hAnsi="仿宋" w:eastAsia="仿宋" w:cs="仿宋"/>
          <w:color w:val="auto"/>
          <w:kern w:val="0"/>
          <w:sz w:val="30"/>
          <w:szCs w:val="30"/>
          <w:lang w:val="en-US" w:eastAsia="zh-CN" w:bidi="zh-CN"/>
        </w:rPr>
        <w:t>培训</w:t>
      </w:r>
      <w:r>
        <w:rPr>
          <w:rFonts w:hint="eastAsia" w:ascii="Times New Roman" w:hAnsi="Times New Roman" w:eastAsia="方正仿宋_GBK" w:cs="Times New Roman"/>
          <w:color w:val="auto"/>
          <w:kern w:val="0"/>
          <w:sz w:val="30"/>
          <w:szCs w:val="30"/>
          <w:lang w:val="en-US" w:eastAsia="zh-CN" w:bidi="zh-CN"/>
        </w:rPr>
        <w:t>，重点解</w:t>
      </w:r>
      <w:r>
        <w:rPr>
          <w:rFonts w:hint="eastAsia" w:ascii="仿宋" w:hAnsi="仿宋" w:eastAsia="仿宋" w:cs="仿宋"/>
          <w:color w:val="auto"/>
          <w:kern w:val="0"/>
          <w:sz w:val="30"/>
          <w:szCs w:val="30"/>
          <w:lang w:val="en-US" w:eastAsia="zh-CN" w:bidi="zh-CN"/>
        </w:rPr>
        <w:t>读</w:t>
      </w:r>
      <w:r>
        <w:rPr>
          <w:rFonts w:hint="eastAsia" w:ascii="Times New Roman" w:hAnsi="Times New Roman" w:eastAsia="方正仿宋_GBK" w:cs="Times New Roman"/>
          <w:color w:val="auto"/>
          <w:kern w:val="0"/>
          <w:sz w:val="30"/>
          <w:szCs w:val="30"/>
          <w:lang w:val="en-US" w:eastAsia="zh-CN" w:bidi="zh-CN"/>
        </w:rPr>
        <w:t>社会救助和儿童福利各项政策文件，聚焦困难群众物质精神</w:t>
      </w:r>
      <w:r>
        <w:rPr>
          <w:rFonts w:hint="eastAsia" w:ascii="仿宋" w:hAnsi="仿宋" w:eastAsia="仿宋" w:cs="仿宋"/>
          <w:color w:val="auto"/>
          <w:kern w:val="0"/>
          <w:sz w:val="30"/>
          <w:szCs w:val="30"/>
          <w:lang w:val="en-US" w:eastAsia="zh-CN" w:bidi="zh-CN"/>
        </w:rPr>
        <w:t>双</w:t>
      </w:r>
      <w:r>
        <w:rPr>
          <w:rFonts w:hint="eastAsia" w:ascii="Times New Roman" w:hAnsi="Times New Roman" w:eastAsia="方正仿宋_GBK" w:cs="Times New Roman"/>
          <w:color w:val="auto"/>
          <w:kern w:val="0"/>
          <w:sz w:val="30"/>
          <w:szCs w:val="30"/>
          <w:lang w:val="en-US" w:eastAsia="zh-CN" w:bidi="zh-CN"/>
        </w:rPr>
        <w:t>富有，落实困难群众优</w:t>
      </w:r>
      <w:r>
        <w:rPr>
          <w:rFonts w:hint="eastAsia" w:ascii="仿宋" w:hAnsi="仿宋" w:eastAsia="仿宋" w:cs="仿宋"/>
          <w:color w:val="auto"/>
          <w:kern w:val="0"/>
          <w:sz w:val="30"/>
          <w:szCs w:val="30"/>
          <w:lang w:val="en-US" w:eastAsia="zh-CN" w:bidi="zh-CN"/>
        </w:rPr>
        <w:t>惠</w:t>
      </w:r>
      <w:r>
        <w:rPr>
          <w:rFonts w:hint="eastAsia" w:ascii="Times New Roman" w:hAnsi="Times New Roman" w:eastAsia="方正仿宋_GBK" w:cs="Times New Roman"/>
          <w:color w:val="auto"/>
          <w:kern w:val="0"/>
          <w:sz w:val="30"/>
          <w:szCs w:val="30"/>
          <w:lang w:val="en-US" w:eastAsia="zh-CN" w:bidi="zh-CN"/>
        </w:rPr>
        <w:t>政策。</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二是进一步建立健全困难群众救助工作信息共享的长效机制，切实防止类</w:t>
      </w:r>
      <w:r>
        <w:rPr>
          <w:rFonts w:hint="eastAsia" w:ascii="仿宋" w:hAnsi="仿宋" w:eastAsia="仿宋" w:cs="仿宋"/>
          <w:color w:val="auto"/>
          <w:kern w:val="0"/>
          <w:sz w:val="30"/>
          <w:szCs w:val="30"/>
          <w:lang w:val="en-US" w:eastAsia="zh-CN" w:bidi="zh-CN"/>
        </w:rPr>
        <w:t>似</w:t>
      </w:r>
      <w:r>
        <w:rPr>
          <w:rFonts w:hint="eastAsia" w:ascii="Times New Roman" w:hAnsi="Times New Roman" w:eastAsia="方正仿宋_GBK" w:cs="Times New Roman"/>
          <w:color w:val="auto"/>
          <w:kern w:val="0"/>
          <w:sz w:val="30"/>
          <w:szCs w:val="30"/>
          <w:lang w:val="en-US" w:eastAsia="zh-CN" w:bidi="zh-CN"/>
        </w:rPr>
        <w:t>性、重复性问题发生。坚持工作标准、改进工作作风，深入推进专项整治工作各项要求落实落细审计发现问题、取得扎实成效。</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三是县</w:t>
      </w:r>
      <w:r>
        <w:rPr>
          <w:rFonts w:hint="default" w:ascii="Times New Roman" w:hAnsi="Times New Roman" w:eastAsia="方正仿宋_GBK" w:cs="Times New Roman"/>
          <w:color w:val="auto"/>
          <w:kern w:val="0"/>
          <w:sz w:val="30"/>
          <w:szCs w:val="30"/>
          <w:lang w:val="en-US" w:eastAsia="zh-CN" w:bidi="zh-CN"/>
        </w:rPr>
        <w:t>民政局和</w:t>
      </w:r>
      <w:r>
        <w:rPr>
          <w:rFonts w:hint="eastAsia" w:ascii="Times New Roman" w:hAnsi="Times New Roman" w:eastAsia="方正仿宋_GBK" w:cs="Times New Roman"/>
          <w:color w:val="auto"/>
          <w:kern w:val="0"/>
          <w:sz w:val="30"/>
          <w:szCs w:val="30"/>
          <w:lang w:val="en-US" w:eastAsia="zh-CN" w:bidi="zh-CN"/>
        </w:rPr>
        <w:t>县</w:t>
      </w:r>
      <w:r>
        <w:rPr>
          <w:rFonts w:hint="default" w:ascii="Times New Roman" w:hAnsi="Times New Roman" w:eastAsia="方正仿宋_GBK" w:cs="Times New Roman"/>
          <w:color w:val="auto"/>
          <w:kern w:val="0"/>
          <w:sz w:val="30"/>
          <w:szCs w:val="30"/>
          <w:lang w:val="en-US" w:eastAsia="zh-CN" w:bidi="zh-CN"/>
        </w:rPr>
        <w:t>残疾人联合会密切沟通，分工明确，对符合条件的残疾人积极</w:t>
      </w:r>
      <w:r>
        <w:rPr>
          <w:rFonts w:hint="eastAsia" w:ascii="Times New Roman" w:hAnsi="Times New Roman" w:eastAsia="方正仿宋_GBK" w:cs="Times New Roman"/>
          <w:color w:val="auto"/>
          <w:kern w:val="0"/>
          <w:sz w:val="30"/>
          <w:szCs w:val="30"/>
          <w:lang w:val="en-US" w:eastAsia="zh-CN" w:bidi="zh-CN"/>
        </w:rPr>
        <w:t>纳入</w:t>
      </w:r>
      <w:r>
        <w:rPr>
          <w:rFonts w:hint="default" w:ascii="Times New Roman" w:hAnsi="Times New Roman" w:eastAsia="方正仿宋_GBK" w:cs="Times New Roman"/>
          <w:color w:val="auto"/>
          <w:kern w:val="0"/>
          <w:sz w:val="30"/>
          <w:szCs w:val="30"/>
          <w:lang w:val="en-US" w:eastAsia="zh-CN" w:bidi="zh-CN"/>
        </w:rPr>
        <w:t>补贴范围内，做好线上与线下的协调沟通工作，采取动态管理，严格执行上级文件精神按月发放的原则，做到全过程公开化、透明化，做到资金专款专用，严</w:t>
      </w:r>
      <w:r>
        <w:rPr>
          <w:rFonts w:hint="eastAsia" w:ascii="仿宋" w:hAnsi="仿宋" w:eastAsia="仿宋" w:cs="仿宋"/>
          <w:color w:val="auto"/>
          <w:kern w:val="0"/>
          <w:sz w:val="30"/>
          <w:szCs w:val="30"/>
          <w:lang w:val="en-US" w:eastAsia="zh-CN" w:bidi="zh-CN"/>
        </w:rPr>
        <w:t>禁</w:t>
      </w:r>
      <w:r>
        <w:rPr>
          <w:rFonts w:hint="default" w:ascii="Times New Roman" w:hAnsi="Times New Roman" w:eastAsia="方正仿宋_GBK" w:cs="Times New Roman"/>
          <w:color w:val="auto"/>
          <w:kern w:val="0"/>
          <w:sz w:val="30"/>
          <w:szCs w:val="30"/>
          <w:lang w:val="en-US" w:eastAsia="zh-CN" w:bidi="zh-CN"/>
        </w:rPr>
        <w:t>挤占、挪用和截留，确保了专项资金的使用安全有效，真正落到实处。</w:t>
      </w:r>
    </w:p>
    <w:p>
      <w:pPr>
        <w:pStyle w:val="3"/>
        <w:pageBreakBefore w:val="0"/>
        <w:kinsoku/>
        <w:wordWrap/>
        <w:overflowPunct w:val="0"/>
        <w:topLinePunct w:val="0"/>
        <w:autoSpaceDE/>
        <w:autoSpaceDN/>
        <w:bidi w:val="0"/>
        <w:adjustRightInd/>
        <w:snapToGrid/>
        <w:spacing w:beforeLines="0" w:afterLines="0" w:line="560" w:lineRule="exact"/>
        <w:ind w:left="0" w:leftChars="0" w:firstLine="604" w:firstLineChars="200"/>
        <w:jc w:val="both"/>
        <w:textAlignment w:val="auto"/>
        <w:rPr>
          <w:rFonts w:hint="eastAsia" w:ascii="方正楷体_GBK" w:hAnsi="方正楷体_GBK" w:eastAsia="方正楷体_GBK" w:cs="方正楷体_GBK"/>
          <w:b w:val="0"/>
          <w:bCs w:val="0"/>
          <w:sz w:val="30"/>
          <w:szCs w:val="30"/>
          <w:lang w:bidi="zh-CN"/>
        </w:rPr>
      </w:pPr>
      <w:r>
        <w:rPr>
          <w:rFonts w:hint="eastAsia" w:ascii="方正楷体_GBK" w:hAnsi="方正楷体_GBK" w:eastAsia="方正楷体_GBK" w:cs="方正楷体_GBK"/>
          <w:color w:val="333333"/>
          <w:sz w:val="30"/>
          <w:szCs w:val="30"/>
          <w:shd w:val="clear" w:fill="FFFFFF"/>
          <w:lang w:val="en-US" w:eastAsia="zh-CN" w:bidi="zh-CN"/>
        </w:rPr>
        <w:t xml:space="preserve"> </w:t>
      </w:r>
      <w:bookmarkStart w:id="166" w:name="_Toc13811"/>
      <w:bookmarkStart w:id="167" w:name="_Toc14234"/>
      <w:bookmarkStart w:id="168" w:name="_Toc516"/>
      <w:r>
        <w:rPr>
          <w:rFonts w:hint="eastAsia" w:ascii="方正楷体_GBK" w:hAnsi="方正楷体_GBK" w:eastAsia="方正楷体_GBK" w:cs="方正楷体_GBK"/>
          <w:b/>
          <w:bCs/>
          <w:sz w:val="30"/>
          <w:szCs w:val="30"/>
          <w:lang w:bidi="zh-CN"/>
        </w:rPr>
        <w:t>（二）存在的问题</w:t>
      </w:r>
      <w:bookmarkEnd w:id="166"/>
      <w:bookmarkEnd w:id="167"/>
      <w:bookmarkEnd w:id="168"/>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1.预算确定的资金量无对应的补贴对象人数。</w:t>
      </w:r>
    </w:p>
    <w:p>
      <w:pPr>
        <w:bidi w:val="0"/>
        <w:rPr>
          <w:rFonts w:hint="eastAsia"/>
          <w:lang w:val="en-US" w:eastAsia="zh-CN"/>
        </w:rPr>
      </w:pPr>
      <w:r>
        <w:rPr>
          <w:rFonts w:hint="eastAsia"/>
          <w:lang w:val="en-US" w:eastAsia="zh-CN"/>
        </w:rPr>
        <w:t>查看相关资料，自治区下达同心县1992万元（其中困难补贴资金1095万元，护理补贴资金827万元），残疾人“两项补贴”滚存结余均为0，预算确定的资金量无对应的补贴对象人数。</w:t>
      </w:r>
    </w:p>
    <w:p>
      <w:pPr>
        <w:pStyle w:val="1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残疾人“两项补贴”县级资金未按要求分担。</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604" w:firstLineChars="200"/>
        <w:textAlignment w:val="auto"/>
        <w:rPr>
          <w:rFonts w:hint="default" w:ascii="Times New Roman" w:hAnsi="Times New Roman" w:eastAsia="方正仿宋_GBK" w:cs="Times New Roman"/>
          <w:color w:val="000000"/>
          <w:kern w:val="0"/>
          <w:sz w:val="30"/>
          <w:szCs w:val="30"/>
          <w:lang w:val="en-US" w:eastAsia="zh-CN" w:bidi="ar"/>
        </w:rPr>
      </w:pPr>
      <w:r>
        <w:rPr>
          <w:rFonts w:hint="eastAsia" w:ascii="Times New Roman" w:hAnsi="Times New Roman" w:eastAsia="方正仿宋_GBK" w:cs="Times New Roman"/>
          <w:kern w:val="0"/>
          <w:sz w:val="30"/>
          <w:szCs w:val="30"/>
          <w:lang w:val="en-US" w:eastAsia="zh-CN" w:bidi="zh-CN"/>
        </w:rPr>
        <w:t>根据《宁夏回族自治区困难残疾人生活补贴办法（修订）》和《宁夏回族自治区重度残疾人护理补贴办法（修订）》文件规定，残疾人“两项补贴”由自治区和市、县（市、区）共同分担，分担比例为自治区80%，同心县20%。</w:t>
      </w:r>
      <w:r>
        <w:rPr>
          <w:rFonts w:hint="eastAsia" w:ascii="Times New Roman" w:hAnsi="Times New Roman" w:eastAsia="方正仿宋_GBK" w:cs="Times New Roman"/>
          <w:spacing w:val="1"/>
          <w:sz w:val="30"/>
          <w:szCs w:val="30"/>
          <w:lang w:val="en-US" w:eastAsia="zh-CN"/>
        </w:rPr>
        <w:t>该项目2022年共计发放2261.58万元，</w:t>
      </w:r>
      <w:r>
        <w:rPr>
          <w:rFonts w:hint="eastAsia" w:ascii="Times New Roman" w:hAnsi="Times New Roman" w:eastAsia="方正仿宋_GBK" w:cs="Times New Roman"/>
          <w:color w:val="auto"/>
          <w:kern w:val="2"/>
          <w:sz w:val="30"/>
          <w:szCs w:val="30"/>
          <w:highlight w:val="none"/>
          <w:lang w:val="en-US" w:eastAsia="zh-CN" w:bidi="ar-SA"/>
        </w:rPr>
        <w:t>县级承担20%即452.32万元，县级资金到位339.58万元，资金到位率75.08%。</w:t>
      </w:r>
    </w:p>
    <w:p>
      <w:pPr>
        <w:bidi w:val="0"/>
        <w:rPr>
          <w:rFonts w:hint="default"/>
          <w:lang w:val="en-US" w:eastAsia="zh-CN"/>
        </w:rPr>
      </w:pPr>
      <w:r>
        <w:rPr>
          <w:rFonts w:hint="eastAsia"/>
          <w:lang w:val="en-US" w:eastAsia="zh-CN"/>
        </w:rPr>
        <w:t>3.残疾人参与社会活动的能力相对较弱。</w:t>
      </w:r>
    </w:p>
    <w:p>
      <w:pPr>
        <w:rPr>
          <w:rFonts w:hint="eastAsia" w:asciiTheme="majorEastAsia" w:hAnsiTheme="majorEastAsia" w:eastAsiaTheme="majorEastAsia" w:cstheme="majorEastAsia"/>
          <w:b/>
          <w:bCs/>
          <w:sz w:val="32"/>
          <w:szCs w:val="32"/>
          <w:lang w:val="en-US" w:eastAsia="zh-CN"/>
        </w:rPr>
      </w:pPr>
      <w:r>
        <w:rPr>
          <w:rFonts w:hint="eastAsia" w:ascii="Times New Roman" w:hAnsi="Times New Roman" w:eastAsia="方正仿宋_GBK" w:cs="Times New Roman"/>
          <w:spacing w:val="0"/>
          <w:kern w:val="0"/>
          <w:sz w:val="30"/>
          <w:szCs w:val="30"/>
          <w:lang w:val="en-US" w:eastAsia="zh-CN" w:bidi="zh-CN"/>
        </w:rPr>
        <w:t>残疾人发展能力相对就较弱，通过实地走访 ，目前同心县残疾人主要从事农业种植业、养殖业和传统加工业，或者通过灵活就业获得收入，家庭经济来源单一。同时，由于生理、心理多方面的缺陷，残疾人在医疗、康复和照护方面的费用，要比健康人高。在双重因素下，残疾人的生活困难程度就更高一些，其生活质量更低一些。此外，残疾人群体相对较小，社会关注度较低，他们在社会生活中的相关诉求无法得到充分表达。</w:t>
      </w:r>
    </w:p>
    <w:p>
      <w:pPr>
        <w:pStyle w:val="3"/>
        <w:bidi w:val="0"/>
        <w:rPr>
          <w:rFonts w:hint="default"/>
          <w:lang w:val="en-US" w:eastAsia="zh-CN"/>
        </w:rPr>
      </w:pPr>
      <w:bookmarkStart w:id="169" w:name="_Toc11705"/>
      <w:r>
        <w:rPr>
          <w:rFonts w:hint="eastAsia"/>
          <w:lang w:val="en-US" w:eastAsia="zh-CN"/>
        </w:rPr>
        <w:t>（三）建议</w:t>
      </w:r>
      <w:bookmarkEnd w:id="169"/>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1.按相关要求编制预算。</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eastAsia"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color w:val="auto"/>
          <w:kern w:val="2"/>
          <w:sz w:val="30"/>
          <w:szCs w:val="30"/>
          <w:highlight w:val="none"/>
          <w:lang w:val="en-US" w:eastAsia="zh-CN" w:bidi="ar-SA"/>
        </w:rPr>
        <w:t>建议按《宁夏回族自治区困难残疾人生活补贴办法（修订）》第十二条，《宁夏回族自治区重度残疾人护理补贴办法（修订）》第九条编制预算，根据</w:t>
      </w:r>
      <w:r>
        <w:rPr>
          <w:rFonts w:hint="default" w:ascii="Times New Roman" w:hAnsi="Times New Roman" w:eastAsia="方正仿宋_GBK" w:cs="Times New Roman"/>
          <w:color w:val="auto"/>
          <w:kern w:val="2"/>
          <w:sz w:val="30"/>
          <w:szCs w:val="30"/>
          <w:highlight w:val="none"/>
          <w:lang w:val="en-US" w:eastAsia="zh-CN" w:bidi="ar-SA"/>
        </w:rPr>
        <w:t>困难残疾人生活补贴</w:t>
      </w:r>
      <w:r>
        <w:rPr>
          <w:rFonts w:hint="eastAsia" w:ascii="Times New Roman" w:hAnsi="Times New Roman" w:eastAsia="方正仿宋_GBK" w:cs="Times New Roman"/>
          <w:color w:val="auto"/>
          <w:kern w:val="2"/>
          <w:sz w:val="30"/>
          <w:szCs w:val="30"/>
          <w:highlight w:val="none"/>
          <w:lang w:val="en-US" w:eastAsia="zh-CN" w:bidi="ar-SA"/>
        </w:rPr>
        <w:t>对象人数、困难重度残疾人护理补贴对象人数、补贴标准、补助水平和滚存结余等有关数据，提出下一年度补贴资金预算计划。</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2.县级资金按相关要求分担。</w:t>
      </w:r>
    </w:p>
    <w:p>
      <w:pPr>
        <w:keepNext w:val="0"/>
        <w:keepLines w:val="0"/>
        <w:pageBreakBefore w:val="0"/>
        <w:widowControl/>
        <w:kinsoku/>
        <w:wordWrap/>
        <w:overflowPunct/>
        <w:topLinePunct w:val="0"/>
        <w:autoSpaceDE/>
        <w:autoSpaceDN/>
        <w:bidi w:val="0"/>
        <w:adjustRightInd w:val="0"/>
        <w:snapToGrid w:val="0"/>
        <w:spacing w:line="560" w:lineRule="exact"/>
        <w:ind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建议县级应按</w:t>
      </w:r>
      <w:r>
        <w:rPr>
          <w:rFonts w:hint="eastAsia" w:ascii="Times New Roman" w:hAnsi="Times New Roman" w:eastAsia="方正仿宋_GBK" w:cs="Times New Roman"/>
          <w:kern w:val="0"/>
          <w:sz w:val="30"/>
          <w:szCs w:val="30"/>
          <w:lang w:val="en-US" w:eastAsia="zh-CN" w:bidi="zh-CN"/>
        </w:rPr>
        <w:t>《宁夏回族自治区困难残疾人生活补贴办法（修订）》第六条第二款，《宁夏回族自治区重度残疾人护理补贴办法（修订）》第四条第二款要求分担残疾人“两项补贴”资金。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b/>
          <w:bCs/>
          <w:color w:val="000000"/>
          <w:kern w:val="0"/>
          <w:sz w:val="30"/>
          <w:szCs w:val="30"/>
          <w:lang w:val="en-US" w:eastAsia="zh-CN" w:bidi="ar"/>
        </w:rPr>
      </w:pPr>
      <w:r>
        <w:rPr>
          <w:rFonts w:hint="eastAsia" w:ascii="Times New Roman" w:hAnsi="Times New Roman" w:eastAsia="方正仿宋_GBK" w:cs="Times New Roman"/>
          <w:b/>
          <w:bCs/>
          <w:color w:val="000000"/>
          <w:kern w:val="0"/>
          <w:sz w:val="30"/>
          <w:szCs w:val="30"/>
          <w:lang w:val="en-US" w:eastAsia="zh-CN" w:bidi="ar"/>
        </w:rPr>
        <w:t>3.帮助残疾人增强发展能力。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1）提高残疾人的发展能力，通过普通教育、专业技能培养、适宜的社会化劳动和各类社会活动参与进行锻炼。鼓励企业吸纳残疾学生就业和实习实训，对符合条件的企业减征免征残疾人就业保障金。开展残疾人教育教师培训，创新培养方式，提升教书育人能力素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default"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2）给予就业、创业支持及劳动保护。县政府通过一定的法规，要求各类用人单位按一定的比例安排残疾人就业，尤其要求公共部门和国有企业模范地执行这一规定。对残疾人创业应当给予特别的重视，除了享有一般社会成员创业的扶持政策之外，还需要给残疾人创业以特殊的政策。例如，给予残疾人企业注册登记、信贷服务等方面的支持。残疾劳动者遭遇风险的可能性或严重程度也会更高一些，应当予以残疾人劳动就业相关的基本风险保障制度，并在相关的项目中予以一定的倾斜和优惠。</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04" w:firstLineChars="200"/>
        <w:jc w:val="left"/>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3）加强残疾人事业媒体传播能力建设，办好全国助残日、国际残疾人日等主题宣传活动，支持残疾人题材公益广告、网络视听节目等制作播出。鼓励残联、工会、共青团、妇联、科协、红十字会、慈善总会等群团组织和社会组织、企事业单位、个人等参与实施助残慈善项目。</w:t>
      </w:r>
    </w:p>
    <w:p>
      <w:pPr>
        <w:pStyle w:val="2"/>
        <w:keepNext/>
        <w:keepLines/>
        <w:pageBreakBefore w:val="0"/>
        <w:widowControl w:val="0"/>
        <w:kinsoku/>
        <w:wordWrap/>
        <w:overflowPunct w:val="0"/>
        <w:topLinePunct w:val="0"/>
        <w:autoSpaceDE/>
        <w:autoSpaceDN/>
        <w:bidi w:val="0"/>
        <w:adjustRightInd/>
        <w:snapToGrid/>
        <w:spacing w:beforeLines="0" w:afterLines="0"/>
        <w:ind w:firstLine="644" w:firstLineChars="200"/>
        <w:textAlignment w:val="auto"/>
        <w:rPr>
          <w:rFonts w:hint="eastAsia" w:asciiTheme="majorEastAsia" w:hAnsiTheme="majorEastAsia" w:eastAsiaTheme="majorEastAsia" w:cstheme="majorEastAsia"/>
          <w:b/>
          <w:bCs/>
          <w:sz w:val="32"/>
          <w:szCs w:val="32"/>
          <w:lang w:val="en-US" w:eastAsia="zh-CN"/>
        </w:rPr>
      </w:pPr>
      <w:bookmarkStart w:id="170" w:name="_Toc12641"/>
      <w:r>
        <w:rPr>
          <w:rFonts w:hint="eastAsia" w:asciiTheme="majorEastAsia" w:hAnsiTheme="majorEastAsia" w:eastAsiaTheme="majorEastAsia" w:cstheme="majorEastAsia"/>
          <w:b/>
          <w:bCs/>
          <w:sz w:val="32"/>
          <w:szCs w:val="32"/>
          <w:lang w:val="en-US" w:eastAsia="zh-CN"/>
        </w:rPr>
        <w:t>八、其他需要说明的问题</w:t>
      </w:r>
      <w:bookmarkEnd w:id="170"/>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04"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w:t>
      </w:r>
      <w:r>
        <w:rPr>
          <w:rFonts w:hint="default" w:ascii="Times New Roman" w:hAnsi="Times New Roman" w:eastAsia="方正仿宋_GBK" w:cs="Times New Roman"/>
          <w:color w:val="000000"/>
          <w:kern w:val="0"/>
          <w:sz w:val="30"/>
          <w:szCs w:val="30"/>
          <w:lang w:val="en-US" w:eastAsia="zh-CN" w:bidi="ar"/>
        </w:rPr>
        <w:t>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04"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宁夏2022年同心县困难残疾人生活补助和重度残疾人护理补贴项目补助资金有关的方面。同时评价报告及结论也受评价人员对项目的了解程度、专业知识和评价能力的限制，因此，本绩效评价报告仅对宁夏2022年同心县困难残疾人生活补助和重度残疾人护理补贴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04"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604" w:firstLineChars="200"/>
        <w:jc w:val="both"/>
        <w:textAlignment w:val="auto"/>
        <w:rPr>
          <w:rFonts w:hint="default" w:ascii="Times New Roman" w:hAnsi="Times New Roman" w:eastAsia="方正仿宋_GBK" w:cs="Times New Roman"/>
          <w:color w:val="000000"/>
          <w:kern w:val="0"/>
          <w:sz w:val="30"/>
          <w:szCs w:val="30"/>
          <w:lang w:val="en-US" w:eastAsia="zh-CN" w:bidi="ar"/>
        </w:rPr>
      </w:pPr>
    </w:p>
    <w:p>
      <w:pPr>
        <w:pageBreakBefore w:val="0"/>
        <w:widowControl w:val="0"/>
        <w:kinsoku/>
        <w:wordWrap/>
        <w:overflowPunct/>
        <w:topLinePunct w:val="0"/>
        <w:autoSpaceDE/>
        <w:autoSpaceDN/>
        <w:bidi w:val="0"/>
        <w:adjustRightInd/>
        <w:snapToGrid w:val="0"/>
        <w:spacing w:line="580" w:lineRule="exact"/>
        <w:ind w:firstLine="604" w:firstLineChars="200"/>
        <w:textAlignment w:val="auto"/>
        <w:rPr>
          <w:rFonts w:hint="default" w:ascii="Times New Roman" w:hAnsi="Times New Roman" w:eastAsia="方正仿宋_GBK" w:cs="Times New Roman"/>
          <w:b/>
          <w:bCs/>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firstLine="604" w:firstLineChars="200"/>
        <w:textAlignment w:val="auto"/>
        <w:rPr>
          <w:rFonts w:hint="default" w:ascii="Times New Roman" w:hAnsi="Times New Roman" w:eastAsia="方正仿宋_GBK" w:cs="Times New Roman"/>
          <w:b/>
          <w:bCs/>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firstLine="604" w:firstLineChars="200"/>
        <w:textAlignment w:val="auto"/>
        <w:rPr>
          <w:rFonts w:hint="default"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附件：</w:t>
      </w:r>
      <w:r>
        <w:rPr>
          <w:rFonts w:hint="default" w:ascii="Times New Roman" w:hAnsi="Times New Roman" w:eastAsia="方正仿宋_GBK" w:cs="Times New Roman"/>
          <w:b w:val="0"/>
          <w:bCs w:val="0"/>
          <w:kern w:val="2"/>
          <w:sz w:val="30"/>
          <w:szCs w:val="30"/>
          <w:lang w:val="en-US" w:eastAsia="zh-CN" w:bidi="ar-SA"/>
        </w:rPr>
        <w:t>1.项目绩效评价指标体系</w:t>
      </w:r>
    </w:p>
    <w:p>
      <w:pPr>
        <w:pageBreakBefore w:val="0"/>
        <w:widowControl w:val="0"/>
        <w:kinsoku/>
        <w:wordWrap/>
        <w:overflowPunct/>
        <w:topLinePunct w:val="0"/>
        <w:autoSpaceDE/>
        <w:autoSpaceDN/>
        <w:bidi w:val="0"/>
        <w:adjustRightInd/>
        <w:snapToGrid w:val="0"/>
        <w:spacing w:line="580" w:lineRule="exact"/>
        <w:ind w:firstLine="151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val="0"/>
          <w:bCs w:val="0"/>
          <w:kern w:val="2"/>
          <w:sz w:val="30"/>
          <w:szCs w:val="30"/>
          <w:lang w:val="en-US" w:eastAsia="zh-CN" w:bidi="ar-SA"/>
        </w:rPr>
        <w:t>2.项目访谈方案及访谈记录</w:t>
      </w:r>
    </w:p>
    <w:p>
      <w:pPr>
        <w:pageBreakBefore w:val="0"/>
        <w:widowControl w:val="0"/>
        <w:kinsoku/>
        <w:wordWrap/>
        <w:overflowPunct/>
        <w:topLinePunct w:val="0"/>
        <w:autoSpaceDE/>
        <w:autoSpaceDN/>
        <w:bidi w:val="0"/>
        <w:adjustRightInd/>
        <w:snapToGrid w:val="0"/>
        <w:spacing w:line="580" w:lineRule="exact"/>
        <w:ind w:firstLine="604" w:firstLineChars="200"/>
        <w:textAlignment w:val="auto"/>
        <w:rPr>
          <w:rFonts w:hint="default"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val="0"/>
          <w:bCs w:val="0"/>
          <w:kern w:val="2"/>
          <w:sz w:val="30"/>
          <w:szCs w:val="30"/>
          <w:lang w:val="en-US" w:eastAsia="zh-CN" w:bidi="ar-SA"/>
        </w:rPr>
        <w:t xml:space="preserve">      3.项目问卷调查</w:t>
      </w:r>
    </w:p>
    <w:p>
      <w:pPr>
        <w:pageBreakBefore w:val="0"/>
        <w:widowControl w:val="0"/>
        <w:kinsoku/>
        <w:wordWrap/>
        <w:overflowPunct/>
        <w:topLinePunct w:val="0"/>
        <w:autoSpaceDE/>
        <w:autoSpaceDN/>
        <w:bidi w:val="0"/>
        <w:adjustRightInd/>
        <w:snapToGrid w:val="0"/>
        <w:spacing w:line="580" w:lineRule="exact"/>
        <w:ind w:firstLine="151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604" w:firstLineChars="200"/>
        <w:textAlignment w:val="auto"/>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color w:val="auto"/>
          <w:kern w:val="44"/>
          <w:sz w:val="28"/>
          <w:szCs w:val="28"/>
          <w:shd w:val="clear" w:fill="auto"/>
          <w:lang w:val="en-US" w:eastAsia="zh-CN" w:bidi="zh-CN"/>
        </w:rPr>
      </w:pPr>
    </w:p>
    <w:p>
      <w:pPr>
        <w:rPr>
          <w:rFonts w:hint="default" w:ascii="Times New Roman" w:hAnsi="Times New Roman" w:eastAsia="方正仿宋_GBK" w:cs="Times New Roman"/>
          <w:b w:val="0"/>
          <w:color w:val="auto"/>
          <w:kern w:val="44"/>
          <w:sz w:val="28"/>
          <w:szCs w:val="28"/>
          <w:shd w:val="clear" w:fill="auto"/>
          <w:lang w:val="en-US" w:eastAsia="zh-CN" w:bidi="zh-CN"/>
        </w:rPr>
      </w:pPr>
    </w:p>
    <w:p>
      <w:pPr>
        <w:rPr>
          <w:rFonts w:hint="default" w:ascii="Times New Roman" w:hAnsi="Times New Roman" w:eastAsia="方正仿宋_GBK" w:cs="Times New Roman"/>
          <w:b w:val="0"/>
          <w:color w:val="auto"/>
          <w:kern w:val="44"/>
          <w:sz w:val="28"/>
          <w:szCs w:val="28"/>
          <w:shd w:val="clear" w:fill="auto"/>
          <w:lang w:val="en-US" w:eastAsia="zh-CN" w:bidi="zh-CN"/>
        </w:rPr>
      </w:pPr>
    </w:p>
    <w:p>
      <w:pPr>
        <w:pStyle w:val="3"/>
        <w:rPr>
          <w:rFonts w:hint="default" w:ascii="Times New Roman" w:hAnsi="Times New Roman" w:cs="Times New Roman"/>
          <w:lang w:val="en-US" w:eastAsia="zh-CN"/>
        </w:rPr>
      </w:pPr>
    </w:p>
    <w:p>
      <w:pPr>
        <w:snapToGrid w:val="0"/>
        <w:spacing w:line="560" w:lineRule="exact"/>
        <w:ind w:firstLine="564"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64" w:firstLineChars="200"/>
        <w:textAlignment w:val="auto"/>
        <w:rPr>
          <w:rFonts w:hint="eastAsia"/>
        </w:rPr>
      </w:pPr>
      <w:r>
        <w:rPr>
          <w:rFonts w:hint="eastAsia" w:ascii="Times New Roman" w:hAnsi="Times New Roman" w:eastAsia="方正仿宋_GB2312" w:cs="Times New Roman"/>
          <w:b w:val="0"/>
          <w:sz w:val="28"/>
          <w:szCs w:val="28"/>
          <w:lang w:val="en-US" w:eastAsia="zh-CN"/>
        </w:rPr>
        <w:t xml:space="preserve">                                        </w:t>
      </w:r>
      <w:bookmarkEnd w:id="65"/>
      <w:bookmarkEnd w:id="66"/>
      <w:bookmarkEnd w:id="67"/>
      <w:bookmarkEnd w:id="68"/>
      <w:bookmarkEnd w:id="69"/>
      <w:bookmarkEnd w:id="70"/>
      <w:bookmarkEnd w:id="71"/>
      <w:bookmarkEnd w:id="72"/>
      <w:r>
        <w:rPr>
          <w:rFonts w:hint="eastAsia" w:ascii="Times New Roman" w:hAnsi="Times New Roman" w:eastAsia="方正仿宋_GB2312" w:cs="Times New Roman"/>
          <w:b w:val="0"/>
          <w:sz w:val="28"/>
          <w:szCs w:val="28"/>
          <w:lang w:val="en-US" w:eastAsia="zh-CN"/>
        </w:rPr>
        <w:t>2023年12月31日</w:t>
      </w:r>
      <w:bookmarkEnd w:id="38"/>
      <w:bookmarkEnd w:id="73"/>
      <w:bookmarkStart w:id="171" w:name="_Toc5302"/>
      <w:bookmarkStart w:id="172" w:name="_Toc20313"/>
    </w:p>
    <w:p>
      <w:pPr>
        <w:keepNext w:val="0"/>
        <w:keepLines w:val="0"/>
        <w:pageBreakBefore w:val="0"/>
        <w:widowControl w:val="0"/>
        <w:kinsoku/>
        <w:wordWrap/>
        <w:overflowPunct/>
        <w:topLinePunct w:val="0"/>
        <w:autoSpaceDE/>
        <w:autoSpaceDN/>
        <w:bidi w:val="0"/>
        <w:adjustRightInd/>
        <w:snapToGrid/>
        <w:ind w:firstLine="1610" w:firstLineChars="500"/>
        <w:textAlignment w:val="auto"/>
        <w:rPr>
          <w:rFonts w:hint="eastAsia" w:ascii="仿宋" w:hAnsi="仿宋"/>
          <w:lang w:val="en-US" w:eastAsia="zh-CN"/>
        </w:rPr>
      </w:pPr>
      <w:r>
        <w:rPr>
          <w:rFonts w:hint="eastAsia" w:ascii="仿宋" w:hAnsi="仿宋"/>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04" w:firstLineChars="200"/>
        <w:jc w:val="center"/>
        <w:textAlignment w:val="auto"/>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 xml:space="preserve">     </w:t>
      </w:r>
    </w:p>
    <w:p>
      <w:pPr>
        <w:rPr>
          <w:rFonts w:hint="eastAsia"/>
          <w:lang w:val="en-US" w:eastAsia="zh-CN"/>
        </w:rPr>
      </w:pPr>
      <w:r>
        <w:rPr>
          <w:rFonts w:hint="eastAsia"/>
          <w:lang w:val="en-US" w:eastAsia="zh-CN"/>
        </w:rPr>
        <w:t xml:space="preserve">                    </w:t>
      </w:r>
    </w:p>
    <w:p>
      <w:pPr>
        <w:ind w:left="0" w:leftChars="0" w:firstLine="0" w:firstLineChars="0"/>
        <w:rPr>
          <w:rFonts w:hint="default"/>
          <w:lang w:val="en-US" w:eastAsia="zh-CN"/>
        </w:rPr>
        <w:sectPr>
          <w:headerReference r:id="rId7" w:type="default"/>
          <w:footerReference r:id="rId8" w:type="default"/>
          <w:pgSz w:w="11905" w:h="16838"/>
          <w:pgMar w:top="2098" w:right="1587" w:bottom="2098" w:left="1587" w:header="1191" w:footer="1417" w:gutter="0"/>
          <w:pgNumType w:fmt="decimal" w:start="1"/>
          <w:cols w:space="0" w:num="1"/>
          <w:rtlGutter w:val="0"/>
          <w:docGrid w:type="linesAndChars" w:linePitch="549" w:charSpace="614"/>
        </w:sectPr>
      </w:pPr>
    </w:p>
    <w:bookmarkEnd w:id="171"/>
    <w:bookmarkEnd w:id="172"/>
    <w:p>
      <w:pPr>
        <w:pStyle w:val="21"/>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2022年同心县困难残疾人生活补助和重度残疾人护理补贴项目绩效评价指标体系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2"/>
        <w:tblW w:w="13254"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41"/>
        <w:gridCol w:w="941"/>
        <w:gridCol w:w="941"/>
        <w:gridCol w:w="1716"/>
        <w:gridCol w:w="941"/>
        <w:gridCol w:w="941"/>
        <w:gridCol w:w="4160"/>
        <w:gridCol w:w="172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blHeader/>
        </w:trPr>
        <w:tc>
          <w:tcPr>
            <w:tcW w:w="941"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一级指标</w:t>
            </w:r>
          </w:p>
        </w:tc>
        <w:tc>
          <w:tcPr>
            <w:tcW w:w="941"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二级指标</w:t>
            </w:r>
          </w:p>
        </w:tc>
        <w:tc>
          <w:tcPr>
            <w:tcW w:w="941"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三级指标</w:t>
            </w:r>
          </w:p>
        </w:tc>
        <w:tc>
          <w:tcPr>
            <w:tcW w:w="1716"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指标解释</w:t>
            </w:r>
          </w:p>
        </w:tc>
        <w:tc>
          <w:tcPr>
            <w:tcW w:w="941"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标杆值</w:t>
            </w:r>
          </w:p>
        </w:tc>
        <w:tc>
          <w:tcPr>
            <w:tcW w:w="941"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分值</w:t>
            </w:r>
          </w:p>
        </w:tc>
        <w:tc>
          <w:tcPr>
            <w:tcW w:w="4160"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评价标准</w:t>
            </w:r>
          </w:p>
        </w:tc>
        <w:tc>
          <w:tcPr>
            <w:tcW w:w="1726"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完成情况</w:t>
            </w:r>
          </w:p>
        </w:tc>
        <w:tc>
          <w:tcPr>
            <w:tcW w:w="947" w:type="dxa"/>
            <w:shd w:val="clear" w:color="auto" w:fill="D7D7D7"/>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项目决策（</w:t>
            </w:r>
            <w:r>
              <w:rPr>
                <w:rFonts w:hint="default" w:ascii="Times New Roman" w:hAnsi="Times New Roman" w:eastAsia="方正仿宋_GBK" w:cs="Times New Roman"/>
                <w:spacing w:val="1"/>
                <w:kern w:val="2"/>
                <w:sz w:val="22"/>
                <w:szCs w:val="22"/>
                <w:lang w:val="en-US" w:eastAsia="zh-CN" w:bidi="ar-SA"/>
              </w:rPr>
              <w:t>20</w:t>
            </w:r>
            <w:r>
              <w:rPr>
                <w:rFonts w:hint="eastAsia" w:ascii="Times New Roman" w:hAnsi="Times New Roman" w:eastAsia="方正仿宋_GBK" w:cs="Times New Roman"/>
                <w:spacing w:val="1"/>
                <w:kern w:val="2"/>
                <w:sz w:val="22"/>
                <w:szCs w:val="22"/>
                <w:lang w:val="en-US" w:eastAsia="zh-CN" w:bidi="ar-SA"/>
              </w:rPr>
              <w:t>分）</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项目立项</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实施依据充分性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项目实施是否符合法律法规、相关政策、发展规划以及部门职责，用以反映和考核项目实施依据情况。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充分</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①项目实施是否符合国家法律法规、残疾人保障和发展规划、相关政策；</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该项目符合国家法律法规、国民经济发展规划和相关政策；符合行业发展规划和政策要求；与部门职责密切相关，项目不重复，项目实施依据充分。</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②项目实施是否符合行业发展规划和政策要求；</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③项目实施是否与部门职责范围相符，属于部门履职所需；</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④项目是否属于公共财政支持范围，是否符合中央地方事权支出责任划分原则；</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⑤项目是否与相关部门同类项目或部门内部相关项目重复；</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以上每条要素占权重分的</w:t>
            </w:r>
            <w:r>
              <w:rPr>
                <w:rFonts w:hint="default" w:ascii="Times New Roman" w:hAnsi="Times New Roman" w:eastAsia="方正仿宋_GBK" w:cs="Times New Roman"/>
                <w:spacing w:val="1"/>
                <w:kern w:val="2"/>
                <w:sz w:val="22"/>
                <w:szCs w:val="22"/>
                <w:lang w:val="en-US" w:eastAsia="zh-CN" w:bidi="ar-SA"/>
              </w:rPr>
              <w:t xml:space="preserve"> 20%</w:t>
            </w:r>
            <w:r>
              <w:rPr>
                <w:rFonts w:hint="eastAsia" w:ascii="Times New Roman" w:hAnsi="Times New Roman" w:eastAsia="方正仿宋_GBK" w:cs="Times New Roman"/>
                <w:spacing w:val="1"/>
                <w:kern w:val="2"/>
                <w:sz w:val="22"/>
                <w:szCs w:val="22"/>
                <w:lang w:val="en-US" w:eastAsia="zh-CN" w:bidi="ar-SA"/>
              </w:rPr>
              <w:t>，每有一条不符合扣除对应权重分，扣完为止。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实施程序规范性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项目申请、设立过程是否符合相关要求，用以反映和考核项目实施的规范情况。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规范</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①项目是否按照规定的程序申请设立；</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该项目能够按照相关规定实施。</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②审批文件、材料是否符合相关要求；</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③事前是否已经过必要的可行性研究、专家论证风险评估、绩效前评估、集体决策；</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以上每条要素占权重分的</w:t>
            </w:r>
            <w:r>
              <w:rPr>
                <w:rFonts w:hint="default" w:ascii="Times New Roman" w:hAnsi="Times New Roman" w:eastAsia="方正仿宋_GBK" w:cs="Times New Roman"/>
                <w:spacing w:val="1"/>
                <w:kern w:val="2"/>
                <w:sz w:val="22"/>
                <w:szCs w:val="22"/>
                <w:lang w:val="en-US" w:eastAsia="zh-CN" w:bidi="ar-SA"/>
              </w:rPr>
              <w:t xml:space="preserve"> 1/3</w:t>
            </w:r>
            <w:r>
              <w:rPr>
                <w:rFonts w:hint="eastAsia" w:ascii="Times New Roman" w:hAnsi="Times New Roman" w:eastAsia="方正仿宋_GBK" w:cs="Times New Roman"/>
                <w:spacing w:val="1"/>
                <w:kern w:val="2"/>
                <w:sz w:val="22"/>
                <w:szCs w:val="22"/>
                <w:lang w:val="en-US" w:eastAsia="zh-CN" w:bidi="ar-SA"/>
              </w:rPr>
              <w:t>，每有一条不符合，扣除对应权重分，扣完为止。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绩效目标</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绩效目标合理性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项目所设定的绩效目标是否依据充分是否符合客观实际，用以反映和考核项目绩效目标与项目实施的相符情况。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合理</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①项目是否有绩效目标；</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该项目设定了绩效目标。</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②项目绩效目标与实际工作内容是否具有相关性；</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③项目预期产出效益和效果是否符合正常的业绩水平；</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④是否与预算确定的项目投资额或资金量相匹配；</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以上每条要素各占权重的</w:t>
            </w:r>
            <w:r>
              <w:rPr>
                <w:rFonts w:hint="default" w:ascii="Times New Roman" w:hAnsi="Times New Roman" w:eastAsia="方正仿宋_GBK" w:cs="Times New Roman"/>
                <w:spacing w:val="1"/>
                <w:kern w:val="2"/>
                <w:sz w:val="22"/>
                <w:szCs w:val="22"/>
                <w:lang w:val="en-US" w:eastAsia="zh-CN" w:bidi="ar-SA"/>
              </w:rPr>
              <w:t xml:space="preserve"> 25%</w:t>
            </w:r>
            <w:r>
              <w:rPr>
                <w:rFonts w:hint="eastAsia" w:ascii="Times New Roman" w:hAnsi="Times New Roman" w:eastAsia="方正仿宋_GBK" w:cs="Times New Roman"/>
                <w:spacing w:val="1"/>
                <w:kern w:val="2"/>
                <w:sz w:val="22"/>
                <w:szCs w:val="22"/>
                <w:lang w:val="en-US" w:eastAsia="zh-CN" w:bidi="ar-SA"/>
              </w:rPr>
              <w:t>，每有一条不符合，扣除对应的权重分，扣完为止。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绩效目标明确性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依据绩效目标设定的绩效指标是否清晰、细化、可衡量等，用以反映和考核项目绩效目标的明细化情况。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明确</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①是否将项目绩效目标细化分解为具体的绩效指标；</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该项目编制绩效目标，指标能够清晰、细化、可衡量。</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②是否通过清晰、可衡量的指标值予以体现；</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③是否与项目目标任务数或计划数相对应；</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以上每条要素各占权重的</w:t>
            </w:r>
            <w:r>
              <w:rPr>
                <w:rFonts w:hint="default" w:ascii="Times New Roman" w:hAnsi="Times New Roman" w:eastAsia="方正仿宋_GBK" w:cs="Times New Roman"/>
                <w:spacing w:val="1"/>
                <w:kern w:val="2"/>
                <w:sz w:val="22"/>
                <w:szCs w:val="22"/>
                <w:lang w:val="en-US" w:eastAsia="zh-CN" w:bidi="ar-SA"/>
              </w:rPr>
              <w:t xml:space="preserve"> 1/3</w:t>
            </w:r>
            <w:r>
              <w:rPr>
                <w:rFonts w:hint="eastAsia" w:ascii="Times New Roman" w:hAnsi="Times New Roman" w:eastAsia="方正仿宋_GBK" w:cs="Times New Roman"/>
                <w:spacing w:val="1"/>
                <w:kern w:val="2"/>
                <w:sz w:val="22"/>
                <w:szCs w:val="22"/>
                <w:lang w:val="en-US" w:eastAsia="zh-CN" w:bidi="ar-SA"/>
              </w:rPr>
              <w:t>，每有一条不符合，扣除对应的权重分，扣完为止。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资金投入</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预算编制科学性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项目预算编制是否经过科学论证、有明确标准，资金额度与年度目标是否相适应，用以反映和考核项目预算编制的科学性、合理性情况。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科学</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①预算编制是否经过科学论证；</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该项目预算额度测算依据充分，均按照标准编制，且预算内容与项目内容相匹配，预算确定的项目资金量对应的补贴对象人数。</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②预算内容与项目内容是否匹配；</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③预算额度测算依据是否充分，是否按照标准编制；</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④预算确定的项目投资额或资金量是否与工作任务相匹配；</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以上每条要素各占权重的</w:t>
            </w:r>
            <w:r>
              <w:rPr>
                <w:rFonts w:hint="default" w:ascii="Times New Roman" w:hAnsi="Times New Roman" w:eastAsia="方正仿宋_GBK" w:cs="Times New Roman"/>
                <w:spacing w:val="1"/>
                <w:kern w:val="2"/>
                <w:sz w:val="22"/>
                <w:szCs w:val="22"/>
                <w:lang w:val="en-US" w:eastAsia="zh-CN" w:bidi="ar-SA"/>
              </w:rPr>
              <w:t xml:space="preserve"> 25%</w:t>
            </w:r>
            <w:r>
              <w:rPr>
                <w:rFonts w:hint="eastAsia" w:ascii="Times New Roman" w:hAnsi="Times New Roman" w:eastAsia="方正仿宋_GBK" w:cs="Times New Roman"/>
                <w:spacing w:val="1"/>
                <w:kern w:val="2"/>
                <w:sz w:val="22"/>
                <w:szCs w:val="22"/>
                <w:lang w:val="en-US" w:eastAsia="zh-CN" w:bidi="ar-SA"/>
              </w:rPr>
              <w:t>，每有一条不符合，扣除对应的权重分，扣完为止。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资金分配合理性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项目预算资金分配是否有测算依据，与补助单位或地方实际是否相适应，用以反映和考核项目预算资金分配的科学性、合理性情况。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合理</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2</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①预算资金分配依据是否充分；</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该项目预算分配依据充分，资金分配额度合理，与项目单位及地方实际相适应。</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②资金分配额度是否合理，与项目单位或地方实际是否相适应；</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以上每条要素各占权重的</w:t>
            </w:r>
            <w:r>
              <w:rPr>
                <w:rFonts w:hint="default" w:ascii="Times New Roman" w:hAnsi="Times New Roman" w:eastAsia="方正仿宋_GBK" w:cs="Times New Roman"/>
                <w:spacing w:val="1"/>
                <w:kern w:val="2"/>
                <w:sz w:val="22"/>
                <w:szCs w:val="22"/>
                <w:lang w:val="en-US" w:eastAsia="zh-CN" w:bidi="ar-SA"/>
              </w:rPr>
              <w:t xml:space="preserve"> 50%</w:t>
            </w:r>
            <w:r>
              <w:rPr>
                <w:rFonts w:hint="eastAsia" w:ascii="Times New Roman" w:hAnsi="Times New Roman" w:eastAsia="方正仿宋_GBK" w:cs="Times New Roman"/>
                <w:spacing w:val="1"/>
                <w:kern w:val="2"/>
                <w:sz w:val="22"/>
                <w:szCs w:val="22"/>
                <w:lang w:val="en-US" w:eastAsia="zh-CN" w:bidi="ar-SA"/>
              </w:rPr>
              <w:t>，每有一条不符合，扣除对应的权重分，扣完为止。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0" w:hRule="atLeast"/>
        </w:trPr>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项目过程（</w:t>
            </w:r>
            <w:r>
              <w:rPr>
                <w:rFonts w:hint="default" w:ascii="Times New Roman" w:hAnsi="Times New Roman" w:eastAsia="方正仿宋_GBK" w:cs="Times New Roman"/>
                <w:spacing w:val="1"/>
                <w:kern w:val="2"/>
                <w:sz w:val="22"/>
                <w:szCs w:val="22"/>
                <w:lang w:val="en-US" w:eastAsia="zh-CN" w:bidi="ar-SA"/>
              </w:rPr>
              <w:t>20</w:t>
            </w:r>
            <w:r>
              <w:rPr>
                <w:rFonts w:hint="eastAsia" w:ascii="Times New Roman" w:hAnsi="Times New Roman" w:eastAsia="方正仿宋_GBK" w:cs="Times New Roman"/>
                <w:spacing w:val="1"/>
                <w:kern w:val="2"/>
                <w:sz w:val="22"/>
                <w:szCs w:val="22"/>
                <w:lang w:val="en-US" w:eastAsia="zh-CN" w:bidi="ar-SA"/>
              </w:rPr>
              <w:t>分）</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资金管理</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资金到位率</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实际到位资金与预算资金的比率，用以反映和考核资金落实情况对项目实施的总体保障程度。</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资金到位率</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实际到位资金</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预算资金</w:t>
            </w:r>
            <w:r>
              <w:rPr>
                <w:rFonts w:hint="default" w:ascii="Times New Roman" w:hAnsi="Times New Roman" w:eastAsia="方正仿宋_GBK" w:cs="Times New Roman"/>
                <w:spacing w:val="1"/>
                <w:kern w:val="2"/>
                <w:sz w:val="22"/>
                <w:szCs w:val="22"/>
                <w:lang w:val="en-US" w:eastAsia="zh-CN" w:bidi="ar-SA"/>
              </w:rPr>
              <w:t>)*100%</w:t>
            </w:r>
            <w:r>
              <w:rPr>
                <w:rFonts w:hint="eastAsia" w:ascii="Times New Roman" w:hAnsi="Times New Roman" w:eastAsia="方正仿宋_GBK" w:cs="Times New Roman"/>
                <w:spacing w:val="1"/>
                <w:kern w:val="2"/>
                <w:sz w:val="22"/>
                <w:szCs w:val="22"/>
                <w:lang w:val="en-US" w:eastAsia="zh-CN" w:bidi="ar-SA"/>
              </w:rPr>
              <w:t>；得分=分值*做资金到位率。</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该项目2022年共计发放2261.58万元，根据相关规定县级承担20%即452.32万元，县级资金到位339.58万元，资金到位率75.08%。</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预算执行率</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项目预算资金是否按照计划执行，用以反映或考核项目预算执行情况。</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预算执行率</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实际支出资金</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 xml:space="preserve">实际到位资金 </w:t>
            </w:r>
            <w:r>
              <w:rPr>
                <w:rFonts w:hint="default" w:ascii="Times New Roman" w:hAnsi="Times New Roman" w:eastAsia="方正仿宋_GBK" w:cs="Times New Roman"/>
                <w:spacing w:val="1"/>
                <w:kern w:val="2"/>
                <w:sz w:val="22"/>
                <w:szCs w:val="22"/>
                <w:lang w:val="en-US" w:eastAsia="zh-CN" w:bidi="ar-SA"/>
              </w:rPr>
              <w:t>)x100%</w:t>
            </w:r>
            <w:r>
              <w:rPr>
                <w:rFonts w:hint="eastAsia" w:ascii="Times New Roman" w:hAnsi="Times New Roman" w:eastAsia="方正仿宋_GBK" w:cs="Times New Roman"/>
                <w:spacing w:val="1"/>
                <w:kern w:val="2"/>
                <w:sz w:val="22"/>
                <w:szCs w:val="22"/>
                <w:lang w:val="en-US" w:eastAsia="zh-CN" w:bidi="ar-SA"/>
              </w:rPr>
              <w:t>；得分=分值*预算执行率。</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预算执行率100%</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资金使用合规性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项目资金使用是否符合相关的财务管理制度规定，用以反映和考核项目资金的规范运行情况。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合规</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①是否符合国家财经法规和财务管理制度以及有关专项资金管理办法的规定；</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专项资金的使用符合国家财经法规和财务管理制度以及有关专项资金管理办法的规定；预算分配、拨付均有完整的审批程序和手续；项目支出符合项目预算批复或合同规定的用途；不存在截留、挤占、挪用、虚列支出等情况。</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②资金的拨付是否有完整的审批程序和手续；</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③是否符合项目预算批复或合同规定的用途；</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④是否存在截留、挤占、挪用、虚列支出等情况；</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8"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以上每项指标各占权重分的</w:t>
            </w:r>
            <w:r>
              <w:rPr>
                <w:rFonts w:hint="default" w:ascii="Times New Roman" w:hAnsi="Times New Roman" w:eastAsia="方正仿宋_GBK" w:cs="Times New Roman"/>
                <w:spacing w:val="1"/>
                <w:kern w:val="2"/>
                <w:sz w:val="22"/>
                <w:szCs w:val="22"/>
                <w:lang w:val="en-US" w:eastAsia="zh-CN" w:bidi="ar-SA"/>
              </w:rPr>
              <w:t xml:space="preserve"> 25%</w:t>
            </w:r>
            <w:r>
              <w:rPr>
                <w:rFonts w:hint="eastAsia" w:ascii="Times New Roman" w:hAnsi="Times New Roman" w:eastAsia="方正仿宋_GBK" w:cs="Times New Roman"/>
                <w:spacing w:val="1"/>
                <w:kern w:val="2"/>
                <w:sz w:val="22"/>
                <w:szCs w:val="22"/>
                <w:lang w:val="en-US" w:eastAsia="zh-CN" w:bidi="ar-SA"/>
              </w:rPr>
              <w:t>，要素①②不符合，扣除对应权重分；</w:t>
            </w:r>
            <w:r>
              <w:rPr>
                <w:rFonts w:hint="default" w:ascii="Times New Roman" w:hAnsi="Times New Roman" w:eastAsia="方正仿宋_GBK" w:cs="Times New Roman"/>
                <w:spacing w:val="1"/>
                <w:kern w:val="2"/>
                <w:sz w:val="22"/>
                <w:szCs w:val="22"/>
                <w:lang w:val="en-US" w:eastAsia="zh-CN" w:bidi="ar-SA"/>
              </w:rPr>
              <w:t xml:space="preserve"> </w:t>
            </w:r>
            <w:r>
              <w:rPr>
                <w:rFonts w:hint="eastAsia" w:ascii="Times New Roman" w:hAnsi="Times New Roman" w:eastAsia="方正仿宋_GBK" w:cs="Times New Roman"/>
                <w:spacing w:val="1"/>
                <w:kern w:val="2"/>
                <w:sz w:val="22"/>
                <w:szCs w:val="22"/>
                <w:lang w:val="en-US" w:eastAsia="zh-CN" w:bidi="ar-SA"/>
              </w:rPr>
              <w:t>要素③④不符合属于重大违纪，该指标不得分。</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组织实施</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管理制度健全性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项目实施单位的财务和业务管理制度是否健全，用以反映和考核财务和业务管理制度对项目顺利实施的保障情况。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健全</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2</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①已制定或具有相应的财务和业务管理制度，得 1 分；</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此项目财务和业务管理制度合法、合规、完整。</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 xml:space="preserve">②财务和业务管理制度合法、合规、完整，得 1 分。 </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制度执行有效性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项目实施是否符合相关管理规定，用以反映和考核相关管理制度的有效执行情况。</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有效</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①遵守各项管理制度的规定，得 1 分；</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项目资金管理、资金支付审批手续、档案管理有效执行。</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②项目调整及支出调整手续完备，得1分；</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③项目档案资料齐全并及时归档，得 1 分。</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项目过程合规性</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项目过程是否符合相关规定，用以反映项目过程的合规性。</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合规</w:t>
            </w: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①所有项目无违规现象，得 3分；</w:t>
            </w:r>
          </w:p>
        </w:tc>
        <w:tc>
          <w:tcPr>
            <w:tcW w:w="172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未发现违规现象。</w:t>
            </w:r>
          </w:p>
        </w:tc>
        <w:tc>
          <w:tcPr>
            <w:tcW w:w="947"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②每存在一例违规事项扣 1 分，扣完为止；</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③存在重大违规事项不得分。</w:t>
            </w:r>
          </w:p>
        </w:tc>
        <w:tc>
          <w:tcPr>
            <w:tcW w:w="172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c>
          <w:tcPr>
            <w:tcW w:w="947"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项目产出（</w:t>
            </w:r>
            <w:r>
              <w:rPr>
                <w:rFonts w:hint="default" w:ascii="Times New Roman" w:hAnsi="Times New Roman" w:eastAsia="方正仿宋_GBK" w:cs="Times New Roman"/>
                <w:spacing w:val="1"/>
                <w:kern w:val="2"/>
                <w:sz w:val="22"/>
                <w:szCs w:val="22"/>
                <w:lang w:val="en-US" w:eastAsia="zh-CN" w:bidi="ar-SA"/>
              </w:rPr>
              <w:t>32</w:t>
            </w:r>
            <w:r>
              <w:rPr>
                <w:rFonts w:hint="eastAsia" w:ascii="Times New Roman" w:hAnsi="Times New Roman" w:eastAsia="方正仿宋_GBK" w:cs="Times New Roman"/>
                <w:spacing w:val="1"/>
                <w:kern w:val="2"/>
                <w:sz w:val="22"/>
                <w:szCs w:val="22"/>
                <w:lang w:val="en-US" w:eastAsia="zh-CN" w:bidi="ar-SA"/>
              </w:rPr>
              <w:t>分）</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产出数量</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补贴计划完成率</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考察残疾人补贴项目的计划完成情况。</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补贴计划完成率=已完成补贴人数/计划补贴人数*100%。得分=分值*补贴计划完成率</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按计划工作完成补贴人数</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产出质量</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残疾人“两项补贴”应补尽补率</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考察对不符合条件的是否应退则退，符合条件的是否应补尽补。</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不符合条件的及时清退，多领取补贴的及时收回，未及时收回每发现一例扣1分，扣完为止。</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实现应补尽补，应退则退</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6"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产出时效</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计划工作完成及时率</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考察年度工作任务完成的及时情况</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计划工作完成及时率=及时完成的计划工作量/所有完成的工作量*100%。得分=分值*计划工作完成及时率。</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及时发放残疾人“两项补贴”</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产出成本</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补贴标准</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考察补贴是否按规定执行，是否超标或低于标准。</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110</w:t>
            </w:r>
            <w:r>
              <w:rPr>
                <w:rFonts w:hint="eastAsia" w:ascii="Times New Roman" w:hAnsi="Times New Roman" w:eastAsia="方正仿宋_GBK" w:cs="Times New Roman"/>
                <w:spacing w:val="1"/>
                <w:kern w:val="2"/>
                <w:sz w:val="22"/>
                <w:szCs w:val="22"/>
                <w:lang w:val="en-US" w:eastAsia="zh-CN" w:bidi="ar-SA"/>
              </w:rPr>
              <w:t>元</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月</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人</w:t>
            </w:r>
            <w:r>
              <w:rPr>
                <w:rFonts w:hint="default" w:ascii="Times New Roman" w:hAnsi="Times New Roman" w:eastAsia="方正仿宋_GBK" w:cs="Times New Roman"/>
                <w:spacing w:val="1"/>
                <w:kern w:val="2"/>
                <w:sz w:val="22"/>
                <w:szCs w:val="22"/>
                <w:lang w:val="en-US" w:eastAsia="zh-CN" w:bidi="ar-SA"/>
              </w:rPr>
              <w:t>&amp;120</w:t>
            </w:r>
            <w:r>
              <w:rPr>
                <w:rFonts w:hint="eastAsia" w:ascii="Times New Roman" w:hAnsi="Times New Roman" w:eastAsia="方正仿宋_GBK" w:cs="Times New Roman"/>
                <w:spacing w:val="1"/>
                <w:kern w:val="2"/>
                <w:sz w:val="22"/>
                <w:szCs w:val="22"/>
                <w:lang w:val="en-US" w:eastAsia="zh-CN" w:bidi="ar-SA"/>
              </w:rPr>
              <w:t>元</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月</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人</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未按规定标准补贴每发现一例扣1分，扣完为止。困难残疾人生活补助110元/月•人，重度残疾人护理补助120元/月•人。</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按规定标准发放补贴</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社会效益</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困难残疾人生活水平改善程度</w:t>
            </w:r>
          </w:p>
        </w:tc>
        <w:tc>
          <w:tcPr>
            <w:tcW w:w="1716"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项目实施对残疾人生活改善程度。</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改善</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5</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①问卷调查结果在 95%以上（含）得 5 分；</w:t>
            </w:r>
            <w:r>
              <w:rPr>
                <w:rFonts w:hint="eastAsia" w:ascii="Times New Roman" w:hAnsi="Times New Roman" w:eastAsia="方正仿宋_GBK" w:cs="Times New Roman"/>
                <w:spacing w:val="1"/>
                <w:kern w:val="2"/>
                <w:sz w:val="22"/>
                <w:szCs w:val="22"/>
                <w:lang w:val="en-US" w:eastAsia="zh-CN" w:bidi="ar-SA"/>
              </w:rPr>
              <w:br w:type="textWrapping"/>
            </w:r>
            <w:r>
              <w:rPr>
                <w:rFonts w:hint="eastAsia" w:ascii="Times New Roman" w:hAnsi="Times New Roman" w:eastAsia="方正仿宋_GBK" w:cs="Times New Roman"/>
                <w:spacing w:val="1"/>
                <w:kern w:val="2"/>
                <w:sz w:val="22"/>
                <w:szCs w:val="22"/>
                <w:lang w:val="en-US" w:eastAsia="zh-CN" w:bidi="ar-SA"/>
              </w:rPr>
              <w:t>②问卷调查结果在 95%—90%（含）的，得 4 分；</w:t>
            </w:r>
            <w:r>
              <w:rPr>
                <w:rFonts w:hint="eastAsia" w:ascii="Times New Roman" w:hAnsi="Times New Roman" w:eastAsia="方正仿宋_GBK" w:cs="Times New Roman"/>
                <w:spacing w:val="1"/>
                <w:kern w:val="2"/>
                <w:sz w:val="22"/>
                <w:szCs w:val="22"/>
                <w:lang w:val="en-US" w:eastAsia="zh-CN" w:bidi="ar-SA"/>
              </w:rPr>
              <w:br w:type="textWrapping"/>
            </w:r>
            <w:r>
              <w:rPr>
                <w:rFonts w:hint="eastAsia" w:ascii="Times New Roman" w:hAnsi="Times New Roman" w:eastAsia="方正仿宋_GBK" w:cs="Times New Roman"/>
                <w:spacing w:val="1"/>
                <w:kern w:val="2"/>
                <w:sz w:val="22"/>
                <w:szCs w:val="22"/>
                <w:lang w:val="en-US" w:eastAsia="zh-CN" w:bidi="ar-SA"/>
              </w:rPr>
              <w:t>③问卷调查结果在 90%—85%（含）的，得 3 分；低于 85%的，得 2 分。</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困难残疾人生活补贴满意度为91.5%</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重度残疾人护理水平提高程度</w:t>
            </w:r>
          </w:p>
        </w:tc>
        <w:tc>
          <w:tcPr>
            <w:tcW w:w="1716"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改善</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5</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①问卷调查结果在 95%以上（含）得 5 分；</w:t>
            </w:r>
            <w:r>
              <w:rPr>
                <w:rFonts w:hint="eastAsia" w:ascii="Times New Roman" w:hAnsi="Times New Roman" w:eastAsia="方正仿宋_GBK" w:cs="Times New Roman"/>
                <w:spacing w:val="1"/>
                <w:kern w:val="2"/>
                <w:sz w:val="22"/>
                <w:szCs w:val="22"/>
                <w:lang w:val="en-US" w:eastAsia="zh-CN" w:bidi="ar-SA"/>
              </w:rPr>
              <w:br w:type="textWrapping"/>
            </w:r>
            <w:r>
              <w:rPr>
                <w:rFonts w:hint="eastAsia" w:ascii="Times New Roman" w:hAnsi="Times New Roman" w:eastAsia="方正仿宋_GBK" w:cs="Times New Roman"/>
                <w:spacing w:val="1"/>
                <w:kern w:val="2"/>
                <w:sz w:val="22"/>
                <w:szCs w:val="22"/>
                <w:lang w:val="en-US" w:eastAsia="zh-CN" w:bidi="ar-SA"/>
              </w:rPr>
              <w:t>②问卷调查结果在 95%—90%（含）的，得 4 分；</w:t>
            </w:r>
            <w:r>
              <w:rPr>
                <w:rFonts w:hint="eastAsia" w:ascii="Times New Roman" w:hAnsi="Times New Roman" w:eastAsia="方正仿宋_GBK" w:cs="Times New Roman"/>
                <w:spacing w:val="1"/>
                <w:kern w:val="2"/>
                <w:sz w:val="22"/>
                <w:szCs w:val="22"/>
                <w:lang w:val="en-US" w:eastAsia="zh-CN" w:bidi="ar-SA"/>
              </w:rPr>
              <w:br w:type="textWrapping"/>
            </w:r>
            <w:r>
              <w:rPr>
                <w:rFonts w:hint="eastAsia" w:ascii="Times New Roman" w:hAnsi="Times New Roman" w:eastAsia="方正仿宋_GBK" w:cs="Times New Roman"/>
                <w:spacing w:val="1"/>
                <w:kern w:val="2"/>
                <w:sz w:val="22"/>
                <w:szCs w:val="22"/>
                <w:lang w:val="en-US" w:eastAsia="zh-CN" w:bidi="ar-SA"/>
              </w:rPr>
              <w:t>③问卷调查结果在 90%—85%（含）的，得 3 分；低于 85%的，得 2 分。</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重度残疾人护理补贴满意度为90.2%</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1"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可持续影响</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机制维护健全性</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项目实施所产生的可持续影响。</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健全</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5</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评价要点：项目长效管理机制是否健全且执行有效。                                                评价方法：通过项目资料核查，符合并达到评价要点要求，获得对应指标分值；否则根据实际核查结果酌情扣分。</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该项目是建立健全残疾人补贴保障体系的重要内容，也是国家的重点项目，政策制度持续执行，两项补贴能持续发放。</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带动全社会积极参与和支持</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社会对残疾人事业参与度。</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逐步提高</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5</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①通过多种方式，利用各类媒体对“两项补贴”项目及其积极意义进行宣传，得 3 分 ；                                       ②带动其他社会组织积极参与，支持“两项补贴”的建设，得 2分。</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残疾人群体相对较小，社会关注度较低</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6" w:hRule="atLeast"/>
        </w:trPr>
        <w:tc>
          <w:tcPr>
            <w:tcW w:w="941"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满意度</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受益对象满意度</w:t>
            </w:r>
          </w:p>
        </w:tc>
        <w:tc>
          <w:tcPr>
            <w:tcW w:w="171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项目实施地周边市民满意度</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≥90</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通过发放满意度问卷调查，进行测评。评价要点：满意度</w:t>
            </w:r>
            <w:r>
              <w:rPr>
                <w:rFonts w:hint="default" w:ascii="Times New Roman" w:hAnsi="Times New Roman" w:eastAsia="方正仿宋_GBK" w:cs="Times New Roman"/>
                <w:spacing w:val="1"/>
                <w:kern w:val="2"/>
                <w:sz w:val="22"/>
                <w:szCs w:val="22"/>
                <w:lang w:val="en-US" w:eastAsia="zh-CN" w:bidi="ar-SA"/>
              </w:rPr>
              <w:t>&gt;90</w:t>
            </w:r>
            <w:r>
              <w:rPr>
                <w:rFonts w:hint="eastAsia" w:ascii="Times New Roman" w:hAnsi="Times New Roman" w:eastAsia="方正仿宋_GBK" w:cs="Times New Roman"/>
                <w:spacing w:val="1"/>
                <w:kern w:val="2"/>
                <w:sz w:val="22"/>
                <w:szCs w:val="22"/>
                <w:lang w:val="en-US" w:eastAsia="zh-CN" w:bidi="ar-SA"/>
              </w:rPr>
              <w:t>分。</w:t>
            </w: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满意度90.6</w:t>
            </w:r>
            <w:r>
              <w:rPr>
                <w:rFonts w:hint="default" w:ascii="Times New Roman" w:hAnsi="Times New Roman" w:eastAsia="方正仿宋_GBK" w:cs="Times New Roman"/>
                <w:spacing w:val="1"/>
                <w:kern w:val="2"/>
                <w:sz w:val="22"/>
                <w:szCs w:val="22"/>
                <w:lang w:val="en-US" w:eastAsia="zh-CN" w:bidi="ar-SA"/>
              </w:rPr>
              <w:t>%</w:t>
            </w:r>
            <w:r>
              <w:rPr>
                <w:rFonts w:hint="eastAsia" w:ascii="Times New Roman" w:hAnsi="Times New Roman" w:eastAsia="方正仿宋_GBK" w:cs="Times New Roman"/>
                <w:spacing w:val="1"/>
                <w:kern w:val="2"/>
                <w:sz w:val="22"/>
                <w:szCs w:val="22"/>
                <w:lang w:val="en-US" w:eastAsia="zh-CN" w:bidi="ar-SA"/>
              </w:rPr>
              <w:t>。</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8" w:hRule="atLeast"/>
        </w:trPr>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w:t>
            </w:r>
          </w:p>
        </w:tc>
        <w:tc>
          <w:tcPr>
            <w:tcW w:w="4539" w:type="dxa"/>
            <w:gridSpan w:val="4"/>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合计</w:t>
            </w:r>
          </w:p>
        </w:tc>
        <w:tc>
          <w:tcPr>
            <w:tcW w:w="941"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100</w:t>
            </w:r>
          </w:p>
        </w:tc>
        <w:tc>
          <w:tcPr>
            <w:tcW w:w="4160"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方正仿宋_GBK" w:cs="Times New Roman"/>
                <w:spacing w:val="1"/>
                <w:kern w:val="2"/>
                <w:sz w:val="22"/>
                <w:szCs w:val="22"/>
                <w:lang w:val="en-US" w:eastAsia="zh-CN" w:bidi="ar-SA"/>
              </w:rPr>
            </w:pPr>
          </w:p>
        </w:tc>
        <w:tc>
          <w:tcPr>
            <w:tcW w:w="1726"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eastAsia" w:ascii="Times New Roman" w:hAnsi="Times New Roman" w:eastAsia="方正仿宋_GBK" w:cs="Times New Roman"/>
                <w:spacing w:val="1"/>
                <w:kern w:val="2"/>
                <w:sz w:val="22"/>
                <w:szCs w:val="22"/>
                <w:lang w:val="en-US" w:eastAsia="zh-CN" w:bidi="ar-SA"/>
              </w:rPr>
              <w:t>-</w:t>
            </w:r>
          </w:p>
        </w:tc>
        <w:tc>
          <w:tcPr>
            <w:tcW w:w="947"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K" w:cs="Times New Roman"/>
                <w:spacing w:val="1"/>
                <w:kern w:val="2"/>
                <w:sz w:val="22"/>
                <w:szCs w:val="22"/>
                <w:lang w:val="en-US" w:eastAsia="zh-CN" w:bidi="ar-SA"/>
              </w:rPr>
            </w:pPr>
            <w:r>
              <w:rPr>
                <w:rFonts w:hint="default" w:ascii="Times New Roman" w:hAnsi="Times New Roman" w:eastAsia="方正仿宋_GBK" w:cs="Times New Roman"/>
                <w:spacing w:val="1"/>
                <w:kern w:val="2"/>
                <w:sz w:val="22"/>
                <w:szCs w:val="22"/>
                <w:lang w:val="en-US" w:eastAsia="zh-CN" w:bidi="ar-SA"/>
              </w:rPr>
              <w:t>93.5</w:t>
            </w:r>
          </w:p>
        </w:tc>
      </w:tr>
    </w:tbl>
    <w:p>
      <w:pPr>
        <w:rPr>
          <w:rFonts w:hint="eastAsia"/>
          <w:lang w:val="en-US" w:eastAsia="zh-CN"/>
        </w:rPr>
      </w:pPr>
    </w:p>
    <w:p>
      <w:pPr>
        <w:rPr>
          <w:rFonts w:hint="default"/>
          <w:lang w:val="en-US" w:eastAsia="zh-CN"/>
        </w:rPr>
      </w:pPr>
    </w:p>
    <w:p>
      <w:pPr>
        <w:rPr>
          <w:rFonts w:hint="eastAsia"/>
          <w:lang w:val="en-US" w:eastAsia="zh-CN"/>
        </w:rPr>
      </w:pPr>
    </w:p>
    <w:p>
      <w:pPr>
        <w:rPr>
          <w:rFonts w:hint="eastAsia"/>
          <w:lang w:val="en-US" w:eastAsia="zh-CN"/>
        </w:rPr>
        <w:sectPr>
          <w:headerReference r:id="rId9" w:type="default"/>
          <w:pgSz w:w="16838" w:h="11905" w:orient="landscape"/>
          <w:pgMar w:top="1587" w:right="2098" w:bottom="1587" w:left="2098" w:header="1191" w:footer="935" w:gutter="0"/>
          <w:pgNumType w:fmt="decimal"/>
          <w:cols w:space="0" w:num="1"/>
          <w:rtlGutter w:val="0"/>
          <w:docGrid w:type="linesAndChars" w:linePitch="549" w:charSpace="614"/>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2022年同心县困难残疾人生活补助和重度残疾人护理补贴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项目访谈方案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4"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04" w:firstLineChars="200"/>
        <w:textAlignment w:val="auto"/>
        <w:rPr>
          <w:rFonts w:hint="eastAsia" w:ascii="方正仿宋_GBK" w:hAnsi="方正仿宋_GBK" w:eastAsia="方正仿宋_GBK" w:cs="方正仿宋_GBK"/>
          <w:color w:val="000000"/>
          <w:sz w:val="30"/>
          <w:szCs w:val="30"/>
        </w:rPr>
      </w:pP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lang w:val="en-US" w:eastAsia="zh-CN"/>
        </w:rPr>
        <w:t>一</w:t>
      </w: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default"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同心县民政局项目负责人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04" w:firstLineChars="200"/>
        <w:textAlignment w:val="auto"/>
        <w:rPr>
          <w:rStyle w:val="25"/>
          <w:rFonts w:hint="eastAsia" w:ascii="方正仿宋_GBK" w:hAnsi="方正仿宋_GBK" w:eastAsia="方正仿宋_GBK" w:cs="方正仿宋_GBK"/>
          <w:color w:val="000000"/>
          <w:sz w:val="30"/>
          <w:szCs w:val="30"/>
        </w:rPr>
      </w:pP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lang w:val="en-US" w:eastAsia="zh-CN"/>
        </w:rPr>
        <w:t>二</w:t>
      </w: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04"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04" w:firstLineChars="200"/>
        <w:textAlignment w:val="auto"/>
        <w:rPr>
          <w:rFonts w:hint="eastAsia" w:ascii="方正仿宋_GBK" w:hAnsi="方正仿宋_GBK" w:eastAsia="方正仿宋_GBK" w:cs="方正仿宋_GBK"/>
          <w:color w:val="000000"/>
          <w:sz w:val="30"/>
          <w:szCs w:val="30"/>
        </w:rPr>
      </w:pP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lang w:val="en-US" w:eastAsia="zh-CN"/>
        </w:rPr>
        <w:t>三</w:t>
      </w: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604"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04" w:firstLineChars="200"/>
        <w:textAlignment w:val="auto"/>
        <w:rPr>
          <w:rStyle w:val="25"/>
          <w:rFonts w:hint="eastAsia" w:ascii="方正仿宋_GBK" w:hAnsi="方正仿宋_GBK" w:eastAsia="方正仿宋_GBK" w:cs="方正仿宋_GBK"/>
          <w:color w:val="000000"/>
          <w:sz w:val="30"/>
          <w:szCs w:val="30"/>
          <w:lang w:val="en-US" w:eastAsia="zh-CN"/>
        </w:rPr>
      </w:pPr>
      <w:r>
        <w:rPr>
          <w:rStyle w:val="25"/>
          <w:rFonts w:hint="eastAsia" w:ascii="方正仿宋_GBK" w:hAnsi="方正仿宋_GBK" w:eastAsia="方正仿宋_GBK" w:cs="方正仿宋_GBK"/>
          <w:color w:val="000000"/>
          <w:sz w:val="30"/>
          <w:szCs w:val="30"/>
          <w:lang w:eastAsia="zh-CN"/>
        </w:rPr>
        <w:t>（</w:t>
      </w:r>
      <w:r>
        <w:rPr>
          <w:rStyle w:val="25"/>
          <w:rFonts w:hint="eastAsia" w:ascii="方正仿宋_GBK" w:hAnsi="方正仿宋_GBK" w:eastAsia="方正仿宋_GBK" w:cs="方正仿宋_GBK"/>
          <w:color w:val="000000"/>
          <w:sz w:val="30"/>
          <w:szCs w:val="30"/>
          <w:lang w:val="en-US" w:eastAsia="zh-CN"/>
        </w:rPr>
        <w:t>四</w:t>
      </w:r>
      <w:r>
        <w:rPr>
          <w:rStyle w:val="25"/>
          <w:rFonts w:hint="eastAsia" w:ascii="方正仿宋_GBK" w:hAnsi="方正仿宋_GBK" w:eastAsia="方正仿宋_GBK" w:cs="方正仿宋_GBK"/>
          <w:color w:val="000000"/>
          <w:sz w:val="30"/>
          <w:szCs w:val="30"/>
          <w:lang w:eastAsia="zh-CN"/>
        </w:rPr>
        <w:t>）访谈</w:t>
      </w:r>
      <w:r>
        <w:rPr>
          <w:rStyle w:val="25"/>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.请简要介绍一下宁夏2022年同心县困难残疾人生活补助和重度残疾人护理补贴项目实施中主要负责的工作内容？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default" w:ascii="Times New Roman" w:hAnsi="Times New Roman" w:eastAsia="方正仿宋_GBK" w:cs="Times New Roman"/>
          <w:b w:val="0"/>
          <w:bCs w:val="0"/>
          <w:kern w:val="0"/>
          <w:sz w:val="30"/>
          <w:szCs w:val="30"/>
          <w:lang w:val="de-DE" w:eastAsia="zh-CN" w:bidi="zh-CN"/>
        </w:rPr>
      </w:pPr>
      <w:bookmarkStart w:id="173" w:name="_Toc396323558"/>
      <w:bookmarkStart w:id="174" w:name="_Toc385352814"/>
      <w:bookmarkStart w:id="175" w:name="_Toc385522401"/>
      <w:bookmarkStart w:id="176" w:name="_Toc393466358"/>
      <w:bookmarkStart w:id="177" w:name="_Toc385521993"/>
      <w:bookmarkStart w:id="178" w:name="_Toc387361423"/>
      <w:bookmarkStart w:id="179" w:name="_Toc390983233"/>
      <w:r>
        <w:rPr>
          <w:rFonts w:hint="default" w:ascii="Times New Roman" w:hAnsi="Times New Roman" w:eastAsia="方正仿宋_GBK" w:cs="Times New Roman"/>
          <w:b w:val="0"/>
          <w:bCs w:val="0"/>
          <w:kern w:val="0"/>
          <w:sz w:val="30"/>
          <w:szCs w:val="30"/>
          <w:lang w:val="en-US" w:eastAsia="zh-CN" w:bidi="zh-CN"/>
        </w:rPr>
        <w:t>3.项目实施效果和意义，</w:t>
      </w:r>
      <w:r>
        <w:rPr>
          <w:rFonts w:hint="default"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4.请您简要介绍</w:t>
      </w:r>
      <w:r>
        <w:rPr>
          <w:rFonts w:hint="default" w:ascii="Times New Roman" w:hAnsi="Times New Roman" w:eastAsia="方正仿宋_GBK" w:cs="Times New Roman"/>
          <w:b w:val="0"/>
          <w:bCs w:val="0"/>
          <w:kern w:val="0"/>
          <w:sz w:val="30"/>
          <w:szCs w:val="30"/>
          <w:lang w:val="de-DE" w:eastAsia="zh-CN" w:bidi="zh-CN"/>
        </w:rPr>
        <w:t>项目</w:t>
      </w:r>
      <w:r>
        <w:rPr>
          <w:rFonts w:hint="default"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bookmarkEnd w:id="173"/>
    <w:bookmarkEnd w:id="174"/>
    <w:bookmarkEnd w:id="175"/>
    <w:bookmarkEnd w:id="176"/>
    <w:bookmarkEnd w:id="177"/>
    <w:bookmarkEnd w:id="178"/>
    <w:bookmarkEnd w:id="179"/>
    <w:p>
      <w:pPr>
        <w:keepNext w:val="0"/>
        <w:keepLines w:val="0"/>
        <w:pageBreakBefore w:val="0"/>
        <w:widowControl w:val="0"/>
        <w:kinsoku/>
        <w:wordWrap/>
        <w:overflowPunct/>
        <w:topLinePunct w:val="0"/>
        <w:autoSpaceDE w:val="0"/>
        <w:autoSpaceDN w:val="0"/>
        <w:bidi w:val="0"/>
        <w:adjustRightInd/>
        <w:snapToGrid/>
        <w:spacing w:line="560" w:lineRule="exact"/>
        <w:ind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6.项目过程中都有哪些好的经验做法？项目开展都有哪些难点和建议？</w:t>
      </w:r>
    </w:p>
    <w:p>
      <w:pPr>
        <w:pStyle w:val="3"/>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3"/>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3"/>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3"/>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3"/>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sectPr>
          <w:pgSz w:w="11905" w:h="16838"/>
          <w:pgMar w:top="2098" w:right="1587" w:bottom="2098" w:left="1587" w:header="1191" w:footer="935" w:gutter="0"/>
          <w:pgNumType w:fmt="decimal"/>
          <w:cols w:space="0" w:num="1"/>
          <w:rtlGutter w:val="0"/>
          <w:docGrid w:type="linesAndChars" w:linePitch="549" w:charSpace="614"/>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附件3</w:t>
      </w:r>
    </w:p>
    <w:p>
      <w:pPr>
        <w:ind w:left="0" w:leftChars="0" w:firstLine="0" w:firstLineChars="0"/>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同心县民政局2022年困难残疾人生活补助和重度残疾人护理补贴项目调查问卷样本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2022年同心县困难残疾人生活补助和重度残疾人护理补贴项目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请问您的年龄？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□20岁以下   □21-40岁  □41-60岁  □61岁以上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2.</w:t>
      </w:r>
      <w:r>
        <w:rPr>
          <w:rFonts w:hint="eastAsia" w:ascii="Times New Roman" w:hAnsi="Times New Roman" w:cs="Times New Roman"/>
          <w:sz w:val="30"/>
          <w:szCs w:val="30"/>
          <w:lang w:val="en-US" w:eastAsia="zh-CN"/>
        </w:rPr>
        <w:t>请问您的文化程度？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□中专及以下 □大专   □本科     □研究生及以上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3.</w:t>
      </w:r>
      <w:r>
        <w:rPr>
          <w:rFonts w:hint="eastAsia" w:ascii="Times New Roman" w:hAnsi="Times New Roman" w:cs="Times New Roman"/>
          <w:b w:val="0"/>
          <w:bCs w:val="0"/>
          <w:sz w:val="30"/>
          <w:szCs w:val="30"/>
          <w:lang w:val="en-US" w:eastAsia="zh-CN"/>
        </w:rPr>
        <w:t>请问</w:t>
      </w:r>
      <w:r>
        <w:rPr>
          <w:rFonts w:hint="eastAsia" w:ascii="Times New Roman" w:hAnsi="Times New Roman" w:cs="Times New Roman"/>
          <w:sz w:val="30"/>
          <w:szCs w:val="30"/>
          <w:lang w:val="en-US" w:eastAsia="zh-CN"/>
        </w:rPr>
        <w:t>您是否为同心县当地居民？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（二）基本问题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1.您是否了解残疾人“两项补贴”政策？</w:t>
      </w:r>
    </w:p>
    <w:p>
      <w:pPr>
        <w:rPr>
          <w:rFonts w:hint="eastAsia" w:ascii="仿宋" w:hAnsi="仿宋" w:eastAsia="仿宋" w:cs="仿宋"/>
          <w:b w:val="0"/>
          <w:bCs w:val="0"/>
          <w:sz w:val="32"/>
          <w:szCs w:val="32"/>
          <w:lang w:val="en-US" w:eastAsia="zh-CN"/>
        </w:rPr>
      </w:pP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 xml:space="preserve">非常了解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 xml:space="preserve">了解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不了解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2.请问通过审批领取残疾人补贴的人员名单是否公示？（如村部宣传栏）</w:t>
      </w:r>
    </w:p>
    <w:p>
      <w:pPr>
        <w:rPr>
          <w:rFonts w:hint="default" w:ascii="仿宋" w:hAnsi="仿宋" w:eastAsia="仿宋" w:cs="仿宋"/>
          <w:b w:val="0"/>
          <w:bCs w:val="0"/>
          <w:sz w:val="32"/>
          <w:szCs w:val="32"/>
          <w:lang w:val="en-US" w:eastAsia="zh-CN"/>
        </w:rPr>
      </w:pPr>
      <w:r>
        <w:rPr>
          <w:rFonts w:hint="eastAsia" w:ascii="Times New Roman" w:hAnsi="Times New Roman" w:cs="Times New Roman"/>
          <w:sz w:val="30"/>
          <w:szCs w:val="30"/>
          <w:lang w:val="en-US" w:eastAsia="zh-CN"/>
        </w:rPr>
        <w:t>□是</w:t>
      </w:r>
      <w:r>
        <w:rPr>
          <w:rFonts w:hint="eastAsia" w:cs="仿宋"/>
          <w:b w:val="0"/>
          <w:bCs w:val="0"/>
          <w:sz w:val="32"/>
          <w:szCs w:val="32"/>
          <w:lang w:val="en-US" w:eastAsia="zh-CN"/>
        </w:rPr>
        <w:t xml:space="preserve">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 xml:space="preserve">否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没关注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3.您享受的残疾人补贴每月是否及时发放？（ ）</w:t>
      </w:r>
    </w:p>
    <w:p>
      <w:pPr>
        <w:rPr>
          <w:rFonts w:hint="default" w:ascii="仿宋" w:hAnsi="仿宋" w:eastAsia="仿宋" w:cs="仿宋"/>
          <w:b w:val="0"/>
          <w:bCs w:val="0"/>
          <w:sz w:val="32"/>
          <w:szCs w:val="32"/>
          <w:lang w:val="en-US" w:eastAsia="zh-CN"/>
        </w:rPr>
      </w:pPr>
      <w:r>
        <w:rPr>
          <w:rFonts w:hint="eastAsia" w:ascii="Times New Roman" w:hAnsi="Times New Roman" w:cs="Times New Roman"/>
          <w:sz w:val="30"/>
          <w:szCs w:val="30"/>
          <w:lang w:val="en-US" w:eastAsia="zh-CN"/>
        </w:rPr>
        <w:t>□</w:t>
      </w:r>
      <w:r>
        <w:rPr>
          <w:rFonts w:hint="eastAsia" w:ascii="Times New Roman" w:hAnsi="Times New Roman" w:eastAsia="方正仿宋_GBK" w:cs="Times New Roman"/>
          <w:b w:val="0"/>
          <w:bCs w:val="0"/>
          <w:kern w:val="0"/>
          <w:sz w:val="30"/>
          <w:szCs w:val="30"/>
          <w:lang w:val="en-US" w:eastAsia="zh-CN" w:bidi="zh-CN"/>
        </w:rPr>
        <w:t xml:space="preserve">及时发放   </w:t>
      </w:r>
      <w:r>
        <w:rPr>
          <w:rFonts w:hint="eastAsia" w:cs="仿宋"/>
          <w:b w:val="0"/>
          <w:bCs w:val="0"/>
          <w:sz w:val="32"/>
          <w:szCs w:val="32"/>
          <w:lang w:val="en-US" w:eastAsia="zh-CN"/>
        </w:rPr>
        <w:t xml:space="preserve">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 xml:space="preserve">偶尔延迟      </w:t>
      </w:r>
      <w:r>
        <w:rPr>
          <w:rFonts w:hint="eastAsia" w:ascii="Times New Roman" w:hAnsi="Times New Roman" w:cs="Times New Roman"/>
          <w:sz w:val="30"/>
          <w:szCs w:val="30"/>
          <w:lang w:val="en-US" w:eastAsia="zh-CN"/>
        </w:rPr>
        <w:t>□</w:t>
      </w:r>
      <w:r>
        <w:rPr>
          <w:rFonts w:hint="eastAsia" w:cs="仿宋"/>
          <w:b w:val="0"/>
          <w:bCs w:val="0"/>
          <w:sz w:val="32"/>
          <w:szCs w:val="32"/>
          <w:lang w:val="en-US" w:eastAsia="zh-CN"/>
        </w:rPr>
        <w:t>经常延迟</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您享受的是哪类补贴？(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cs="Times New Roman"/>
          <w:sz w:val="30"/>
          <w:szCs w:val="30"/>
          <w:lang w:val="en-US" w:eastAsia="zh-CN"/>
        </w:rPr>
        <w:t>□</w:t>
      </w:r>
      <w:r>
        <w:rPr>
          <w:rFonts w:hint="eastAsia" w:ascii="Times New Roman" w:hAnsi="Times New Roman" w:eastAsia="方正仿宋_GBK" w:cs="Times New Roman"/>
          <w:b w:val="0"/>
          <w:bCs w:val="0"/>
          <w:kern w:val="0"/>
          <w:sz w:val="30"/>
          <w:szCs w:val="30"/>
          <w:lang w:val="en-US" w:eastAsia="zh-CN" w:bidi="zh-CN"/>
        </w:rPr>
        <w:t xml:space="preserve">困难残疾人生活补贴（110元/月•人）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default" w:ascii="仿宋" w:hAnsi="仿宋" w:eastAsia="仿宋" w:cs="仿宋"/>
          <w:b w:val="0"/>
          <w:bCs w:val="0"/>
          <w:sz w:val="32"/>
          <w:szCs w:val="32"/>
          <w:lang w:val="en-US" w:eastAsia="zh-CN"/>
        </w:rPr>
      </w:pPr>
      <w:r>
        <w:rPr>
          <w:rFonts w:hint="eastAsia" w:ascii="Times New Roman" w:hAnsi="Times New Roman" w:cs="Times New Roman"/>
          <w:sz w:val="30"/>
          <w:szCs w:val="30"/>
          <w:lang w:val="en-US" w:eastAsia="zh-CN"/>
        </w:rPr>
        <w:t xml:space="preserve">□重度残疾人护理补贴（120元/月•人）  </w:t>
      </w:r>
    </w:p>
    <w:p>
      <w:pPr>
        <w:keepNext w:val="0"/>
        <w:keepLines w:val="0"/>
        <w:pageBreakBefore w:val="0"/>
        <w:widowControl w:val="0"/>
        <w:kinsoku/>
        <w:wordWrap/>
        <w:topLinePunct w:val="0"/>
        <w:bidi w:val="0"/>
        <w:ind w:leftChars="0"/>
        <w:textAlignment w:val="auto"/>
        <w:rPr>
          <w:rFonts w:hint="default" w:ascii="仿宋" w:hAnsi="仿宋" w:eastAsia="仿宋" w:cs="仿宋"/>
          <w:b w:val="0"/>
          <w:bCs w:val="0"/>
          <w:sz w:val="32"/>
          <w:szCs w:val="32"/>
          <w:lang w:val="en-US" w:eastAsia="zh-CN"/>
        </w:rPr>
      </w:pPr>
      <w:r>
        <w:rPr>
          <w:rFonts w:hint="eastAsia" w:ascii="Times New Roman" w:hAnsi="Times New Roman" w:cs="Times New Roman"/>
          <w:sz w:val="30"/>
          <w:szCs w:val="30"/>
          <w:lang w:val="en-US" w:eastAsia="zh-CN"/>
        </w:rPr>
        <w:t>□同时享受“两项补贴”</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您觉得此项补贴对改善您的生活、护理水平是否有作用？（）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 xml:space="preserve">生活水平 </w:t>
      </w:r>
      <w:r>
        <w:rPr>
          <w:rFonts w:hint="eastAsia" w:ascii="Times New Roman" w:hAnsi="Times New Roman" w:cs="Times New Roman"/>
          <w:sz w:val="30"/>
          <w:szCs w:val="30"/>
          <w:lang w:val="en-US" w:eastAsia="zh-CN"/>
        </w:rPr>
        <w:t>□</w:t>
      </w:r>
      <w:r>
        <w:rPr>
          <w:rFonts w:hint="eastAsia" w:ascii="Times New Roman" w:hAnsi="Times New Roman" w:eastAsia="方正仿宋_GBK" w:cs="Times New Roman"/>
          <w:b w:val="0"/>
          <w:bCs w:val="0"/>
          <w:kern w:val="0"/>
          <w:sz w:val="30"/>
          <w:szCs w:val="30"/>
          <w:lang w:val="en-US" w:eastAsia="zh-CN" w:bidi="zh-CN"/>
        </w:rPr>
        <w:t xml:space="preserve">有效改善     </w:t>
      </w:r>
      <w:r>
        <w:rPr>
          <w:rFonts w:hint="eastAsia" w:ascii="Times New Roman" w:hAnsi="Times New Roman" w:cs="Times New Roman"/>
          <w:sz w:val="30"/>
          <w:szCs w:val="30"/>
          <w:lang w:val="en-US" w:eastAsia="zh-CN"/>
        </w:rPr>
        <w:t xml:space="preserve">□效果不明显   </w:t>
      </w:r>
      <w:r>
        <w:rPr>
          <w:rFonts w:hint="eastAsia" w:ascii="Times New Roman" w:hAnsi="Times New Roman" w:eastAsia="方正仿宋_GBK" w:cs="Times New Roman"/>
          <w:b w:val="0"/>
          <w:bCs w:val="0"/>
          <w:kern w:val="0"/>
          <w:sz w:val="30"/>
          <w:szCs w:val="30"/>
          <w:lang w:val="en-US" w:eastAsia="zh-CN" w:bidi="zh-CN"/>
        </w:rPr>
        <w:t xml:space="preserve"> </w:t>
      </w:r>
      <w:r>
        <w:rPr>
          <w:rFonts w:hint="eastAsia" w:ascii="Times New Roman" w:hAnsi="Times New Roman" w:cs="Times New Roman"/>
          <w:sz w:val="30"/>
          <w:szCs w:val="30"/>
          <w:lang w:val="en-US" w:eastAsia="zh-CN"/>
        </w:rPr>
        <w:t>□无效果</w:t>
      </w:r>
      <w:r>
        <w:rPr>
          <w:rFonts w:hint="eastAsia" w:ascii="Times New Roman" w:hAnsi="Times New Roman" w:eastAsia="方正仿宋_GBK" w:cs="Times New Roman"/>
          <w:b w:val="0"/>
          <w:bCs w:val="0"/>
          <w:kern w:val="0"/>
          <w:sz w:val="30"/>
          <w:szCs w:val="30"/>
          <w:lang w:val="en-US" w:eastAsia="zh-CN" w:bidi="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cs="Times New Roman"/>
          <w:sz w:val="30"/>
          <w:szCs w:val="30"/>
          <w:lang w:val="en-US" w:eastAsia="zh-CN"/>
        </w:rPr>
        <w:t>护理水平 □</w:t>
      </w:r>
      <w:r>
        <w:rPr>
          <w:rFonts w:hint="eastAsia" w:ascii="Times New Roman" w:hAnsi="Times New Roman" w:eastAsia="方正仿宋_GBK" w:cs="Times New Roman"/>
          <w:b w:val="0"/>
          <w:bCs w:val="0"/>
          <w:kern w:val="0"/>
          <w:sz w:val="30"/>
          <w:szCs w:val="30"/>
          <w:lang w:val="en-US" w:eastAsia="zh-CN" w:bidi="zh-CN"/>
        </w:rPr>
        <w:t xml:space="preserve">有效改善     </w:t>
      </w:r>
      <w:r>
        <w:rPr>
          <w:rFonts w:hint="eastAsia" w:ascii="Times New Roman" w:hAnsi="Times New Roman" w:cs="Times New Roman"/>
          <w:sz w:val="30"/>
          <w:szCs w:val="30"/>
          <w:lang w:val="en-US" w:eastAsia="zh-CN"/>
        </w:rPr>
        <w:t xml:space="preserve">□效果不明显   </w:t>
      </w:r>
      <w:r>
        <w:rPr>
          <w:rFonts w:hint="eastAsia" w:ascii="Times New Roman" w:hAnsi="Times New Roman" w:eastAsia="方正仿宋_GBK" w:cs="Times New Roman"/>
          <w:b w:val="0"/>
          <w:bCs w:val="0"/>
          <w:kern w:val="0"/>
          <w:sz w:val="30"/>
          <w:szCs w:val="30"/>
          <w:lang w:val="en-US" w:eastAsia="zh-CN" w:bidi="zh-CN"/>
        </w:rPr>
        <w:t xml:space="preserve"> </w:t>
      </w:r>
      <w:r>
        <w:rPr>
          <w:rFonts w:hint="eastAsia" w:ascii="Times New Roman" w:hAnsi="Times New Roman" w:cs="Times New Roman"/>
          <w:sz w:val="30"/>
          <w:szCs w:val="30"/>
          <w:lang w:val="en-US" w:eastAsia="zh-CN"/>
        </w:rPr>
        <w:t>□无效果</w:t>
      </w:r>
      <w:r>
        <w:rPr>
          <w:rFonts w:hint="eastAsia" w:ascii="Times New Roman" w:hAnsi="Times New Roman" w:eastAsia="方正仿宋_GBK" w:cs="Times New Roman"/>
          <w:b w:val="0"/>
          <w:bCs w:val="0"/>
          <w:kern w:val="0"/>
          <w:sz w:val="30"/>
          <w:szCs w:val="30"/>
          <w:lang w:val="en-US" w:eastAsia="zh-CN" w:bidi="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default"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（三）满意度问题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1.您对残疾人“两项补贴”申请和发放流程是否满意？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2.您对残疾人“两项补贴”标准是否满意？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3.您对残疾人“两项补贴”宣传工作是否满意？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53" w:firstLineChars="15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（四）开放问题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04"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您对残疾人“两项补贴”还有什么意见和建议？</w:t>
      </w:r>
    </w:p>
    <w:p>
      <w:pPr>
        <w:pStyle w:val="3"/>
        <w:rPr>
          <w:rFonts w:hint="default" w:ascii="Times New Roman" w:hAnsi="Times New Roman" w:eastAsia="方正仿宋_GBK" w:cs="Times New Roman"/>
          <w:b w:val="0"/>
          <w:bCs w:val="0"/>
          <w:kern w:val="0"/>
          <w:sz w:val="30"/>
          <w:szCs w:val="30"/>
          <w:lang w:val="en-US" w:eastAsia="zh-CN" w:bidi="zh-CN"/>
        </w:rPr>
      </w:pPr>
    </w:p>
    <w:p>
      <w:pPr>
        <w:rPr>
          <w:rFonts w:hint="default" w:ascii="Times New Roman" w:hAnsi="Times New Roman" w:eastAsia="方正仿宋_GBK" w:cs="Times New Roman"/>
          <w:b w:val="0"/>
          <w:bCs w:val="0"/>
          <w:kern w:val="0"/>
          <w:sz w:val="30"/>
          <w:szCs w:val="30"/>
          <w:lang w:val="en-US" w:eastAsia="zh-CN" w:bidi="zh-CN"/>
        </w:rPr>
      </w:pPr>
    </w:p>
    <w:p>
      <w:pPr>
        <w:rPr>
          <w:rFonts w:hint="default" w:ascii="Times New Roman" w:hAnsi="Times New Roman" w:eastAsia="方正仿宋_GBK" w:cs="Times New Roman"/>
          <w:b w:val="0"/>
          <w:bCs w:val="0"/>
          <w:kern w:val="0"/>
          <w:sz w:val="30"/>
          <w:szCs w:val="30"/>
          <w:lang w:val="en-US" w:eastAsia="zh-CN" w:bidi="zh-CN"/>
        </w:rPr>
      </w:pPr>
    </w:p>
    <w:p>
      <w:pPr>
        <w:rPr>
          <w:rFonts w:hint="default"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4"/>
        <w:ind w:firstLine="1812" w:firstLineChars="600"/>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rPr>
          <w:rFonts w:hint="default" w:ascii="Times New Roman" w:hAnsi="Times New Roman" w:eastAsia="方正仿宋_GBK" w:cs="Times New Roman"/>
          <w:b w:val="0"/>
          <w:bCs w:val="0"/>
          <w:kern w:val="0"/>
          <w:sz w:val="30"/>
          <w:szCs w:val="30"/>
          <w:lang w:val="en-US" w:eastAsia="zh-CN" w:bidi="zh-CN"/>
        </w:rPr>
      </w:pPr>
      <w:r>
        <w:drawing>
          <wp:anchor distT="0" distB="0" distL="114300" distR="114300" simplePos="0" relativeHeight="251659264" behindDoc="1" locked="0" layoutInCell="1" allowOverlap="1">
            <wp:simplePos x="0" y="0"/>
            <wp:positionH relativeFrom="column">
              <wp:posOffset>104140</wp:posOffset>
            </wp:positionH>
            <wp:positionV relativeFrom="paragraph">
              <wp:posOffset>187960</wp:posOffset>
            </wp:positionV>
            <wp:extent cx="5400040" cy="6840220"/>
            <wp:effectExtent l="0" t="0" r="10160" b="1778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400040" cy="6840220"/>
                    </a:xfrm>
                    <a:prstGeom prst="rect">
                      <a:avLst/>
                    </a:prstGeom>
                    <a:noFill/>
                    <a:ln>
                      <a:noFill/>
                    </a:ln>
                  </pic:spPr>
                </pic:pic>
              </a:graphicData>
            </a:graphic>
          </wp:anchor>
        </w:drawing>
      </w:r>
    </w:p>
    <w:sectPr>
      <w:pgSz w:w="11905" w:h="16838"/>
      <w:pgMar w:top="2098" w:right="1587" w:bottom="2098" w:left="1587" w:header="1191" w:footer="935" w:gutter="0"/>
      <w:pgNumType w:fmt="decimal"/>
      <w:cols w:space="0" w:num="1"/>
      <w:rtlGutter w:val="0"/>
      <w:docGrid w:type="linesAndChars" w:linePitch="549"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4"/>
      </w:pPr>
      <w:r>
        <w:separator/>
      </w:r>
    </w:p>
  </w:endnote>
  <w:endnote w:type="continuationSeparator" w:id="1">
    <w:p>
      <w:pPr>
        <w:spacing w:line="240" w:lineRule="auto"/>
        <w:ind w:firstLine="6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643CCC9-DBBA-4A5B-AB86-B82900A7A575}"/>
  </w:font>
  <w:font w:name="黑体">
    <w:panose1 w:val="02010609060101010101"/>
    <w:charset w:val="86"/>
    <w:family w:val="auto"/>
    <w:pitch w:val="default"/>
    <w:sig w:usb0="800002BF" w:usb1="38CF7CFA" w:usb2="00000016" w:usb3="00000000" w:csb0="00040001" w:csb1="00000000"/>
    <w:embedRegular r:id="rId2" w:fontKey="{9A2A01A4-4990-488E-B1C4-35B38F254E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CF88B8E3-8DA9-496C-86B1-0FB25B6289C6}"/>
  </w:font>
  <w:font w:name="楷体">
    <w:panose1 w:val="02010609060101010101"/>
    <w:charset w:val="86"/>
    <w:family w:val="auto"/>
    <w:pitch w:val="default"/>
    <w:sig w:usb0="800002BF" w:usb1="38CF7CFA" w:usb2="00000016" w:usb3="00000000" w:csb0="00040001" w:csb1="00000000"/>
    <w:embedRegular r:id="rId4" w:fontKey="{E48A5D1D-B3C2-4EA3-BA6C-01A2786C4EA9}"/>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A00002BF" w:usb1="38CF7CFA" w:usb2="00082016" w:usb3="00000000" w:csb0="00040001" w:csb1="00000000"/>
    <w:embedRegular r:id="rId5" w:fontKey="{CCF4A35D-1EB2-4719-B756-FCD7AA342735}"/>
  </w:font>
  <w:font w:name="方正小标宋_GBK">
    <w:panose1 w:val="02000000000000000000"/>
    <w:charset w:val="86"/>
    <w:family w:val="auto"/>
    <w:pitch w:val="default"/>
    <w:sig w:usb0="A00002BF" w:usb1="38CF7CFA" w:usb2="00082016" w:usb3="00000000" w:csb0="00040001" w:csb1="00000000"/>
    <w:embedRegular r:id="rId6" w:fontKey="{25AC9231-8006-4430-A74A-0008F716A30B}"/>
  </w:font>
  <w:font w:name="方正小标宋简体">
    <w:panose1 w:val="02000000000000000000"/>
    <w:charset w:val="86"/>
    <w:family w:val="auto"/>
    <w:pitch w:val="default"/>
    <w:sig w:usb0="00000001" w:usb1="08000000" w:usb2="00000000" w:usb3="00000000" w:csb0="00040000" w:csb1="00000000"/>
    <w:embedRegular r:id="rId7" w:fontKey="{76B17669-3A00-4C9E-A3A5-160413723D63}"/>
  </w:font>
  <w:font w:name="方正仿宋_GB2312">
    <w:panose1 w:val="02000000000000000000"/>
    <w:charset w:val="86"/>
    <w:family w:val="auto"/>
    <w:pitch w:val="default"/>
    <w:sig w:usb0="A00002BF" w:usb1="184F6CFA" w:usb2="00000012" w:usb3="00000000" w:csb0="00040001" w:csb1="00000000"/>
    <w:embedRegular r:id="rId8" w:fontKey="{FB2DB929-B8D8-4506-BD8B-D76C497384B1}"/>
  </w:font>
  <w:font w:name="方正正黑_GBK">
    <w:panose1 w:val="02000000000000000000"/>
    <w:charset w:val="86"/>
    <w:family w:val="auto"/>
    <w:pitch w:val="default"/>
    <w:sig w:usb0="A00002BF" w:usb1="38CF7CFA" w:usb2="00082016" w:usb3="00000000" w:csb0="00040001" w:csb1="00000000"/>
    <w:embedRegular r:id="rId9" w:fontKey="{81490394-0104-431D-818C-B58EE2D9DE16}"/>
  </w:font>
  <w:font w:name="方正楷体_GBK">
    <w:panose1 w:val="02000000000000000000"/>
    <w:charset w:val="86"/>
    <w:family w:val="auto"/>
    <w:pitch w:val="default"/>
    <w:sig w:usb0="800002BF" w:usb1="38CF7CFA" w:usb2="00000016" w:usb3="00000000" w:csb0="00040000" w:csb1="00000000"/>
    <w:embedRegular r:id="rId10" w:fontKey="{F9860AC9-A179-4AEC-9F90-9E7E515D9E71}"/>
  </w:font>
  <w:font w:name="方正公文小标宋">
    <w:panose1 w:val="02000500000000000000"/>
    <w:charset w:val="86"/>
    <w:family w:val="auto"/>
    <w:pitch w:val="default"/>
    <w:sig w:usb0="A00002BF" w:usb1="38CF7CFA" w:usb2="00000016" w:usb3="00000000" w:csb0="00040001" w:csb1="00000000"/>
    <w:embedRegular r:id="rId11" w:fontKey="{A58C05ED-3327-4A8F-A9BA-D222E4D75760}"/>
  </w:font>
  <w:font w:name="华文仿宋">
    <w:panose1 w:val="02010600040101010101"/>
    <w:charset w:val="86"/>
    <w:family w:val="auto"/>
    <w:pitch w:val="default"/>
    <w:sig w:usb0="00000287" w:usb1="080F0000" w:usb2="00000000" w:usb3="00000000" w:csb0="0004009F" w:csb1="DFD70000"/>
    <w:embedRegular r:id="rId12" w:fontKey="{5801F56B-BDDA-49CA-8312-14FD3420529D}"/>
  </w:font>
  <w:font w:name="微软雅黑">
    <w:panose1 w:val="020B0503020204020204"/>
    <w:charset w:val="86"/>
    <w:family w:val="auto"/>
    <w:pitch w:val="default"/>
    <w:sig w:usb0="80000287" w:usb1="2ACF3C50" w:usb2="00000016" w:usb3="00000000" w:csb0="0004001F" w:csb1="00000000"/>
    <w:embedRegular r:id="rId13" w:fontKey="{49E93E48-35F8-4652-A926-1FD4D5B538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44"/>
      </w:pPr>
      <w:r>
        <w:separator/>
      </w:r>
    </w:p>
  </w:footnote>
  <w:footnote w:type="continuationSeparator" w:id="3">
    <w:p>
      <w:pPr>
        <w:spacing w:line="240" w:lineRule="auto"/>
        <w:ind w:firstLine="644"/>
      </w:pPr>
      <w:r>
        <w:continuationSeparator/>
      </w:r>
    </w:p>
  </w:footnote>
  <w:footnote w:id="0">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420" w:firstLineChars="200"/>
        <w:jc w:val="both"/>
        <w:textAlignment w:val="auto"/>
        <w:rPr>
          <w:rFonts w:hint="default" w:ascii="Times New Roman" w:hAnsi="Times New Roman" w:eastAsia="方正仿宋_GBK" w:cs="Times New Roman"/>
          <w:color w:val="auto"/>
          <w:kern w:val="2"/>
          <w:sz w:val="21"/>
          <w:szCs w:val="21"/>
          <w:highlight w:val="none"/>
          <w:lang w:val="en-US" w:eastAsia="zh-CN" w:bidi="ar-SA"/>
        </w:rPr>
      </w:pPr>
      <w:r>
        <w:rPr>
          <w:rStyle w:val="28"/>
          <w:sz w:val="21"/>
          <w:szCs w:val="21"/>
        </w:rPr>
        <w:footnoteRef/>
      </w:r>
      <w:r>
        <w:rPr>
          <w:sz w:val="21"/>
          <w:szCs w:val="21"/>
        </w:rPr>
        <w:t xml:space="preserve"> </w:t>
      </w:r>
      <w:r>
        <w:rPr>
          <w:rFonts w:hint="eastAsia" w:ascii="Times New Roman" w:hAnsi="Times New Roman" w:eastAsia="方正仿宋_GBK" w:cs="Times New Roman"/>
          <w:color w:val="auto"/>
          <w:kern w:val="2"/>
          <w:sz w:val="21"/>
          <w:szCs w:val="21"/>
          <w:highlight w:val="none"/>
          <w:lang w:val="en-US" w:eastAsia="zh-CN" w:bidi="ar-SA"/>
        </w:rPr>
        <w:t>长期照护是指因残疾产生的特殊护理消费品和照护服务支出持续6个月以上时间。</w:t>
      </w:r>
    </w:p>
    <w:p>
      <w:pPr>
        <w:pStyle w:val="16"/>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5940" w:hanging="5940" w:hangingChars="2700"/>
      <w:jc w:val="right"/>
      <w:rPr>
        <w:rFonts w:hint="eastAsia"/>
        <w:sz w:val="22"/>
        <w:szCs w:val="22"/>
        <w:lang w:val="en-US" w:eastAsia="zh-CN"/>
      </w:rPr>
    </w:pPr>
  </w:p>
  <w:p>
    <w:pPr>
      <w:pStyle w:val="14"/>
      <w:pBdr>
        <w:bottom w:val="none" w:color="auto" w:sz="0" w:space="1"/>
      </w:pBdr>
      <w:ind w:left="5940" w:hanging="4860" w:hangingChars="2700"/>
      <w:jc w:val="right"/>
      <w:rPr>
        <w:rFonts w:hint="eastAsia"/>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5940" w:hanging="5940" w:hangingChars="2700"/>
      <w:jc w:val="right"/>
      <w:rPr>
        <w:rFonts w:hint="eastAsia"/>
        <w:sz w:val="22"/>
        <w:szCs w:val="22"/>
        <w:lang w:val="en-US" w:eastAsia="zh-CN"/>
      </w:rPr>
    </w:pPr>
  </w:p>
  <w:p>
    <w:pPr>
      <w:pStyle w:val="14"/>
      <w:pBdr>
        <w:bottom w:val="none" w:color="auto" w:sz="0" w:space="1"/>
      </w:pBdr>
      <w:ind w:left="5940" w:hanging="5940" w:hangingChars="2700"/>
      <w:jc w:val="right"/>
      <w:rPr>
        <w:rFonts w:hint="eastAsia"/>
        <w:sz w:val="22"/>
        <w:szCs w:val="22"/>
        <w:lang w:val="en-US" w:eastAsia="zh-CN"/>
      </w:rPr>
    </w:pPr>
  </w:p>
  <w:p>
    <w:pPr>
      <w:keepNext w:val="0"/>
      <w:keepLines w:val="0"/>
      <w:pageBreakBefore w:val="0"/>
      <w:widowControl w:val="0"/>
      <w:pBdr>
        <w:bottom w:val="double" w:color="auto" w:sz="8" w:space="0"/>
      </w:pBdr>
      <w:kinsoku/>
      <w:wordWrap/>
      <w:overflowPunct/>
      <w:topLinePunct w:val="0"/>
      <w:autoSpaceDE/>
      <w:autoSpaceDN/>
      <w:bidi w:val="0"/>
      <w:adjustRightInd/>
      <w:snapToGrid/>
      <w:spacing w:line="240" w:lineRule="auto"/>
      <w:ind w:left="0" w:leftChars="0" w:firstLine="0" w:firstLineChars="0"/>
      <w:jc w:val="right"/>
      <w:textAlignment w:val="auto"/>
      <w:rPr>
        <w:rFonts w:hint="eastAsia"/>
        <w:sz w:val="22"/>
        <w:szCs w:val="22"/>
        <w:lang w:val="en-US" w:eastAsia="zh-CN"/>
      </w:rPr>
    </w:pPr>
    <w:r>
      <w:rPr>
        <w:rFonts w:hint="eastAsia" w:ascii="方正小标宋_GBK" w:hAnsi="方正小标宋_GBK" w:eastAsia="方正小标宋_GBK" w:cs="方正小标宋_GBK"/>
        <w:b w:val="0"/>
        <w:bCs w:val="0"/>
        <w:color w:val="181717" w:themeColor="background2" w:themeShade="1A"/>
        <w:sz w:val="22"/>
        <w:szCs w:val="22"/>
        <w:lang w:val="en-US" w:eastAsia="zh-CN"/>
      </w:rPr>
      <w:t>2022年同心县困难残疾人生活补助和重度残疾人护理补贴项目</w:t>
    </w:r>
    <w:r>
      <w:rPr>
        <w:rFonts w:hint="eastAsia"/>
        <w:b/>
        <w:bCs/>
        <w:sz w:val="22"/>
        <w:szCs w:val="22"/>
        <w:lang w:val="en-US" w:eastAsia="zh-CN"/>
      </w:rPr>
      <w:t xml:space="preserve"> </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leftChars="0" w:firstLine="0" w:firstLineChars="0"/>
      <w:jc w:val="both"/>
      <w:rPr>
        <w:rFonts w:hint="eastAsia"/>
        <w:sz w:val="21"/>
        <w:szCs w:val="21"/>
        <w:lang w:val="en-US" w:eastAsia="zh-CN"/>
      </w:rPr>
    </w:pPr>
    <w:r>
      <w:rPr>
        <w:rFonts w:hint="eastAsia"/>
        <w:sz w:val="21"/>
        <w:szCs w:val="21"/>
        <w:lang w:val="en-US" w:eastAsia="zh-CN"/>
      </w:rPr>
      <w:t xml:space="preserve">                                     </w:t>
    </w:r>
  </w:p>
  <w:p>
    <w:pPr>
      <w:pStyle w:val="14"/>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2"/>
        <w:szCs w:val="22"/>
        <w:lang w:val="en-US" w:eastAsia="zh-CN"/>
      </w:rPr>
      <w:t>2022年同心县困难残疾人生活补助和重度残疾人护理补贴项目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81208"/>
    <w:multiLevelType w:val="singleLevel"/>
    <w:tmpl w:val="86E81208"/>
    <w:lvl w:ilvl="0" w:tentative="0">
      <w:start w:val="2"/>
      <w:numFmt w:val="decimal"/>
      <w:lvlText w:val="%1."/>
      <w:lvlJc w:val="left"/>
      <w:pPr>
        <w:tabs>
          <w:tab w:val="left" w:pos="312"/>
        </w:tabs>
      </w:pPr>
    </w:lvl>
  </w:abstractNum>
  <w:abstractNum w:abstractNumId="1">
    <w:nsid w:val="9AF0B573"/>
    <w:multiLevelType w:val="singleLevel"/>
    <w:tmpl w:val="9AF0B573"/>
    <w:lvl w:ilvl="0" w:tentative="0">
      <w:start w:val="2"/>
      <w:numFmt w:val="decimal"/>
      <w:lvlText w:val="%1."/>
      <w:lvlJc w:val="left"/>
      <w:pPr>
        <w:tabs>
          <w:tab w:val="left" w:pos="312"/>
        </w:tabs>
      </w:pPr>
    </w:lvl>
  </w:abstractNum>
  <w:abstractNum w:abstractNumId="2">
    <w:nsid w:val="0C5FA276"/>
    <w:multiLevelType w:val="singleLevel"/>
    <w:tmpl w:val="0C5FA276"/>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0"/>
  <w:bordersDoNotSurroundFooter w:val="0"/>
  <w:documentProtection w:enforcement="0"/>
  <w:defaultTabStop w:val="420"/>
  <w:drawingGridHorizontalSpacing w:val="162"/>
  <w:drawingGridVerticalSpacing w:val="275"/>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3A4DF7"/>
    <w:rsid w:val="00C83FFA"/>
    <w:rsid w:val="00C90E0C"/>
    <w:rsid w:val="00F1191B"/>
    <w:rsid w:val="010351AA"/>
    <w:rsid w:val="01277E1F"/>
    <w:rsid w:val="013B0A52"/>
    <w:rsid w:val="01711D58"/>
    <w:rsid w:val="01A22C15"/>
    <w:rsid w:val="02693F89"/>
    <w:rsid w:val="031F0282"/>
    <w:rsid w:val="03321D76"/>
    <w:rsid w:val="03782AE9"/>
    <w:rsid w:val="038F5644"/>
    <w:rsid w:val="049979AA"/>
    <w:rsid w:val="04CB2483"/>
    <w:rsid w:val="05127FF8"/>
    <w:rsid w:val="05373674"/>
    <w:rsid w:val="057E08FD"/>
    <w:rsid w:val="05DE7F94"/>
    <w:rsid w:val="06310741"/>
    <w:rsid w:val="067B3A34"/>
    <w:rsid w:val="06935222"/>
    <w:rsid w:val="0696261C"/>
    <w:rsid w:val="07752028"/>
    <w:rsid w:val="079B438E"/>
    <w:rsid w:val="07C669DF"/>
    <w:rsid w:val="07DC0B0F"/>
    <w:rsid w:val="082C148A"/>
    <w:rsid w:val="084314D4"/>
    <w:rsid w:val="08A2629B"/>
    <w:rsid w:val="08D765EB"/>
    <w:rsid w:val="09087391"/>
    <w:rsid w:val="094E2BC9"/>
    <w:rsid w:val="0978425B"/>
    <w:rsid w:val="09EE451A"/>
    <w:rsid w:val="0A104DC5"/>
    <w:rsid w:val="0A1421D6"/>
    <w:rsid w:val="0A1441B8"/>
    <w:rsid w:val="0A9E5F43"/>
    <w:rsid w:val="0B1A65E0"/>
    <w:rsid w:val="0BA37CB5"/>
    <w:rsid w:val="0C063DA0"/>
    <w:rsid w:val="0D112862"/>
    <w:rsid w:val="0D1B3E33"/>
    <w:rsid w:val="0D8710B2"/>
    <w:rsid w:val="0DA75E3E"/>
    <w:rsid w:val="0DF16443"/>
    <w:rsid w:val="0DF27CB1"/>
    <w:rsid w:val="0E294B7B"/>
    <w:rsid w:val="0E411EBB"/>
    <w:rsid w:val="0E6B4917"/>
    <w:rsid w:val="0EE8142C"/>
    <w:rsid w:val="0F0355A7"/>
    <w:rsid w:val="0F6301AF"/>
    <w:rsid w:val="0F812D08"/>
    <w:rsid w:val="0FBA6D07"/>
    <w:rsid w:val="0FC1070A"/>
    <w:rsid w:val="0FC2315B"/>
    <w:rsid w:val="0FC65D57"/>
    <w:rsid w:val="0FE268D2"/>
    <w:rsid w:val="104430E9"/>
    <w:rsid w:val="10594DE6"/>
    <w:rsid w:val="10923E54"/>
    <w:rsid w:val="10B4026F"/>
    <w:rsid w:val="10F70CB9"/>
    <w:rsid w:val="11326D9C"/>
    <w:rsid w:val="11576F43"/>
    <w:rsid w:val="11877731"/>
    <w:rsid w:val="123478B9"/>
    <w:rsid w:val="12780A7F"/>
    <w:rsid w:val="12A803F6"/>
    <w:rsid w:val="12B800BB"/>
    <w:rsid w:val="1306193D"/>
    <w:rsid w:val="138163C4"/>
    <w:rsid w:val="13D16037"/>
    <w:rsid w:val="14642D3C"/>
    <w:rsid w:val="151B68BE"/>
    <w:rsid w:val="15BC373C"/>
    <w:rsid w:val="15D25F85"/>
    <w:rsid w:val="15D614F9"/>
    <w:rsid w:val="15E50ECA"/>
    <w:rsid w:val="165E3157"/>
    <w:rsid w:val="17C26244"/>
    <w:rsid w:val="17F07834"/>
    <w:rsid w:val="18070836"/>
    <w:rsid w:val="18CC35FF"/>
    <w:rsid w:val="18D555BD"/>
    <w:rsid w:val="19A84F19"/>
    <w:rsid w:val="1A11557B"/>
    <w:rsid w:val="1A725422"/>
    <w:rsid w:val="1B0B13D3"/>
    <w:rsid w:val="1B587F55"/>
    <w:rsid w:val="1BBE1FA1"/>
    <w:rsid w:val="1CE014E1"/>
    <w:rsid w:val="1CFE5775"/>
    <w:rsid w:val="1D2F4821"/>
    <w:rsid w:val="1D4F132F"/>
    <w:rsid w:val="1D5F1562"/>
    <w:rsid w:val="1D8B2357"/>
    <w:rsid w:val="1DC45FEE"/>
    <w:rsid w:val="1DFC45E7"/>
    <w:rsid w:val="1E2F53D8"/>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963936"/>
    <w:rsid w:val="25FF2DD9"/>
    <w:rsid w:val="26087208"/>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972B84"/>
    <w:rsid w:val="299F1664"/>
    <w:rsid w:val="2A08236A"/>
    <w:rsid w:val="2A3744E2"/>
    <w:rsid w:val="2A4468E8"/>
    <w:rsid w:val="2A88139D"/>
    <w:rsid w:val="2B04761D"/>
    <w:rsid w:val="2B31540B"/>
    <w:rsid w:val="2BF437BD"/>
    <w:rsid w:val="2BF612E4"/>
    <w:rsid w:val="2C07626C"/>
    <w:rsid w:val="2C265B3F"/>
    <w:rsid w:val="2C365B84"/>
    <w:rsid w:val="2C54430A"/>
    <w:rsid w:val="2C88209B"/>
    <w:rsid w:val="2C950AFD"/>
    <w:rsid w:val="2C9F105C"/>
    <w:rsid w:val="2CD07D87"/>
    <w:rsid w:val="2D3477DA"/>
    <w:rsid w:val="2D921854"/>
    <w:rsid w:val="2DBA5D46"/>
    <w:rsid w:val="2DC2093D"/>
    <w:rsid w:val="2DEA5335"/>
    <w:rsid w:val="2E0E34EA"/>
    <w:rsid w:val="2E512AC0"/>
    <w:rsid w:val="2E59154F"/>
    <w:rsid w:val="2E7C1412"/>
    <w:rsid w:val="2E8D2405"/>
    <w:rsid w:val="2E96490B"/>
    <w:rsid w:val="2EDF2503"/>
    <w:rsid w:val="2EF064BE"/>
    <w:rsid w:val="2F46273A"/>
    <w:rsid w:val="2F96257F"/>
    <w:rsid w:val="304940ED"/>
    <w:rsid w:val="308C3833"/>
    <w:rsid w:val="3095731D"/>
    <w:rsid w:val="30B06230"/>
    <w:rsid w:val="30D50061"/>
    <w:rsid w:val="31164343"/>
    <w:rsid w:val="317928C0"/>
    <w:rsid w:val="317D7F2F"/>
    <w:rsid w:val="31A041CB"/>
    <w:rsid w:val="31EB3B69"/>
    <w:rsid w:val="31FC6110"/>
    <w:rsid w:val="32C75788"/>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6F86858"/>
    <w:rsid w:val="379D4EBE"/>
    <w:rsid w:val="37D93A30"/>
    <w:rsid w:val="38250B51"/>
    <w:rsid w:val="3846715C"/>
    <w:rsid w:val="39DD3A30"/>
    <w:rsid w:val="39EC58CA"/>
    <w:rsid w:val="39FB2B8C"/>
    <w:rsid w:val="3A1F1BFC"/>
    <w:rsid w:val="3A3F02FA"/>
    <w:rsid w:val="3A5D44DB"/>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2F2578"/>
    <w:rsid w:val="3E4A5E49"/>
    <w:rsid w:val="3E505673"/>
    <w:rsid w:val="3E6D2B8B"/>
    <w:rsid w:val="3E783CB3"/>
    <w:rsid w:val="3EEF0540"/>
    <w:rsid w:val="3EF96114"/>
    <w:rsid w:val="3F1964EA"/>
    <w:rsid w:val="3F4A06EC"/>
    <w:rsid w:val="3F6E5909"/>
    <w:rsid w:val="3F8E7D59"/>
    <w:rsid w:val="3F8F3AD1"/>
    <w:rsid w:val="3FD50C78"/>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D67B06"/>
    <w:rsid w:val="44D90B42"/>
    <w:rsid w:val="45034416"/>
    <w:rsid w:val="455C18CC"/>
    <w:rsid w:val="459C4B6B"/>
    <w:rsid w:val="45DE130F"/>
    <w:rsid w:val="45F418B3"/>
    <w:rsid w:val="45FD79E7"/>
    <w:rsid w:val="463C0759"/>
    <w:rsid w:val="46624259"/>
    <w:rsid w:val="46C44060"/>
    <w:rsid w:val="46F51F34"/>
    <w:rsid w:val="471B73A3"/>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C24D5B"/>
    <w:rsid w:val="4AD14F9E"/>
    <w:rsid w:val="4C07336D"/>
    <w:rsid w:val="4C126731"/>
    <w:rsid w:val="4C561BFF"/>
    <w:rsid w:val="4C6C277D"/>
    <w:rsid w:val="4C72455F"/>
    <w:rsid w:val="4C80439B"/>
    <w:rsid w:val="4CD82614"/>
    <w:rsid w:val="4D283D09"/>
    <w:rsid w:val="4D650BDF"/>
    <w:rsid w:val="4D666D5C"/>
    <w:rsid w:val="4DAE09A0"/>
    <w:rsid w:val="4DB841F3"/>
    <w:rsid w:val="4DE92870"/>
    <w:rsid w:val="4E10402F"/>
    <w:rsid w:val="4E1F474B"/>
    <w:rsid w:val="4E2A0721"/>
    <w:rsid w:val="4E612ADD"/>
    <w:rsid w:val="4F5023DA"/>
    <w:rsid w:val="4F813436"/>
    <w:rsid w:val="4FC73DE1"/>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F7A68"/>
    <w:rsid w:val="55911B3E"/>
    <w:rsid w:val="55E53FF3"/>
    <w:rsid w:val="56150435"/>
    <w:rsid w:val="56250D50"/>
    <w:rsid w:val="566C4581"/>
    <w:rsid w:val="5684380C"/>
    <w:rsid w:val="56C62FC9"/>
    <w:rsid w:val="58366D88"/>
    <w:rsid w:val="58B8408C"/>
    <w:rsid w:val="58C53371"/>
    <w:rsid w:val="58FF18EE"/>
    <w:rsid w:val="592503CD"/>
    <w:rsid w:val="5A105AE3"/>
    <w:rsid w:val="5AC71F19"/>
    <w:rsid w:val="5ADC3C17"/>
    <w:rsid w:val="5B48305A"/>
    <w:rsid w:val="5BA00781"/>
    <w:rsid w:val="5BED775E"/>
    <w:rsid w:val="5C0F1DCA"/>
    <w:rsid w:val="5C2F0C39"/>
    <w:rsid w:val="5C9F069F"/>
    <w:rsid w:val="5CAF7795"/>
    <w:rsid w:val="5CB00EB7"/>
    <w:rsid w:val="5D086F45"/>
    <w:rsid w:val="5D0E0CF6"/>
    <w:rsid w:val="5D323FC2"/>
    <w:rsid w:val="5D6D392A"/>
    <w:rsid w:val="5DE828D3"/>
    <w:rsid w:val="5E08551F"/>
    <w:rsid w:val="5E525F9E"/>
    <w:rsid w:val="5E6F08FE"/>
    <w:rsid w:val="5EBA2711"/>
    <w:rsid w:val="5F745E66"/>
    <w:rsid w:val="5FA171DD"/>
    <w:rsid w:val="5FD749AD"/>
    <w:rsid w:val="6040150D"/>
    <w:rsid w:val="60936B26"/>
    <w:rsid w:val="60C2740B"/>
    <w:rsid w:val="61495849"/>
    <w:rsid w:val="615A19EE"/>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B07107"/>
    <w:rsid w:val="63C705B2"/>
    <w:rsid w:val="63DA61F3"/>
    <w:rsid w:val="64A5151D"/>
    <w:rsid w:val="64DA6254"/>
    <w:rsid w:val="652E5FF6"/>
    <w:rsid w:val="653F0455"/>
    <w:rsid w:val="655C7097"/>
    <w:rsid w:val="6582360D"/>
    <w:rsid w:val="658A05B5"/>
    <w:rsid w:val="660576BF"/>
    <w:rsid w:val="66307F76"/>
    <w:rsid w:val="66F23DAD"/>
    <w:rsid w:val="6732466D"/>
    <w:rsid w:val="67535261"/>
    <w:rsid w:val="675B4115"/>
    <w:rsid w:val="677A1000"/>
    <w:rsid w:val="67AB0D31"/>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1A20D3"/>
    <w:rsid w:val="6B564C81"/>
    <w:rsid w:val="6B6B233A"/>
    <w:rsid w:val="6BC7335C"/>
    <w:rsid w:val="6BEC38B2"/>
    <w:rsid w:val="6C2076DB"/>
    <w:rsid w:val="6C2B055A"/>
    <w:rsid w:val="6D67760E"/>
    <w:rsid w:val="6DAD31F1"/>
    <w:rsid w:val="6E4C2A0A"/>
    <w:rsid w:val="6E7D43D0"/>
    <w:rsid w:val="6EEC38DF"/>
    <w:rsid w:val="6F370F76"/>
    <w:rsid w:val="6F671009"/>
    <w:rsid w:val="6F965839"/>
    <w:rsid w:val="6FB36D7A"/>
    <w:rsid w:val="6FE216A6"/>
    <w:rsid w:val="70266E22"/>
    <w:rsid w:val="70741DA4"/>
    <w:rsid w:val="709A7A5C"/>
    <w:rsid w:val="70AF0549"/>
    <w:rsid w:val="70D3575F"/>
    <w:rsid w:val="71302009"/>
    <w:rsid w:val="71387B02"/>
    <w:rsid w:val="717464FF"/>
    <w:rsid w:val="719D088A"/>
    <w:rsid w:val="71BB65F3"/>
    <w:rsid w:val="71EF02C9"/>
    <w:rsid w:val="72EF679F"/>
    <w:rsid w:val="730B450D"/>
    <w:rsid w:val="7343262D"/>
    <w:rsid w:val="740A20FF"/>
    <w:rsid w:val="742E4065"/>
    <w:rsid w:val="743838A1"/>
    <w:rsid w:val="74512B28"/>
    <w:rsid w:val="74836A59"/>
    <w:rsid w:val="74BB05BD"/>
    <w:rsid w:val="74DA512E"/>
    <w:rsid w:val="74F160B9"/>
    <w:rsid w:val="75E27AD0"/>
    <w:rsid w:val="767C258A"/>
    <w:rsid w:val="76AA651F"/>
    <w:rsid w:val="76DD54BE"/>
    <w:rsid w:val="774226B2"/>
    <w:rsid w:val="774A1F82"/>
    <w:rsid w:val="77943863"/>
    <w:rsid w:val="779E42D6"/>
    <w:rsid w:val="77CE623E"/>
    <w:rsid w:val="77D53A70"/>
    <w:rsid w:val="7800592B"/>
    <w:rsid w:val="78355559"/>
    <w:rsid w:val="786B4915"/>
    <w:rsid w:val="788F1AD5"/>
    <w:rsid w:val="793E0D61"/>
    <w:rsid w:val="795F1F28"/>
    <w:rsid w:val="796E7CD8"/>
    <w:rsid w:val="79711576"/>
    <w:rsid w:val="7A033FC5"/>
    <w:rsid w:val="7A245FAC"/>
    <w:rsid w:val="7A6B246A"/>
    <w:rsid w:val="7A892CDD"/>
    <w:rsid w:val="7AE5221C"/>
    <w:rsid w:val="7AED2E7F"/>
    <w:rsid w:val="7AFB559C"/>
    <w:rsid w:val="7B0270AF"/>
    <w:rsid w:val="7B3F6E9E"/>
    <w:rsid w:val="7BE451AA"/>
    <w:rsid w:val="7C662EE9"/>
    <w:rsid w:val="7DA34BE9"/>
    <w:rsid w:val="7DCC321F"/>
    <w:rsid w:val="7E401EC6"/>
    <w:rsid w:val="7E4A6CF6"/>
    <w:rsid w:val="7E550EF8"/>
    <w:rsid w:val="7EC96D91"/>
    <w:rsid w:val="7F0A3C2A"/>
    <w:rsid w:val="7F437511"/>
    <w:rsid w:val="7F596D35"/>
    <w:rsid w:val="7F630D7E"/>
    <w:rsid w:val="7F77335A"/>
    <w:rsid w:val="7F9B5CCD"/>
    <w:rsid w:val="7FAC2F4F"/>
    <w:rsid w:val="7FAE5B5D"/>
    <w:rsid w:val="7FC5261C"/>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2">
    <w:name w:val="heading 1"/>
    <w:basedOn w:val="1"/>
    <w:next w:val="1"/>
    <w:link w:val="31"/>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3">
    <w:name w:val="heading 2"/>
    <w:basedOn w:val="1"/>
    <w:next w:val="1"/>
    <w:link w:val="30"/>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4">
    <w:name w:val="heading 3"/>
    <w:basedOn w:val="1"/>
    <w:next w:val="1"/>
    <w:link w:val="32"/>
    <w:autoRedefine/>
    <w:unhideWhenUsed/>
    <w:qFormat/>
    <w:uiPriority w:val="0"/>
    <w:pPr>
      <w:keepNext/>
      <w:keepLines/>
      <w:snapToGrid w:val="0"/>
      <w:spacing w:beforeLines="0" w:beforeAutospacing="0" w:afterLines="0" w:afterAutospacing="0" w:line="560" w:lineRule="exact"/>
      <w:outlineLvl w:val="2"/>
    </w:pPr>
    <w:rPr>
      <w:b/>
    </w:rPr>
  </w:style>
  <w:style w:type="paragraph" w:styleId="5">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6">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7">
    <w:name w:val="Normal Indent"/>
    <w:basedOn w:val="1"/>
    <w:autoRedefine/>
    <w:qFormat/>
    <w:uiPriority w:val="0"/>
    <w:pPr>
      <w:ind w:firstLine="200" w:firstLineChars="200"/>
    </w:pPr>
    <w:rPr>
      <w:rFonts w:ascii="Times New Roman" w:hAnsi="Times New Roman" w:eastAsia="宋体" w:cs="Times New Roman"/>
      <w:sz w:val="21"/>
    </w:rPr>
  </w:style>
  <w:style w:type="paragraph" w:styleId="8">
    <w:name w:val="Body Text"/>
    <w:basedOn w:val="1"/>
    <w:autoRedefine/>
    <w:qFormat/>
    <w:uiPriority w:val="1"/>
    <w:rPr>
      <w:rFonts w:ascii="宋体" w:hAnsi="宋体" w:cs="宋体"/>
      <w:sz w:val="32"/>
      <w:szCs w:val="32"/>
      <w:lang w:val="zh-CN" w:bidi="zh-CN"/>
    </w:rPr>
  </w:style>
  <w:style w:type="paragraph" w:styleId="9">
    <w:name w:val="Body Text Indent"/>
    <w:basedOn w:val="1"/>
    <w:next w:val="10"/>
    <w:autoRedefine/>
    <w:qFormat/>
    <w:uiPriority w:val="0"/>
    <w:pPr>
      <w:ind w:firstLine="640" w:firstLineChars="200"/>
    </w:pPr>
    <w:rPr>
      <w:rFonts w:ascii="仿宋_GB2312" w:eastAsia="仿宋_GB2312" w:cs="Times New Roman"/>
    </w:rPr>
  </w:style>
  <w:style w:type="paragraph" w:styleId="10">
    <w:name w:val="footer"/>
    <w:basedOn w:val="1"/>
    <w:next w:val="1"/>
    <w:autoRedefine/>
    <w:qFormat/>
    <w:uiPriority w:val="0"/>
    <w:pPr>
      <w:tabs>
        <w:tab w:val="center" w:pos="4153"/>
        <w:tab w:val="right" w:pos="8306"/>
      </w:tabs>
      <w:snapToGrid w:val="0"/>
      <w:jc w:val="left"/>
    </w:pPr>
    <w:rPr>
      <w:sz w:val="18"/>
    </w:rPr>
  </w:style>
  <w:style w:type="paragraph" w:styleId="11">
    <w:name w:val="List 2"/>
    <w:basedOn w:val="1"/>
    <w:autoRedefine/>
    <w:unhideWhenUsed/>
    <w:qFormat/>
    <w:uiPriority w:val="99"/>
    <w:pPr>
      <w:ind w:left="100" w:leftChars="200" w:hanging="200" w:hangingChars="200"/>
    </w:pPr>
  </w:style>
  <w:style w:type="paragraph" w:styleId="12">
    <w:name w:val="toc 3"/>
    <w:basedOn w:val="1"/>
    <w:next w:val="1"/>
    <w:autoRedefine/>
    <w:qFormat/>
    <w:uiPriority w:val="0"/>
    <w:pPr>
      <w:ind w:left="840" w:leftChars="400"/>
    </w:pPr>
  </w:style>
  <w:style w:type="paragraph" w:styleId="13">
    <w:name w:val="Date"/>
    <w:basedOn w:val="1"/>
    <w:next w:val="1"/>
    <w:autoRedefine/>
    <w:unhideWhenUsed/>
    <w:qFormat/>
    <w:uiPriority w:val="99"/>
    <w:pPr>
      <w:spacing w:before="100" w:beforeAutospacing="1" w:after="100" w:afterAutospacing="1"/>
      <w:ind w:left="2500" w:leftChars="2500"/>
    </w:pPr>
  </w:style>
  <w:style w:type="paragraph" w:styleId="14">
    <w:name w:val="header"/>
    <w:basedOn w:val="1"/>
    <w:next w:val="1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autoRedefine/>
    <w:qFormat/>
    <w:uiPriority w:val="0"/>
  </w:style>
  <w:style w:type="paragraph" w:styleId="16">
    <w:name w:val="footnote text"/>
    <w:basedOn w:val="1"/>
    <w:autoRedefine/>
    <w:qFormat/>
    <w:uiPriority w:val="0"/>
    <w:pPr>
      <w:snapToGrid w:val="0"/>
      <w:jc w:val="left"/>
    </w:pPr>
    <w:rPr>
      <w:sz w:val="18"/>
    </w:rPr>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paragraph" w:styleId="21">
    <w:name w:val="Body Text First Indent 2"/>
    <w:basedOn w:val="1"/>
    <w:next w:val="1"/>
    <w:autoRedefine/>
    <w:qFormat/>
    <w:uiPriority w:val="0"/>
    <w:pPr>
      <w:ind w:firstLine="0" w:firstLineChars="0"/>
    </w:pPr>
    <w:rPr>
      <w:rFonts w:ascii="仿宋_GB2312" w:hAnsi="仿宋_GB2312" w:eastAsia="仿宋_GB2312"/>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Emphasis"/>
    <w:basedOn w:val="24"/>
    <w:autoRedefine/>
    <w:qFormat/>
    <w:uiPriority w:val="0"/>
    <w:rPr>
      <w:i/>
    </w:rPr>
  </w:style>
  <w:style w:type="character" w:styleId="27">
    <w:name w:val="Hyperlink"/>
    <w:basedOn w:val="24"/>
    <w:autoRedefine/>
    <w:qFormat/>
    <w:uiPriority w:val="0"/>
    <w:rPr>
      <w:color w:val="0000FF"/>
      <w:u w:val="single"/>
    </w:rPr>
  </w:style>
  <w:style w:type="character" w:styleId="28">
    <w:name w:val="footnote reference"/>
    <w:basedOn w:val="24"/>
    <w:autoRedefine/>
    <w:qFormat/>
    <w:uiPriority w:val="0"/>
    <w:rPr>
      <w:vertAlign w:val="superscript"/>
    </w:rPr>
  </w:style>
  <w:style w:type="paragraph" w:customStyle="1" w:styleId="29">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30">
    <w:name w:val="标题 2 Char"/>
    <w:link w:val="3"/>
    <w:autoRedefine/>
    <w:qFormat/>
    <w:uiPriority w:val="0"/>
    <w:rPr>
      <w:rFonts w:ascii="Arial" w:hAnsi="Arial" w:eastAsia="楷体"/>
      <w:b/>
    </w:rPr>
  </w:style>
  <w:style w:type="character" w:customStyle="1" w:styleId="31">
    <w:name w:val="标题 1 Char"/>
    <w:link w:val="2"/>
    <w:autoRedefine/>
    <w:qFormat/>
    <w:uiPriority w:val="0"/>
    <w:rPr>
      <w:rFonts w:eastAsia="黑体"/>
      <w:kern w:val="44"/>
    </w:rPr>
  </w:style>
  <w:style w:type="character" w:customStyle="1" w:styleId="32">
    <w:name w:val="标题 3 Char"/>
    <w:link w:val="4"/>
    <w:autoRedefine/>
    <w:qFormat/>
    <w:uiPriority w:val="0"/>
    <w:rPr>
      <w:b/>
    </w:rPr>
  </w:style>
  <w:style w:type="character" w:customStyle="1" w:styleId="33">
    <w:name w:val="font21"/>
    <w:basedOn w:val="24"/>
    <w:autoRedefine/>
    <w:qFormat/>
    <w:uiPriority w:val="0"/>
    <w:rPr>
      <w:rFonts w:hint="eastAsia" w:ascii="等线" w:hAnsi="等线" w:eastAsia="等线" w:cs="等线"/>
      <w:color w:val="000000"/>
      <w:sz w:val="22"/>
      <w:szCs w:val="22"/>
      <w:u w:val="none"/>
    </w:rPr>
  </w:style>
  <w:style w:type="character" w:customStyle="1" w:styleId="34">
    <w:name w:val="font11"/>
    <w:basedOn w:val="24"/>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5">
    <w:name w:val="font31"/>
    <w:basedOn w:val="24"/>
    <w:autoRedefine/>
    <w:qFormat/>
    <w:uiPriority w:val="0"/>
    <w:rPr>
      <w:rFonts w:hint="eastAsia" w:ascii="方正仿宋_GBK" w:hAnsi="方正仿宋_GBK" w:eastAsia="方正仿宋_GBK" w:cs="方正仿宋_GBK"/>
      <w:color w:val="000000"/>
      <w:sz w:val="22"/>
      <w:szCs w:val="22"/>
      <w:u w:val="none"/>
    </w:rPr>
  </w:style>
  <w:style w:type="table" w:customStyle="1" w:styleId="36">
    <w:name w:val="Table Normal"/>
    <w:autoRedefine/>
    <w:semiHidden/>
    <w:unhideWhenUsed/>
    <w:qFormat/>
    <w:uiPriority w:val="0"/>
    <w:tblPr>
      <w:tblCellMar>
        <w:top w:w="0" w:type="dxa"/>
        <w:left w:w="0" w:type="dxa"/>
        <w:bottom w:w="0" w:type="dxa"/>
        <w:right w:w="0" w:type="dxa"/>
      </w:tblCellMar>
    </w:tblPr>
  </w:style>
  <w:style w:type="character" w:customStyle="1" w:styleId="37">
    <w:name w:val="font81"/>
    <w:basedOn w:val="24"/>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8">
    <w:name w:val="font51"/>
    <w:basedOn w:val="24"/>
    <w:autoRedefine/>
    <w:qFormat/>
    <w:uiPriority w:val="0"/>
    <w:rPr>
      <w:rFonts w:hint="eastAsia" w:ascii="方正仿宋_GBK" w:hAnsi="方正仿宋_GBK" w:eastAsia="方正仿宋_GBK" w:cs="方正仿宋_GBK"/>
      <w:color w:val="000000"/>
      <w:sz w:val="21"/>
      <w:szCs w:val="21"/>
      <w:u w:val="none"/>
    </w:rPr>
  </w:style>
  <w:style w:type="character" w:customStyle="1" w:styleId="39">
    <w:name w:val="font41"/>
    <w:basedOn w:val="24"/>
    <w:autoRedefine/>
    <w:qFormat/>
    <w:uiPriority w:val="0"/>
    <w:rPr>
      <w:rFonts w:hint="default" w:ascii="Times New Roman" w:hAnsi="Times New Roman" w:cs="Times New Roman"/>
      <w:color w:val="000000"/>
      <w:sz w:val="22"/>
      <w:szCs w:val="22"/>
      <w:u w:val="none"/>
    </w:rPr>
  </w:style>
  <w:style w:type="character" w:customStyle="1" w:styleId="40">
    <w:name w:val="font61"/>
    <w:basedOn w:val="24"/>
    <w:autoRedefine/>
    <w:qFormat/>
    <w:uiPriority w:val="0"/>
    <w:rPr>
      <w:rFonts w:hint="eastAsia" w:ascii="方正仿宋_GBK" w:hAnsi="方正仿宋_GBK" w:eastAsia="方正仿宋_GBK" w:cs="方正仿宋_GBK"/>
      <w:color w:val="FF0000"/>
      <w:sz w:val="22"/>
      <w:szCs w:val="22"/>
      <w:u w:val="none"/>
    </w:rPr>
  </w:style>
  <w:style w:type="character" w:customStyle="1" w:styleId="41">
    <w:name w:val="font01"/>
    <w:basedOn w:val="24"/>
    <w:autoRedefine/>
    <w:qFormat/>
    <w:uiPriority w:val="0"/>
    <w:rPr>
      <w:rFonts w:hint="eastAsia" w:ascii="等线" w:hAnsi="等线" w:eastAsia="等线" w:cs="等线"/>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23746</Words>
  <Characters>25279</Characters>
  <Lines>0</Lines>
  <Paragraphs>0</Paragraphs>
  <TotalTime>0</TotalTime>
  <ScaleCrop>false</ScaleCrop>
  <LinksUpToDate>false</LinksUpToDate>
  <CharactersWithSpaces>25837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