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8"/>
          <w:szCs w:val="48"/>
          <w:lang w:val="en-US" w:eastAsia="zh-CN"/>
        </w:rPr>
      </w:pPr>
      <w:r>
        <w:rPr>
          <w:rFonts w:hint="eastAsia" w:ascii="黑体" w:hAnsi="黑体" w:eastAsia="黑体" w:cs="Times New Roman"/>
          <w:kern w:val="0"/>
          <w:sz w:val="48"/>
          <w:szCs w:val="48"/>
          <w:lang w:val="en-US" w:eastAsia="zh-CN"/>
        </w:rPr>
        <w:t>同心县红军西征纪念馆陈列展览提升项目绩效评价报告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color w:val="auto"/>
          <w:kern w:val="2"/>
          <w:sz w:val="30"/>
          <w:szCs w:val="30"/>
          <w:highlight w:val="none"/>
          <w:lang w:val="en-US" w:eastAsia="zh-CN" w:bidi="ar-SA"/>
        </w:rPr>
        <w:t>〔2022〕</w:t>
      </w:r>
      <w:r>
        <w:rPr>
          <w:rFonts w:hint="default" w:ascii="Times New Roman" w:hAnsi="Times New Roman" w:eastAsia="楷体" w:cs="Times New Roman"/>
          <w:b w:val="0"/>
          <w:bCs w:val="0"/>
          <w:i w:val="0"/>
          <w:iCs w:val="0"/>
          <w:sz w:val="32"/>
          <w:szCs w:val="32"/>
          <w:highlight w:val="none"/>
        </w:rPr>
        <w:t>第</w:t>
      </w:r>
      <w:r>
        <w:rPr>
          <w:rFonts w:hint="default" w:ascii="Times New Roman" w:hAnsi="Times New Roman" w:eastAsia="楷体" w:cs="Times New Roman"/>
          <w:b w:val="0"/>
          <w:bCs w:val="0"/>
          <w:i w:val="0"/>
          <w:iCs w:val="0"/>
          <w:color w:val="auto"/>
          <w:sz w:val="32"/>
          <w:szCs w:val="32"/>
          <w:highlight w:val="none"/>
          <w:lang w:val="en-US" w:eastAsia="zh-CN"/>
        </w:rPr>
        <w:t>005</w:t>
      </w:r>
      <w:r>
        <w:rPr>
          <w:rFonts w:hint="default" w:ascii="Times New Roman" w:hAnsi="Times New Roman" w:eastAsia="楷体" w:cs="Times New Roman"/>
          <w:b w:val="0"/>
          <w:bCs w:val="0"/>
          <w:i w:val="0"/>
          <w:iCs w:val="0"/>
          <w:sz w:val="32"/>
          <w:szCs w:val="32"/>
          <w:highlight w:val="none"/>
        </w:rPr>
        <w:t>号</w:t>
      </w:r>
    </w:p>
    <w:p>
      <w:pPr>
        <w:keepNext w:val="0"/>
        <w:keepLines w:val="0"/>
        <w:pageBreakBefore w:val="0"/>
        <w:widowControl w:val="0"/>
        <w:kinsoku/>
        <w:wordWrap/>
        <w:overflowPunct w:val="0"/>
        <w:topLinePunct w:val="0"/>
        <w:autoSpaceDE/>
        <w:autoSpaceDN/>
        <w:bidi w:val="0"/>
        <w:adjustRightInd/>
        <w:snapToGrid/>
        <w:spacing w:line="5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黑体" w:hAnsi="黑体" w:eastAsia="黑体" w:cs="黑体"/>
          <w:b w:val="0"/>
          <w:bCs w:val="0"/>
          <w:kern w:val="0"/>
          <w:sz w:val="30"/>
          <w:szCs w:val="30"/>
          <w:lang w:val="en-US" w:eastAsia="zh-CN" w:bidi="en-US"/>
        </w:rPr>
        <w:t>评价机构名称：宁夏万协项目管理有限公司</w:t>
      </w:r>
      <w:r>
        <w:rPr>
          <w:rFonts w:hint="eastAsia" w:ascii="方正小标宋_GBK" w:hAnsi="方正小标宋_GBK" w:eastAsia="方正小标宋_GBK" w:cs="方正小标宋_GBK"/>
          <w:b w:val="0"/>
          <w:bCs w:val="0"/>
          <w:color w:val="1E1C11"/>
          <w:kern w:val="0"/>
          <w:sz w:val="30"/>
          <w:szCs w:val="30"/>
          <w:lang w:val="en-US" w:eastAsia="zh-CN" w:bidi="ar"/>
        </w:rPr>
        <w:t xml:space="preserve"> </w:t>
      </w:r>
    </w:p>
    <w:p>
      <w:pPr>
        <w:keepNext w:val="0"/>
        <w:keepLines w:val="0"/>
        <w:pageBreakBefore w:val="0"/>
        <w:widowControl/>
        <w:suppressLineNumbers w:val="0"/>
        <w:tabs>
          <w:tab w:val="left" w:pos="6286"/>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评价报告时间：二〇二三年十二月</w:t>
      </w:r>
      <w:r>
        <w:rPr>
          <w:rFonts w:hint="eastAsia" w:ascii="黑体" w:hAnsi="黑体" w:eastAsia="黑体" w:cs="黑体"/>
          <w:b w:val="0"/>
          <w:bCs w:val="0"/>
          <w:kern w:val="0"/>
          <w:sz w:val="30"/>
          <w:szCs w:val="30"/>
          <w:lang w:val="en-US" w:eastAsia="zh-CN" w:bidi="en-US"/>
        </w:rPr>
        <w:tab/>
      </w:r>
      <w:r>
        <w:rPr>
          <w:rFonts w:hint="eastAsia" w:ascii="黑体" w:hAnsi="黑体" w:eastAsia="黑体" w:cs="黑体"/>
          <w:b w:val="0"/>
          <w:bCs w:val="0"/>
          <w:kern w:val="0"/>
          <w:sz w:val="30"/>
          <w:szCs w:val="30"/>
          <w:lang w:val="en-US" w:eastAsia="zh-CN" w:bidi="en-US"/>
        </w:rPr>
        <w:t xml:space="preserve"> </w:t>
      </w:r>
    </w:p>
    <w:p>
      <w:pPr>
        <w:spacing w:line="360" w:lineRule="auto"/>
        <w:ind w:left="0" w:leftChars="0" w:firstLine="0" w:firstLineChars="0"/>
        <w:jc w:val="both"/>
        <w:rPr>
          <w:rFonts w:hint="eastAsia" w:ascii="方正小标宋简体" w:hAnsi="方正小标宋简体" w:eastAsia="方正小标宋简体" w:cs="方正小标宋简体"/>
          <w:b w:val="0"/>
          <w:color w:val="000000"/>
          <w:kern w:val="0"/>
          <w:sz w:val="43"/>
          <w:szCs w:val="43"/>
          <w:lang w:val="en-US" w:eastAsia="zh-CN" w:bidi="ar"/>
        </w:rPr>
      </w:pPr>
    </w:p>
    <w:p>
      <w:pPr>
        <w:spacing w:line="360" w:lineRule="auto"/>
        <w:ind w:left="0" w:leftChars="0" w:firstLine="0" w:firstLineChars="0"/>
        <w:jc w:val="center"/>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kinsoku/>
        <w:wordWrap/>
        <w:topLinePunct w:val="0"/>
        <w:autoSpaceDE/>
        <w:autoSpaceDN/>
        <w:bidi w:val="0"/>
        <w:adjustRightInd/>
        <w:snapToGrid/>
        <w:spacing w:line="360" w:lineRule="auto"/>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r>
        <w:rPr>
          <w:rFonts w:hint="eastAsia" w:ascii="方正小标宋简体" w:hAnsi="方正小标宋简体" w:eastAsia="方正小标宋简体" w:cs="方正小标宋简体"/>
          <w:b w:val="0"/>
          <w:color w:val="000000"/>
          <w:kern w:val="0"/>
          <w:sz w:val="43"/>
          <w:szCs w:val="43"/>
          <w:lang w:val="en-US" w:eastAsia="zh-CN" w:bidi="ar"/>
        </w:rPr>
        <w:t>同心县红军西征纪念馆陈列展览提升项目</w:t>
      </w:r>
    </w:p>
    <w:p>
      <w:pPr>
        <w:keepNext w:val="0"/>
        <w:keepLines w:val="0"/>
        <w:pageBreakBefore w:val="0"/>
        <w:kinsoku/>
        <w:wordWrap/>
        <w:topLinePunct w:val="0"/>
        <w:autoSpaceDE/>
        <w:autoSpaceDN/>
        <w:bidi w:val="0"/>
        <w:adjustRightInd/>
        <w:snapToGrid/>
        <w:spacing w:line="360" w:lineRule="auto"/>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r>
        <w:rPr>
          <w:rFonts w:hint="eastAsia" w:ascii="方正小标宋简体" w:hAnsi="方正小标宋简体" w:eastAsia="方正小标宋简体" w:cs="方正小标宋简体"/>
          <w:b w:val="0"/>
          <w:color w:val="000000"/>
          <w:kern w:val="0"/>
          <w:sz w:val="43"/>
          <w:szCs w:val="43"/>
          <w:lang w:val="en-US" w:eastAsia="zh-CN" w:bidi="ar"/>
        </w:rPr>
        <w:t>绩效评价报告</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方正仿宋_GBK" w:cs="Times New Roman"/>
          <w:color w:val="auto"/>
          <w:kern w:val="2"/>
          <w:sz w:val="30"/>
          <w:szCs w:val="30"/>
          <w:highlight w:val="none"/>
          <w:lang w:val="en-US" w:eastAsia="zh-CN" w:bidi="ar-SA"/>
        </w:rPr>
        <w:t>〔2022〕</w:t>
      </w:r>
      <w:r>
        <w:rPr>
          <w:rFonts w:hint="default" w:ascii="Times New Roman" w:hAnsi="Times New Roman" w:eastAsia="楷体" w:cs="Times New Roman"/>
          <w:color w:val="000000"/>
          <w:kern w:val="0"/>
          <w:sz w:val="31"/>
          <w:szCs w:val="31"/>
          <w:lang w:val="en-US" w:eastAsia="zh-CN" w:bidi="ar"/>
        </w:rPr>
        <w:t>第</w:t>
      </w:r>
      <w:r>
        <w:rPr>
          <w:rFonts w:hint="default" w:ascii="Times New Roman" w:hAnsi="Times New Roman" w:eastAsia="楷体" w:cs="Times New Roman"/>
          <w:color w:val="auto"/>
          <w:kern w:val="0"/>
          <w:sz w:val="31"/>
          <w:szCs w:val="31"/>
          <w:lang w:val="en-US" w:eastAsia="zh-CN" w:bidi="ar"/>
        </w:rPr>
        <w:t>005</w:t>
      </w:r>
      <w:r>
        <w:rPr>
          <w:rFonts w:hint="default" w:ascii="Times New Roman" w:hAnsi="Times New Roman" w:eastAsia="楷体" w:cs="Times New Roman"/>
          <w:color w:val="000000"/>
          <w:kern w:val="0"/>
          <w:sz w:val="31"/>
          <w:szCs w:val="31"/>
          <w:lang w:val="en-US" w:eastAsia="zh-CN" w:bidi="ar"/>
        </w:rPr>
        <w:t>号</w:t>
      </w:r>
    </w:p>
    <w:p>
      <w:pPr>
        <w:keepNext w:val="0"/>
        <w:keepLines w:val="0"/>
        <w:pageBreakBefore w:val="0"/>
        <w:widowControl/>
        <w:suppressLineNumbers w:val="0"/>
        <w:kinsoku/>
        <w:wordWrap/>
        <w:topLinePunct w:val="0"/>
        <w:autoSpaceDE/>
        <w:autoSpaceDN/>
        <w:bidi w:val="0"/>
        <w:adjustRightInd/>
        <w:snapToGrid/>
        <w:jc w:val="left"/>
        <w:textAlignment w:val="auto"/>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1057" w:firstLineChars="341"/>
        <w:jc w:val="left"/>
        <w:rPr>
          <w:rFonts w:ascii="方正小标宋_GBK" w:hAnsi="方正小标宋_GBK" w:eastAsia="方正小标宋_GBK" w:cs="方正小标宋_GBK"/>
          <w:color w:val="000000"/>
          <w:kern w:val="0"/>
          <w:sz w:val="31"/>
          <w:szCs w:val="31"/>
          <w:lang w:val="en-US" w:eastAsia="zh-CN" w:bidi="ar"/>
        </w:rPr>
      </w:pPr>
      <w:r>
        <w:rPr>
          <w:rFonts w:hint="eastAsia" w:ascii="方正小标宋_GBK" w:hAnsi="方正小标宋_GBK" w:eastAsia="方正小标宋_GBK" w:cs="方正小标宋_GBK"/>
          <w:color w:val="000000"/>
          <w:kern w:val="0"/>
          <w:sz w:val="31"/>
          <w:szCs w:val="31"/>
          <w:lang w:val="en-US" w:eastAsia="zh-CN" w:bidi="ar"/>
        </w:rPr>
        <w:tab/>
      </w:r>
    </w:p>
    <w:p>
      <w:pPr>
        <w:keepNext w:val="0"/>
        <w:keepLines w:val="0"/>
        <w:pageBreakBefore w:val="0"/>
        <w:widowControl/>
        <w:suppressLineNumbers w:val="0"/>
        <w:tabs>
          <w:tab w:val="left" w:pos="960"/>
        </w:tabs>
        <w:kinsoku/>
        <w:wordWrap/>
        <w:overflowPunct w:val="0"/>
        <w:topLinePunct w:val="0"/>
        <w:autoSpaceDE/>
        <w:autoSpaceDN/>
        <w:bidi w:val="0"/>
        <w:adjustRightInd/>
        <w:snapToGrid/>
        <w:ind w:firstLine="1400" w:firstLineChars="5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firstLine="1400" w:firstLineChars="5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w:t>
      </w:r>
      <w:r>
        <w:rPr>
          <w:rFonts w:hint="eastAsia" w:ascii="方正小标宋_GBK" w:hAnsi="方正小标宋_GBK" w:eastAsia="方正小标宋_GBK" w:cs="方正小标宋_GBK"/>
          <w:color w:val="1E1C11"/>
          <w:spacing w:val="-20"/>
          <w:kern w:val="0"/>
          <w:sz w:val="28"/>
          <w:szCs w:val="28"/>
          <w:lang w:val="en-US" w:eastAsia="zh-CN" w:bidi="ar"/>
        </w:rPr>
        <w:t>对象名</w:t>
      </w:r>
      <w:r>
        <w:rPr>
          <w:rFonts w:hint="eastAsia" w:ascii="方正小标宋_GBK" w:hAnsi="方正小标宋_GBK" w:eastAsia="方正小标宋_GBK" w:cs="方正小标宋_GBK"/>
          <w:color w:val="1E1C11"/>
          <w:kern w:val="0"/>
          <w:sz w:val="28"/>
          <w:szCs w:val="28"/>
          <w:lang w:val="en-US" w:eastAsia="zh-CN" w:bidi="ar"/>
        </w:rPr>
        <w:t>称：同心县文化旅游体育广电局</w:t>
      </w:r>
    </w:p>
    <w:p>
      <w:pPr>
        <w:keepNext w:val="0"/>
        <w:keepLines w:val="0"/>
        <w:pageBreakBefore w:val="0"/>
        <w:widowControl/>
        <w:suppressLineNumbers w:val="0"/>
        <w:kinsoku/>
        <w:wordWrap/>
        <w:overflowPunct w:val="0"/>
        <w:topLinePunct w:val="0"/>
        <w:autoSpaceDE/>
        <w:autoSpaceDN/>
        <w:bidi w:val="0"/>
        <w:adjustRightInd/>
        <w:snapToGrid/>
        <w:ind w:firstLine="1400" w:firstLineChars="5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firstLine="1400" w:firstLineChars="5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3001"/>
      <w:bookmarkStart w:id="1" w:name="_Toc20131"/>
      <w:r>
        <w:rPr>
          <w:rFonts w:hint="eastAsia" w:asciiTheme="majorEastAsia" w:hAnsiTheme="majorEastAsia" w:eastAsiaTheme="majorEastAsia" w:cstheme="majorEastAsia"/>
          <w:b/>
          <w:bCs/>
          <w:sz w:val="30"/>
          <w:szCs w:val="30"/>
          <w:lang w:val="en-US" w:eastAsia="zh-CN"/>
        </w:rPr>
        <w:t>一、项目背景</w:t>
      </w:r>
      <w:bookmarkEnd w:id="0"/>
      <w:bookmarkEnd w:id="1"/>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2" w:name="_Toc13114"/>
      <w:bookmarkStart w:id="3" w:name="_Toc18303"/>
      <w:bookmarkStart w:id="4" w:name="_Toc32242"/>
      <w:r>
        <w:rPr>
          <w:rFonts w:hint="default" w:ascii="Times New Roman" w:hAnsi="Times New Roman" w:eastAsia="方正仿宋_GBK" w:cs="Times New Roman"/>
          <w:color w:val="auto"/>
          <w:kern w:val="0"/>
          <w:sz w:val="30"/>
          <w:szCs w:val="30"/>
          <w:lang w:val="en-US" w:eastAsia="zh-CN" w:bidi="zh-CN"/>
        </w:rPr>
        <w:t>石榴花开，籽籽同心。行走在同心县的山水间，每一寸土地都记录着同心人的坚韧和不屈。多年来，红色热土发生巨变，但不变的是流淌在同心人血脉中的红色基因。</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同心作为革命老区，红色文化在这里代代传承。多年来，同心县紧扣铸牢中华民族共同体意识主线，积极构筑各民族共有精神家园，促进各民族交往交流交融。全县民族团结，经济社会各项事业持续健康发展，各族群众的获得感成色更足、幸福感更可持续、安全感更有保障。</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为更好地讲好红色故事、传承红色基因，进一步擦亮 “红色同心”名片，2021年</w:t>
      </w:r>
      <w:r>
        <w:rPr>
          <w:rFonts w:hint="eastAsia" w:ascii="Times New Roman" w:hAnsi="Times New Roman" w:eastAsia="方正仿宋_GBK" w:cs="Times New Roman"/>
          <w:color w:val="auto"/>
          <w:kern w:val="0"/>
          <w:sz w:val="30"/>
          <w:szCs w:val="30"/>
          <w:lang w:val="en-US" w:eastAsia="zh-CN" w:bidi="zh-CN"/>
        </w:rPr>
        <w:t>同心</w:t>
      </w:r>
      <w:r>
        <w:rPr>
          <w:rFonts w:hint="default" w:ascii="Times New Roman" w:hAnsi="Times New Roman" w:eastAsia="方正仿宋_GBK" w:cs="Times New Roman"/>
          <w:color w:val="auto"/>
          <w:kern w:val="0"/>
          <w:sz w:val="30"/>
          <w:szCs w:val="30"/>
          <w:lang w:val="en-US" w:eastAsia="zh-CN" w:bidi="zh-CN"/>
        </w:rPr>
        <w:t>县启动了红军西征纪念园基础设施改造提升项目，主要对红军西征纪念馆主体进行改造建设并对布展进行提升，同时，对红军西征纪念园景区内的绿化景观、停车场等基础设施进行改造提升。</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改造提升后的红军西征纪念园将包括综合服务区、西征文化体验区、红色研学拓展区、娱乐休闲区等四大分区，着重突出红军西征历史、铸牢中华民族共同体意识、红色文化研学等主题，使全县旅游服务水平和社会效益得到明显提高，文旅资源得到全面展示，“文化兴县”目标得以彰显，持续推动我县文化旅游产业高质量发展，成为全县文化旅游产业发展总体布局中的核心点。</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0"/>
          <w:sz w:val="30"/>
          <w:szCs w:val="30"/>
          <w:lang w:val="en-US" w:eastAsia="zh-CN" w:bidi="zh-CN"/>
        </w:rPr>
      </w:pPr>
      <w:r>
        <w:rPr>
          <w:rFonts w:hint="eastAsia" w:asciiTheme="majorEastAsia" w:hAnsiTheme="majorEastAsia" w:eastAsiaTheme="majorEastAsia" w:cstheme="majorEastAsia"/>
          <w:b/>
          <w:bCs/>
          <w:kern w:val="44"/>
          <w:sz w:val="30"/>
          <w:szCs w:val="30"/>
          <w:lang w:val="en-US" w:eastAsia="zh-CN" w:bidi="ar-SA"/>
        </w:rPr>
        <w:t>二.项目预算资金</w:t>
      </w:r>
      <w:bookmarkEnd w:id="2"/>
      <w:bookmarkEnd w:id="3"/>
      <w:bookmarkEnd w:id="4"/>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5" w:name="_Toc3837"/>
      <w:r>
        <w:rPr>
          <w:rFonts w:hint="eastAsia" w:ascii="Times New Roman" w:hAnsi="Times New Roman" w:eastAsia="方正仿宋_GBK" w:cs="Times New Roman"/>
          <w:color w:val="auto"/>
          <w:kern w:val="0"/>
          <w:sz w:val="30"/>
          <w:szCs w:val="30"/>
          <w:lang w:val="en-US" w:eastAsia="zh-CN" w:bidi="zh-CN"/>
        </w:rPr>
        <w:t>2022年8月24日，根据同心县人大常委会《关于批准同心县本级财政 2022 年第二批新增政府一般债券资金预算调整方案的决议》（同人常发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0"/>
          <w:sz w:val="30"/>
          <w:szCs w:val="30"/>
          <w:lang w:val="en-US" w:eastAsia="zh-CN" w:bidi="zh-CN"/>
        </w:rPr>
        <w:t xml:space="preserve"> 24 号）精神，县财政局筹措资金350万元，用于解决同心县红军西征纪念馆陈列展览提升项目建设资金。截至评价时点，实际拨付资金350.00万元，支出350.00万元，预算执行率100%</w:t>
      </w:r>
      <w:r>
        <w:rPr>
          <w:rFonts w:hint="default" w:ascii="Times New Roman" w:hAnsi="Times New Roman" w:eastAsia="方正仿宋_GBK" w:cs="Times New Roman"/>
          <w:color w:val="auto"/>
          <w:kern w:val="0"/>
          <w:sz w:val="30"/>
          <w:szCs w:val="30"/>
          <w:lang w:val="en-US" w:eastAsia="zh-CN" w:bidi="zh-CN"/>
        </w:rPr>
        <w:t>。</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kern w:val="44"/>
          <w:sz w:val="30"/>
          <w:szCs w:val="30"/>
          <w:lang w:val="en-US" w:eastAsia="zh-CN" w:bidi="ar-SA"/>
        </w:rPr>
      </w:pPr>
      <w:bookmarkStart w:id="6" w:name="_Toc20154"/>
      <w:bookmarkStart w:id="7" w:name="_Toc23092"/>
      <w:r>
        <w:rPr>
          <w:rFonts w:hint="eastAsia" w:asciiTheme="majorEastAsia" w:hAnsiTheme="majorEastAsia" w:eastAsiaTheme="majorEastAsia" w:cstheme="majorEastAsia"/>
          <w:b/>
          <w:bCs/>
          <w:kern w:val="44"/>
          <w:sz w:val="30"/>
          <w:szCs w:val="30"/>
          <w:lang w:val="en-US" w:eastAsia="zh-CN" w:bidi="ar-SA"/>
        </w:rPr>
        <w:t>二、评价结论</w:t>
      </w:r>
      <w:bookmarkEnd w:id="5"/>
      <w:bookmarkEnd w:id="6"/>
      <w:bookmarkEnd w:id="7"/>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eastAsia" w:ascii="Times New Roman" w:hAnsi="Times New Roman" w:eastAsia="方正仿宋_GBK" w:cs="Times New Roman"/>
          <w:color w:val="auto"/>
          <w:kern w:val="0"/>
          <w:sz w:val="30"/>
          <w:szCs w:val="30"/>
          <w:lang w:val="en-US" w:eastAsia="zh-CN" w:bidi="zh-CN"/>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0000FF"/>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通过资料收集、现场访谈和问卷调查获取的数据，评价组对</w:t>
      </w:r>
      <w:r>
        <w:rPr>
          <w:rFonts w:hint="eastAsia" w:ascii="Times New Roman" w:hAnsi="Times New Roman" w:eastAsia="方正仿宋_GBK" w:cs="Times New Roman"/>
          <w:color w:val="auto"/>
          <w:kern w:val="0"/>
          <w:sz w:val="30"/>
          <w:szCs w:val="30"/>
          <w:lang w:val="en-US" w:eastAsia="zh-CN" w:bidi="zh-CN"/>
        </w:rPr>
        <w:t>同心县红军西征纪念馆陈列展览提升项目进行</w:t>
      </w:r>
      <w:r>
        <w:rPr>
          <w:rFonts w:hint="default" w:ascii="Times New Roman" w:hAnsi="Times New Roman" w:eastAsia="方正仿宋_GBK" w:cs="Times New Roman"/>
          <w:color w:val="auto"/>
          <w:kern w:val="0"/>
          <w:sz w:val="30"/>
          <w:szCs w:val="30"/>
          <w:lang w:val="en-US" w:eastAsia="zh-CN" w:bidi="zh-CN"/>
        </w:rPr>
        <w:t>了独立客观公正的评价，最终得分为</w:t>
      </w:r>
      <w:r>
        <w:rPr>
          <w:rFonts w:hint="default" w:ascii="Times New Roman" w:hAnsi="Times New Roman" w:eastAsia="方正仿宋_GBK" w:cs="Times New Roman"/>
          <w:b/>
          <w:bCs/>
          <w:color w:val="auto"/>
          <w:kern w:val="0"/>
          <w:sz w:val="30"/>
          <w:szCs w:val="30"/>
          <w:lang w:val="en-US" w:eastAsia="zh-CN" w:bidi="zh-CN"/>
        </w:rPr>
        <w:t>“</w:t>
      </w:r>
      <w:r>
        <w:rPr>
          <w:rFonts w:hint="eastAsia" w:ascii="Times New Roman" w:hAnsi="Times New Roman" w:eastAsia="方正仿宋_GBK" w:cs="Times New Roman"/>
          <w:b/>
          <w:bCs/>
          <w:color w:val="auto"/>
          <w:kern w:val="0"/>
          <w:sz w:val="30"/>
          <w:szCs w:val="30"/>
          <w:lang w:val="en-US" w:eastAsia="zh-CN" w:bidi="zh-CN"/>
        </w:rPr>
        <w:t>91.00</w:t>
      </w:r>
      <w:r>
        <w:rPr>
          <w:rFonts w:hint="default" w:ascii="Times New Roman" w:hAnsi="Times New Roman" w:eastAsia="方正仿宋_GBK" w:cs="Times New Roman"/>
          <w:b/>
          <w:bCs/>
          <w:color w:val="auto"/>
          <w:kern w:val="0"/>
          <w:sz w:val="30"/>
          <w:szCs w:val="30"/>
          <w:lang w:val="en-US" w:eastAsia="zh-CN" w:bidi="zh-CN"/>
        </w:rPr>
        <w:t>分”</w:t>
      </w:r>
      <w:r>
        <w:rPr>
          <w:rFonts w:hint="default" w:ascii="Times New Roman" w:hAnsi="Times New Roman" w:eastAsia="方正仿宋_GBK" w:cs="Times New Roman"/>
          <w:color w:val="auto"/>
          <w:kern w:val="0"/>
          <w:sz w:val="30"/>
          <w:szCs w:val="30"/>
          <w:lang w:val="en-US" w:eastAsia="zh-CN" w:bidi="zh-CN"/>
        </w:rPr>
        <w:t>，评价结果为</w:t>
      </w:r>
      <w:r>
        <w:rPr>
          <w:rFonts w:hint="default" w:ascii="Times New Roman" w:hAnsi="Times New Roman" w:eastAsia="方正仿宋_GBK" w:cs="Times New Roman"/>
          <w:b/>
          <w:bCs/>
          <w:color w:val="auto"/>
          <w:kern w:val="0"/>
          <w:sz w:val="30"/>
          <w:szCs w:val="30"/>
          <w:lang w:val="en-US" w:eastAsia="zh-CN" w:bidi="zh-CN"/>
        </w:rPr>
        <w:t>“</w:t>
      </w:r>
      <w:r>
        <w:rPr>
          <w:rFonts w:hint="eastAsia" w:ascii="Times New Roman" w:hAnsi="Times New Roman" w:eastAsia="方正仿宋_GBK" w:cs="Times New Roman"/>
          <w:b/>
          <w:bCs/>
          <w:color w:val="auto"/>
          <w:kern w:val="0"/>
          <w:sz w:val="30"/>
          <w:szCs w:val="30"/>
          <w:lang w:val="en-US" w:eastAsia="zh-CN" w:bidi="zh-CN"/>
        </w:rPr>
        <w:t>优</w:t>
      </w:r>
      <w:r>
        <w:rPr>
          <w:rFonts w:hint="default" w:ascii="Times New Roman" w:hAnsi="Times New Roman" w:eastAsia="方正仿宋_GBK" w:cs="Times New Roman"/>
          <w:b/>
          <w:bCs/>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Theme="majorEastAsia" w:hAnsiTheme="majorEastAsia" w:eastAsiaTheme="majorEastAsia" w:cstheme="majorEastAsia"/>
          <w:b/>
          <w:bCs/>
          <w:kern w:val="44"/>
          <w:sz w:val="30"/>
          <w:szCs w:val="30"/>
          <w:lang w:val="en-US" w:eastAsia="zh-CN" w:bidi="ar-SA"/>
        </w:rPr>
      </w:pPr>
      <w:bookmarkStart w:id="8" w:name="_Toc30527"/>
      <w:bookmarkStart w:id="9" w:name="_Toc12376"/>
      <w:bookmarkStart w:id="10" w:name="_Toc21407"/>
      <w:bookmarkStart w:id="11" w:name="_Toc10088"/>
      <w:bookmarkStart w:id="12" w:name="_Toc16100"/>
      <w:bookmarkStart w:id="13" w:name="_Toc17761"/>
      <w:r>
        <w:rPr>
          <w:rFonts w:hint="eastAsia" w:asciiTheme="majorEastAsia" w:hAnsiTheme="majorEastAsia" w:eastAsiaTheme="majorEastAsia" w:cstheme="majorEastAsia"/>
          <w:b/>
          <w:bCs/>
          <w:kern w:val="44"/>
          <w:sz w:val="30"/>
          <w:szCs w:val="30"/>
          <w:lang w:val="en-US" w:eastAsia="zh-CN" w:bidi="ar-SA"/>
        </w:rPr>
        <w:t>三、主要经验</w:t>
      </w:r>
      <w:bookmarkEnd w:id="8"/>
      <w:bookmarkEnd w:id="9"/>
      <w:bookmarkEnd w:id="10"/>
      <w:bookmarkEnd w:id="11"/>
      <w:bookmarkEnd w:id="12"/>
      <w:bookmarkEnd w:id="13"/>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14" w:name="_Toc3362"/>
      <w:bookmarkStart w:id="15" w:name="_Toc29010"/>
      <w:bookmarkStart w:id="16" w:name="_Toc5586"/>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同心县文化旅游体育广电局在红军西征纪念园基础设施提升项目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ind w:firstLine="592" w:firstLineChars="200"/>
        <w:rPr>
          <w:rFonts w:hint="eastAsia" w:ascii="Times New Roman" w:hAnsi="Times New Roman" w:eastAsia="方正仿宋_GBK" w:cs="Times New Roman"/>
          <w:color w:val="auto"/>
          <w:kern w:val="0"/>
          <w:sz w:val="30"/>
          <w:szCs w:val="30"/>
          <w:lang w:val="en-US" w:eastAsia="zh-CN" w:bidi="zh-CN"/>
        </w:rPr>
      </w:pPr>
      <w:bookmarkStart w:id="17" w:name="_Toc3831"/>
      <w:bookmarkStart w:id="18" w:name="_Toc23081"/>
      <w:r>
        <w:rPr>
          <w:rFonts w:hint="eastAsia" w:ascii="Times New Roman" w:hAnsi="Times New Roman" w:eastAsia="方正仿宋_GBK" w:cs="Times New Roman"/>
          <w:b/>
          <w:bCs/>
          <w:color w:val="auto"/>
          <w:kern w:val="0"/>
          <w:sz w:val="30"/>
          <w:szCs w:val="30"/>
          <w:lang w:val="en-US" w:eastAsia="zh-CN" w:bidi="zh-CN"/>
        </w:rPr>
        <w:t>一是多措并举，科学谋划。</w:t>
      </w:r>
      <w:r>
        <w:rPr>
          <w:rFonts w:hint="default" w:ascii="Times New Roman" w:hAnsi="Times New Roman" w:eastAsia="方正仿宋_GBK" w:cs="Times New Roman"/>
          <w:color w:val="auto"/>
          <w:kern w:val="0"/>
          <w:sz w:val="30"/>
          <w:szCs w:val="30"/>
          <w:lang w:val="en-US" w:eastAsia="zh-CN" w:bidi="zh-CN"/>
        </w:rPr>
        <w:t>聘请专家团队对纪念馆陈列内容进行严格审核，确保布展内容经得起权威检验，客观、真实、合理地反映红军西征在同心的历史。强化组织领导，从体制机制、人才要素等方面给予保障，加强文化旅游干部队伍建设，吸纳培养专业人才，为“文化兴县”提供坚强的保证。</w:t>
      </w:r>
    </w:p>
    <w:p>
      <w:pPr>
        <w:ind w:firstLine="592" w:firstLineChars="200"/>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二是立足资源讲述民族团结历史。</w:t>
      </w:r>
      <w:r>
        <w:rPr>
          <w:rFonts w:hint="eastAsia" w:ascii="Times New Roman" w:hAnsi="Times New Roman" w:eastAsia="方正仿宋_GBK" w:cs="Times New Roman"/>
          <w:kern w:val="2"/>
          <w:sz w:val="30"/>
          <w:szCs w:val="30"/>
          <w:lang w:val="en-US" w:eastAsia="zh-CN" w:bidi="zh-CN"/>
        </w:rPr>
        <w:t>深入挖掘党在西征中的民族政策、民族团结史，总结民族团结在革命历史进程中的宝贵经验。在展览章节中，设有民族工作和民族团结的板块，并以文物和史实为支撑，讲好党的故事，讲好民族团结进步的故事，成为宣传民族团结、增强民族团结的凝聚力和向心力。</w:t>
      </w:r>
    </w:p>
    <w:p>
      <w:pPr>
        <w:ind w:firstLine="592" w:firstLineChars="200"/>
        <w:rPr>
          <w:rFonts w:hint="default"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三是发挥职能讲好民族团结故事</w:t>
      </w:r>
      <w:r>
        <w:rPr>
          <w:rFonts w:hint="eastAsia" w:ascii="Times New Roman" w:hAnsi="Times New Roman" w:eastAsia="方正仿宋_GBK" w:cs="Times New Roman"/>
          <w:kern w:val="2"/>
          <w:sz w:val="30"/>
          <w:szCs w:val="30"/>
          <w:lang w:val="en-US" w:eastAsia="zh-CN" w:bidi="zh-CN"/>
        </w:rPr>
        <w:t>。</w:t>
      </w:r>
      <w:r>
        <w:rPr>
          <w:rFonts w:hint="eastAsia" w:ascii="方正仿宋_GBK" w:hAnsi="方正仿宋_GBK" w:eastAsia="方正仿宋_GBK" w:cs="方正仿宋_GBK"/>
          <w:kern w:val="2"/>
          <w:sz w:val="30"/>
          <w:szCs w:val="30"/>
          <w:lang w:val="en-US" w:eastAsia="zh-CN" w:bidi="zh-CN"/>
        </w:rPr>
        <w:t>本次西征纪念馆的改造提升，在尊重历史再现历史的原则上，充分利用场景复原、雕塑、油画、声光电多媒体技术等多元化的表现手段再现了红军西征这段波澜壮阔的历</w:t>
      </w:r>
      <w:r>
        <w:rPr>
          <w:rFonts w:hint="default" w:ascii="Times New Roman" w:hAnsi="Times New Roman" w:eastAsia="方正仿宋_GBK" w:cs="Times New Roman"/>
          <w:kern w:val="2"/>
          <w:sz w:val="30"/>
          <w:szCs w:val="30"/>
          <w:lang w:val="en-US" w:eastAsia="zh-CN" w:bidi="zh-CN"/>
        </w:rPr>
        <w:t>史。2020年被自治区旅游景区质量评定委员会评定为国家4A级旅游景区，也是国内唯一一家以红军西征为主题的纪念场所、全国百家红色经典景区之一。</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44"/>
          <w:sz w:val="30"/>
          <w:szCs w:val="30"/>
          <w:lang w:val="en-US" w:eastAsia="zh-CN" w:bidi="ar-SA"/>
        </w:rPr>
      </w:pPr>
      <w:bookmarkStart w:id="19" w:name="_Toc26415"/>
      <w:bookmarkStart w:id="20" w:name="_Toc27400"/>
      <w:r>
        <w:rPr>
          <w:rFonts w:hint="eastAsia" w:asciiTheme="majorEastAsia" w:hAnsiTheme="majorEastAsia" w:eastAsiaTheme="majorEastAsia" w:cstheme="majorEastAsia"/>
          <w:b/>
          <w:bCs/>
          <w:kern w:val="44"/>
          <w:sz w:val="30"/>
          <w:szCs w:val="30"/>
          <w:lang w:val="en-US" w:eastAsia="zh-CN" w:bidi="ar-SA"/>
        </w:rPr>
        <w:t>四、存在的问题及建议</w:t>
      </w:r>
      <w:bookmarkEnd w:id="17"/>
      <w:bookmarkEnd w:id="18"/>
      <w:bookmarkEnd w:id="19"/>
      <w:bookmarkEnd w:id="20"/>
    </w:p>
    <w:p>
      <w:pPr>
        <w:pStyle w:val="4"/>
        <w:pageBreakBefore w:val="0"/>
        <w:kinsoku/>
        <w:wordWrap/>
        <w:overflowPunct w:val="0"/>
        <w:topLinePunct w:val="0"/>
        <w:autoSpaceDE/>
        <w:autoSpaceDN/>
        <w:bidi w:val="0"/>
        <w:adjustRightInd/>
        <w:spacing w:beforeLines="0" w:afterLines="0"/>
        <w:textAlignment w:val="auto"/>
        <w:rPr>
          <w:rFonts w:hint="eastAsia" w:ascii="方正楷体_GBK" w:hAnsi="方正楷体_GBK" w:eastAsia="方正楷体_GBK" w:cs="方正楷体_GBK"/>
          <w:sz w:val="30"/>
          <w:szCs w:val="30"/>
          <w:lang w:val="en-US" w:eastAsia="zh-CN"/>
        </w:rPr>
      </w:pPr>
      <w:bookmarkStart w:id="21" w:name="_Toc28919"/>
      <w:bookmarkStart w:id="22" w:name="_Toc16849"/>
      <w:bookmarkStart w:id="23" w:name="_Toc3916"/>
      <w:bookmarkStart w:id="24" w:name="_Toc15034"/>
      <w:r>
        <w:rPr>
          <w:rFonts w:hint="eastAsia" w:ascii="方正楷体_GBK" w:hAnsi="方正楷体_GBK" w:eastAsia="方正楷体_GBK" w:cs="方正楷体_GBK"/>
          <w:sz w:val="30"/>
          <w:szCs w:val="30"/>
          <w:lang w:val="en-US" w:eastAsia="zh-CN"/>
        </w:rPr>
        <w:t>（一）</w:t>
      </w:r>
      <w:r>
        <w:rPr>
          <w:rFonts w:hint="eastAsia" w:ascii="方正楷体_GBK" w:hAnsi="方正楷体_GBK" w:eastAsia="方正楷体_GBK" w:cs="方正楷体_GBK"/>
          <w:sz w:val="30"/>
          <w:szCs w:val="30"/>
        </w:rPr>
        <w:t>存在</w:t>
      </w:r>
      <w:r>
        <w:rPr>
          <w:rFonts w:hint="eastAsia" w:ascii="方正楷体_GBK" w:hAnsi="方正楷体_GBK" w:eastAsia="方正楷体_GBK" w:cs="方正楷体_GBK"/>
          <w:sz w:val="30"/>
          <w:szCs w:val="30"/>
          <w:lang w:val="en-US" w:eastAsia="zh-CN"/>
        </w:rPr>
        <w:t>的</w:t>
      </w:r>
      <w:r>
        <w:rPr>
          <w:rFonts w:hint="eastAsia" w:ascii="方正楷体_GBK" w:hAnsi="方正楷体_GBK" w:eastAsia="方正楷体_GBK" w:cs="方正楷体_GBK"/>
          <w:sz w:val="30"/>
          <w:szCs w:val="30"/>
        </w:rPr>
        <w:t>问题</w:t>
      </w:r>
      <w:bookmarkEnd w:id="21"/>
      <w:bookmarkEnd w:id="22"/>
      <w:bookmarkEnd w:id="23"/>
      <w:bookmarkEnd w:id="24"/>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1.项目完工后，久拖不“决”。</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在资料审阅过程中发现，同心县红军西征纪念馆陈列展览提升项目在竣工财务决算编制、会计核算、在建工程“转固”等方面存在一些亟待解决的问题。竣工财务决算工作严重滞后，导致新增资产价值难以确认。</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2.项目未建立长效机制。</w:t>
      </w:r>
    </w:p>
    <w:p>
      <w:pPr>
        <w:pStyle w:val="1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经查阅资料，项目未建立或具备长期维护机制、方案；未明确养护责任部门、配备维护管理人员；养护维护支持经费来源没有保障；项目在竣工后也未定制细化可操作执行的维护方案。</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r>
        <w:rPr>
          <w:rFonts w:hint="eastAsia" w:ascii="方正楷体_GBK" w:hAnsi="方正楷体_GBK" w:eastAsia="方正楷体_GBK" w:cs="方正楷体_GBK"/>
          <w:color w:val="333333"/>
          <w:sz w:val="30"/>
          <w:szCs w:val="30"/>
          <w:shd w:val="clear" w:fill="FFFFFF"/>
          <w:lang w:val="en-US" w:eastAsia="zh-CN" w:bidi="zh-CN"/>
        </w:rPr>
        <w:t>（三）建议</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1.提升决算意识，履行决算职能</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color w:val="000000"/>
          <w:kern w:val="0"/>
          <w:sz w:val="30"/>
          <w:szCs w:val="30"/>
          <w:lang w:val="en-US" w:eastAsia="zh-CN" w:bidi="ar"/>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color w:val="000000"/>
          <w:kern w:val="0"/>
          <w:sz w:val="30"/>
          <w:szCs w:val="30"/>
          <w:lang w:val="en-US" w:eastAsia="zh-CN" w:bidi="ar"/>
        </w:rPr>
        <w:t>厘清资产权属，明确移交流程。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2.建立健全后期维护机制。 </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建立长效管护机制，落实到位。项目建成完工验收后，建设单位依照相关程序办理移交手续。并且制定具体可操作性强的长效管护机制，</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明确职责落实责任，管护到位。按照“谁所有、谁受益、谁管理”的原则，明确管护主体，明确管理的具体实施范围及责任。</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632" w:firstLineChars="200"/>
        <w:jc w:val="both"/>
        <w:textAlignment w:val="auto"/>
      </w:pPr>
    </w:p>
    <w:bookmarkEnd w:id="14"/>
    <w:bookmarkEnd w:id="15"/>
    <w:bookmarkEnd w:id="16"/>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b/>
          <w:bCs/>
          <w:sz w:val="30"/>
          <w:szCs w:val="30"/>
          <w:lang w:val="en-US" w:eastAsia="zh-CN"/>
        </w:rPr>
        <w:t>目 录</w:t>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TOC \o "1-3" \h \u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_Toc28472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_Toc28472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_Toc6092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_Toc6092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_Toc8374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_Toc8374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_Toc17015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二、资金情况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_Toc17015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_Toc6765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（一）资金来源情况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_Toc6765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_Toc17103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_Toc17103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_Toc16650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（三）资金管理情况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_Toc16650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_Toc1953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（四）资金使用情况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_Toc1953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_Toc14775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_Toc14775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_Toc29906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_Toc29906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_Toc8793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 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_Toc8793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_Toc17385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_Toc17385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_Toc4670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_Toc4670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_Toc1790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_Toc1790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_Toc4403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_Toc4403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_Toc26551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_Toc26551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_Toc32623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（五）评价标准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_Toc32623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_Toc17776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ascii="仿宋" w:hAnsi="仿宋" w:eastAsia="仿宋" w:cs="仿宋"/>
          <w:sz w:val="24"/>
          <w:szCs w:val="24"/>
          <w:lang w:eastAsia="zh-CN"/>
        </w:rPr>
        <w:t>六</w:t>
      </w:r>
      <w:r>
        <w:rPr>
          <w:rFonts w:hint="eastAsia" w:ascii="仿宋" w:hAnsi="仿宋" w:eastAsia="仿宋" w:cs="仿宋"/>
          <w:sz w:val="24"/>
          <w:szCs w:val="24"/>
        </w:rPr>
        <w:t>）评价指标体系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_Toc17776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_Toc10745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eastAsia="zh-CN"/>
        </w:rPr>
        <w:t>（七）</w:t>
      </w:r>
      <w:r>
        <w:rPr>
          <w:rFonts w:hint="eastAsia" w:ascii="仿宋" w:hAnsi="仿宋" w:eastAsia="仿宋" w:cs="仿宋"/>
          <w:sz w:val="24"/>
          <w:szCs w:val="24"/>
        </w:rPr>
        <w:t>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_Toc10745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_Toc24143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（八）绩效评价工作过程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_Toc24143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_Toc22511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、综合评价情况及评价结论</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_Toc22511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13</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_Toc18508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（一）项目完成情况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_Toc18508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_Toc9004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（二）评价结论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_Toc9004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_Toc913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六、绩效评价指标分析</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_Toc913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16</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_Toc28799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（一）项目决策情况分析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_Toc28799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_Toc14792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（二）项目过程情况分析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_Toc14792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_Toc3808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（三）</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产出</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_Toc3808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_Toc15934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（四）</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效益</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_Toc15934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_Toc27298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七、主要经验做法、存在问题及建议</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_Toc27298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26</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_Toc24475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（一）经验做法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_Toc24475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_Toc31269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bidi="zh-CN"/>
        </w:rPr>
        <w:t>（二）存在的问题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_Toc31269 \h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_Toc1682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shd w:val="clear" w:fill="FFFFFF"/>
          <w:lang w:val="en-US" w:eastAsia="zh-CN" w:bidi="zh-CN"/>
        </w:rPr>
        <w:t>（三）建议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_Toc1682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_Toc13278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八、其他需要说明的问题</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_Toc13278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29</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keepNext w:val="0"/>
        <w:keepLines w:val="0"/>
        <w:pageBreakBefore w:val="0"/>
        <w:widowControl w:val="0"/>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同心县红军西征纪念馆陈列展览提升项目</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5" w:name="_Toc12033"/>
      <w:bookmarkStart w:id="26" w:name="_Toc30196"/>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，宁夏万协项目管理有限公司受同心县财政局委托，对同心县红军西征纪念馆陈列展览提升项目开展绩效评价相关工作。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27" w:name="_Toc28472"/>
      <w:r>
        <w:rPr>
          <w:rFonts w:hint="eastAsia" w:asciiTheme="majorEastAsia" w:hAnsiTheme="majorEastAsia" w:eastAsiaTheme="majorEastAsia" w:cstheme="majorEastAsia"/>
          <w:b/>
          <w:bCs/>
          <w:sz w:val="30"/>
          <w:szCs w:val="30"/>
          <w:lang w:val="en-US" w:eastAsia="zh-CN"/>
        </w:rPr>
        <w:t>一、项目基本情况</w:t>
      </w:r>
      <w:bookmarkEnd w:id="25"/>
      <w:bookmarkEnd w:id="26"/>
      <w:bookmarkEnd w:id="27"/>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8" w:name="_Toc25760"/>
      <w:bookmarkStart w:id="29" w:name="_Toc5690"/>
      <w:bookmarkStart w:id="30" w:name="_Toc6092"/>
      <w:r>
        <w:rPr>
          <w:rFonts w:hint="eastAsia"/>
          <w:b/>
          <w:bCs/>
          <w:sz w:val="30"/>
          <w:szCs w:val="30"/>
          <w:lang w:val="en-US" w:eastAsia="zh-CN"/>
        </w:rPr>
        <w:t>（一）项目</w:t>
      </w:r>
      <w:bookmarkEnd w:id="28"/>
      <w:bookmarkEnd w:id="29"/>
      <w:r>
        <w:rPr>
          <w:rFonts w:hint="eastAsia"/>
          <w:b/>
          <w:bCs/>
          <w:sz w:val="30"/>
          <w:szCs w:val="30"/>
          <w:lang w:val="en-US" w:eastAsia="zh-CN"/>
        </w:rPr>
        <w:t>背景</w:t>
      </w:r>
      <w:bookmarkEnd w:id="30"/>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31" w:name="_Toc25776"/>
      <w:bookmarkStart w:id="32" w:name="_Toc24381"/>
      <w:bookmarkStart w:id="33" w:name="_Toc5111"/>
      <w:r>
        <w:rPr>
          <w:rFonts w:hint="default" w:ascii="Times New Roman" w:hAnsi="Times New Roman" w:eastAsia="方正仿宋_GBK" w:cs="Times New Roman"/>
          <w:color w:val="auto"/>
          <w:kern w:val="0"/>
          <w:sz w:val="30"/>
          <w:szCs w:val="30"/>
          <w:lang w:val="en-US" w:eastAsia="zh-CN" w:bidi="zh-CN"/>
        </w:rPr>
        <w:t>石榴花开，籽籽同心。行走在同心县的山水间，每一寸土地都记录着同心人的坚韧和不屈。多年来，红色热土发生巨变，但不变的是流淌在同心人血脉中的红色基因。</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同心作为革命老区，红色文化在这里代代传承。多年来，同心县紧扣铸牢中华民族共同体意识主线，积极构筑各民族共有精神家园，促进各民族交往交流交融。全县民族团结，经济社会各项事业持续健康发展，各族群众的获得感成色更足、幸福感更可持续、安全感更有保障。</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为更好地讲好红色故事、传承红色基因，进一步擦亮 “红色同心”名片，2021年</w:t>
      </w:r>
      <w:r>
        <w:rPr>
          <w:rFonts w:hint="eastAsia" w:ascii="Times New Roman" w:hAnsi="Times New Roman" w:eastAsia="方正仿宋_GBK" w:cs="Times New Roman"/>
          <w:color w:val="auto"/>
          <w:kern w:val="0"/>
          <w:sz w:val="30"/>
          <w:szCs w:val="30"/>
          <w:lang w:val="en-US" w:eastAsia="zh-CN" w:bidi="zh-CN"/>
        </w:rPr>
        <w:t>同心</w:t>
      </w:r>
      <w:r>
        <w:rPr>
          <w:rFonts w:hint="default" w:ascii="Times New Roman" w:hAnsi="Times New Roman" w:eastAsia="方正仿宋_GBK" w:cs="Times New Roman"/>
          <w:color w:val="auto"/>
          <w:kern w:val="0"/>
          <w:sz w:val="30"/>
          <w:szCs w:val="30"/>
          <w:lang w:val="en-US" w:eastAsia="zh-CN" w:bidi="zh-CN"/>
        </w:rPr>
        <w:t>县启动了红军西征纪念园基础设施改造提升项目，主要对红军西征纪念馆主体进行改造建设并对布展进行提升，同时，对红军西征纪念园景区内的绿化景观、停车场等基础设施进行改造提升。</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0"/>
          <w:sz w:val="30"/>
          <w:szCs w:val="30"/>
          <w:lang w:val="en-US" w:eastAsia="zh-CN" w:bidi="zh-CN"/>
        </w:rPr>
        <w:t>改造提升后的红军西征纪念园将包括综合服务区、西征文化体验区、红色研学拓展区、娱乐休闲区等四大分区，着重突出红军西征历史、铸牢中华民族共同体意识、红色文化研学等主题，使全县旅游服务水平和社会效益得到明显提高，文旅资源得到全面展示，“文化兴县”目标得以彰显，持续推动我县文化旅游产业高质量发展，成为全县文化旅游产业发展总体布局中的核心点</w:t>
      </w:r>
      <w:r>
        <w:rPr>
          <w:rFonts w:hint="eastAsia" w:ascii="Times New Roman" w:hAnsi="Times New Roman" w:eastAsia="方正仿宋_GBK" w:cs="Times New Roman"/>
          <w:color w:val="auto"/>
          <w:kern w:val="2"/>
          <w:sz w:val="30"/>
          <w:szCs w:val="30"/>
          <w:highlight w:val="none"/>
          <w:lang w:val="en-US" w:eastAsia="zh-CN" w:bidi="ar-SA"/>
        </w:rPr>
        <w:t>。</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34" w:name="_Toc8374"/>
      <w:r>
        <w:rPr>
          <w:rFonts w:hint="eastAsia" w:ascii="方正楷体_GBK" w:hAnsi="方正楷体_GBK" w:eastAsia="方正楷体_GBK" w:cs="方正楷体_GBK"/>
          <w:sz w:val="30"/>
          <w:szCs w:val="30"/>
          <w:lang w:val="en-US" w:eastAsia="zh-CN"/>
        </w:rPr>
        <w:t>（二）项目实施主要内容</w:t>
      </w:r>
      <w:bookmarkEnd w:id="31"/>
      <w:bookmarkEnd w:id="32"/>
      <w:bookmarkEnd w:id="34"/>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5" w:name="_Toc8550"/>
      <w:bookmarkStart w:id="36" w:name="_Toc1917"/>
      <w:r>
        <w:rPr>
          <w:rFonts w:hint="eastAsia" w:ascii="Times New Roman" w:hAnsi="Times New Roman" w:eastAsia="方正仿宋_GBK" w:cs="Times New Roman"/>
          <w:color w:val="auto"/>
          <w:kern w:val="2"/>
          <w:sz w:val="30"/>
          <w:szCs w:val="30"/>
          <w:highlight w:val="none"/>
          <w:lang w:val="en-US" w:eastAsia="zh-CN" w:bidi="ar-SA"/>
        </w:rPr>
        <w:t>由同心县文化旅游体育广电局实施的红军西征纪念园基础设施提升项目示范项目涵盖以下内容：</w:t>
      </w:r>
      <w:bookmarkStart w:id="37" w:name="_Toc22184"/>
      <w:bookmarkStart w:id="38" w:name="_Toc17160"/>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建设规模及主要建设内容</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同心县红军西征纪念馆建筑面积2589m，建筑高度9.9m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地上一层</w:t>
      </w:r>
      <w:r>
        <w:rPr>
          <w:rFonts w:hint="eastAsia" w:ascii="Times New Roman" w:hAnsi="Times New Roman" w:eastAsia="方正仿宋_GBK" w:cs="Times New Roman"/>
          <w:color w:val="auto"/>
          <w:kern w:val="2"/>
          <w:sz w:val="30"/>
          <w:szCs w:val="30"/>
          <w:highlight w:val="none"/>
          <w:lang w:val="en-US" w:eastAsia="zh-CN" w:bidi="ar-SA"/>
        </w:rPr>
        <w:t>；</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本项目主要对纪念馆的一层展厅区域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面积含门厅约1320 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进行基础装修及安装工程。安装多媒体、专业灯具、专用展柜及展台、场景复原、艺术创作、安防监控系统、给排水工程、强电系统、弱电系统，喷淋</w:t>
      </w:r>
      <w:r>
        <w:rPr>
          <w:rFonts w:hint="eastAsia" w:ascii="Times New Roman" w:hAnsi="Times New Roman" w:eastAsia="方正仿宋_GBK" w:cs="Times New Roman"/>
          <w:color w:val="auto"/>
          <w:kern w:val="2"/>
          <w:sz w:val="30"/>
          <w:szCs w:val="30"/>
          <w:highlight w:val="none"/>
          <w:lang w:val="en-US" w:eastAsia="zh-CN" w:bidi="ar-SA"/>
        </w:rPr>
        <w:t>系统末端</w:t>
      </w:r>
      <w:r>
        <w:rPr>
          <w:rFonts w:hint="default" w:ascii="Times New Roman" w:hAnsi="Times New Roman" w:eastAsia="方正仿宋_GBK" w:cs="Times New Roman"/>
          <w:color w:val="auto"/>
          <w:kern w:val="2"/>
          <w:sz w:val="30"/>
          <w:szCs w:val="30"/>
          <w:highlight w:val="none"/>
          <w:lang w:val="en-US" w:eastAsia="zh-CN" w:bidi="ar-SA"/>
        </w:rPr>
        <w:t>改造、</w:t>
      </w:r>
      <w:r>
        <w:rPr>
          <w:rFonts w:hint="eastAsia" w:ascii="Times New Roman" w:hAnsi="Times New Roman" w:eastAsia="方正仿宋_GBK" w:cs="Times New Roman"/>
          <w:color w:val="auto"/>
          <w:kern w:val="2"/>
          <w:sz w:val="30"/>
          <w:szCs w:val="30"/>
          <w:highlight w:val="none"/>
          <w:lang w:val="en-US" w:eastAsia="zh-CN" w:bidi="ar-SA"/>
        </w:rPr>
        <w:t>火灾报警系统</w:t>
      </w:r>
      <w:r>
        <w:rPr>
          <w:rFonts w:hint="default" w:ascii="Times New Roman" w:hAnsi="Times New Roman" w:eastAsia="方正仿宋_GBK" w:cs="Times New Roman"/>
          <w:color w:val="auto"/>
          <w:kern w:val="2"/>
          <w:sz w:val="30"/>
          <w:szCs w:val="30"/>
          <w:highlight w:val="none"/>
          <w:lang w:val="en-US" w:eastAsia="zh-CN" w:bidi="ar-SA"/>
        </w:rPr>
        <w:t>改造、</w:t>
      </w:r>
      <w:r>
        <w:rPr>
          <w:rFonts w:hint="eastAsia" w:ascii="Times New Roman" w:hAnsi="Times New Roman" w:eastAsia="方正仿宋_GBK" w:cs="Times New Roman"/>
          <w:color w:val="auto"/>
          <w:kern w:val="2"/>
          <w:sz w:val="30"/>
          <w:szCs w:val="30"/>
          <w:highlight w:val="none"/>
          <w:lang w:val="en-US" w:eastAsia="zh-CN" w:bidi="ar-SA"/>
        </w:rPr>
        <w:t>空调系统</w:t>
      </w:r>
      <w:r>
        <w:rPr>
          <w:rFonts w:hint="default" w:ascii="Times New Roman" w:hAnsi="Times New Roman" w:eastAsia="方正仿宋_GBK" w:cs="Times New Roman"/>
          <w:color w:val="auto"/>
          <w:kern w:val="2"/>
          <w:sz w:val="30"/>
          <w:szCs w:val="30"/>
          <w:highlight w:val="none"/>
          <w:lang w:val="en-US" w:eastAsia="zh-CN" w:bidi="ar-SA"/>
        </w:rPr>
        <w:t>改造</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利用原有设备</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、排烟系统改造、</w:t>
      </w:r>
      <w:r>
        <w:rPr>
          <w:rFonts w:hint="default" w:ascii="Times New Roman" w:hAnsi="Times New Roman" w:eastAsia="方正仿宋_GBK" w:cs="Times New Roman"/>
          <w:color w:val="auto"/>
          <w:kern w:val="0"/>
          <w:sz w:val="30"/>
          <w:szCs w:val="30"/>
          <w:lang w:val="en-US" w:eastAsia="zh-CN" w:bidi="zh-CN"/>
        </w:rPr>
        <w:t>展板和平面美工创作及布展配套服务、智慧导览系统</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利用原有设备</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等配套设施</w:t>
      </w:r>
      <w:r>
        <w:rPr>
          <w:rFonts w:hint="eastAsia" w:ascii="Times New Roman" w:hAnsi="Times New Roman" w:eastAsia="方正仿宋_GBK" w:cs="Times New Roman"/>
          <w:color w:val="auto"/>
          <w:kern w:val="2"/>
          <w:sz w:val="30"/>
          <w:szCs w:val="30"/>
          <w:highlight w:val="none"/>
          <w:lang w:val="en-US" w:eastAsia="zh-CN" w:bidi="ar-SA"/>
        </w:rPr>
        <w:t>。</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9" w:name="_Toc17015"/>
      <w:r>
        <w:rPr>
          <w:rFonts w:hint="eastAsia" w:asciiTheme="majorEastAsia" w:hAnsiTheme="majorEastAsia" w:eastAsiaTheme="majorEastAsia" w:cstheme="majorEastAsia"/>
          <w:b/>
          <w:bCs/>
          <w:sz w:val="30"/>
          <w:szCs w:val="30"/>
          <w:lang w:val="en-US" w:eastAsia="zh-CN"/>
        </w:rPr>
        <w:t>二、资金情况</w:t>
      </w:r>
      <w:bookmarkEnd w:id="37"/>
      <w:bookmarkEnd w:id="38"/>
      <w:bookmarkEnd w:id="39"/>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40" w:name="_Toc3047"/>
      <w:bookmarkStart w:id="41" w:name="_Toc31374"/>
      <w:bookmarkStart w:id="42" w:name="_Toc6765"/>
      <w:r>
        <w:rPr>
          <w:rFonts w:hint="eastAsia"/>
          <w:b/>
          <w:bCs/>
          <w:sz w:val="30"/>
          <w:szCs w:val="30"/>
          <w:lang w:val="en-US" w:eastAsia="zh-CN"/>
        </w:rPr>
        <w:t>（一）资金来源情况</w:t>
      </w:r>
      <w:bookmarkEnd w:id="40"/>
      <w:bookmarkEnd w:id="41"/>
      <w:bookmarkEnd w:id="42"/>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43" w:name="_Toc13949"/>
      <w:bookmarkStart w:id="44" w:name="_Toc21684"/>
      <w:r>
        <w:rPr>
          <w:rFonts w:hint="eastAsia" w:ascii="Times New Roman" w:hAnsi="Times New Roman" w:eastAsia="方正仿宋_GBK" w:cs="Times New Roman"/>
          <w:color w:val="auto"/>
          <w:kern w:val="2"/>
          <w:sz w:val="30"/>
          <w:szCs w:val="30"/>
          <w:highlight w:val="none"/>
          <w:lang w:val="en-US" w:eastAsia="zh-CN" w:bidi="ar-SA"/>
        </w:rPr>
        <w:t>按照《</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w:t>
      </w:r>
      <w:r>
        <w:rPr>
          <w:rFonts w:hint="eastAsia" w:ascii="Times New Roman" w:hAnsi="Times New Roman" w:eastAsia="方正仿宋_GBK" w:cs="Times New Roman"/>
          <w:color w:val="auto"/>
          <w:kern w:val="2"/>
          <w:sz w:val="30"/>
          <w:szCs w:val="30"/>
          <w:highlight w:val="none"/>
          <w:lang w:val="en-US" w:eastAsia="zh-CN" w:bidi="ar-SA"/>
        </w:rPr>
        <w:t>要求，一般债券资金落实到具体项目，切实加强债券资金管理，提高债券资金使用效益。</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45" w:name="_Toc17103"/>
      <w:r>
        <w:rPr>
          <w:rFonts w:hint="eastAsia"/>
          <w:b/>
          <w:bCs/>
          <w:sz w:val="30"/>
          <w:szCs w:val="30"/>
          <w:lang w:val="en-US" w:eastAsia="zh-CN"/>
        </w:rPr>
        <w:t>（二）资金到位情况</w:t>
      </w:r>
      <w:bookmarkEnd w:id="45"/>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2022年8月24日，根据同心县人大常委会《关于批准同心县本级财政 2022 年第二批新增政府一般债券资金预算调整方案的决议》（同人常发</w:t>
      </w:r>
      <w:r>
        <w:rPr>
          <w:rFonts w:hint="default" w:ascii="Times New Roman" w:hAnsi="Times New Roman" w:eastAsia="方正仿宋_GBK" w:cs="Times New Roman"/>
          <w:color w:val="auto"/>
          <w:kern w:val="2"/>
          <w:sz w:val="30"/>
          <w:szCs w:val="30"/>
          <w:highlight w:val="none"/>
          <w:lang w:val="en-US" w:eastAsia="zh-CN" w:bidi="ar-SA"/>
        </w:rPr>
        <w:t>〔2022〕</w:t>
      </w:r>
      <w:bookmarkStart w:id="181" w:name="_GoBack"/>
      <w:bookmarkEnd w:id="181"/>
      <w:r>
        <w:rPr>
          <w:rFonts w:hint="eastAsia" w:ascii="Times New Roman" w:hAnsi="Times New Roman" w:eastAsia="方正仿宋_GB2312" w:cs="Times New Roman"/>
          <w:sz w:val="30"/>
          <w:szCs w:val="30"/>
          <w:lang w:val="en-US" w:eastAsia="zh-CN"/>
        </w:rPr>
        <w:t>24 号） 精神，由县财政局筹措资金350万元，用于解决同心县红军西征纪念馆陈列展览提升项目建设资金。截至评价时点，实际到位资金350.00万元，资金到位率100%，</w:t>
      </w:r>
      <w:r>
        <w:rPr>
          <w:rFonts w:ascii="仿宋" w:hAnsi="仿宋" w:eastAsia="仿宋" w:cs="仿宋"/>
          <w:color w:val="000000"/>
          <w:kern w:val="0"/>
          <w:sz w:val="30"/>
          <w:szCs w:val="30"/>
          <w:lang w:val="en-US" w:eastAsia="zh-CN" w:bidi="ar"/>
        </w:rPr>
        <w:t>专项保障本项目的建设实施</w:t>
      </w:r>
      <w:r>
        <w:rPr>
          <w:rFonts w:hint="eastAsia" w:ascii="Times New Roman" w:hAnsi="Times New Roman" w:eastAsia="方正仿宋_GB2312" w:cs="Times New Roman"/>
          <w:sz w:val="30"/>
          <w:szCs w:val="30"/>
          <w:lang w:val="en-US" w:eastAsia="zh-CN"/>
        </w:rPr>
        <w:t>。</w:t>
      </w:r>
    </w:p>
    <w:p>
      <w:pPr>
        <w:pStyle w:val="4"/>
        <w:bidi w:val="0"/>
        <w:rPr>
          <w:rFonts w:hint="default"/>
          <w:lang w:val="en-US" w:eastAsia="zh-CN"/>
        </w:rPr>
      </w:pPr>
      <w:bookmarkStart w:id="46" w:name="_Toc16650"/>
      <w:r>
        <w:rPr>
          <w:rFonts w:hint="eastAsia"/>
          <w:lang w:val="en-US" w:eastAsia="zh-CN"/>
        </w:rPr>
        <w:t>（三）资金管理情况</w:t>
      </w:r>
      <w:bookmarkEnd w:id="46"/>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）、《关于同心县本级财政2022年第二批新增政府一般债券资金预算调整方案（草案）的报告》，同心县文旅局</w:t>
      </w:r>
      <w:r>
        <w:rPr>
          <w:rFonts w:hint="eastAsia" w:ascii="Times New Roman" w:hAnsi="Times New Roman" w:eastAsia="方正仿宋_GBK" w:cs="Times New Roman"/>
          <w:color w:val="auto"/>
          <w:kern w:val="2"/>
          <w:sz w:val="30"/>
          <w:szCs w:val="30"/>
          <w:highlight w:val="none"/>
          <w:lang w:val="en-US" w:eastAsia="zh-CN" w:bidi="ar-SA"/>
        </w:rPr>
        <w:t>并结合项目方案的要求，对项目资金进行管理和分配，每笔资金在拨付使用过程中均能够严格执行各项管理制度。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一般债券资金使用不符合上级财政部门相关要求的，或有重大违规违纪的行为。资金的拨付有完整的审批程序和手续，实行国库集中支付程序的，严格按照财政国库管理制度有关规定执行，支出方向与批复的建设内容一致。未发现虚列支出、资金截留、挤占等现象。</w:t>
      </w:r>
    </w:p>
    <w:p>
      <w:pPr>
        <w:pStyle w:val="4"/>
        <w:bidi w:val="0"/>
        <w:rPr>
          <w:rFonts w:hint="default"/>
          <w:lang w:val="en-US" w:eastAsia="zh-CN"/>
        </w:rPr>
      </w:pPr>
      <w:bookmarkStart w:id="47" w:name="_Toc1953"/>
      <w:r>
        <w:rPr>
          <w:rFonts w:hint="eastAsia"/>
          <w:lang w:val="en-US" w:eastAsia="zh-CN"/>
        </w:rPr>
        <w:t>（四）资金使用情况</w:t>
      </w:r>
      <w:bookmarkEnd w:id="47"/>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同心县红军西征纪念馆陈列展览提升项目实际到位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350.00</w:t>
      </w:r>
      <w:r>
        <w:rPr>
          <w:rFonts w:hint="default" w:ascii="Times New Roman" w:hAnsi="Times New Roman" w:eastAsia="方正仿宋_GBK" w:cs="Times New Roman"/>
          <w:color w:val="auto"/>
          <w:kern w:val="2"/>
          <w:sz w:val="30"/>
          <w:szCs w:val="30"/>
          <w:highlight w:val="none"/>
          <w:lang w:val="en-US" w:eastAsia="zh-CN" w:bidi="ar-SA"/>
        </w:rPr>
        <w:t>万元，实际支出</w:t>
      </w:r>
      <w:r>
        <w:rPr>
          <w:rFonts w:hint="eastAsia" w:ascii="Times New Roman" w:hAnsi="Times New Roman" w:eastAsia="方正仿宋_GBK" w:cs="Times New Roman"/>
          <w:color w:val="auto"/>
          <w:kern w:val="2"/>
          <w:sz w:val="30"/>
          <w:szCs w:val="30"/>
          <w:highlight w:val="none"/>
          <w:lang w:val="en-US" w:eastAsia="zh-CN" w:bidi="ar-SA"/>
        </w:rPr>
        <w:t>350.00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43"/>
      <w:bookmarkEnd w:id="44"/>
      <w:bookmarkStart w:id="48" w:name="_Toc2578"/>
      <w:bookmarkStart w:id="49" w:name="_Toc31342"/>
    </w:p>
    <w:bookmarkEnd w:id="35"/>
    <w:bookmarkEnd w:id="36"/>
    <w:bookmarkEnd w:id="48"/>
    <w:bookmarkEnd w:id="49"/>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50" w:name="_Toc19300"/>
      <w:bookmarkStart w:id="51" w:name="_Toc29255"/>
      <w:bookmarkStart w:id="52" w:name="_Toc26094"/>
      <w:bookmarkStart w:id="53" w:name="_Toc20409"/>
      <w:bookmarkStart w:id="54" w:name="_Toc7963"/>
      <w:bookmarkStart w:id="55" w:name="_Toc2175"/>
      <w:bookmarkStart w:id="56" w:name="_Toc9451"/>
      <w:bookmarkStart w:id="57" w:name="_Toc24442"/>
      <w:bookmarkStart w:id="58" w:name="_Toc31216"/>
      <w:bookmarkStart w:id="59" w:name="_Toc31361"/>
      <w:bookmarkStart w:id="60" w:name="_Toc14775"/>
      <w:bookmarkStart w:id="61" w:name="_Toc26741"/>
      <w:bookmarkStart w:id="62" w:name="_Toc29008"/>
      <w:bookmarkStart w:id="63" w:name="_Toc24129"/>
      <w:bookmarkStart w:id="64" w:name="_Toc26903"/>
      <w:bookmarkStart w:id="65" w:name="_Toc14208"/>
      <w:bookmarkStart w:id="66" w:name="_Toc19319"/>
      <w:bookmarkStart w:id="67" w:name="_Toc19237"/>
      <w:bookmarkStart w:id="68" w:name="_Toc1375"/>
      <w:bookmarkStart w:id="69" w:name="_Toc17609"/>
      <w:r>
        <w:rPr>
          <w:rFonts w:hint="eastAsia" w:asciiTheme="majorEastAsia" w:hAnsiTheme="majorEastAsia" w:eastAsiaTheme="majorEastAsia" w:cstheme="majorEastAsia"/>
          <w:b/>
          <w:bCs/>
          <w:sz w:val="30"/>
          <w:szCs w:val="30"/>
          <w:lang w:val="en-US" w:eastAsia="zh-CN"/>
        </w:rPr>
        <w:t>三、项目绩效</w:t>
      </w:r>
      <w:bookmarkEnd w:id="50"/>
      <w:bookmarkEnd w:id="51"/>
      <w:bookmarkEnd w:id="52"/>
      <w:bookmarkEnd w:id="53"/>
      <w:bookmarkEnd w:id="54"/>
      <w:bookmarkEnd w:id="55"/>
      <w:bookmarkEnd w:id="56"/>
      <w:bookmarkEnd w:id="57"/>
      <w:bookmarkEnd w:id="58"/>
      <w:bookmarkEnd w:id="59"/>
      <w:r>
        <w:rPr>
          <w:rFonts w:hint="eastAsia" w:asciiTheme="majorEastAsia" w:hAnsiTheme="majorEastAsia" w:eastAsiaTheme="majorEastAsia" w:cstheme="majorEastAsia"/>
          <w:b/>
          <w:bCs/>
          <w:sz w:val="30"/>
          <w:szCs w:val="30"/>
          <w:lang w:val="en-US" w:eastAsia="zh-CN"/>
        </w:rPr>
        <w:t>目标</w:t>
      </w:r>
      <w:bookmarkEnd w:id="60"/>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70" w:name="_Toc29906"/>
      <w:bookmarkStart w:id="71" w:name="_Toc23578"/>
      <w:bookmarkStart w:id="72" w:name="_Toc8204"/>
      <w:r>
        <w:rPr>
          <w:rFonts w:hint="eastAsia" w:ascii="方正楷体_GBK" w:hAnsi="方正楷体_GBK" w:eastAsia="方正楷体_GBK" w:cs="方正楷体_GBK"/>
          <w:sz w:val="30"/>
          <w:szCs w:val="30"/>
          <w:lang w:val="en-US" w:eastAsia="zh-CN"/>
        </w:rPr>
        <w:t>（一）绩效目标</w:t>
      </w:r>
      <w:bookmarkEnd w:id="70"/>
    </w:p>
    <w:p>
      <w:pPr>
        <w:pStyle w:val="4"/>
        <w:keepNext/>
        <w:keepLines/>
        <w:widowControl w:val="0"/>
        <w:snapToGrid w:val="0"/>
        <w:spacing w:before="0" w:beforeLines="0" w:afterLines="0" w:line="560" w:lineRule="exact"/>
        <w:ind w:left="0" w:firstLine="592" w:firstLineChars="200"/>
        <w:rPr>
          <w:rFonts w:hint="default" w:ascii="Times New Roman" w:hAnsi="Times New Roman" w:eastAsia="方正楷体_GBK" w:cs="Times New Roman"/>
          <w:b/>
          <w:bCs w:val="0"/>
          <w:sz w:val="30"/>
          <w:szCs w:val="30"/>
          <w:lang w:eastAsia="zh-CN"/>
        </w:rPr>
      </w:pPr>
      <w:bookmarkStart w:id="73" w:name="_Toc26269"/>
      <w:bookmarkStart w:id="74" w:name="_Toc13960"/>
      <w:r>
        <w:rPr>
          <w:rFonts w:hint="default" w:ascii="Times New Roman" w:hAnsi="Times New Roman" w:eastAsia="方正楷体_GBK" w:cs="Times New Roman"/>
          <w:b/>
          <w:bCs w:val="0"/>
          <w:sz w:val="30"/>
          <w:szCs w:val="30"/>
          <w:lang w:val="en-US" w:eastAsia="zh-CN"/>
        </w:rPr>
        <w:t>1.总体</w:t>
      </w:r>
      <w:r>
        <w:rPr>
          <w:rFonts w:hint="default" w:ascii="Times New Roman" w:hAnsi="Times New Roman" w:eastAsia="方正楷体_GBK" w:cs="Times New Roman"/>
          <w:b/>
          <w:bCs w:val="0"/>
          <w:sz w:val="30"/>
          <w:szCs w:val="30"/>
          <w:lang w:eastAsia="zh-CN"/>
        </w:rPr>
        <w:t>目标</w:t>
      </w:r>
      <w:bookmarkEnd w:id="71"/>
      <w:bookmarkEnd w:id="72"/>
      <w:bookmarkEnd w:id="73"/>
      <w:bookmarkEnd w:id="74"/>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同心县红军西征纪念馆，是同心县人民为纪念红军长征胜利暨陕甘宁省豫海县回民自治政府成立七十周年的一份献礼。2006 年被评为宁夏首批国防教育示范基地，</w:t>
      </w:r>
      <w:r>
        <w:rPr>
          <w:rFonts w:hint="default" w:ascii="Times New Roman" w:hAnsi="Times New Roman" w:eastAsia="方正仿宋_GBK" w:cs="Times New Roman"/>
          <w:color w:val="auto"/>
          <w:kern w:val="2"/>
          <w:sz w:val="30"/>
          <w:szCs w:val="30"/>
          <w:highlight w:val="none"/>
          <w:lang w:val="en-US" w:eastAsia="zh-CN" w:bidi="ar-SA"/>
        </w:rPr>
        <w:t xml:space="preserve">2012 </w:t>
      </w:r>
      <w:r>
        <w:rPr>
          <w:rFonts w:hint="eastAsia" w:ascii="Times New Roman" w:hAnsi="Times New Roman" w:eastAsia="方正仿宋_GBK" w:cs="Times New Roman"/>
          <w:color w:val="auto"/>
          <w:kern w:val="2"/>
          <w:sz w:val="30"/>
          <w:szCs w:val="30"/>
          <w:highlight w:val="none"/>
          <w:lang w:val="en-US" w:eastAsia="zh-CN" w:bidi="ar-SA"/>
        </w:rPr>
        <w:t>年被评为国家国防教育示范基地，同时纪念馆也是全国百家红色经典景区之一、全国爱国主义教育基地、全国民族团结进步教育基地。</w:t>
      </w:r>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红色旅游是政治工程、文化工程，需要始终坚持把握意识形态，要把好政治关；“可以通过传统教育带动旅游业，但不能失去红色旅游的底色。只有体会到革命年代的艰 苦，才能使人们真正受到教育。</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同时，红色旅游是经济工程、富民工程，需要借助市场的力量推动深入发展。庞大的旅游市场既是红色教育的潜力市场，同时也是红色旅游最重要的发展动力。</w:t>
      </w:r>
    </w:p>
    <w:p>
      <w:pPr>
        <w:keepNext w:val="0"/>
        <w:keepLines w:val="0"/>
        <w:pageBreakBefore w:val="0"/>
        <w:widowControl w:val="0"/>
        <w:numPr>
          <w:ilvl w:val="0"/>
          <w:numId w:val="1"/>
        </w:numPr>
        <w:shd w:val="clear"/>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年度批复绩效</w:t>
      </w:r>
      <w:r>
        <w:rPr>
          <w:rFonts w:hint="default" w:ascii="Times New Roman" w:hAnsi="Times New Roman" w:eastAsia="方正仿宋_GBK" w:cs="Times New Roman"/>
          <w:b/>
          <w:bCs/>
          <w:sz w:val="30"/>
          <w:szCs w:val="30"/>
          <w:lang w:val="en-US" w:eastAsia="zh-CN"/>
        </w:rPr>
        <w:t>目标</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（1）完成</w:t>
      </w:r>
      <w:r>
        <w:rPr>
          <w:rFonts w:hint="default" w:ascii="Times New Roman" w:hAnsi="Times New Roman" w:eastAsia="方正仿宋_GBK" w:cs="Times New Roman"/>
          <w:color w:val="auto"/>
          <w:kern w:val="2"/>
          <w:sz w:val="30"/>
          <w:szCs w:val="30"/>
          <w:highlight w:val="none"/>
          <w:lang w:val="en-US" w:eastAsia="zh-CN" w:bidi="ar-SA"/>
        </w:rPr>
        <w:t>一层展厅区域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面积含门厅约1320 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进行基础装修及安装工程</w:t>
      </w:r>
      <w:r>
        <w:rPr>
          <w:rFonts w:hint="eastAsia" w:ascii="Times New Roman" w:hAnsi="Times New Roman" w:eastAsia="方正仿宋_GBK" w:cs="Times New Roman"/>
          <w:color w:val="auto"/>
          <w:kern w:val="2"/>
          <w:sz w:val="30"/>
          <w:szCs w:val="30"/>
          <w:highlight w:val="none"/>
          <w:lang w:val="en-US" w:eastAsia="zh-CN" w:bidi="ar-SA"/>
        </w:rPr>
        <w:t>；</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（2）完成</w:t>
      </w:r>
      <w:r>
        <w:rPr>
          <w:rFonts w:hint="default" w:ascii="Times New Roman" w:hAnsi="Times New Roman" w:eastAsia="方正仿宋_GBK" w:cs="Times New Roman"/>
          <w:color w:val="auto"/>
          <w:kern w:val="2"/>
          <w:sz w:val="30"/>
          <w:szCs w:val="30"/>
          <w:highlight w:val="none"/>
          <w:lang w:val="en-US" w:eastAsia="zh-CN" w:bidi="ar-SA"/>
        </w:rPr>
        <w:t>安装多媒体、专业灯具、专用展柜及展台、场景复原、艺术创作、安防监控系统、给排水工程、强电系统、弱电系统，喷淋</w:t>
      </w:r>
      <w:r>
        <w:rPr>
          <w:rFonts w:hint="eastAsia" w:ascii="Times New Roman" w:hAnsi="Times New Roman" w:eastAsia="方正仿宋_GBK" w:cs="Times New Roman"/>
          <w:color w:val="auto"/>
          <w:kern w:val="2"/>
          <w:sz w:val="30"/>
          <w:szCs w:val="30"/>
          <w:highlight w:val="none"/>
          <w:lang w:val="en-US" w:eastAsia="zh-CN" w:bidi="ar-SA"/>
        </w:rPr>
        <w:t>系统末端</w:t>
      </w:r>
      <w:r>
        <w:rPr>
          <w:rFonts w:hint="default" w:ascii="Times New Roman" w:hAnsi="Times New Roman" w:eastAsia="方正仿宋_GBK" w:cs="Times New Roman"/>
          <w:color w:val="auto"/>
          <w:kern w:val="2"/>
          <w:sz w:val="30"/>
          <w:szCs w:val="30"/>
          <w:highlight w:val="none"/>
          <w:lang w:val="en-US" w:eastAsia="zh-CN" w:bidi="ar-SA"/>
        </w:rPr>
        <w:t>改造、</w:t>
      </w:r>
      <w:r>
        <w:rPr>
          <w:rFonts w:hint="eastAsia" w:ascii="Times New Roman" w:hAnsi="Times New Roman" w:eastAsia="方正仿宋_GBK" w:cs="Times New Roman"/>
          <w:color w:val="auto"/>
          <w:kern w:val="2"/>
          <w:sz w:val="30"/>
          <w:szCs w:val="30"/>
          <w:highlight w:val="none"/>
          <w:lang w:val="en-US" w:eastAsia="zh-CN" w:bidi="ar-SA"/>
        </w:rPr>
        <w:t>火灾报警系统</w:t>
      </w:r>
      <w:r>
        <w:rPr>
          <w:rFonts w:hint="default" w:ascii="Times New Roman" w:hAnsi="Times New Roman" w:eastAsia="方正仿宋_GBK" w:cs="Times New Roman"/>
          <w:color w:val="auto"/>
          <w:kern w:val="2"/>
          <w:sz w:val="30"/>
          <w:szCs w:val="30"/>
          <w:highlight w:val="none"/>
          <w:lang w:val="en-US" w:eastAsia="zh-CN" w:bidi="ar-SA"/>
        </w:rPr>
        <w:t>改造、</w:t>
      </w:r>
      <w:r>
        <w:rPr>
          <w:rFonts w:hint="eastAsia" w:ascii="Times New Roman" w:hAnsi="Times New Roman" w:eastAsia="方正仿宋_GBK" w:cs="Times New Roman"/>
          <w:color w:val="auto"/>
          <w:kern w:val="2"/>
          <w:sz w:val="30"/>
          <w:szCs w:val="30"/>
          <w:highlight w:val="none"/>
          <w:lang w:val="en-US" w:eastAsia="zh-CN" w:bidi="ar-SA"/>
        </w:rPr>
        <w:t>空调系统</w:t>
      </w:r>
      <w:r>
        <w:rPr>
          <w:rFonts w:hint="default" w:ascii="Times New Roman" w:hAnsi="Times New Roman" w:eastAsia="方正仿宋_GBK" w:cs="Times New Roman"/>
          <w:color w:val="auto"/>
          <w:kern w:val="2"/>
          <w:sz w:val="30"/>
          <w:szCs w:val="30"/>
          <w:highlight w:val="none"/>
          <w:lang w:val="en-US" w:eastAsia="zh-CN" w:bidi="ar-SA"/>
        </w:rPr>
        <w:t>改造</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利用原有设备</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、排烟系统改造、展板和平面美工创作及布展配套服务、智慧导览系统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利用原有设备</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等配套设施</w:t>
      </w:r>
      <w:r>
        <w:rPr>
          <w:rFonts w:hint="eastAsia" w:ascii="Times New Roman" w:hAnsi="Times New Roman" w:eastAsia="方正仿宋_GBK" w:cs="Times New Roman"/>
          <w:color w:val="auto"/>
          <w:kern w:val="2"/>
          <w:sz w:val="30"/>
          <w:szCs w:val="30"/>
          <w:highlight w:val="none"/>
          <w:lang w:val="en-US" w:eastAsia="zh-CN" w:bidi="ar-SA"/>
        </w:rPr>
        <w:t>。</w:t>
      </w:r>
    </w:p>
    <w:p>
      <w:pPr>
        <w:pStyle w:val="4"/>
        <w:keepNext/>
        <w:keepLines/>
        <w:pageBreakBefore w:val="0"/>
        <w:widowControl/>
        <w:numPr>
          <w:ilvl w:val="0"/>
          <w:numId w:val="2"/>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eastAsia" w:ascii="方正楷体_GBK" w:hAnsi="方正楷体_GBK" w:eastAsia="方正楷体_GBK" w:cs="方正楷体_GBK"/>
          <w:sz w:val="30"/>
          <w:szCs w:val="30"/>
          <w:lang w:val="en-US" w:eastAsia="zh-CN"/>
        </w:rPr>
      </w:pPr>
      <w:bookmarkStart w:id="75" w:name="_Toc29105"/>
      <w:bookmarkStart w:id="76" w:name="_Toc6859"/>
      <w:bookmarkStart w:id="77" w:name="_Toc8793"/>
      <w:r>
        <w:rPr>
          <w:rFonts w:hint="eastAsia" w:ascii="方正楷体_GBK" w:hAnsi="方正楷体_GBK" w:eastAsia="方正楷体_GBK" w:cs="方正楷体_GBK"/>
          <w:sz w:val="30"/>
          <w:szCs w:val="30"/>
          <w:lang w:val="en-US" w:eastAsia="zh-CN"/>
        </w:rPr>
        <w:t>项目绩效</w:t>
      </w:r>
      <w:bookmarkEnd w:id="75"/>
      <w:bookmarkEnd w:id="76"/>
      <w:bookmarkStart w:id="78" w:name="_Toc14067"/>
      <w:bookmarkStart w:id="79" w:name="_Toc13598"/>
      <w:bookmarkStart w:id="80" w:name="_Toc11708"/>
      <w:r>
        <w:rPr>
          <w:rFonts w:hint="eastAsia" w:ascii="方正楷体_GBK" w:hAnsi="方正楷体_GBK" w:eastAsia="方正楷体_GBK" w:cs="方正楷体_GBK"/>
          <w:sz w:val="30"/>
          <w:szCs w:val="30"/>
          <w:lang w:val="en-US" w:eastAsia="zh-CN"/>
        </w:rPr>
        <w:t>目标</w:t>
      </w:r>
      <w:bookmarkEnd w:id="77"/>
    </w:p>
    <w:p>
      <w:pPr>
        <w:pStyle w:val="4"/>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ind w:firstLine="592" w:firstLineChars="200"/>
        <w:textAlignment w:val="auto"/>
        <w:outlineLvl w:val="9"/>
        <w:rPr>
          <w:rFonts w:hint="eastAsia" w:ascii="Times New Roman" w:hAnsi="Times New Roman" w:eastAsia="方正仿宋_GBK" w:cs="Times New Roman"/>
          <w:b w:val="0"/>
          <w:color w:val="auto"/>
          <w:kern w:val="44"/>
          <w:sz w:val="30"/>
          <w:szCs w:val="30"/>
          <w:shd w:val="clear" w:fill="auto"/>
          <w:lang w:val="en-US" w:eastAsia="zh-CN" w:bidi="zh-CN"/>
        </w:rPr>
      </w:pPr>
      <w:bookmarkStart w:id="81" w:name="_Toc22795"/>
      <w:bookmarkStart w:id="82" w:name="_Toc3200"/>
      <w:r>
        <w:rPr>
          <w:rFonts w:hint="eastAsia" w:ascii="Times New Roman" w:hAnsi="Times New Roman" w:eastAsia="方正仿宋_GBK" w:cs="Times New Roman"/>
          <w:b w:val="0"/>
          <w:color w:val="auto"/>
          <w:kern w:val="44"/>
          <w:sz w:val="30"/>
          <w:szCs w:val="30"/>
          <w:shd w:val="clear" w:fill="auto"/>
          <w:lang w:val="en-US" w:eastAsia="zh-CN" w:bidi="zh-CN"/>
        </w:rPr>
        <w:t>通过前期实地调研，评价组与被评价单位进行充分、有效地沟通，依据项目的功能特性，明确项目在一定时期内的总体产出和效果，以定性和定量的方式确定所要实现的目标，明确了总体绩效目标。具体情况如下表：</w:t>
      </w:r>
      <w:bookmarkEnd w:id="81"/>
      <w:bookmarkEnd w:id="82"/>
    </w:p>
    <w:tbl>
      <w:tblPr>
        <w:tblStyle w:val="20"/>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同心县红军西征纪念馆陈列展览提升项目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同心县文化旅游体育广电局</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350.00万元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目标1：实施的项目全部按期开工建设并保质保量完成；</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目标2：大力弘扬革命传统，传承红色基因。</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截至目前已全部完成年初既定的建设任务。项目的实施为地方经济社会发展注入强大精神动力，为传承赓续红色基因发挥积极作用。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实施项目整体完成率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财务决算审计完成及时率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未开展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提升市民精神动力，传承红色基因</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建立健全长期维护机制方案</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both"/>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≥95%</w:t>
            </w:r>
          </w:p>
        </w:tc>
      </w:tr>
      <w:bookmarkEnd w:id="78"/>
      <w:bookmarkEnd w:id="79"/>
      <w:bookmarkEnd w:id="80"/>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83" w:name="_Toc17385"/>
      <w:bookmarkStart w:id="84" w:name="_Toc12031"/>
      <w:bookmarkStart w:id="85" w:name="_Toc2876"/>
      <w:r>
        <w:rPr>
          <w:rFonts w:hint="eastAsia" w:asciiTheme="majorEastAsia" w:hAnsiTheme="majorEastAsia" w:eastAsiaTheme="majorEastAsia" w:cstheme="majorEastAsia"/>
          <w:b/>
          <w:bCs/>
          <w:sz w:val="30"/>
          <w:szCs w:val="30"/>
          <w:lang w:val="en-US" w:eastAsia="zh-CN"/>
        </w:rPr>
        <w:t>四、绩效评价工作开展情况</w:t>
      </w:r>
      <w:bookmarkEnd w:id="83"/>
      <w:bookmarkEnd w:id="84"/>
      <w:bookmarkEnd w:id="85"/>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6" w:name="_Toc30230"/>
      <w:bookmarkStart w:id="87" w:name="_Toc4670"/>
      <w:bookmarkStart w:id="88" w:name="_Toc23289"/>
      <w:r>
        <w:rPr>
          <w:rFonts w:hint="eastAsia" w:ascii="方正楷体_GBK" w:hAnsi="方正楷体_GBK" w:eastAsia="方正楷体_GBK" w:cs="方正楷体_GBK"/>
          <w:b/>
          <w:bCs/>
          <w:sz w:val="30"/>
          <w:szCs w:val="30"/>
          <w:lang w:val="en-US" w:eastAsia="zh-CN"/>
        </w:rPr>
        <w:t>（一）绩效评价目的</w:t>
      </w:r>
      <w:bookmarkEnd w:id="86"/>
      <w:bookmarkEnd w:id="87"/>
      <w:bookmarkEnd w:id="88"/>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一是</w:t>
      </w:r>
      <w:r>
        <w:rPr>
          <w:rFonts w:hint="eastAsia" w:ascii="Times New Roman" w:hAnsi="Times New Roman" w:eastAsia="方正仿宋_GBK" w:cs="Times New Roman"/>
          <w:sz w:val="30"/>
          <w:szCs w:val="30"/>
          <w:lang w:val="en-US" w:eastAsia="zh-CN"/>
        </w:rPr>
        <w:t xml:space="preserve">以新增地方政府一般债券和财政专项资金预算支出执行结果为导向，运用科学的方法、规范的流程、统一的指标及标准，对2022年同心县红军西征纪念园设施提升项目的经济性、效率性、效益性和公平性进行客观、公正的分析和评判，并作出评价结论。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二是</w:t>
      </w:r>
      <w:r>
        <w:rPr>
          <w:rFonts w:hint="eastAsia" w:ascii="Times New Roman" w:hAnsi="Times New Roman" w:eastAsia="方正仿宋_GBK" w:cs="Times New Roman"/>
          <w:sz w:val="30"/>
          <w:szCs w:val="30"/>
          <w:lang w:val="en-US" w:eastAsia="zh-CN"/>
        </w:rPr>
        <w:t xml:space="preserve">通过对本项目一般债券资金限额与预算管理、支出投向与分配、资金到位与支出、项目绩效目标完成情况的核查验证，旨在准确、客观地从项目组织实施、预算执行、形成资产移交与建后运行管理、绩效目标实现程度和效益发挥等方面，分析项目取得的成效、存在问题产生的原因及预期影响。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三是</w:t>
      </w:r>
      <w:r>
        <w:rPr>
          <w:rFonts w:hint="eastAsia" w:ascii="Times New Roman" w:hAnsi="Times New Roman" w:eastAsia="方正仿宋_GBK" w:cs="Times New Roman"/>
          <w:sz w:val="30"/>
          <w:szCs w:val="30"/>
          <w:lang w:val="en-US" w:eastAsia="zh-CN"/>
        </w:rPr>
        <w:t>总结项目经验，提出改进措施和相关建议，为财政及业务主管部门、同心县文旅局续实施项目资金与组织管理提供参考，促进项目资金政策效益发挥。</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9" w:name="_Toc1790"/>
      <w:r>
        <w:rPr>
          <w:rFonts w:hint="eastAsia" w:ascii="方正楷体_GBK" w:hAnsi="方正楷体_GBK" w:eastAsia="方正楷体_GBK" w:cs="方正楷体_GBK"/>
          <w:b/>
          <w:bCs/>
          <w:sz w:val="30"/>
          <w:szCs w:val="30"/>
          <w:lang w:val="en-US" w:eastAsia="zh-CN"/>
        </w:rPr>
        <w:t>（二）绩效评价对象</w:t>
      </w:r>
      <w:bookmarkEnd w:id="89"/>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 〔20</w:t>
      </w:r>
      <w:r>
        <w:rPr>
          <w:rFonts w:hint="eastAsia" w:ascii="Times New Roman" w:hAnsi="Times New Roman" w:eastAsia="方正仿宋_GBK" w:cs="Times New Roman"/>
          <w:sz w:val="30"/>
          <w:szCs w:val="30"/>
          <w:lang w:val="en-US" w:eastAsia="zh-CN"/>
        </w:rPr>
        <w:t>20</w:t>
      </w:r>
      <w:r>
        <w:rPr>
          <w:rFonts w:hint="default" w:ascii="Times New Roman" w:hAnsi="Times New Roman" w:eastAsia="方正仿宋_GBK" w:cs="Times New Roman"/>
          <w:sz w:val="30"/>
          <w:szCs w:val="30"/>
          <w:lang w:val="en-US" w:eastAsia="zh-CN"/>
        </w:rPr>
        <w:t>〕10号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宁夏同心县红军西征纪念馆陈列展览提升项目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0" w:name="_Toc4083"/>
      <w:bookmarkStart w:id="91" w:name="_Toc22702"/>
      <w:bookmarkStart w:id="92" w:name="_Toc4403"/>
      <w:r>
        <w:rPr>
          <w:rFonts w:hint="eastAsia" w:ascii="方正楷体_GBK" w:hAnsi="方正楷体_GBK" w:eastAsia="方正楷体_GBK" w:cs="方正楷体_GBK"/>
          <w:b/>
          <w:bCs/>
          <w:sz w:val="30"/>
          <w:szCs w:val="30"/>
          <w:lang w:val="en-US" w:eastAsia="zh-CN"/>
        </w:rPr>
        <w:t>（三）评价依据</w:t>
      </w:r>
      <w:bookmarkEnd w:id="90"/>
      <w:bookmarkEnd w:id="91"/>
      <w:bookmarkEnd w:id="92"/>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93" w:name="_Toc5866"/>
      <w:bookmarkStart w:id="94" w:name="_Toc25125"/>
      <w:r>
        <w:rPr>
          <w:rFonts w:hint="eastAsia" w:ascii="Times New Roman" w:hAnsi="Times New Roman" w:eastAsia="方正仿宋_GBK" w:cs="Times New Roman"/>
          <w:color w:val="auto"/>
          <w:kern w:val="2"/>
          <w:sz w:val="30"/>
          <w:szCs w:val="30"/>
          <w:highlight w:val="none"/>
          <w:lang w:val="en-US" w:eastAsia="zh-CN" w:bidi="ar-SA"/>
        </w:rPr>
        <w:t>12.《</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bookmarkEnd w:id="93"/>
      <w:bookmarkEnd w:id="94"/>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p>
    <w:p>
      <w:pPr>
        <w:topLinePunct/>
        <w:spacing w:line="560" w:lineRule="exact"/>
        <w:ind w:firstLine="592" w:firstLineChars="200"/>
        <w:outlineLvl w:val="0"/>
        <w:rPr>
          <w:rFonts w:hint="default" w:ascii="Times New Roman" w:hAnsi="Times New Roman" w:eastAsia="方正仿宋_GBK" w:cs="Times New Roman"/>
          <w:color w:val="auto"/>
          <w:kern w:val="2"/>
          <w:sz w:val="30"/>
          <w:szCs w:val="30"/>
          <w:highlight w:val="none"/>
          <w:lang w:val="en-US" w:eastAsia="zh-CN" w:bidi="ar-SA"/>
        </w:rPr>
      </w:pPr>
      <w:bookmarkStart w:id="95" w:name="_Toc26065"/>
      <w:bookmarkStart w:id="96" w:name="_Toc17579"/>
      <w:r>
        <w:rPr>
          <w:rFonts w:hint="eastAsia" w:ascii="Times New Roman" w:hAnsi="Times New Roman" w:eastAsia="方正仿宋_GBK" w:cs="Times New Roman"/>
          <w:color w:val="auto"/>
          <w:kern w:val="2"/>
          <w:sz w:val="30"/>
          <w:szCs w:val="30"/>
          <w:highlight w:val="none"/>
          <w:lang w:val="en-US" w:eastAsia="zh-CN" w:bidi="ar-SA"/>
        </w:rPr>
        <w:t>14.《关于批准同心县本级财政 2022 年第二批新增政府一般债券资金预算调整方案的决议》（同人常发（2022）24 号）</w:t>
      </w:r>
      <w:bookmarkEnd w:id="95"/>
      <w:bookmarkEnd w:id="96"/>
      <w:r>
        <w:rPr>
          <w:rFonts w:hint="eastAsia" w:ascii="Times New Roman" w:hAnsi="Times New Roman" w:eastAsia="方正仿宋_GBK" w:cs="Times New Roman"/>
          <w:color w:val="auto"/>
          <w:kern w:val="2"/>
          <w:sz w:val="30"/>
          <w:szCs w:val="30"/>
          <w:highlight w:val="none"/>
          <w:lang w:val="en-US" w:eastAsia="zh-CN" w:bidi="ar-SA"/>
        </w:rPr>
        <w:t xml:space="preserve"> </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15.相关行业政策、行业标准及专业技术规范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16.项目单位反映项目管理的有关资料，项目安排计划、资金拨付支出相关文件和凭证资料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17.其他相关资料。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7" w:name="_Toc26551"/>
      <w:bookmarkStart w:id="98" w:name="_Toc8570"/>
      <w:bookmarkStart w:id="99" w:name="_Toc17802"/>
      <w:r>
        <w:rPr>
          <w:rFonts w:hint="eastAsia" w:ascii="方正楷体_GBK" w:hAnsi="方正楷体_GBK" w:eastAsia="方正楷体_GBK" w:cs="方正楷体_GBK"/>
          <w:b/>
          <w:bCs/>
          <w:sz w:val="30"/>
          <w:szCs w:val="30"/>
          <w:lang w:val="en-US" w:eastAsia="zh-CN"/>
        </w:rPr>
        <w:t>（四）评价原则</w:t>
      </w:r>
      <w:bookmarkEnd w:id="97"/>
      <w:bookmarkEnd w:id="98"/>
      <w:bookmarkEnd w:id="99"/>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b w:val="0"/>
          <w:bCs w:val="0"/>
          <w:kern w:val="0"/>
          <w:sz w:val="30"/>
          <w:szCs w:val="30"/>
          <w:lang w:val="en-US" w:eastAsia="zh-CN" w:bidi="zh-CN"/>
        </w:rPr>
      </w:pPr>
      <w:bookmarkStart w:id="100" w:name="_Toc10737"/>
      <w:bookmarkStart w:id="101" w:name="_Toc23637"/>
      <w:bookmarkStart w:id="102" w:name="_Toc14020"/>
      <w:bookmarkStart w:id="103"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财预 </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202</w:t>
      </w:r>
      <w:r>
        <w:rPr>
          <w:rFonts w:hint="eastAsia" w:ascii="Times New Roman" w:hAnsi="Times New Roman" w:eastAsia="方正仿宋_GBK" w:cs="Times New Roman"/>
          <w:b w:val="0"/>
          <w:bCs w:val="0"/>
          <w:kern w:val="0"/>
          <w:sz w:val="30"/>
          <w:szCs w:val="30"/>
          <w:lang w:val="en-US" w:eastAsia="zh-CN" w:bidi="zh-CN"/>
        </w:rPr>
        <w:t>0</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 xml:space="preserve">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方正仿宋_GBK" w:cs="Times New Roman"/>
          <w:b w:val="0"/>
          <w:bCs w:val="0"/>
          <w:kern w:val="0"/>
          <w:sz w:val="30"/>
          <w:szCs w:val="30"/>
          <w:lang w:val="en-US" w:eastAsia="zh-CN" w:bidi="zh-CN"/>
        </w:rPr>
        <w:t>《宁夏回族自治区地方政府债券管理办法》宁政办发</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20</w:t>
      </w:r>
      <w:r>
        <w:rPr>
          <w:rFonts w:hint="eastAsia" w:ascii="Times New Roman" w:hAnsi="Times New Roman" w:eastAsia="方正仿宋_GBK" w:cs="Times New Roman"/>
          <w:b w:val="0"/>
          <w:bCs w:val="0"/>
          <w:kern w:val="0"/>
          <w:sz w:val="30"/>
          <w:szCs w:val="30"/>
          <w:lang w:val="en-US" w:eastAsia="zh-CN" w:bidi="zh-CN"/>
        </w:rPr>
        <w:t>14</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102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《宁夏回族自治区人民政府办公厅关于进一步加强政府性债务管理的实施意见》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宁政办发 </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20</w:t>
      </w:r>
      <w:r>
        <w:rPr>
          <w:rFonts w:hint="eastAsia" w:ascii="Times New Roman" w:hAnsi="Times New Roman" w:eastAsia="方正仿宋_GBK" w:cs="Times New Roman"/>
          <w:b w:val="0"/>
          <w:bCs w:val="0"/>
          <w:kern w:val="0"/>
          <w:sz w:val="30"/>
          <w:szCs w:val="30"/>
          <w:lang w:val="en-US" w:eastAsia="zh-CN" w:bidi="zh-CN"/>
        </w:rPr>
        <w:t>17</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 xml:space="preserve"> 163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财预 </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2021</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 xml:space="preserve">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《自治区财政厅预算绩效一体化管理暂行办法》</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发 </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20</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宁财绩发 </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20</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b w:val="0"/>
          <w:bCs w:val="0"/>
          <w:kern w:val="0"/>
          <w:sz w:val="30"/>
          <w:szCs w:val="30"/>
          <w:lang w:val="en-US" w:eastAsia="zh-CN" w:bidi="zh-CN"/>
        </w:rPr>
        <w:t>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主要方法包括比较法、因素分析法、成本效益法、公众评判法等评价方法，从项目决策、过程、产出、效果四个维度进行综合评价，形成本项目事后评价结论。</w:t>
      </w:r>
      <w:bookmarkEnd w:id="100"/>
      <w:bookmarkEnd w:id="101"/>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4" w:name="_Toc32623"/>
      <w:r>
        <w:rPr>
          <w:rFonts w:hint="eastAsia" w:ascii="方正楷体_GBK" w:hAnsi="方正楷体_GBK" w:eastAsia="方正楷体_GBK" w:cs="方正楷体_GBK"/>
          <w:b/>
          <w:bCs/>
          <w:sz w:val="30"/>
          <w:szCs w:val="30"/>
          <w:lang w:val="en-US" w:eastAsia="zh-CN"/>
        </w:rPr>
        <w:t>（五）评价标准</w:t>
      </w:r>
      <w:bookmarkEnd w:id="104"/>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105" w:name="_Toc3746"/>
      <w:r>
        <w:rPr>
          <w:rFonts w:hint="default" w:ascii="Times New Roman" w:hAnsi="Times New Roman" w:eastAsia="方正仿宋_GBK" w:cs="Times New Roman"/>
          <w:b w:val="0"/>
          <w:bCs w:val="0"/>
          <w:kern w:val="0"/>
          <w:sz w:val="30"/>
          <w:szCs w:val="30"/>
          <w:lang w:val="en-US" w:eastAsia="zh-CN" w:bidi="zh-CN"/>
        </w:rPr>
        <w:t>本次评价根据《项目支出绩效评价管理办法》（财预</w:t>
      </w:r>
      <w:r>
        <w:rPr>
          <w:rFonts w:hint="eastAsia" w:ascii="Times New Roman" w:hAnsi="Times New Roman" w:eastAsia="方正仿宋_GBK" w:cs="Times New Roman"/>
          <w:b w:val="0"/>
          <w:bCs w:val="0"/>
          <w:kern w:val="0"/>
          <w:sz w:val="30"/>
          <w:szCs w:val="30"/>
          <w:lang w:val="en-US" w:eastAsia="zh-CN" w:bidi="zh-CN"/>
        </w:rPr>
        <w:t>〔2020〕</w:t>
      </w:r>
      <w:r>
        <w:rPr>
          <w:rFonts w:hint="default" w:ascii="Times New Roman" w:hAnsi="Times New Roman" w:eastAsia="方正仿宋_GBK" w:cs="Times New Roman"/>
          <w:b w:val="0"/>
          <w:bCs w:val="0"/>
          <w:kern w:val="0"/>
          <w:sz w:val="30"/>
          <w:szCs w:val="30"/>
          <w:lang w:val="en-US" w:eastAsia="zh-CN" w:bidi="zh-CN"/>
        </w:rPr>
        <w:t xml:space="preserve">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105"/>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06" w:name="_Toc17776"/>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102"/>
      <w:bookmarkEnd w:id="103"/>
      <w:bookmarkEnd w:id="106"/>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7" w:name="_Toc31110"/>
      <w:r>
        <w:rPr>
          <w:rFonts w:hint="eastAsia" w:ascii="Times New Roman" w:hAnsi="Times New Roman" w:eastAsia="方正仿宋_GBK" w:cs="Times New Roman"/>
          <w:b w:val="0"/>
          <w:bCs w:val="0"/>
          <w:kern w:val="0"/>
          <w:sz w:val="30"/>
          <w:szCs w:val="30"/>
          <w:lang w:val="en-US" w:eastAsia="zh-CN" w:bidi="zh-CN"/>
        </w:rPr>
        <w:t>同心县红军西征纪念馆陈列展览提升项目绩效评价指标设置了项目决策 （15 分）、项目过程（25分）、项目产出（30分） 和项目效益（30分）4个一级指标，以及项目立项、绩效目标、资金投入、资金管理、组织实施、产出数量、产出质量、产出时效、产出成本、社会效益、可持续影响、满意度调查等12 个二级指标和 27 个三级指标。</w:t>
      </w:r>
      <w:r>
        <w:rPr>
          <w:rFonts w:ascii="仿宋" w:hAnsi="仿宋" w:eastAsia="仿宋" w:cs="仿宋"/>
          <w:b/>
          <w:bCs/>
          <w:i w:val="0"/>
          <w:iCs w:val="0"/>
          <w:color w:val="000000"/>
          <w:kern w:val="0"/>
          <w:sz w:val="27"/>
          <w:szCs w:val="27"/>
          <w:lang w:val="en-US" w:eastAsia="zh-CN" w:bidi="ar"/>
        </w:rPr>
        <w:t>具体评价指标体系表详见附件 2</w:t>
      </w:r>
      <w:bookmarkEnd w:id="107"/>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8" w:name="_Toc695"/>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 分以下为差。</w:t>
      </w:r>
      <w:bookmarkEnd w:id="108"/>
    </w:p>
    <w:tbl>
      <w:tblPr>
        <w:tblStyle w:val="20"/>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90</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含</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80</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含</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60</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含</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109" w:name="_Toc3585"/>
      <w:bookmarkStart w:id="110" w:name="_Toc10745"/>
      <w:bookmarkStart w:id="111" w:name="_Toc31420"/>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09"/>
      <w:bookmarkEnd w:id="110"/>
      <w:bookmarkEnd w:id="111"/>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12" w:name="_Toc4639"/>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12"/>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13" w:name="_Toc3227"/>
      <w:r>
        <w:rPr>
          <w:rFonts w:hint="eastAsia" w:ascii="方正仿宋_GBK" w:hAnsi="方正仿宋_GBK" w:eastAsia="方正仿宋_GBK" w:cs="方正仿宋_GBK"/>
          <w:b w:val="0"/>
          <w:color w:val="auto"/>
          <w:kern w:val="2"/>
          <w:sz w:val="30"/>
          <w:szCs w:val="30"/>
          <w:highlight w:val="none"/>
          <w:lang w:val="en-US" w:eastAsia="zh-CN" w:bidi="ar-SA"/>
        </w:rPr>
        <w:t>同心县红军西征纪念馆陈列展览提升项目事中绩效评价主要采用因素分析法、比较法、现场核查法、公众评判法进行综合评价。具体评价方法如下：</w:t>
      </w:r>
      <w:bookmarkEnd w:id="113"/>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同心县红军西征纪念馆陈列展览提升项目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同心县红军西征纪念馆陈列展览提升项目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同心县红军西征纪念馆陈列展览提升项目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同心县红军西征纪念馆陈列展览提升项目实施</w:t>
      </w:r>
      <w:r>
        <w:rPr>
          <w:rFonts w:hint="default" w:ascii="Times New Roman" w:hAnsi="Times New Roman" w:eastAsia="方正仿宋_GBK" w:cs="Times New Roman"/>
          <w:b w:val="0"/>
          <w:color w:val="auto"/>
          <w:kern w:val="2"/>
          <w:sz w:val="30"/>
          <w:szCs w:val="30"/>
          <w:highlight w:val="none"/>
          <w:lang w:val="en-US" w:eastAsia="zh-CN" w:bidi="ar-SA"/>
        </w:rPr>
        <w:t>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三是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14" w:name="_Toc14287"/>
      <w:bookmarkStart w:id="115" w:name="_Toc24143"/>
      <w:bookmarkStart w:id="116" w:name="_Toc15372"/>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14"/>
      <w:bookmarkEnd w:id="115"/>
      <w:bookmarkEnd w:id="116"/>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楷体_GBK" w:cs="Times New Roman"/>
          <w:b w:val="0"/>
          <w:bCs/>
          <w:color w:val="auto"/>
          <w:kern w:val="2"/>
          <w:sz w:val="30"/>
          <w:szCs w:val="30"/>
          <w:lang w:val="en-US" w:eastAsia="zh-CN" w:bidi="ar-SA"/>
        </w:rPr>
        <w:t>(</w:t>
      </w:r>
      <w:r>
        <w:rPr>
          <w:rFonts w:hint="default" w:ascii="Times New Roman" w:hAnsi="Times New Roman" w:eastAsia="方正仿宋_GBK" w:cs="Times New Roman"/>
          <w:b w:val="0"/>
          <w:bCs/>
          <w:color w:val="auto"/>
          <w:kern w:val="2"/>
          <w:sz w:val="30"/>
          <w:szCs w:val="30"/>
          <w:highlight w:val="none"/>
          <w:lang w:val="en-US" w:eastAsia="zh-CN" w:bidi="ar-SA"/>
        </w:rPr>
        <w:t>1</w:t>
      </w:r>
      <w:r>
        <w:rPr>
          <w:rFonts w:hint="default" w:ascii="Times New Roman" w:hAnsi="Times New Roman" w:eastAsia="方正楷体_GBK" w:cs="Times New Roman"/>
          <w:b w:val="0"/>
          <w:bCs/>
          <w:color w:val="auto"/>
          <w:kern w:val="2"/>
          <w:sz w:val="30"/>
          <w:szCs w:val="30"/>
          <w:lang w:val="en-US" w:eastAsia="zh-CN" w:bidi="ar-SA"/>
        </w:rPr>
        <w:t>)</w:t>
      </w:r>
      <w:r>
        <w:rPr>
          <w:rFonts w:hint="eastAsia" w:ascii="Times New Roman" w:hAnsi="Times New Roman" w:eastAsia="方正仿宋_GBK" w:cs="Times New Roman"/>
          <w:b w:val="0"/>
          <w:bCs/>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(3) </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17" w:name="_Toc23927"/>
      <w:bookmarkStart w:id="118" w:name="_Toc15926"/>
      <w:bookmarkStart w:id="119" w:name="_Toc22511"/>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17"/>
      <w:bookmarkEnd w:id="118"/>
      <w:bookmarkEnd w:id="119"/>
    </w:p>
    <w:p>
      <w:pPr>
        <w:pStyle w:val="4"/>
        <w:bidi w:val="0"/>
        <w:rPr>
          <w:rFonts w:hint="default"/>
          <w:lang w:val="en-US" w:eastAsia="zh-CN"/>
        </w:rPr>
      </w:pPr>
      <w:bookmarkStart w:id="120" w:name="_Toc18508"/>
      <w:r>
        <w:rPr>
          <w:rFonts w:hint="eastAsia"/>
          <w:lang w:val="en-US" w:eastAsia="zh-CN"/>
        </w:rPr>
        <w:t>（一）项目完成情况</w:t>
      </w:r>
      <w:bookmarkEnd w:id="120"/>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文旅局的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在一般债券资金限额和预算管理方面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能够对债券资金项目使用、执行和绩效进行穿透式管理，资金投向合规、资金管理严格，风险防范有效，确保资金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350.00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350.00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350.00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 xml:space="preserve">在项目产出方面： </w:t>
      </w:r>
      <w:r>
        <w:rPr>
          <w:rFonts w:hint="eastAsia" w:ascii="Times New Roman" w:hAnsi="Times New Roman" w:eastAsia="方正仿宋_GBK" w:cs="Times New Roman"/>
          <w:b w:val="0"/>
          <w:bCs w:val="0"/>
          <w:color w:val="auto"/>
          <w:kern w:val="2"/>
          <w:sz w:val="30"/>
          <w:szCs w:val="30"/>
          <w:highlight w:val="none"/>
          <w:lang w:val="en-US" w:eastAsia="zh-CN" w:bidi="ar-SA"/>
        </w:rPr>
        <w:t>2022年申请使用一般债券资金实施的同心县红军西征纪念馆陈列展览提升项目，严格实行项目“四制管理”，截至目前已全部建成投入使用。经工程验收质量合格，工程建设投资成本合理控制。</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红军西征纪念馆是时代的符号，是历史的见证，也是最好的教科书。沧桑不改红色印记，红色基因代代相传。传承红色精神是责任，赓续红色血脉更是每个中国人的担当。红军西征纪念馆中，一幅幅反映历史的照片、一件件历经硝烟的史物、一段段感人至深的事迹无不深深地感染着人们。项目的实施为地方经济社会发展注入强大精神动力，为传承赓续红色基因发挥积极作用。经对项目周边群众等对象开展满意度问卷调查，整体满意度为95%。</w:t>
      </w:r>
    </w:p>
    <w:p>
      <w:pPr>
        <w:pStyle w:val="4"/>
        <w:bidi w:val="0"/>
        <w:rPr>
          <w:rFonts w:hint="default"/>
          <w:lang w:val="en-US" w:eastAsia="zh-CN"/>
        </w:rPr>
      </w:pPr>
      <w:bookmarkStart w:id="121" w:name="_Toc9004"/>
      <w:r>
        <w:rPr>
          <w:rFonts w:hint="eastAsia"/>
          <w:lang w:val="en-US" w:eastAsia="zh-CN"/>
        </w:rPr>
        <w:t>（二）评价结论</w:t>
      </w:r>
      <w:bookmarkEnd w:id="121"/>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同心县红军西征纪念馆陈列展览提升项目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同心县一般债券</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%，产出效果较明显。项目实施单位资金支出较规范，未发现截留、挤占、挪用、虚列支出等情况，管理制度基本健全且得到有效执行</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对项目实施起到了积极的推动作用。但还存在项目进度缓慢、设备未投入使用等问题。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22" w:name="_Toc9214"/>
      <w:bookmarkStart w:id="123" w:name="_Toc14682"/>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“91.00”</w:t>
      </w:r>
      <w:r>
        <w:rPr>
          <w:rFonts w:hint="eastAsia" w:ascii="Times New Roman" w:hAnsi="Times New Roman" w:eastAsia="方正仿宋_GBK" w:cs="Times New Roman"/>
          <w:b w:val="0"/>
          <w:bCs w:val="0"/>
          <w:color w:val="000000" w:themeColor="text1"/>
          <w:kern w:val="2"/>
          <w:sz w:val="30"/>
          <w:szCs w:val="30"/>
          <w:highlight w:val="none"/>
          <w:lang w:val="en-US" w:eastAsia="zh-CN" w:bidi="ar-SA"/>
          <w14:textFill>
            <w14:solidFill>
              <w14:schemeClr w14:val="tx1"/>
            </w14:solidFill>
          </w14:textFill>
        </w:rPr>
        <w:t>分，评定等级为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0"/>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31.00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91.17%</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76.92%</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9.00%</w:t>
            </w:r>
          </w:p>
        </w:tc>
      </w:tr>
      <w:bookmarkEnd w:id="122"/>
      <w:bookmarkEnd w:id="123"/>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24" w:name="_Toc913"/>
      <w:bookmarkStart w:id="125" w:name="_Toc13356"/>
      <w:bookmarkStart w:id="126" w:name="_Toc10789"/>
      <w:bookmarkStart w:id="127" w:name="_Toc13089"/>
      <w:r>
        <w:rPr>
          <w:rFonts w:hint="eastAsia" w:asciiTheme="majorEastAsia" w:hAnsiTheme="majorEastAsia" w:eastAsiaTheme="majorEastAsia" w:cstheme="majorEastAsia"/>
          <w:b/>
          <w:bCs/>
          <w:sz w:val="32"/>
          <w:szCs w:val="32"/>
          <w:lang w:val="en-US" w:eastAsia="zh-CN"/>
        </w:rPr>
        <w:t>六、绩效评价指标分析</w:t>
      </w:r>
      <w:bookmarkEnd w:id="124"/>
      <w:bookmarkEnd w:id="125"/>
    </w:p>
    <w:p>
      <w:pPr>
        <w:pStyle w:val="4"/>
        <w:bidi w:val="0"/>
        <w:rPr>
          <w:rFonts w:hint="eastAsia"/>
        </w:rPr>
      </w:pPr>
      <w:bookmarkStart w:id="128" w:name="_Toc13765"/>
      <w:bookmarkStart w:id="129" w:name="_Toc28799"/>
      <w:bookmarkStart w:id="130" w:name="_Toc24502"/>
      <w:bookmarkStart w:id="131" w:name="_Toc24905"/>
      <w:r>
        <w:rPr>
          <w:rFonts w:hint="eastAsia"/>
        </w:rPr>
        <w:t>（一）项目决策情况分析</w:t>
      </w:r>
      <w:bookmarkEnd w:id="128"/>
      <w:bookmarkEnd w:id="129"/>
      <w:bookmarkEnd w:id="130"/>
      <w:bookmarkEnd w:id="131"/>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本项指标共设3个二级指标、6 个三级指标，权重分值 20 分，评价得分20.00 分，得分率为100.00%。具体评价指标分析如下：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eastAsia="方正仿宋_GBK" w:cs="Times New Roman"/>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spacing w:val="1"/>
          <w:sz w:val="30"/>
          <w:szCs w:val="30"/>
          <w:lang w:eastAsia="zh-CN"/>
        </w:rPr>
      </w:pPr>
      <w:r>
        <w:rPr>
          <w:rFonts w:hint="default" w:ascii="Times New Roman" w:hAnsi="Times New Roman" w:eastAsia="方正仿宋_GBK" w:cs="Times New Roman"/>
          <w:spacing w:val="1"/>
          <w:sz w:val="30"/>
          <w:szCs w:val="30"/>
          <w:lang w:val="en-US" w:eastAsia="zh-CN"/>
        </w:rPr>
        <w:t>2004</w:t>
      </w:r>
      <w:r>
        <w:rPr>
          <w:rFonts w:hint="eastAsia" w:ascii="Times New Roman" w:hAnsi="Times New Roman" w:eastAsia="方正仿宋_GBK" w:cs="Times New Roman"/>
          <w:spacing w:val="1"/>
          <w:sz w:val="30"/>
          <w:szCs w:val="30"/>
          <w:lang w:val="en-US" w:eastAsia="zh-CN"/>
        </w:rPr>
        <w:t>年开始先后出台了三版全国红色旅游发展规划以及专项规划，目前全国已建成了</w:t>
      </w:r>
      <w:r>
        <w:rPr>
          <w:rFonts w:hint="default" w:ascii="Times New Roman" w:hAnsi="Times New Roman" w:eastAsia="方正仿宋_GBK" w:cs="Times New Roman"/>
          <w:spacing w:val="1"/>
          <w:sz w:val="30"/>
          <w:szCs w:val="30"/>
          <w:lang w:val="en-US" w:eastAsia="zh-CN"/>
        </w:rPr>
        <w:t>300</w:t>
      </w:r>
      <w:r>
        <w:rPr>
          <w:rFonts w:hint="eastAsia" w:ascii="Times New Roman" w:hAnsi="Times New Roman" w:eastAsia="方正仿宋_GBK" w:cs="Times New Roman"/>
          <w:spacing w:val="1"/>
          <w:sz w:val="30"/>
          <w:szCs w:val="30"/>
          <w:lang w:val="en-US" w:eastAsia="zh-CN"/>
        </w:rPr>
        <w:t>个红色旅游经典景区和</w:t>
      </w:r>
      <w:r>
        <w:rPr>
          <w:rFonts w:hint="default" w:ascii="Times New Roman" w:hAnsi="Times New Roman" w:eastAsia="方正仿宋_GBK" w:cs="Times New Roman"/>
          <w:spacing w:val="1"/>
          <w:sz w:val="30"/>
          <w:szCs w:val="30"/>
          <w:lang w:val="en-US" w:eastAsia="zh-CN"/>
        </w:rPr>
        <w:t>473</w:t>
      </w:r>
      <w:r>
        <w:rPr>
          <w:rFonts w:hint="eastAsia" w:ascii="Times New Roman" w:hAnsi="Times New Roman" w:eastAsia="方正仿宋_GBK" w:cs="Times New Roman"/>
          <w:spacing w:val="1"/>
          <w:sz w:val="30"/>
          <w:szCs w:val="30"/>
          <w:lang w:val="en-US" w:eastAsia="zh-CN"/>
        </w:rPr>
        <w:t>个全国爱国主义教育基地。在红色旅游发展总体思路上，</w:t>
      </w:r>
      <w:r>
        <w:rPr>
          <w:rFonts w:hint="default" w:ascii="Times New Roman" w:hAnsi="Times New Roman" w:eastAsia="方正仿宋_GBK" w:cs="Times New Roman"/>
          <w:spacing w:val="1"/>
          <w:sz w:val="30"/>
          <w:szCs w:val="30"/>
          <w:lang w:val="en-US" w:eastAsia="zh-CN"/>
        </w:rPr>
        <w:t xml:space="preserve">2014 </w:t>
      </w:r>
      <w:r>
        <w:rPr>
          <w:rFonts w:hint="eastAsia" w:ascii="Times New Roman" w:hAnsi="Times New Roman" w:eastAsia="方正仿宋_GBK" w:cs="Times New Roman"/>
          <w:spacing w:val="1"/>
          <w:sz w:val="30"/>
          <w:szCs w:val="30"/>
          <w:lang w:val="en-US" w:eastAsia="zh-CN"/>
        </w:rPr>
        <w:t>年习总书记提出“把红色资源利用好、把红色传统发扬好、把红色基因传承好”，这是我国红色旅游发展的基本宗旨。同时习总书记也提出“关于发展革命根据地旅游项目，要把握好两个概念。红色根据地，爱国主义教育，这是一个概念。发展红色旅游，是另一个概念。两方面要统筹”。</w:t>
      </w:r>
    </w:p>
    <w:p>
      <w:pPr>
        <w:keepNext w:val="0"/>
        <w:keepLines w:val="0"/>
        <w:widowControl/>
        <w:suppressLineNumbers w:val="0"/>
        <w:jc w:val="left"/>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同心县位于宁南山区，历史悠久，文化底蕴深厚。特殊的环境和历史造就了同心县丰富的人文和自然景观。自然区划上，属于鄂尔多斯高原与黄土高原北部的衔接地带；经济区划上，既有农耕经济又有农牧经济地域；历史文化上，是多种文化融合交会之地，有长城（边塞）文化、西夏文化和近代革命文化等。</w:t>
      </w:r>
    </w:p>
    <w:p>
      <w:pPr>
        <w:keepNext w:val="0"/>
        <w:keepLines w:val="0"/>
        <w:widowControl/>
        <w:suppressLineNumbers w:val="0"/>
        <w:jc w:val="left"/>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同心县红军西征纪念馆，是国内唯一一家以红军西征为主题的纪念场所，红军西征纪念馆是同心县人民为纪念红军长征胜利暨陕甘宁省豫海县回民自治政府成立七十周年的一份献礼。2006 年被评为宁夏首批国防教育示范基地，</w:t>
      </w:r>
      <w:r>
        <w:rPr>
          <w:rFonts w:hint="default" w:ascii="Times New Roman" w:hAnsi="Times New Roman" w:eastAsia="方正仿宋_GBK" w:cs="Times New Roman"/>
          <w:spacing w:val="1"/>
          <w:sz w:val="30"/>
          <w:szCs w:val="30"/>
          <w:lang w:val="en-US" w:eastAsia="zh-CN"/>
        </w:rPr>
        <w:t xml:space="preserve">2012 </w:t>
      </w:r>
      <w:r>
        <w:rPr>
          <w:rFonts w:hint="eastAsia" w:ascii="Times New Roman" w:hAnsi="Times New Roman" w:eastAsia="方正仿宋_GBK" w:cs="Times New Roman"/>
          <w:spacing w:val="1"/>
          <w:sz w:val="30"/>
          <w:szCs w:val="30"/>
          <w:lang w:val="en-US" w:eastAsia="zh-CN"/>
        </w:rPr>
        <w:t>年被评为国家国防教育示范基地，同时纪念馆也是全国百家红色经典景区之一、全国爱国主义教育基地、全国民族团结进步教育基地。</w:t>
      </w:r>
    </w:p>
    <w:p>
      <w:pPr>
        <w:keepNext w:val="0"/>
        <w:keepLines w:val="0"/>
        <w:pageBreakBefore w:val="0"/>
        <w:widowControl w:val="0"/>
        <w:kinsoku/>
        <w:wordWrap/>
        <w:overflowPunct w:val="0"/>
        <w:topLinePunct/>
        <w:autoSpaceDE/>
        <w:autoSpaceDN/>
        <w:bidi w:val="0"/>
        <w:adjustRightInd/>
        <w:snapToGrid/>
        <w:spacing w:line="560" w:lineRule="exact"/>
        <w:ind w:firstLine="596" w:firstLineChars="200"/>
        <w:textAlignment w:val="auto"/>
        <w:outlineLvl w:val="0"/>
        <w:rPr>
          <w:rFonts w:hint="eastAsia" w:ascii="Times New Roman" w:hAnsi="Times New Roman" w:eastAsia="方正仿宋_GBK" w:cs="Times New Roman"/>
          <w:color w:val="auto"/>
          <w:kern w:val="2"/>
          <w:sz w:val="30"/>
          <w:szCs w:val="30"/>
          <w:highlight w:val="none"/>
          <w:lang w:val="en-US" w:eastAsia="zh-CN" w:bidi="ar-SA"/>
        </w:rPr>
      </w:pPr>
      <w:bookmarkStart w:id="132" w:name="_Toc13646"/>
      <w:bookmarkStart w:id="133" w:name="_Toc7120"/>
      <w:bookmarkStart w:id="134" w:name="_Toc13859"/>
      <w:r>
        <w:rPr>
          <w:rFonts w:hint="eastAsia" w:ascii="Times New Roman" w:hAnsi="Times New Roman" w:eastAsia="方正仿宋_GBK" w:cs="Times New Roman"/>
          <w:spacing w:val="1"/>
          <w:sz w:val="30"/>
          <w:szCs w:val="30"/>
          <w:lang w:val="en-US" w:eastAsia="zh-CN"/>
        </w:rPr>
        <w:t>2022年3月16日，同心县发展和改革局印发《关于同心县红军西征纪念馆陈列展览提升项目初步设计的批复》同发改审发</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93</w:t>
      </w:r>
      <w:r>
        <w:rPr>
          <w:rFonts w:hint="default" w:ascii="Times New Roman" w:hAnsi="Times New Roman" w:eastAsia="方正仿宋_GBK" w:cs="Times New Roman"/>
          <w:color w:val="auto"/>
          <w:kern w:val="2"/>
          <w:sz w:val="30"/>
          <w:szCs w:val="30"/>
          <w:highlight w:val="none"/>
          <w:lang w:val="en-US" w:eastAsia="zh-CN" w:bidi="ar-SA"/>
        </w:rPr>
        <w:t>号</w:t>
      </w:r>
      <w:r>
        <w:rPr>
          <w:rFonts w:hint="eastAsia" w:ascii="Times New Roman" w:hAnsi="Times New Roman" w:eastAsia="方正仿宋_GBK" w:cs="Times New Roman"/>
          <w:color w:val="auto"/>
          <w:kern w:val="2"/>
          <w:sz w:val="30"/>
          <w:szCs w:val="30"/>
          <w:highlight w:val="none"/>
          <w:lang w:val="en-US" w:eastAsia="zh-CN" w:bidi="ar-SA"/>
        </w:rPr>
        <w:t>，予以立项，明确规范项目建设内容等情况。项目立项符合行业发展规划和政策要求，与部门职责范围相符，立项依据充分。</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 xml:space="preserve">分，根据评分标准得 </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w:t>
      </w:r>
      <w:bookmarkEnd w:id="132"/>
      <w:bookmarkEnd w:id="133"/>
      <w:bookmarkEnd w:id="134"/>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sz w:val="30"/>
          <w:szCs w:val="30"/>
          <w:lang w:eastAsia="zh-CN"/>
        </w:rPr>
      </w:pPr>
      <w:r>
        <w:rPr>
          <w:rFonts w:hint="eastAsia" w:ascii="Times New Roman" w:hAnsi="Times New Roman" w:eastAsia="方正仿宋_GBK" w:cs="Times New Roman"/>
          <w:b/>
          <w:bCs/>
          <w:sz w:val="30"/>
          <w:szCs w:val="30"/>
          <w:lang w:val="en-US" w:eastAsia="zh-CN"/>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val="0"/>
        <w:kinsoku/>
        <w:wordWrap/>
        <w:overflowPunct w:val="0"/>
        <w:topLinePunct/>
        <w:autoSpaceDE/>
        <w:autoSpaceDN/>
        <w:bidi w:val="0"/>
        <w:adjustRightInd/>
        <w:snapToGrid/>
        <w:spacing w:line="560" w:lineRule="exact"/>
        <w:ind w:firstLine="596" w:firstLineChars="200"/>
        <w:textAlignment w:val="auto"/>
        <w:outlineLvl w:val="0"/>
        <w:rPr>
          <w:rFonts w:hint="default" w:ascii="Times New Roman" w:hAnsi="Times New Roman" w:eastAsia="方正仿宋_GBK" w:cs="Times New Roman"/>
          <w:sz w:val="30"/>
          <w:szCs w:val="30"/>
        </w:rPr>
      </w:pPr>
      <w:bookmarkStart w:id="135" w:name="_Toc21181"/>
      <w:bookmarkStart w:id="136" w:name="_Toc11837"/>
      <w:bookmarkStart w:id="137" w:name="_Toc21762"/>
      <w:r>
        <w:rPr>
          <w:rFonts w:hint="eastAsia" w:ascii="Times New Roman" w:hAnsi="Times New Roman" w:eastAsia="方正仿宋_GBK" w:cs="Times New Roman"/>
          <w:spacing w:val="1"/>
          <w:sz w:val="30"/>
          <w:szCs w:val="30"/>
          <w:lang w:val="en-US" w:eastAsia="zh-CN"/>
        </w:rPr>
        <w:t>该项目按照规定的程序审批，按照</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r>
        <w:rPr>
          <w:rFonts w:hint="eastAsia" w:ascii="Times New Roman" w:hAnsi="Times New Roman" w:eastAsia="方正仿宋_GBK" w:cs="Times New Roman"/>
          <w:color w:val="auto"/>
          <w:kern w:val="2"/>
          <w:sz w:val="30"/>
          <w:szCs w:val="30"/>
          <w:highlight w:val="none"/>
          <w:lang w:val="en-US" w:eastAsia="zh-CN" w:bidi="ar-SA"/>
        </w:rPr>
        <w:t>《关于批准同心县本级财政 2022 年第二批新增政府一般债券资金预算调整方案的决议》（同人常发（2022） 24 号） ，形成会议纪要。实施程序符合相关规定的要求，立项程序完整，上交文件及材料符合相关要求。</w:t>
      </w:r>
      <w:r>
        <w:rPr>
          <w:rFonts w:ascii="仿宋" w:hAnsi="仿宋" w:eastAsia="仿宋" w:cs="仿宋"/>
          <w:color w:val="000000"/>
          <w:kern w:val="0"/>
          <w:sz w:val="30"/>
          <w:szCs w:val="30"/>
          <w:lang w:val="en-US" w:eastAsia="zh-CN" w:bidi="ar"/>
        </w:rPr>
        <w:t>项目实施条件成熟，前期</w:t>
      </w:r>
      <w:r>
        <w:rPr>
          <w:rFonts w:hint="eastAsia" w:ascii="仿宋" w:hAnsi="仿宋" w:eastAsia="仿宋" w:cs="仿宋"/>
          <w:color w:val="000000"/>
          <w:kern w:val="0"/>
          <w:sz w:val="30"/>
          <w:szCs w:val="30"/>
          <w:lang w:val="en-US" w:eastAsia="zh-CN" w:bidi="ar"/>
        </w:rPr>
        <w:t>准备工作充分；各乡镇申请立项所提交的申请文件、资料真实完整，符合相关要求；事前经专家评审、论证测算和集体研究决策</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bookmarkEnd w:id="135"/>
      <w:bookmarkEnd w:id="136"/>
      <w:bookmarkEnd w:id="137"/>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（1）绩效目标合理</w:t>
      </w:r>
      <w:r>
        <w:rPr>
          <w:rFonts w:hint="default" w:ascii="Times New Roman" w:hAnsi="Times New Roman" w:eastAsia="方正仿宋_GBK" w:cs="Times New Roman"/>
          <w:b/>
          <w:bCs/>
          <w:sz w:val="30"/>
          <w:szCs w:val="30"/>
          <w:lang w:val="en-US" w:eastAsia="zh-CN"/>
        </w:rPr>
        <w:t>性</w:t>
      </w:r>
    </w:p>
    <w:p>
      <w:pPr>
        <w:keepNext w:val="0"/>
        <w:keepLines w:val="0"/>
        <w:pageBreakBefore w:val="0"/>
        <w:widowControl w:val="0"/>
        <w:kinsoku/>
        <w:wordWrap/>
        <w:overflowPunct w:val="0"/>
        <w:topLinePunct/>
        <w:autoSpaceDE/>
        <w:autoSpaceDN/>
        <w:bidi w:val="0"/>
        <w:adjustRightInd/>
        <w:snapToGrid/>
        <w:spacing w:line="560" w:lineRule="exact"/>
        <w:ind w:left="0" w:leftChars="0" w:firstLine="592" w:firstLineChars="200"/>
        <w:textAlignment w:val="auto"/>
        <w:outlineLvl w:val="0"/>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default" w:ascii="Times New Roman" w:hAnsi="Times New Roman" w:eastAsia="方正仿宋_GBK" w:cs="Times New Roman"/>
          <w:color w:val="auto"/>
          <w:kern w:val="2"/>
          <w:sz w:val="30"/>
          <w:szCs w:val="30"/>
          <w:highlight w:val="none"/>
          <w:lang w:val="en-US" w:eastAsia="zh-CN" w:bidi="ar-SA"/>
        </w:rPr>
        <w:t>经现场绩效评价，</w:t>
      </w:r>
      <w:r>
        <w:rPr>
          <w:rFonts w:hint="eastAsia" w:ascii="Times New Roman" w:hAnsi="Times New Roman" w:eastAsia="方正仿宋_GBK" w:cs="Times New Roman"/>
          <w:color w:val="auto"/>
          <w:kern w:val="2"/>
          <w:sz w:val="30"/>
          <w:szCs w:val="30"/>
          <w:highlight w:val="none"/>
          <w:lang w:val="en-US" w:eastAsia="zh-CN" w:bidi="ar-SA"/>
        </w:rPr>
        <w:t>同心县红军西征纪念馆陈列展览提升项目</w:t>
      </w:r>
      <w:r>
        <w:rPr>
          <w:rFonts w:hint="default" w:ascii="Times New Roman" w:hAnsi="Times New Roman" w:eastAsia="方正仿宋_GBK" w:cs="Times New Roman"/>
          <w:color w:val="auto"/>
          <w:kern w:val="2"/>
          <w:sz w:val="30"/>
          <w:szCs w:val="30"/>
          <w:highlight w:val="none"/>
          <w:lang w:val="en-US" w:eastAsia="zh-CN" w:bidi="ar-SA"/>
        </w:rPr>
        <w:t>从合理性和明确性两个方面</w:t>
      </w:r>
      <w:r>
        <w:rPr>
          <w:rFonts w:hint="eastAsia" w:ascii="Times New Roman" w:hAnsi="Times New Roman" w:eastAsia="方正仿宋_GBK" w:cs="Times New Roman"/>
          <w:color w:val="auto"/>
          <w:kern w:val="2"/>
          <w:sz w:val="30"/>
          <w:szCs w:val="30"/>
          <w:highlight w:val="none"/>
          <w:lang w:val="en-US" w:eastAsia="zh-CN" w:bidi="ar-SA"/>
        </w:rPr>
        <w:t>设定</w:t>
      </w:r>
      <w:r>
        <w:rPr>
          <w:rFonts w:hint="default" w:ascii="Times New Roman" w:hAnsi="Times New Roman" w:eastAsia="方正仿宋_GBK" w:cs="Times New Roman"/>
          <w:color w:val="auto"/>
          <w:kern w:val="2"/>
          <w:sz w:val="30"/>
          <w:szCs w:val="30"/>
          <w:highlight w:val="none"/>
          <w:lang w:val="en-US" w:eastAsia="zh-CN" w:bidi="ar-SA"/>
        </w:rPr>
        <w:t>，以项目实施方案中确定的总体目标、年度目标、各年度资金预算指标分配及项目支出预算绩效目标为依据，设置了具体的绩效目标，将主要任务具体细分为数量指标、质量指标、时效指标、成本指标、社会效益指标、可持续影响指标。</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 xml:space="preserve">标满分 </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b/>
          <w:bCs/>
          <w:sz w:val="30"/>
          <w:szCs w:val="30"/>
          <w:lang w:val="en-US" w:eastAsia="zh-CN"/>
        </w:rPr>
        <w:t>绩效</w:t>
      </w:r>
      <w:r>
        <w:rPr>
          <w:rFonts w:hint="eastAsia" w:ascii="Times New Roman" w:hAnsi="Times New Roman" w:eastAsia="方正仿宋_GBK" w:cs="Times New Roman"/>
          <w:b/>
          <w:bCs/>
          <w:sz w:val="30"/>
          <w:szCs w:val="30"/>
          <w:lang w:val="en-US" w:eastAsia="zh-CN"/>
        </w:rPr>
        <w:t>指标</w:t>
      </w:r>
      <w:r>
        <w:rPr>
          <w:rFonts w:hint="default" w:ascii="Times New Roman" w:hAnsi="Times New Roman" w:eastAsia="方正仿宋_GBK" w:cs="Times New Roman"/>
          <w:b/>
          <w:bCs/>
          <w:sz w:val="30"/>
          <w:szCs w:val="30"/>
          <w:lang w:val="en-US" w:eastAsia="zh-CN"/>
        </w:rPr>
        <w:t>明确性</w:t>
      </w:r>
    </w:p>
    <w:p>
      <w:pPr>
        <w:keepNext w:val="0"/>
        <w:keepLines w:val="0"/>
        <w:pageBreakBefore w:val="0"/>
        <w:widowControl w:val="0"/>
        <w:kinsoku/>
        <w:wordWrap/>
        <w:overflowPunct w:val="0"/>
        <w:topLinePunct/>
        <w:autoSpaceDE/>
        <w:autoSpaceDN/>
        <w:bidi w:val="0"/>
        <w:adjustRightInd/>
        <w:snapToGrid/>
        <w:spacing w:line="560" w:lineRule="exact"/>
        <w:ind w:left="0" w:leftChars="0" w:firstLine="592" w:firstLineChars="200"/>
        <w:textAlignment w:val="auto"/>
        <w:outlineLvl w:val="0"/>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3.资金投入情况方面</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spacing w:val="-3"/>
          <w:kern w:val="2"/>
          <w:sz w:val="30"/>
          <w:szCs w:val="30"/>
          <w:lang w:val="en-US" w:eastAsia="zh-CN" w:bidi="ar-SA"/>
        </w:rPr>
      </w:pP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（1）预算编制科学性</w:t>
      </w:r>
    </w:p>
    <w:p>
      <w:pPr>
        <w:keepNext w:val="0"/>
        <w:keepLines w:val="0"/>
        <w:pageBreakBefore w:val="0"/>
        <w:widowControl w:val="0"/>
        <w:numPr>
          <w:ilvl w:val="0"/>
          <w:numId w:val="0"/>
        </w:numPr>
        <w:kinsoku/>
        <w:wordWrap/>
        <w:overflowPunct w:val="0"/>
        <w:topLinePunct w:val="0"/>
        <w:autoSpaceDE/>
        <w:autoSpaceDN/>
        <w:bidi w:val="0"/>
        <w:adjustRightInd/>
        <w:snapToGrid/>
        <w:ind w:firstLine="580" w:firstLineChars="200"/>
        <w:textAlignment w:val="auto"/>
        <w:rPr>
          <w:rFonts w:hint="default" w:ascii="Times New Roman" w:hAnsi="Times New Roman" w:eastAsia="方正仿宋_GBK" w:cs="Times New Roman"/>
          <w:b w:val="0"/>
          <w:spacing w:val="-3"/>
          <w:kern w:val="2"/>
          <w:sz w:val="30"/>
          <w:szCs w:val="30"/>
          <w:lang w:val="en-US" w:eastAsia="zh-CN" w:bidi="ar-SA"/>
        </w:rPr>
      </w:pPr>
      <w:r>
        <w:rPr>
          <w:rFonts w:hint="default" w:ascii="Times New Roman" w:hAnsi="Times New Roman" w:eastAsia="方正仿宋_GBK" w:cs="Times New Roman"/>
          <w:b w:val="0"/>
          <w:spacing w:val="-3"/>
          <w:kern w:val="2"/>
          <w:sz w:val="30"/>
          <w:szCs w:val="30"/>
          <w:lang w:val="en-US" w:eastAsia="zh-CN" w:bidi="ar-SA"/>
        </w:rPr>
        <w:t>本项目</w:t>
      </w:r>
      <w:r>
        <w:rPr>
          <w:rFonts w:hint="eastAsia" w:ascii="Times New Roman" w:hAnsi="Times New Roman" w:eastAsia="方正仿宋_GBK" w:cs="Times New Roman"/>
          <w:b w:val="0"/>
          <w:spacing w:val="-3"/>
          <w:kern w:val="2"/>
          <w:sz w:val="30"/>
          <w:szCs w:val="30"/>
          <w:lang w:val="en-US" w:eastAsia="zh-CN" w:bidi="ar-SA"/>
        </w:rPr>
        <w:t>同心县文化旅游体育广电局</w:t>
      </w:r>
      <w:r>
        <w:rPr>
          <w:rFonts w:hint="default" w:ascii="Times New Roman" w:hAnsi="Times New Roman" w:eastAsia="方正仿宋_GBK" w:cs="Times New Roman"/>
          <w:b w:val="0"/>
          <w:spacing w:val="-3"/>
          <w:kern w:val="2"/>
          <w:sz w:val="30"/>
          <w:szCs w:val="30"/>
          <w:lang w:val="en-US" w:eastAsia="zh-CN" w:bidi="ar-SA"/>
        </w:rPr>
        <w:t>根据具体项目建设实施内容与规模、经济技术指标和相关定额标准及规范要求，经对投资概算进行测算后，结合</w:t>
      </w:r>
      <w:r>
        <w:rPr>
          <w:rFonts w:hint="eastAsia" w:ascii="Times New Roman" w:hAnsi="Times New Roman" w:eastAsia="方正仿宋_GBK" w:cs="Times New Roman"/>
          <w:b w:val="0"/>
          <w:spacing w:val="-3"/>
          <w:kern w:val="2"/>
          <w:sz w:val="30"/>
          <w:szCs w:val="30"/>
          <w:lang w:val="en-US" w:eastAsia="zh-CN" w:bidi="ar-SA"/>
        </w:rPr>
        <w:t>同心县</w:t>
      </w:r>
      <w:r>
        <w:rPr>
          <w:rFonts w:hint="default" w:ascii="Times New Roman" w:hAnsi="Times New Roman" w:eastAsia="方正仿宋_GBK" w:cs="Times New Roman"/>
          <w:b w:val="0"/>
          <w:spacing w:val="-3"/>
          <w:kern w:val="2"/>
          <w:sz w:val="30"/>
          <w:szCs w:val="30"/>
          <w:lang w:val="en-US" w:eastAsia="zh-CN" w:bidi="ar-SA"/>
        </w:rPr>
        <w:t>推进</w:t>
      </w:r>
      <w:r>
        <w:rPr>
          <w:rFonts w:hint="eastAsia" w:ascii="Times New Roman" w:hAnsi="Times New Roman" w:eastAsia="方正仿宋_GBK" w:cs="Times New Roman"/>
          <w:b w:val="0"/>
          <w:spacing w:val="-3"/>
          <w:kern w:val="2"/>
          <w:sz w:val="30"/>
          <w:szCs w:val="30"/>
          <w:lang w:val="en-US" w:eastAsia="zh-CN" w:bidi="ar-SA"/>
        </w:rPr>
        <w:t>实施重点</w:t>
      </w:r>
      <w:r>
        <w:rPr>
          <w:rFonts w:hint="default" w:ascii="Times New Roman" w:hAnsi="Times New Roman" w:eastAsia="方正仿宋_GBK" w:cs="Times New Roman"/>
          <w:b w:val="0"/>
          <w:spacing w:val="-3"/>
          <w:kern w:val="2"/>
          <w:sz w:val="30"/>
          <w:szCs w:val="30"/>
          <w:lang w:val="en-US" w:eastAsia="zh-CN" w:bidi="ar-SA"/>
        </w:rPr>
        <w:t>工作计划</w:t>
      </w:r>
      <w:r>
        <w:rPr>
          <w:rFonts w:hint="eastAsia" w:ascii="Times New Roman" w:hAnsi="Times New Roman" w:eastAsia="方正仿宋_GBK" w:cs="Times New Roman"/>
          <w:b w:val="0"/>
          <w:spacing w:val="-3"/>
          <w:kern w:val="2"/>
          <w:sz w:val="30"/>
          <w:szCs w:val="30"/>
          <w:lang w:val="en-US" w:eastAsia="zh-CN" w:bidi="ar-SA"/>
        </w:rPr>
        <w:t>。2022年8月24日由同心县文化旅游体育广电局向同心县财政局提请《关于拨付同心县西征纪念馆主体改造工程》（</w:t>
      </w:r>
      <w:r>
        <w:rPr>
          <w:rFonts w:hint="default" w:ascii="Times New Roman" w:hAnsi="Times New Roman" w:eastAsia="方正仿宋_GBK" w:cs="Times New Roman"/>
          <w:b w:val="0"/>
          <w:spacing w:val="-3"/>
          <w:kern w:val="2"/>
          <w:sz w:val="30"/>
          <w:szCs w:val="30"/>
          <w:lang w:val="en-US" w:eastAsia="zh-CN" w:bidi="ar-SA"/>
        </w:rPr>
        <w:t>〔2022〕</w:t>
      </w:r>
      <w:r>
        <w:rPr>
          <w:rFonts w:hint="eastAsia" w:ascii="Times New Roman" w:hAnsi="Times New Roman" w:eastAsia="方正仿宋_GBK" w:cs="Times New Roman"/>
          <w:b w:val="0"/>
          <w:spacing w:val="-3"/>
          <w:kern w:val="2"/>
          <w:sz w:val="30"/>
          <w:szCs w:val="30"/>
          <w:lang w:val="en-US" w:eastAsia="zh-CN" w:bidi="ar-SA"/>
        </w:rPr>
        <w:t>37</w:t>
      </w:r>
      <w:r>
        <w:rPr>
          <w:rFonts w:hint="default" w:ascii="Times New Roman" w:hAnsi="Times New Roman" w:eastAsia="方正仿宋_GBK" w:cs="Times New Roman"/>
          <w:b w:val="0"/>
          <w:spacing w:val="-3"/>
          <w:kern w:val="2"/>
          <w:sz w:val="30"/>
          <w:szCs w:val="30"/>
          <w:lang w:val="en-US" w:eastAsia="zh-CN" w:bidi="ar-SA"/>
        </w:rPr>
        <w:t xml:space="preserve"> 号</w:t>
      </w:r>
      <w:r>
        <w:rPr>
          <w:rFonts w:hint="eastAsia" w:ascii="Times New Roman" w:hAnsi="Times New Roman" w:eastAsia="方正仿宋_GBK" w:cs="Times New Roman"/>
          <w:b w:val="0"/>
          <w:spacing w:val="-3"/>
          <w:kern w:val="2"/>
          <w:sz w:val="30"/>
          <w:szCs w:val="30"/>
          <w:lang w:val="en-US" w:eastAsia="zh-CN" w:bidi="ar-SA"/>
        </w:rPr>
        <w:t>）申请拨付资金450万元。</w:t>
      </w:r>
      <w:r>
        <w:rPr>
          <w:rFonts w:hint="default" w:ascii="Times New Roman" w:hAnsi="Times New Roman" w:eastAsia="方正仿宋_GBK" w:cs="Times New Roman"/>
          <w:b w:val="0"/>
          <w:spacing w:val="-3"/>
          <w:kern w:val="2"/>
          <w:sz w:val="30"/>
          <w:szCs w:val="30"/>
          <w:lang w:val="en-US" w:eastAsia="zh-CN" w:bidi="ar-SA"/>
        </w:rPr>
        <w:t>经</w:t>
      </w:r>
      <w:r>
        <w:rPr>
          <w:rFonts w:hint="eastAsia" w:ascii="Times New Roman" w:hAnsi="Times New Roman" w:eastAsia="方正仿宋_GBK" w:cs="Times New Roman"/>
          <w:b w:val="0"/>
          <w:spacing w:val="-3"/>
          <w:kern w:val="2"/>
          <w:sz w:val="30"/>
          <w:szCs w:val="30"/>
          <w:lang w:val="en-US" w:eastAsia="zh-CN" w:bidi="ar-SA"/>
        </w:rPr>
        <w:t>县</w:t>
      </w:r>
      <w:r>
        <w:rPr>
          <w:rFonts w:hint="default" w:ascii="Times New Roman" w:hAnsi="Times New Roman" w:eastAsia="方正仿宋_GBK" w:cs="Times New Roman"/>
          <w:b w:val="0"/>
          <w:spacing w:val="-3"/>
          <w:kern w:val="2"/>
          <w:sz w:val="30"/>
          <w:szCs w:val="30"/>
          <w:lang w:val="en-US" w:eastAsia="zh-CN" w:bidi="ar-SA"/>
        </w:rPr>
        <w:t>政府审定后下发了资金使用计划</w:t>
      </w:r>
      <w:r>
        <w:rPr>
          <w:rFonts w:hint="eastAsia" w:ascii="Times New Roman" w:hAnsi="Times New Roman" w:eastAsia="方正仿宋_GBK" w:cs="Times New Roman"/>
          <w:b w:val="0"/>
          <w:spacing w:val="-3"/>
          <w:kern w:val="2"/>
          <w:sz w:val="30"/>
          <w:szCs w:val="30"/>
          <w:lang w:val="en-US" w:eastAsia="zh-CN" w:bidi="ar-SA"/>
        </w:rPr>
        <w:t>，</w:t>
      </w:r>
      <w:r>
        <w:rPr>
          <w:rFonts w:hint="default" w:ascii="Times New Roman" w:hAnsi="Times New Roman" w:eastAsia="方正仿宋_GBK" w:cs="Times New Roman"/>
          <w:b w:val="0"/>
          <w:spacing w:val="-3"/>
          <w:kern w:val="2"/>
          <w:sz w:val="30"/>
          <w:szCs w:val="30"/>
          <w:lang w:val="en-US" w:eastAsia="zh-CN" w:bidi="ar-SA"/>
        </w:rPr>
        <w:t>测算依据充分，预算内容与项目实施内容一致。本项满分 4 分，评价得分 4 分</w:t>
      </w:r>
      <w:r>
        <w:rPr>
          <w:rFonts w:hint="eastAsia" w:ascii="Times New Roman" w:hAnsi="Times New Roman" w:eastAsia="方正仿宋_GBK" w:cs="Times New Roman"/>
          <w:b w:val="0"/>
          <w:spacing w:val="-3"/>
          <w:kern w:val="2"/>
          <w:sz w:val="30"/>
          <w:szCs w:val="30"/>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根据《中共同心县委常务会议纪要》（十四届〔2021〕3 号）、</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人大常委会关于批准同心县本级财政2022年第二批新增政府一般债券资金预算调整方案的决议</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（同人常发</w:t>
      </w:r>
      <w:r>
        <w:rPr>
          <w:rFonts w:hint="eastAsia"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sz w:val="30"/>
          <w:szCs w:val="30"/>
          <w:lang w:val="en-US" w:eastAsia="zh-CN"/>
        </w:rPr>
        <w:t>24</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年第二批新增政府一般债券资金预算调整方案的报告</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股债券资金预算调整方案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草案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的报告</w:t>
      </w:r>
      <w:r>
        <w:rPr>
          <w:rFonts w:hint="eastAsia" w:ascii="Times New Roman" w:hAnsi="Times New Roman" w:eastAsia="方正仿宋_GBK" w:cs="Times New Roman"/>
          <w:color w:val="auto"/>
          <w:kern w:val="2"/>
          <w:sz w:val="30"/>
          <w:szCs w:val="30"/>
          <w:highlight w:val="none"/>
          <w:lang w:val="en-US" w:eastAsia="zh-CN" w:bidi="ar-SA"/>
        </w:rPr>
        <w:t>》并结合项目实际的要求，同心县财政局对重点项目资金进行管理和分配，并对项目实施和资金使用情况进行监督检查。</w:t>
      </w:r>
      <w:r>
        <w:rPr>
          <w:rFonts w:hint="eastAsia" w:ascii="Times New Roman" w:hAnsi="Times New Roman" w:eastAsia="方正仿宋_GBK" w:cs="Times New Roman"/>
          <w:kern w:val="0"/>
          <w:sz w:val="30"/>
          <w:szCs w:val="30"/>
          <w:lang w:eastAsia="zh-CN" w:bidi="zh-CN"/>
        </w:rPr>
        <w:t>资金到位率</w:t>
      </w:r>
      <w:r>
        <w:rPr>
          <w:rFonts w:hint="eastAsia" w:ascii="Times New Roman" w:hAnsi="Times New Roman" w:eastAsia="方正仿宋_GBK" w:cs="Times New Roman"/>
          <w:kern w:val="0"/>
          <w:sz w:val="30"/>
          <w:szCs w:val="30"/>
          <w:lang w:val="en-US" w:eastAsia="zh-CN" w:bidi="zh-CN"/>
        </w:rPr>
        <w:t>100%。</w:t>
      </w:r>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分，根据评分标准得 </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 分。</w:t>
      </w:r>
    </w:p>
    <w:p>
      <w:pPr>
        <w:pStyle w:val="4"/>
        <w:bidi w:val="0"/>
        <w:rPr>
          <w:rFonts w:hint="eastAsia"/>
          <w:lang w:val="en-US" w:eastAsia="zh-CN"/>
        </w:rPr>
      </w:pPr>
      <w:bookmarkStart w:id="138" w:name="_Toc23620"/>
      <w:bookmarkStart w:id="139" w:name="_Toc14792"/>
      <w:r>
        <w:rPr>
          <w:rFonts w:hint="eastAsia"/>
          <w:lang w:val="en-US" w:eastAsia="zh-CN"/>
        </w:rPr>
        <w:t>（二）项目过程情况分析</w:t>
      </w:r>
      <w:bookmarkEnd w:id="138"/>
      <w:bookmarkEnd w:id="139"/>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default" w:ascii="方正楷体_GBK" w:hAnsi="方正楷体_GBK" w:eastAsia="方正楷体_GBK" w:cs="方正楷体_GBK"/>
          <w:b/>
          <w:kern w:val="2"/>
          <w:sz w:val="30"/>
          <w:szCs w:val="30"/>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eastAsia" w:ascii="方正楷体_GBK" w:hAnsi="方正楷体_GBK" w:eastAsia="方正楷体_GBK" w:cs="方正楷体_GBK"/>
          <w:b/>
          <w:kern w:val="2"/>
          <w:sz w:val="30"/>
          <w:szCs w:val="30"/>
          <w:lang w:val="en-US" w:eastAsia="zh-CN" w:bidi="ar-SA"/>
        </w:rPr>
        <w:t>金管理方面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default" w:ascii="Times New Roman" w:hAnsi="Times New Roman" w:eastAsia="方正仿宋_GBK" w:cs="Times New Roman"/>
          <w:b/>
          <w:bCs/>
          <w:color w:val="auto"/>
          <w:kern w:val="2"/>
          <w:sz w:val="30"/>
          <w:szCs w:val="30"/>
          <w:highlight w:val="none"/>
          <w:lang w:val="en-US" w:eastAsia="zh-CN" w:bidi="ar-SA"/>
        </w:rPr>
        <w:t>金到位率</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根据《中华人民共和国预算法》《地方政府一般债务预算管理办法》等文件规定以及自治区财政厅《关于下达 2022 新增政府一般债券资金指标的通知</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第二批</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》宁财</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债</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指标</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2022393 号</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文件要求，新增政府债券资金安排要编制预算调</w:t>
      </w:r>
      <w:r>
        <w:rPr>
          <w:rFonts w:hint="eastAsia" w:ascii="Times New Roman" w:hAnsi="Times New Roman" w:eastAsia="方正仿宋_GBK" w:cs="Times New Roman"/>
          <w:spacing w:val="1"/>
          <w:sz w:val="30"/>
          <w:szCs w:val="30"/>
          <w:lang w:val="en-US" w:eastAsia="zh-CN"/>
        </w:rPr>
        <w:t>整方案报同级人大常</w:t>
      </w:r>
      <w:r>
        <w:rPr>
          <w:rFonts w:hint="eastAsia" w:ascii="仿宋_GB2312" w:hAnsi="仿宋" w:eastAsia="仿宋_GB2312"/>
          <w:sz w:val="32"/>
          <w:szCs w:val="32"/>
          <w:highlight w:val="none"/>
          <w:lang w:val="en-US" w:eastAsia="zh-CN"/>
        </w:rPr>
        <w:t>委</w:t>
      </w:r>
      <w:r>
        <w:rPr>
          <w:rFonts w:hint="eastAsia" w:ascii="Times New Roman" w:hAnsi="Times New Roman" w:eastAsia="方正仿宋_GBK" w:cs="Times New Roman"/>
          <w:spacing w:val="1"/>
          <w:sz w:val="30"/>
          <w:szCs w:val="30"/>
          <w:lang w:val="en-US" w:eastAsia="zh-CN"/>
        </w:rPr>
        <w:t>会审查批准，并将新增政府一般债券收支纳入一般公</w:t>
      </w:r>
      <w:r>
        <w:rPr>
          <w:rFonts w:hint="default" w:ascii="Times New Roman" w:hAnsi="Times New Roman" w:eastAsia="方正仿宋_GBK" w:cs="Times New Roman"/>
          <w:spacing w:val="1"/>
          <w:sz w:val="30"/>
          <w:szCs w:val="30"/>
          <w:lang w:val="en-US" w:eastAsia="zh-CN"/>
        </w:rPr>
        <w:t>共预算管理，编制 2022 年第二次预算调整方案。经绩效评价组现场资料查阅，同心县财政局拨付同心县西征纪念馆主体改造工程450.00万元</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均安排到具体项目中。该指标满分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项目预算安排为350.00万元，经绩效评价小组对预算单位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，截至目前，预算执行金额为：350.00万元 ，经计算预算执行率为：100.00%。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 xml:space="preserve">%得满分。否则本指标得分=资金执行率×分值。该指标满分 </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 xml:space="preserve"> 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r>
        <w:rPr>
          <w:rFonts w:ascii="Times New Roman" w:hAnsi="Times New Roman" w:eastAsia="仿宋" w:cs="Times New Roman"/>
          <w:spacing w:val="-3"/>
          <w:sz w:val="30"/>
          <w:szCs w:val="30"/>
          <w:u w:val="none"/>
          <w:lang w:bidi="ar"/>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w:t>
      </w:r>
      <w:r>
        <w:rPr>
          <w:rFonts w:hint="default" w:ascii="Times New Roman" w:hAnsi="Times New Roman" w:eastAsia="方正仿宋_GBK" w:cs="Times New Roman"/>
          <w:b/>
          <w:bCs/>
          <w:color w:val="auto"/>
          <w:kern w:val="2"/>
          <w:sz w:val="30"/>
          <w:szCs w:val="30"/>
          <w:highlight w:val="none"/>
          <w:lang w:val="en-US" w:eastAsia="zh-CN" w:bidi="ar-SA"/>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val="en-US" w:bidi="zh-CN"/>
        </w:rPr>
        <w:t>同心县文化旅游体育广电局</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管理制度健全性</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bidi="zh-CN"/>
        </w:rPr>
        <w:t>同心县文化旅游体育广电局</w:t>
      </w:r>
      <w:r>
        <w:rPr>
          <w:rFonts w:hint="default" w:ascii="Times New Roman" w:hAnsi="Times New Roman" w:eastAsia="方正仿宋_GBK" w:cs="Times New Roman"/>
          <w:spacing w:val="0"/>
          <w:kern w:val="0"/>
          <w:sz w:val="30"/>
          <w:szCs w:val="30"/>
          <w:lang w:val="en-US" w:bidi="zh-CN"/>
        </w:rPr>
        <w:t>印发</w:t>
      </w:r>
      <w:r>
        <w:rPr>
          <w:rFonts w:hint="eastAsia" w:ascii="Times New Roman" w:hAnsi="Times New Roman" w:eastAsia="方正仿宋_GBK" w:cs="Times New Roman"/>
          <w:spacing w:val="0"/>
          <w:kern w:val="0"/>
          <w:sz w:val="30"/>
          <w:szCs w:val="30"/>
          <w:lang w:val="en-US" w:bidi="zh-CN"/>
        </w:rPr>
        <w:t>《项目管理制度》</w:t>
      </w:r>
      <w:r>
        <w:rPr>
          <w:rFonts w:hint="default" w:ascii="Times New Roman" w:hAnsi="Times New Roman" w:eastAsia="方正仿宋_GBK" w:cs="Times New Roman"/>
          <w:spacing w:val="0"/>
          <w:kern w:val="0"/>
          <w:sz w:val="30"/>
          <w:szCs w:val="30"/>
          <w:lang w:val="en-US" w:eastAsia="zh-CN" w:bidi="zh-CN"/>
        </w:rPr>
        <w:t>《财务管理制度》，其中包括预算管理、采购管理、结算管理、资产管理、财务管理等的具体管理办法，</w:t>
      </w:r>
      <w:r>
        <w:rPr>
          <w:rFonts w:hint="default" w:ascii="Times New Roman" w:hAnsi="Times New Roman" w:eastAsia="方正仿宋_GBK" w:cs="Times New Roman"/>
        </w:rPr>
        <w:t>并且遵照《中华人民共和国预算法</w:t>
      </w:r>
      <w:r>
        <w:rPr>
          <w:rFonts w:hint="eastAsia" w:ascii="Times New Roman" w:hAnsi="Times New Roman" w:eastAsia="方正仿宋_GBK" w:cs="Times New Roman"/>
          <w:lang w:eastAsia="zh-CN"/>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r>
        <w:rPr>
          <w:rFonts w:hint="default" w:ascii="Times New Roman" w:hAnsi="Times New Roman" w:eastAsia="方正仿宋_GBK" w:cs="Times New Roman"/>
        </w:rPr>
        <w:t>、</w:t>
      </w:r>
      <w:r>
        <w:rPr>
          <w:rFonts w:hint="default" w:ascii="Times New Roman" w:hAnsi="Times New Roman" w:eastAsia="方正仿宋_GBK" w:cs="Times New Roman"/>
          <w:b w:val="0"/>
          <w:bCs w:val="0"/>
          <w:kern w:val="0"/>
          <w:sz w:val="30"/>
          <w:szCs w:val="30"/>
          <w:lang w:val="en-US" w:eastAsia="zh-CN" w:bidi="zh-CN"/>
        </w:rPr>
        <w:t>《自治区党委 人民政府关于全面实施预算绩效管理的实施意见》（宁党发</w:t>
      </w:r>
      <w:r>
        <w:rPr>
          <w:rFonts w:hint="default" w:ascii="Times New Roman" w:hAnsi="Times New Roman" w:eastAsia="仿宋" w:cs="Times New Roman"/>
          <w:b w:val="0"/>
          <w:bCs w:val="0"/>
          <w:kern w:val="0"/>
          <w:sz w:val="30"/>
          <w:szCs w:val="30"/>
          <w:lang w:val="en-US" w:eastAsia="zh-CN" w:bidi="zh-CN"/>
        </w:rPr>
        <w:t>〔2019〕9</w:t>
      </w:r>
      <w:r>
        <w:rPr>
          <w:rFonts w:hint="default" w:ascii="Times New Roman" w:hAnsi="Times New Roman" w:eastAsia="方正仿宋_GBK" w:cs="Times New Roman"/>
          <w:b w:val="0"/>
          <w:bCs w:val="0"/>
          <w:kern w:val="0"/>
          <w:sz w:val="30"/>
          <w:szCs w:val="30"/>
          <w:lang w:val="en-US" w:eastAsia="zh-CN" w:bidi="zh-CN"/>
        </w:rPr>
        <w:t>号）</w:t>
      </w:r>
      <w:r>
        <w:rPr>
          <w:rFonts w:hint="default" w:ascii="Times New Roman" w:hAnsi="Times New Roman" w:eastAsia="方正仿宋_GBK" w:cs="Times New Roman"/>
        </w:rPr>
        <w:t>等文件的规定，对项目实施进行监管，财务和业务管理制度合法、合规、完整</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该指标本项满分 4分，评价得分4分。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（2）制度执行有效性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 xml:space="preserve">（1） </w:t>
      </w:r>
      <w:r>
        <w:rPr>
          <w:rFonts w:hint="eastAsia" w:ascii="Times New Roman" w:hAnsi="Times New Roman" w:eastAsia="方正仿宋_GBK" w:cs="Times New Roman"/>
          <w:spacing w:val="0"/>
          <w:kern w:val="0"/>
          <w:sz w:val="30"/>
          <w:szCs w:val="30"/>
          <w:lang w:val="en-US" w:bidi="zh-CN"/>
        </w:rPr>
        <w:t>同心县文化旅游体育广电局</w:t>
      </w:r>
      <w:r>
        <w:rPr>
          <w:rFonts w:hint="eastAsia" w:ascii="Times New Roman" w:hAnsi="Times New Roman" w:eastAsia="方正仿宋_GBK" w:cs="Times New Roman"/>
          <w:spacing w:val="0"/>
          <w:kern w:val="0"/>
          <w:sz w:val="30"/>
          <w:szCs w:val="30"/>
          <w:lang w:val="en-US" w:eastAsia="zh-CN" w:bidi="zh-CN"/>
        </w:rPr>
        <w:t>在同心县红军西征纪念馆陈列展览提升项目的实施过程中支出管理、预算管理遵守相关法律法规、相关管理规定和财务管理制度；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工程能够按照国家基本建设程序进行报建，通过公开招投标选择相应资质等级的勘察设计、施工、监理单位，按要求办理了施工许可手续和质量安全监督注册，各责任主体建立了工程质量安全保证体系，组织机构健全，人员、管理制度和责任制落实到位；</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（5）根据</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关于同心县红军西征纪念馆陈列展览提升项目》（同发改审发</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356</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w:t>
      </w:r>
      <w:r>
        <w:rPr>
          <w:rFonts w:hint="eastAsia" w:ascii="Times New Roman" w:hAnsi="Times New Roman" w:eastAsia="方正仿宋_GBK" w:cs="Times New Roman"/>
          <w:spacing w:val="0"/>
          <w:kern w:val="0"/>
          <w:sz w:val="30"/>
          <w:szCs w:val="30"/>
          <w:lang w:val="en-US" w:eastAsia="zh-CN" w:bidi="zh-CN"/>
        </w:rPr>
        <w:t>可知，项目实施严格遵循项目法人责任制、招标投标制、工程监理制和合同管理制进行监督与管理。</w:t>
      </w:r>
      <w:r>
        <w:rPr>
          <w:rFonts w:hint="eastAsia" w:ascii="Times New Roman" w:hAnsi="Times New Roman" w:eastAsia="方正仿宋_GBK" w:cs="Times New Roman"/>
          <w:sz w:val="30"/>
          <w:szCs w:val="30"/>
          <w:lang w:val="en-US" w:eastAsia="zh-CN"/>
        </w:rPr>
        <w:t>该指标本项满分 4分，评价得分4分。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bookmarkStart w:id="140" w:name="_Toc3808"/>
      <w:bookmarkStart w:id="141" w:name="_Toc14428"/>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40"/>
      <w:bookmarkEnd w:id="141"/>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default" w:ascii="Times New Roman" w:hAnsi="Times New Roman" w:eastAsia="方正仿宋_GBK" w:cs="Times New Roman"/>
          <w:b/>
          <w:bCs/>
          <w:spacing w:val="-6"/>
          <w:sz w:val="30"/>
          <w:szCs w:val="30"/>
          <w:lang w:val="en-US" w:eastAsia="zh-CN"/>
        </w:rPr>
        <w:t>1.</w:t>
      </w:r>
      <w:r>
        <w:rPr>
          <w:rFonts w:hint="eastAsia" w:ascii="方正仿宋_GBK" w:hAnsi="方正仿宋_GBK" w:eastAsia="方正仿宋_GBK" w:cs="方正仿宋_GBK"/>
          <w:b/>
          <w:bCs/>
          <w:spacing w:val="-6"/>
          <w:sz w:val="30"/>
          <w:szCs w:val="30"/>
          <w:lang w:val="en-US" w:eastAsia="zh-CN"/>
        </w:rPr>
        <w:t>产出数量方面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本项指标共设2个二级指标、5个三级指标，权重分值34分，评价得分31.00分，得分率为91.17%。具体评价指标分析如下：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同心县红军西征纪念馆陈列展览提升项目建设整体态势良好。</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2022年3月16日，同心县发展改革局印发《关于同心县红军西征纪念馆陈列展览提升项目初步设计的批复》（同发改审发</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22</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pacing w:val="0"/>
          <w:kern w:val="0"/>
          <w:sz w:val="30"/>
          <w:szCs w:val="30"/>
          <w:lang w:val="en-US" w:eastAsia="zh-CN" w:bidi="zh-CN"/>
        </w:rPr>
        <w:t>93号）号，项目予以立项；</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2022年4月25日，经过公开招标的方式确定长沙锄禾展示展览有限公司为项目中标单位。</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截至目前，心县红军西征纪念园基础设施提升项目已完成批复等既定的全部施工内容，且完成验收、结算审核工作。</w:t>
      </w:r>
      <w:r>
        <w:rPr>
          <w:rFonts w:hint="eastAsia" w:ascii="Times New Roman" w:hAnsi="Times New Roman" w:eastAsia="方正仿宋_GBK" w:cs="Times New Roman"/>
          <w:sz w:val="30"/>
          <w:szCs w:val="30"/>
          <w:lang w:val="en-US" w:eastAsia="zh-CN"/>
        </w:rPr>
        <w:t>该指标本项满分 8分，评价得分8分。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标结果对外公示，有效接受社会监督，未发现围标、串标等违规情况。该指标本项满分5分，评价得分5分。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通过对本项目工程验收，工程质量鉴定资料核查，项目均通过工程验收，验收结果合格，达到设计标准和质量要求，并在完工后投入使用。该指标本项满分5分，评价得分5分。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2" w:name="_Toc25249"/>
      <w:bookmarkStart w:id="143" w:name="_Toc10205"/>
      <w:bookmarkStart w:id="144" w:name="_Toc13818"/>
      <w:r>
        <w:rPr>
          <w:rFonts w:hint="default" w:ascii="Times New Roman" w:hAnsi="Times New Roman" w:cs="Times New Roman"/>
          <w:lang w:val="en-US" w:eastAsia="zh-CN"/>
        </w:rPr>
        <w:t>（1）资金到位及时率</w:t>
      </w:r>
      <w:bookmarkEnd w:id="142"/>
      <w:bookmarkEnd w:id="143"/>
      <w:bookmarkEnd w:id="144"/>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同心县红军西征纪念馆陈列展览提升项目</w:t>
      </w:r>
      <w:r>
        <w:rPr>
          <w:rFonts w:hint="default" w:ascii="Times New Roman" w:hAnsi="Times New Roman" w:eastAsia="方正仿宋_GBK" w:cs="Times New Roman"/>
          <w:spacing w:val="0"/>
          <w:kern w:val="0"/>
          <w:sz w:val="30"/>
          <w:szCs w:val="30"/>
          <w:lang w:val="en-US" w:eastAsia="zh-CN" w:bidi="zh-CN"/>
        </w:rPr>
        <w:t>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100%。该指标本项满分3分，评价得分3分。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5" w:name="_Toc21961"/>
      <w:bookmarkStart w:id="146" w:name="_Toc2959"/>
      <w:bookmarkStart w:id="147" w:name="_Toc21408"/>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45"/>
      <w:bookmarkEnd w:id="146"/>
      <w:bookmarkEnd w:id="147"/>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经现场资料审核，项目合同约定工期</w:t>
      </w:r>
      <w:r>
        <w:rPr>
          <w:rFonts w:hint="eastAsia" w:ascii="Times New Roman" w:hAnsi="Times New Roman" w:eastAsia="方正仿宋_GBK" w:cs="Times New Roman"/>
          <w:spacing w:val="0"/>
          <w:kern w:val="0"/>
          <w:sz w:val="30"/>
          <w:szCs w:val="30"/>
          <w:lang w:val="en-US" w:eastAsia="zh-CN" w:bidi="zh-CN"/>
        </w:rPr>
        <w:t>90天</w:t>
      </w:r>
      <w:r>
        <w:rPr>
          <w:rFonts w:hint="default" w:ascii="Times New Roman" w:hAnsi="Times New Roman" w:eastAsia="方正仿宋_GBK" w:cs="Times New Roman"/>
          <w:spacing w:val="0"/>
          <w:kern w:val="0"/>
          <w:sz w:val="30"/>
          <w:szCs w:val="30"/>
          <w:lang w:val="en-US" w:eastAsia="zh-CN" w:bidi="zh-CN"/>
        </w:rPr>
        <w:t>，项目实际开完工时间2022年</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29</w:t>
      </w:r>
      <w:r>
        <w:rPr>
          <w:rFonts w:hint="default" w:ascii="Times New Roman" w:hAnsi="Times New Roman" w:eastAsia="方正仿宋_GBK" w:cs="Times New Roman"/>
          <w:spacing w:val="0"/>
          <w:kern w:val="0"/>
          <w:sz w:val="30"/>
          <w:szCs w:val="30"/>
          <w:lang w:val="en-US" w:eastAsia="zh-CN" w:bidi="zh-CN"/>
        </w:rPr>
        <w:t>日—2022年</w:t>
      </w:r>
      <w:r>
        <w:rPr>
          <w:rFonts w:hint="eastAsia" w:ascii="Times New Roman" w:hAnsi="Times New Roman" w:eastAsia="方正仿宋_GBK" w:cs="Times New Roman"/>
          <w:spacing w:val="0"/>
          <w:kern w:val="0"/>
          <w:sz w:val="30"/>
          <w:szCs w:val="30"/>
          <w:lang w:val="en-US" w:eastAsia="zh-CN" w:bidi="zh-CN"/>
        </w:rPr>
        <w:t>12</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31</w:t>
      </w:r>
      <w:r>
        <w:rPr>
          <w:rFonts w:hint="default" w:ascii="Times New Roman" w:hAnsi="Times New Roman" w:eastAsia="方正仿宋_GBK" w:cs="Times New Roman"/>
          <w:spacing w:val="0"/>
          <w:kern w:val="0"/>
          <w:sz w:val="30"/>
          <w:szCs w:val="30"/>
          <w:lang w:val="en-US" w:eastAsia="zh-CN" w:bidi="zh-CN"/>
        </w:rPr>
        <w:t>日，</w:t>
      </w:r>
      <w:r>
        <w:rPr>
          <w:rFonts w:hint="eastAsia" w:ascii="Times New Roman" w:hAnsi="Times New Roman" w:eastAsia="方正仿宋_GBK" w:cs="Times New Roman"/>
          <w:spacing w:val="0"/>
          <w:kern w:val="0"/>
          <w:sz w:val="30"/>
          <w:szCs w:val="30"/>
          <w:lang w:val="en-US" w:eastAsia="zh-CN" w:bidi="zh-CN"/>
        </w:rPr>
        <w:t>实际工期240天，项目延期</w:t>
      </w:r>
      <w:r>
        <w:rPr>
          <w:rFonts w:hint="default" w:ascii="Times New Roman" w:hAnsi="Times New Roman" w:eastAsia="方正仿宋_GBK" w:cs="Times New Roman"/>
          <w:spacing w:val="0"/>
          <w:kern w:val="0"/>
          <w:sz w:val="30"/>
          <w:szCs w:val="30"/>
          <w:lang w:val="en-US" w:eastAsia="zh-CN" w:bidi="zh-CN"/>
        </w:rPr>
        <w:t>未严格按照合同约定履行工期。</w:t>
      </w:r>
      <w:r>
        <w:rPr>
          <w:rFonts w:hint="eastAsia" w:ascii="Times New Roman" w:hAnsi="Times New Roman" w:eastAsia="方正仿宋_GBK" w:cs="Times New Roman"/>
          <w:spacing w:val="0"/>
          <w:kern w:val="0"/>
          <w:sz w:val="30"/>
          <w:szCs w:val="30"/>
          <w:lang w:val="en-US" w:eastAsia="zh-CN" w:bidi="zh-CN"/>
        </w:rPr>
        <w:t>本项在问题建议中进行具体赘述，不涉及扣分。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8" w:name="_Toc30038"/>
      <w:bookmarkStart w:id="149" w:name="_Toc23630"/>
      <w:bookmarkStart w:id="150" w:name="_Toc4766"/>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48"/>
      <w:bookmarkEnd w:id="149"/>
      <w:bookmarkEnd w:id="150"/>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通过对完工项目结算审核完成时效结果查看，均按期完成结算审核并报审，结算审核完成及时率100%。该指标本项满分3分，评价得分3分。</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cs="Times New Roman"/>
          <w:b w:val="0"/>
          <w:color w:val="000000"/>
          <w:kern w:val="0"/>
          <w:sz w:val="30"/>
          <w:szCs w:val="30"/>
          <w:lang w:val="en-US" w:eastAsia="zh-CN" w:bidi="ar"/>
        </w:rPr>
      </w:pPr>
      <w:r>
        <w:rPr>
          <w:rFonts w:hint="default" w:ascii="Times New Roman" w:hAnsi="Times New Roman" w:eastAsia="方正仿宋_GBK" w:cs="Times New Roman"/>
          <w:spacing w:val="0"/>
          <w:kern w:val="0"/>
          <w:sz w:val="30"/>
          <w:szCs w:val="30"/>
          <w:lang w:val="en-US" w:eastAsia="zh-CN" w:bidi="zh-CN"/>
        </w:rPr>
        <w:t>通过对完工项目组织验收完成时效结果查看，项目全部在完工后 2 个月以内完成并通过工程验收，工程验收完成及时率100%。该指标本项满分3分，评价得分3分。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51" w:name="_Toc26386"/>
      <w:bookmarkStart w:id="152" w:name="_Toc26427"/>
      <w:bookmarkStart w:id="153" w:name="_Toc15238"/>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51"/>
      <w:bookmarkEnd w:id="152"/>
      <w:bookmarkEnd w:id="153"/>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该指标本项满分3分，评价得分3分。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4.产出成本</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1394.58万元、中标合同价总额1326.28万元，结算金额为1339.71万元。从施工单位提交的工程结算金额统计结果来看，本项目建设投资成本总额控制在初步设计批复总额以内。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r>
        <w:rPr>
          <w:rFonts w:hint="eastAsia" w:ascii="仿宋" w:hAnsi="仿宋" w:eastAsia="仿宋" w:cs="仿宋"/>
          <w:b w:val="0"/>
          <w:color w:val="000000"/>
          <w:kern w:val="0"/>
          <w:sz w:val="30"/>
          <w:szCs w:val="30"/>
          <w:lang w:val="en-US" w:eastAsia="zh-CN" w:bidi="ar"/>
        </w:rPr>
        <w:t xml:space="preserve"> </w:t>
      </w:r>
      <w:bookmarkStart w:id="154" w:name="_Toc15934"/>
      <w:bookmarkStart w:id="155" w:name="_Toc17947"/>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54"/>
      <w:bookmarkEnd w:id="155"/>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本项指标共设3个二级指标、4个三级指标，权重分值26分，评价得分26分，得分率为 100.00%。具体评价指标分析如下：</w:t>
      </w:r>
    </w:p>
    <w:p>
      <w:pPr>
        <w:pStyle w:val="4"/>
        <w:rPr>
          <w:rFonts w:hint="eastAsia" w:ascii="Times New Roman" w:hAnsi="Times New Roman" w:eastAsia="楷体" w:cs="Times New Roman"/>
          <w:b/>
          <w:kern w:val="2"/>
          <w:sz w:val="32"/>
          <w:szCs w:val="32"/>
          <w:lang w:val="en-US" w:eastAsia="zh-CN" w:bidi="ar-SA"/>
        </w:rPr>
      </w:pPr>
      <w:bookmarkStart w:id="156" w:name="_Toc19818"/>
      <w:bookmarkStart w:id="157" w:name="_Toc6908"/>
      <w:bookmarkStart w:id="158" w:name="_Toc12708"/>
      <w:r>
        <w:rPr>
          <w:rFonts w:hint="eastAsia" w:ascii="Times New Roman" w:hAnsi="Times New Roman" w:eastAsia="楷体" w:cs="Times New Roman"/>
          <w:b/>
          <w:kern w:val="2"/>
          <w:sz w:val="32"/>
          <w:szCs w:val="32"/>
          <w:lang w:val="en-US" w:eastAsia="zh-CN" w:bidi="ar-SA"/>
        </w:rPr>
        <w:t>（1）提升红色旅游发展</w:t>
      </w:r>
      <w:bookmarkEnd w:id="156"/>
      <w:bookmarkEnd w:id="157"/>
      <w:bookmarkEnd w:id="158"/>
    </w:p>
    <w:p>
      <w:pPr>
        <w:keepNext w:val="0"/>
        <w:keepLines w:val="0"/>
        <w:widowControl/>
        <w:suppressLineNumbers w:val="0"/>
        <w:jc w:val="left"/>
        <w:rPr>
          <w:rFonts w:ascii="Microsoft YaHei UI" w:hAnsi="Microsoft YaHei UI" w:eastAsia="Microsoft YaHei UI" w:cs="Microsoft YaHei UI"/>
          <w:i w:val="0"/>
          <w:iCs w:val="0"/>
          <w:caps w:val="0"/>
          <w:spacing w:val="8"/>
          <w:sz w:val="24"/>
          <w:szCs w:val="24"/>
          <w:shd w:val="clear" w:fill="E5F4FA"/>
        </w:rPr>
      </w:pPr>
      <w:r>
        <w:rPr>
          <w:rFonts w:hint="eastAsia" w:ascii="Times New Roman" w:hAnsi="Times New Roman" w:eastAsia="方正仿宋_GBK" w:cs="Times New Roman"/>
          <w:b w:val="0"/>
          <w:spacing w:val="0"/>
          <w:kern w:val="0"/>
          <w:sz w:val="30"/>
          <w:szCs w:val="30"/>
          <w:lang w:val="en-US" w:eastAsia="zh-CN" w:bidi="zh-CN"/>
        </w:rPr>
        <w:t>改造提升后的红军西征纪念园将包括综合服务区、西征文化体验区、红色研学拓展区、娱乐休闲区等四大分区，着重突出红军西征历史、铸牢中华民族共同体意识、红色文化研学等主题，使全县旅游服务水平和社会效益得到明显提高，文旅资源得到全面展示，“文化兴县”目标得以彰显，持续推动同心县文化旅游产业高质量发展，成为全县文化旅游产业发展总体布局中的核心点</w:t>
      </w:r>
      <w:r>
        <w:rPr>
          <w:rFonts w:ascii="Microsoft YaHei UI" w:hAnsi="Microsoft YaHei UI" w:eastAsia="Microsoft YaHei UI" w:cs="Microsoft YaHei UI"/>
          <w:i w:val="0"/>
          <w:iCs w:val="0"/>
          <w:caps w:val="0"/>
          <w:spacing w:val="8"/>
          <w:sz w:val="24"/>
          <w:szCs w:val="24"/>
          <w:shd w:val="clear" w:fill="E5F4FA"/>
        </w:rPr>
        <w:t>。</w:t>
      </w:r>
    </w:p>
    <w:p>
      <w:pPr>
        <w:keepNext w:val="0"/>
        <w:keepLines w:val="0"/>
        <w:widowControl/>
        <w:suppressLineNumbers w:val="0"/>
        <w:jc w:val="left"/>
        <w:rPr>
          <w:rFonts w:ascii="Microsoft YaHei UI" w:hAnsi="Microsoft YaHei UI" w:eastAsia="Microsoft YaHei UI" w:cs="Microsoft YaHei UI"/>
          <w:i w:val="0"/>
          <w:iCs w:val="0"/>
          <w:caps w:val="0"/>
          <w:spacing w:val="8"/>
          <w:sz w:val="24"/>
          <w:szCs w:val="24"/>
          <w:shd w:val="clear" w:fill="E5F4FA"/>
        </w:rPr>
      </w:pPr>
      <w:r>
        <w:rPr>
          <w:rFonts w:hint="eastAsia" w:ascii="方正仿宋_GBK" w:hAnsi="方正仿宋_GBK" w:eastAsia="方正仿宋_GBK" w:cs="方正仿宋_GBK"/>
          <w:color w:val="000000"/>
          <w:kern w:val="0"/>
          <w:sz w:val="30"/>
          <w:szCs w:val="30"/>
          <w:lang w:val="en-US" w:eastAsia="zh-CN" w:bidi="ar"/>
        </w:rPr>
        <w:t>红色旅游的高质量发展，要把红色资源利用好、把红色传统发扬好、把红色基因传承好，发挥红色旅游理想信念教育的重要功能和在打赢脱贫攻坚战中的积极作用。对于革命老区而言，充分发挥红色旅游在脱贫攻坚以及后脱贫时代发展成果巩固中的作用尤为重要。</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59" w:name="_Toc17393"/>
      <w:bookmarkStart w:id="160" w:name="_Toc15261"/>
      <w:bookmarkStart w:id="161" w:name="_Toc2428"/>
      <w:r>
        <w:rPr>
          <w:rFonts w:hint="eastAsia" w:ascii="Times New Roman" w:hAnsi="Times New Roman" w:eastAsia="楷体" w:cs="Times New Roman"/>
          <w:b/>
          <w:kern w:val="2"/>
          <w:sz w:val="32"/>
          <w:szCs w:val="32"/>
          <w:lang w:val="en-US" w:eastAsia="zh-CN" w:bidi="ar-SA"/>
        </w:rPr>
        <w:t>（2）增强红色爱国主义教育</w:t>
      </w:r>
      <w:bookmarkEnd w:id="159"/>
      <w:bookmarkEnd w:id="160"/>
      <w:bookmarkEnd w:id="161"/>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同心县红军西征纪念馆项目肩负着传承红色文化的巨大使命。凭借以实物、实景、实例、实事，通过充分挖掘和开发红色资源，搭建红色教育大课堂，在这些历史事件、革命任务、革命精神的对话中，不但触及思想、深入灵魂的反思和感悟，实现心灵的震撼和精神的蜕变，不断增强红色教育的针对性和实效性。并能使同心县的整体形象得到提高。符合国家改革开放的政治经济形势需要，符合同心县经济社会发展和社会稳定的要求，也是加强自身建设切实贯彻党支部基础设施工程建设的重要举措。</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62" w:name="_Toc6584"/>
      <w:bookmarkStart w:id="163" w:name="_Toc26089"/>
      <w:bookmarkStart w:id="164" w:name="_Toc11426"/>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可持续影响性</w:t>
      </w:r>
      <w:bookmarkEnd w:id="162"/>
      <w:bookmarkEnd w:id="163"/>
      <w:bookmarkEnd w:id="16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按照“要素跟着项目走”的原则，统筹调度、科学安排。项目未制定明确的交付使用后管护方案。应明确责任单位，工作职责、人员配置到位，经费安排等要素，为项目的可持续发展提供了可靠保障。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65" w:name="_Toc3765"/>
      <w:bookmarkStart w:id="166" w:name="_Toc15328"/>
      <w:bookmarkStart w:id="167" w:name="_Toc9957"/>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65"/>
      <w:bookmarkEnd w:id="166"/>
      <w:bookmarkEnd w:id="167"/>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eastAsia"/>
          <w:lang w:val="en-US" w:eastAsia="zh-CN"/>
        </w:rPr>
      </w:pPr>
      <w:r>
        <w:rPr>
          <w:rFonts w:hint="eastAsia"/>
          <w:lang w:val="en-US" w:eastAsia="zh-CN"/>
        </w:rPr>
        <w:t>我们通过发放调查问卷的方式，对同心县辖区常住居民、外来办事人员等进行了满意度调查，调查问卷内容包括项目建设情况、项目设计、历史要素、人文环境等方面。经统计，项目整体的满意度≥90分。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 xml:space="preserve"> </w:t>
      </w:r>
    </w:p>
    <w:bookmarkEnd w:id="126"/>
    <w:bookmarkEnd w:id="127"/>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68" w:name="_Toc25416"/>
      <w:bookmarkStart w:id="169" w:name="_Toc27298"/>
      <w:r>
        <w:rPr>
          <w:rFonts w:hint="eastAsia" w:asciiTheme="majorEastAsia" w:hAnsiTheme="majorEastAsia" w:eastAsiaTheme="majorEastAsia" w:cstheme="majorEastAsia"/>
          <w:b/>
          <w:bCs/>
          <w:sz w:val="32"/>
          <w:szCs w:val="32"/>
          <w:lang w:val="en-US" w:eastAsia="zh-CN"/>
        </w:rPr>
        <w:t>七、主要经验做法、存在问题及建议</w:t>
      </w:r>
      <w:bookmarkEnd w:id="168"/>
      <w:bookmarkEnd w:id="169"/>
    </w:p>
    <w:p>
      <w:pPr>
        <w:pStyle w:val="4"/>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bookmarkStart w:id="170" w:name="_Toc24475"/>
      <w:bookmarkStart w:id="171" w:name="_Toc26264"/>
      <w:r>
        <w:rPr>
          <w:rFonts w:hint="eastAsia" w:ascii="方正楷体_GBK" w:hAnsi="方正楷体_GBK" w:eastAsia="方正楷体_GBK" w:cs="方正楷体_GBK"/>
          <w:b/>
          <w:bCs w:val="0"/>
          <w:sz w:val="32"/>
          <w:szCs w:val="32"/>
        </w:rPr>
        <w:t>（一）经验做法</w:t>
      </w:r>
      <w:bookmarkEnd w:id="170"/>
      <w:bookmarkEnd w:id="171"/>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宁夏同心县红军西征纪念馆陈列展览提升项目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ind w:firstLine="592" w:firstLineChars="200"/>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一是立足资源讲述民族团结历史。</w:t>
      </w:r>
      <w:r>
        <w:rPr>
          <w:rFonts w:hint="eastAsia" w:ascii="Times New Roman" w:hAnsi="Times New Roman" w:eastAsia="方正仿宋_GBK" w:cs="Times New Roman"/>
          <w:kern w:val="2"/>
          <w:sz w:val="30"/>
          <w:szCs w:val="30"/>
          <w:lang w:val="en-US" w:eastAsia="zh-CN" w:bidi="zh-CN"/>
        </w:rPr>
        <w:t>深入挖掘党在西征中的民族政策、民族团结史，总结民族团结在革命历史进程中的宝贵经验。在展览章节中，设有民族工作和民族团结的板块，并以文物和史实为支撑，讲好党的故事，讲好民族团结进步的故事，成为宣传民族团结、增强民族团结的凝聚力和向心力。</w:t>
      </w:r>
    </w:p>
    <w:p>
      <w:pPr>
        <w:ind w:firstLine="592" w:firstLineChars="200"/>
        <w:rPr>
          <w:rFonts w:hint="default"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二是发挥职能讲好民族团结故事</w:t>
      </w:r>
      <w:r>
        <w:rPr>
          <w:rFonts w:hint="eastAsia" w:ascii="Times New Roman" w:hAnsi="Times New Roman" w:eastAsia="方正仿宋_GBK" w:cs="Times New Roman"/>
          <w:kern w:val="2"/>
          <w:sz w:val="30"/>
          <w:szCs w:val="30"/>
          <w:lang w:val="en-US" w:eastAsia="zh-CN" w:bidi="zh-CN"/>
        </w:rPr>
        <w:t>。</w:t>
      </w:r>
      <w:r>
        <w:rPr>
          <w:rFonts w:hint="eastAsia" w:ascii="方正仿宋_GBK" w:hAnsi="方正仿宋_GBK" w:eastAsia="方正仿宋_GBK" w:cs="方正仿宋_GBK"/>
          <w:kern w:val="2"/>
          <w:sz w:val="30"/>
          <w:szCs w:val="30"/>
          <w:lang w:val="en-US" w:eastAsia="zh-CN" w:bidi="zh-CN"/>
        </w:rPr>
        <w:t>本次西征纪念馆的改造提升，在尊重历史再现历史的原则上，充分利用场景复原、雕塑、油画、声光电多媒体技术等多元化的表现手段再现了红军西征这段波澜壮阔的历</w:t>
      </w:r>
      <w:r>
        <w:rPr>
          <w:rFonts w:hint="default" w:ascii="Times New Roman" w:hAnsi="Times New Roman" w:eastAsia="方正仿宋_GBK" w:cs="Times New Roman"/>
          <w:kern w:val="2"/>
          <w:sz w:val="30"/>
          <w:szCs w:val="30"/>
          <w:lang w:val="en-US" w:eastAsia="zh-CN" w:bidi="zh-CN"/>
        </w:rPr>
        <w:t>史。2020年被自治区旅游景区质量评定委员会评定为国家4A级旅游景区，也是国内唯一一家以红军西征为主题的纪念场所、全国百家红色经典景区之一。</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color w:val="333333"/>
          <w:sz w:val="30"/>
          <w:szCs w:val="30"/>
          <w:shd w:val="clear" w:fill="FFFFFF"/>
          <w:lang w:val="en-US" w:eastAsia="zh-CN" w:bidi="zh-CN"/>
        </w:rPr>
        <w:t xml:space="preserve"> </w:t>
      </w:r>
      <w:bookmarkStart w:id="172" w:name="_Toc17730"/>
      <w:bookmarkStart w:id="173" w:name="_Toc31269"/>
      <w:r>
        <w:rPr>
          <w:rFonts w:hint="eastAsia" w:ascii="方正楷体_GBK" w:hAnsi="方正楷体_GBK" w:eastAsia="方正楷体_GBK" w:cs="方正楷体_GBK"/>
          <w:b/>
          <w:bCs/>
          <w:sz w:val="30"/>
          <w:szCs w:val="30"/>
          <w:lang w:bidi="zh-CN"/>
        </w:rPr>
        <w:t>（二）存在的问题</w:t>
      </w:r>
      <w:bookmarkEnd w:id="172"/>
      <w:bookmarkEnd w:id="173"/>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bookmarkStart w:id="174" w:name="_Toc30413"/>
      <w:r>
        <w:rPr>
          <w:rFonts w:hint="eastAsia" w:ascii="Times New Roman" w:hAnsi="Times New Roman" w:eastAsia="方正仿宋_GBK" w:cs="Times New Roman"/>
          <w:b/>
          <w:bCs/>
          <w:kern w:val="2"/>
          <w:sz w:val="30"/>
          <w:szCs w:val="30"/>
          <w:lang w:val="en-US" w:eastAsia="zh-CN" w:bidi="zh-CN"/>
        </w:rPr>
        <w:t>1.合同履约能力不足。</w:t>
      </w:r>
    </w:p>
    <w:p>
      <w:pPr>
        <w:keepNext w:val="0"/>
        <w:keepLines w:val="0"/>
        <w:pageBreakBefore w:val="0"/>
        <w:widowControl w:val="0"/>
        <w:numPr>
          <w:ilvl w:val="0"/>
          <w:numId w:val="0"/>
        </w:numPr>
        <w:kinsoku/>
        <w:wordWrap/>
        <w:overflowPunct w:val="0"/>
        <w:topLinePunct w:val="0"/>
        <w:autoSpaceDE/>
        <w:autoSpaceDN/>
        <w:bidi w:val="0"/>
        <w:adjustRightInd/>
        <w:snapToGrid/>
        <w:ind w:leftChars="0"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b w:val="0"/>
          <w:kern w:val="2"/>
          <w:sz w:val="30"/>
          <w:szCs w:val="30"/>
          <w:lang w:val="en-US" w:eastAsia="zh-CN" w:bidi="zh-CN"/>
        </w:rPr>
        <w:t>经现场资料审核，项目合同约定工期</w:t>
      </w:r>
      <w:r>
        <w:rPr>
          <w:rFonts w:hint="eastAsia" w:ascii="Times New Roman" w:hAnsi="Times New Roman" w:eastAsia="方正仿宋_GBK" w:cs="Times New Roman"/>
          <w:b w:val="0"/>
          <w:kern w:val="2"/>
          <w:sz w:val="30"/>
          <w:szCs w:val="30"/>
          <w:lang w:val="en-US" w:eastAsia="zh-CN" w:bidi="zh-CN"/>
        </w:rPr>
        <w:t>90天</w:t>
      </w:r>
      <w:r>
        <w:rPr>
          <w:rFonts w:hint="default" w:ascii="Times New Roman" w:hAnsi="Times New Roman" w:eastAsia="方正仿宋_GBK" w:cs="Times New Roman"/>
          <w:b w:val="0"/>
          <w:kern w:val="2"/>
          <w:sz w:val="30"/>
          <w:szCs w:val="30"/>
          <w:lang w:val="en-US" w:eastAsia="zh-CN" w:bidi="zh-CN"/>
        </w:rPr>
        <w:t>，项目实际开完工时间2022年</w:t>
      </w:r>
      <w:r>
        <w:rPr>
          <w:rFonts w:hint="eastAsia" w:ascii="Times New Roman" w:hAnsi="Times New Roman" w:eastAsia="方正仿宋_GBK" w:cs="Times New Roman"/>
          <w:b w:val="0"/>
          <w:kern w:val="2"/>
          <w:sz w:val="30"/>
          <w:szCs w:val="30"/>
          <w:lang w:val="en-US" w:eastAsia="zh-CN" w:bidi="zh-CN"/>
        </w:rPr>
        <w:t>4</w:t>
      </w:r>
      <w:r>
        <w:rPr>
          <w:rFonts w:hint="default" w:ascii="Times New Roman" w:hAnsi="Times New Roman" w:eastAsia="方正仿宋_GBK" w:cs="Times New Roman"/>
          <w:b w:val="0"/>
          <w:kern w:val="2"/>
          <w:sz w:val="30"/>
          <w:szCs w:val="30"/>
          <w:lang w:val="en-US" w:eastAsia="zh-CN" w:bidi="zh-CN"/>
        </w:rPr>
        <w:t>月</w:t>
      </w:r>
      <w:r>
        <w:rPr>
          <w:rFonts w:hint="eastAsia" w:ascii="Times New Roman" w:hAnsi="Times New Roman" w:eastAsia="方正仿宋_GBK" w:cs="Times New Roman"/>
          <w:b w:val="0"/>
          <w:kern w:val="2"/>
          <w:sz w:val="30"/>
          <w:szCs w:val="30"/>
          <w:lang w:val="en-US" w:eastAsia="zh-CN" w:bidi="zh-CN"/>
        </w:rPr>
        <w:t>29</w:t>
      </w:r>
      <w:r>
        <w:rPr>
          <w:rFonts w:hint="default" w:ascii="Times New Roman" w:hAnsi="Times New Roman" w:eastAsia="方正仿宋_GBK" w:cs="Times New Roman"/>
          <w:b w:val="0"/>
          <w:kern w:val="2"/>
          <w:sz w:val="30"/>
          <w:szCs w:val="30"/>
          <w:lang w:val="en-US" w:eastAsia="zh-CN" w:bidi="zh-CN"/>
        </w:rPr>
        <w:t>日—2022年</w:t>
      </w:r>
      <w:r>
        <w:rPr>
          <w:rFonts w:hint="eastAsia" w:ascii="Times New Roman" w:hAnsi="Times New Roman" w:eastAsia="方正仿宋_GBK" w:cs="Times New Roman"/>
          <w:b w:val="0"/>
          <w:kern w:val="2"/>
          <w:sz w:val="30"/>
          <w:szCs w:val="30"/>
          <w:lang w:val="en-US" w:eastAsia="zh-CN" w:bidi="zh-CN"/>
        </w:rPr>
        <w:t>12</w:t>
      </w:r>
      <w:r>
        <w:rPr>
          <w:rFonts w:hint="default" w:ascii="Times New Roman" w:hAnsi="Times New Roman" w:eastAsia="方正仿宋_GBK" w:cs="Times New Roman"/>
          <w:b w:val="0"/>
          <w:kern w:val="2"/>
          <w:sz w:val="30"/>
          <w:szCs w:val="30"/>
          <w:lang w:val="en-US" w:eastAsia="zh-CN" w:bidi="zh-CN"/>
        </w:rPr>
        <w:t>月</w:t>
      </w:r>
      <w:r>
        <w:rPr>
          <w:rFonts w:hint="eastAsia" w:ascii="Times New Roman" w:hAnsi="Times New Roman" w:eastAsia="方正仿宋_GBK" w:cs="Times New Roman"/>
          <w:b w:val="0"/>
          <w:kern w:val="2"/>
          <w:sz w:val="30"/>
          <w:szCs w:val="30"/>
          <w:lang w:val="en-US" w:eastAsia="zh-CN" w:bidi="zh-CN"/>
        </w:rPr>
        <w:t>31</w:t>
      </w:r>
      <w:r>
        <w:rPr>
          <w:rFonts w:hint="default" w:ascii="Times New Roman" w:hAnsi="Times New Roman" w:eastAsia="方正仿宋_GBK" w:cs="Times New Roman"/>
          <w:b w:val="0"/>
          <w:kern w:val="2"/>
          <w:sz w:val="30"/>
          <w:szCs w:val="30"/>
          <w:lang w:val="en-US" w:eastAsia="zh-CN" w:bidi="zh-CN"/>
        </w:rPr>
        <w:t>日，</w:t>
      </w:r>
      <w:r>
        <w:rPr>
          <w:rFonts w:hint="eastAsia" w:ascii="Times New Roman" w:hAnsi="Times New Roman" w:eastAsia="方正仿宋_GBK" w:cs="Times New Roman"/>
          <w:b w:val="0"/>
          <w:kern w:val="2"/>
          <w:sz w:val="30"/>
          <w:szCs w:val="30"/>
          <w:lang w:val="en-US" w:eastAsia="zh-CN" w:bidi="zh-CN"/>
        </w:rPr>
        <w:t>实际工期则为240天，项</w:t>
      </w:r>
      <w:r>
        <w:rPr>
          <w:rFonts w:hint="eastAsia" w:ascii="Times New Roman" w:hAnsi="Times New Roman" w:eastAsia="方正仿宋_GBK" w:cs="Times New Roman"/>
          <w:spacing w:val="0"/>
          <w:kern w:val="0"/>
          <w:sz w:val="30"/>
          <w:szCs w:val="30"/>
          <w:lang w:val="en-US" w:eastAsia="zh-CN" w:bidi="zh-CN"/>
        </w:rPr>
        <w:t>目延期</w:t>
      </w:r>
      <w:r>
        <w:rPr>
          <w:rFonts w:hint="default" w:ascii="Times New Roman" w:hAnsi="Times New Roman" w:eastAsia="方正仿宋_GBK" w:cs="Times New Roman"/>
          <w:spacing w:val="0"/>
          <w:kern w:val="0"/>
          <w:sz w:val="30"/>
          <w:szCs w:val="30"/>
          <w:lang w:val="en-US" w:eastAsia="zh-CN" w:bidi="zh-CN"/>
        </w:rPr>
        <w:t>未严格按照合同约定履行工期。</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2.项目完工后，久拖不“决”。</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在资料审阅过程中发现，同心县红军西征纪念馆陈列展览提升项目在竣工财务决算编制、会计核算、在建工程“转固”等方面存在一些亟待解决的问题。竣工财务决算工作严重滞后，导致新增资产价值难以确认。</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3.项目未建立长效机制。</w:t>
      </w:r>
    </w:p>
    <w:p>
      <w:pPr>
        <w:pStyle w:val="1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经查阅资料，项目未建立或具备长期维护机制、方案；未明确养护责任部门、配备维护管理人员；养护维护支持经费来源没有保障；项目在竣工后也未定制细化可操作执行的维护方案。</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75" w:name="_Toc1682"/>
      <w:r>
        <w:rPr>
          <w:rFonts w:hint="eastAsia" w:ascii="方正楷体_GBK" w:hAnsi="方正楷体_GBK" w:eastAsia="方正楷体_GBK" w:cs="方正楷体_GBK"/>
          <w:color w:val="333333"/>
          <w:sz w:val="30"/>
          <w:szCs w:val="30"/>
          <w:shd w:val="clear" w:fill="FFFFFF"/>
          <w:lang w:val="en-US" w:eastAsia="zh-CN" w:bidi="zh-CN"/>
        </w:rPr>
        <w:t>（三）建议</w:t>
      </w:r>
      <w:bookmarkEnd w:id="175"/>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1.压实责任主体，加强监管。</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严格遵守工期、质量、安全等管理要求，在现场施工过程中，发现问题第一时间解决，通过高效服务，协同作战，促使项目早日发挥效益。</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2.提升决算意识，履行决算职能</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color w:val="000000"/>
          <w:kern w:val="0"/>
          <w:sz w:val="30"/>
          <w:szCs w:val="30"/>
          <w:lang w:val="en-US" w:eastAsia="zh-CN" w:bidi="ar"/>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color w:val="000000"/>
          <w:kern w:val="0"/>
          <w:sz w:val="30"/>
          <w:szCs w:val="30"/>
          <w:lang w:val="en-US" w:eastAsia="zh-CN" w:bidi="ar"/>
        </w:rPr>
        <w:t>厘清资产权属，明确移交流程。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bookmarkStart w:id="176" w:name="_Toc13278"/>
      <w:r>
        <w:rPr>
          <w:rFonts w:hint="eastAsia" w:ascii="Times New Roman" w:hAnsi="Times New Roman" w:eastAsia="方正仿宋_GBK" w:cs="Times New Roman"/>
          <w:b/>
          <w:bCs/>
          <w:spacing w:val="0"/>
          <w:kern w:val="0"/>
          <w:sz w:val="30"/>
          <w:szCs w:val="30"/>
          <w:lang w:val="en-US" w:eastAsia="zh-CN" w:bidi="zh-CN"/>
        </w:rPr>
        <w:t xml:space="preserve">3.建立健全后期维护机制。 </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建立长效管护机制，落实到位。项目建成完工验收后，建设单位依照相关程序办理移交手续。并且制定具体可操作性强的长效管护机制，</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明确职责落实责任，管护到位。按照“谁所有、谁受益、谁管理”的原则，明确管护主体，明确管理的具体实施范围及责任。</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八、其他需要说明的问题</w:t>
      </w:r>
      <w:bookmarkEnd w:id="174"/>
      <w:bookmarkEnd w:id="176"/>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宁夏同心县红军西征纪念馆陈列展览提升项目补助资金有关的方面。同时评价报告及结论也受评价人员对项目的了解程度、专业知识和评价能力的限制，因此，本绩效评价报告仅对宁夏同心县红军西征纪念馆陈列展览提升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Style w:val="2"/>
        <w:rPr>
          <w:rFonts w:hint="eastAsia" w:ascii="方正仿宋_GBK" w:hAnsi="方正仿宋_GBK" w:eastAsia="方正仿宋_GBK" w:cs="方正仿宋_GBK"/>
          <w:color w:val="000000"/>
          <w:kern w:val="0"/>
          <w:sz w:val="30"/>
          <w:szCs w:val="30"/>
          <w:lang w:val="en-US" w:eastAsia="zh-CN" w:bidi="ar"/>
        </w:rPr>
      </w:pPr>
    </w:p>
    <w:p>
      <w:pPr>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Times New Roman" w:hAnsi="Times New Roman" w:eastAsia="方正仿宋_GB2312" w:cs="Times New Roman"/>
          <w:sz w:val="28"/>
          <w:szCs w:val="28"/>
          <w:lang w:val="zh-CN"/>
        </w:rPr>
      </w:pPr>
      <w:r>
        <w:rPr>
          <w:rFonts w:hint="eastAsia" w:ascii="方正仿宋_GBK" w:hAnsi="方正仿宋_GBK" w:eastAsia="方正仿宋_GBK" w:cs="方正仿宋_GBK"/>
          <w:b w:val="0"/>
          <w:bCs w:val="0"/>
          <w:kern w:val="2"/>
          <w:sz w:val="30"/>
          <w:szCs w:val="30"/>
          <w:lang w:val="en-US" w:eastAsia="zh-CN" w:bidi="ar-SA"/>
        </w:rPr>
        <w:t xml:space="preserve">  </w:t>
      </w:r>
      <w:r>
        <w:rPr>
          <w:rFonts w:hint="eastAsia" w:ascii="Times New Roman" w:hAnsi="Times New Roman" w:eastAsia="方正仿宋_GBK" w:cs="Times New Roman"/>
          <w:b w:val="0"/>
          <w:bCs w:val="0"/>
          <w:kern w:val="2"/>
          <w:sz w:val="30"/>
          <w:szCs w:val="30"/>
          <w:lang w:val="en-US" w:eastAsia="zh-CN" w:bidi="ar-SA"/>
        </w:rPr>
        <w:t xml:space="preserve">    3.项目问卷调查</w:t>
      </w:r>
    </w:p>
    <w:p>
      <w:pPr>
        <w:keepNext w:val="0"/>
        <w:keepLines w:val="0"/>
        <w:pageBreakBefore w:val="0"/>
        <w:widowControl w:val="0"/>
        <w:kinsoku/>
        <w:wordWrap/>
        <w:overflowPunct w:val="0"/>
        <w:topLinePunct w:val="0"/>
        <w:autoSpaceDE/>
        <w:autoSpaceDN/>
        <w:bidi w:val="0"/>
        <w:adjustRightInd/>
        <w:snapToGrid w:val="0"/>
        <w:spacing w:line="560" w:lineRule="exact"/>
        <w:ind w:firstLine="1380" w:firstLineChars="500"/>
        <w:jc w:val="both"/>
        <w:textAlignment w:val="auto"/>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4.绩效评价报告（征求意见稿）意见反馈表</w:t>
      </w: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left="0" w:leftChars="0" w:firstLine="0" w:firstLineChars="0"/>
        <w:jc w:val="both"/>
        <w:rPr>
          <w:rFonts w:hint="eastAsia" w:ascii="Times New Roman" w:hAnsi="Times New Roman" w:eastAsia="方正仿宋_GB2312" w:cs="Times New Roman"/>
          <w:sz w:val="28"/>
          <w:szCs w:val="28"/>
          <w:lang w:val="zh-CN"/>
        </w:rPr>
      </w:pPr>
    </w:p>
    <w:p>
      <w:pPr>
        <w:pStyle w:val="2"/>
        <w:rPr>
          <w:rFonts w:hint="eastAsia" w:ascii="Times New Roman" w:hAnsi="Times New Roman" w:eastAsia="方正仿宋_GB2312" w:cs="Times New Roman"/>
          <w:sz w:val="28"/>
          <w:szCs w:val="28"/>
          <w:lang w:val="zh-CN"/>
        </w:rPr>
      </w:pPr>
    </w:p>
    <w:p>
      <w:pPr>
        <w:rPr>
          <w:rFonts w:hint="eastAsia" w:ascii="Times New Roman" w:hAnsi="Times New Roman" w:eastAsia="方正仿宋_GB2312" w:cs="Times New Roman"/>
          <w:sz w:val="28"/>
          <w:szCs w:val="28"/>
          <w:lang w:val="zh-CN"/>
        </w:rPr>
      </w:pPr>
    </w:p>
    <w:p>
      <w:pPr>
        <w:pStyle w:val="2"/>
        <w:rPr>
          <w:rFonts w:hint="eastAsia" w:ascii="Times New Roman" w:hAnsi="Times New Roman" w:eastAsia="方正仿宋_GB2312" w:cs="Times New Roman"/>
          <w:sz w:val="28"/>
          <w:szCs w:val="28"/>
          <w:lang w:val="zh-CN"/>
        </w:rPr>
      </w:pPr>
    </w:p>
    <w:p>
      <w:pPr>
        <w:rPr>
          <w:rFonts w:hint="eastAsia"/>
          <w:lang w:val="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eastAsia"/>
        </w:rPr>
      </w:pPr>
      <w:r>
        <w:rPr>
          <w:rFonts w:hint="eastAsia" w:ascii="Times New Roman" w:hAnsi="Times New Roman" w:eastAsia="方正仿宋_GB2312" w:cs="Times New Roman"/>
          <w:b w:val="0"/>
          <w:sz w:val="28"/>
          <w:szCs w:val="28"/>
          <w:lang w:val="en-US" w:eastAsia="zh-CN"/>
        </w:rPr>
        <w:t xml:space="preserve">                                        2023年12月31日</w:t>
      </w:r>
    </w:p>
    <w:bookmarkEnd w:id="33"/>
    <w:bookmarkEnd w:id="61"/>
    <w:bookmarkEnd w:id="62"/>
    <w:bookmarkEnd w:id="63"/>
    <w:bookmarkEnd w:id="64"/>
    <w:bookmarkEnd w:id="65"/>
    <w:bookmarkEnd w:id="66"/>
    <w:bookmarkEnd w:id="67"/>
    <w:bookmarkEnd w:id="68"/>
    <w:bookmarkEnd w:id="69"/>
    <w:p>
      <w:pPr>
        <w:keepNext w:val="0"/>
        <w:keepLines w:val="0"/>
        <w:pageBreakBefore w:val="0"/>
        <w:widowControl w:val="0"/>
        <w:kinsoku/>
        <w:wordWrap/>
        <w:overflowPunct/>
        <w:topLinePunct w:val="0"/>
        <w:autoSpaceDE/>
        <w:autoSpaceDN/>
        <w:bidi w:val="0"/>
        <w:adjustRightInd/>
        <w:snapToGrid/>
        <w:ind w:firstLine="592" w:firstLineChars="200"/>
        <w:jc w:val="center"/>
        <w:textAlignment w:val="auto"/>
        <w:rPr>
          <w:rFonts w:hint="default" w:ascii="方正仿宋_GBK" w:hAnsi="方正仿宋_GBK" w:eastAsia="方正仿宋_GBK" w:cs="方正仿宋_GBK"/>
          <w:kern w:val="2"/>
          <w:sz w:val="30"/>
          <w:szCs w:val="30"/>
          <w:lang w:val="en-US" w:eastAsia="zh-CN" w:bidi="ar-SA"/>
        </w:rPr>
      </w:pPr>
      <w:bookmarkStart w:id="177" w:name="_Toc20313"/>
      <w:bookmarkStart w:id="178" w:name="_Toc5302"/>
      <w:r>
        <w:rPr>
          <w:rFonts w:hint="eastAsia" w:ascii="方正仿宋_GBK" w:hAnsi="方正仿宋_GBK" w:eastAsia="方正仿宋_GBK" w:cs="方正仿宋_GBK"/>
          <w:b w:val="0"/>
          <w:bCs w:val="0"/>
          <w:kern w:val="2"/>
          <w:sz w:val="30"/>
          <w:szCs w:val="30"/>
          <w:lang w:val="en-US" w:eastAsia="zh-CN" w:bidi="ar-SA"/>
        </w:rPr>
        <w:t xml:space="preserve">     </w:t>
      </w:r>
    </w:p>
    <w:p>
      <w:pPr>
        <w:rPr>
          <w:rFonts w:hint="eastAsia"/>
          <w:lang w:val="en-US" w:eastAsia="zh-CN"/>
        </w:rPr>
      </w:pPr>
      <w:r>
        <w:rPr>
          <w:rFonts w:hint="eastAsia"/>
          <w:lang w:val="en-US" w:eastAsia="zh-CN"/>
        </w:rPr>
        <w:t xml:space="preserve">                    </w:t>
      </w:r>
    </w:p>
    <w:p>
      <w:pPr>
        <w:rPr>
          <w:rFonts w:hint="eastAsia"/>
          <w:lang w:val="en-US" w:eastAsia="zh-CN"/>
        </w:rPr>
      </w:pPr>
    </w:p>
    <w:p>
      <w:pPr>
        <w:rPr>
          <w:rFonts w:hint="default"/>
          <w:lang w:val="en-US" w:eastAsia="zh-CN"/>
        </w:rPr>
        <w:sectPr>
          <w:headerReference r:id="rId7" w:type="default"/>
          <w:footerReference r:id="rId8" w:type="default"/>
          <w:pgSz w:w="11906" w:h="16838"/>
          <w:pgMar w:top="2098" w:right="1587" w:bottom="2098" w:left="1587" w:header="1191" w:footer="935" w:gutter="0"/>
          <w:pgNumType w:fmt="decimal" w:start="1"/>
          <w:cols w:space="0" w:num="1"/>
          <w:rtlGutter w:val="0"/>
          <w:docGrid w:type="linesAndChars" w:linePitch="589" w:charSpace="-842"/>
        </w:sectPr>
      </w:pPr>
    </w:p>
    <w:bookmarkEnd w:id="177"/>
    <w:bookmarkEnd w:id="178"/>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1同心县红军西征纪念馆陈列展览提升项目绩效评价指标体系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0"/>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2"/>
                <w:rFonts w:hint="default" w:ascii="Times New Roman" w:hAnsi="Times New Roman" w:cs="Times New Roman"/>
                <w:lang w:val="en-US" w:eastAsia="zh-CN" w:bidi="ar"/>
              </w:rPr>
              <w:t>项目是否属于公共财政支持范围，是否符合中央地方事权支出责任划分原则</w:t>
            </w:r>
            <w:r>
              <w:rPr>
                <w:rStyle w:val="32"/>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2"/>
                <w:rFonts w:hint="default" w:ascii="Times New Roman" w:hAnsi="Times New Roman" w:cs="Times New Roman"/>
                <w:lang w:val="en-US" w:eastAsia="zh-CN" w:bidi="ar"/>
              </w:rPr>
              <w:t>项目是否与相关部门同类项目或部门内部相关项目重复</w:t>
            </w:r>
            <w:r>
              <w:rPr>
                <w:rStyle w:val="32"/>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设置了具体的绩效目标，将主要任务具体细分为数量指标、质量指标、时效指标、成本指标、社会效益指标、可持续影响指标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实施单位评价范围内的项目结合工作内容设置年度绩效目标，同时细化产出指标、效益指标。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同心县西征纪念馆主体改造项目预算资金450万元，实际支出450万元，预算执行率100%。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2022年预算执行率≥97.2%得2分，＜97.2则不得分；2023年预算执行率≥98.5%得2分，＜98.5则不得分。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25%，要素②不符合，扣除对应权重分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资金到位较及时。</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sz w:val="22"/>
                <w:szCs w:val="22"/>
                <w:u w:val="none"/>
                <w:lang w:val="en-US" w:eastAsia="zh-CN"/>
              </w:rPr>
              <w:t>已按照合同合同完成各项内容。</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已完成</w:t>
            </w:r>
            <w:r>
              <w:rPr>
                <w:rFonts w:hint="eastAsia" w:ascii="Times New Roman" w:hAnsi="Times New Roman" w:eastAsia="方正仿宋_GBK" w:cs="Times New Roman"/>
                <w:i w:val="0"/>
                <w:iCs w:val="0"/>
                <w:color w:val="000000"/>
                <w:sz w:val="22"/>
                <w:szCs w:val="22"/>
                <w:u w:val="none"/>
                <w:lang w:val="en-US" w:eastAsia="zh-CN"/>
              </w:rPr>
              <w:t>结算审核</w:t>
            </w:r>
            <w:r>
              <w:rPr>
                <w:rFonts w:hint="eastAsia" w:ascii="Times New Roman" w:hAnsi="Times New Roman" w:eastAsia="方正仿宋_GBK" w:cs="Times New Roman"/>
                <w:i w:val="0"/>
                <w:iCs w:val="0"/>
                <w:color w:val="000000"/>
                <w:sz w:val="22"/>
                <w:szCs w:val="22"/>
                <w:u w:val="none"/>
                <w:lang w:eastAsia="zh-CN"/>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1"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红色旅游产业发展</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提升市民精神动力，传承红色基因</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有效带动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增强红色教育</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增强青年学生了解历史，增强爱国主义思想。</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逐步增强</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4343" w:type="dxa"/>
            <w:vMerge w:val="continue"/>
            <w:tcBorders>
              <w:left w:val="single" w:color="000000" w:sz="4" w:space="0"/>
              <w:bottom w:val="single" w:color="auto"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机制维护健全性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项目实施所产生的可持续影响。</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2"/>
                <w:sz w:val="22"/>
                <w:szCs w:val="22"/>
                <w:u w:val="none"/>
                <w:lang w:val="en-US" w:eastAsia="zh-CN" w:bidi="ar-SA"/>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≥94%。</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0"/>
                <w:rFonts w:hint="default"/>
                <w:lang w:val="en-US" w:eastAsia="zh-CN" w:bidi="ar"/>
              </w:rPr>
            </w:pPr>
            <w:r>
              <w:rPr>
                <w:rStyle w:val="30"/>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0"/>
                <w:rFonts w:hint="default"/>
                <w:lang w:val="en-US" w:eastAsia="zh-CN" w:bidi="ar"/>
              </w:rPr>
            </w:pPr>
            <w:r>
              <w:rPr>
                <w:rStyle w:val="30"/>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0"/>
                <w:rFonts w:hint="default"/>
                <w:lang w:val="en-US" w:eastAsia="zh-CN" w:bidi="ar"/>
              </w:rPr>
            </w:pPr>
            <w:r>
              <w:rPr>
                <w:rStyle w:val="30"/>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0"/>
                <w:rFonts w:hint="default"/>
                <w:lang w:val="en-US" w:eastAsia="zh-CN" w:bidi="ar"/>
              </w:rPr>
            </w:pPr>
            <w:r>
              <w:rPr>
                <w:rStyle w:val="30"/>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1944" w:firstLineChars="900"/>
              <w:jc w:val="both"/>
              <w:textAlignment w:val="center"/>
              <w:rPr>
                <w:rStyle w:val="30"/>
                <w:rFonts w:hint="default"/>
                <w:lang w:val="en-US" w:eastAsia="zh-CN" w:bidi="ar"/>
              </w:rPr>
            </w:pPr>
            <w:r>
              <w:rPr>
                <w:rStyle w:val="30"/>
                <w:rFonts w:hint="eastAsia"/>
                <w:lang w:val="en-US" w:eastAsia="zh-CN"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91.00</w:t>
            </w:r>
          </w:p>
        </w:tc>
      </w:tr>
    </w:tbl>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同心县红军西征纪念馆陈列展览提升项目</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访谈方案</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一般债券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3"/>
          <w:rFonts w:hint="eastAsia" w:ascii="方正仿宋_GBK" w:hAnsi="方正仿宋_GBK" w:eastAsia="方正仿宋_GBK" w:cs="方正仿宋_GBK"/>
          <w:color w:val="000000"/>
          <w:sz w:val="30"/>
          <w:szCs w:val="30"/>
          <w:lang w:eastAsia="zh-CN"/>
        </w:rPr>
        <w:t>（</w:t>
      </w:r>
      <w:r>
        <w:rPr>
          <w:rStyle w:val="23"/>
          <w:rFonts w:hint="eastAsia" w:ascii="方正仿宋_GBK" w:hAnsi="方正仿宋_GBK" w:eastAsia="方正仿宋_GBK" w:cs="方正仿宋_GBK"/>
          <w:color w:val="000000"/>
          <w:sz w:val="30"/>
          <w:szCs w:val="30"/>
          <w:lang w:val="en-US" w:eastAsia="zh-CN"/>
        </w:rPr>
        <w:t>一</w:t>
      </w:r>
      <w:r>
        <w:rPr>
          <w:rStyle w:val="23"/>
          <w:rFonts w:hint="eastAsia" w:ascii="方正仿宋_GBK" w:hAnsi="方正仿宋_GBK" w:eastAsia="方正仿宋_GBK" w:cs="方正仿宋_GBK"/>
          <w:color w:val="000000"/>
          <w:sz w:val="30"/>
          <w:szCs w:val="30"/>
          <w:lang w:eastAsia="zh-CN"/>
        </w:rPr>
        <w:t>）</w:t>
      </w:r>
      <w:r>
        <w:rPr>
          <w:rStyle w:val="23"/>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同心县文化旅游体育广电局分管领导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同心县文化旅游体育广电局项目办负责人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同心县文化旅游体育广电局财务科室负责人</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3"/>
          <w:rFonts w:hint="eastAsia" w:ascii="方正仿宋_GBK" w:hAnsi="方正仿宋_GBK" w:eastAsia="方正仿宋_GBK" w:cs="方正仿宋_GBK"/>
          <w:color w:val="000000"/>
          <w:sz w:val="30"/>
          <w:szCs w:val="30"/>
        </w:rPr>
      </w:pPr>
      <w:r>
        <w:rPr>
          <w:rStyle w:val="23"/>
          <w:rFonts w:hint="eastAsia" w:ascii="方正仿宋_GBK" w:hAnsi="方正仿宋_GBK" w:eastAsia="方正仿宋_GBK" w:cs="方正仿宋_GBK"/>
          <w:color w:val="000000"/>
          <w:sz w:val="30"/>
          <w:szCs w:val="30"/>
          <w:lang w:eastAsia="zh-CN"/>
        </w:rPr>
        <w:t>（</w:t>
      </w:r>
      <w:r>
        <w:rPr>
          <w:rStyle w:val="23"/>
          <w:rFonts w:hint="eastAsia" w:ascii="方正仿宋_GBK" w:hAnsi="方正仿宋_GBK" w:eastAsia="方正仿宋_GBK" w:cs="方正仿宋_GBK"/>
          <w:color w:val="000000"/>
          <w:sz w:val="30"/>
          <w:szCs w:val="30"/>
          <w:lang w:val="en-US" w:eastAsia="zh-CN"/>
        </w:rPr>
        <w:t>二</w:t>
      </w:r>
      <w:r>
        <w:rPr>
          <w:rStyle w:val="23"/>
          <w:rFonts w:hint="eastAsia" w:ascii="方正仿宋_GBK" w:hAnsi="方正仿宋_GBK" w:eastAsia="方正仿宋_GBK" w:cs="方正仿宋_GBK"/>
          <w:color w:val="000000"/>
          <w:sz w:val="30"/>
          <w:szCs w:val="30"/>
          <w:lang w:eastAsia="zh-CN"/>
        </w:rPr>
        <w:t>）</w:t>
      </w:r>
      <w:r>
        <w:rPr>
          <w:rStyle w:val="23"/>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3"/>
          <w:rFonts w:hint="eastAsia" w:ascii="方正仿宋_GBK" w:hAnsi="方正仿宋_GBK" w:eastAsia="方正仿宋_GBK" w:cs="方正仿宋_GBK"/>
          <w:color w:val="000000"/>
          <w:sz w:val="30"/>
          <w:szCs w:val="30"/>
          <w:lang w:eastAsia="zh-CN"/>
        </w:rPr>
        <w:t>（</w:t>
      </w:r>
      <w:r>
        <w:rPr>
          <w:rStyle w:val="23"/>
          <w:rFonts w:hint="eastAsia" w:ascii="方正仿宋_GBK" w:hAnsi="方正仿宋_GBK" w:eastAsia="方正仿宋_GBK" w:cs="方正仿宋_GBK"/>
          <w:color w:val="000000"/>
          <w:sz w:val="30"/>
          <w:szCs w:val="30"/>
          <w:lang w:val="en-US" w:eastAsia="zh-CN"/>
        </w:rPr>
        <w:t>三</w:t>
      </w:r>
      <w:r>
        <w:rPr>
          <w:rStyle w:val="23"/>
          <w:rFonts w:hint="eastAsia" w:ascii="方正仿宋_GBK" w:hAnsi="方正仿宋_GBK" w:eastAsia="方正仿宋_GBK" w:cs="方正仿宋_GBK"/>
          <w:color w:val="000000"/>
          <w:sz w:val="30"/>
          <w:szCs w:val="30"/>
          <w:lang w:eastAsia="zh-CN"/>
        </w:rPr>
        <w:t>）</w:t>
      </w:r>
      <w:r>
        <w:rPr>
          <w:rStyle w:val="23"/>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3"/>
          <w:rFonts w:hint="eastAsia" w:ascii="方正仿宋_GBK" w:hAnsi="方正仿宋_GBK" w:eastAsia="方正仿宋_GBK" w:cs="方正仿宋_GBK"/>
          <w:color w:val="000000"/>
          <w:sz w:val="30"/>
          <w:szCs w:val="30"/>
          <w:lang w:val="en-US" w:eastAsia="zh-CN"/>
        </w:rPr>
      </w:pPr>
      <w:r>
        <w:rPr>
          <w:rStyle w:val="23"/>
          <w:rFonts w:hint="eastAsia" w:ascii="方正仿宋_GBK" w:hAnsi="方正仿宋_GBK" w:eastAsia="方正仿宋_GBK" w:cs="方正仿宋_GBK"/>
          <w:color w:val="000000"/>
          <w:sz w:val="30"/>
          <w:szCs w:val="30"/>
          <w:lang w:eastAsia="zh-CN"/>
        </w:rPr>
        <w:t>（</w:t>
      </w:r>
      <w:r>
        <w:rPr>
          <w:rStyle w:val="23"/>
          <w:rFonts w:hint="eastAsia" w:ascii="方正仿宋_GBK" w:hAnsi="方正仿宋_GBK" w:eastAsia="方正仿宋_GBK" w:cs="方正仿宋_GBK"/>
          <w:color w:val="000000"/>
          <w:sz w:val="30"/>
          <w:szCs w:val="30"/>
          <w:lang w:val="en-US" w:eastAsia="zh-CN"/>
        </w:rPr>
        <w:t>四</w:t>
      </w:r>
      <w:r>
        <w:rPr>
          <w:rStyle w:val="23"/>
          <w:rFonts w:hint="eastAsia" w:ascii="方正仿宋_GBK" w:hAnsi="方正仿宋_GBK" w:eastAsia="方正仿宋_GBK" w:cs="方正仿宋_GBK"/>
          <w:color w:val="000000"/>
          <w:sz w:val="30"/>
          <w:szCs w:val="30"/>
          <w:lang w:eastAsia="zh-CN"/>
        </w:rPr>
        <w:t>）访谈</w:t>
      </w:r>
      <w:r>
        <w:rPr>
          <w:rStyle w:val="23"/>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.请简要介绍一下宁夏同心县红军西征纪念馆陈列展览提升项目实施中主要负责的工作内容？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6.项目实施过程中采取了哪些控制措施？例如：物资采购进度、物资质量规范等。</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r>
        <w:rPr>
          <w:rFonts w:hint="eastAsia" w:ascii="仿宋" w:hAnsi="仿宋" w:eastAsia="仿宋" w:cs="仿宋"/>
          <w:b w:val="0"/>
          <w:bCs w:val="0"/>
          <w:sz w:val="32"/>
          <w:szCs w:val="32"/>
          <w:lang w:val="en-US" w:eastAsia="zh-CN"/>
        </w:rPr>
        <w:t>项目过程中都有哪些好的经验做法？项目开展都有哪些难点和建议？</w:t>
      </w: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2"/>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附件3</w:t>
      </w:r>
    </w:p>
    <w:p>
      <w:pPr>
        <w:pStyle w:val="4"/>
        <w:ind w:firstLine="1776" w:firstLineChars="600"/>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bookmarkStart w:id="179" w:name="_Toc15509"/>
      <w:bookmarkStart w:id="180" w:name="_Toc16435"/>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同心县红军西征纪念馆陈列展览提升项目</w:t>
      </w:r>
      <w:bookmarkEnd w:id="179"/>
      <w:bookmarkEnd w:id="180"/>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红军西征纪念馆陈列展览提升项目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1.你平时喜欢看红色革命题材宣传作品（影视作品、报纸宣传）吗？</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喜欢</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不喜欢</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没感觉</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2.您是否乐意听长辈说抗战（或解放战争）时期的事？ </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是</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不是</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无感觉</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3.您一年大概去几次红色革命纪念馆（ ）</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1次   </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2次</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3次及以上</w:t>
      </w:r>
    </w:p>
    <w:p>
      <w:pPr>
        <w:keepNext w:val="0"/>
        <w:keepLines w:val="0"/>
        <w:pageBreakBefore w:val="0"/>
        <w:widowControl w:val="0"/>
        <w:numPr>
          <w:ilvl w:val="0"/>
          <w:numId w:val="1"/>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有哪些原因会促使您参观红色革命纪念馆？[多选题](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jc w:val="both"/>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学习党了解党，学习红色精神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个人兴趣</w:t>
      </w:r>
    </w:p>
    <w:p>
      <w:pPr>
        <w:keepNext w:val="0"/>
        <w:keepLines w:val="0"/>
        <w:pageBreakBefore w:val="0"/>
        <w:widowControl w:val="0"/>
        <w:kinsoku/>
        <w:wordWrap/>
        <w:topLinePunct w:val="0"/>
        <w:bidi w:val="0"/>
        <w:ind w:leftChars="0"/>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顺路探访</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门票价格低甚至免费</w:t>
      </w:r>
    </w:p>
    <w:p>
      <w:pPr>
        <w:keepNext w:val="0"/>
        <w:keepLines w:val="0"/>
        <w:pageBreakBefore w:val="0"/>
        <w:widowControl w:val="0"/>
        <w:kinsoku/>
        <w:wordWrap/>
        <w:topLinePunct w:val="0"/>
        <w:bidi w:val="0"/>
        <w:ind w:leftChars="0"/>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教育小孩</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其他</w:t>
      </w:r>
    </w:p>
    <w:p>
      <w:pPr>
        <w:keepNext w:val="0"/>
        <w:keepLines w:val="0"/>
        <w:pageBreakBefore w:val="0"/>
        <w:widowControl w:val="0"/>
        <w:numPr>
          <w:ilvl w:val="0"/>
          <w:numId w:val="1"/>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您觉得发展红色纪念馆会产生很大的教育意义吗？</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会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不会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不清楚</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1.您对红军西征纪念馆设计理念是否满意？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2.您对红军西征纪念馆工程施工过程的管理是否满意？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3.您对红军西征纪念馆主体改造总体进度是否满意？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您对同心县红军西征纪念馆陈列展览提升项目还有什么意见和建议？</w:t>
      </w:r>
    </w:p>
    <w:p>
      <w:pPr>
        <w:pStyle w:val="4"/>
        <w:rPr>
          <w:rFonts w:hint="default" w:ascii="Times New Roman" w:hAnsi="Times New Roman" w:eastAsia="方正仿宋_GBK" w:cs="Times New Roman"/>
          <w:b w:val="0"/>
          <w:bCs w:val="0"/>
          <w:kern w:val="0"/>
          <w:sz w:val="30"/>
          <w:szCs w:val="30"/>
          <w:lang w:val="en-US" w:eastAsia="zh-CN" w:bidi="zh-CN"/>
        </w:rPr>
      </w:pPr>
    </w:p>
    <w:p>
      <w:pPr>
        <w:rPr>
          <w:rFonts w:hint="default" w:ascii="Times New Roman" w:hAnsi="Times New Roman" w:eastAsia="方正仿宋_GBK" w:cs="Times New Roman"/>
          <w:b w:val="0"/>
          <w:bCs w:val="0"/>
          <w:kern w:val="2"/>
          <w:sz w:val="30"/>
          <w:szCs w:val="30"/>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default"/>
          <w:lang w:val="en-US" w:eastAsia="zh-CN"/>
        </w:rPr>
      </w:pPr>
    </w:p>
    <w:p>
      <w:pPr>
        <w:pStyle w:val="2"/>
        <w:rPr>
          <w:rFonts w:hint="default"/>
          <w:lang w:val="en-US" w:eastAsia="zh-CN"/>
        </w:rPr>
      </w:pPr>
    </w:p>
    <w:p>
      <w:pPr>
        <w:rPr>
          <w:rFonts w:hint="default"/>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drawing>
          <wp:anchor distT="0" distB="0" distL="114300" distR="114300" simplePos="0" relativeHeight="251659264" behindDoc="1" locked="0" layoutInCell="1" allowOverlap="1">
            <wp:simplePos x="0" y="0"/>
            <wp:positionH relativeFrom="column">
              <wp:posOffset>149860</wp:posOffset>
            </wp:positionH>
            <wp:positionV relativeFrom="paragraph">
              <wp:posOffset>710565</wp:posOffset>
            </wp:positionV>
            <wp:extent cx="5400040" cy="6840220"/>
            <wp:effectExtent l="0" t="0" r="10160" b="1778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5400040" cy="6840220"/>
                    </a:xfrm>
                    <a:prstGeom prst="rect">
                      <a:avLst/>
                    </a:prstGeom>
                    <a:noFill/>
                    <a:ln>
                      <a:noFill/>
                    </a:ln>
                  </pic:spPr>
                </pic:pic>
              </a:graphicData>
            </a:graphic>
          </wp:anchor>
        </w:drawing>
      </w: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4BD2E9-AD65-4DC4-AA57-2931CCFB73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2A47E837-2476-4784-82C1-68063A5600AE}"/>
  </w:font>
  <w:font w:name="楷体">
    <w:panose1 w:val="02010609060101010101"/>
    <w:charset w:val="86"/>
    <w:family w:val="auto"/>
    <w:pitch w:val="default"/>
    <w:sig w:usb0="800002BF" w:usb1="38CF7CFA" w:usb2="00000016" w:usb3="00000000" w:csb0="00040001" w:csb1="00000000"/>
    <w:embedRegular r:id="rId3" w:fontKey="{8D6EC30D-45AB-4F60-8D3C-AF92DC53F8D7}"/>
  </w:font>
  <w:font w:name="仿宋_GB2312">
    <w:panose1 w:val="02010609030101010101"/>
    <w:charset w:val="86"/>
    <w:family w:val="modern"/>
    <w:pitch w:val="default"/>
    <w:sig w:usb0="00000001" w:usb1="080E0000" w:usb2="00000000" w:usb3="00000000" w:csb0="00040000" w:csb1="00000000"/>
    <w:embedRegular r:id="rId4" w:fontKey="{FE6C10EB-6AAC-4FF6-8629-58DAD6BBCD34}"/>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5" w:fontKey="{EC32462D-640C-47B4-93CF-815220A4FC56}"/>
  </w:font>
  <w:font w:name="方正仿宋_GBK">
    <w:panose1 w:val="02000000000000000000"/>
    <w:charset w:val="86"/>
    <w:family w:val="auto"/>
    <w:pitch w:val="default"/>
    <w:sig w:usb0="A00002BF" w:usb1="38CF7CFA" w:usb2="00082016" w:usb3="00000000" w:csb0="00040001" w:csb1="00000000"/>
    <w:embedRegular r:id="rId6" w:fontKey="{FD619BDD-AEDE-4CA0-88DA-486EBB1EA5D6}"/>
  </w:font>
  <w:font w:name="方正小标宋_GBK">
    <w:panose1 w:val="02000000000000000000"/>
    <w:charset w:val="86"/>
    <w:family w:val="auto"/>
    <w:pitch w:val="default"/>
    <w:sig w:usb0="A00002BF" w:usb1="38CF7CFA" w:usb2="00082016" w:usb3="00000000" w:csb0="00040001" w:csb1="00000000"/>
    <w:embedRegular r:id="rId7" w:fontKey="{2493B179-16F3-4E3C-8643-83A7553E175D}"/>
  </w:font>
  <w:font w:name="方正小标宋简体">
    <w:panose1 w:val="02000000000000000000"/>
    <w:charset w:val="86"/>
    <w:family w:val="auto"/>
    <w:pitch w:val="default"/>
    <w:sig w:usb0="00000001" w:usb1="08000000" w:usb2="00000000" w:usb3="00000000" w:csb0="00040000" w:csb1="00000000"/>
    <w:embedRegular r:id="rId8" w:fontKey="{DAB291CC-1E30-455A-BD24-CE898B552F63}"/>
  </w:font>
  <w:font w:name="方正正黑_GBK">
    <w:panose1 w:val="02000000000000000000"/>
    <w:charset w:val="86"/>
    <w:family w:val="auto"/>
    <w:pitch w:val="default"/>
    <w:sig w:usb0="A00002BF" w:usb1="38CF7CFA" w:usb2="00082016" w:usb3="00000000" w:csb0="00040001" w:csb1="00000000"/>
    <w:embedRegular r:id="rId9" w:fontKey="{2D18867B-4D4B-4563-A370-6129DD8E5568}"/>
  </w:font>
  <w:font w:name="方正楷体_GBK">
    <w:panose1 w:val="02000000000000000000"/>
    <w:charset w:val="86"/>
    <w:family w:val="auto"/>
    <w:pitch w:val="default"/>
    <w:sig w:usb0="800002BF" w:usb1="38CF7CFA" w:usb2="00000016" w:usb3="00000000" w:csb0="00040000" w:csb1="00000000"/>
    <w:embedRegular r:id="rId10" w:fontKey="{FD611633-F69C-4752-9DAD-B0B6035FCA80}"/>
  </w:font>
  <w:font w:name="方正公文小标宋">
    <w:panose1 w:val="02000500000000000000"/>
    <w:charset w:val="86"/>
    <w:family w:val="auto"/>
    <w:pitch w:val="default"/>
    <w:sig w:usb0="A00002BF" w:usb1="38CF7CFA" w:usb2="00000016" w:usb3="00000000" w:csb0="00040001" w:csb1="00000000"/>
    <w:embedRegular r:id="rId11" w:fontKey="{59746F1F-BA0D-4561-BE2C-9E66BEA225B5}"/>
  </w:font>
  <w:font w:name="方正仿宋_GB2312">
    <w:panose1 w:val="02000000000000000000"/>
    <w:charset w:val="86"/>
    <w:family w:val="auto"/>
    <w:pitch w:val="default"/>
    <w:sig w:usb0="A00002BF" w:usb1="184F6CFA" w:usb2="00000012" w:usb3="00000000" w:csb0="00040001" w:csb1="00000000"/>
    <w:embedRegular r:id="rId12" w:fontKey="{07163D95-863D-4693-9F02-7475FD4B221C}"/>
  </w:font>
  <w:font w:name="Microsoft YaHei UI">
    <w:panose1 w:val="020B0503020204020204"/>
    <w:charset w:val="86"/>
    <w:family w:val="auto"/>
    <w:pitch w:val="default"/>
    <w:sig w:usb0="80000287" w:usb1="2ACF3C50" w:usb2="00000016" w:usb3="00000000" w:csb0="0004001F" w:csb1="00000000"/>
    <w:embedRegular r:id="rId13" w:fontKey="{9DB7F386-59E7-4B88-83EA-CFD98C4F76CD}"/>
  </w:font>
  <w:font w:name="微软雅黑">
    <w:panose1 w:val="020B0503020204020204"/>
    <w:charset w:val="86"/>
    <w:family w:val="auto"/>
    <w:pitch w:val="default"/>
    <w:sig w:usb0="80000287" w:usb1="2ACF3C50" w:usb2="00000016" w:usb3="00000000" w:csb0="0004001F" w:csb1="00000000"/>
    <w:embedRegular r:id="rId14" w:fontKey="{7C5C02AF-6854-4284-99A9-0F86BFA4B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-179070</wp:posOffset>
              </wp:positionV>
              <wp:extent cx="1307465"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3074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4.1pt;height:144pt;width:102.95pt;mso-position-horizontal:center;mso-position-horizontal-relative:margin;z-index:251660288;mso-width-relative:page;mso-height-relative:page;" filled="f" stroked="f" coordsize="21600,21600" o:gfxdata="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fisy9cAAAAIAQAADwAAAAAAAAABACAAAAAiAAAAZHJzL2Rv&#10;d25yZXYueG1sUEsBAhQAFAAAAAgAh07iQGLHJCs7AgAAZwQAAA4AAAAAAAAAAQAgAAAAJgEAAGRy&#10;cy9lMm9Eb2MueG1sUEsFBgAAAAAGAAYAWQEAANMFAAAAAA==&#10;">
              <v:fill on="f" focussize="0,0"/>
              <v:stroke on="f" weight="0.5pt"/>
              <v:imagedata o:title=""/>
              <o:lock v:ext="edit" aspectratio="f"/>
              <v:textbox inset="0mm,0mm,0mm,0mm" style="mso-fit-shape-to-text:t;">
                <w:txbxContent>
                  <w:p>
                    <w:pPr>
                      <w:pStyle w:val="10"/>
                      <w:jc w:val="center"/>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p>
    <w:pPr>
      <w:pStyle w:val="14"/>
      <w:pBdr>
        <w:bottom w:val="none" w:color="auto" w:sz="0" w:space="1"/>
      </w:pBdr>
      <w:ind w:left="5940" w:hanging="5940" w:hangingChars="2700"/>
      <w:jc w:val="right"/>
      <w:rPr>
        <w:rFonts w:hint="eastAsia"/>
        <w:sz w:val="22"/>
        <w:szCs w:val="22"/>
        <w:lang w:val="en-US" w:eastAsia="zh-CN"/>
      </w:rPr>
    </w:pPr>
  </w:p>
  <w:p>
    <w:pPr>
      <w:pStyle w:val="14"/>
      <w:pBdr>
        <w:bottom w:val="thinThickMediumGap" w:color="auto" w:sz="18" w:space="1"/>
      </w:pBdr>
      <w:ind w:left="5940" w:hanging="5963" w:hangingChars="2700"/>
      <w:jc w:val="right"/>
      <w:rPr>
        <w:rFonts w:hint="eastAsia"/>
        <w:sz w:val="22"/>
        <w:szCs w:val="22"/>
        <w:lang w:val="en-US" w:eastAsia="zh-CN"/>
      </w:rPr>
    </w:pPr>
    <w:r>
      <w:rPr>
        <w:rFonts w:hint="eastAsia"/>
        <w:b/>
        <w:bCs/>
        <w:sz w:val="22"/>
        <w:szCs w:val="22"/>
        <w:lang w:val="en-US" w:eastAsia="zh-CN"/>
      </w:rPr>
      <w:t>同心县红军西征纪念馆陈列展览提升项目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left="0" w:leftChars="0" w:firstLine="0" w:firstLineChars="0"/>
      <w:jc w:val="right"/>
      <w:rPr>
        <w:rFonts w:hint="eastAsia"/>
        <w:sz w:val="21"/>
        <w:szCs w:val="21"/>
        <w:lang w:val="en-US" w:eastAsia="zh-CN"/>
      </w:rPr>
    </w:pPr>
  </w:p>
  <w:p>
    <w:pPr>
      <w:pStyle w:val="14"/>
      <w:pBdr>
        <w:bottom w:val="single" w:color="auto" w:sz="4"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1"/>
        <w:szCs w:val="21"/>
        <w:lang w:val="en-US" w:eastAsia="zh-CN"/>
      </w:rPr>
      <w:t>同心县红军西征纪念馆陈列展览提升项目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B573"/>
    <w:multiLevelType w:val="singleLevel"/>
    <w:tmpl w:val="9AF0B573"/>
    <w:lvl w:ilvl="0" w:tentative="0">
      <w:start w:val="2"/>
      <w:numFmt w:val="decimal"/>
      <w:lvlText w:val="%1."/>
      <w:lvlJc w:val="left"/>
      <w:pPr>
        <w:tabs>
          <w:tab w:val="left" w:pos="312"/>
        </w:tabs>
      </w:pPr>
    </w:lvl>
  </w:abstractNum>
  <w:abstractNum w:abstractNumId="1">
    <w:nsid w:val="0C5FA276"/>
    <w:multiLevelType w:val="singleLevel"/>
    <w:tmpl w:val="0C5FA276"/>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B0A52"/>
    <w:rsid w:val="01711D58"/>
    <w:rsid w:val="018C2D2D"/>
    <w:rsid w:val="01A22C15"/>
    <w:rsid w:val="02693F89"/>
    <w:rsid w:val="0270535B"/>
    <w:rsid w:val="031F0282"/>
    <w:rsid w:val="03321D76"/>
    <w:rsid w:val="03782AE9"/>
    <w:rsid w:val="038F5644"/>
    <w:rsid w:val="049979AA"/>
    <w:rsid w:val="04CB2483"/>
    <w:rsid w:val="05127FF8"/>
    <w:rsid w:val="05373674"/>
    <w:rsid w:val="057E08FD"/>
    <w:rsid w:val="05B240B9"/>
    <w:rsid w:val="05DE7F94"/>
    <w:rsid w:val="06310741"/>
    <w:rsid w:val="067B3A34"/>
    <w:rsid w:val="06935222"/>
    <w:rsid w:val="07752028"/>
    <w:rsid w:val="079B438E"/>
    <w:rsid w:val="07C669DF"/>
    <w:rsid w:val="07DC0B0F"/>
    <w:rsid w:val="084314D4"/>
    <w:rsid w:val="08A2629B"/>
    <w:rsid w:val="08D765EB"/>
    <w:rsid w:val="09087391"/>
    <w:rsid w:val="094E2BC9"/>
    <w:rsid w:val="0978425B"/>
    <w:rsid w:val="09EE451A"/>
    <w:rsid w:val="0A104DC5"/>
    <w:rsid w:val="0A1421D6"/>
    <w:rsid w:val="0A1441B8"/>
    <w:rsid w:val="0A9E5F43"/>
    <w:rsid w:val="0B1A65E0"/>
    <w:rsid w:val="0B8D01F5"/>
    <w:rsid w:val="0BA37CB5"/>
    <w:rsid w:val="0BDB587F"/>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220428A"/>
    <w:rsid w:val="123478B9"/>
    <w:rsid w:val="12780A7F"/>
    <w:rsid w:val="12A803F6"/>
    <w:rsid w:val="12B800BB"/>
    <w:rsid w:val="1306193D"/>
    <w:rsid w:val="138163C4"/>
    <w:rsid w:val="13D16037"/>
    <w:rsid w:val="14642D3C"/>
    <w:rsid w:val="151B68BE"/>
    <w:rsid w:val="1526779C"/>
    <w:rsid w:val="15BC373C"/>
    <w:rsid w:val="15D25F85"/>
    <w:rsid w:val="15D614F9"/>
    <w:rsid w:val="15E50ECA"/>
    <w:rsid w:val="165E3157"/>
    <w:rsid w:val="1686607D"/>
    <w:rsid w:val="17C26244"/>
    <w:rsid w:val="18070836"/>
    <w:rsid w:val="18CC35FF"/>
    <w:rsid w:val="18D555BD"/>
    <w:rsid w:val="19A84F19"/>
    <w:rsid w:val="1A11557B"/>
    <w:rsid w:val="1A725422"/>
    <w:rsid w:val="1B0B13D3"/>
    <w:rsid w:val="1B587F55"/>
    <w:rsid w:val="1BBE1FA1"/>
    <w:rsid w:val="1CE014E1"/>
    <w:rsid w:val="1CFE5775"/>
    <w:rsid w:val="1D2F4821"/>
    <w:rsid w:val="1D4F132F"/>
    <w:rsid w:val="1D5F1562"/>
    <w:rsid w:val="1D8B2357"/>
    <w:rsid w:val="1DC45FEE"/>
    <w:rsid w:val="1DFC45E7"/>
    <w:rsid w:val="1EE937D9"/>
    <w:rsid w:val="1F051A31"/>
    <w:rsid w:val="1F191147"/>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31BE2"/>
    <w:rsid w:val="29387837"/>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96257F"/>
    <w:rsid w:val="301E1CA7"/>
    <w:rsid w:val="304940ED"/>
    <w:rsid w:val="308C3833"/>
    <w:rsid w:val="3095731D"/>
    <w:rsid w:val="30B06230"/>
    <w:rsid w:val="30D50061"/>
    <w:rsid w:val="30FF6A86"/>
    <w:rsid w:val="31164343"/>
    <w:rsid w:val="317928C0"/>
    <w:rsid w:val="317D7F2F"/>
    <w:rsid w:val="31A041CB"/>
    <w:rsid w:val="31EB3B69"/>
    <w:rsid w:val="31FC6110"/>
    <w:rsid w:val="32324B40"/>
    <w:rsid w:val="328A5819"/>
    <w:rsid w:val="32C75788"/>
    <w:rsid w:val="3301513E"/>
    <w:rsid w:val="330E3209"/>
    <w:rsid w:val="33210D4B"/>
    <w:rsid w:val="33753436"/>
    <w:rsid w:val="33AE6A83"/>
    <w:rsid w:val="33F20148"/>
    <w:rsid w:val="344C36D7"/>
    <w:rsid w:val="347D25A2"/>
    <w:rsid w:val="34841ACA"/>
    <w:rsid w:val="349124F1"/>
    <w:rsid w:val="34CF6284"/>
    <w:rsid w:val="34D94D78"/>
    <w:rsid w:val="34E43BF0"/>
    <w:rsid w:val="34FA0BAE"/>
    <w:rsid w:val="35A77929"/>
    <w:rsid w:val="35C97A69"/>
    <w:rsid w:val="366C6D72"/>
    <w:rsid w:val="36CA3A99"/>
    <w:rsid w:val="36CC15BF"/>
    <w:rsid w:val="3708278A"/>
    <w:rsid w:val="379D4EBE"/>
    <w:rsid w:val="37D93A30"/>
    <w:rsid w:val="3814262E"/>
    <w:rsid w:val="38250B51"/>
    <w:rsid w:val="3846715C"/>
    <w:rsid w:val="39EC58CA"/>
    <w:rsid w:val="39FB2B8C"/>
    <w:rsid w:val="3A1F1BFC"/>
    <w:rsid w:val="3A3F02FA"/>
    <w:rsid w:val="3A5D44DB"/>
    <w:rsid w:val="3A9262F0"/>
    <w:rsid w:val="3AC30F2B"/>
    <w:rsid w:val="3AE54968"/>
    <w:rsid w:val="3AED2368"/>
    <w:rsid w:val="3B261658"/>
    <w:rsid w:val="3B500B8C"/>
    <w:rsid w:val="3B7735F2"/>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500DFE"/>
    <w:rsid w:val="4262727B"/>
    <w:rsid w:val="428423CE"/>
    <w:rsid w:val="42E3660E"/>
    <w:rsid w:val="430A1DED"/>
    <w:rsid w:val="435E7A42"/>
    <w:rsid w:val="43654FAA"/>
    <w:rsid w:val="437B6846"/>
    <w:rsid w:val="439A2BC7"/>
    <w:rsid w:val="44112D07"/>
    <w:rsid w:val="44D67B06"/>
    <w:rsid w:val="45034416"/>
    <w:rsid w:val="455C18CC"/>
    <w:rsid w:val="45984744"/>
    <w:rsid w:val="459C4B6B"/>
    <w:rsid w:val="45F418B3"/>
    <w:rsid w:val="45FD79E7"/>
    <w:rsid w:val="463C0759"/>
    <w:rsid w:val="46624259"/>
    <w:rsid w:val="46C44060"/>
    <w:rsid w:val="471E751C"/>
    <w:rsid w:val="472900CD"/>
    <w:rsid w:val="47A76A1D"/>
    <w:rsid w:val="47B70069"/>
    <w:rsid w:val="47B95B8F"/>
    <w:rsid w:val="47D334DC"/>
    <w:rsid w:val="488F195B"/>
    <w:rsid w:val="48A2254D"/>
    <w:rsid w:val="49072C4A"/>
    <w:rsid w:val="496D1725"/>
    <w:rsid w:val="498C7B7B"/>
    <w:rsid w:val="49A80A70"/>
    <w:rsid w:val="49EE685A"/>
    <w:rsid w:val="49F25388"/>
    <w:rsid w:val="4A045B66"/>
    <w:rsid w:val="4A0D5D1E"/>
    <w:rsid w:val="4A1470AD"/>
    <w:rsid w:val="4A471230"/>
    <w:rsid w:val="4A6E0EB3"/>
    <w:rsid w:val="4AC24D5B"/>
    <w:rsid w:val="4C07336D"/>
    <w:rsid w:val="4C126731"/>
    <w:rsid w:val="4C561BFF"/>
    <w:rsid w:val="4C6C277D"/>
    <w:rsid w:val="4C80439B"/>
    <w:rsid w:val="4CD82614"/>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F9524E"/>
    <w:rsid w:val="514507F5"/>
    <w:rsid w:val="519D207E"/>
    <w:rsid w:val="51CF6940"/>
    <w:rsid w:val="52132340"/>
    <w:rsid w:val="523508CE"/>
    <w:rsid w:val="52467A28"/>
    <w:rsid w:val="527340DC"/>
    <w:rsid w:val="527F195C"/>
    <w:rsid w:val="52A167DD"/>
    <w:rsid w:val="52FE4D9E"/>
    <w:rsid w:val="530F2210"/>
    <w:rsid w:val="53146370"/>
    <w:rsid w:val="53487DC7"/>
    <w:rsid w:val="534C038B"/>
    <w:rsid w:val="53837B15"/>
    <w:rsid w:val="545F7A68"/>
    <w:rsid w:val="55E53FF3"/>
    <w:rsid w:val="56150435"/>
    <w:rsid w:val="56250D50"/>
    <w:rsid w:val="566C4581"/>
    <w:rsid w:val="5684380C"/>
    <w:rsid w:val="56C62FC9"/>
    <w:rsid w:val="582A77C2"/>
    <w:rsid w:val="58366D88"/>
    <w:rsid w:val="58B8408C"/>
    <w:rsid w:val="58C53371"/>
    <w:rsid w:val="592503CD"/>
    <w:rsid w:val="5A105AE3"/>
    <w:rsid w:val="5AC71F19"/>
    <w:rsid w:val="5ADC3C17"/>
    <w:rsid w:val="5B48305A"/>
    <w:rsid w:val="5BA00781"/>
    <w:rsid w:val="5BED775E"/>
    <w:rsid w:val="5C0F1DCA"/>
    <w:rsid w:val="5C2F0C39"/>
    <w:rsid w:val="5CAF7795"/>
    <w:rsid w:val="5CB00EB7"/>
    <w:rsid w:val="5D086F45"/>
    <w:rsid w:val="5D323FC2"/>
    <w:rsid w:val="5DE828D3"/>
    <w:rsid w:val="5E08551F"/>
    <w:rsid w:val="5E525F9E"/>
    <w:rsid w:val="5E6F08FE"/>
    <w:rsid w:val="5EBA2711"/>
    <w:rsid w:val="5F745E66"/>
    <w:rsid w:val="5FA171DD"/>
    <w:rsid w:val="5FD749AD"/>
    <w:rsid w:val="6040150D"/>
    <w:rsid w:val="60936B26"/>
    <w:rsid w:val="60C2740B"/>
    <w:rsid w:val="61495849"/>
    <w:rsid w:val="615A19EE"/>
    <w:rsid w:val="61A60F09"/>
    <w:rsid w:val="61B72CE8"/>
    <w:rsid w:val="61CA2D38"/>
    <w:rsid w:val="620B4BE9"/>
    <w:rsid w:val="620F4F28"/>
    <w:rsid w:val="621041A6"/>
    <w:rsid w:val="622019C2"/>
    <w:rsid w:val="62D022B3"/>
    <w:rsid w:val="62F35FA1"/>
    <w:rsid w:val="63103B19"/>
    <w:rsid w:val="63222431"/>
    <w:rsid w:val="632A22DE"/>
    <w:rsid w:val="6338222B"/>
    <w:rsid w:val="634376F0"/>
    <w:rsid w:val="63492023"/>
    <w:rsid w:val="6392405C"/>
    <w:rsid w:val="6393578D"/>
    <w:rsid w:val="63DA61F3"/>
    <w:rsid w:val="64A5151D"/>
    <w:rsid w:val="64DA6254"/>
    <w:rsid w:val="652E5FF6"/>
    <w:rsid w:val="655C7097"/>
    <w:rsid w:val="6582360D"/>
    <w:rsid w:val="658A05B5"/>
    <w:rsid w:val="660576BF"/>
    <w:rsid w:val="66307F76"/>
    <w:rsid w:val="66F23DAD"/>
    <w:rsid w:val="675B4115"/>
    <w:rsid w:val="67AB0D31"/>
    <w:rsid w:val="68242759"/>
    <w:rsid w:val="68324E76"/>
    <w:rsid w:val="6832790E"/>
    <w:rsid w:val="684257ED"/>
    <w:rsid w:val="68672CFF"/>
    <w:rsid w:val="6873723D"/>
    <w:rsid w:val="68B64FF8"/>
    <w:rsid w:val="68BC0F70"/>
    <w:rsid w:val="68BC56C0"/>
    <w:rsid w:val="6A5437CA"/>
    <w:rsid w:val="6A917936"/>
    <w:rsid w:val="6AC16985"/>
    <w:rsid w:val="6ACA3A8C"/>
    <w:rsid w:val="6AD14E1A"/>
    <w:rsid w:val="6AF23C66"/>
    <w:rsid w:val="6B1A20D3"/>
    <w:rsid w:val="6B6B233A"/>
    <w:rsid w:val="6BC7335C"/>
    <w:rsid w:val="6BEC38B2"/>
    <w:rsid w:val="6C2076DB"/>
    <w:rsid w:val="6D67760E"/>
    <w:rsid w:val="6DAD31F1"/>
    <w:rsid w:val="6E4C2A0A"/>
    <w:rsid w:val="6E7D43D0"/>
    <w:rsid w:val="6EEC38DF"/>
    <w:rsid w:val="6F370F76"/>
    <w:rsid w:val="6F965839"/>
    <w:rsid w:val="6FB36D7A"/>
    <w:rsid w:val="6FE216A6"/>
    <w:rsid w:val="70266E22"/>
    <w:rsid w:val="709A7A5C"/>
    <w:rsid w:val="70AF0549"/>
    <w:rsid w:val="70D3575F"/>
    <w:rsid w:val="71302009"/>
    <w:rsid w:val="71387B02"/>
    <w:rsid w:val="717464FF"/>
    <w:rsid w:val="717E3F66"/>
    <w:rsid w:val="71BB65F3"/>
    <w:rsid w:val="71EF02C9"/>
    <w:rsid w:val="72EF679F"/>
    <w:rsid w:val="730B450D"/>
    <w:rsid w:val="7343262D"/>
    <w:rsid w:val="740A20FF"/>
    <w:rsid w:val="742E4065"/>
    <w:rsid w:val="743838A1"/>
    <w:rsid w:val="74512B28"/>
    <w:rsid w:val="74836A59"/>
    <w:rsid w:val="74BB05BD"/>
    <w:rsid w:val="74DA512E"/>
    <w:rsid w:val="74F160B9"/>
    <w:rsid w:val="75E27AD0"/>
    <w:rsid w:val="767C258A"/>
    <w:rsid w:val="76AA651F"/>
    <w:rsid w:val="76DD54BE"/>
    <w:rsid w:val="774226B2"/>
    <w:rsid w:val="774A1F82"/>
    <w:rsid w:val="77943863"/>
    <w:rsid w:val="779E42D6"/>
    <w:rsid w:val="77C655DB"/>
    <w:rsid w:val="77CE623E"/>
    <w:rsid w:val="77D53A70"/>
    <w:rsid w:val="7800592B"/>
    <w:rsid w:val="786B4915"/>
    <w:rsid w:val="788F1AD5"/>
    <w:rsid w:val="793E0D61"/>
    <w:rsid w:val="795F1F28"/>
    <w:rsid w:val="796E7CD8"/>
    <w:rsid w:val="79711576"/>
    <w:rsid w:val="7A033FC5"/>
    <w:rsid w:val="7A245FAC"/>
    <w:rsid w:val="7A6B246A"/>
    <w:rsid w:val="7A892CDD"/>
    <w:rsid w:val="7A9279F6"/>
    <w:rsid w:val="7AE5221C"/>
    <w:rsid w:val="7AED2E7F"/>
    <w:rsid w:val="7AFB559C"/>
    <w:rsid w:val="7B0270AF"/>
    <w:rsid w:val="7BE451AA"/>
    <w:rsid w:val="7C662EE9"/>
    <w:rsid w:val="7DA34BE9"/>
    <w:rsid w:val="7DCC321F"/>
    <w:rsid w:val="7DDE5692"/>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8"/>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7"/>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29"/>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7">
    <w:name w:val="Normal Indent"/>
    <w:basedOn w:val="1"/>
    <w:autoRedefine/>
    <w:qFormat/>
    <w:uiPriority w:val="0"/>
    <w:pPr>
      <w:ind w:firstLine="200" w:firstLineChars="200"/>
    </w:pPr>
    <w:rPr>
      <w:rFonts w:ascii="Times New Roman" w:hAnsi="Times New Roman" w:eastAsia="宋体" w:cs="Times New Roman"/>
      <w:sz w:val="21"/>
    </w:rPr>
  </w:style>
  <w:style w:type="paragraph" w:styleId="8">
    <w:name w:val="Body Text"/>
    <w:basedOn w:val="1"/>
    <w:autoRedefine/>
    <w:qFormat/>
    <w:uiPriority w:val="1"/>
    <w:rPr>
      <w:rFonts w:ascii="宋体" w:hAnsi="宋体" w:cs="宋体"/>
      <w:sz w:val="32"/>
      <w:szCs w:val="32"/>
      <w:lang w:val="zh-CN" w:bidi="zh-CN"/>
    </w:rPr>
  </w:style>
  <w:style w:type="paragraph" w:styleId="9">
    <w:name w:val="Body Text Indent"/>
    <w:basedOn w:val="1"/>
    <w:next w:val="10"/>
    <w:autoRedefine/>
    <w:qFormat/>
    <w:uiPriority w:val="0"/>
    <w:pPr>
      <w:ind w:firstLine="640" w:firstLineChars="200"/>
    </w:pPr>
    <w:rPr>
      <w:rFonts w:ascii="仿宋_GB2312" w:eastAsia="仿宋_GB2312" w:cs="Times New Roman"/>
    </w:rPr>
  </w:style>
  <w:style w:type="paragraph" w:styleId="10">
    <w:name w:val="footer"/>
    <w:basedOn w:val="1"/>
    <w:next w:val="1"/>
    <w:autoRedefine/>
    <w:qFormat/>
    <w:uiPriority w:val="0"/>
    <w:pPr>
      <w:tabs>
        <w:tab w:val="center" w:pos="4153"/>
        <w:tab w:val="right" w:pos="8306"/>
      </w:tabs>
      <w:snapToGrid w:val="0"/>
      <w:jc w:val="left"/>
    </w:pPr>
    <w:rPr>
      <w:sz w:val="18"/>
    </w:rPr>
  </w:style>
  <w:style w:type="paragraph" w:styleId="11">
    <w:name w:val="List 2"/>
    <w:basedOn w:val="1"/>
    <w:autoRedefine/>
    <w:unhideWhenUsed/>
    <w:qFormat/>
    <w:uiPriority w:val="99"/>
    <w:pPr>
      <w:ind w:left="100" w:leftChars="200" w:hanging="200" w:hangingChars="200"/>
    </w:pPr>
  </w:style>
  <w:style w:type="paragraph" w:styleId="12">
    <w:name w:val="toc 3"/>
    <w:basedOn w:val="1"/>
    <w:next w:val="1"/>
    <w:autoRedefine/>
    <w:qFormat/>
    <w:uiPriority w:val="0"/>
    <w:pPr>
      <w:ind w:left="840" w:leftChars="400"/>
    </w:pPr>
  </w:style>
  <w:style w:type="paragraph" w:styleId="13">
    <w:name w:val="Date"/>
    <w:basedOn w:val="1"/>
    <w:next w:val="1"/>
    <w:autoRedefine/>
    <w:unhideWhenUsed/>
    <w:qFormat/>
    <w:uiPriority w:val="99"/>
    <w:pPr>
      <w:spacing w:before="100" w:beforeAutospacing="1" w:after="100" w:afterAutospacing="1"/>
      <w:ind w:left="2500" w:leftChars="2500"/>
    </w:pPr>
  </w:style>
  <w:style w:type="paragraph" w:styleId="14">
    <w:name w:val="header"/>
    <w:basedOn w:val="1"/>
    <w:next w:val="1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19">
    <w:name w:val="Title"/>
    <w:basedOn w:val="1"/>
    <w:next w:val="1"/>
    <w:autoRedefine/>
    <w:qFormat/>
    <w:uiPriority w:val="99"/>
    <w:pPr>
      <w:spacing w:before="240" w:after="60"/>
      <w:jc w:val="center"/>
      <w:outlineLvl w:val="0"/>
    </w:pPr>
    <w:rPr>
      <w:rFonts w:ascii="Cambria" w:hAnsi="Cambria" w:eastAsia="宋体"/>
      <w:b/>
      <w:bCs/>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0"/>
    <w:rPr>
      <w:b/>
    </w:rPr>
  </w:style>
  <w:style w:type="character" w:styleId="24">
    <w:name w:val="Emphasis"/>
    <w:basedOn w:val="22"/>
    <w:autoRedefine/>
    <w:qFormat/>
    <w:uiPriority w:val="0"/>
    <w:rPr>
      <w:i/>
    </w:rPr>
  </w:style>
  <w:style w:type="character" w:styleId="25">
    <w:name w:val="Hyperlink"/>
    <w:basedOn w:val="22"/>
    <w:autoRedefine/>
    <w:qFormat/>
    <w:uiPriority w:val="0"/>
    <w:rPr>
      <w:color w:val="0000FF"/>
      <w:u w:val="single"/>
    </w:rPr>
  </w:style>
  <w:style w:type="paragraph" w:customStyle="1" w:styleId="26">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7">
    <w:name w:val="标题 2 Char"/>
    <w:link w:val="4"/>
    <w:autoRedefine/>
    <w:qFormat/>
    <w:uiPriority w:val="0"/>
    <w:rPr>
      <w:rFonts w:ascii="Arial" w:hAnsi="Arial" w:eastAsia="楷体"/>
      <w:b/>
    </w:rPr>
  </w:style>
  <w:style w:type="character" w:customStyle="1" w:styleId="28">
    <w:name w:val="标题 1 Char"/>
    <w:link w:val="3"/>
    <w:autoRedefine/>
    <w:qFormat/>
    <w:uiPriority w:val="0"/>
    <w:rPr>
      <w:rFonts w:eastAsia="黑体"/>
      <w:kern w:val="44"/>
    </w:rPr>
  </w:style>
  <w:style w:type="character" w:customStyle="1" w:styleId="29">
    <w:name w:val="标题 3 Char"/>
    <w:link w:val="5"/>
    <w:autoRedefine/>
    <w:qFormat/>
    <w:uiPriority w:val="0"/>
    <w:rPr>
      <w:b/>
    </w:rPr>
  </w:style>
  <w:style w:type="character" w:customStyle="1" w:styleId="30">
    <w:name w:val="font21"/>
    <w:basedOn w:val="22"/>
    <w:autoRedefine/>
    <w:qFormat/>
    <w:uiPriority w:val="0"/>
    <w:rPr>
      <w:rFonts w:hint="eastAsia" w:ascii="等线" w:hAnsi="等线" w:eastAsia="等线" w:cs="等线"/>
      <w:color w:val="000000"/>
      <w:sz w:val="22"/>
      <w:szCs w:val="22"/>
      <w:u w:val="none"/>
    </w:rPr>
  </w:style>
  <w:style w:type="character" w:customStyle="1" w:styleId="31">
    <w:name w:val="font11"/>
    <w:basedOn w:val="22"/>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2">
    <w:name w:val="font31"/>
    <w:basedOn w:val="22"/>
    <w:autoRedefine/>
    <w:qFormat/>
    <w:uiPriority w:val="0"/>
    <w:rPr>
      <w:rFonts w:hint="eastAsia" w:ascii="方正仿宋_GBK" w:hAnsi="方正仿宋_GBK" w:eastAsia="方正仿宋_GBK" w:cs="方正仿宋_GBK"/>
      <w:color w:val="000000"/>
      <w:sz w:val="22"/>
      <w:szCs w:val="22"/>
      <w:u w:val="none"/>
    </w:rPr>
  </w:style>
  <w:style w:type="table" w:customStyle="1" w:styleId="33">
    <w:name w:val="Table Normal"/>
    <w:autoRedefine/>
    <w:semiHidden/>
    <w:unhideWhenUsed/>
    <w:qFormat/>
    <w:uiPriority w:val="0"/>
    <w:tblPr>
      <w:tblCellMar>
        <w:top w:w="0" w:type="dxa"/>
        <w:left w:w="0" w:type="dxa"/>
        <w:bottom w:w="0" w:type="dxa"/>
        <w:right w:w="0" w:type="dxa"/>
      </w:tblCellMar>
    </w:tblPr>
  </w:style>
  <w:style w:type="character" w:customStyle="1" w:styleId="34">
    <w:name w:val="font81"/>
    <w:basedOn w:val="22"/>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5">
    <w:name w:val="font51"/>
    <w:basedOn w:val="22"/>
    <w:autoRedefine/>
    <w:qFormat/>
    <w:uiPriority w:val="0"/>
    <w:rPr>
      <w:rFonts w:hint="eastAsia" w:ascii="方正仿宋_GBK" w:hAnsi="方正仿宋_GBK" w:eastAsia="方正仿宋_GBK" w:cs="方正仿宋_GBK"/>
      <w:color w:val="000000"/>
      <w:sz w:val="21"/>
      <w:szCs w:val="21"/>
      <w:u w:val="none"/>
    </w:rPr>
  </w:style>
  <w:style w:type="character" w:customStyle="1" w:styleId="36">
    <w:name w:val="font41"/>
    <w:basedOn w:val="22"/>
    <w:autoRedefine/>
    <w:qFormat/>
    <w:uiPriority w:val="0"/>
    <w:rPr>
      <w:rFonts w:hint="default" w:ascii="Times New Roman" w:hAnsi="Times New Roman" w:cs="Times New Roman"/>
      <w:color w:val="000000"/>
      <w:sz w:val="22"/>
      <w:szCs w:val="22"/>
      <w:u w:val="none"/>
    </w:rPr>
  </w:style>
  <w:style w:type="character" w:customStyle="1" w:styleId="37">
    <w:name w:val="font61"/>
    <w:basedOn w:val="22"/>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21638</Words>
  <Characters>22582</Characters>
  <Lines>0</Lines>
  <Paragraphs>0</Paragraphs>
  <TotalTime>1</TotalTime>
  <ScaleCrop>false</ScaleCrop>
  <LinksUpToDate>false</LinksUpToDate>
  <CharactersWithSpaces>23249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2024-01-29T02:46:41Z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51AF2AF165C54624BA36C4AAF88693AD_13</vt:lpwstr>
  </property>
</Properties>
</file>