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同心县科学技术局种养废弃物肥料化高值化利用技术引进示范项目绩效评价报告</w:t>
      </w:r>
    </w:p>
    <w:p>
      <w:pPr>
        <w:keepNext w:val="0"/>
        <w:keepLines w:val="0"/>
        <w:pageBreakBefore w:val="0"/>
        <w:widowControl w:val="0"/>
        <w:kinsoku/>
        <w:wordWrap/>
        <w:overflowPunct w:val="0"/>
        <w:topLinePunct w:val="0"/>
        <w:autoSpaceDE/>
        <w:autoSpaceDN/>
        <w:bidi w:val="0"/>
        <w:adjustRightInd/>
        <w:snapToGrid/>
        <w:spacing w:line="560" w:lineRule="exact"/>
        <w:ind w:firstLine="2560" w:firstLineChars="800"/>
        <w:jc w:val="both"/>
        <w:textAlignment w:val="auto"/>
        <w:rPr>
          <w:rFonts w:hint="eastAsia" w:ascii="楷体" w:hAnsi="楷体" w:eastAsia="楷体" w:cs="楷体"/>
          <w:b w:val="0"/>
          <w:bCs w:val="0"/>
          <w:i w:val="0"/>
          <w:iCs w:val="0"/>
          <w:sz w:val="32"/>
          <w:szCs w:val="32"/>
          <w:highlight w:val="none"/>
        </w:rPr>
      </w:pPr>
      <w:bookmarkStart w:id="174" w:name="_GoBack"/>
      <w:bookmarkEnd w:id="174"/>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default" w:ascii="Times New Roman" w:hAnsi="Times New Roman" w:eastAsia="方正仿宋_GBK" w:cs="Times New Roman"/>
          <w:color w:val="auto"/>
          <w:kern w:val="2"/>
          <w:sz w:val="30"/>
          <w:szCs w:val="30"/>
          <w:highlight w:val="none"/>
          <w:lang w:val="en-US" w:eastAsia="zh-CN" w:bidi="ar-SA"/>
        </w:rPr>
        <w:t>〔20</w:t>
      </w:r>
      <w:r>
        <w:rPr>
          <w:rFonts w:hint="eastAsia" w:ascii="Times New Roman" w:hAnsi="Times New Roman" w:eastAsia="方正仿宋_GBK" w:cs="Times New Roman"/>
          <w:color w:val="auto"/>
          <w:kern w:val="2"/>
          <w:sz w:val="30"/>
          <w:szCs w:val="30"/>
          <w:highlight w:val="none"/>
          <w:lang w:val="en-US" w:eastAsia="zh-CN" w:bidi="ar-SA"/>
        </w:rPr>
        <w:t>23</w:t>
      </w:r>
      <w:r>
        <w:rPr>
          <w:rFonts w:hint="default"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楷体" w:cs="Times New Roman"/>
          <w:b w:val="0"/>
          <w:bCs w:val="0"/>
          <w:i w:val="0"/>
          <w:iCs w:val="0"/>
          <w:sz w:val="32"/>
          <w:szCs w:val="32"/>
          <w:highlight w:val="none"/>
        </w:rPr>
        <w:t>第</w:t>
      </w:r>
      <w:r>
        <w:rPr>
          <w:rFonts w:hint="default" w:ascii="Times New Roman" w:hAnsi="Times New Roman" w:eastAsia="楷体" w:cs="Times New Roman"/>
          <w:b w:val="0"/>
          <w:bCs w:val="0"/>
          <w:i w:val="0"/>
          <w:iCs w:val="0"/>
          <w:color w:val="000000" w:themeColor="text1"/>
          <w:sz w:val="32"/>
          <w:szCs w:val="32"/>
          <w:highlight w:val="none"/>
          <w:lang w:val="en-US" w:eastAsia="zh-CN"/>
          <w14:textFill>
            <w14:solidFill>
              <w14:schemeClr w14:val="tx1"/>
            </w14:solidFill>
          </w14:textFill>
        </w:rPr>
        <w:t>011</w:t>
      </w:r>
      <w:r>
        <w:rPr>
          <w:rFonts w:hint="eastAsia" w:ascii="楷体" w:hAnsi="楷体" w:eastAsia="楷体" w:cs="楷体"/>
          <w:b w:val="0"/>
          <w:bCs w:val="0"/>
          <w:i w:val="0"/>
          <w:iCs w:val="0"/>
          <w:sz w:val="32"/>
          <w:szCs w:val="32"/>
          <w:highlight w:val="none"/>
        </w:rPr>
        <w:t>号</w:t>
      </w:r>
    </w:p>
    <w:p>
      <w:pPr>
        <w:keepNext w:val="0"/>
        <w:keepLines w:val="0"/>
        <w:pageBreakBefore w:val="0"/>
        <w:widowControl w:val="0"/>
        <w:kinsoku/>
        <w:wordWrap/>
        <w:overflowPunct w:val="0"/>
        <w:topLinePunct w:val="0"/>
        <w:autoSpaceDE/>
        <w:autoSpaceDN/>
        <w:bidi w:val="0"/>
        <w:adjustRightInd/>
        <w:snapToGrid/>
        <w:spacing w:line="560" w:lineRule="exact"/>
        <w:ind w:firstLine="3200" w:firstLineChars="1000"/>
        <w:jc w:val="both"/>
        <w:textAlignment w:val="auto"/>
        <w:rPr>
          <w:rFonts w:hint="eastAsia" w:ascii="楷体" w:hAnsi="楷体" w:eastAsia="楷体" w:cs="楷体"/>
          <w:b w:val="0"/>
          <w:bCs w:val="0"/>
          <w:sz w:val="32"/>
          <w:szCs w:val="32"/>
          <w:highlight w:val="none"/>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
        <w:rPr>
          <w:rFonts w:hint="eastAsia" w:ascii="黑体" w:hAnsi="黑体" w:eastAsia="黑体" w:cs="黑体"/>
          <w:sz w:val="44"/>
          <w:szCs w:val="44"/>
          <w:lang w:val="en-US" w:eastAsia="zh-CN"/>
        </w:rPr>
      </w:pPr>
    </w:p>
    <w:p>
      <w:pPr>
        <w:rPr>
          <w:rFonts w:hint="eastAsia"/>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黑体" w:hAnsi="黑体" w:eastAsia="黑体" w:cs="黑体"/>
          <w:b w:val="0"/>
          <w:bCs w:val="0"/>
          <w:kern w:val="0"/>
          <w:sz w:val="30"/>
          <w:szCs w:val="30"/>
          <w:lang w:val="en-US" w:eastAsia="zh-CN" w:bidi="en-US"/>
        </w:rPr>
        <w:t>评价机构名称：宁夏万协项目管理有限公司</w:t>
      </w:r>
      <w:r>
        <w:rPr>
          <w:rFonts w:hint="eastAsia" w:ascii="方正小标宋_GBK" w:hAnsi="方正小标宋_GBK" w:eastAsia="方正小标宋_GBK" w:cs="方正小标宋_GBK"/>
          <w:b w:val="0"/>
          <w:bCs w:val="0"/>
          <w:color w:val="1E1C11"/>
          <w:kern w:val="0"/>
          <w:sz w:val="30"/>
          <w:szCs w:val="30"/>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600" w:firstLineChars="200"/>
        <w:jc w:val="both"/>
        <w:textAlignment w:val="auto"/>
        <w:rPr>
          <w:rFonts w:hint="default" w:ascii="黑体" w:hAnsi="黑体" w:eastAsia="黑体" w:cs="黑体"/>
          <w:b w:val="0"/>
          <w:bCs w:val="0"/>
          <w:kern w:val="0"/>
          <w:sz w:val="30"/>
          <w:szCs w:val="30"/>
          <w:lang w:val="en-US" w:eastAsia="zh-CN" w:bidi="en-US"/>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 xml:space="preserve">      </w:t>
      </w:r>
      <w:r>
        <w:rPr>
          <w:rFonts w:hint="eastAsia" w:ascii="黑体" w:hAnsi="黑体" w:eastAsia="黑体" w:cs="黑体"/>
          <w:b w:val="0"/>
          <w:bCs w:val="0"/>
          <w:kern w:val="0"/>
          <w:sz w:val="30"/>
          <w:szCs w:val="30"/>
          <w:lang w:val="en-US" w:eastAsia="zh-CN" w:bidi="en-US"/>
        </w:rPr>
        <w:t>评价报告时间：二〇二三年十二月</w:t>
      </w:r>
    </w:p>
    <w:p>
      <w:pPr>
        <w:ind w:left="0" w:leftChars="0" w:firstLine="0" w:firstLineChars="0"/>
        <w:jc w:val="both"/>
        <w:rPr>
          <w:rFonts w:hint="eastAsia" w:ascii="楷体" w:hAnsi="楷体" w:eastAsia="楷体" w:cs="楷体"/>
          <w:b/>
          <w:bCs/>
          <w:color w:val="0049AF"/>
          <w:spacing w:val="62"/>
          <w:sz w:val="32"/>
          <w:szCs w:val="32"/>
        </w:rPr>
      </w:pPr>
    </w:p>
    <w:p>
      <w:pPr>
        <w:keepNext w:val="0"/>
        <w:keepLines w:val="0"/>
        <w:pageBreakBefore w:val="0"/>
        <w:widowControl w:val="0"/>
        <w:kinsoku/>
        <w:wordWrap/>
        <w:overflowPunct w:val="0"/>
        <w:topLinePunct w:val="0"/>
        <w:autoSpaceDE/>
        <w:autoSpaceDN/>
        <w:bidi w:val="0"/>
        <w:adjustRightInd/>
        <w:snapToGrid/>
        <w:spacing w:line="760" w:lineRule="exact"/>
        <w:ind w:left="0" w:leftChars="0" w:firstLine="0" w:firstLineChars="0"/>
        <w:jc w:val="both"/>
        <w:textAlignment w:val="auto"/>
        <w:rPr>
          <w:rFonts w:hint="eastAsia" w:ascii="方正小标宋简体" w:hAnsi="方正小标宋简体" w:eastAsia="方正小标宋简体" w:cs="方正小标宋简体"/>
          <w:b w:val="0"/>
          <w:color w:val="000000"/>
          <w:kern w:val="0"/>
          <w:sz w:val="36"/>
          <w:szCs w:val="36"/>
          <w:lang w:val="en-US" w:eastAsia="zh-CN" w:bidi="ar"/>
        </w:rPr>
      </w:pPr>
    </w:p>
    <w:p>
      <w:pPr>
        <w:pStyle w:val="2"/>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同心县科学技术局种养废弃物肥料化高值化利用技术引进示范项目绩效评价报告</w:t>
      </w:r>
    </w:p>
    <w:p>
      <w:pPr>
        <w:keepNext w:val="0"/>
        <w:keepLines w:val="0"/>
        <w:pageBreakBefore w:val="0"/>
        <w:widowControl w:val="0"/>
        <w:kinsoku/>
        <w:wordWrap/>
        <w:overflowPunct w:val="0"/>
        <w:topLinePunct w:val="0"/>
        <w:autoSpaceDE/>
        <w:autoSpaceDN/>
        <w:bidi w:val="0"/>
        <w:adjustRightInd/>
        <w:snapToGrid/>
        <w:spacing w:line="560" w:lineRule="exact"/>
        <w:ind w:firstLine="2240" w:firstLineChars="700"/>
        <w:jc w:val="both"/>
        <w:textAlignment w:val="auto"/>
        <w:rPr>
          <w:rFonts w:hint="default" w:ascii="Times New Roman" w:hAnsi="Times New Roman" w:eastAsia="楷体" w:cs="Times New Roman"/>
          <w:b w:val="0"/>
          <w:bCs w:val="0"/>
          <w:i w:val="0"/>
          <w:iCs w:val="0"/>
          <w:sz w:val="32"/>
          <w:szCs w:val="32"/>
          <w:highlight w:val="none"/>
          <w:lang w:val="en-US" w:eastAsia="zh-CN"/>
        </w:rPr>
      </w:pPr>
      <w:r>
        <w:rPr>
          <w:rFonts w:hint="eastAsia" w:ascii="楷体" w:hAnsi="楷体" w:eastAsia="楷体" w:cs="楷体"/>
          <w:b w:val="0"/>
          <w:bCs w:val="0"/>
          <w:i w:val="0"/>
          <w:iCs w:val="0"/>
          <w:sz w:val="32"/>
          <w:szCs w:val="32"/>
          <w:highlight w:val="none"/>
          <w:lang w:val="en-US" w:eastAsia="zh-CN"/>
        </w:rPr>
        <w:t>万协绩效字</w:t>
      </w:r>
      <w:r>
        <w:rPr>
          <w:rFonts w:hint="default" w:ascii="Times New Roman" w:hAnsi="Times New Roman" w:eastAsia="方正仿宋_GBK" w:cs="Times New Roman"/>
          <w:color w:val="auto"/>
          <w:kern w:val="2"/>
          <w:sz w:val="30"/>
          <w:szCs w:val="30"/>
          <w:highlight w:val="none"/>
          <w:lang w:val="en-US" w:eastAsia="zh-CN" w:bidi="ar-SA"/>
        </w:rPr>
        <w:t>〔20</w:t>
      </w:r>
      <w:r>
        <w:rPr>
          <w:rFonts w:hint="eastAsia" w:ascii="Times New Roman" w:hAnsi="Times New Roman" w:eastAsia="方正仿宋_GBK" w:cs="Times New Roman"/>
          <w:color w:val="auto"/>
          <w:kern w:val="2"/>
          <w:sz w:val="30"/>
          <w:szCs w:val="30"/>
          <w:highlight w:val="none"/>
          <w:lang w:val="en-US" w:eastAsia="zh-CN" w:bidi="ar-SA"/>
        </w:rPr>
        <w:t>23</w:t>
      </w:r>
      <w:r>
        <w:rPr>
          <w:rFonts w:hint="default"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楷体" w:cs="Times New Roman"/>
          <w:b w:val="0"/>
          <w:bCs w:val="0"/>
          <w:i w:val="0"/>
          <w:iCs w:val="0"/>
          <w:sz w:val="32"/>
          <w:szCs w:val="32"/>
          <w:highlight w:val="none"/>
          <w:lang w:val="en-US" w:eastAsia="zh-CN"/>
        </w:rPr>
        <w:t>第011号</w:t>
      </w: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ind w:left="0" w:leftChars="0" w:firstLine="0" w:firstLineChars="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867"/>
        </w:tabs>
        <w:ind w:left="0" w:leftChars="0" w:firstLine="1057" w:firstLineChars="341"/>
        <w:jc w:val="left"/>
        <w:rPr>
          <w:rFonts w:ascii="方正小标宋_GBK" w:hAnsi="方正小标宋_GBK" w:eastAsia="方正小标宋_GBK" w:cs="方正小标宋_GBK"/>
          <w:color w:val="000000"/>
          <w:kern w:val="0"/>
          <w:sz w:val="31"/>
          <w:szCs w:val="31"/>
          <w:lang w:val="en-US" w:eastAsia="zh-CN" w:bidi="ar"/>
        </w:rPr>
      </w:pPr>
      <w:r>
        <w:rPr>
          <w:rFonts w:hint="eastAsia" w:ascii="方正小标宋_GBK" w:hAnsi="方正小标宋_GBK" w:eastAsia="方正小标宋_GBK" w:cs="方正小标宋_GBK"/>
          <w:color w:val="000000"/>
          <w:kern w:val="0"/>
          <w:sz w:val="31"/>
          <w:szCs w:val="31"/>
          <w:lang w:val="en-US" w:eastAsia="zh-CN" w:bidi="ar"/>
        </w:rPr>
        <w:tab/>
      </w: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255" w:leftChars="261" w:hanging="420" w:hangingChars="1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left="2750" w:leftChars="261" w:hanging="1915" w:hangingChars="684"/>
        <w:jc w:val="left"/>
        <w:textAlignment w:val="auto"/>
        <w:rPr>
          <w:rFonts w:hint="default"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w:t>
      </w:r>
      <w:r>
        <w:rPr>
          <w:rFonts w:hint="eastAsia" w:ascii="方正小标宋_GBK" w:hAnsi="方正小标宋_GBK" w:eastAsia="方正小标宋_GBK" w:cs="方正小标宋_GBK"/>
          <w:color w:val="1E1C11"/>
          <w:spacing w:val="-20"/>
          <w:kern w:val="0"/>
          <w:sz w:val="28"/>
          <w:szCs w:val="28"/>
          <w:lang w:val="en-US" w:eastAsia="zh-CN" w:bidi="ar"/>
        </w:rPr>
        <w:t>对象名</w:t>
      </w:r>
      <w:r>
        <w:rPr>
          <w:rFonts w:hint="eastAsia" w:ascii="方正小标宋_GBK" w:hAnsi="方正小标宋_GBK" w:eastAsia="方正小标宋_GBK" w:cs="方正小标宋_GBK"/>
          <w:color w:val="1E1C11"/>
          <w:kern w:val="0"/>
          <w:sz w:val="28"/>
          <w:szCs w:val="28"/>
          <w:lang w:val="en-US" w:eastAsia="zh-CN" w:bidi="ar"/>
        </w:rPr>
        <w:t>称：同心县科学技术局</w:t>
      </w:r>
    </w:p>
    <w:p>
      <w:pPr>
        <w:keepNext w:val="0"/>
        <w:keepLines w:val="0"/>
        <w:pageBreakBefore w:val="0"/>
        <w:widowControl/>
        <w:suppressLineNumbers w:val="0"/>
        <w:kinsoku/>
        <w:wordWrap/>
        <w:overflowPunct w:val="0"/>
        <w:topLinePunct w:val="0"/>
        <w:autoSpaceDE/>
        <w:autoSpaceDN/>
        <w:bidi w:val="0"/>
        <w:adjustRightInd/>
        <w:snapToGrid/>
        <w:ind w:left="1255" w:leftChars="261" w:hanging="420" w:hangingChars="1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widowControl/>
        <w:suppressLineNumbers w:val="0"/>
        <w:kinsoku/>
        <w:wordWrap/>
        <w:overflowPunct w:val="0"/>
        <w:topLinePunct w:val="0"/>
        <w:autoSpaceDE/>
        <w:autoSpaceDN/>
        <w:bidi w:val="0"/>
        <w:adjustRightInd/>
        <w:snapToGrid/>
        <w:ind w:left="1910" w:leftChars="261" w:hanging="1075" w:hangingChars="384"/>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评价报告时间：二〇二三年十二月</w:t>
      </w:r>
    </w:p>
    <w:p>
      <w:pPr>
        <w:rPr>
          <w:rFonts w:hint="eastAsia"/>
          <w:lang w:val="en-US" w:eastAsia="zh-CN"/>
        </w:rPr>
      </w:pPr>
    </w:p>
    <w:p>
      <w:pPr>
        <w:pStyle w:val="2"/>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31490"/>
      <w:bookmarkStart w:id="1" w:name="_Toc1587"/>
      <w:r>
        <w:rPr>
          <w:rFonts w:hint="eastAsia" w:asciiTheme="majorEastAsia" w:hAnsiTheme="majorEastAsia" w:eastAsiaTheme="majorEastAsia" w:cstheme="majorEastAsia"/>
          <w:b/>
          <w:bCs/>
          <w:sz w:val="30"/>
          <w:szCs w:val="30"/>
          <w:lang w:val="en-US" w:eastAsia="zh-CN"/>
        </w:rPr>
        <w:t>一、项目背景</w:t>
      </w:r>
      <w:bookmarkEnd w:id="0"/>
      <w:bookmarkEnd w:id="1"/>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 w:name="_Toc32242"/>
      <w:bookmarkStart w:id="3" w:name="_Toc13114"/>
      <w:bookmarkStart w:id="4" w:name="_Toc18303"/>
      <w:r>
        <w:rPr>
          <w:rFonts w:hint="eastAsia" w:ascii="Times New Roman" w:hAnsi="Times New Roman" w:eastAsia="方正仿宋_GBK" w:cs="Times New Roman"/>
          <w:color w:val="auto"/>
          <w:kern w:val="2"/>
          <w:sz w:val="30"/>
          <w:szCs w:val="30"/>
          <w:highlight w:val="none"/>
          <w:lang w:val="en-US" w:eastAsia="zh-CN" w:bidi="ar-SA"/>
        </w:rPr>
        <w:t>2016年12月，习近平总书记在中央财经领导小组第十四次会议上强调，加快推进畜禽养殖废弃物处理和资源化，关系6亿多农村居民生产生活环境，关系农村能源革命，关系能不能不断改善土壤地力、治理好农业面源污染，是一件利国利民利长远的大好事。要坚持政府支持、企业主体、市场化运作的方针，以沼气和生物天然气为主要处理方向，以就地就近用于农村能源和农用有机肥为主要使用方向，力争在十二五"时期，基本解决大规模畜禽养殖场粪污处理和资源化问题。</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畜禽养殖业是我国农业发展的支柱产业之一，对农业增产增收及农村经济发展具有非常重要的作用，但畜禽养殖过程会产生大量的养殖垃圾、畜禽粪便等废弃物，这些废弃物不仅占用场地，而且污染环境、传播病原，处理起来十分棘手。目前对于畜禽养殖废弃物主要进行农业还田处理，但处理模式比较粗放，对空气、土壤都会造成一定污染，而利用微生物发酵技术将其转变为农业生产中备受欢迎的有机肥料，能有效解决这一问题，为实现畜禽养殖业的可持续发展奠定坚实基础。</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随着畜牧养殖业的不断发展，规模化养殖场、养殖小区不断出现，大量的畜禽粪便随之产生。由于得不到及时、有效地处理，许多养殖场周边粪土四溢，蚊蝇乱飞，恶臭扑鼻，严重污染环境，危及广大农民的身体健康。另一方面，畜禽粪便是我国传统的有机肥料，养分齐全，有机质含量高，适量施用不仅可改良土壤，还可提高农产品品质与产量。由于农业生产长期大量使用化肥，使土壤有机质含量日益减少，土壤板结，养分流失，保水保肥性能下降，对土壤的污染也日趋严重，农业害虫的抗药性不断增强，已成为制约我国“三高”农业发展的重要因素之一。</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针对同心县畜禽养殖粪便利用效率低、处理工艺简单低效、丁塘镇周边乡村粪便及有机废弃物未做无害化处理、中药材等种植废弃物难以利用及环境污染等问题，以宁夏平态林生物有机肥料有限公司为实施主体，以同心县天润生态农业种植专业合作社作为循环农业示范点，引进宁夏农林科学院农业资源与环境研究所、宁夏大学等单位科技成果，示范推广畜禽粪便联合中药材种植废弃物快速堆肥发酵技术、槽式好氧高温发酵生产高品质生物有机肥全套设施设备及工艺及有机肥替减化肥绿色种植技术，监理区域种植养殖固体废弃物集中收集快速处理中心，构建基于中药材品质提升的中药废弃物再利用绿色循环模式，带动周边种植、养殖园区废弃物处理利用优化升级，帮助周边乡村粪便及有机废弃物做无害化处理，助力乡村振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heme="majorEastAsia" w:hAnsiTheme="majorEastAsia" w:eastAsiaTheme="majorEastAsia" w:cstheme="majorEastAsia"/>
          <w:b/>
          <w:bCs/>
          <w:kern w:val="0"/>
          <w:sz w:val="30"/>
          <w:szCs w:val="30"/>
          <w:lang w:val="en-US" w:eastAsia="zh-CN" w:bidi="zh-CN"/>
        </w:rPr>
      </w:pPr>
      <w:r>
        <w:rPr>
          <w:rFonts w:hint="eastAsia" w:asciiTheme="majorEastAsia" w:hAnsiTheme="majorEastAsia" w:eastAsiaTheme="majorEastAsia" w:cstheme="majorEastAsia"/>
          <w:b/>
          <w:bCs/>
          <w:kern w:val="44"/>
          <w:sz w:val="30"/>
          <w:szCs w:val="30"/>
          <w:lang w:val="en-US" w:eastAsia="zh-CN" w:bidi="ar-SA"/>
        </w:rPr>
        <w:t>二.项目预算资金</w:t>
      </w:r>
      <w:bookmarkEnd w:id="2"/>
      <w:bookmarkEnd w:id="3"/>
      <w:bookmarkEnd w:id="4"/>
    </w:p>
    <w:p>
      <w:pPr>
        <w:keepNext w:val="0"/>
        <w:keepLines w:val="0"/>
        <w:widowControl/>
        <w:suppressLineNumbers w:val="0"/>
        <w:jc w:val="left"/>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2312" w:cs="Times New Roman"/>
          <w:sz w:val="30"/>
          <w:szCs w:val="30"/>
          <w:lang w:val="en-US" w:eastAsia="zh-CN"/>
        </w:rPr>
        <w:t>2022年8月24日，根据同心县人大常委会《关于批准同心县本级财政 2022 年第二批新增政府一般债券资金预算调整方案的决议》（同人常发（2022） 24 号）精神，县财政局安排资金25.00万元，用于同心县科学技术局种养废弃物肥料化高值化利用技术引进示范项目建设，助力乡村振兴。截至评价时点，实际拨付资金25.00万元，支出25.00万元，预算执行率100%</w:t>
      </w:r>
      <w:r>
        <w:rPr>
          <w:rFonts w:hint="default" w:ascii="Times New Roman" w:hAnsi="Times New Roman" w:eastAsia="方正仿宋_GBK" w:cs="Times New Roman"/>
          <w:color w:val="auto"/>
          <w:kern w:val="2"/>
          <w:sz w:val="30"/>
          <w:szCs w:val="30"/>
          <w:highlight w:val="none"/>
          <w:lang w:val="en-US" w:eastAsia="zh-CN" w:bidi="ar-SA"/>
        </w:rPr>
        <w:t>。</w:t>
      </w:r>
    </w:p>
    <w:p>
      <w:pPr>
        <w:pStyle w:val="3"/>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方正正黑_GBK" w:hAnsi="方正正黑_GBK" w:eastAsia="方正正黑_GBK" w:cs="方正正黑_GBK"/>
          <w:sz w:val="30"/>
          <w:szCs w:val="30"/>
          <w:lang w:val="en-US" w:eastAsia="zh-CN"/>
        </w:rPr>
      </w:pPr>
      <w:bookmarkStart w:id="5" w:name="_Toc27065"/>
      <w:bookmarkStart w:id="6" w:name="_Toc31152"/>
      <w:bookmarkStart w:id="7" w:name="_Toc3837"/>
      <w:r>
        <w:rPr>
          <w:rFonts w:hint="eastAsia" w:ascii="方正正黑_GBK" w:hAnsi="方正正黑_GBK" w:eastAsia="方正正黑_GBK" w:cs="方正正黑_GBK"/>
          <w:sz w:val="30"/>
          <w:szCs w:val="30"/>
          <w:lang w:val="en-US" w:eastAsia="zh-CN"/>
        </w:rPr>
        <w:t>二、评价结论</w:t>
      </w:r>
      <w:bookmarkEnd w:id="5"/>
      <w:bookmarkEnd w:id="6"/>
      <w:bookmarkEnd w:id="7"/>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仿宋" w:cs="Times New Roman"/>
          <w:b w:val="0"/>
          <w:bCs w:val="0"/>
          <w:kern w:val="0"/>
          <w:sz w:val="30"/>
          <w:szCs w:val="30"/>
          <w:lang w:val="en-US" w:eastAsia="zh-CN" w:bidi="zh-CN"/>
        </w:rPr>
      </w:pPr>
      <w:r>
        <w:rPr>
          <w:rFonts w:hint="default" w:ascii="Times New Roman" w:hAnsi="Times New Roman" w:eastAsia="仿宋" w:cs="Times New Roman"/>
          <w:sz w:val="30"/>
          <w:szCs w:val="30"/>
          <w:lang w:val="en-US" w:eastAsia="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default" w:ascii="Times New Roman" w:hAnsi="Times New Roman" w:eastAsia="仿宋" w:cs="Times New Roman"/>
          <w:b w:val="0"/>
          <w:bCs w:val="0"/>
          <w:kern w:val="0"/>
          <w:sz w:val="30"/>
          <w:szCs w:val="30"/>
          <w:lang w:val="en-US" w:eastAsia="zh-CN" w:bidi="zh-CN"/>
        </w:rPr>
        <w:t>。</w:t>
      </w:r>
      <w:r>
        <w:rPr>
          <w:rFonts w:hint="eastAsia" w:ascii="Times New Roman" w:hAnsi="Times New Roman" w:cs="Times New Roman"/>
          <w:b w:val="0"/>
          <w:bCs w:val="0"/>
          <w:kern w:val="0"/>
          <w:sz w:val="30"/>
          <w:szCs w:val="30"/>
          <w:lang w:val="en-US" w:eastAsia="zh-CN" w:bidi="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仿宋" w:cs="Times New Roman"/>
          <w:b w:val="0"/>
          <w:bCs w:val="0"/>
          <w:kern w:val="0"/>
          <w:sz w:val="30"/>
          <w:szCs w:val="30"/>
          <w:lang w:val="en-US" w:eastAsia="zh-CN" w:bidi="zh-CN"/>
        </w:rPr>
        <w:t>通过</w:t>
      </w:r>
      <w:r>
        <w:rPr>
          <w:rFonts w:hint="default" w:ascii="Times New Roman" w:hAnsi="Times New Roman" w:cs="Times New Roman"/>
          <w:b w:val="0"/>
          <w:bCs w:val="0"/>
          <w:kern w:val="0"/>
          <w:sz w:val="30"/>
          <w:szCs w:val="30"/>
          <w:lang w:val="en-US" w:eastAsia="zh-CN" w:bidi="zh-CN"/>
        </w:rPr>
        <w:t>资料收集</w:t>
      </w:r>
      <w:r>
        <w:rPr>
          <w:rFonts w:hint="default" w:ascii="Times New Roman" w:hAnsi="Times New Roman" w:eastAsia="仿宋" w:cs="Times New Roman"/>
          <w:b w:val="0"/>
          <w:bCs w:val="0"/>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现场</w:t>
      </w:r>
      <w:r>
        <w:rPr>
          <w:rFonts w:hint="default" w:ascii="Times New Roman" w:hAnsi="Times New Roman" w:eastAsia="仿宋" w:cs="Times New Roman"/>
          <w:b w:val="0"/>
          <w:bCs w:val="0"/>
          <w:kern w:val="0"/>
          <w:sz w:val="30"/>
          <w:szCs w:val="30"/>
          <w:lang w:val="en-US" w:eastAsia="zh-CN" w:bidi="zh-CN"/>
        </w:rPr>
        <w:t>访谈和问卷调查获取的数据，评价组对</w:t>
      </w:r>
      <w:r>
        <w:rPr>
          <w:rFonts w:hint="eastAsia" w:ascii="Times New Roman" w:hAnsi="Times New Roman" w:eastAsia="方正仿宋_GBK" w:cs="Times New Roman"/>
          <w:color w:val="auto"/>
          <w:kern w:val="2"/>
          <w:sz w:val="30"/>
          <w:szCs w:val="30"/>
          <w:highlight w:val="none"/>
          <w:lang w:val="en-US" w:eastAsia="zh-CN" w:bidi="ar-SA"/>
        </w:rPr>
        <w:t>宁夏同心县科学技术局种养废弃物肥料化</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textAlignment w:val="auto"/>
        <w:rPr>
          <w:rFonts w:hint="default" w:ascii="Times New Roman" w:hAnsi="Times New Roman" w:cs="Times New Roman"/>
          <w:b w:val="0"/>
          <w:bCs w:val="0"/>
          <w:kern w:val="0"/>
          <w:sz w:val="30"/>
          <w:szCs w:val="30"/>
          <w:lang w:val="en-US" w:eastAsia="zh-CN" w:bidi="zh-CN"/>
        </w:rPr>
      </w:pPr>
      <w:r>
        <w:rPr>
          <w:rFonts w:hint="eastAsia" w:ascii="Times New Roman" w:hAnsi="Times New Roman" w:eastAsia="方正仿宋_GBK" w:cs="Times New Roman"/>
          <w:color w:val="auto"/>
          <w:kern w:val="2"/>
          <w:sz w:val="30"/>
          <w:szCs w:val="30"/>
          <w:highlight w:val="none"/>
          <w:lang w:val="en-US" w:eastAsia="zh-CN" w:bidi="ar-SA"/>
        </w:rPr>
        <w:t>高值化利用技术引进示范项目</w:t>
      </w:r>
      <w:r>
        <w:rPr>
          <w:rFonts w:hint="default" w:ascii="Times New Roman" w:hAnsi="Times New Roman" w:eastAsia="仿宋" w:cs="Times New Roman"/>
          <w:b w:val="0"/>
          <w:bCs w:val="0"/>
          <w:kern w:val="0"/>
          <w:sz w:val="30"/>
          <w:szCs w:val="30"/>
          <w:lang w:val="en-US" w:eastAsia="zh-CN" w:bidi="zh-CN"/>
        </w:rPr>
        <w:t>进行了独立客观公正的评价，最终得分</w:t>
      </w:r>
      <w:r>
        <w:rPr>
          <w:rFonts w:hint="default" w:ascii="Times New Roman" w:hAnsi="Times New Roman" w:cs="Times New Roman"/>
          <w:b w:val="0"/>
          <w:bCs w:val="0"/>
          <w:kern w:val="0"/>
          <w:sz w:val="30"/>
          <w:szCs w:val="30"/>
          <w:lang w:val="en-US" w:eastAsia="zh-CN" w:bidi="zh-CN"/>
        </w:rPr>
        <w:t>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94.00</w:t>
      </w:r>
      <w:r>
        <w:rPr>
          <w:rFonts w:hint="default" w:ascii="Times New Roman" w:hAnsi="Times New Roman" w:cs="Times New Roman"/>
          <w:b/>
          <w:bCs/>
          <w:kern w:val="0"/>
          <w:sz w:val="30"/>
          <w:szCs w:val="30"/>
          <w:lang w:val="en-US" w:eastAsia="zh-CN" w:bidi="zh-CN"/>
        </w:rPr>
        <w:t>分”</w:t>
      </w:r>
      <w:r>
        <w:rPr>
          <w:rFonts w:hint="default" w:ascii="Times New Roman" w:hAnsi="Times New Roman" w:cs="Times New Roman"/>
          <w:b w:val="0"/>
          <w:bCs w:val="0"/>
          <w:kern w:val="0"/>
          <w:sz w:val="30"/>
          <w:szCs w:val="30"/>
          <w:lang w:val="en-US" w:eastAsia="zh-CN" w:bidi="zh-CN"/>
        </w:rPr>
        <w:t>，评价结果为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优</w:t>
      </w:r>
      <w:r>
        <w:rPr>
          <w:rFonts w:hint="default" w:ascii="Times New Roman" w:hAnsi="Times New Roman" w:cs="Times New Roman"/>
          <w:b/>
          <w:bCs/>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w:t>
      </w:r>
    </w:p>
    <w:p>
      <w:pPr>
        <w:pStyle w:val="3"/>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方正正黑_GBK" w:hAnsi="方正正黑_GBK" w:eastAsia="方正正黑_GBK" w:cs="方正正黑_GBK"/>
          <w:sz w:val="30"/>
          <w:szCs w:val="30"/>
          <w:lang w:val="en-US" w:eastAsia="zh-CN"/>
        </w:rPr>
      </w:pPr>
      <w:bookmarkStart w:id="8" w:name="_Toc12376"/>
      <w:bookmarkStart w:id="9" w:name="_Toc21407"/>
      <w:bookmarkStart w:id="10" w:name="_Toc16100"/>
      <w:bookmarkStart w:id="11" w:name="_Toc752"/>
      <w:bookmarkStart w:id="12" w:name="_Toc19466"/>
      <w:bookmarkStart w:id="13" w:name="_Toc10088"/>
      <w:r>
        <w:rPr>
          <w:rFonts w:hint="eastAsia" w:ascii="方正正黑_GBK" w:hAnsi="方正正黑_GBK" w:eastAsia="方正正黑_GBK" w:cs="方正正黑_GBK"/>
          <w:sz w:val="30"/>
          <w:szCs w:val="30"/>
          <w:lang w:val="en-US" w:eastAsia="zh-CN"/>
        </w:rPr>
        <w:t>三、主要经验</w:t>
      </w:r>
      <w:bookmarkEnd w:id="8"/>
      <w:bookmarkEnd w:id="9"/>
      <w:bookmarkEnd w:id="10"/>
      <w:bookmarkEnd w:id="11"/>
      <w:bookmarkEnd w:id="12"/>
      <w:bookmarkEnd w:id="13"/>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bookmarkStart w:id="14" w:name="_Toc5586"/>
      <w:bookmarkStart w:id="15" w:name="_Toc29010"/>
      <w:bookmarkStart w:id="16" w:name="_Toc3362"/>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2312" w:cs="Times New Roman"/>
          <w:sz w:val="30"/>
          <w:szCs w:val="30"/>
          <w:lang w:val="en-US" w:eastAsia="zh-CN"/>
        </w:rPr>
        <w:t>同心县科学技术局种养废弃物肥料化高值化利用技术引进示范项目实施</w:t>
      </w:r>
      <w:r>
        <w:rPr>
          <w:rFonts w:hint="default" w:ascii="Times New Roman" w:hAnsi="Times New Roman" w:eastAsia="方正仿宋_GBK" w:cs="Times New Roman"/>
          <w:color w:val="auto"/>
          <w:kern w:val="0"/>
          <w:sz w:val="30"/>
          <w:szCs w:val="30"/>
          <w:lang w:val="en-US" w:eastAsia="zh-CN" w:bidi="zh-CN"/>
        </w:rPr>
        <w:t>方面取得了一定的成就，经验和做法主要有以下几个方面：</w:t>
      </w:r>
    </w:p>
    <w:p>
      <w:pPr>
        <w:ind w:firstLine="592" w:firstLineChars="200"/>
        <w:rPr>
          <w:rFonts w:hint="eastAsia" w:ascii="Times New Roman" w:hAnsi="Times New Roman" w:eastAsia="方正仿宋_GBK" w:cs="Times New Roman"/>
          <w:kern w:val="2"/>
          <w:sz w:val="30"/>
          <w:szCs w:val="30"/>
          <w:lang w:val="en-US" w:eastAsia="zh-CN" w:bidi="zh-CN"/>
        </w:rPr>
      </w:pPr>
      <w:bookmarkStart w:id="17" w:name="_Toc3831"/>
      <w:bookmarkStart w:id="18" w:name="_Toc21733"/>
      <w:bookmarkStart w:id="19" w:name="_Toc23081"/>
      <w:r>
        <w:rPr>
          <w:rFonts w:hint="eastAsia" w:ascii="Times New Roman" w:hAnsi="Times New Roman" w:eastAsia="方正仿宋_GBK" w:cs="Times New Roman"/>
          <w:b/>
          <w:bCs/>
          <w:kern w:val="2"/>
          <w:sz w:val="30"/>
          <w:szCs w:val="30"/>
          <w:lang w:val="en-US" w:eastAsia="zh-CN" w:bidi="zh-CN"/>
        </w:rPr>
        <w:t>一是立足资源，助力乡村振兴。</w:t>
      </w:r>
      <w:r>
        <w:rPr>
          <w:rFonts w:hint="eastAsia" w:ascii="Times New Roman" w:hAnsi="Times New Roman" w:eastAsia="方正仿宋_GBK" w:cs="Times New Roman"/>
          <w:kern w:val="2"/>
          <w:sz w:val="30"/>
          <w:szCs w:val="30"/>
          <w:lang w:val="en-US" w:eastAsia="zh-CN" w:bidi="zh-CN"/>
        </w:rPr>
        <w:t>宁夏天润生态农业种植专业合作社，建立完善的“市场牵龙头、龙头带基地、基地联农户”的农业产业链经营模式，带领项目居住地村民大力发展银柴胡、黄芪等中药材种植，通过土地流转、就近务工的方式，帮助52户建档立卡户实现脱贫，初步形成了可持续发展模式，推进作物增产提质增效、助力了农民增收和品牌强农，取得了阶段性成效。</w:t>
      </w:r>
    </w:p>
    <w:p>
      <w:pPr>
        <w:ind w:firstLine="592" w:firstLineChars="200"/>
        <w:rPr>
          <w:rFonts w:hint="default"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二是创新合作机制，实现组织协同。</w:t>
      </w:r>
      <w:r>
        <w:rPr>
          <w:rFonts w:hint="eastAsia" w:ascii="Times New Roman" w:hAnsi="Times New Roman" w:eastAsia="方正仿宋_GBK" w:cs="Times New Roman"/>
          <w:b w:val="0"/>
          <w:kern w:val="2"/>
          <w:sz w:val="30"/>
          <w:szCs w:val="30"/>
          <w:lang w:val="en-US" w:eastAsia="zh-CN" w:bidi="zh-CN"/>
        </w:rPr>
        <w:t>项目由宁夏科学技术厅给予技术指导，同心县科学技术局监督实施，把控实施过程，确保资金发挥效益</w:t>
      </w:r>
      <w:r>
        <w:rPr>
          <w:rFonts w:hint="default" w:ascii="Times New Roman" w:hAnsi="Times New Roman" w:eastAsia="方正仿宋_GBK" w:cs="Times New Roman"/>
          <w:b w:val="0"/>
          <w:kern w:val="2"/>
          <w:sz w:val="30"/>
          <w:szCs w:val="30"/>
          <w:lang w:val="en-US" w:eastAsia="zh-CN" w:bidi="zh-CN"/>
        </w:rPr>
        <w:t>。</w:t>
      </w:r>
      <w:r>
        <w:rPr>
          <w:rFonts w:hint="eastAsia" w:ascii="Times New Roman" w:hAnsi="Times New Roman" w:eastAsia="方正仿宋_GBK" w:cs="Times New Roman"/>
          <w:b w:val="0"/>
          <w:kern w:val="2"/>
          <w:sz w:val="30"/>
          <w:szCs w:val="30"/>
          <w:lang w:val="en-US" w:eastAsia="zh-CN" w:bidi="zh-CN"/>
        </w:rPr>
        <w:t>宁夏农林科学院农业资源与环境研究所和宁夏大学作为技术依托单位和成果转化单位，对项目的设计实施全过程实地参与指导。</w:t>
      </w:r>
    </w:p>
    <w:p>
      <w:pPr>
        <w:pStyle w:val="3"/>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方正正黑_GBK" w:hAnsi="方正正黑_GBK" w:eastAsia="方正正黑_GBK" w:cs="方正正黑_GBK"/>
          <w:sz w:val="30"/>
          <w:szCs w:val="30"/>
          <w:lang w:val="en-US" w:eastAsia="zh-CN"/>
        </w:rPr>
      </w:pPr>
      <w:r>
        <w:rPr>
          <w:rFonts w:hint="eastAsia" w:ascii="方正正黑_GBK" w:hAnsi="方正正黑_GBK" w:eastAsia="方正正黑_GBK" w:cs="方正正黑_GBK"/>
          <w:sz w:val="30"/>
          <w:szCs w:val="30"/>
          <w:lang w:val="en-US" w:eastAsia="zh-CN"/>
        </w:rPr>
        <w:t>四、存在的问题</w:t>
      </w:r>
      <w:bookmarkEnd w:id="14"/>
      <w:bookmarkEnd w:id="15"/>
      <w:bookmarkEnd w:id="16"/>
      <w:r>
        <w:rPr>
          <w:rFonts w:hint="eastAsia" w:ascii="方正正黑_GBK" w:hAnsi="方正正黑_GBK" w:eastAsia="方正正黑_GBK" w:cs="方正正黑_GBK"/>
          <w:sz w:val="30"/>
          <w:szCs w:val="30"/>
          <w:lang w:val="en-US" w:eastAsia="zh-CN"/>
        </w:rPr>
        <w:t>及建议</w:t>
      </w:r>
      <w:bookmarkEnd w:id="17"/>
      <w:bookmarkEnd w:id="18"/>
      <w:bookmarkEnd w:id="19"/>
    </w:p>
    <w:p>
      <w:pPr>
        <w:pStyle w:val="4"/>
        <w:pageBreakBefore w:val="0"/>
        <w:kinsoku/>
        <w:wordWrap/>
        <w:overflowPunct w:val="0"/>
        <w:topLinePunct w:val="0"/>
        <w:autoSpaceDE/>
        <w:autoSpaceDN/>
        <w:bidi w:val="0"/>
        <w:adjustRightInd/>
        <w:snapToGrid/>
        <w:spacing w:beforeLines="0" w:afterLines="0"/>
        <w:ind w:left="0" w:firstLine="592" w:firstLineChars="200"/>
        <w:textAlignment w:val="auto"/>
        <w:rPr>
          <w:rFonts w:hint="eastAsia" w:ascii="方正楷体_GBK" w:hAnsi="方正楷体_GBK" w:eastAsia="方正楷体_GBK" w:cs="方正楷体_GBK"/>
          <w:sz w:val="30"/>
          <w:szCs w:val="30"/>
          <w:lang w:val="en-US" w:eastAsia="zh-CN"/>
        </w:rPr>
      </w:pPr>
      <w:bookmarkStart w:id="20" w:name="_Toc31825"/>
      <w:bookmarkStart w:id="21" w:name="_Toc15034"/>
      <w:bookmarkStart w:id="22" w:name="_Toc3916"/>
      <w:r>
        <w:rPr>
          <w:rFonts w:hint="eastAsia" w:ascii="方正楷体_GBK" w:hAnsi="方正楷体_GBK" w:eastAsia="方正楷体_GBK" w:cs="方正楷体_GBK"/>
          <w:sz w:val="30"/>
          <w:szCs w:val="30"/>
          <w:lang w:val="en-US" w:eastAsia="zh-CN"/>
        </w:rPr>
        <w:t>（一）</w:t>
      </w:r>
      <w:r>
        <w:rPr>
          <w:rFonts w:hint="eastAsia" w:ascii="方正楷体_GBK" w:hAnsi="方正楷体_GBK" w:eastAsia="方正楷体_GBK" w:cs="方正楷体_GBK"/>
          <w:sz w:val="30"/>
          <w:szCs w:val="30"/>
        </w:rPr>
        <w:t>存在</w:t>
      </w:r>
      <w:r>
        <w:rPr>
          <w:rFonts w:hint="eastAsia" w:ascii="方正楷体_GBK" w:hAnsi="方正楷体_GBK" w:eastAsia="方正楷体_GBK" w:cs="方正楷体_GBK"/>
          <w:sz w:val="30"/>
          <w:szCs w:val="30"/>
          <w:lang w:val="en-US" w:eastAsia="zh-CN"/>
        </w:rPr>
        <w:t>的</w:t>
      </w:r>
      <w:r>
        <w:rPr>
          <w:rFonts w:hint="eastAsia" w:ascii="方正楷体_GBK" w:hAnsi="方正楷体_GBK" w:eastAsia="方正楷体_GBK" w:cs="方正楷体_GBK"/>
          <w:sz w:val="30"/>
          <w:szCs w:val="30"/>
        </w:rPr>
        <w:t>问题</w:t>
      </w:r>
      <w:bookmarkEnd w:id="20"/>
      <w:bookmarkEnd w:id="21"/>
      <w:bookmarkEnd w:id="22"/>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1.预算管理方面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（1）绩效目标申报表的填报规范性不强。</w:t>
      </w:r>
    </w:p>
    <w:p>
      <w:pPr>
        <w:keepNext w:val="0"/>
        <w:keepLines w:val="0"/>
        <w:pageBreakBefore w:val="0"/>
        <w:widowControl w:val="0"/>
        <w:kinsoku/>
        <w:wordWrap/>
        <w:overflowPunct w:val="0"/>
        <w:topLinePunct w:val="0"/>
        <w:autoSpaceDE/>
        <w:autoSpaceDN/>
        <w:bidi w:val="0"/>
        <w:adjustRightInd/>
        <w:snapToGrid/>
        <w:ind w:left="0" w:firstLine="592" w:firstLineChars="200"/>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绩效目标申报表总体目标设定有绩无效，绩效指标细化、量化不强，效果指标的设定较为宏观，项目执行内容、总体目标、具体指标难以衔接。</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2.合同签署方面。</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（1）合同签订不规范。</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 xml:space="preserve">经资料查阅，宁夏平态林生物有机肥料有限公司与宁夏农林科学院农业资源与环境研究所签订的《技术转让合同》中未签署日期。 </w:t>
      </w:r>
    </w:p>
    <w:p>
      <w:pPr>
        <w:keepNext w:val="0"/>
        <w:keepLines w:val="0"/>
        <w:pageBreakBefore w:val="0"/>
        <w:widowControl w:val="0"/>
        <w:numPr>
          <w:ilvl w:val="0"/>
          <w:numId w:val="1"/>
        </w:numPr>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申报成果资料不规范。</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实施单位提交的《2022年度自治区乡村振兴科技成果引进示范推广项目实施方案》中第十条：实施单位及组织部门意见部分，未见主管部门等签署意见及加盖公章。</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3.项目管理方面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（1）缺少实施主体层面的实施方案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实施方案，仅为简单罗列，针对项目整体的组织架构、职责分工、资金分配、进度安排、风险预估与防范、过程监督检查等要素均不统一、完整、明确，未能体现项目的统筹安排。涉及部门整体的工作方案部门任务分解、资金分配与各科室的对应关系不清晰；未提供详尽的各项工作计划和资金使用计划；项目实施方案内容完整性不够，重点工作流程、组织分工、进度安排、资金分配、质量保障措施等不够清晰，具体工作的时间节点和阶段性目标不够清晰。</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r>
        <w:rPr>
          <w:rFonts w:hint="eastAsia" w:ascii="方正楷体_GBK" w:hAnsi="方正楷体_GBK" w:eastAsia="方正楷体_GBK" w:cs="方正楷体_GBK"/>
          <w:color w:val="333333"/>
          <w:sz w:val="30"/>
          <w:szCs w:val="30"/>
          <w:shd w:val="clear" w:fill="FFFFFF"/>
          <w:lang w:val="en-US" w:eastAsia="zh-CN" w:bidi="zh-CN"/>
        </w:rPr>
        <w:t>（二）建议</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w:t>
      </w:r>
      <w:r>
        <w:rPr>
          <w:rFonts w:hint="eastAsia" w:ascii="Times New Roman" w:hAnsi="Times New Roman" w:eastAsia="方正仿宋_GBK" w:cs="Times New Roman"/>
          <w:b w:val="0"/>
          <w:kern w:val="2"/>
          <w:sz w:val="30"/>
          <w:szCs w:val="30"/>
          <w:lang w:val="en-US" w:eastAsia="zh-CN" w:bidi="zh-CN"/>
        </w:rPr>
        <w:t>.</w:t>
      </w:r>
      <w:r>
        <w:rPr>
          <w:rFonts w:hint="eastAsia" w:ascii="Times New Roman" w:hAnsi="Times New Roman" w:eastAsia="方正仿宋_GBK" w:cs="Times New Roman"/>
          <w:b/>
          <w:bCs/>
          <w:kern w:val="2"/>
          <w:sz w:val="30"/>
          <w:szCs w:val="30"/>
          <w:lang w:val="en-US" w:eastAsia="zh-CN" w:bidi="zh-CN"/>
        </w:rPr>
        <w:t>规范、完整地填报绩效目标申报表，细化、量化绩效指标。</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增强绩效指标设置的可行性和可考量性，合理设定绩效目标，将预算申报、绩效目标设定按照各项目内容在项目前期进行申报、设定，为项目决策和预算决策提供有力支撑。</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2.合同签署方面</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righ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（1）紧盯问题，立行立改。</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一是</w:t>
      </w:r>
      <w:r>
        <w:rPr>
          <w:rFonts w:hint="eastAsia" w:ascii="方正仿宋_GBK" w:hAnsi="方正仿宋_GBK" w:eastAsia="方正仿宋_GBK" w:cs="方正仿宋_GBK"/>
          <w:color w:val="000000"/>
          <w:kern w:val="0"/>
          <w:sz w:val="30"/>
          <w:szCs w:val="30"/>
          <w:lang w:val="en-US" w:eastAsia="zh-CN" w:bidi="ar"/>
        </w:rPr>
        <w:t>完善合同的签订和审查工作。建设单位相关负责人要加强对建设项目合同签订的专业审查和管理，促进合同规范签订；</w:t>
      </w:r>
      <w:r>
        <w:rPr>
          <w:rFonts w:hint="eastAsia" w:ascii="方正仿宋_GBK" w:hAnsi="方正仿宋_GBK" w:eastAsia="方正仿宋_GBK" w:cs="方正仿宋_GBK"/>
          <w:b/>
          <w:bCs/>
          <w:color w:val="000000"/>
          <w:kern w:val="0"/>
          <w:sz w:val="30"/>
          <w:szCs w:val="30"/>
          <w:lang w:val="en-US" w:eastAsia="zh-CN" w:bidi="ar"/>
        </w:rPr>
        <w:t>二是</w:t>
      </w:r>
      <w:r>
        <w:rPr>
          <w:rFonts w:hint="eastAsia" w:ascii="方正仿宋_GBK" w:hAnsi="方正仿宋_GBK" w:eastAsia="方正仿宋_GBK" w:cs="方正仿宋_GBK"/>
          <w:color w:val="000000"/>
          <w:kern w:val="0"/>
          <w:sz w:val="30"/>
          <w:szCs w:val="30"/>
          <w:lang w:val="en-US" w:eastAsia="zh-CN" w:bidi="ar"/>
        </w:rPr>
        <w:t>必要时可邀请法律顾问把关，从源头上杜绝不合法行为的发生。从被动应对和处理合同纠纷转为主动预防合同纠纷，从而提升项目管理水平、提高投资效益。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Lines="0" w:beforeAutospacing="0" w:afterLines="0" w:afterAutospacing="0" w:line="560" w:lineRule="exact"/>
        <w:ind w:left="0" w:right="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（2）压实行业主管部门监管责任，推动问题整改走深走实。</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资金拨付后，主管部门应加强自身监管责任，注重资金使用方向，资金使用成效、验收情况及带动农户的产出情况，加强对经营方向、专业合作社的设立等内容进行相应的培训和指导，逐步稳定提升良好的经济效益和社会效果。</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3.完善项目管理，进一步提升项目执行的规范性、有效性。</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方正仿宋_GBK" w:hAnsi="方正仿宋_GBK" w:eastAsia="方正仿宋_GBK" w:cs="方正仿宋_GBK"/>
          <w:color w:val="000000"/>
          <w:kern w:val="0"/>
          <w:sz w:val="30"/>
          <w:szCs w:val="30"/>
          <w:lang w:val="en-US" w:eastAsia="zh-CN" w:bidi="ar"/>
        </w:rPr>
        <w:t>及时编制细化的项目实施方案，结合项目具体实施内容明确分工、合理组织，依据项目内容进一步制定细化的项目实施计划、招投标工作计划、资金使用计划，有效推进项目实施进程；注重项目过程管控，提高管理水平；加强合同管理、合同文本的规范性，保证合同形式和实质都满足内控规范要求，合理设置合同条款，强化合同履行全过程监控。</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both"/>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default" w:ascii="方正公文小标宋" w:hAnsi="方正公文小标宋" w:eastAsia="方正公文小标宋" w:cs="方正公文小标宋"/>
          <w:b/>
          <w:bCs/>
          <w:sz w:val="72"/>
          <w:szCs w:val="72"/>
          <w:lang w:val="en-US" w:eastAsia="zh-CN"/>
        </w:rPr>
      </w:pPr>
    </w:p>
    <w:p>
      <w:pPr>
        <w:pStyle w:val="2"/>
        <w:rPr>
          <w:rFonts w:hint="default" w:ascii="方正公文小标宋" w:hAnsi="方正公文小标宋" w:eastAsia="方正公文小标宋" w:cs="方正公文小标宋"/>
          <w:b/>
          <w:bCs/>
          <w:sz w:val="72"/>
          <w:szCs w:val="72"/>
          <w:lang w:val="en-US" w:eastAsia="zh-CN"/>
        </w:rPr>
      </w:pPr>
    </w:p>
    <w:p>
      <w:pPr>
        <w:rPr>
          <w:rFonts w:hint="default" w:ascii="方正公文小标宋" w:hAnsi="方正公文小标宋" w:eastAsia="方正公文小标宋" w:cs="方正公文小标宋"/>
          <w:b/>
          <w:bCs/>
          <w:sz w:val="72"/>
          <w:szCs w:val="72"/>
          <w:lang w:val="en-US" w:eastAsia="zh-CN"/>
        </w:rPr>
      </w:pPr>
    </w:p>
    <w:p>
      <w:pPr>
        <w:pStyle w:val="2"/>
        <w:rPr>
          <w:rFonts w:hint="default" w:ascii="方正公文小标宋" w:hAnsi="方正公文小标宋" w:eastAsia="方正公文小标宋" w:cs="方正公文小标宋"/>
          <w:b/>
          <w:bCs/>
          <w:sz w:val="72"/>
          <w:szCs w:val="72"/>
          <w:lang w:val="en-US" w:eastAsia="zh-CN"/>
        </w:rPr>
      </w:pPr>
    </w:p>
    <w:p>
      <w:pPr>
        <w:rPr>
          <w:rFonts w:hint="default" w:ascii="方正公文小标宋" w:hAnsi="方正公文小标宋" w:eastAsia="方正公文小标宋" w:cs="方正公文小标宋"/>
          <w:b/>
          <w:bCs/>
          <w:sz w:val="72"/>
          <w:szCs w:val="72"/>
          <w:lang w:val="en-US" w:eastAsia="zh-CN"/>
        </w:rPr>
      </w:pPr>
    </w:p>
    <w:p>
      <w:pPr>
        <w:pStyle w:val="2"/>
        <w:rPr>
          <w:rFonts w:hint="default"/>
          <w:lang w:val="en-US" w:eastAsia="zh-CN"/>
        </w:rPr>
      </w:pPr>
    </w:p>
    <w:p>
      <w:pPr>
        <w:pStyle w:val="2"/>
        <w:rPr>
          <w:rFonts w:hint="default" w:ascii="方正公文小标宋" w:hAnsi="方正公文小标宋" w:eastAsia="方正公文小标宋" w:cs="方正公文小标宋"/>
          <w:b/>
          <w:bCs/>
          <w:sz w:val="72"/>
          <w:szCs w:val="72"/>
          <w:lang w:val="en-US" w:eastAsia="zh-CN"/>
        </w:rPr>
      </w:pPr>
    </w:p>
    <w:p>
      <w:pPr>
        <w:rPr>
          <w:rFonts w:hint="default"/>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华文仿宋" w:hAnsi="华文仿宋" w:eastAsia="华文仿宋" w:cs="华文仿宋"/>
          <w:b/>
          <w:bCs/>
          <w:sz w:val="28"/>
          <w:szCs w:val="28"/>
          <w:lang w:val="en-US" w:eastAsia="zh-CN"/>
        </w:rPr>
      </w:pPr>
    </w:p>
    <w:p>
      <w:pPr>
        <w:bidi w:val="0"/>
        <w:ind w:left="0" w:leftChars="0" w:firstLine="0" w:firstLineChars="0"/>
        <w:jc w:val="center"/>
        <w:rPr>
          <w:rFonts w:hint="eastAsia" w:ascii="华文仿宋" w:hAnsi="华文仿宋" w:eastAsia="华文仿宋" w:cs="华文仿宋"/>
          <w:b/>
          <w:bCs/>
          <w:sz w:val="28"/>
          <w:szCs w:val="28"/>
          <w:lang w:val="en-US" w:eastAsia="zh-CN"/>
        </w:rPr>
      </w:pPr>
    </w:p>
    <w:p>
      <w:pPr>
        <w:bidi w:val="0"/>
        <w:ind w:left="0" w:leftChars="0" w:firstLine="0" w:firstLineChars="0"/>
        <w:jc w:val="center"/>
        <w:rPr>
          <w:rFonts w:hint="eastAsia" w:ascii="华文仿宋" w:hAnsi="华文仿宋" w:eastAsia="华文仿宋" w:cs="华文仿宋"/>
          <w:b/>
          <w:bCs/>
          <w:sz w:val="28"/>
          <w:szCs w:val="28"/>
          <w:lang w:val="en-US" w:eastAsia="zh-CN"/>
        </w:rPr>
      </w:pPr>
    </w:p>
    <w:p>
      <w:pPr>
        <w:bidi w:val="0"/>
        <w:ind w:left="0" w:leftChars="0" w:firstLine="0" w:firstLineChars="0"/>
        <w:jc w:val="center"/>
        <w:rPr>
          <w:rFonts w:hint="eastAsia" w:ascii="华文仿宋" w:hAnsi="华文仿宋" w:eastAsia="华文仿宋" w:cs="华文仿宋"/>
          <w:b/>
          <w:bCs/>
          <w:sz w:val="28"/>
          <w:szCs w:val="28"/>
          <w:lang w:val="en-US" w:eastAsia="zh-CN"/>
        </w:rPr>
      </w:pPr>
    </w:p>
    <w:p>
      <w:pPr>
        <w:bidi w:val="0"/>
        <w:ind w:left="0" w:leftChars="0" w:firstLine="0" w:firstLineChars="0"/>
        <w:jc w:val="center"/>
        <w:rPr>
          <w:rFonts w:hint="eastAsia" w:ascii="华文仿宋" w:hAnsi="华文仿宋" w:eastAsia="华文仿宋" w:cs="华文仿宋"/>
          <w:b/>
          <w:bCs/>
          <w:sz w:val="28"/>
          <w:szCs w:val="28"/>
          <w:lang w:val="en-US" w:eastAsia="zh-CN"/>
        </w:rPr>
      </w:pPr>
    </w:p>
    <w:p>
      <w:pPr>
        <w:bidi w:val="0"/>
        <w:ind w:left="0" w:leftChars="0" w:firstLine="0" w:firstLineChars="0"/>
        <w:jc w:val="center"/>
        <w:rPr>
          <w:rFonts w:hint="eastAsia" w:ascii="华文仿宋" w:hAnsi="华文仿宋" w:eastAsia="华文仿宋" w:cs="华文仿宋"/>
          <w:b/>
          <w:bCs/>
          <w:sz w:val="28"/>
          <w:szCs w:val="28"/>
          <w:lang w:val="en-US" w:eastAsia="zh-CN"/>
        </w:rPr>
      </w:pPr>
    </w:p>
    <w:p>
      <w:pPr>
        <w:bidi w:val="0"/>
        <w:ind w:left="0" w:leftChars="0" w:firstLine="0" w:firstLineChars="0"/>
        <w:jc w:val="center"/>
        <w:rPr>
          <w:rFonts w:hint="eastAsia" w:ascii="华文仿宋" w:hAnsi="华文仿宋" w:eastAsia="华文仿宋" w:cs="华文仿宋"/>
          <w:b/>
          <w:bCs/>
          <w:sz w:val="28"/>
          <w:szCs w:val="28"/>
          <w:lang w:val="en-US" w:eastAsia="zh-CN"/>
        </w:rPr>
      </w:pPr>
    </w:p>
    <w:p>
      <w:pPr>
        <w:bidi w:val="0"/>
        <w:ind w:left="0" w:leftChars="0" w:firstLine="0" w:firstLineChars="0"/>
        <w:jc w:val="center"/>
        <w:rPr>
          <w:rFonts w:hint="eastAsia" w:ascii="华文仿宋" w:hAnsi="华文仿宋" w:eastAsia="华文仿宋" w:cs="华文仿宋"/>
          <w:b/>
          <w:bCs/>
          <w:sz w:val="28"/>
          <w:szCs w:val="28"/>
          <w:lang w:val="en-US" w:eastAsia="zh-CN"/>
        </w:rPr>
      </w:pPr>
    </w:p>
    <w:p>
      <w:pPr>
        <w:bidi w:val="0"/>
        <w:ind w:left="0" w:leftChars="0" w:firstLine="0" w:firstLineChars="0"/>
        <w:jc w:val="center"/>
        <w:rPr>
          <w:rFonts w:hint="eastAsia" w:ascii="华文仿宋" w:hAnsi="华文仿宋" w:eastAsia="华文仿宋" w:cs="华文仿宋"/>
          <w:b/>
          <w:bCs/>
          <w:sz w:val="28"/>
          <w:szCs w:val="28"/>
          <w:lang w:val="en-US" w:eastAsia="zh-CN"/>
        </w:rPr>
      </w:pPr>
    </w:p>
    <w:p>
      <w:pPr>
        <w:bidi w:val="0"/>
        <w:ind w:left="0" w:leftChars="0" w:firstLine="0" w:firstLineChars="0"/>
        <w:jc w:val="center"/>
        <w:rPr>
          <w:rFonts w:hint="eastAsia" w:ascii="华文仿宋" w:hAnsi="华文仿宋" w:eastAsia="华文仿宋" w:cs="华文仿宋"/>
          <w:b/>
          <w:bCs/>
          <w:sz w:val="28"/>
          <w:szCs w:val="28"/>
          <w:lang w:val="en-US" w:eastAsia="zh-CN"/>
        </w:rPr>
      </w:pPr>
    </w:p>
    <w:p>
      <w:pPr>
        <w:bidi w:val="0"/>
        <w:ind w:left="0" w:leftChars="0" w:firstLine="0" w:firstLineChars="0"/>
        <w:jc w:val="center"/>
        <w:rPr>
          <w:rFonts w:hint="eastAsia" w:ascii="华文仿宋" w:hAnsi="华文仿宋" w:eastAsia="华文仿宋" w:cs="华文仿宋"/>
          <w:sz w:val="28"/>
          <w:szCs w:val="28"/>
          <w:lang w:val="en-US" w:eastAsia="zh-CN"/>
        </w:rPr>
      </w:pPr>
      <w:r>
        <w:rPr>
          <w:rFonts w:hint="eastAsia" w:ascii="华文仿宋" w:hAnsi="华文仿宋" w:eastAsia="华文仿宋" w:cs="华文仿宋"/>
          <w:b/>
          <w:bCs/>
          <w:sz w:val="28"/>
          <w:szCs w:val="28"/>
          <w:lang w:val="en-US" w:eastAsia="zh-CN"/>
        </w:rPr>
        <w:t>目 录</w:t>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val="0"/>
          <w:bCs w:val="0"/>
          <w:kern w:val="0"/>
          <w:sz w:val="24"/>
          <w:szCs w:val="24"/>
          <w:lang w:val="en-US" w:eastAsia="zh-CN" w:bidi="zh-CN"/>
        </w:rPr>
        <w:fldChar w:fldCharType="begin"/>
      </w:r>
      <w:r>
        <w:rPr>
          <w:rFonts w:hint="eastAsia" w:ascii="华文仿宋" w:hAnsi="华文仿宋" w:eastAsia="华文仿宋" w:cs="华文仿宋"/>
          <w:b w:val="0"/>
          <w:bCs w:val="0"/>
          <w:kern w:val="0"/>
          <w:sz w:val="24"/>
          <w:szCs w:val="24"/>
          <w:lang w:val="en-US" w:eastAsia="zh-CN" w:bidi="zh-CN"/>
        </w:rPr>
        <w:instrText xml:space="preserve">TOC \o "1-3" \h \u </w:instrText>
      </w:r>
      <w:r>
        <w:rPr>
          <w:rFonts w:hint="eastAsia" w:ascii="华文仿宋" w:hAnsi="华文仿宋" w:eastAsia="华文仿宋" w:cs="华文仿宋"/>
          <w:b w:val="0"/>
          <w:bCs w:val="0"/>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_Toc23409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sz w:val="24"/>
          <w:szCs w:val="24"/>
          <w:lang w:val="en-US" w:eastAsia="zh-CN"/>
        </w:rPr>
        <w:t>一、项目基本情况</w:t>
      </w:r>
      <w:r>
        <w:rPr>
          <w:rFonts w:hint="eastAsia" w:ascii="华文仿宋" w:hAnsi="华文仿宋" w:eastAsia="华文仿宋" w:cs="华文仿宋"/>
          <w:b/>
          <w:bCs/>
          <w:sz w:val="24"/>
          <w:szCs w:val="24"/>
        </w:rPr>
        <w:tab/>
      </w:r>
      <w:r>
        <w:rPr>
          <w:rFonts w:hint="eastAsia" w:ascii="华文仿宋" w:hAnsi="华文仿宋" w:eastAsia="华文仿宋" w:cs="华文仿宋"/>
          <w:b/>
          <w:bCs/>
          <w:sz w:val="24"/>
          <w:szCs w:val="24"/>
        </w:rPr>
        <w:fldChar w:fldCharType="begin"/>
      </w:r>
      <w:r>
        <w:rPr>
          <w:rFonts w:hint="eastAsia" w:ascii="华文仿宋" w:hAnsi="华文仿宋" w:eastAsia="华文仿宋" w:cs="华文仿宋"/>
          <w:b/>
          <w:bCs/>
          <w:sz w:val="24"/>
          <w:szCs w:val="24"/>
        </w:rPr>
        <w:instrText xml:space="preserve"> PAGEREF _Toc23409 \h </w:instrText>
      </w:r>
      <w:r>
        <w:rPr>
          <w:rFonts w:hint="eastAsia" w:ascii="华文仿宋" w:hAnsi="华文仿宋" w:eastAsia="华文仿宋" w:cs="华文仿宋"/>
          <w:b/>
          <w:bCs/>
          <w:sz w:val="24"/>
          <w:szCs w:val="24"/>
        </w:rPr>
        <w:fldChar w:fldCharType="separate"/>
      </w:r>
      <w:r>
        <w:rPr>
          <w:rFonts w:hint="eastAsia" w:ascii="华文仿宋" w:hAnsi="华文仿宋" w:eastAsia="华文仿宋" w:cs="华文仿宋"/>
          <w:b/>
          <w:bCs/>
          <w:sz w:val="24"/>
          <w:szCs w:val="24"/>
        </w:rPr>
        <w:t>1</w:t>
      </w:r>
      <w:r>
        <w:rPr>
          <w:rFonts w:hint="eastAsia" w:ascii="华文仿宋" w:hAnsi="华文仿宋" w:eastAsia="华文仿宋" w:cs="华文仿宋"/>
          <w:b/>
          <w:bCs/>
          <w:sz w:val="24"/>
          <w:szCs w:val="24"/>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_Toc28214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sz w:val="24"/>
          <w:szCs w:val="24"/>
          <w:lang w:val="en-US" w:eastAsia="zh-CN"/>
        </w:rPr>
        <w:t>（一）项目背景</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_Toc28214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_Toc4596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z w:val="24"/>
          <w:szCs w:val="24"/>
          <w:lang w:val="en-US" w:eastAsia="zh-CN"/>
        </w:rPr>
        <w:t>（二）项目实施主要内容</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_Toc4596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_Toc8611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sz w:val="24"/>
          <w:szCs w:val="24"/>
          <w:lang w:val="en-US" w:eastAsia="zh-CN"/>
        </w:rPr>
        <w:t>二、资金情况</w:t>
      </w:r>
      <w:r>
        <w:rPr>
          <w:rFonts w:hint="eastAsia" w:ascii="华文仿宋" w:hAnsi="华文仿宋" w:eastAsia="华文仿宋" w:cs="华文仿宋"/>
          <w:b/>
          <w:bCs/>
          <w:sz w:val="24"/>
          <w:szCs w:val="24"/>
        </w:rPr>
        <w:tab/>
      </w:r>
      <w:r>
        <w:rPr>
          <w:rFonts w:hint="eastAsia" w:ascii="华文仿宋" w:hAnsi="华文仿宋" w:eastAsia="华文仿宋" w:cs="华文仿宋"/>
          <w:b/>
          <w:bCs/>
          <w:sz w:val="24"/>
          <w:szCs w:val="24"/>
        </w:rPr>
        <w:fldChar w:fldCharType="begin"/>
      </w:r>
      <w:r>
        <w:rPr>
          <w:rFonts w:hint="eastAsia" w:ascii="华文仿宋" w:hAnsi="华文仿宋" w:eastAsia="华文仿宋" w:cs="华文仿宋"/>
          <w:b/>
          <w:bCs/>
          <w:sz w:val="24"/>
          <w:szCs w:val="24"/>
        </w:rPr>
        <w:instrText xml:space="preserve"> PAGEREF _Toc8611 \h </w:instrText>
      </w:r>
      <w:r>
        <w:rPr>
          <w:rFonts w:hint="eastAsia" w:ascii="华文仿宋" w:hAnsi="华文仿宋" w:eastAsia="华文仿宋" w:cs="华文仿宋"/>
          <w:b/>
          <w:bCs/>
          <w:sz w:val="24"/>
          <w:szCs w:val="24"/>
        </w:rPr>
        <w:fldChar w:fldCharType="separate"/>
      </w:r>
      <w:r>
        <w:rPr>
          <w:rFonts w:hint="eastAsia" w:ascii="华文仿宋" w:hAnsi="华文仿宋" w:eastAsia="华文仿宋" w:cs="华文仿宋"/>
          <w:b/>
          <w:bCs/>
          <w:sz w:val="24"/>
          <w:szCs w:val="24"/>
        </w:rPr>
        <w:t>3</w:t>
      </w:r>
      <w:r>
        <w:rPr>
          <w:rFonts w:hint="eastAsia" w:ascii="华文仿宋" w:hAnsi="华文仿宋" w:eastAsia="华文仿宋" w:cs="华文仿宋"/>
          <w:b/>
          <w:bCs/>
          <w:sz w:val="24"/>
          <w:szCs w:val="24"/>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_Toc21063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sz w:val="24"/>
          <w:szCs w:val="24"/>
          <w:lang w:val="en-US" w:eastAsia="zh-CN"/>
        </w:rPr>
        <w:t>（一）资金来源情况</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_Toc21063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_Toc13592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sz w:val="24"/>
          <w:szCs w:val="24"/>
          <w:lang w:val="en-US" w:eastAsia="zh-CN"/>
        </w:rPr>
        <w:t>（二）资金到位情况</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_Toc13592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4</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_Toc3804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z w:val="24"/>
          <w:szCs w:val="24"/>
          <w:lang w:val="en-US" w:eastAsia="zh-CN"/>
        </w:rPr>
        <w:t>（三）资金管理情况</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_Toc3804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4</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_Toc6553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z w:val="24"/>
          <w:szCs w:val="24"/>
          <w:lang w:val="en-US" w:eastAsia="zh-CN"/>
        </w:rPr>
        <w:t>（四）资金使用情况</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_Toc6553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5</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_Toc5432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sz w:val="24"/>
          <w:szCs w:val="24"/>
          <w:lang w:val="en-US" w:eastAsia="zh-CN"/>
        </w:rPr>
        <w:t>三、项目绩效目标</w:t>
      </w:r>
      <w:r>
        <w:rPr>
          <w:rFonts w:hint="eastAsia" w:ascii="华文仿宋" w:hAnsi="华文仿宋" w:eastAsia="华文仿宋" w:cs="华文仿宋"/>
          <w:b/>
          <w:bCs/>
          <w:sz w:val="24"/>
          <w:szCs w:val="24"/>
        </w:rPr>
        <w:tab/>
      </w:r>
      <w:r>
        <w:rPr>
          <w:rFonts w:hint="eastAsia" w:ascii="华文仿宋" w:hAnsi="华文仿宋" w:eastAsia="华文仿宋" w:cs="华文仿宋"/>
          <w:b/>
          <w:bCs/>
          <w:sz w:val="24"/>
          <w:szCs w:val="24"/>
        </w:rPr>
        <w:fldChar w:fldCharType="begin"/>
      </w:r>
      <w:r>
        <w:rPr>
          <w:rFonts w:hint="eastAsia" w:ascii="华文仿宋" w:hAnsi="华文仿宋" w:eastAsia="华文仿宋" w:cs="华文仿宋"/>
          <w:b/>
          <w:bCs/>
          <w:sz w:val="24"/>
          <w:szCs w:val="24"/>
        </w:rPr>
        <w:instrText xml:space="preserve"> PAGEREF _Toc5432 \h </w:instrText>
      </w:r>
      <w:r>
        <w:rPr>
          <w:rFonts w:hint="eastAsia" w:ascii="华文仿宋" w:hAnsi="华文仿宋" w:eastAsia="华文仿宋" w:cs="华文仿宋"/>
          <w:b/>
          <w:bCs/>
          <w:sz w:val="24"/>
          <w:szCs w:val="24"/>
        </w:rPr>
        <w:fldChar w:fldCharType="separate"/>
      </w:r>
      <w:r>
        <w:rPr>
          <w:rFonts w:hint="eastAsia" w:ascii="华文仿宋" w:hAnsi="华文仿宋" w:eastAsia="华文仿宋" w:cs="华文仿宋"/>
          <w:b/>
          <w:bCs/>
          <w:sz w:val="24"/>
          <w:szCs w:val="24"/>
        </w:rPr>
        <w:t>5</w:t>
      </w:r>
      <w:r>
        <w:rPr>
          <w:rFonts w:hint="eastAsia" w:ascii="华文仿宋" w:hAnsi="华文仿宋" w:eastAsia="华文仿宋" w:cs="华文仿宋"/>
          <w:b/>
          <w:bCs/>
          <w:sz w:val="24"/>
          <w:szCs w:val="24"/>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_Toc25350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z w:val="24"/>
          <w:szCs w:val="24"/>
          <w:lang w:val="en-US" w:eastAsia="zh-CN"/>
        </w:rPr>
        <w:t>（一）绩效目标</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_Toc25350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5</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_Toc9301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z w:val="24"/>
          <w:szCs w:val="24"/>
          <w:lang w:val="en-US" w:eastAsia="zh-CN"/>
        </w:rPr>
        <w:t>（二） 项目绩效目标</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_Toc9301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5</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_Toc2267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sz w:val="24"/>
          <w:szCs w:val="24"/>
          <w:lang w:val="en-US" w:eastAsia="zh-CN"/>
        </w:rPr>
        <w:t>四、绩效评价工作开展情况</w:t>
      </w:r>
      <w:r>
        <w:rPr>
          <w:rFonts w:hint="eastAsia" w:ascii="华文仿宋" w:hAnsi="华文仿宋" w:eastAsia="华文仿宋" w:cs="华文仿宋"/>
          <w:b/>
          <w:bCs/>
          <w:sz w:val="24"/>
          <w:szCs w:val="24"/>
        </w:rPr>
        <w:tab/>
      </w:r>
      <w:r>
        <w:rPr>
          <w:rFonts w:hint="eastAsia" w:ascii="华文仿宋" w:hAnsi="华文仿宋" w:eastAsia="华文仿宋" w:cs="华文仿宋"/>
          <w:b/>
          <w:bCs/>
          <w:sz w:val="24"/>
          <w:szCs w:val="24"/>
        </w:rPr>
        <w:fldChar w:fldCharType="begin"/>
      </w:r>
      <w:r>
        <w:rPr>
          <w:rFonts w:hint="eastAsia" w:ascii="华文仿宋" w:hAnsi="华文仿宋" w:eastAsia="华文仿宋" w:cs="华文仿宋"/>
          <w:b/>
          <w:bCs/>
          <w:sz w:val="24"/>
          <w:szCs w:val="24"/>
        </w:rPr>
        <w:instrText xml:space="preserve"> PAGEREF _Toc2267 \h </w:instrText>
      </w:r>
      <w:r>
        <w:rPr>
          <w:rFonts w:hint="eastAsia" w:ascii="华文仿宋" w:hAnsi="华文仿宋" w:eastAsia="华文仿宋" w:cs="华文仿宋"/>
          <w:b/>
          <w:bCs/>
          <w:sz w:val="24"/>
          <w:szCs w:val="24"/>
        </w:rPr>
        <w:fldChar w:fldCharType="separate"/>
      </w:r>
      <w:r>
        <w:rPr>
          <w:rFonts w:hint="eastAsia" w:ascii="华文仿宋" w:hAnsi="华文仿宋" w:eastAsia="华文仿宋" w:cs="华文仿宋"/>
          <w:b/>
          <w:bCs/>
          <w:sz w:val="24"/>
          <w:szCs w:val="24"/>
        </w:rPr>
        <w:t>7</w:t>
      </w:r>
      <w:r>
        <w:rPr>
          <w:rFonts w:hint="eastAsia" w:ascii="华文仿宋" w:hAnsi="华文仿宋" w:eastAsia="华文仿宋" w:cs="华文仿宋"/>
          <w:b/>
          <w:bCs/>
          <w:sz w:val="24"/>
          <w:szCs w:val="24"/>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_Toc5907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sz w:val="24"/>
          <w:szCs w:val="24"/>
          <w:lang w:val="en-US" w:eastAsia="zh-CN"/>
        </w:rPr>
        <w:t>（一）绩效评价目的</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_Toc5907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7</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_Toc15603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sz w:val="24"/>
          <w:szCs w:val="24"/>
          <w:lang w:val="en-US" w:eastAsia="zh-CN"/>
        </w:rPr>
        <w:t>（二）绩效评价对象</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_Toc15603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7</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_Toc9127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sz w:val="24"/>
          <w:szCs w:val="24"/>
          <w:lang w:val="en-US" w:eastAsia="zh-CN"/>
        </w:rPr>
        <w:t>（三）评价依据</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_Toc9127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8</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_Toc3932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sz w:val="24"/>
          <w:szCs w:val="24"/>
          <w:lang w:val="en-US" w:eastAsia="zh-CN"/>
        </w:rPr>
        <w:t>（四）评价原则</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_Toc3932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9</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_Toc30305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sz w:val="24"/>
          <w:szCs w:val="24"/>
          <w:lang w:val="en-US" w:eastAsia="zh-CN"/>
        </w:rPr>
        <w:t>（五）评价标准</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_Toc30305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9</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_Toc11494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z w:val="24"/>
          <w:szCs w:val="24"/>
        </w:rPr>
        <w:t>（</w:t>
      </w:r>
      <w:r>
        <w:rPr>
          <w:rFonts w:hint="eastAsia" w:ascii="华文仿宋" w:hAnsi="华文仿宋" w:eastAsia="华文仿宋" w:cs="华文仿宋"/>
          <w:sz w:val="24"/>
          <w:szCs w:val="24"/>
          <w:lang w:eastAsia="zh-CN"/>
        </w:rPr>
        <w:t>六</w:t>
      </w:r>
      <w:r>
        <w:rPr>
          <w:rFonts w:hint="eastAsia" w:ascii="华文仿宋" w:hAnsi="华文仿宋" w:eastAsia="华文仿宋" w:cs="华文仿宋"/>
          <w:sz w:val="24"/>
          <w:szCs w:val="24"/>
        </w:rPr>
        <w:t>）评价指标体系</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_Toc11494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10</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_Toc26619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lang w:val="en-US" w:eastAsia="zh-CN"/>
        </w:rPr>
        <w:t>七</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rPr>
        <w:t>评价方法</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_Toc26619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12</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_Toc17660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z w:val="24"/>
          <w:szCs w:val="24"/>
          <w:lang w:val="en-US" w:eastAsia="zh-CN"/>
        </w:rPr>
        <w:t>（八）绩效评价工作过程</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_Toc17660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13</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_Toc25375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sz w:val="24"/>
          <w:szCs w:val="24"/>
          <w:lang w:val="en-US" w:eastAsia="zh-CN"/>
        </w:rPr>
        <w:t>五</w:t>
      </w:r>
      <w:r>
        <w:rPr>
          <w:rFonts w:hint="eastAsia" w:ascii="华文仿宋" w:hAnsi="华文仿宋" w:eastAsia="华文仿宋" w:cs="华文仿宋"/>
          <w:b/>
          <w:bCs/>
          <w:sz w:val="24"/>
          <w:szCs w:val="24"/>
        </w:rPr>
        <w:t>、综合评价情况及评价结论</w:t>
      </w:r>
      <w:r>
        <w:rPr>
          <w:rFonts w:hint="eastAsia" w:ascii="华文仿宋" w:hAnsi="华文仿宋" w:eastAsia="华文仿宋" w:cs="华文仿宋"/>
          <w:b/>
          <w:bCs/>
          <w:sz w:val="24"/>
          <w:szCs w:val="24"/>
        </w:rPr>
        <w:tab/>
      </w:r>
      <w:r>
        <w:rPr>
          <w:rFonts w:hint="eastAsia" w:ascii="华文仿宋" w:hAnsi="华文仿宋" w:eastAsia="华文仿宋" w:cs="华文仿宋"/>
          <w:b/>
          <w:bCs/>
          <w:sz w:val="24"/>
          <w:szCs w:val="24"/>
        </w:rPr>
        <w:fldChar w:fldCharType="begin"/>
      </w:r>
      <w:r>
        <w:rPr>
          <w:rFonts w:hint="eastAsia" w:ascii="华文仿宋" w:hAnsi="华文仿宋" w:eastAsia="华文仿宋" w:cs="华文仿宋"/>
          <w:b/>
          <w:bCs/>
          <w:sz w:val="24"/>
          <w:szCs w:val="24"/>
        </w:rPr>
        <w:instrText xml:space="preserve"> PAGEREF _Toc25375 \h </w:instrText>
      </w:r>
      <w:r>
        <w:rPr>
          <w:rFonts w:hint="eastAsia" w:ascii="华文仿宋" w:hAnsi="华文仿宋" w:eastAsia="华文仿宋" w:cs="华文仿宋"/>
          <w:b/>
          <w:bCs/>
          <w:sz w:val="24"/>
          <w:szCs w:val="24"/>
        </w:rPr>
        <w:fldChar w:fldCharType="separate"/>
      </w:r>
      <w:r>
        <w:rPr>
          <w:rFonts w:hint="eastAsia" w:ascii="华文仿宋" w:hAnsi="华文仿宋" w:eastAsia="华文仿宋" w:cs="华文仿宋"/>
          <w:b/>
          <w:bCs/>
          <w:sz w:val="24"/>
          <w:szCs w:val="24"/>
        </w:rPr>
        <w:t>16</w:t>
      </w:r>
      <w:r>
        <w:rPr>
          <w:rFonts w:hint="eastAsia" w:ascii="华文仿宋" w:hAnsi="华文仿宋" w:eastAsia="华文仿宋" w:cs="华文仿宋"/>
          <w:b/>
          <w:bCs/>
          <w:sz w:val="24"/>
          <w:szCs w:val="24"/>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_Toc4393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z w:val="24"/>
          <w:szCs w:val="24"/>
          <w:lang w:val="en-US" w:eastAsia="zh-CN"/>
        </w:rPr>
        <w:t>（一）项目完成情况</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_Toc4393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16</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_Toc1324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z w:val="24"/>
          <w:szCs w:val="24"/>
          <w:lang w:val="en-US" w:eastAsia="zh-CN"/>
        </w:rPr>
        <w:t>（二）评价结论</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_Toc1324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17</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_Toc13356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sz w:val="24"/>
          <w:szCs w:val="24"/>
          <w:lang w:val="en-US" w:eastAsia="zh-CN"/>
        </w:rPr>
        <w:t>六、绩效评价指标分析</w:t>
      </w:r>
      <w:r>
        <w:rPr>
          <w:rFonts w:hint="eastAsia" w:ascii="华文仿宋" w:hAnsi="华文仿宋" w:eastAsia="华文仿宋" w:cs="华文仿宋"/>
          <w:b/>
          <w:bCs/>
          <w:sz w:val="24"/>
          <w:szCs w:val="24"/>
        </w:rPr>
        <w:tab/>
      </w:r>
      <w:r>
        <w:rPr>
          <w:rFonts w:hint="eastAsia" w:ascii="华文仿宋" w:hAnsi="华文仿宋" w:eastAsia="华文仿宋" w:cs="华文仿宋"/>
          <w:b/>
          <w:bCs/>
          <w:sz w:val="24"/>
          <w:szCs w:val="24"/>
        </w:rPr>
        <w:fldChar w:fldCharType="begin"/>
      </w:r>
      <w:r>
        <w:rPr>
          <w:rFonts w:hint="eastAsia" w:ascii="华文仿宋" w:hAnsi="华文仿宋" w:eastAsia="华文仿宋" w:cs="华文仿宋"/>
          <w:b/>
          <w:bCs/>
          <w:sz w:val="24"/>
          <w:szCs w:val="24"/>
        </w:rPr>
        <w:instrText xml:space="preserve"> PAGEREF _Toc13356 \h </w:instrText>
      </w:r>
      <w:r>
        <w:rPr>
          <w:rFonts w:hint="eastAsia" w:ascii="华文仿宋" w:hAnsi="华文仿宋" w:eastAsia="华文仿宋" w:cs="华文仿宋"/>
          <w:b/>
          <w:bCs/>
          <w:sz w:val="24"/>
          <w:szCs w:val="24"/>
        </w:rPr>
        <w:fldChar w:fldCharType="separate"/>
      </w:r>
      <w:r>
        <w:rPr>
          <w:rFonts w:hint="eastAsia" w:ascii="华文仿宋" w:hAnsi="华文仿宋" w:eastAsia="华文仿宋" w:cs="华文仿宋"/>
          <w:b/>
          <w:bCs/>
          <w:sz w:val="24"/>
          <w:szCs w:val="24"/>
        </w:rPr>
        <w:t>18</w:t>
      </w:r>
      <w:r>
        <w:rPr>
          <w:rFonts w:hint="eastAsia" w:ascii="华文仿宋" w:hAnsi="华文仿宋" w:eastAsia="华文仿宋" w:cs="华文仿宋"/>
          <w:b/>
          <w:bCs/>
          <w:sz w:val="24"/>
          <w:szCs w:val="24"/>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_Toc13765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z w:val="24"/>
          <w:szCs w:val="24"/>
        </w:rPr>
        <w:t>（一）项目决策情况分析</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_Toc13765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18</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_Toc23620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z w:val="24"/>
          <w:szCs w:val="24"/>
          <w:lang w:val="en-US" w:eastAsia="zh-CN"/>
        </w:rPr>
        <w:t>（二）项目过程情况分析</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_Toc23620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21</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_Toc14428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pacing w:val="0"/>
          <w:sz w:val="24"/>
          <w:szCs w:val="24"/>
          <w:lang w:eastAsia="zh-CN"/>
        </w:rPr>
        <w:t>（三）</w:t>
      </w:r>
      <w:r>
        <w:rPr>
          <w:rFonts w:hint="eastAsia" w:ascii="华文仿宋" w:hAnsi="华文仿宋" w:eastAsia="华文仿宋" w:cs="华文仿宋"/>
          <w:spacing w:val="0"/>
          <w:sz w:val="24"/>
          <w:szCs w:val="24"/>
        </w:rPr>
        <w:t>项目</w:t>
      </w:r>
      <w:r>
        <w:rPr>
          <w:rFonts w:hint="eastAsia" w:ascii="华文仿宋" w:hAnsi="华文仿宋" w:eastAsia="华文仿宋" w:cs="华文仿宋"/>
          <w:spacing w:val="0"/>
          <w:sz w:val="24"/>
          <w:szCs w:val="24"/>
          <w:lang w:eastAsia="zh-CN"/>
        </w:rPr>
        <w:t>产出</w:t>
      </w:r>
      <w:r>
        <w:rPr>
          <w:rFonts w:hint="eastAsia" w:ascii="华文仿宋" w:hAnsi="华文仿宋" w:eastAsia="华文仿宋" w:cs="华文仿宋"/>
          <w:spacing w:val="0"/>
          <w:sz w:val="24"/>
          <w:szCs w:val="24"/>
        </w:rPr>
        <w:t>情况</w:t>
      </w:r>
      <w:r>
        <w:rPr>
          <w:rFonts w:hint="eastAsia" w:ascii="华文仿宋" w:hAnsi="华文仿宋" w:eastAsia="华文仿宋" w:cs="华文仿宋"/>
          <w:spacing w:val="0"/>
          <w:sz w:val="24"/>
          <w:szCs w:val="24"/>
          <w:lang w:eastAsia="zh-CN"/>
        </w:rPr>
        <w:t>分析</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_Toc14428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24</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_Toc17947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pacing w:val="0"/>
          <w:sz w:val="24"/>
          <w:szCs w:val="24"/>
          <w:lang w:eastAsia="zh-CN"/>
        </w:rPr>
        <w:t>（四）</w:t>
      </w:r>
      <w:r>
        <w:rPr>
          <w:rFonts w:hint="eastAsia" w:ascii="华文仿宋" w:hAnsi="华文仿宋" w:eastAsia="华文仿宋" w:cs="华文仿宋"/>
          <w:spacing w:val="0"/>
          <w:sz w:val="24"/>
          <w:szCs w:val="24"/>
        </w:rPr>
        <w:t>项目</w:t>
      </w:r>
      <w:r>
        <w:rPr>
          <w:rFonts w:hint="eastAsia" w:ascii="华文仿宋" w:hAnsi="华文仿宋" w:eastAsia="华文仿宋" w:cs="华文仿宋"/>
          <w:spacing w:val="0"/>
          <w:sz w:val="24"/>
          <w:szCs w:val="24"/>
          <w:lang w:eastAsia="zh-CN"/>
        </w:rPr>
        <w:t>效益</w:t>
      </w:r>
      <w:r>
        <w:rPr>
          <w:rFonts w:hint="eastAsia" w:ascii="华文仿宋" w:hAnsi="华文仿宋" w:eastAsia="华文仿宋" w:cs="华文仿宋"/>
          <w:spacing w:val="0"/>
          <w:sz w:val="24"/>
          <w:szCs w:val="24"/>
        </w:rPr>
        <w:t>情况</w:t>
      </w:r>
      <w:r>
        <w:rPr>
          <w:rFonts w:hint="eastAsia" w:ascii="华文仿宋" w:hAnsi="华文仿宋" w:eastAsia="华文仿宋" w:cs="华文仿宋"/>
          <w:spacing w:val="0"/>
          <w:sz w:val="24"/>
          <w:szCs w:val="24"/>
          <w:lang w:eastAsia="zh-CN"/>
        </w:rPr>
        <w:t>分析</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_Toc17947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26</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_Toc25416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sz w:val="24"/>
          <w:szCs w:val="24"/>
          <w:lang w:val="en-US" w:eastAsia="zh-CN"/>
        </w:rPr>
        <w:t>七、主要经验做法、存在问题及建议</w:t>
      </w:r>
      <w:r>
        <w:rPr>
          <w:rFonts w:hint="eastAsia" w:ascii="华文仿宋" w:hAnsi="华文仿宋" w:eastAsia="华文仿宋" w:cs="华文仿宋"/>
          <w:b/>
          <w:bCs/>
          <w:sz w:val="24"/>
          <w:szCs w:val="24"/>
        </w:rPr>
        <w:tab/>
      </w:r>
      <w:r>
        <w:rPr>
          <w:rFonts w:hint="eastAsia" w:ascii="华文仿宋" w:hAnsi="华文仿宋" w:eastAsia="华文仿宋" w:cs="华文仿宋"/>
          <w:b/>
          <w:bCs/>
          <w:sz w:val="24"/>
          <w:szCs w:val="24"/>
        </w:rPr>
        <w:fldChar w:fldCharType="begin"/>
      </w:r>
      <w:r>
        <w:rPr>
          <w:rFonts w:hint="eastAsia" w:ascii="华文仿宋" w:hAnsi="华文仿宋" w:eastAsia="华文仿宋" w:cs="华文仿宋"/>
          <w:b/>
          <w:bCs/>
          <w:sz w:val="24"/>
          <w:szCs w:val="24"/>
        </w:rPr>
        <w:instrText xml:space="preserve"> PAGEREF _Toc25416 \h </w:instrText>
      </w:r>
      <w:r>
        <w:rPr>
          <w:rFonts w:hint="eastAsia" w:ascii="华文仿宋" w:hAnsi="华文仿宋" w:eastAsia="华文仿宋" w:cs="华文仿宋"/>
          <w:b/>
          <w:bCs/>
          <w:sz w:val="24"/>
          <w:szCs w:val="24"/>
        </w:rPr>
        <w:fldChar w:fldCharType="separate"/>
      </w:r>
      <w:r>
        <w:rPr>
          <w:rFonts w:hint="eastAsia" w:ascii="华文仿宋" w:hAnsi="华文仿宋" w:eastAsia="华文仿宋" w:cs="华文仿宋"/>
          <w:b/>
          <w:bCs/>
          <w:sz w:val="24"/>
          <w:szCs w:val="24"/>
        </w:rPr>
        <w:t>28</w:t>
      </w:r>
      <w:r>
        <w:rPr>
          <w:rFonts w:hint="eastAsia" w:ascii="华文仿宋" w:hAnsi="华文仿宋" w:eastAsia="华文仿宋" w:cs="华文仿宋"/>
          <w:b/>
          <w:bCs/>
          <w:sz w:val="24"/>
          <w:szCs w:val="24"/>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_Toc26264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sz w:val="24"/>
          <w:szCs w:val="24"/>
        </w:rPr>
        <w:t>（一）经验做法</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_Toc26264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28</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_Toc17730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sz w:val="24"/>
          <w:szCs w:val="24"/>
          <w:lang w:bidi="zh-CN"/>
        </w:rPr>
        <w:t>（二）存在的问题</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_Toc17730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28</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华文仿宋" w:hAnsi="华文仿宋" w:eastAsia="华文仿宋" w:cs="华文仿宋"/>
          <w:sz w:val="24"/>
          <w:szCs w:val="24"/>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_Toc27748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sz w:val="24"/>
          <w:szCs w:val="24"/>
          <w:shd w:val="clear" w:fill="FFFFFF"/>
          <w:lang w:val="en-US" w:eastAsia="zh-CN" w:bidi="zh-CN"/>
        </w:rPr>
        <w:t>（三）建议</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_Toc27748 \h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30</w:t>
      </w:r>
      <w:r>
        <w:rPr>
          <w:rFonts w:hint="eastAsia" w:ascii="华文仿宋" w:hAnsi="华文仿宋" w:eastAsia="华文仿宋" w:cs="华文仿宋"/>
          <w:sz w:val="24"/>
          <w:szCs w:val="24"/>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_Toc30413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sz w:val="24"/>
          <w:szCs w:val="24"/>
          <w:lang w:val="en-US" w:eastAsia="zh-CN"/>
        </w:rPr>
        <w:t>八、其他需要说明的问题</w:t>
      </w:r>
      <w:r>
        <w:rPr>
          <w:rFonts w:hint="eastAsia" w:ascii="华文仿宋" w:hAnsi="华文仿宋" w:eastAsia="华文仿宋" w:cs="华文仿宋"/>
          <w:b/>
          <w:bCs/>
          <w:sz w:val="24"/>
          <w:szCs w:val="24"/>
        </w:rPr>
        <w:tab/>
      </w:r>
      <w:r>
        <w:rPr>
          <w:rFonts w:hint="eastAsia" w:ascii="华文仿宋" w:hAnsi="华文仿宋" w:eastAsia="华文仿宋" w:cs="华文仿宋"/>
          <w:b/>
          <w:bCs/>
          <w:sz w:val="24"/>
          <w:szCs w:val="24"/>
        </w:rPr>
        <w:fldChar w:fldCharType="begin"/>
      </w:r>
      <w:r>
        <w:rPr>
          <w:rFonts w:hint="eastAsia" w:ascii="华文仿宋" w:hAnsi="华文仿宋" w:eastAsia="华文仿宋" w:cs="华文仿宋"/>
          <w:b/>
          <w:bCs/>
          <w:sz w:val="24"/>
          <w:szCs w:val="24"/>
        </w:rPr>
        <w:instrText xml:space="preserve"> PAGEREF _Toc30413 \h </w:instrText>
      </w:r>
      <w:r>
        <w:rPr>
          <w:rFonts w:hint="eastAsia" w:ascii="华文仿宋" w:hAnsi="华文仿宋" w:eastAsia="华文仿宋" w:cs="华文仿宋"/>
          <w:b/>
          <w:bCs/>
          <w:sz w:val="24"/>
          <w:szCs w:val="24"/>
        </w:rPr>
        <w:fldChar w:fldCharType="separate"/>
      </w:r>
      <w:r>
        <w:rPr>
          <w:rFonts w:hint="eastAsia" w:ascii="华文仿宋" w:hAnsi="华文仿宋" w:eastAsia="华文仿宋" w:cs="华文仿宋"/>
          <w:b/>
          <w:bCs/>
          <w:sz w:val="24"/>
          <w:szCs w:val="24"/>
        </w:rPr>
        <w:t>31</w:t>
      </w:r>
      <w:r>
        <w:rPr>
          <w:rFonts w:hint="eastAsia" w:ascii="华文仿宋" w:hAnsi="华文仿宋" w:eastAsia="华文仿宋" w:cs="华文仿宋"/>
          <w:b/>
          <w:bCs/>
          <w:sz w:val="24"/>
          <w:szCs w:val="24"/>
        </w:rPr>
        <w:fldChar w:fldCharType="end"/>
      </w:r>
      <w:r>
        <w:rPr>
          <w:rFonts w:hint="eastAsia" w:ascii="华文仿宋" w:hAnsi="华文仿宋" w:eastAsia="华文仿宋" w:cs="华文仿宋"/>
          <w:b/>
          <w:bCs/>
          <w:kern w:val="0"/>
          <w:sz w:val="24"/>
          <w:szCs w:val="24"/>
          <w:lang w:val="en-US" w:eastAsia="zh-CN" w:bidi="zh-CN"/>
        </w:rPr>
        <w:fldChar w:fldCharType="end"/>
      </w:r>
    </w:p>
    <w:p>
      <w:pPr>
        <w:keepNext w:val="0"/>
        <w:keepLines w:val="0"/>
        <w:pageBreakBefore w:val="0"/>
        <w:widowControl w:val="0"/>
        <w:kinsoku/>
        <w:wordWrap/>
        <w:overflowPunct w:val="0"/>
        <w:topLinePunct w:val="0"/>
        <w:autoSpaceDE/>
        <w:autoSpaceDN/>
        <w:bidi w:val="0"/>
        <w:adjustRightInd/>
        <w:snapToGrid/>
        <w:spacing w:line="360" w:lineRule="exact"/>
        <w:jc w:val="left"/>
        <w:textAlignment w:val="auto"/>
        <w:rPr>
          <w:rFonts w:hint="default" w:ascii="Times New Roman" w:hAnsi="Times New Roman" w:eastAsia="仿宋" w:cs="Times New Roman"/>
          <w:b w:val="0"/>
          <w:bCs w:val="0"/>
          <w:kern w:val="0"/>
          <w:sz w:val="28"/>
          <w:szCs w:val="28"/>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华文仿宋" w:hAnsi="华文仿宋" w:eastAsia="华文仿宋" w:cs="华文仿宋"/>
          <w:bCs w:val="0"/>
          <w:kern w:val="0"/>
          <w:sz w:val="24"/>
          <w:szCs w:val="24"/>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同心县科学技术局种养废弃物肥料化</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高值化利用技术引进示范项目</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，宁夏万协项目管理有限公司受同心县财政局委托，对同心县科学技术局种养废弃物肥料化高值化利用技术引进示范项目开展绩效评价相关工作。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23" w:name="_Toc23409"/>
      <w:bookmarkStart w:id="24" w:name="_Toc12033"/>
      <w:bookmarkStart w:id="25" w:name="_Toc30196"/>
      <w:r>
        <w:rPr>
          <w:rFonts w:hint="eastAsia" w:asciiTheme="majorEastAsia" w:hAnsiTheme="majorEastAsia" w:eastAsiaTheme="majorEastAsia" w:cstheme="majorEastAsia"/>
          <w:b/>
          <w:bCs/>
          <w:sz w:val="30"/>
          <w:szCs w:val="30"/>
          <w:lang w:val="en-US" w:eastAsia="zh-CN"/>
        </w:rPr>
        <w:t>一、项目基本情况</w:t>
      </w:r>
      <w:bookmarkEnd w:id="23"/>
      <w:bookmarkEnd w:id="24"/>
      <w:bookmarkEnd w:id="25"/>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6" w:name="_Toc25760"/>
      <w:bookmarkStart w:id="27" w:name="_Toc5690"/>
      <w:bookmarkStart w:id="28" w:name="_Toc28214"/>
      <w:r>
        <w:rPr>
          <w:rFonts w:hint="eastAsia"/>
          <w:b/>
          <w:bCs/>
          <w:sz w:val="30"/>
          <w:szCs w:val="30"/>
          <w:lang w:val="en-US" w:eastAsia="zh-CN"/>
        </w:rPr>
        <w:t>（一）项目</w:t>
      </w:r>
      <w:bookmarkEnd w:id="26"/>
      <w:bookmarkEnd w:id="27"/>
      <w:r>
        <w:rPr>
          <w:rFonts w:hint="eastAsia"/>
          <w:b/>
          <w:bCs/>
          <w:sz w:val="30"/>
          <w:szCs w:val="30"/>
          <w:lang w:val="en-US" w:eastAsia="zh-CN"/>
        </w:rPr>
        <w:t>背景</w:t>
      </w:r>
      <w:bookmarkEnd w:id="28"/>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9" w:name="_Toc25776"/>
      <w:bookmarkStart w:id="30" w:name="_Toc24381"/>
      <w:bookmarkStart w:id="31" w:name="_Toc5111"/>
      <w:r>
        <w:rPr>
          <w:rFonts w:hint="eastAsia" w:ascii="Times New Roman" w:hAnsi="Times New Roman" w:eastAsia="方正仿宋_GBK" w:cs="Times New Roman"/>
          <w:color w:val="auto"/>
          <w:kern w:val="2"/>
          <w:sz w:val="30"/>
          <w:szCs w:val="30"/>
          <w:highlight w:val="none"/>
          <w:lang w:val="en-US" w:eastAsia="zh-CN" w:bidi="ar-SA"/>
        </w:rPr>
        <w:t>2016年12月，习近平总书记在中央财经领导小组第十四次会议上强调，加快推进畜禽养殖废弃物处理和资源化，关系6亿多农村居民生产生活环境，关系农村能源革命，关系能不能不断改善土壤地力、治理好农业面源污染，是一件利国利民利长远的大好事。要坚持政府支持、企业主体、市场化运作的方针，以沼气和生物天然气为主要处理方向，以就地就近用于农村能源和农用有机肥为主要使用方向，力争在十二五"时期，基本解决大规模畜禽养殖场粪污处理和资源化问题。</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畜禽养殖业是我国农业发展的支柱产业之一，对农业增产增收及农村经济发展具有非常重要的作用，但畜禽养殖过程会产生大量的养殖垃圾、畜禽粪便等废弃物，这些废弃物不仅占用场地，而且污染环境、传播病原，处理起来十分棘手。目前对于畜禽养殖废弃物主要进行农业还田处理，但处理模式比较粗放，对空气、土壤都会造成一定污染，而利用微生物发酵技术将其转变为农业生产中备受欢迎的有机肥料，能有效解决这一问题，为实现畜禽养殖业的可持续发展奠定坚实基础。</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随着畜牧养殖业的不断发展，规模化养殖场、养殖小区不断出现，大量的畜禽粪便随之产生。由于得不到及时、有效地处理，许多养殖场周边粪土四溢，蚊蝇乱飞，恶臭扑鼻，严重污染环境，危及广大农民的身体健康。另一方面，畜禽粪便是我国传统的有机肥料，养分齐全，有机质含量高，适量施用不仅可改良土壤，还可提高农产品品质与产量。由于农业生产长期大量使用化肥，使土壤有机质含量日益减少，土壤板结，养分流失，保水保肥性能下降，对土壤的污染也日趋严重，农业害虫的抗药性不断增强，已成为制约我国“三高”农业发展的重要因素之一。</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针对同心县畜禽养殖粪便利用效率低、处理工艺简单低效、丁塘镇周边乡村粪便及有机废弃物未做无害化处理、中药材等种植废弃物难以利用及环境污染等问题，以宁夏平态林生物有机肥料有限公司为实施主体，以同心县天润生态农业种植专业合作社作为循环农业示范点，引进宁夏农林科学院农业资源与环境研究所、宁夏大学等单位科技成果，示范推广畜禽粪便联合中药材种植废弃物快速堆肥发酵技术、槽式好氧高温发酵生产高品质生物有机肥全套设施设备及工艺及有机肥替减化肥绿色种植技术，监理区域种植养殖固体废弃物集中收集快速处理中心，构建基于中药材品质提升的中药废弃物再利用绿色循环模式，带动周边种植、养殖园区废弃物处理利用优化升级，帮助周边乡村粪便及有机废弃物做无害化处理，助力乡村振兴。</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sz w:val="30"/>
          <w:szCs w:val="30"/>
          <w:lang w:val="en-US" w:eastAsia="zh-CN"/>
        </w:rPr>
      </w:pPr>
      <w:bookmarkStart w:id="32" w:name="_Toc4596"/>
      <w:r>
        <w:rPr>
          <w:rFonts w:hint="eastAsia" w:ascii="方正楷体_GBK" w:hAnsi="方正楷体_GBK" w:eastAsia="方正楷体_GBK" w:cs="方正楷体_GBK"/>
          <w:sz w:val="30"/>
          <w:szCs w:val="30"/>
          <w:lang w:val="en-US" w:eastAsia="zh-CN"/>
        </w:rPr>
        <w:t>（二）项目实施主要内容</w:t>
      </w:r>
      <w:bookmarkEnd w:id="29"/>
      <w:bookmarkEnd w:id="30"/>
      <w:bookmarkEnd w:id="32"/>
    </w:p>
    <w:p>
      <w:pPr>
        <w:pStyle w:val="18"/>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33" w:name="_Toc8550"/>
      <w:bookmarkStart w:id="34" w:name="_Toc1917"/>
      <w:r>
        <w:rPr>
          <w:rFonts w:hint="eastAsia" w:ascii="Times New Roman" w:hAnsi="Times New Roman" w:eastAsia="方正仿宋_GBK" w:cs="Times New Roman"/>
          <w:color w:val="auto"/>
          <w:kern w:val="2"/>
          <w:sz w:val="30"/>
          <w:szCs w:val="30"/>
          <w:highlight w:val="none"/>
          <w:lang w:val="en-US" w:eastAsia="zh-CN" w:bidi="ar-SA"/>
        </w:rPr>
        <w:t>由宁夏平态林生物有机肥料有限公司实施的种养废弃物肥料化高值化利用技术引进示范项目涵盖以下内容；</w:t>
      </w:r>
    </w:p>
    <w:p>
      <w:pPr>
        <w:rPr>
          <w:rFonts w:hint="default" w:ascii="Times New Roman" w:hAnsi="Times New Roman" w:eastAsia="方正仿宋_GBK" w:cs="Times New Roman"/>
          <w:color w:val="auto"/>
          <w:kern w:val="2"/>
          <w:sz w:val="30"/>
          <w:szCs w:val="30"/>
          <w:highlight w:val="none"/>
          <w:lang w:val="en-US" w:eastAsia="zh-CN" w:bidi="ar-SA"/>
        </w:rPr>
      </w:pPr>
      <w:bookmarkStart w:id="35" w:name="_Toc17160"/>
      <w:bookmarkStart w:id="36" w:name="_Toc22184"/>
      <w:r>
        <w:rPr>
          <w:rFonts w:hint="eastAsia" w:ascii="Times New Roman" w:hAnsi="Times New Roman" w:eastAsia="方正仿宋_GBK" w:cs="Times New Roman"/>
          <w:color w:val="auto"/>
          <w:kern w:val="2"/>
          <w:sz w:val="30"/>
          <w:szCs w:val="30"/>
          <w:highlight w:val="none"/>
          <w:lang w:val="en-US" w:eastAsia="zh-CN" w:bidi="ar-SA"/>
        </w:rPr>
        <w:t>引进推广宁夏农林科学院农业资源与环境研究所2020年宁夏科技进步奖二等奖成果“畜禽养殖废弃物资源化利用关键技术研究与示范”及“一种养殖粪便干燥处理系统”“一种生猪养殖粪便资源化利用装置”和“一种固体粪便零排放静态堆肥低温发酵实验装置”三个实验新型专利技术。</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37" w:name="_Toc8611"/>
      <w:r>
        <w:rPr>
          <w:rFonts w:hint="eastAsia" w:asciiTheme="majorEastAsia" w:hAnsiTheme="majorEastAsia" w:eastAsiaTheme="majorEastAsia" w:cstheme="majorEastAsia"/>
          <w:b/>
          <w:bCs/>
          <w:sz w:val="30"/>
          <w:szCs w:val="30"/>
          <w:lang w:val="en-US" w:eastAsia="zh-CN"/>
        </w:rPr>
        <w:t>二、资金情况</w:t>
      </w:r>
      <w:bookmarkEnd w:id="35"/>
      <w:bookmarkEnd w:id="36"/>
      <w:bookmarkEnd w:id="37"/>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38" w:name="_Toc3047"/>
      <w:bookmarkStart w:id="39" w:name="_Toc21063"/>
      <w:bookmarkStart w:id="40" w:name="_Toc31374"/>
      <w:r>
        <w:rPr>
          <w:rFonts w:hint="eastAsia"/>
          <w:b/>
          <w:bCs/>
          <w:sz w:val="30"/>
          <w:szCs w:val="30"/>
          <w:lang w:val="en-US" w:eastAsia="zh-CN"/>
        </w:rPr>
        <w:t>（一）资金来源情况</w:t>
      </w:r>
      <w:bookmarkEnd w:id="38"/>
      <w:bookmarkEnd w:id="39"/>
      <w:bookmarkEnd w:id="40"/>
    </w:p>
    <w:p>
      <w:pPr>
        <w:pStyle w:val="18"/>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41" w:name="_Toc13949"/>
      <w:bookmarkStart w:id="42" w:name="_Toc21684"/>
      <w:r>
        <w:rPr>
          <w:rFonts w:hint="eastAsia" w:ascii="Times New Roman" w:hAnsi="Times New Roman" w:eastAsia="方正仿宋_GBK" w:cs="Times New Roman"/>
          <w:color w:val="auto"/>
          <w:kern w:val="2"/>
          <w:sz w:val="30"/>
          <w:szCs w:val="30"/>
          <w:highlight w:val="none"/>
          <w:lang w:val="en-US" w:eastAsia="zh-CN" w:bidi="ar-SA"/>
        </w:rPr>
        <w:t>按照《</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）、《关于同心县本级财政2022年第二批新增政府一般债券资金预算调整方案（草案）的报告》</w:t>
      </w:r>
      <w:r>
        <w:rPr>
          <w:rFonts w:hint="eastAsia" w:ascii="Times New Roman" w:hAnsi="Times New Roman" w:eastAsia="方正仿宋_GBK" w:cs="Times New Roman"/>
          <w:color w:val="auto"/>
          <w:kern w:val="2"/>
          <w:sz w:val="30"/>
          <w:szCs w:val="30"/>
          <w:highlight w:val="none"/>
          <w:lang w:val="en-US" w:eastAsia="zh-CN" w:bidi="ar-SA"/>
        </w:rPr>
        <w:t>要求，一般债券资金落实到具体项目，切实加强债券资金管理，提高债券资金使用效益。</w:t>
      </w:r>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43" w:name="_Toc13592"/>
      <w:r>
        <w:rPr>
          <w:rFonts w:hint="eastAsia"/>
          <w:b/>
          <w:bCs/>
          <w:sz w:val="30"/>
          <w:szCs w:val="30"/>
          <w:lang w:val="en-US" w:eastAsia="zh-CN"/>
        </w:rPr>
        <w:t>（二）资金到位情况</w:t>
      </w:r>
      <w:bookmarkEnd w:id="43"/>
    </w:p>
    <w:p>
      <w:pPr>
        <w:keepNext w:val="0"/>
        <w:keepLines w:val="0"/>
        <w:widowControl/>
        <w:suppressLineNumbers w:val="0"/>
        <w:jc w:val="left"/>
        <w:rPr>
          <w:rFonts w:hint="default" w:ascii="Times New Roman" w:hAnsi="Times New Roman" w:eastAsia="方正仿宋_GB2312" w:cs="Times New Roman"/>
          <w:sz w:val="30"/>
          <w:szCs w:val="30"/>
          <w:lang w:val="en-US" w:eastAsia="zh-CN"/>
        </w:rPr>
      </w:pPr>
      <w:r>
        <w:rPr>
          <w:rFonts w:hint="eastAsia" w:ascii="Times New Roman" w:hAnsi="Times New Roman" w:eastAsia="方正仿宋_GB2312" w:cs="Times New Roman"/>
          <w:sz w:val="30"/>
          <w:szCs w:val="30"/>
          <w:lang w:val="en-US" w:eastAsia="zh-CN"/>
        </w:rPr>
        <w:t>2022年8月24日，根据同心县人大常委会《关于批准同心县本级财政 2022 年第二批新增政府一般债券资金预算调整方案的决议》（同人常发（2022） 24 号） 精神，由县财政局筹措资金450万元，用于解决同心县红军西征纪念馆陈列展览提升项目建设资金。截至评价时点，实际到位资金450.00万元，资金到位率100%，</w:t>
      </w:r>
      <w:r>
        <w:rPr>
          <w:rFonts w:ascii="仿宋" w:hAnsi="仿宋" w:eastAsia="仿宋" w:cs="仿宋"/>
          <w:color w:val="000000"/>
          <w:kern w:val="0"/>
          <w:sz w:val="30"/>
          <w:szCs w:val="30"/>
          <w:lang w:val="en-US" w:eastAsia="zh-CN" w:bidi="ar"/>
        </w:rPr>
        <w:t>专项保障本项目的建设实施</w:t>
      </w:r>
      <w:r>
        <w:rPr>
          <w:rFonts w:hint="eastAsia" w:ascii="Times New Roman" w:hAnsi="Times New Roman" w:eastAsia="方正仿宋_GB2312" w:cs="Times New Roman"/>
          <w:sz w:val="30"/>
          <w:szCs w:val="30"/>
          <w:lang w:val="en-US" w:eastAsia="zh-CN"/>
        </w:rPr>
        <w:t>。</w:t>
      </w:r>
    </w:p>
    <w:p>
      <w:pPr>
        <w:pStyle w:val="4"/>
        <w:bidi w:val="0"/>
        <w:rPr>
          <w:rFonts w:hint="default"/>
          <w:lang w:val="en-US" w:eastAsia="zh-CN"/>
        </w:rPr>
      </w:pPr>
      <w:bookmarkStart w:id="44" w:name="_Toc3804"/>
      <w:r>
        <w:rPr>
          <w:rFonts w:hint="eastAsia"/>
          <w:lang w:val="en-US" w:eastAsia="zh-CN"/>
        </w:rPr>
        <w:t>（三）资金管理情况</w:t>
      </w:r>
      <w:bookmarkEnd w:id="44"/>
    </w:p>
    <w:p>
      <w:pPr>
        <w:overflowPunct w:val="0"/>
        <w:adjustRightInd w:val="0"/>
        <w:snapToGrid w:val="0"/>
        <w:spacing w:line="560" w:lineRule="exact"/>
        <w:ind w:firstLine="592" w:firstLineChars="200"/>
        <w:jc w:val="both"/>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）、《关于同心县本级财政2022年第二批新增政府一般债券资金预算调整方案（草案）的报告》，同心县文旅局</w:t>
      </w:r>
      <w:r>
        <w:rPr>
          <w:rFonts w:hint="eastAsia" w:ascii="Times New Roman" w:hAnsi="Times New Roman" w:eastAsia="方正仿宋_GBK" w:cs="Times New Roman"/>
          <w:color w:val="auto"/>
          <w:kern w:val="2"/>
          <w:sz w:val="30"/>
          <w:szCs w:val="30"/>
          <w:highlight w:val="none"/>
          <w:lang w:val="en-US" w:eastAsia="zh-CN" w:bidi="ar-SA"/>
        </w:rPr>
        <w:t>并结合项目方案的要求，对项目资金进行管理和分配，每笔资金在拨付使用过程中均能够严格执行各项管理制度。</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评价过程中，各预算单位未见转移支付资金使用不符合上级财政部门相关要求的，或有重大违规违纪的行为。资金的拨付有完整的审批程序和手续，实行国库集中支付程序的，严格按照财政国库管理制度有关规定执行，支出方向与批复的建设内容一致。未发现虚列支出、资金截留、挤占等现象。</w:t>
      </w:r>
    </w:p>
    <w:p>
      <w:pPr>
        <w:pStyle w:val="4"/>
        <w:bidi w:val="0"/>
        <w:rPr>
          <w:rFonts w:hint="default"/>
          <w:lang w:val="en-US" w:eastAsia="zh-CN"/>
        </w:rPr>
      </w:pPr>
      <w:bookmarkStart w:id="45" w:name="_Toc6553"/>
      <w:r>
        <w:rPr>
          <w:rFonts w:hint="eastAsia"/>
          <w:lang w:val="en-US" w:eastAsia="zh-CN"/>
        </w:rPr>
        <w:t>（四）资金使用情况</w:t>
      </w:r>
      <w:bookmarkEnd w:id="45"/>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kern w:val="44"/>
          <w:sz w:val="28"/>
          <w:szCs w:val="28"/>
          <w:lang w:eastAsia="zh-CN"/>
        </w:rPr>
      </w:pPr>
      <w:r>
        <w:rPr>
          <w:rFonts w:hint="eastAsia" w:ascii="Times New Roman" w:hAnsi="Times New Roman" w:eastAsia="方正仿宋_GBK" w:cs="Times New Roman"/>
          <w:color w:val="auto"/>
          <w:kern w:val="2"/>
          <w:sz w:val="30"/>
          <w:szCs w:val="30"/>
          <w:highlight w:val="none"/>
          <w:lang w:val="en-US" w:eastAsia="zh-CN" w:bidi="ar-SA"/>
        </w:rPr>
        <w:t>同心县科学技术局种养废弃物肥料化高值化利用技术引进示范项目实际到位</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2312" w:cs="Times New Roman"/>
          <w:sz w:val="30"/>
          <w:szCs w:val="30"/>
          <w:lang w:val="en-US" w:eastAsia="zh-CN"/>
        </w:rPr>
        <w:t>25.00</w:t>
      </w:r>
      <w:r>
        <w:rPr>
          <w:rFonts w:hint="default" w:ascii="Times New Roman" w:hAnsi="Times New Roman" w:eastAsia="方正仿宋_GBK" w:cs="Times New Roman"/>
          <w:color w:val="auto"/>
          <w:kern w:val="2"/>
          <w:sz w:val="30"/>
          <w:szCs w:val="30"/>
          <w:highlight w:val="none"/>
          <w:lang w:val="en-US" w:eastAsia="zh-CN" w:bidi="ar-SA"/>
        </w:rPr>
        <w:t>万元，</w:t>
      </w:r>
      <w:r>
        <w:rPr>
          <w:rFonts w:hint="eastAsia" w:ascii="Times New Roman" w:hAnsi="Times New Roman" w:eastAsia="方正仿宋_GBK" w:cs="Times New Roman"/>
          <w:color w:val="auto"/>
          <w:kern w:val="2"/>
          <w:sz w:val="30"/>
          <w:szCs w:val="30"/>
          <w:highlight w:val="none"/>
          <w:lang w:val="en-US" w:eastAsia="zh-CN" w:bidi="ar-SA"/>
        </w:rPr>
        <w:t>截至评价时段，</w:t>
      </w:r>
      <w:r>
        <w:rPr>
          <w:rFonts w:hint="default" w:ascii="Times New Roman" w:hAnsi="Times New Roman" w:eastAsia="方正仿宋_GBK" w:cs="Times New Roman"/>
          <w:color w:val="auto"/>
          <w:kern w:val="2"/>
          <w:sz w:val="30"/>
          <w:szCs w:val="30"/>
          <w:highlight w:val="none"/>
          <w:lang w:val="en-US" w:eastAsia="zh-CN" w:bidi="ar-SA"/>
        </w:rPr>
        <w:t>实际支出</w:t>
      </w:r>
      <w:r>
        <w:rPr>
          <w:rFonts w:hint="eastAsia" w:ascii="Times New Roman" w:hAnsi="Times New Roman" w:eastAsia="方正仿宋_GBK" w:cs="Times New Roman"/>
          <w:color w:val="auto"/>
          <w:kern w:val="2"/>
          <w:sz w:val="30"/>
          <w:szCs w:val="30"/>
          <w:highlight w:val="none"/>
          <w:lang w:val="en-US" w:eastAsia="zh-CN" w:bidi="ar-SA"/>
        </w:rPr>
        <w:t>25.00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kern w:val="44"/>
          <w:sz w:val="28"/>
          <w:szCs w:val="28"/>
          <w:lang w:eastAsia="zh-CN"/>
        </w:rPr>
        <w:t>。</w:t>
      </w:r>
      <w:bookmarkEnd w:id="41"/>
      <w:bookmarkEnd w:id="42"/>
      <w:bookmarkStart w:id="46" w:name="_Toc2578"/>
      <w:bookmarkStart w:id="47" w:name="_Toc31342"/>
    </w:p>
    <w:bookmarkEnd w:id="33"/>
    <w:bookmarkEnd w:id="34"/>
    <w:bookmarkEnd w:id="46"/>
    <w:bookmarkEnd w:id="47"/>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48" w:name="_Toc26094"/>
      <w:bookmarkStart w:id="49" w:name="_Toc24442"/>
      <w:bookmarkStart w:id="50" w:name="_Toc31216"/>
      <w:bookmarkStart w:id="51" w:name="_Toc19300"/>
      <w:bookmarkStart w:id="52" w:name="_Toc29255"/>
      <w:bookmarkStart w:id="53" w:name="_Toc9451"/>
      <w:bookmarkStart w:id="54" w:name="_Toc31361"/>
      <w:bookmarkStart w:id="55" w:name="_Toc2175"/>
      <w:bookmarkStart w:id="56" w:name="_Toc7963"/>
      <w:bookmarkStart w:id="57" w:name="_Toc20409"/>
      <w:bookmarkStart w:id="58" w:name="_Toc5432"/>
      <w:bookmarkStart w:id="59" w:name="_Toc26903"/>
      <w:bookmarkStart w:id="60" w:name="_Toc29008"/>
      <w:bookmarkStart w:id="61" w:name="_Toc19319"/>
      <w:bookmarkStart w:id="62" w:name="_Toc17609"/>
      <w:bookmarkStart w:id="63" w:name="_Toc26741"/>
      <w:bookmarkStart w:id="64" w:name="_Toc1375"/>
      <w:bookmarkStart w:id="65" w:name="_Toc19237"/>
      <w:bookmarkStart w:id="66" w:name="_Toc14208"/>
      <w:bookmarkStart w:id="67" w:name="_Toc24129"/>
      <w:r>
        <w:rPr>
          <w:rFonts w:hint="eastAsia" w:asciiTheme="majorEastAsia" w:hAnsiTheme="majorEastAsia" w:eastAsiaTheme="majorEastAsia" w:cstheme="majorEastAsia"/>
          <w:b/>
          <w:bCs/>
          <w:sz w:val="30"/>
          <w:szCs w:val="30"/>
          <w:lang w:val="en-US" w:eastAsia="zh-CN"/>
        </w:rPr>
        <w:t>三、项目绩效</w:t>
      </w:r>
      <w:bookmarkEnd w:id="48"/>
      <w:bookmarkEnd w:id="49"/>
      <w:bookmarkEnd w:id="50"/>
      <w:bookmarkEnd w:id="51"/>
      <w:bookmarkEnd w:id="52"/>
      <w:bookmarkEnd w:id="53"/>
      <w:bookmarkEnd w:id="54"/>
      <w:bookmarkEnd w:id="55"/>
      <w:bookmarkEnd w:id="56"/>
      <w:bookmarkEnd w:id="57"/>
      <w:r>
        <w:rPr>
          <w:rFonts w:hint="eastAsia" w:asciiTheme="majorEastAsia" w:hAnsiTheme="majorEastAsia" w:eastAsiaTheme="majorEastAsia" w:cstheme="majorEastAsia"/>
          <w:b/>
          <w:bCs/>
          <w:sz w:val="30"/>
          <w:szCs w:val="30"/>
          <w:lang w:val="en-US" w:eastAsia="zh-CN"/>
        </w:rPr>
        <w:t>目标</w:t>
      </w:r>
      <w:bookmarkEnd w:id="58"/>
    </w:p>
    <w:p>
      <w:pPr>
        <w:pStyle w:val="4"/>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68" w:name="_Toc25350"/>
      <w:bookmarkStart w:id="69" w:name="_Toc23578"/>
      <w:bookmarkStart w:id="70" w:name="_Toc8204"/>
      <w:r>
        <w:rPr>
          <w:rFonts w:hint="eastAsia" w:ascii="方正楷体_GBK" w:hAnsi="方正楷体_GBK" w:eastAsia="方正楷体_GBK" w:cs="方正楷体_GBK"/>
          <w:sz w:val="30"/>
          <w:szCs w:val="30"/>
          <w:lang w:val="en-US" w:eastAsia="zh-CN"/>
        </w:rPr>
        <w:t>（一）绩效目标</w:t>
      </w:r>
      <w:bookmarkEnd w:id="68"/>
    </w:p>
    <w:bookmarkEnd w:id="69"/>
    <w:bookmarkEnd w:id="70"/>
    <w:p>
      <w:pPr>
        <w:keepNext w:val="0"/>
        <w:keepLines w:val="0"/>
        <w:pageBreakBefore w:val="0"/>
        <w:widowControl w:val="0"/>
        <w:kinsoku/>
        <w:wordWrap/>
        <w:overflowPunct w:val="0"/>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项目针对同心县规模化畜禽养殖粪便处理利用效率低下、处理工艺简单低效、丁塘镇周边乡村粪污及有机废弃物未做无害化、中药材等重质废弃物难以利用及环境污染等问题，引进宁夏农林科学院农业资源与环境研究所、宁夏大学等单位科技成果，示范推广畜禽粪便联合中药材种植废弃物快速堆肥发酵精准配比、高效接种、过程控制、保氮除臭等技术体系、槽式好氧堆肥发酵设施设备配置方案及技术参数、堆肥发酵生产高品质生物有机肥全套工艺及运行控制参数、有机肥替减化肥绿色种植技术，建立区域种植养殖固体废弃物再利用绿色循环模式，带动周边种植、养殖园区废弃物利用优化升级，助力乡村振兴。</w:t>
      </w:r>
    </w:p>
    <w:p>
      <w:pPr>
        <w:pStyle w:val="4"/>
        <w:keepNext/>
        <w:keepLines/>
        <w:pageBreakBefore w:val="0"/>
        <w:widowControl/>
        <w:numPr>
          <w:ilvl w:val="0"/>
          <w:numId w:val="2"/>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eastAsia" w:ascii="方正楷体_GBK" w:hAnsi="方正楷体_GBK" w:eastAsia="方正楷体_GBK" w:cs="方正楷体_GBK"/>
          <w:sz w:val="30"/>
          <w:szCs w:val="30"/>
          <w:lang w:val="en-US" w:eastAsia="zh-CN"/>
        </w:rPr>
      </w:pPr>
      <w:bookmarkStart w:id="71" w:name="_Toc6859"/>
      <w:bookmarkStart w:id="72" w:name="_Toc29105"/>
      <w:bookmarkStart w:id="73" w:name="_Toc9301"/>
      <w:r>
        <w:rPr>
          <w:rFonts w:hint="eastAsia" w:ascii="方正楷体_GBK" w:hAnsi="方正楷体_GBK" w:eastAsia="方正楷体_GBK" w:cs="方正楷体_GBK"/>
          <w:sz w:val="30"/>
          <w:szCs w:val="30"/>
          <w:lang w:val="en-US" w:eastAsia="zh-CN"/>
        </w:rPr>
        <w:t>项目绩效</w:t>
      </w:r>
      <w:bookmarkEnd w:id="71"/>
      <w:bookmarkEnd w:id="72"/>
      <w:bookmarkStart w:id="74" w:name="_Toc11708"/>
      <w:bookmarkStart w:id="75" w:name="_Toc14067"/>
      <w:bookmarkStart w:id="76" w:name="_Toc13598"/>
      <w:r>
        <w:rPr>
          <w:rFonts w:hint="eastAsia" w:ascii="方正楷体_GBK" w:hAnsi="方正楷体_GBK" w:eastAsia="方正楷体_GBK" w:cs="方正楷体_GBK"/>
          <w:sz w:val="30"/>
          <w:szCs w:val="30"/>
          <w:lang w:val="en-US" w:eastAsia="zh-CN"/>
        </w:rPr>
        <w:t>目标</w:t>
      </w:r>
      <w:bookmarkEnd w:id="73"/>
    </w:p>
    <w:p>
      <w:pPr>
        <w:pStyle w:val="4"/>
        <w:keepNext/>
        <w:keepLines/>
        <w:pageBreakBefore w:val="0"/>
        <w:widowControl/>
        <w:numPr>
          <w:ilvl w:val="0"/>
          <w:numId w:val="0"/>
        </w:numPr>
        <w:kinsoku/>
        <w:wordWrap/>
        <w:overflowPunct w:val="0"/>
        <w:topLinePunct w:val="0"/>
        <w:autoSpaceDE/>
        <w:autoSpaceDN/>
        <w:bidi w:val="0"/>
        <w:adjustRightInd/>
        <w:snapToGrid w:val="0"/>
        <w:spacing w:before="0" w:beforeLines="0" w:afterLines="0" w:line="560" w:lineRule="exact"/>
        <w:ind w:firstLine="592" w:firstLineChars="200"/>
        <w:textAlignment w:val="auto"/>
        <w:outlineLvl w:val="9"/>
        <w:rPr>
          <w:rFonts w:hint="eastAsia" w:ascii="Times New Roman" w:hAnsi="Times New Roman" w:eastAsia="方正仿宋_GBK" w:cs="Times New Roman"/>
          <w:b w:val="0"/>
          <w:color w:val="auto"/>
          <w:kern w:val="44"/>
          <w:sz w:val="30"/>
          <w:szCs w:val="30"/>
          <w:shd w:val="clear" w:fill="auto"/>
          <w:lang w:val="en-US" w:eastAsia="zh-CN" w:bidi="zh-CN"/>
        </w:rPr>
      </w:pPr>
      <w:bookmarkStart w:id="77" w:name="_Toc11188"/>
      <w:bookmarkStart w:id="78" w:name="_Toc13147"/>
      <w:r>
        <w:rPr>
          <w:rFonts w:hint="eastAsia" w:ascii="Times New Roman" w:hAnsi="Times New Roman" w:eastAsia="方正仿宋_GBK" w:cs="Times New Roman"/>
          <w:b w:val="0"/>
          <w:color w:val="auto"/>
          <w:kern w:val="44"/>
          <w:sz w:val="30"/>
          <w:szCs w:val="30"/>
          <w:shd w:val="clear" w:fill="auto"/>
          <w:lang w:val="en-US" w:eastAsia="zh-CN" w:bidi="zh-CN"/>
        </w:rPr>
        <w:t>通过前期实地调研，评价组与被评价单位进行充分、有效地沟通，依据项目的功能特性，明确项目在一定时期内的总体产出和效果，以定性和定量的方式确定所要实现的目标，明确了总体绩效目标。具体情况如下表：</w:t>
      </w:r>
      <w:bookmarkEnd w:id="77"/>
      <w:bookmarkEnd w:id="78"/>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391"/>
        <w:gridCol w:w="1929"/>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lang w:eastAsia="zh-CN"/>
              </w:rPr>
            </w:pPr>
            <w:r>
              <w:rPr>
                <w:rFonts w:hint="eastAsia" w:ascii="Times New Roman" w:hAnsi="Times New Roman" w:eastAsia="方正仿宋_GBK" w:cs="Times New Roman"/>
                <w:i w:val="0"/>
                <w:iCs w:val="0"/>
                <w:color w:val="000000"/>
                <w:sz w:val="21"/>
                <w:szCs w:val="21"/>
                <w:u w:val="none"/>
                <w:lang w:eastAsia="zh-CN"/>
              </w:rPr>
              <w:t>同心县科学技术局种养废弃物肥料化</w:t>
            </w:r>
            <w:r>
              <w:rPr>
                <w:rFonts w:hint="eastAsia" w:ascii="Times New Roman" w:hAnsi="Times New Roman" w:eastAsia="方正仿宋_GBK" w:cs="Times New Roman"/>
                <w:b w:val="0"/>
                <w:i w:val="0"/>
                <w:iCs w:val="0"/>
                <w:color w:val="000000"/>
                <w:kern w:val="2"/>
                <w:sz w:val="21"/>
                <w:szCs w:val="21"/>
                <w:u w:val="none"/>
                <w:lang w:val="en-US" w:eastAsia="zh-CN" w:bidi="ar-SA"/>
              </w:rPr>
              <w:t>高值化利用技术引进示范项目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宁夏平态林生物有机肥料有限公司</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25.00万元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80" w:lineRule="exact"/>
              <w:ind w:left="0" w:leftChars="0" w:firstLine="206" w:firstLineChars="100"/>
              <w:jc w:val="left"/>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引进并应用科技成果（知识产权）4项；引进区内外高层次人才数量4人；示范基地面积达到1200亩。</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80" w:lineRule="exact"/>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建立区域种植养殖固体废弃物再利用绿色循环模式，带动周边种植、养殖园区废弃物利用优化升级，助力乡村振兴。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有机肥工艺及生产线</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1套</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年处理种养废弃物</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6万吨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6万吨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年产高品质生物有机肥 </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 万吨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 万吨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示范基地面积（亩）</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500亩</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500亩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中药材种植循环利用示范样板</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1个</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成果有效期限</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长期</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项目验收质量合格率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社会效益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充分带动周边就业积极性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显著提升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生态效益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有效改善生态环境</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改善</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改善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加强畜禽养殖废弃物监管，建立耕地质量长期监测机制。</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未建立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rPr>
                <w:rFonts w:hint="eastAsia" w:ascii="Times New Roman" w:hAnsi="Times New Roman" w:eastAsia="方正仿宋_GBK" w:cs="Times New Roman"/>
                <w:i w:val="0"/>
                <w:iCs w:val="0"/>
                <w:color w:val="000000"/>
                <w:kern w:val="0"/>
                <w:sz w:val="22"/>
                <w:szCs w:val="22"/>
                <w:u w:val="none"/>
                <w:lang w:val="en-US" w:eastAsia="zh-CN" w:bidi="ar"/>
              </w:rPr>
            </w:pPr>
            <w:r>
              <w:rPr>
                <w:rFonts w:ascii="仿宋" w:hAnsi="仿宋" w:eastAsia="仿宋" w:cs="仿宋"/>
                <w:color w:val="000000"/>
                <w:kern w:val="0"/>
                <w:sz w:val="19"/>
                <w:szCs w:val="19"/>
                <w:lang w:val="en-US" w:eastAsia="zh-CN" w:bidi="ar"/>
              </w:rPr>
              <w:t>≥9</w:t>
            </w:r>
            <w:r>
              <w:rPr>
                <w:rFonts w:hint="eastAsia" w:cs="仿宋"/>
                <w:color w:val="000000"/>
                <w:kern w:val="0"/>
                <w:sz w:val="19"/>
                <w:szCs w:val="19"/>
                <w:lang w:val="en-US" w:eastAsia="zh-CN" w:bidi="ar"/>
              </w:rPr>
              <w:t>0</w:t>
            </w:r>
            <w:r>
              <w:rPr>
                <w:rFonts w:ascii="仿宋" w:hAnsi="仿宋" w:eastAsia="仿宋" w:cs="仿宋"/>
                <w:color w:val="000000"/>
                <w:kern w:val="0"/>
                <w:sz w:val="19"/>
                <w:szCs w:val="19"/>
                <w:lang w:val="en-US" w:eastAsia="zh-CN" w:bidi="ar"/>
              </w:rPr>
              <w:t>%</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both"/>
              <w:rPr>
                <w:rFonts w:hint="eastAsia" w:ascii="Times New Roman" w:hAnsi="Times New Roman" w:eastAsia="方正仿宋_GBK" w:cs="Times New Roman"/>
                <w:i w:val="0"/>
                <w:iCs w:val="0"/>
                <w:color w:val="000000"/>
                <w:kern w:val="0"/>
                <w:sz w:val="22"/>
                <w:szCs w:val="22"/>
                <w:u w:val="none"/>
                <w:lang w:val="en-US" w:eastAsia="zh-CN" w:bidi="ar"/>
              </w:rPr>
            </w:pPr>
            <w:r>
              <w:rPr>
                <w:rFonts w:ascii="仿宋" w:hAnsi="仿宋" w:eastAsia="仿宋" w:cs="仿宋"/>
                <w:color w:val="000000"/>
                <w:kern w:val="0"/>
                <w:sz w:val="19"/>
                <w:szCs w:val="19"/>
                <w:lang w:val="en-US" w:eastAsia="zh-CN" w:bidi="ar"/>
              </w:rPr>
              <w:t>≥9</w:t>
            </w:r>
            <w:r>
              <w:rPr>
                <w:rFonts w:hint="eastAsia" w:cs="仿宋"/>
                <w:color w:val="000000"/>
                <w:kern w:val="0"/>
                <w:sz w:val="19"/>
                <w:szCs w:val="19"/>
                <w:lang w:val="en-US" w:eastAsia="zh-CN" w:bidi="ar"/>
              </w:rPr>
              <w:t>0</w:t>
            </w:r>
            <w:r>
              <w:rPr>
                <w:rFonts w:ascii="仿宋" w:hAnsi="仿宋" w:eastAsia="仿宋" w:cs="仿宋"/>
                <w:color w:val="000000"/>
                <w:kern w:val="0"/>
                <w:sz w:val="19"/>
                <w:szCs w:val="19"/>
                <w:lang w:val="en-US" w:eastAsia="zh-CN" w:bidi="ar"/>
              </w:rPr>
              <w:t>%</w:t>
            </w:r>
          </w:p>
        </w:tc>
      </w:tr>
      <w:bookmarkEnd w:id="74"/>
      <w:bookmarkEnd w:id="75"/>
      <w:bookmarkEnd w:id="76"/>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79" w:name="_Toc2876"/>
      <w:bookmarkStart w:id="80" w:name="_Toc12031"/>
      <w:bookmarkStart w:id="81" w:name="_Toc2267"/>
      <w:r>
        <w:rPr>
          <w:rFonts w:hint="eastAsia" w:asciiTheme="majorEastAsia" w:hAnsiTheme="majorEastAsia" w:eastAsiaTheme="majorEastAsia" w:cstheme="majorEastAsia"/>
          <w:b/>
          <w:bCs/>
          <w:sz w:val="30"/>
          <w:szCs w:val="30"/>
          <w:lang w:val="en-US" w:eastAsia="zh-CN"/>
        </w:rPr>
        <w:t>四、绩效评价工作开展情况</w:t>
      </w:r>
      <w:bookmarkEnd w:id="79"/>
      <w:bookmarkEnd w:id="80"/>
      <w:bookmarkEnd w:id="81"/>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2" w:name="_Toc5907"/>
      <w:bookmarkStart w:id="83" w:name="_Toc30230"/>
      <w:bookmarkStart w:id="84" w:name="_Toc23289"/>
      <w:r>
        <w:rPr>
          <w:rFonts w:hint="eastAsia" w:ascii="方正楷体_GBK" w:hAnsi="方正楷体_GBK" w:eastAsia="方正楷体_GBK" w:cs="方正楷体_GBK"/>
          <w:b/>
          <w:bCs/>
          <w:sz w:val="30"/>
          <w:szCs w:val="30"/>
          <w:lang w:val="en-US" w:eastAsia="zh-CN"/>
        </w:rPr>
        <w:t>（一）绩效评价目的</w:t>
      </w:r>
      <w:bookmarkEnd w:id="82"/>
      <w:bookmarkEnd w:id="83"/>
      <w:bookmarkEnd w:id="84"/>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一是</w:t>
      </w:r>
      <w:r>
        <w:rPr>
          <w:rFonts w:hint="eastAsia" w:ascii="Times New Roman" w:hAnsi="Times New Roman" w:eastAsia="方正仿宋_GBK" w:cs="Times New Roman"/>
          <w:sz w:val="30"/>
          <w:szCs w:val="30"/>
          <w:lang w:val="en-US" w:eastAsia="zh-CN"/>
        </w:rPr>
        <w:t xml:space="preserve">以新增地方政府一般债券和财政专项资金预算支出执行结果为导向，运用科学的方法、规范的流程、统一的指标及标准，对同心县科学技术局种养废弃物肥料化高值化利用技术引进示范项目的经济性、效率性、效益性和公平性进行客观、公正的分析和评判，并作出评价结论。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二是</w:t>
      </w:r>
      <w:r>
        <w:rPr>
          <w:rFonts w:hint="eastAsia" w:ascii="Times New Roman" w:hAnsi="Times New Roman" w:eastAsia="方正仿宋_GBK" w:cs="Times New Roman"/>
          <w:sz w:val="30"/>
          <w:szCs w:val="30"/>
          <w:lang w:val="en-US" w:eastAsia="zh-CN"/>
        </w:rPr>
        <w:t xml:space="preserve">通过对本项目一般债券资金限额与预算管理、支出投向与分配、资金到位与支出、项目绩效目标完成情况的核查验证，旨在准确、客观地从项目组织实施、预算执行、形成资产移交与建后运行管理、绩效目标实现程度和效益发挥等方面，分析项目取得的成效、存在问题产生的原因及预期影响。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三是</w:t>
      </w:r>
      <w:r>
        <w:rPr>
          <w:rFonts w:hint="eastAsia" w:ascii="Times New Roman" w:hAnsi="Times New Roman" w:eastAsia="方正仿宋_GBK" w:cs="Times New Roman"/>
          <w:sz w:val="30"/>
          <w:szCs w:val="30"/>
          <w:lang w:val="en-US" w:eastAsia="zh-CN"/>
        </w:rPr>
        <w:t>总结项目经验，提出改进措施和相关建议，为财政及业务主管部门、同心县文旅局续实施项目资金与组织管理提供参考，促进项目资金政策效益发挥。</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5" w:name="_Toc15603"/>
      <w:r>
        <w:rPr>
          <w:rFonts w:hint="eastAsia" w:ascii="方正楷体_GBK" w:hAnsi="方正楷体_GBK" w:eastAsia="方正楷体_GBK" w:cs="方正楷体_GBK"/>
          <w:b/>
          <w:bCs/>
          <w:sz w:val="30"/>
          <w:szCs w:val="30"/>
          <w:lang w:val="en-US" w:eastAsia="zh-CN"/>
        </w:rPr>
        <w:t>（二）绩效评价对象</w:t>
      </w:r>
      <w:bookmarkEnd w:id="85"/>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财预〔2020〕10号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宁夏同心县科学技术局种养废弃物肥料化高值化利用技术引进示范项目</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6" w:name="_Toc4083"/>
      <w:bookmarkStart w:id="87" w:name="_Toc22702"/>
      <w:bookmarkStart w:id="88" w:name="_Toc9127"/>
      <w:r>
        <w:rPr>
          <w:rFonts w:hint="eastAsia" w:ascii="方正楷体_GBK" w:hAnsi="方正楷体_GBK" w:eastAsia="方正楷体_GBK" w:cs="方正楷体_GBK"/>
          <w:b/>
          <w:bCs/>
          <w:sz w:val="30"/>
          <w:szCs w:val="30"/>
          <w:lang w:val="en-US" w:eastAsia="zh-CN"/>
        </w:rPr>
        <w:t>（三）评价依据</w:t>
      </w:r>
      <w:bookmarkEnd w:id="86"/>
      <w:bookmarkEnd w:id="87"/>
      <w:bookmarkEnd w:id="88"/>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国务院关于全面实施预算绩效管理的意见》（中发〔2018〕34号）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6</w:t>
      </w:r>
      <w:r>
        <w:rPr>
          <w:rFonts w:hint="default" w:ascii="Times New Roman" w:hAnsi="Times New Roman" w:eastAsia="方正仿宋_GBK" w:cs="Times New Roman"/>
          <w:sz w:val="30"/>
          <w:szCs w:val="30"/>
          <w:lang w:val="en-US" w:eastAsia="zh-CN"/>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7</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topLinePunct/>
        <w:spacing w:line="560" w:lineRule="exact"/>
        <w:ind w:firstLine="592" w:firstLineChars="200"/>
        <w:outlineLvl w:val="0"/>
        <w:rPr>
          <w:rFonts w:hint="eastAsia" w:ascii="Times New Roman" w:hAnsi="Times New Roman" w:eastAsia="方正仿宋_GB2312" w:cs="Times New Roman"/>
          <w:kern w:val="2"/>
          <w:sz w:val="30"/>
          <w:szCs w:val="30"/>
          <w:lang w:val="en-US" w:eastAsia="zh-CN" w:bidi="ar-SA"/>
        </w:rPr>
      </w:pPr>
      <w:bookmarkStart w:id="89" w:name="_Toc6411"/>
      <w:bookmarkStart w:id="90" w:name="_Toc23907"/>
      <w:bookmarkStart w:id="91" w:name="_Toc18626"/>
      <w:r>
        <w:rPr>
          <w:rFonts w:hint="eastAsia" w:ascii="Times New Roman" w:hAnsi="Times New Roman" w:eastAsia="方正仿宋_GBK" w:cs="Times New Roman"/>
          <w:color w:val="auto"/>
          <w:kern w:val="2"/>
          <w:sz w:val="30"/>
          <w:szCs w:val="30"/>
          <w:highlight w:val="none"/>
          <w:lang w:val="en-US" w:eastAsia="zh-CN" w:bidi="ar-SA"/>
        </w:rPr>
        <w:t>9.《</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w:t>
      </w:r>
      <w:bookmarkEnd w:id="89"/>
      <w:bookmarkEnd w:id="90"/>
      <w:bookmarkEnd w:id="91"/>
    </w:p>
    <w:p>
      <w:pPr>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10.</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w:t>
      </w:r>
    </w:p>
    <w:p>
      <w:pPr>
        <w:topLinePunct/>
        <w:spacing w:line="560" w:lineRule="exact"/>
        <w:ind w:firstLine="592" w:firstLineChars="200"/>
        <w:outlineLvl w:val="0"/>
        <w:rPr>
          <w:rFonts w:hint="default" w:ascii="Times New Roman" w:hAnsi="Times New Roman" w:eastAsia="方正仿宋_GBK" w:cs="Times New Roman"/>
          <w:color w:val="auto"/>
          <w:kern w:val="2"/>
          <w:sz w:val="30"/>
          <w:szCs w:val="30"/>
          <w:highlight w:val="none"/>
          <w:lang w:val="en-US" w:eastAsia="zh-CN" w:bidi="ar-SA"/>
        </w:rPr>
      </w:pPr>
      <w:bookmarkStart w:id="92" w:name="_Toc4808"/>
      <w:bookmarkStart w:id="93" w:name="_Toc13604"/>
      <w:bookmarkStart w:id="94" w:name="_Toc22052"/>
      <w:r>
        <w:rPr>
          <w:rFonts w:hint="eastAsia" w:ascii="Times New Roman" w:hAnsi="Times New Roman" w:eastAsia="方正仿宋_GBK" w:cs="Times New Roman"/>
          <w:color w:val="auto"/>
          <w:kern w:val="2"/>
          <w:sz w:val="30"/>
          <w:szCs w:val="30"/>
          <w:highlight w:val="none"/>
          <w:lang w:val="en-US" w:eastAsia="zh-CN" w:bidi="ar-SA"/>
        </w:rPr>
        <w:t>11.《关于批准同心县本级财政 2022 年第二批新增政府一般债券资金预算调整方案的决议》（同人常发（2022） 24号）</w:t>
      </w:r>
      <w:bookmarkEnd w:id="92"/>
      <w:bookmarkEnd w:id="93"/>
      <w:bookmarkEnd w:id="94"/>
      <w:r>
        <w:rPr>
          <w:rFonts w:hint="eastAsia" w:ascii="Times New Roman" w:hAnsi="Times New Roman" w:eastAsia="方正仿宋_GBK" w:cs="Times New Roman"/>
          <w:color w:val="auto"/>
          <w:kern w:val="2"/>
          <w:sz w:val="30"/>
          <w:szCs w:val="30"/>
          <w:highlight w:val="none"/>
          <w:lang w:val="en-US" w:eastAsia="zh-CN" w:bidi="ar-SA"/>
        </w:rPr>
        <w:t xml:space="preserve"> </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12.相关行业政策、行业标准及专业技术规范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13.项目单位反映项目管理的有关资料，项目安排计划、资金拨付支出相关文件和凭证资料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14.其他相关资料</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5" w:name="_Toc17802"/>
      <w:bookmarkStart w:id="96" w:name="_Toc8570"/>
      <w:bookmarkStart w:id="97" w:name="_Toc3932"/>
      <w:r>
        <w:rPr>
          <w:rFonts w:hint="eastAsia" w:ascii="方正楷体_GBK" w:hAnsi="方正楷体_GBK" w:eastAsia="方正楷体_GBK" w:cs="方正楷体_GBK"/>
          <w:b/>
          <w:bCs/>
          <w:sz w:val="30"/>
          <w:szCs w:val="30"/>
          <w:lang w:val="en-US" w:eastAsia="zh-CN"/>
        </w:rPr>
        <w:t>（四）评价原则</w:t>
      </w:r>
      <w:bookmarkEnd w:id="95"/>
      <w:bookmarkEnd w:id="96"/>
      <w:bookmarkEnd w:id="97"/>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98" w:name="_Toc25357"/>
      <w:bookmarkStart w:id="99" w:name="_Toc2877"/>
      <w:bookmarkStart w:id="100" w:name="_Toc32246"/>
      <w:bookmarkStart w:id="101" w:name="_Toc14020"/>
      <w:bookmarkStart w:id="102" w:name="_Toc23108"/>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遵循</w:t>
      </w:r>
      <w:r>
        <w:rPr>
          <w:rFonts w:hint="eastAsia"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w:t>
      </w:r>
      <w:r>
        <w:rPr>
          <w:rFonts w:hint="default" w:ascii="Times New Roman" w:hAnsi="Times New Roman" w:eastAsia="方正仿宋_GBK" w:cs="Times New Roman"/>
          <w:b w:val="0"/>
          <w:bCs w:val="0"/>
          <w:kern w:val="0"/>
          <w:sz w:val="30"/>
          <w:szCs w:val="30"/>
          <w:lang w:val="en-US" w:eastAsia="zh-CN" w:bidi="zh-CN"/>
        </w:rPr>
        <w:t>《宁夏回族自治区地方政府债券管理办法》宁政办发 (2014)102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《宁夏回族自治区人民政府办公厅关于进一步加强政府性债务管理的实施意见》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宁政办发 (2017) 163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规定，按照《财政部关于委托第三方机构参与预算绩效管理的指导意见》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w:t>
      </w:r>
      <w:bookmarkEnd w:id="98"/>
      <w:bookmarkEnd w:id="99"/>
      <w:bookmarkEnd w:id="100"/>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03" w:name="_Toc30305"/>
      <w:r>
        <w:rPr>
          <w:rFonts w:hint="eastAsia" w:ascii="方正楷体_GBK" w:hAnsi="方正楷体_GBK" w:eastAsia="方正楷体_GBK" w:cs="方正楷体_GBK"/>
          <w:b/>
          <w:bCs/>
          <w:sz w:val="30"/>
          <w:szCs w:val="30"/>
          <w:lang w:val="en-US" w:eastAsia="zh-CN"/>
        </w:rPr>
        <w:t>（五）评价标准</w:t>
      </w:r>
      <w:bookmarkEnd w:id="103"/>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b w:val="0"/>
          <w:bCs w:val="0"/>
          <w:kern w:val="0"/>
          <w:sz w:val="30"/>
          <w:szCs w:val="30"/>
          <w:lang w:val="en-US" w:eastAsia="zh-CN" w:bidi="zh-CN"/>
        </w:rPr>
      </w:pPr>
      <w:bookmarkStart w:id="104" w:name="_Toc20228"/>
      <w:bookmarkStart w:id="105" w:name="_Toc527"/>
      <w:bookmarkStart w:id="106" w:name="_Toc11230"/>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号）、《宁夏回族自治区项目支出绩效评价管理指南》（宁财（绩）发〔2022〕377号）等文件规定，按照本项目初步设计批复或备案资料、年度预算指标文件、基本建设与政府投资项目管理办法、项目绩效目标等文件资料确定的计划任务目标、预算额度、质量管理和时效要求作为评价的标准。</w:t>
      </w:r>
      <w:bookmarkEnd w:id="104"/>
      <w:bookmarkEnd w:id="105"/>
      <w:bookmarkEnd w:id="106"/>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107" w:name="_Toc11494"/>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101"/>
      <w:bookmarkEnd w:id="102"/>
      <w:bookmarkEnd w:id="107"/>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color w:val="0000FF"/>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同心县科学技术局种养废弃物肥料化高值化利用技术引进示范项目根据《项目支出绩效评价管理办法》（财预〔2020〕10 号）设定的评价指标体系框架，结合项目属性和特点，按照重要性、相</w:t>
      </w:r>
      <w:r>
        <w:rPr>
          <w:rFonts w:hint="eastAsia" w:ascii="Times New Roman" w:hAnsi="Times New Roman" w:eastAsia="方正仿宋_GBK" w:cs="Times New Roman"/>
          <w:b w:val="0"/>
          <w:bCs w:val="0"/>
          <w:color w:val="0000FF"/>
          <w:kern w:val="0"/>
          <w:sz w:val="30"/>
          <w:szCs w:val="30"/>
          <w:lang w:val="en-US" w:eastAsia="zh-CN" w:bidi="zh-CN"/>
        </w:rPr>
        <w:t>关性、</w:t>
      </w:r>
      <w:r>
        <w:rPr>
          <w:rFonts w:hint="eastAsia" w:ascii="仿宋" w:hAnsi="仿宋" w:eastAsia="仿宋" w:cs="仿宋"/>
          <w:color w:val="0000FF"/>
          <w:kern w:val="0"/>
          <w:sz w:val="30"/>
          <w:szCs w:val="30"/>
          <w:lang w:val="en-US" w:eastAsia="zh-CN" w:bidi="ar"/>
        </w:rPr>
        <w:t>可衡量、系统性、经济性，以及</w:t>
      </w:r>
      <w:r>
        <w:rPr>
          <w:rFonts w:hint="eastAsia" w:ascii="Times New Roman" w:hAnsi="Times New Roman" w:eastAsia="方正仿宋_GBK" w:cs="Times New Roman"/>
          <w:b w:val="0"/>
          <w:bCs w:val="0"/>
          <w:color w:val="0000FF"/>
          <w:kern w:val="0"/>
          <w:sz w:val="30"/>
          <w:szCs w:val="30"/>
          <w:lang w:val="en-US" w:eastAsia="zh-CN" w:bidi="zh-CN"/>
        </w:rPr>
        <w:t>评价对象、目标任务及资金管理要求，评价一级指标涵盖项目全周期，由决策、过程、产出和效益 4 个一级指标构成，同时对应分解并设置 12 个二级指标、23 个三级指标。</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b w:val="0"/>
          <w:bCs w:val="0"/>
          <w:color w:val="0000FF"/>
          <w:kern w:val="0"/>
          <w:sz w:val="30"/>
          <w:szCs w:val="30"/>
          <w:lang w:val="en-US" w:eastAsia="zh-CN" w:bidi="zh-CN"/>
        </w:rPr>
      </w:pPr>
      <w:r>
        <w:rPr>
          <w:rFonts w:hint="eastAsia" w:ascii="Times New Roman" w:hAnsi="Times New Roman" w:eastAsia="方正仿宋_GBK" w:cs="Times New Roman"/>
          <w:b w:val="0"/>
          <w:bCs w:val="0"/>
          <w:color w:val="0000FF"/>
          <w:kern w:val="0"/>
          <w:sz w:val="30"/>
          <w:szCs w:val="30"/>
          <w:lang w:val="en-US" w:eastAsia="zh-CN" w:bidi="zh-CN"/>
        </w:rPr>
        <w:t>指标权重突出结果导向，根据各项指标在评价体系中的重要程度确定，其中：决策指标</w:t>
      </w:r>
      <w:r>
        <w:rPr>
          <w:rFonts w:hint="default" w:ascii="Times New Roman" w:hAnsi="Times New Roman" w:eastAsia="方正仿宋_GBK" w:cs="Times New Roman"/>
          <w:b w:val="0"/>
          <w:bCs w:val="0"/>
          <w:color w:val="0000FF"/>
          <w:kern w:val="0"/>
          <w:sz w:val="30"/>
          <w:szCs w:val="30"/>
          <w:lang w:val="en-US" w:eastAsia="zh-CN" w:bidi="zh-CN"/>
        </w:rPr>
        <w:t>权重占比 20%，过程指标权重占比 20%，产出指标权重占比 3</w:t>
      </w:r>
      <w:r>
        <w:rPr>
          <w:rFonts w:hint="eastAsia" w:ascii="Times New Roman" w:hAnsi="Times New Roman" w:eastAsia="方正仿宋_GBK" w:cs="Times New Roman"/>
          <w:b w:val="0"/>
          <w:bCs w:val="0"/>
          <w:color w:val="0000FF"/>
          <w:kern w:val="0"/>
          <w:sz w:val="30"/>
          <w:szCs w:val="30"/>
          <w:lang w:val="en-US" w:eastAsia="zh-CN" w:bidi="zh-CN"/>
        </w:rPr>
        <w:t>4</w:t>
      </w:r>
      <w:r>
        <w:rPr>
          <w:rFonts w:hint="default" w:ascii="Times New Roman" w:hAnsi="Times New Roman" w:eastAsia="方正仿宋_GBK" w:cs="Times New Roman"/>
          <w:b w:val="0"/>
          <w:bCs w:val="0"/>
          <w:color w:val="0000FF"/>
          <w:kern w:val="0"/>
          <w:sz w:val="30"/>
          <w:szCs w:val="30"/>
          <w:lang w:val="en-US" w:eastAsia="zh-CN" w:bidi="zh-CN"/>
        </w:rPr>
        <w:t>%，效益指标权重占比</w:t>
      </w:r>
      <w:r>
        <w:rPr>
          <w:rFonts w:hint="eastAsia" w:ascii="Times New Roman" w:hAnsi="Times New Roman" w:eastAsia="方正仿宋_GBK" w:cs="Times New Roman"/>
          <w:b w:val="0"/>
          <w:bCs w:val="0"/>
          <w:color w:val="0000FF"/>
          <w:kern w:val="0"/>
          <w:sz w:val="30"/>
          <w:szCs w:val="30"/>
          <w:lang w:val="en-US" w:eastAsia="zh-CN" w:bidi="zh-CN"/>
        </w:rPr>
        <w:t>26</w:t>
      </w:r>
      <w:r>
        <w:rPr>
          <w:rFonts w:hint="default" w:ascii="Times New Roman" w:hAnsi="Times New Roman" w:eastAsia="方正仿宋_GBK" w:cs="Times New Roman"/>
          <w:b w:val="0"/>
          <w:bCs w:val="0"/>
          <w:color w:val="0000FF"/>
          <w:kern w:val="0"/>
          <w:sz w:val="30"/>
          <w:szCs w:val="30"/>
          <w:lang w:val="en-US" w:eastAsia="zh-CN" w:bidi="zh-CN"/>
        </w:rPr>
        <w:t>%。</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决策类指标包括项目立项、绩效目标和资金投入 3 个二级指标，同时对应分解并选择设置立项依据充分性、立项程序规范性、绩效目标合理性、绩效指标明确性、预算编制科学性、资金分配合理性 6 个三级指标，分别对项目立项、绩效目标和资金投入情况进行考察评判。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过程类指标包括资金管理和组织实施2个二级指标，同时对应分解并选择设置资金到位率、预算执行率、资金使用合规性、管理制度健全性和制度执行有效性5个三级指标，分别对项目资金管理和组织实施情况进行考察评判。</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产出类指标包括产出数量、产出质量、产出时效和产出成本 4 个二级指标，同时对应分解并选择设置年度建设实施项目个数、实施项目整体完成率、招投标程序合规率、工程验收质量达标率、项目开工及完工及时率、结算审核及竣工验收及时率、竣工财务决算完成及时率和工程建设投资总成本等 8 个三级指标，分别对项目产出情况进行考察评判。</w:t>
      </w:r>
    </w:p>
    <w:p>
      <w:pPr>
        <w:keepNext w:val="0"/>
        <w:keepLines w:val="0"/>
        <w:pageBreakBefore w:val="0"/>
        <w:widowControl/>
        <w:suppressLineNumbers w:val="0"/>
        <w:kinsoku/>
        <w:wordWrap/>
        <w:overflowPunct w:val="0"/>
        <w:topLinePunct w:val="0"/>
        <w:autoSpaceDE/>
        <w:autoSpaceDN/>
        <w:bidi w:val="0"/>
        <w:adjustRightInd/>
        <w:snapToGrid/>
        <w:jc w:val="left"/>
        <w:textAlignment w:val="auto"/>
        <w:rPr>
          <w:i w:val="0"/>
          <w:iCs w:val="0"/>
        </w:rPr>
      </w:pPr>
      <w:r>
        <w:rPr>
          <w:rFonts w:hint="eastAsia" w:ascii="Times New Roman" w:hAnsi="Times New Roman" w:eastAsia="方正仿宋_GBK" w:cs="Times New Roman"/>
          <w:b w:val="0"/>
          <w:bCs w:val="0"/>
          <w:kern w:val="0"/>
          <w:sz w:val="30"/>
          <w:szCs w:val="30"/>
          <w:lang w:val="en-US" w:eastAsia="zh-CN" w:bidi="zh-CN"/>
        </w:rPr>
        <w:t>效益类指标包括项目社会效益、可持续影响和满意度3个二级指标，同时对应分解并选择设置红色旅游产业发展、增强红色教育、机制维护健全性和受益对象满意度4个三级指标进行考察评判。</w:t>
      </w:r>
      <w:r>
        <w:rPr>
          <w:rFonts w:ascii="仿宋" w:hAnsi="仿宋" w:eastAsia="仿宋" w:cs="仿宋"/>
          <w:b/>
          <w:bCs/>
          <w:i w:val="0"/>
          <w:iCs w:val="0"/>
          <w:color w:val="000000"/>
          <w:kern w:val="0"/>
          <w:sz w:val="27"/>
          <w:szCs w:val="27"/>
          <w:lang w:val="en-US" w:eastAsia="zh-CN" w:bidi="ar"/>
        </w:rPr>
        <w:t>具体评价指标体系表详见附件 2</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08" w:name="_Toc3290"/>
      <w:bookmarkStart w:id="109" w:name="_Toc11592"/>
      <w:bookmarkStart w:id="110" w:name="_Toc13700"/>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分为良；60（含）-80分为中；60分以下为差。</w:t>
      </w:r>
      <w:bookmarkEnd w:id="108"/>
      <w:bookmarkEnd w:id="109"/>
      <w:bookmarkEnd w:id="110"/>
    </w:p>
    <w:tbl>
      <w:tblPr>
        <w:tblStyle w:val="21"/>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90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80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60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差</w:t>
            </w:r>
          </w:p>
        </w:tc>
      </w:tr>
    </w:tbl>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111" w:name="_Toc26619"/>
      <w:bookmarkStart w:id="112" w:name="_Toc31420"/>
      <w:bookmarkStart w:id="113" w:name="_Toc3585"/>
      <w:r>
        <w:rPr>
          <w:rFonts w:hint="eastAsia" w:ascii="方正楷体_GBK" w:hAnsi="方正楷体_GBK" w:eastAsia="方正楷体_GBK" w:cs="方正楷体_GBK"/>
          <w:color w:val="auto"/>
          <w:sz w:val="30"/>
          <w:szCs w:val="30"/>
          <w:lang w:eastAsia="zh-CN"/>
        </w:rPr>
        <w:t>（</w:t>
      </w:r>
      <w:r>
        <w:rPr>
          <w:rFonts w:hint="eastAsia" w:ascii="方正楷体_GBK" w:hAnsi="方正楷体_GBK" w:eastAsia="方正楷体_GBK" w:cs="方正楷体_GBK"/>
          <w:color w:val="auto"/>
          <w:sz w:val="30"/>
          <w:szCs w:val="30"/>
          <w:lang w:val="en-US" w:eastAsia="zh-CN"/>
        </w:rPr>
        <w:t>七</w:t>
      </w:r>
      <w:r>
        <w:rPr>
          <w:rFonts w:hint="eastAsia" w:ascii="方正楷体_GBK" w:hAnsi="方正楷体_GBK" w:eastAsia="方正楷体_GBK" w:cs="方正楷体_GBK"/>
          <w:color w:val="auto"/>
          <w:sz w:val="30"/>
          <w:szCs w:val="30"/>
          <w:lang w:eastAsia="zh-CN"/>
        </w:rPr>
        <w:t>）</w:t>
      </w:r>
      <w:r>
        <w:rPr>
          <w:rFonts w:hint="eastAsia" w:ascii="方正楷体_GBK" w:hAnsi="方正楷体_GBK" w:eastAsia="方正楷体_GBK" w:cs="方正楷体_GBK"/>
          <w:color w:val="auto"/>
          <w:sz w:val="30"/>
          <w:szCs w:val="30"/>
        </w:rPr>
        <w:t>评价方法</w:t>
      </w:r>
      <w:bookmarkEnd w:id="111"/>
      <w:bookmarkEnd w:id="112"/>
      <w:bookmarkEnd w:id="113"/>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14" w:name="_Toc8518"/>
      <w:bookmarkStart w:id="115" w:name="_Toc23890"/>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14"/>
      <w:bookmarkEnd w:id="115"/>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仿宋_GBK" w:hAnsi="方正仿宋_GBK" w:eastAsia="方正仿宋_GBK" w:cs="方正仿宋_GBK"/>
          <w:b w:val="0"/>
          <w:color w:val="auto"/>
          <w:kern w:val="2"/>
          <w:sz w:val="30"/>
          <w:szCs w:val="30"/>
          <w:highlight w:val="none"/>
          <w:lang w:val="en-US" w:eastAsia="zh-CN" w:bidi="ar-SA"/>
        </w:rPr>
      </w:pPr>
      <w:bookmarkStart w:id="116" w:name="_Toc32670"/>
      <w:bookmarkStart w:id="117" w:name="_Toc16900"/>
      <w:r>
        <w:rPr>
          <w:rFonts w:hint="eastAsia" w:ascii="方正仿宋_GBK" w:hAnsi="方正仿宋_GBK" w:eastAsia="方正仿宋_GBK" w:cs="方正仿宋_GBK"/>
          <w:b w:val="0"/>
          <w:color w:val="auto"/>
          <w:kern w:val="2"/>
          <w:sz w:val="30"/>
          <w:szCs w:val="30"/>
          <w:highlight w:val="none"/>
          <w:lang w:val="en-US" w:eastAsia="zh-CN" w:bidi="ar-SA"/>
        </w:rPr>
        <w:t>同心县科学技术局种养废弃物肥料化高值化利用技术引进示范项目事中绩效评价主要采用因素分析法、比较法、现场核查法、公众评判法进行综合评价。具体评价方法如下：</w:t>
      </w:r>
      <w:bookmarkEnd w:id="116"/>
      <w:bookmarkEnd w:id="117"/>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b w:val="0"/>
          <w:color w:val="auto"/>
          <w:kern w:val="2"/>
          <w:sz w:val="30"/>
          <w:szCs w:val="30"/>
          <w:highlight w:val="none"/>
          <w:lang w:val="en-US" w:eastAsia="zh-CN" w:bidi="ar-SA"/>
        </w:rPr>
        <w:t>同心县科学技术局种养废弃物肥料化高值化利用技术引进示范项目</w:t>
      </w:r>
      <w:r>
        <w:rPr>
          <w:rFonts w:hint="default" w:ascii="Times New Roman" w:hAnsi="Times New Roman" w:eastAsia="方正仿宋_GBK" w:cs="Times New Roman"/>
          <w:b w:val="0"/>
          <w:color w:val="auto"/>
          <w:kern w:val="2"/>
          <w:sz w:val="30"/>
          <w:szCs w:val="30"/>
          <w:highlight w:val="none"/>
          <w:lang w:val="en-US" w:eastAsia="zh-CN" w:bidi="ar-SA"/>
        </w:rPr>
        <w:t>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w:t>
      </w:r>
      <w:r>
        <w:rPr>
          <w:rFonts w:hint="eastAsia" w:ascii="Times New Roman" w:hAnsi="Times New Roman" w:eastAsia="方正仿宋_GBK" w:cs="Times New Roman"/>
          <w:b w:val="0"/>
          <w:color w:val="auto"/>
          <w:kern w:val="2"/>
          <w:sz w:val="30"/>
          <w:szCs w:val="30"/>
          <w:highlight w:val="none"/>
          <w:lang w:val="en-US" w:eastAsia="zh-CN" w:bidi="ar-SA"/>
        </w:rPr>
        <w:t>同心县科学技术局种养废弃物肥料化高值化利用技术引进示范项目</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种养废弃物肥料化高值化利用技术引进示范项目</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种养废弃物肥料化高值化利用技术引进示范项目</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三是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现场核查。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公众评判法。</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公众评判法是指通过公众问卷等方式进行评判的方法。我们按照项目类型分别设计项目受益单位或群体、服务对象两种调查问卷，开展线上或线下满意度调查，用以了解项目实施效率及效果。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18" w:name="_Toc17660"/>
      <w:bookmarkStart w:id="119" w:name="_Toc14287"/>
      <w:bookmarkStart w:id="120" w:name="_Toc15372"/>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18"/>
      <w:bookmarkEnd w:id="119"/>
      <w:bookmarkEnd w:id="120"/>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本次绩效评价自2023年11月</w:t>
      </w:r>
      <w:r>
        <w:rPr>
          <w:rFonts w:hint="eastAsia" w:ascii="Times New Roman" w:hAnsi="Times New Roman" w:eastAsia="方正仿宋_GBK" w:cs="Times New Roman"/>
          <w:color w:val="auto"/>
          <w:kern w:val="2"/>
          <w:sz w:val="30"/>
          <w:szCs w:val="30"/>
          <w:highlight w:val="none"/>
          <w:lang w:val="en-US" w:eastAsia="zh-CN" w:bidi="ar-SA"/>
        </w:rPr>
        <w:t>30</w:t>
      </w:r>
      <w:r>
        <w:rPr>
          <w:rFonts w:hint="default" w:ascii="Times New Roman" w:hAnsi="Times New Roman" w:eastAsia="方正仿宋_GBK" w:cs="Times New Roman"/>
          <w:color w:val="auto"/>
          <w:kern w:val="2"/>
          <w:sz w:val="30"/>
          <w:szCs w:val="30"/>
          <w:highlight w:val="none"/>
          <w:lang w:val="en-US" w:eastAsia="zh-CN" w:bidi="ar-SA"/>
        </w:rPr>
        <w:t>日开始，至本报告出具日工作全面完成。具体包括前期准备、组织实施、分析评价、意见征询和提交报告四个阶段。</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r>
        <w:rPr>
          <w:rFonts w:hint="eastAsia" w:ascii="Times New Roman" w:hAnsi="Times New Roman" w:eastAsia="方正仿宋_GBK" w:cs="Times New Roman"/>
          <w:b/>
          <w:bCs/>
          <w:color w:val="auto"/>
          <w:kern w:val="2"/>
          <w:sz w:val="30"/>
          <w:szCs w:val="30"/>
          <w:highlight w:val="none"/>
          <w:lang w:val="en-US" w:eastAsia="zh-CN" w:bidi="ar-SA"/>
        </w:rPr>
        <w:t>阶段</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2.组织实施阶段</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（1）</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3.数据集中分析阶段</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主要工作内容包括： 综合分析评价项目实施情况、撰写报告。</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 综合分析评价。</w:t>
      </w:r>
      <w:r>
        <w:rPr>
          <w:rFonts w:hint="eastAsia" w:ascii="Times New Roman" w:hAnsi="Times New Roman" w:eastAsia="方正仿宋_GBK" w:cs="Times New Roman"/>
          <w:color w:val="auto"/>
          <w:kern w:val="2"/>
          <w:sz w:val="30"/>
          <w:szCs w:val="30"/>
          <w:highlight w:val="none"/>
          <w:lang w:val="en-US" w:eastAsia="zh-CN" w:bidi="ar-SA"/>
        </w:rPr>
        <w:t>对采集的资料和数据进行系统的汇集及综合分析，按照评价工作方案设定的评价指标、标准和方法，对宁南医院子项目的绩效情况进行全面的分析评价，形成评价结果。</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（2）撰写评价报告。</w:t>
      </w:r>
      <w:r>
        <w:rPr>
          <w:rFonts w:hint="eastAsia" w:ascii="Times New Roman" w:hAnsi="Times New Roman" w:eastAsia="方正仿宋_GBK" w:cs="Times New Roman"/>
          <w:color w:val="auto"/>
          <w:kern w:val="2"/>
          <w:sz w:val="30"/>
          <w:szCs w:val="30"/>
          <w:highlight w:val="none"/>
          <w:lang w:val="en-US" w:eastAsia="zh-CN" w:bidi="ar-SA"/>
        </w:rPr>
        <w:t>根据综合分析评价结果及相关数据等资料撰写绩效评价报告初稿。绩效评价报告包含了项目基本情况、绩效评价工作开展情况、综合评价情况及评价结论、绩效评价指标分析情况、主要经验及做法、存在的问题及原因分析和建议六大部分，又进一步细分为项目概况、项目绩效目标、项目绩效评价目的、绩效评价原则、绩效评价的对象和范围、绩效评价的依据、绩效评价指标体系、评价标准、评价方法、项目决策情况分析、项目过程情况分析、项目产出情况分析、项目效益情况分析等具体内容。</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bookmarkStart w:id="121" w:name="_Toc23927"/>
      <w:bookmarkStart w:id="122" w:name="_Toc15926"/>
      <w:r>
        <w:rPr>
          <w:rFonts w:hint="eastAsia" w:ascii="Times New Roman" w:hAnsi="Times New Roman" w:eastAsia="方正仿宋_GBK" w:cs="Times New Roman"/>
          <w:b/>
          <w:bCs/>
          <w:color w:val="auto"/>
          <w:kern w:val="2"/>
          <w:sz w:val="30"/>
          <w:szCs w:val="30"/>
          <w:highlight w:val="none"/>
          <w:lang w:val="en-US" w:eastAsia="zh-CN" w:bidi="ar-SA"/>
        </w:rPr>
        <w:t>4.征询意见和提交报告阶段</w:t>
      </w:r>
    </w:p>
    <w:p>
      <w:pPr>
        <w:pStyle w:val="3"/>
        <w:keepNext/>
        <w:keepLines/>
        <w:pageBreakBefore w:val="0"/>
        <w:widowControl w:val="0"/>
        <w:kinsoku/>
        <w:wordWrap/>
        <w:overflowPunct w:val="0"/>
        <w:topLinePunct w:val="0"/>
        <w:autoSpaceDE/>
        <w:autoSpaceDN/>
        <w:bidi w:val="0"/>
        <w:adjustRightInd/>
        <w:snapToGrid/>
        <w:spacing w:beforeLines="0" w:afterLines="0"/>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123" w:name="_Toc27482"/>
      <w:bookmarkStart w:id="124" w:name="_Toc9592"/>
      <w:r>
        <w:rPr>
          <w:rFonts w:hint="eastAsia" w:ascii="Times New Roman" w:hAnsi="Times New Roman" w:eastAsia="方正仿宋_GBK" w:cs="Times New Roman"/>
          <w:color w:val="auto"/>
          <w:kern w:val="2"/>
          <w:sz w:val="30"/>
          <w:szCs w:val="30"/>
          <w:highlight w:val="none"/>
          <w:lang w:val="en-US" w:eastAsia="zh-CN" w:bidi="ar-SA"/>
        </w:rPr>
        <w:t>形成绩效评价报告初稿后送被评价单位和委托单位征求意见；分析听取反馈意见，对反馈的意见逐一核实，逐条说明采纳或不予采纳的理由，并根据反馈的有效意见对评价报告初稿进行修改。再经内部三级质量控制审核后出具正式绩效评价报告。</w:t>
      </w:r>
      <w:bookmarkEnd w:id="123"/>
      <w:bookmarkEnd w:id="124"/>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125" w:name="_Toc25375"/>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121"/>
      <w:bookmarkEnd w:id="122"/>
      <w:bookmarkEnd w:id="125"/>
    </w:p>
    <w:p>
      <w:pPr>
        <w:pStyle w:val="4"/>
        <w:bidi w:val="0"/>
        <w:rPr>
          <w:rFonts w:hint="default"/>
          <w:lang w:val="en-US" w:eastAsia="zh-CN"/>
        </w:rPr>
      </w:pPr>
      <w:bookmarkStart w:id="126" w:name="_Toc4393"/>
      <w:r>
        <w:rPr>
          <w:rFonts w:hint="eastAsia"/>
          <w:lang w:val="en-US" w:eastAsia="zh-CN"/>
        </w:rPr>
        <w:t>（一）项目完成情况</w:t>
      </w:r>
      <w:bookmarkEnd w:id="126"/>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宁夏平态林生物有机肥料有限公司的项目实施方案、技术转让合同、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在一般债券资金限额和预算管理方面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能够对债券资金项目使用、执行和绩效进行穿透式管理，资金投向合规、资金管理严格，风险防范有效，确保资金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25.00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25.00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25.00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adjustRightInd w:val="0"/>
        <w:snapToGrid w:val="0"/>
        <w:spacing w:line="560" w:lineRule="exact"/>
        <w:ind w:firstLine="592" w:firstLineChars="200"/>
        <w:rPr>
          <w:rFonts w:hint="default"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 xml:space="preserve">在项目产出方面： </w:t>
      </w:r>
      <w:r>
        <w:rPr>
          <w:rFonts w:hint="eastAsia" w:ascii="Times New Roman" w:hAnsi="Times New Roman" w:eastAsia="方正仿宋_GBK" w:cs="Times New Roman"/>
          <w:color w:val="auto"/>
          <w:kern w:val="2"/>
          <w:sz w:val="30"/>
          <w:szCs w:val="30"/>
          <w:highlight w:val="none"/>
          <w:lang w:val="en-US" w:eastAsia="zh-CN" w:bidi="ar-SA"/>
        </w:rPr>
        <w:t>建立了种养废弃物槽式好氧堆肥快速发酵制造高品质有机肥工艺及生产线1套，年处理种养废弃物6万吨，年产高品质生物有机肥3万吨；打造畜禽粪便－种植业枝条－有机肥－中药材种植循环利用示范样板1个，核心示范面积500亩；帮助丁塘镇、下马关镇、预旺镇、河西镇、王团镇无害化处理粪便及有机废弃物2 万吨；打造畜禽粪便－种植业枝条－有机肥－中药材种植循环利用示范样板1个；功能性有机肥施用可带动银柴胡产量增加 10%，以4万亩银柴胡计，可增加农民收入25万元以上，以年产3万吨有机肥计，产品升级后可增加利润约200元/每吨。项目整体完成较好，达成年初设定目标任务。</w:t>
      </w:r>
    </w:p>
    <w:p>
      <w:pPr>
        <w:adjustRightInd w:val="0"/>
        <w:snapToGrid w:val="0"/>
        <w:spacing w:line="560" w:lineRule="exact"/>
        <w:ind w:firstLine="592" w:firstLineChars="20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color w:val="auto"/>
          <w:kern w:val="2"/>
          <w:sz w:val="30"/>
          <w:szCs w:val="30"/>
          <w:highlight w:val="none"/>
          <w:lang w:val="en-US" w:eastAsia="zh-CN" w:bidi="ar-SA"/>
        </w:rPr>
        <w:t>项目的实施将有效改善区域中小规模化养殖与环境安全条件，促进养殖业生产与生态环境协调发展，有效助力乡村振兴、县域经济的发展。</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color w:val="0000FF"/>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畜禽粪污治理和资源化利用，是农村生态环境保护工作的重点和难点，对于改善农村生态环境质量，提高农业绿色发展水平，促进农产品增产提质，具有重要意义。</w:t>
      </w:r>
    </w:p>
    <w:p>
      <w:pPr>
        <w:pStyle w:val="4"/>
        <w:bidi w:val="0"/>
        <w:rPr>
          <w:rFonts w:hint="default"/>
          <w:lang w:val="en-US" w:eastAsia="zh-CN"/>
        </w:rPr>
      </w:pPr>
      <w:bookmarkStart w:id="127" w:name="_Toc1324"/>
      <w:r>
        <w:rPr>
          <w:rFonts w:hint="eastAsia"/>
          <w:lang w:val="en-US" w:eastAsia="zh-CN"/>
        </w:rPr>
        <w:t>（二）评价结论</w:t>
      </w:r>
      <w:bookmarkEnd w:id="127"/>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b w:val="0"/>
          <w:color w:val="auto"/>
          <w:kern w:val="2"/>
          <w:sz w:val="30"/>
          <w:szCs w:val="30"/>
          <w:highlight w:val="none"/>
          <w:lang w:val="en-US" w:eastAsia="zh-CN" w:bidi="ar-SA"/>
        </w:rPr>
        <w:t>同心县科学技术局种养废弃物肥料化高值化利用技术引进示范项目</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实施内容符合国家、自治区及</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同心县一般债券</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%，产出效果较明显。项目实施单位资金支出较规范，未发现截留、挤占、挪用、虚列支出等情况，管理制度基本健全且得到有效执行</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对项目实施起到了积极的推动作用。但还存在项目进度缓慢、设备未投入使用等问题。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28" w:name="_Toc9214"/>
      <w:bookmarkStart w:id="129" w:name="_Toc14682"/>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绩效评价等级分为优、良、中、差四档。评价得分为［90、100］分、评级为优</w:t>
      </w:r>
      <w:r>
        <w:rPr>
          <w:rFonts w:hint="default" w:ascii="Times New Roman" w:hAnsi="Times New Roman" w:eastAsia="方正仿宋_GBK" w:cs="Times New Roman"/>
          <w:color w:val="000000" w:themeColor="text1"/>
          <w:kern w:val="2"/>
          <w:sz w:val="30"/>
          <w:szCs w:val="30"/>
          <w:highlight w:val="none"/>
          <w:lang w:eastAsia="zh-CN" w:bidi="ar-SA"/>
          <w14:textFill>
            <w14:solidFill>
              <w14:schemeClr w14:val="tx1"/>
            </w14:solidFill>
          </w14:textFill>
        </w:rPr>
        <w:t>；</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［80、90］分、评级为良；［60、80］分、评级为中；60分以下评级为差。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“92.00”分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，评定等级为“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优</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34.00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13.00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29.5</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65.00%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86.76%</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76.92%</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82.50%</w:t>
            </w:r>
          </w:p>
        </w:tc>
      </w:tr>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30" w:name="_Toc13356"/>
      <w:r>
        <w:rPr>
          <w:rFonts w:hint="eastAsia" w:asciiTheme="majorEastAsia" w:hAnsiTheme="majorEastAsia" w:eastAsiaTheme="majorEastAsia" w:cstheme="majorEastAsia"/>
          <w:b/>
          <w:bCs/>
          <w:sz w:val="32"/>
          <w:szCs w:val="32"/>
          <w:lang w:val="en-US" w:eastAsia="zh-CN"/>
        </w:rPr>
        <w:t>六、绩效评价指标分析</w:t>
      </w:r>
      <w:bookmarkEnd w:id="128"/>
      <w:bookmarkEnd w:id="129"/>
      <w:bookmarkEnd w:id="130"/>
    </w:p>
    <w:p>
      <w:pPr>
        <w:pStyle w:val="4"/>
        <w:bidi w:val="0"/>
        <w:rPr>
          <w:rFonts w:hint="eastAsia"/>
        </w:rPr>
      </w:pPr>
      <w:bookmarkStart w:id="131" w:name="_Toc13765"/>
      <w:bookmarkStart w:id="132" w:name="_Toc24502"/>
      <w:bookmarkStart w:id="133" w:name="_Toc24905"/>
      <w:r>
        <w:rPr>
          <w:rFonts w:hint="eastAsia"/>
        </w:rPr>
        <w:t>（一）项目决策情况分析</w:t>
      </w:r>
      <w:bookmarkEnd w:id="131"/>
      <w:bookmarkEnd w:id="132"/>
      <w:bookmarkEnd w:id="133"/>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本项指标共设3个二级指标、6 个三级指标，权重分值 20 分，扣7.00 分，评价得分13.00 分，得分率为 65.00%。具体评价指标分析如下：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default" w:ascii="Times New Roman" w:hAnsi="Times New Roman" w:eastAsia="方正仿宋_GBK" w:cs="Times New Roman"/>
          <w:b/>
          <w:bCs/>
          <w:spacing w:val="1"/>
          <w:sz w:val="30"/>
          <w:szCs w:val="30"/>
          <w:lang w:val="en-US" w:eastAsia="zh-CN"/>
        </w:rPr>
      </w:pPr>
      <w:r>
        <w:rPr>
          <w:rFonts w:hint="default" w:ascii="Times New Roman" w:hAnsi="Times New Roman" w:eastAsia="方正仿宋_GBK" w:cs="Times New Roman"/>
          <w:b/>
          <w:bCs/>
          <w:spacing w:val="1"/>
          <w:sz w:val="30"/>
          <w:szCs w:val="30"/>
          <w:lang w:val="en-US" w:eastAsia="zh-CN"/>
        </w:rPr>
        <w:t>1.项目立项方面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default" w:ascii="Times New Roman" w:hAnsi="Times New Roman" w:eastAsia="方正仿宋_GBK"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2016年12月，习近平总书记在中央财经领导小组第十四次会议上强调，加快推进畜禽养殖废弃物处理和资源化，关系6亿多农村居民生产生活环境，关系农村能源革命，关系能不能不断改善土壤地力、治理好农业面源污染，是一件利国利民利长远的大好事。要坚持政府支持、企业主体、市场化运作的方针，以沼气和生物天然气为主要处理方向，以就地就近用于农村能源和农用有机肥为主要使用方向，力争在十二五"时期，基本解决大规模畜禽养殖场粪污处理和资源化问题。</w:t>
      </w:r>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K" w:cs="Times New Roman"/>
          <w:spacing w:val="1"/>
          <w:sz w:val="30"/>
          <w:szCs w:val="30"/>
          <w:lang w:eastAsia="zh-CN"/>
        </w:rPr>
      </w:pPr>
      <w:r>
        <w:rPr>
          <w:rFonts w:hint="eastAsia" w:ascii="Times New Roman" w:hAnsi="Times New Roman" w:eastAsia="方正仿宋_GBK" w:cs="Times New Roman"/>
          <w:spacing w:val="1"/>
          <w:sz w:val="30"/>
          <w:szCs w:val="30"/>
          <w:lang w:val="en-US" w:eastAsia="zh-CN"/>
        </w:rPr>
        <w:t>项目通过成果转化，创制臭气生物处理再利用设施，改进升级除臭保氮快速发酵技术和全套工艺，有效解决常规堆肥发酵环境污染和有机肥品质效果低下的问题。</w:t>
      </w:r>
    </w:p>
    <w:p>
      <w:pPr>
        <w:keepNext w:val="0"/>
        <w:keepLines w:val="0"/>
        <w:widowControl/>
        <w:suppressLineNumbers w:val="0"/>
        <w:jc w:val="left"/>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项目将畜禽粪便与中药材种植废弃物联合处理利用，耦合畜禽粪便和中药材枝条营养价值和功能，生产的有机肥具有改土、促根、抗病抗逆、防生等多重功能，有效解决废弃物环境污染的同时，实现中药材绿色有机种植，提升中药材品质和价值。</w:t>
      </w:r>
    </w:p>
    <w:p>
      <w:pPr>
        <w:keepNext w:val="0"/>
        <w:keepLines w:val="0"/>
        <w:widowControl/>
        <w:suppressLineNumbers w:val="0"/>
        <w:jc w:val="left"/>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项目采用种植养殖废弃物肥料化高值化循环利用模式，所有种植养殖废弃物及肥料化产品都在内部消化，实现废弃物“零”排放。</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eastAsia" w:ascii="Times New Roman" w:hAnsi="Times New Roman" w:eastAsia="方正仿宋_GBK" w:cs="Times New Roman"/>
          <w:color w:val="auto"/>
          <w:kern w:val="2"/>
          <w:sz w:val="30"/>
          <w:szCs w:val="30"/>
          <w:highlight w:val="none"/>
          <w:lang w:val="en-US" w:eastAsia="zh-CN" w:bidi="ar-SA"/>
        </w:rPr>
      </w:pPr>
      <w:bookmarkStart w:id="134" w:name="_Toc13859"/>
      <w:bookmarkStart w:id="135" w:name="_Toc13646"/>
      <w:r>
        <w:rPr>
          <w:rFonts w:hint="eastAsia" w:ascii="Times New Roman" w:hAnsi="Times New Roman" w:eastAsia="方正仿宋_GBK" w:cs="Times New Roman"/>
          <w:color w:val="auto"/>
          <w:kern w:val="2"/>
          <w:sz w:val="30"/>
          <w:szCs w:val="30"/>
          <w:highlight w:val="none"/>
          <w:lang w:val="en-US" w:eastAsia="zh-CN" w:bidi="ar-SA"/>
        </w:rPr>
        <w:t>项目立项符合行业发展规划和政策要求，与部门职责范围相符，立项依据充分。</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 xml:space="preserve">分，根据评分标准得 </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分。</w:t>
      </w:r>
      <w:bookmarkEnd w:id="134"/>
      <w:bookmarkEnd w:id="135"/>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sz w:val="30"/>
          <w:szCs w:val="30"/>
          <w:lang w:eastAsia="zh-CN"/>
        </w:rPr>
      </w:pPr>
      <w:r>
        <w:rPr>
          <w:rFonts w:hint="eastAsia" w:ascii="Times New Roman" w:hAnsi="Times New Roman" w:eastAsia="方正仿宋_GBK" w:cs="Times New Roman"/>
          <w:b/>
          <w:bCs/>
          <w:sz w:val="30"/>
          <w:szCs w:val="30"/>
          <w:lang w:val="en-US" w:eastAsia="zh-CN"/>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pageBreakBefore w:val="0"/>
        <w:widowControl w:val="0"/>
        <w:kinsoku/>
        <w:wordWrap/>
        <w:overflowPunct w:val="0"/>
        <w:topLinePunct/>
        <w:autoSpaceDE/>
        <w:autoSpaceDN/>
        <w:bidi w:val="0"/>
        <w:adjustRightInd/>
        <w:snapToGrid/>
        <w:spacing w:line="560" w:lineRule="exact"/>
        <w:ind w:firstLine="596" w:firstLineChars="200"/>
        <w:textAlignment w:val="auto"/>
        <w:outlineLvl w:val="0"/>
        <w:rPr>
          <w:rFonts w:hint="default" w:ascii="Times New Roman" w:hAnsi="Times New Roman" w:eastAsia="方正仿宋_GBK" w:cs="Times New Roman"/>
          <w:sz w:val="30"/>
          <w:szCs w:val="30"/>
        </w:rPr>
      </w:pPr>
      <w:bookmarkStart w:id="136" w:name="_Toc21762"/>
      <w:bookmarkStart w:id="137" w:name="_Toc21181"/>
      <w:r>
        <w:rPr>
          <w:rFonts w:hint="eastAsia" w:ascii="Times New Roman" w:hAnsi="Times New Roman" w:eastAsia="方正仿宋_GBK" w:cs="Times New Roman"/>
          <w:spacing w:val="1"/>
          <w:sz w:val="30"/>
          <w:szCs w:val="30"/>
          <w:lang w:val="en-US" w:eastAsia="zh-CN"/>
        </w:rPr>
        <w:t>该项目按照规定的程序审批，按照</w:t>
      </w:r>
      <w:r>
        <w:rPr>
          <w:rFonts w:hint="eastAsia"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w:t>
      </w:r>
      <w:r>
        <w:rPr>
          <w:rFonts w:hint="eastAsia" w:ascii="Times New Roman" w:hAnsi="Times New Roman" w:eastAsia="方正仿宋_GBK" w:cs="Times New Roman"/>
          <w:color w:val="auto"/>
          <w:kern w:val="2"/>
          <w:sz w:val="30"/>
          <w:szCs w:val="30"/>
          <w:highlight w:val="none"/>
          <w:lang w:val="en-US" w:eastAsia="zh-CN" w:bidi="ar-SA"/>
        </w:rPr>
        <w:t>《关于批准同心县本级财政 2022 年第二批新增政府一般债券资金预算调整方案的决议》（同人常发（2022） 24 号） ，形成会议纪要。实施程序符合相关规定的要求，立项程序完整，上交文件及材料符合相关要求。</w:t>
      </w:r>
      <w:r>
        <w:rPr>
          <w:rFonts w:ascii="仿宋" w:hAnsi="仿宋" w:eastAsia="仿宋" w:cs="仿宋"/>
          <w:color w:val="000000"/>
          <w:kern w:val="0"/>
          <w:sz w:val="30"/>
          <w:szCs w:val="30"/>
          <w:lang w:val="en-US" w:eastAsia="zh-CN" w:bidi="ar"/>
        </w:rPr>
        <w:t>项目实施条件成熟，前期</w:t>
      </w:r>
      <w:r>
        <w:rPr>
          <w:rFonts w:hint="eastAsia" w:ascii="仿宋" w:hAnsi="仿宋" w:eastAsia="仿宋" w:cs="仿宋"/>
          <w:color w:val="000000"/>
          <w:kern w:val="0"/>
          <w:sz w:val="30"/>
          <w:szCs w:val="30"/>
          <w:lang w:val="en-US" w:eastAsia="zh-CN" w:bidi="ar"/>
        </w:rPr>
        <w:t>准备工作充分；</w:t>
      </w:r>
      <w:r>
        <w:rPr>
          <w:rFonts w:hint="eastAsia" w:cs="仿宋"/>
          <w:color w:val="000000"/>
          <w:kern w:val="0"/>
          <w:sz w:val="30"/>
          <w:szCs w:val="30"/>
          <w:lang w:val="en-US" w:eastAsia="zh-CN" w:bidi="ar"/>
        </w:rPr>
        <w:t>宁夏平态林生物有机肥料有限公司</w:t>
      </w:r>
      <w:r>
        <w:rPr>
          <w:rFonts w:hint="eastAsia" w:ascii="仿宋" w:hAnsi="仿宋" w:eastAsia="仿宋" w:cs="仿宋"/>
          <w:color w:val="000000"/>
          <w:kern w:val="0"/>
          <w:sz w:val="30"/>
          <w:szCs w:val="30"/>
          <w:lang w:val="en-US" w:eastAsia="zh-CN" w:bidi="ar"/>
        </w:rPr>
        <w:t>资料真实完整，符合相关</w:t>
      </w:r>
      <w:r>
        <w:rPr>
          <w:rFonts w:hint="eastAsia" w:cs="仿宋"/>
          <w:color w:val="000000"/>
          <w:kern w:val="0"/>
          <w:sz w:val="30"/>
          <w:szCs w:val="30"/>
          <w:lang w:val="en-US" w:eastAsia="zh-CN" w:bidi="ar"/>
        </w:rPr>
        <w:t>要求</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分。</w:t>
      </w:r>
      <w:bookmarkEnd w:id="136"/>
      <w:bookmarkEnd w:id="137"/>
    </w:p>
    <w:p>
      <w:pPr>
        <w:keepNext w:val="0"/>
        <w:keepLines w:val="0"/>
        <w:pageBreakBefore w:val="0"/>
        <w:widowControl w:val="0"/>
        <w:numPr>
          <w:ilvl w:val="0"/>
          <w:numId w:val="3"/>
        </w:numPr>
        <w:kinsoku/>
        <w:wordWrap/>
        <w:overflowPunct w:val="0"/>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（1）绩效目标合理</w:t>
      </w:r>
      <w:r>
        <w:rPr>
          <w:rFonts w:hint="default" w:ascii="Times New Roman" w:hAnsi="Times New Roman" w:eastAsia="方正仿宋_GBK" w:cs="Times New Roman"/>
          <w:b/>
          <w:bCs/>
          <w:sz w:val="30"/>
          <w:szCs w:val="30"/>
          <w:lang w:val="en-US" w:eastAsia="zh-CN"/>
        </w:rPr>
        <w:t>性</w:t>
      </w:r>
    </w:p>
    <w:p>
      <w:pPr>
        <w:keepNext w:val="0"/>
        <w:keepLines w:val="0"/>
        <w:pageBreakBefore w:val="0"/>
        <w:widowControl w:val="0"/>
        <w:kinsoku/>
        <w:wordWrap/>
        <w:overflowPunct w:val="0"/>
        <w:topLinePunct/>
        <w:autoSpaceDE/>
        <w:autoSpaceDN/>
        <w:bidi w:val="0"/>
        <w:adjustRightInd/>
        <w:snapToGrid/>
        <w:spacing w:line="560" w:lineRule="exact"/>
        <w:ind w:leftChars="0" w:firstLine="592" w:firstLineChars="200"/>
        <w:textAlignment w:val="auto"/>
        <w:outlineLvl w:val="0"/>
        <w:rPr>
          <w:rFonts w:hint="default" w:ascii="Times New Roman" w:hAnsi="Times New Roman" w:eastAsia="方正仿宋_GBK" w:cs="Times New Roman"/>
          <w:sz w:val="30"/>
          <w:szCs w:val="30"/>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经现场绩效评价，</w:t>
      </w:r>
      <w:r>
        <w:rPr>
          <w:rFonts w:hint="eastAsia" w:ascii="Times New Roman" w:hAnsi="Times New Roman" w:eastAsia="方正仿宋_GBK" w:cs="Times New Roman"/>
          <w:b w:val="0"/>
          <w:color w:val="auto"/>
          <w:kern w:val="2"/>
          <w:sz w:val="30"/>
          <w:szCs w:val="30"/>
          <w:highlight w:val="none"/>
          <w:lang w:val="en-US" w:eastAsia="zh-CN" w:bidi="ar-SA"/>
        </w:rPr>
        <w:t>同心县科学技术局种养废弃物肥料化高值化利用技术引进示范项目</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从合理性和明确性两个方面，以项目实施方案中确定的总体目标、年度目标、各年度资金预算指标分配及项目支出预算绩效目标为依据，设置了具体的绩效目标，将主要任务具体细分为数量指标、质量指标、时效指标、成本指标、社会效益指标、可持续影响指标。其中数量指标含</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引进并应用科技成果数、引进区内外高层次人才数量及示范基地面积（亩）；效益指标经济效益、社会效益及生态效益指标等</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，绩效目标可量化、可细化，清晰可衡量</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项目绩效目标设定合理、明确。</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b/>
          <w:bCs/>
          <w:sz w:val="30"/>
          <w:szCs w:val="30"/>
          <w:lang w:val="en-US" w:eastAsia="zh-CN"/>
        </w:rPr>
        <w:t>绩效</w:t>
      </w:r>
      <w:r>
        <w:rPr>
          <w:rFonts w:hint="eastAsia" w:ascii="Times New Roman" w:hAnsi="Times New Roman" w:eastAsia="方正仿宋_GBK" w:cs="Times New Roman"/>
          <w:b/>
          <w:bCs/>
          <w:sz w:val="30"/>
          <w:szCs w:val="30"/>
          <w:lang w:val="en-US" w:eastAsia="zh-CN"/>
        </w:rPr>
        <w:t>指标</w:t>
      </w:r>
      <w:r>
        <w:rPr>
          <w:rFonts w:hint="default" w:ascii="Times New Roman" w:hAnsi="Times New Roman" w:eastAsia="方正仿宋_GBK" w:cs="Times New Roman"/>
          <w:b/>
          <w:bCs/>
          <w:sz w:val="30"/>
          <w:szCs w:val="30"/>
          <w:lang w:val="en-US" w:eastAsia="zh-CN"/>
        </w:rPr>
        <w:t>明确性</w:t>
      </w:r>
    </w:p>
    <w:p>
      <w:pPr>
        <w:keepNext w:val="0"/>
        <w:keepLines w:val="0"/>
        <w:pageBreakBefore w:val="0"/>
        <w:widowControl w:val="0"/>
        <w:kinsoku/>
        <w:wordWrap/>
        <w:overflowPunct w:val="0"/>
        <w:topLinePunct/>
        <w:autoSpaceDE/>
        <w:autoSpaceDN/>
        <w:bidi w:val="0"/>
        <w:adjustRightInd/>
        <w:snapToGrid/>
        <w:spacing w:line="560" w:lineRule="exact"/>
        <w:ind w:leftChars="0" w:firstLine="592" w:firstLineChars="200"/>
        <w:textAlignment w:val="auto"/>
        <w:outlineLvl w:val="0"/>
        <w:rPr>
          <w:rFonts w:hint="default" w:ascii="Times New Roman" w:hAnsi="Times New Roman" w:eastAsia="方正仿宋_GBK" w:cs="Times New Roman"/>
          <w:sz w:val="30"/>
          <w:szCs w:val="30"/>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实施单位评价范围内的项目结合工作内容设置年度绩效目标，同时细化产出指标、效益指标。</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3.资金投入情况方面</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b w:val="0"/>
          <w:spacing w:val="-3"/>
          <w:kern w:val="2"/>
          <w:sz w:val="30"/>
          <w:szCs w:val="30"/>
          <w:lang w:val="en-US" w:eastAsia="zh-CN" w:bidi="ar-SA"/>
        </w:rPr>
      </w:pP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（1）预算编制科学性</w:t>
      </w:r>
    </w:p>
    <w:p>
      <w:pPr>
        <w:adjustRightInd w:val="0"/>
        <w:snapToGrid w:val="0"/>
        <w:spacing w:line="560" w:lineRule="exact"/>
        <w:ind w:firstLine="580" w:firstLineChars="200"/>
        <w:rPr>
          <w:rFonts w:hint="default" w:ascii="Times New Roman" w:hAnsi="Times New Roman" w:eastAsia="方正仿宋_GBK" w:cs="Times New Roman"/>
          <w:b w:val="0"/>
          <w:spacing w:val="-3"/>
          <w:kern w:val="2"/>
          <w:sz w:val="30"/>
          <w:szCs w:val="30"/>
          <w:lang w:val="en-US" w:eastAsia="zh-CN" w:bidi="ar-SA"/>
        </w:rPr>
      </w:pPr>
      <w:r>
        <w:rPr>
          <w:rFonts w:hint="eastAsia" w:ascii="Times New Roman" w:hAnsi="Times New Roman" w:eastAsia="方正仿宋_GBK" w:cs="Times New Roman"/>
          <w:b w:val="0"/>
          <w:spacing w:val="-3"/>
          <w:kern w:val="2"/>
          <w:sz w:val="30"/>
          <w:szCs w:val="30"/>
          <w:lang w:val="en-US" w:eastAsia="zh-CN" w:bidi="ar-SA"/>
        </w:rPr>
        <w:t>同心县科学技术局种养废弃物肥料化高值化利用技术引进示范项目</w:t>
      </w:r>
      <w:r>
        <w:rPr>
          <w:rFonts w:hint="default" w:ascii="Times New Roman" w:hAnsi="Times New Roman" w:eastAsia="方正仿宋_GBK" w:cs="Times New Roman"/>
          <w:b w:val="0"/>
          <w:spacing w:val="-3"/>
          <w:kern w:val="2"/>
          <w:sz w:val="30"/>
          <w:szCs w:val="30"/>
          <w:lang w:val="en-US" w:eastAsia="zh-CN" w:bidi="ar-SA"/>
        </w:rPr>
        <w:t>实施内容与规模、经济技术指标和相关定额标准及规范要求，经对投资概算进行测算后，结合</w:t>
      </w:r>
      <w:r>
        <w:rPr>
          <w:rFonts w:hint="eastAsia" w:ascii="Times New Roman" w:hAnsi="Times New Roman" w:eastAsia="方正仿宋_GBK" w:cs="Times New Roman"/>
          <w:b w:val="0"/>
          <w:spacing w:val="-3"/>
          <w:kern w:val="2"/>
          <w:sz w:val="30"/>
          <w:szCs w:val="30"/>
          <w:lang w:val="en-US" w:eastAsia="zh-CN" w:bidi="ar-SA"/>
        </w:rPr>
        <w:t>同心县</w:t>
      </w:r>
      <w:r>
        <w:rPr>
          <w:rFonts w:hint="default" w:ascii="Times New Roman" w:hAnsi="Times New Roman" w:eastAsia="方正仿宋_GBK" w:cs="Times New Roman"/>
          <w:b w:val="0"/>
          <w:spacing w:val="-3"/>
          <w:kern w:val="2"/>
          <w:sz w:val="30"/>
          <w:szCs w:val="30"/>
          <w:lang w:val="en-US" w:eastAsia="zh-CN" w:bidi="ar-SA"/>
        </w:rPr>
        <w:t>推进</w:t>
      </w:r>
      <w:r>
        <w:rPr>
          <w:rFonts w:hint="eastAsia" w:ascii="Times New Roman" w:hAnsi="Times New Roman" w:eastAsia="方正仿宋_GBK" w:cs="Times New Roman"/>
          <w:b w:val="0"/>
          <w:spacing w:val="-3"/>
          <w:kern w:val="2"/>
          <w:sz w:val="30"/>
          <w:szCs w:val="30"/>
          <w:lang w:val="en-US" w:eastAsia="zh-CN" w:bidi="ar-SA"/>
        </w:rPr>
        <w:t>实施重点</w:t>
      </w:r>
      <w:r>
        <w:rPr>
          <w:rFonts w:hint="default" w:ascii="Times New Roman" w:hAnsi="Times New Roman" w:eastAsia="方正仿宋_GBK" w:cs="Times New Roman"/>
          <w:b w:val="0"/>
          <w:spacing w:val="-3"/>
          <w:kern w:val="2"/>
          <w:sz w:val="30"/>
          <w:szCs w:val="30"/>
          <w:lang w:val="en-US" w:eastAsia="zh-CN" w:bidi="ar-SA"/>
        </w:rPr>
        <w:t>工作计划</w:t>
      </w:r>
      <w:r>
        <w:rPr>
          <w:rFonts w:hint="eastAsia" w:ascii="Times New Roman" w:hAnsi="Times New Roman" w:eastAsia="方正仿宋_GBK" w:cs="Times New Roman"/>
          <w:b w:val="0"/>
          <w:spacing w:val="-3"/>
          <w:kern w:val="2"/>
          <w:sz w:val="30"/>
          <w:szCs w:val="30"/>
          <w:lang w:val="en-US" w:eastAsia="zh-CN" w:bidi="ar-SA"/>
        </w:rPr>
        <w:t>。宁夏平态林生物有机肥料有限公司种养废弃物肥料化高值化利用技术引进示范项目预算金额为55.00万元，其中财政专项拨款25.00万元、自筹经费30.00万元；</w:t>
      </w:r>
      <w:r>
        <w:rPr>
          <w:rFonts w:hint="default" w:ascii="Times New Roman" w:hAnsi="Times New Roman" w:eastAsia="方正仿宋_GBK" w:cs="Times New Roman"/>
          <w:b w:val="0"/>
          <w:spacing w:val="-3"/>
          <w:kern w:val="2"/>
          <w:sz w:val="30"/>
          <w:szCs w:val="30"/>
          <w:lang w:val="en-US" w:eastAsia="zh-CN" w:bidi="ar-SA"/>
        </w:rPr>
        <w:t>测算依据充分，预算内容与项目实施内容一致。本项满分 4 分，评价得分 4 分</w:t>
      </w:r>
      <w:r>
        <w:rPr>
          <w:rFonts w:hint="eastAsia" w:ascii="Times New Roman" w:hAnsi="Times New Roman" w:eastAsia="方正仿宋_GBK" w:cs="Times New Roman"/>
          <w:b w:val="0"/>
          <w:spacing w:val="-3"/>
          <w:kern w:val="2"/>
          <w:sz w:val="30"/>
          <w:szCs w:val="30"/>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根据《中共同心县委常务会议纪要》（十四届〔2021〕3 号）、</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人大常委会关于批准同心县本级财政2022年第二批新增政府一般债券资金预算调整方案的决议</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（同人常发</w:t>
      </w:r>
      <w:r>
        <w:rPr>
          <w:rFonts w:hint="eastAsia"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sz w:val="30"/>
          <w:szCs w:val="30"/>
          <w:lang w:val="en-US" w:eastAsia="zh-CN"/>
        </w:rPr>
        <w:t>24</w:t>
      </w:r>
      <w:r>
        <w:rPr>
          <w:rFonts w:hint="default" w:ascii="Times New Roman" w:hAnsi="Times New Roman" w:eastAsia="方正仿宋_GBK" w:cs="Times New Roman"/>
          <w:sz w:val="30"/>
          <w:szCs w:val="30"/>
          <w:lang w:val="en-US" w:eastAsia="zh-CN"/>
        </w:rPr>
        <w:t>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《关于同心县本级财政 2022 年第二批新增政府一般债券资金预算调整方案的报告</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关于同心县本级财政 2022 年第二批新增政府</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股债券资金预算调整方案</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草案</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的报告</w:t>
      </w:r>
      <w:r>
        <w:rPr>
          <w:rFonts w:hint="eastAsia" w:ascii="Times New Roman" w:hAnsi="Times New Roman" w:eastAsia="方正仿宋_GBK" w:cs="Times New Roman"/>
          <w:color w:val="auto"/>
          <w:kern w:val="2"/>
          <w:sz w:val="30"/>
          <w:szCs w:val="30"/>
          <w:highlight w:val="none"/>
          <w:lang w:val="en-US" w:eastAsia="zh-CN" w:bidi="ar-SA"/>
        </w:rPr>
        <w:t>》并结合项目实际的要求，同心县财政局对重点项目资金进行管理和分配，并对项目实施和资金使用情况进行监督检查。</w:t>
      </w:r>
      <w:r>
        <w:rPr>
          <w:rFonts w:hint="eastAsia" w:ascii="Times New Roman" w:hAnsi="Times New Roman" w:eastAsia="方正仿宋_GBK" w:cs="Times New Roman"/>
          <w:kern w:val="0"/>
          <w:sz w:val="30"/>
          <w:szCs w:val="30"/>
          <w:lang w:eastAsia="zh-CN" w:bidi="zh-CN"/>
        </w:rPr>
        <w:t>资金到位率</w:t>
      </w:r>
      <w:r>
        <w:rPr>
          <w:rFonts w:hint="eastAsia" w:ascii="Times New Roman" w:hAnsi="Times New Roman" w:eastAsia="方正仿宋_GBK" w:cs="Times New Roman"/>
          <w:kern w:val="0"/>
          <w:sz w:val="30"/>
          <w:szCs w:val="30"/>
          <w:lang w:val="en-US" w:eastAsia="zh-CN" w:bidi="zh-CN"/>
        </w:rPr>
        <w:t>100%。</w:t>
      </w:r>
      <w:r>
        <w:rPr>
          <w:rFonts w:hint="default" w:ascii="Times New Roman" w:hAnsi="Times New Roman" w:eastAsia="方正仿宋_GBK" w:cs="Times New Roman"/>
          <w:color w:val="auto"/>
          <w:kern w:val="2"/>
          <w:sz w:val="30"/>
          <w:szCs w:val="30"/>
          <w:highlight w:val="none"/>
          <w:lang w:val="en-US" w:eastAsia="zh-CN" w:bidi="ar-SA"/>
        </w:rPr>
        <w:t>该指标满分</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分，根据评分标准得</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分。</w:t>
      </w:r>
    </w:p>
    <w:p>
      <w:pPr>
        <w:pStyle w:val="4"/>
        <w:bidi w:val="0"/>
        <w:rPr>
          <w:rFonts w:hint="eastAsia"/>
          <w:lang w:val="en-US" w:eastAsia="zh-CN"/>
        </w:rPr>
      </w:pPr>
      <w:bookmarkStart w:id="138" w:name="_Toc23620"/>
      <w:r>
        <w:rPr>
          <w:rFonts w:hint="eastAsia"/>
          <w:lang w:val="en-US" w:eastAsia="zh-CN"/>
        </w:rPr>
        <w:t>（二）项目过程情况分析</w:t>
      </w:r>
      <w:bookmarkEnd w:id="138"/>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592" w:firstLineChars="200"/>
        <w:jc w:val="both"/>
        <w:textAlignment w:val="center"/>
        <w:rPr>
          <w:rFonts w:hint="default" w:ascii="方正楷体_GBK" w:hAnsi="方正楷体_GBK" w:eastAsia="方正楷体_GBK" w:cs="方正楷体_GBK"/>
          <w:b/>
          <w:kern w:val="2"/>
          <w:sz w:val="30"/>
          <w:szCs w:val="30"/>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1.资</w:t>
      </w:r>
      <w:r>
        <w:rPr>
          <w:rFonts w:hint="eastAsia" w:ascii="方正楷体_GBK" w:hAnsi="方正楷体_GBK" w:eastAsia="方正楷体_GBK" w:cs="方正楷体_GBK"/>
          <w:b/>
          <w:kern w:val="2"/>
          <w:sz w:val="30"/>
          <w:szCs w:val="30"/>
          <w:lang w:val="en-US" w:eastAsia="zh-CN" w:bidi="ar-SA"/>
        </w:rPr>
        <w:t>金管理方面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（1）资</w:t>
      </w:r>
      <w:r>
        <w:rPr>
          <w:rFonts w:hint="default" w:ascii="Times New Roman" w:hAnsi="Times New Roman" w:eastAsia="方正仿宋_GBK" w:cs="Times New Roman"/>
          <w:b/>
          <w:bCs/>
          <w:color w:val="auto"/>
          <w:kern w:val="2"/>
          <w:sz w:val="30"/>
          <w:szCs w:val="30"/>
          <w:highlight w:val="none"/>
          <w:lang w:val="en-US" w:eastAsia="zh-CN" w:bidi="ar-SA"/>
        </w:rPr>
        <w:t>金到位率</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default"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spacing w:val="1"/>
          <w:sz w:val="30"/>
          <w:szCs w:val="30"/>
          <w:lang w:val="en-US" w:eastAsia="zh-CN"/>
        </w:rPr>
        <w:t>根据《中华人民共和国预算法》《地方政府一般债务预算管理办法》等文件规定以及自治区财政厅《关于下达 2022 新增政府一般债券资金指标的通知</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第二批</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宁财</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债</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指标</w:t>
      </w:r>
      <w:r>
        <w:rPr>
          <w:rFonts w:hint="eastAsia" w:ascii="Times New Roman" w:hAnsi="Times New Roman" w:eastAsia="方正仿宋_GBK" w:cs="Times New Roman"/>
          <w:color w:val="auto"/>
          <w:kern w:val="2"/>
          <w:sz w:val="30"/>
          <w:szCs w:val="30"/>
          <w:highlight w:val="none"/>
          <w:lang w:val="en-US" w:eastAsia="zh-CN" w:bidi="ar-SA"/>
        </w:rPr>
        <w:t>〔2022〕</w:t>
      </w:r>
      <w:r>
        <w:rPr>
          <w:rFonts w:hint="default" w:ascii="Times New Roman" w:hAnsi="Times New Roman" w:eastAsia="方正仿宋_GBK" w:cs="Times New Roman"/>
          <w:spacing w:val="1"/>
          <w:sz w:val="30"/>
          <w:szCs w:val="30"/>
          <w:lang w:val="en-US" w:eastAsia="zh-CN"/>
        </w:rPr>
        <w:t>393 号</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文件要求，新增政府债券资金安排要编制预算调</w:t>
      </w:r>
      <w:r>
        <w:rPr>
          <w:rFonts w:hint="eastAsia" w:ascii="Times New Roman" w:hAnsi="Times New Roman" w:eastAsia="方正仿宋_GBK" w:cs="Times New Roman"/>
          <w:spacing w:val="1"/>
          <w:sz w:val="30"/>
          <w:szCs w:val="30"/>
          <w:lang w:val="en-US" w:eastAsia="zh-CN"/>
        </w:rPr>
        <w:t>整方案报同级人大常委会审查批准，并将新增政府一般债券收支纳入一般公</w:t>
      </w:r>
      <w:r>
        <w:rPr>
          <w:rFonts w:hint="default" w:ascii="Times New Roman" w:hAnsi="Times New Roman" w:eastAsia="方正仿宋_GBK" w:cs="Times New Roman"/>
          <w:spacing w:val="1"/>
          <w:sz w:val="30"/>
          <w:szCs w:val="30"/>
          <w:lang w:val="en-US" w:eastAsia="zh-CN"/>
        </w:rPr>
        <w:t>共预算管理，编制 2022 年第二次预算调整方案。经绩效评价组现场资料查阅，同心县财政局拨付同心县西征纪念馆主体改造工程450.00万元</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均安排到具体项目中。该指标满分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项目预算安排为25.00万元，经绩效评价小组对预算单位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，截至目前，预算执行金额为：25.00万元 ，经计算预算执行率为：100.00%。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 xml:space="preserve">%得满分。否则本指标得分=资金执行率×分值。该指标满分 </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 xml:space="preserve"> 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r>
        <w:rPr>
          <w:rFonts w:ascii="Times New Roman" w:hAnsi="Times New Roman" w:eastAsia="仿宋" w:cs="Times New Roman"/>
          <w:spacing w:val="-3"/>
          <w:sz w:val="30"/>
          <w:szCs w:val="30"/>
          <w:u w:val="none"/>
          <w:lang w:bidi="ar"/>
        </w:rPr>
        <w:t>。</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w:t>
      </w:r>
      <w:r>
        <w:rPr>
          <w:rFonts w:hint="default" w:ascii="Times New Roman" w:hAnsi="Times New Roman" w:eastAsia="方正仿宋_GBK" w:cs="Times New Roman"/>
          <w:b/>
          <w:bCs/>
          <w:color w:val="auto"/>
          <w:kern w:val="2"/>
          <w:sz w:val="30"/>
          <w:szCs w:val="30"/>
          <w:highlight w:val="none"/>
          <w:lang w:val="en-US" w:eastAsia="zh-CN" w:bidi="ar-SA"/>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val="en-US" w:bidi="zh-CN"/>
        </w:rPr>
        <w:t>同心县科技局</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4分，评价得分4分。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592" w:firstLineChars="200"/>
        <w:jc w:val="both"/>
        <w:textAlignment w:val="center"/>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2.组织实施方面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管理制度健全性</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同心县科学技术局</w:t>
      </w:r>
      <w:r>
        <w:rPr>
          <w:rFonts w:hint="default" w:ascii="Times New Roman" w:hAnsi="Times New Roman" w:eastAsia="方正仿宋_GBK" w:cs="Times New Roman"/>
          <w:spacing w:val="0"/>
          <w:kern w:val="0"/>
          <w:sz w:val="30"/>
          <w:szCs w:val="30"/>
          <w:lang w:val="en-US" w:bidi="zh-CN"/>
        </w:rPr>
        <w:t>印发</w:t>
      </w:r>
      <w:r>
        <w:rPr>
          <w:rFonts w:hint="eastAsia" w:ascii="Times New Roman" w:hAnsi="Times New Roman" w:eastAsia="方正仿宋_GBK" w:cs="Times New Roman"/>
          <w:spacing w:val="0"/>
          <w:kern w:val="0"/>
          <w:sz w:val="30"/>
          <w:szCs w:val="30"/>
          <w:lang w:val="en-US" w:bidi="zh-CN"/>
        </w:rPr>
        <w:t>《项目管理制度》</w:t>
      </w:r>
      <w:r>
        <w:rPr>
          <w:rFonts w:hint="default" w:ascii="Times New Roman" w:hAnsi="Times New Roman" w:eastAsia="方正仿宋_GBK" w:cs="Times New Roman"/>
          <w:spacing w:val="0"/>
          <w:kern w:val="0"/>
          <w:sz w:val="30"/>
          <w:szCs w:val="30"/>
          <w:lang w:val="en-US" w:eastAsia="zh-CN" w:bidi="zh-CN"/>
        </w:rPr>
        <w:t>《财务管理制度》，其中包括预算管理、采购管理、结算管理、资产管理、财务管理等的具体管理办法，</w:t>
      </w:r>
      <w:r>
        <w:rPr>
          <w:rFonts w:hint="default" w:ascii="Times New Roman" w:hAnsi="Times New Roman" w:eastAsia="方正仿宋_GBK" w:cs="Times New Roman"/>
          <w:spacing w:val="0"/>
          <w:kern w:val="0"/>
          <w:sz w:val="30"/>
          <w:szCs w:val="30"/>
          <w:lang w:val="en-US" w:bidi="zh-CN"/>
        </w:rPr>
        <w:t>并且遵照《中华人民共和国预算法</w:t>
      </w:r>
      <w:r>
        <w:rPr>
          <w:rFonts w:hint="eastAsia" w:ascii="Times New Roman" w:hAnsi="Times New Roman" w:eastAsia="方正仿宋_GBK" w:cs="Times New Roman"/>
          <w:spacing w:val="0"/>
          <w:kern w:val="0"/>
          <w:sz w:val="30"/>
          <w:szCs w:val="30"/>
          <w:lang w:val="en-US" w:bidi="zh-CN"/>
        </w:rPr>
        <w:t>》《</w:t>
      </w:r>
      <w:r>
        <w:rPr>
          <w:rFonts w:hint="default" w:ascii="Times New Roman" w:hAnsi="Times New Roman" w:eastAsia="方正仿宋_GBK" w:cs="Times New Roman"/>
          <w:spacing w:val="0"/>
          <w:kern w:val="0"/>
          <w:sz w:val="30"/>
          <w:szCs w:val="30"/>
          <w:lang w:val="en-US" w:eastAsia="zh-CN" w:bidi="zh-CN"/>
        </w:rPr>
        <w:t>财政部关于贯彻落实〈中共中央 国务院关于全面实施预算绩效管理的意见〉的通知》（财预〔2018〕167号）</w:t>
      </w:r>
      <w:r>
        <w:rPr>
          <w:rFonts w:hint="default" w:ascii="Times New Roman" w:hAnsi="Times New Roman" w:eastAsia="方正仿宋_GBK" w:cs="Times New Roman"/>
          <w:spacing w:val="0"/>
          <w:kern w:val="0"/>
          <w:sz w:val="30"/>
          <w:szCs w:val="30"/>
          <w:lang w:val="en-US" w:bidi="zh-CN"/>
        </w:rPr>
        <w:t>、</w:t>
      </w:r>
      <w:r>
        <w:rPr>
          <w:rFonts w:hint="default" w:ascii="Times New Roman" w:hAnsi="Times New Roman" w:eastAsia="方正仿宋_GBK" w:cs="Times New Roman"/>
          <w:spacing w:val="0"/>
          <w:kern w:val="0"/>
          <w:sz w:val="30"/>
          <w:szCs w:val="30"/>
          <w:lang w:val="en-US" w:eastAsia="zh-CN" w:bidi="zh-CN"/>
        </w:rPr>
        <w:t>《自治区党委 人民政府关于全面实施预算绩效管理的实施意见》（宁党发〔2019〕9号）</w:t>
      </w:r>
      <w:r>
        <w:rPr>
          <w:rFonts w:hint="default" w:ascii="Times New Roman" w:hAnsi="Times New Roman" w:eastAsia="方正仿宋_GBK" w:cs="Times New Roman"/>
          <w:spacing w:val="0"/>
          <w:kern w:val="0"/>
          <w:sz w:val="30"/>
          <w:szCs w:val="30"/>
          <w:lang w:val="en-US" w:bidi="zh-CN"/>
        </w:rPr>
        <w:t>等文件的规定，对项目实施进行监管，财务和业务管理制度合法、合规、完整</w:t>
      </w:r>
      <w:r>
        <w:rPr>
          <w:rFonts w:hint="default" w:ascii="Times New Roman" w:hAnsi="Times New Roman" w:eastAsia="方正仿宋_GBK" w:cs="Times New Roman"/>
          <w:spacing w:val="0"/>
          <w:kern w:val="0"/>
          <w:sz w:val="30"/>
          <w:szCs w:val="30"/>
          <w:lang w:val="en-US" w:eastAsia="zh-CN" w:bidi="zh-CN"/>
        </w:rPr>
        <w:t>。</w:t>
      </w:r>
      <w:r>
        <w:rPr>
          <w:rFonts w:hint="eastAsia" w:ascii="Times New Roman" w:hAnsi="Times New Roman" w:eastAsia="方正仿宋_GBK" w:cs="Times New Roman"/>
          <w:spacing w:val="0"/>
          <w:kern w:val="0"/>
          <w:sz w:val="30"/>
          <w:szCs w:val="30"/>
          <w:lang w:val="en-US" w:eastAsia="zh-CN" w:bidi="zh-CN"/>
        </w:rPr>
        <w:t>该指标本项满分 4分，评价得分4分。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（2）制度执行有效性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 xml:space="preserve">（1） </w:t>
      </w:r>
      <w:r>
        <w:rPr>
          <w:rFonts w:hint="eastAsia" w:ascii="Times New Roman" w:hAnsi="Times New Roman" w:eastAsia="方正仿宋_GBK" w:cs="Times New Roman"/>
          <w:spacing w:val="0"/>
          <w:kern w:val="0"/>
          <w:sz w:val="30"/>
          <w:szCs w:val="30"/>
          <w:lang w:val="en-US" w:bidi="zh-CN"/>
        </w:rPr>
        <w:t>同心县文化旅游体育广电局</w:t>
      </w:r>
      <w:r>
        <w:rPr>
          <w:rFonts w:hint="eastAsia" w:ascii="Times New Roman" w:hAnsi="Times New Roman" w:eastAsia="方正仿宋_GBK" w:cs="Times New Roman"/>
          <w:spacing w:val="0"/>
          <w:kern w:val="0"/>
          <w:sz w:val="30"/>
          <w:szCs w:val="30"/>
          <w:lang w:val="en-US" w:eastAsia="zh-CN" w:bidi="zh-CN"/>
        </w:rPr>
        <w:t>在同心县科学技术局种养废弃物肥料化高值化利用技术引进示范项目的实施过程中支出管理、预算管理遵守相关法律法规、相关管理规定和财务管理制度；</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该工程能够按照国家基本建设程序进行报建，通过公开招投标选择相应资质等级的勘察设计、施工、监理单位，按要求办理了施工许可手续和质量安全监督注册，各责任主体建立了工程质量安全保证体系，组织机构健全，人员、管理制度和责任制落实到位；</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（3）根据项目单位提供的项目合同书、验收报告、技术鉴定等资料部分齐全并及时归档；</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（4）根据现场调研以及项目验收报告，项目实施的人员条件、场地设备、信息支撑等落实到位；</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（5）根据</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关于同心县同心县科学技术局种养废弃物肥料化高值化利用技术引进示范项目》（同发改审发</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21</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356</w:t>
      </w:r>
      <w:r>
        <w:rPr>
          <w:rFonts w:hint="default" w:ascii="Times New Roman" w:hAnsi="Times New Roman" w:eastAsia="方正仿宋_GBK" w:cs="Times New Roman"/>
          <w:sz w:val="30"/>
          <w:szCs w:val="30"/>
          <w:lang w:val="en-US" w:eastAsia="zh-CN"/>
        </w:rPr>
        <w:t>号</w:t>
      </w:r>
      <w:r>
        <w:rPr>
          <w:rFonts w:hint="eastAsia" w:ascii="Times New Roman" w:hAnsi="Times New Roman" w:eastAsia="方正仿宋_GBK" w:cs="Times New Roman"/>
          <w:sz w:val="30"/>
          <w:szCs w:val="30"/>
          <w:lang w:val="en-US" w:eastAsia="zh-CN"/>
        </w:rPr>
        <w:t>）</w:t>
      </w:r>
      <w:r>
        <w:rPr>
          <w:rFonts w:hint="eastAsia" w:ascii="Times New Roman" w:hAnsi="Times New Roman" w:eastAsia="方正仿宋_GBK" w:cs="Times New Roman"/>
          <w:spacing w:val="0"/>
          <w:kern w:val="0"/>
          <w:sz w:val="30"/>
          <w:szCs w:val="30"/>
          <w:lang w:val="en-US" w:eastAsia="zh-CN" w:bidi="zh-CN"/>
        </w:rPr>
        <w:t>可知，项目实施严格遵循项目法人责任制、招标投标制、工程监理制和合同管理制进行监督与管理。</w:t>
      </w:r>
      <w:r>
        <w:rPr>
          <w:rFonts w:hint="eastAsia" w:ascii="Times New Roman" w:hAnsi="Times New Roman" w:eastAsia="方正仿宋_GBK" w:cs="Times New Roman"/>
          <w:sz w:val="30"/>
          <w:szCs w:val="30"/>
          <w:lang w:val="en-US" w:eastAsia="zh-CN"/>
        </w:rPr>
        <w:t>该指标本项满分 4分，评价得分4分。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lang w:eastAsia="zh-CN"/>
        </w:rPr>
      </w:pPr>
      <w:bookmarkStart w:id="139" w:name="_Toc1945"/>
      <w:bookmarkStart w:id="140" w:name="_Toc18498"/>
      <w:bookmarkStart w:id="141" w:name="_Toc14428"/>
      <w:r>
        <w:rPr>
          <w:rFonts w:hint="eastAsia" w:ascii="方正楷体_GBK" w:hAnsi="方正楷体_GBK" w:eastAsia="方正楷体_GBK" w:cs="方正楷体_GBK"/>
          <w:spacing w:val="0"/>
          <w:sz w:val="30"/>
          <w:szCs w:val="30"/>
          <w:lang w:eastAsia="zh-CN"/>
        </w:rPr>
        <w:t>（三）</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产出</w:t>
      </w:r>
      <w:r>
        <w:rPr>
          <w:rFonts w:hint="eastAsia" w:ascii="方正楷体_GBK" w:hAnsi="方正楷体_GBK" w:eastAsia="方正楷体_GBK" w:cs="方正楷体_GBK"/>
          <w:spacing w:val="0"/>
          <w:sz w:val="30"/>
          <w:szCs w:val="30"/>
        </w:rPr>
        <w:t>情况</w:t>
      </w:r>
      <w:bookmarkEnd w:id="139"/>
      <w:bookmarkEnd w:id="140"/>
      <w:r>
        <w:rPr>
          <w:rFonts w:hint="eastAsia" w:ascii="方正楷体_GBK" w:hAnsi="方正楷体_GBK" w:eastAsia="方正楷体_GBK" w:cs="方正楷体_GBK"/>
          <w:spacing w:val="0"/>
          <w:sz w:val="30"/>
          <w:szCs w:val="30"/>
          <w:lang w:eastAsia="zh-CN"/>
        </w:rPr>
        <w:t>分析</w:t>
      </w:r>
      <w:bookmarkEnd w:id="141"/>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方正仿宋_GBK" w:hAnsi="方正仿宋_GBK" w:eastAsia="方正仿宋_GBK" w:cs="方正仿宋_GBK"/>
          <w:b/>
          <w:bCs/>
          <w:spacing w:val="-6"/>
          <w:sz w:val="30"/>
          <w:szCs w:val="30"/>
          <w:lang w:val="en-US" w:eastAsia="zh-CN"/>
        </w:rPr>
      </w:pPr>
      <w:r>
        <w:rPr>
          <w:rFonts w:hint="default" w:ascii="Times New Roman" w:hAnsi="Times New Roman" w:eastAsia="方正仿宋_GBK" w:cs="Times New Roman"/>
          <w:b/>
          <w:bCs/>
          <w:spacing w:val="-6"/>
          <w:sz w:val="30"/>
          <w:szCs w:val="30"/>
          <w:lang w:val="en-US" w:eastAsia="zh-CN"/>
        </w:rPr>
        <w:t>1.</w:t>
      </w:r>
      <w:r>
        <w:rPr>
          <w:rFonts w:hint="eastAsia" w:ascii="方正仿宋_GBK" w:hAnsi="方正仿宋_GBK" w:eastAsia="方正仿宋_GBK" w:cs="方正仿宋_GBK"/>
          <w:b/>
          <w:bCs/>
          <w:spacing w:val="-6"/>
          <w:sz w:val="30"/>
          <w:szCs w:val="30"/>
          <w:lang w:val="en-US" w:eastAsia="zh-CN"/>
        </w:rPr>
        <w:t>产出数量方面</w:t>
      </w:r>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本项指标共设2个二级指标、5个三级指标，权重分值34分，评价得分29.5分，得分率为86.76%。具体评价指标分析如下：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（1）实施项目整体完成率</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同心县科学技术局种养废弃物肥料化</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高值化利用技术引进示范项目建设整体态势良好。</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2021年11月15日，同心县发展改革局印发《关于同心县同心县科学技术局种养废弃物肥料化高值化利用技术引进示范项目初步设计的批复》（同发改审发</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21</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pacing w:val="0"/>
          <w:kern w:val="0"/>
          <w:sz w:val="30"/>
          <w:szCs w:val="30"/>
          <w:lang w:val="en-US" w:eastAsia="zh-CN" w:bidi="zh-CN"/>
        </w:rPr>
        <w:t>356号）号，项目予以立项；</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2021年12月23日，经过公开招标的方式确定宁夏大华建工集团有限公司为项目中标单位。</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截至目前，同心县科学技术局种养废弃物肥料化高值化利用技术引进示范项目已完成批复等既定的全部施工内容，且完成验收、结算审核工作。</w:t>
      </w:r>
      <w:r>
        <w:rPr>
          <w:rFonts w:hint="eastAsia" w:ascii="Times New Roman" w:hAnsi="Times New Roman" w:eastAsia="方正仿宋_GBK" w:cs="Times New Roman"/>
          <w:sz w:val="30"/>
          <w:szCs w:val="30"/>
          <w:lang w:val="en-US" w:eastAsia="zh-CN"/>
        </w:rPr>
        <w:t>该指标本项满分 8分，评价得分8分。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2.产出质量方面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（1）招标采购合规性</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本项目严格遵照《必须招标的工程项目规定》《宁夏回族自治区招投标管理办法》，以及基本建设项目管理和《同心县政府投资项目管理暂行办法》有关工程招标投标管理规定执行，有效落实中标人首要责任，采取直接发包或自主选择进入交易平台方式进行交易。招标公告及时发布、依</w:t>
      </w:r>
      <w:r>
        <w:rPr>
          <w:rFonts w:hint="eastAsia" w:ascii="仿宋" w:hAnsi="仿宋" w:eastAsia="仿宋" w:cs="仿宋"/>
          <w:color w:val="000000"/>
          <w:kern w:val="0"/>
          <w:sz w:val="30"/>
          <w:szCs w:val="30"/>
          <w:lang w:val="en-US" w:eastAsia="zh-CN" w:bidi="ar"/>
        </w:rPr>
        <w:t>法公开，评标程序规范、结果公正，中</w:t>
      </w:r>
      <w:r>
        <w:rPr>
          <w:rFonts w:hint="eastAsia" w:ascii="Times New Roman" w:hAnsi="Times New Roman" w:eastAsia="方正仿宋_GBK" w:cs="Times New Roman"/>
          <w:spacing w:val="0"/>
          <w:kern w:val="0"/>
          <w:sz w:val="30"/>
          <w:szCs w:val="30"/>
          <w:lang w:val="en-US" w:eastAsia="zh-CN" w:bidi="zh-CN"/>
        </w:rPr>
        <w:t>标结果对外公示，有效接受社会监督，未发现围标、串标等违规情况。该指标本项满分5分，评价得分5分。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（2）竣工验收质量达标率</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一是</w:t>
      </w:r>
      <w:r>
        <w:rPr>
          <w:rFonts w:hint="eastAsia" w:ascii="Times New Roman" w:hAnsi="Times New Roman" w:eastAsia="方正仿宋_GBK" w:cs="Times New Roman"/>
          <w:spacing w:val="0"/>
          <w:kern w:val="0"/>
          <w:sz w:val="30"/>
          <w:szCs w:val="30"/>
          <w:lang w:val="en-US" w:eastAsia="zh-CN" w:bidi="zh-CN"/>
        </w:rPr>
        <w:t>验收前，施工单位应完成自检，对存在的问题自行整改处理，然后申请专业监理工程师组织验收。专业监理工程师组织施工单位项目专业质量检查员、专业工长等进行验收；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二是</w:t>
      </w:r>
      <w:r>
        <w:rPr>
          <w:rFonts w:hint="eastAsia" w:ascii="Times New Roman" w:hAnsi="Times New Roman" w:eastAsia="方正仿宋_GBK" w:cs="Times New Roman"/>
          <w:spacing w:val="0"/>
          <w:kern w:val="0"/>
          <w:sz w:val="30"/>
          <w:szCs w:val="30"/>
          <w:lang w:val="en-US" w:eastAsia="zh-CN" w:bidi="zh-CN"/>
        </w:rPr>
        <w:t>施工单位自检合格后，向监理公司提出竣工申请报告，监理公司验收后提出监理单位工程质量评估报告，由建设单位组织勘察、设计、施工单位、监理单位等共同验收；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三是</w:t>
      </w:r>
      <w:r>
        <w:rPr>
          <w:rFonts w:hint="eastAsia" w:ascii="Times New Roman" w:hAnsi="Times New Roman" w:eastAsia="方正仿宋_GBK" w:cs="Times New Roman"/>
          <w:spacing w:val="0"/>
          <w:kern w:val="0"/>
          <w:sz w:val="30"/>
          <w:szCs w:val="30"/>
          <w:lang w:val="en-US" w:eastAsia="zh-CN" w:bidi="zh-CN"/>
        </w:rPr>
        <w:t>由竣工验收小组组长主持竣工验收；是建设、施工、监理、设计、勘察单位分别书面汇报工程项目建设质量情况、合同履约及执行国家法律法规和工程建设强制性标准情况；验收组分为三部分分别进行检查验收；检查工程实体质量；检查工程建设参与各方提供的竣工资料；对建筑工程的使用功能进行抽查、试验；对竣工验收情况进行汇总讨论，并听取质量监督机构对该工程质量监督情况；</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四是</w:t>
      </w:r>
      <w:r>
        <w:rPr>
          <w:rFonts w:hint="eastAsia" w:ascii="Times New Roman" w:hAnsi="Times New Roman" w:eastAsia="方正仿宋_GBK" w:cs="Times New Roman"/>
          <w:spacing w:val="0"/>
          <w:kern w:val="0"/>
          <w:sz w:val="30"/>
          <w:szCs w:val="30"/>
          <w:lang w:val="en-US" w:eastAsia="zh-CN" w:bidi="zh-CN"/>
        </w:rPr>
        <w:t>形成竣工验收意见，填写《建设工程竣工验收报告》，验收小组人员分别签字、建设单位盖章。</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通过对本项目工程验收，工程质量鉴定资料核查，项目均通过工程验收，验收结果合格，达到设计标准和质量要求，并在完工后投入使用。该指标本项满分5分，评价得分5分。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3.产出时效方面</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42" w:name="_Toc13818"/>
      <w:bookmarkStart w:id="143" w:name="_Toc25249"/>
      <w:r>
        <w:rPr>
          <w:rFonts w:hint="default" w:ascii="Times New Roman" w:hAnsi="Times New Roman" w:cs="Times New Roman"/>
          <w:lang w:val="en-US" w:eastAsia="zh-CN"/>
        </w:rPr>
        <w:t>资金到位及时率</w:t>
      </w:r>
      <w:bookmarkEnd w:id="142"/>
      <w:bookmarkEnd w:id="143"/>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w:t>
      </w:r>
      <w:r>
        <w:rPr>
          <w:rFonts w:hint="eastAsia" w:ascii="Times New Roman" w:hAnsi="Times New Roman" w:eastAsia="方正仿宋_GBK" w:cs="Times New Roman"/>
          <w:spacing w:val="0"/>
          <w:kern w:val="0"/>
          <w:sz w:val="30"/>
          <w:szCs w:val="30"/>
          <w:lang w:val="en-US" w:eastAsia="zh-CN" w:bidi="zh-CN"/>
        </w:rPr>
        <w:t>种养废弃物肥料化高值化利用技术引进示范</w:t>
      </w:r>
      <w:r>
        <w:rPr>
          <w:rFonts w:hint="default" w:ascii="Times New Roman" w:hAnsi="Times New Roman" w:eastAsia="方正仿宋_GBK" w:cs="Times New Roman"/>
          <w:spacing w:val="0"/>
          <w:kern w:val="0"/>
          <w:sz w:val="30"/>
          <w:szCs w:val="30"/>
          <w:lang w:val="en-US" w:eastAsia="zh-CN" w:bidi="zh-CN"/>
        </w:rPr>
        <w:t>项目资金使用计划</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项目资金安排及支出统计表，以及预算指标执行结果等资料核查，资金到位及时率 100%。该指标本项满分3分，评价得分3分。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lang w:eastAsia="zh-CN"/>
        </w:rPr>
      </w:pPr>
      <w:r>
        <w:rPr>
          <w:rFonts w:hint="eastAsia" w:ascii="仿宋" w:hAnsi="仿宋" w:eastAsia="仿宋" w:cs="仿宋"/>
          <w:b w:val="0"/>
          <w:color w:val="000000"/>
          <w:kern w:val="0"/>
          <w:sz w:val="30"/>
          <w:szCs w:val="30"/>
          <w:lang w:val="en-US" w:eastAsia="zh-CN" w:bidi="ar"/>
        </w:rPr>
        <w:t xml:space="preserve"> </w:t>
      </w:r>
      <w:bookmarkStart w:id="144" w:name="_Toc17947"/>
      <w:r>
        <w:rPr>
          <w:rFonts w:hint="eastAsia" w:ascii="方正楷体_GBK" w:hAnsi="方正楷体_GBK" w:eastAsia="方正楷体_GBK" w:cs="方正楷体_GBK"/>
          <w:spacing w:val="0"/>
          <w:sz w:val="30"/>
          <w:szCs w:val="30"/>
          <w:lang w:eastAsia="zh-CN"/>
        </w:rPr>
        <w:t>（四）</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44"/>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1.实施效益方面</w:t>
      </w:r>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本项指标共设3个二级指标、4个三级指标，权重分值26分，评价得分26分，得分率为100.00%。具体评价指标分析如下：</w:t>
      </w:r>
    </w:p>
    <w:p>
      <w:pPr>
        <w:pStyle w:val="4"/>
        <w:pageBreakBefore w:val="0"/>
        <w:kinsoku/>
        <w:wordWrap/>
        <w:overflowPunct w:val="0"/>
        <w:topLinePunct w:val="0"/>
        <w:autoSpaceDE/>
        <w:autoSpaceDN/>
        <w:bidi w:val="0"/>
        <w:spacing w:beforeLines="0" w:afterLines="0"/>
        <w:textAlignment w:val="auto"/>
        <w:rPr>
          <w:rFonts w:hint="default" w:ascii="Times New Roman" w:hAnsi="Times New Roman" w:eastAsia="楷体" w:cs="Times New Roman"/>
          <w:b/>
          <w:kern w:val="2"/>
          <w:sz w:val="32"/>
          <w:szCs w:val="32"/>
          <w:lang w:val="en-US" w:eastAsia="zh-CN" w:bidi="ar-SA"/>
        </w:rPr>
      </w:pPr>
      <w:bookmarkStart w:id="145" w:name="_Toc12708"/>
      <w:bookmarkStart w:id="146" w:name="_Toc19818"/>
      <w:r>
        <w:rPr>
          <w:rFonts w:hint="eastAsia" w:ascii="Times New Roman" w:hAnsi="Times New Roman" w:eastAsia="楷体" w:cs="Times New Roman"/>
          <w:b/>
          <w:kern w:val="2"/>
          <w:sz w:val="32"/>
          <w:szCs w:val="32"/>
          <w:lang w:val="en-US" w:eastAsia="zh-CN" w:bidi="ar-SA"/>
        </w:rPr>
        <w:t>（1）</w:t>
      </w:r>
      <w:bookmarkEnd w:id="145"/>
      <w:bookmarkEnd w:id="146"/>
      <w:r>
        <w:rPr>
          <w:rFonts w:hint="eastAsia" w:ascii="Times New Roman" w:hAnsi="Times New Roman" w:cs="Times New Roman"/>
          <w:b/>
          <w:kern w:val="2"/>
          <w:sz w:val="32"/>
          <w:szCs w:val="32"/>
          <w:lang w:val="en-US" w:eastAsia="zh-CN" w:bidi="ar-SA"/>
        </w:rPr>
        <w:t>社会效益</w:t>
      </w:r>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spacing w:val="1"/>
          <w:sz w:val="30"/>
          <w:szCs w:val="30"/>
          <w:lang w:val="en-US" w:eastAsia="zh-CN"/>
        </w:rPr>
        <w:t>打造畜禽粪便</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种植业枝条</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有机肥</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中药材种植循环利用示范样板1个，核心示范面积500亩；</w:t>
      </w:r>
      <w:r>
        <w:rPr>
          <w:rFonts w:hint="eastAsia" w:ascii="Times New Roman" w:hAnsi="Times New Roman" w:eastAsia="方正仿宋_GBK" w:cs="Times New Roman"/>
          <w:spacing w:val="1"/>
          <w:sz w:val="30"/>
          <w:szCs w:val="30"/>
          <w:lang w:val="en-US" w:eastAsia="zh-CN"/>
        </w:rPr>
        <w:t>有效</w:t>
      </w:r>
      <w:r>
        <w:rPr>
          <w:rFonts w:hint="default" w:ascii="Times New Roman" w:hAnsi="Times New Roman" w:eastAsia="方正仿宋_GBK" w:cs="Times New Roman"/>
          <w:spacing w:val="1"/>
          <w:sz w:val="30"/>
          <w:szCs w:val="30"/>
          <w:lang w:val="en-US" w:eastAsia="zh-CN"/>
        </w:rPr>
        <w:t>帮助丁塘镇、下马关镇、预旺镇、河西镇、王团镇无害化处理粪便及有机废弃物2万吨；打造畜禽粪便</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种植业枝条</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有机肥</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中药材种植循环利用示范样板1 个；功能性有机肥施用可带动银柴胡产量增加 10%，以4万亩银柴胡</w:t>
      </w:r>
      <w:r>
        <w:rPr>
          <w:rFonts w:hint="eastAsia" w:ascii="Times New Roman" w:hAnsi="Times New Roman" w:eastAsia="方正仿宋_GBK" w:cs="Times New Roman"/>
          <w:spacing w:val="1"/>
          <w:sz w:val="30"/>
          <w:szCs w:val="30"/>
          <w:lang w:val="en-US" w:eastAsia="zh-CN"/>
        </w:rPr>
        <w:t>计算</w:t>
      </w:r>
      <w:r>
        <w:rPr>
          <w:rFonts w:hint="default" w:ascii="Times New Roman" w:hAnsi="Times New Roman" w:eastAsia="方正仿宋_GBK" w:cs="Times New Roman"/>
          <w:spacing w:val="1"/>
          <w:sz w:val="30"/>
          <w:szCs w:val="30"/>
          <w:lang w:val="en-US" w:eastAsia="zh-CN"/>
        </w:rPr>
        <w:t>，可增加</w:t>
      </w:r>
      <w:r>
        <w:rPr>
          <w:rFonts w:hint="eastAsia" w:ascii="Times New Roman" w:hAnsi="Times New Roman" w:eastAsia="方正仿宋_GBK" w:cs="Times New Roman"/>
          <w:spacing w:val="1"/>
          <w:sz w:val="30"/>
          <w:szCs w:val="30"/>
          <w:lang w:val="en-US" w:eastAsia="zh-CN"/>
        </w:rPr>
        <w:t>当地村</w:t>
      </w:r>
      <w:r>
        <w:rPr>
          <w:rFonts w:hint="default" w:ascii="Times New Roman" w:hAnsi="Times New Roman" w:eastAsia="方正仿宋_GBK" w:cs="Times New Roman"/>
          <w:spacing w:val="1"/>
          <w:sz w:val="30"/>
          <w:szCs w:val="30"/>
          <w:lang w:val="en-US" w:eastAsia="zh-CN"/>
        </w:rPr>
        <w:t>民收入25万元以上，以年产3万吨有机肥计，产品升级后可增加利润约200元/每吨。</w:t>
      </w:r>
    </w:p>
    <w:p>
      <w:pPr>
        <w:keepNext w:val="0"/>
        <w:keepLines w:val="0"/>
        <w:pageBreakBefore w:val="0"/>
        <w:kinsoku/>
        <w:wordWrap/>
        <w:overflowPunct w:val="0"/>
        <w:topLinePunct w:val="0"/>
        <w:autoSpaceDE/>
        <w:autoSpaceDN/>
        <w:bidi w:val="0"/>
        <w:adjustRightInd w:val="0"/>
        <w:snapToGrid w:val="0"/>
        <w:spacing w:line="560" w:lineRule="exact"/>
        <w:ind w:firstLine="592" w:firstLineChars="200"/>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项目的实施将有效改善区域中小规模化养殖与环境安全条件，促进养殖业生产与生态环境协调发展，有效助力乡村振兴、县域经济的发展。</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ascii="Microsoft YaHei UI" w:hAnsi="Microsoft YaHei UI" w:eastAsia="Microsoft YaHei UI" w:cs="Microsoft YaHei UI"/>
          <w:i w:val="0"/>
          <w:iCs w:val="0"/>
          <w:caps w:val="0"/>
          <w:spacing w:val="8"/>
          <w:sz w:val="24"/>
          <w:szCs w:val="24"/>
          <w:shd w:val="clear" w:fill="E5F4FA"/>
        </w:rPr>
      </w:pPr>
      <w:r>
        <w:rPr>
          <w:rFonts w:hint="eastAsia" w:ascii="Times New Roman" w:hAnsi="Times New Roman" w:eastAsia="方正仿宋_GBK" w:cs="Times New Roman"/>
          <w:color w:val="auto"/>
          <w:kern w:val="2"/>
          <w:sz w:val="30"/>
          <w:szCs w:val="30"/>
          <w:highlight w:val="none"/>
          <w:lang w:val="en-US" w:eastAsia="zh-CN" w:bidi="ar-SA"/>
        </w:rPr>
        <w:t>畜禽粪污治理和资源化利用，是农村生态环境保护工作的重点和难点，对于改善农村生态环境质量，提高农业绿色发展水平，促进农产品增产提质，具有重要意义。</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default" w:ascii="Times New Roman" w:hAnsi="Times New Roman" w:eastAsia="楷体" w:cs="Times New Roman"/>
          <w:b/>
          <w:kern w:val="2"/>
          <w:sz w:val="32"/>
          <w:szCs w:val="32"/>
          <w:lang w:val="en-US" w:eastAsia="zh-CN" w:bidi="ar-SA"/>
        </w:rPr>
      </w:pPr>
      <w:bookmarkStart w:id="147" w:name="_Toc15261"/>
      <w:bookmarkStart w:id="148" w:name="_Toc2428"/>
      <w:r>
        <w:rPr>
          <w:rFonts w:hint="eastAsia" w:ascii="Times New Roman" w:hAnsi="Times New Roman" w:eastAsia="楷体" w:cs="Times New Roman"/>
          <w:b/>
          <w:kern w:val="2"/>
          <w:sz w:val="32"/>
          <w:szCs w:val="32"/>
          <w:lang w:val="en-US" w:eastAsia="zh-CN" w:bidi="ar-SA"/>
        </w:rPr>
        <w:t>（2）</w:t>
      </w:r>
      <w:bookmarkEnd w:id="147"/>
      <w:bookmarkEnd w:id="148"/>
      <w:r>
        <w:rPr>
          <w:rFonts w:hint="eastAsia" w:ascii="Times New Roman" w:hAnsi="Times New Roman" w:cs="Times New Roman"/>
          <w:b/>
          <w:kern w:val="2"/>
          <w:sz w:val="32"/>
          <w:szCs w:val="32"/>
          <w:lang w:val="en-US" w:eastAsia="zh-CN" w:bidi="ar-SA"/>
        </w:rPr>
        <w:t>生态效益</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畜禽粪污治理和资源化利用，是农村生态环境保护工作的重点和难点，事关生态文明建设大局，对于改善农村生态环境质量，提高农业绿色发展水平，促进农产品增产提质，具有重要意义。</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49" w:name="_Toc11426"/>
      <w:bookmarkStart w:id="150" w:name="_Toc26089"/>
      <w:r>
        <w:rPr>
          <w:rFonts w:hint="eastAsia" w:ascii="Times New Roman" w:hAnsi="Times New Roman" w:eastAsia="楷体" w:cs="Times New Roman"/>
          <w:b/>
          <w:kern w:val="2"/>
          <w:sz w:val="32"/>
          <w:szCs w:val="32"/>
          <w:lang w:val="en-US" w:eastAsia="zh-CN" w:bidi="ar-SA"/>
        </w:rPr>
        <w:t>（</w:t>
      </w:r>
      <w:r>
        <w:rPr>
          <w:rFonts w:hint="eastAsia" w:ascii="Times New Roman" w:hAnsi="Times New Roman" w:cs="Times New Roman"/>
          <w:b/>
          <w:kern w:val="2"/>
          <w:sz w:val="32"/>
          <w:szCs w:val="32"/>
          <w:lang w:val="en-US" w:eastAsia="zh-CN" w:bidi="ar-SA"/>
        </w:rPr>
        <w:t>3</w:t>
      </w:r>
      <w:r>
        <w:rPr>
          <w:rFonts w:hint="eastAsia" w:ascii="Times New Roman" w:hAnsi="Times New Roman" w:eastAsia="楷体" w:cs="Times New Roman"/>
          <w:b/>
          <w:kern w:val="2"/>
          <w:sz w:val="32"/>
          <w:szCs w:val="32"/>
          <w:lang w:val="en-US" w:eastAsia="zh-CN" w:bidi="ar-SA"/>
        </w:rPr>
        <w:t>）</w:t>
      </w:r>
      <w:r>
        <w:rPr>
          <w:rFonts w:hint="eastAsia" w:ascii="Times New Roman" w:hAnsi="Times New Roman" w:cs="Times New Roman"/>
          <w:b/>
          <w:kern w:val="2"/>
          <w:sz w:val="32"/>
          <w:szCs w:val="32"/>
          <w:lang w:val="en-US" w:eastAsia="zh-CN" w:bidi="ar-SA"/>
        </w:rPr>
        <w:t>可持续影响性</w:t>
      </w:r>
      <w:bookmarkEnd w:id="149"/>
      <w:bookmarkEnd w:id="150"/>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按照“要素跟着项目走”的原则，统筹调度、科学安排。项目未制定明确的长期利益联结方案。应明确责任单位，工作职责、人员配置到位，农户受益情况等要素，为项目的可持续发展提供了可靠保障。</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51" w:name="_Toc9957"/>
      <w:bookmarkStart w:id="152" w:name="_Toc3765"/>
      <w:r>
        <w:rPr>
          <w:rFonts w:hint="eastAsia" w:ascii="Times New Roman" w:hAnsi="Times New Roman" w:eastAsia="楷体" w:cs="Times New Roman"/>
          <w:b/>
          <w:kern w:val="2"/>
          <w:sz w:val="32"/>
          <w:szCs w:val="32"/>
          <w:lang w:val="en-US" w:eastAsia="zh-CN" w:bidi="ar-SA"/>
        </w:rPr>
        <w:t>（</w:t>
      </w:r>
      <w:r>
        <w:rPr>
          <w:rFonts w:hint="eastAsia" w:ascii="Times New Roman" w:hAnsi="Times New Roman" w:cs="Times New Roman"/>
          <w:b/>
          <w:kern w:val="2"/>
          <w:sz w:val="32"/>
          <w:szCs w:val="32"/>
          <w:lang w:val="en-US" w:eastAsia="zh-CN" w:bidi="ar-SA"/>
        </w:rPr>
        <w:t>4</w:t>
      </w:r>
      <w:r>
        <w:rPr>
          <w:rFonts w:hint="eastAsia" w:ascii="Times New Roman" w:hAnsi="Times New Roman" w:eastAsia="楷体" w:cs="Times New Roman"/>
          <w:b/>
          <w:kern w:val="2"/>
          <w:sz w:val="32"/>
          <w:szCs w:val="32"/>
          <w:lang w:val="en-US" w:eastAsia="zh-CN" w:bidi="ar-SA"/>
        </w:rPr>
        <w:t>）</w:t>
      </w:r>
      <w:r>
        <w:rPr>
          <w:rFonts w:hint="eastAsia" w:ascii="Times New Roman" w:hAnsi="Times New Roman" w:cs="Times New Roman"/>
          <w:b/>
          <w:kern w:val="2"/>
          <w:sz w:val="32"/>
          <w:szCs w:val="32"/>
          <w:lang w:val="en-US" w:eastAsia="zh-CN" w:bidi="ar-SA"/>
        </w:rPr>
        <w:t>满意度</w:t>
      </w:r>
      <w:bookmarkEnd w:id="151"/>
      <w:bookmarkEnd w:id="152"/>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村民、企业职工等进行了满意度调查，调查问卷内容包括项目建设情况、项目土地流转情况、项目带动就业情况等方面。经统计，项目整体的满意度≥90%，通过满意度调查发现，当地普遍感到满意，对企业信心坚定，满意率显著提升。</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w:t>
      </w:r>
      <w:bookmarkStart w:id="153" w:name="_Toc1561"/>
      <w:bookmarkStart w:id="154" w:name="_Toc31782"/>
      <w:r>
        <w:rPr>
          <w:rFonts w:hint="eastAsia" w:ascii="Times New Roman" w:hAnsi="Times New Roman" w:eastAsia="方正仿宋_GBK" w:cs="Times New Roman"/>
          <w:spacing w:val="0"/>
          <w:kern w:val="0"/>
          <w:sz w:val="30"/>
          <w:szCs w:val="30"/>
          <w:lang w:val="en-US" w:eastAsia="zh-CN" w:bidi="zh-CN"/>
        </w:rPr>
        <w:t xml:space="preserve"> </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55" w:name="_Toc25416"/>
      <w:r>
        <w:rPr>
          <w:rFonts w:hint="eastAsia" w:asciiTheme="majorEastAsia" w:hAnsiTheme="majorEastAsia" w:eastAsiaTheme="majorEastAsia" w:cstheme="majorEastAsia"/>
          <w:b/>
          <w:bCs/>
          <w:sz w:val="32"/>
          <w:szCs w:val="32"/>
          <w:lang w:val="en-US" w:eastAsia="zh-CN"/>
        </w:rPr>
        <w:t>七、主要经验做法、存在问题及建议</w:t>
      </w:r>
      <w:bookmarkEnd w:id="153"/>
      <w:bookmarkEnd w:id="154"/>
      <w:bookmarkEnd w:id="155"/>
    </w:p>
    <w:p>
      <w:pPr>
        <w:pStyle w:val="4"/>
        <w:pageBreakBefore w:val="0"/>
        <w:kinsoku/>
        <w:wordWrap/>
        <w:overflowPunct w:val="0"/>
        <w:topLinePunct w:val="0"/>
        <w:autoSpaceDE/>
        <w:autoSpaceDN/>
        <w:bidi w:val="0"/>
        <w:adjustRightInd/>
        <w:snapToGrid/>
        <w:spacing w:beforeLines="0" w:afterLines="0"/>
        <w:ind w:firstLine="562"/>
        <w:textAlignment w:val="auto"/>
        <w:rPr>
          <w:rFonts w:ascii="方正楷体_GBK" w:hAnsi="方正楷体_GBK" w:eastAsia="方正楷体_GBK" w:cs="方正楷体_GBK"/>
          <w:b/>
          <w:bCs w:val="0"/>
          <w:sz w:val="32"/>
          <w:szCs w:val="32"/>
        </w:rPr>
      </w:pPr>
      <w:bookmarkStart w:id="156" w:name="_Toc26264"/>
      <w:bookmarkStart w:id="157" w:name="_Toc19800"/>
      <w:bookmarkStart w:id="158" w:name="_Toc4904"/>
      <w:r>
        <w:rPr>
          <w:rFonts w:hint="eastAsia" w:ascii="方正楷体_GBK" w:hAnsi="方正楷体_GBK" w:eastAsia="方正楷体_GBK" w:cs="方正楷体_GBK"/>
          <w:b/>
          <w:bCs w:val="0"/>
          <w:sz w:val="32"/>
          <w:szCs w:val="32"/>
        </w:rPr>
        <w:t>（一）经验做法</w:t>
      </w:r>
      <w:bookmarkEnd w:id="156"/>
      <w:bookmarkEnd w:id="157"/>
      <w:bookmarkEnd w:id="158"/>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同心县科学技术局种养废弃物肥料化高值化利用技术引进示范项目在</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p>
      <w:pPr>
        <w:ind w:firstLine="592" w:firstLineChars="200"/>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一是立足资源，助力乡村振兴。</w:t>
      </w:r>
      <w:r>
        <w:rPr>
          <w:rFonts w:hint="eastAsia" w:ascii="Times New Roman" w:hAnsi="Times New Roman" w:eastAsia="方正仿宋_GBK" w:cs="Times New Roman"/>
          <w:kern w:val="2"/>
          <w:sz w:val="30"/>
          <w:szCs w:val="30"/>
          <w:lang w:val="en-US" w:eastAsia="zh-CN" w:bidi="zh-CN"/>
        </w:rPr>
        <w:t>宁夏天润生态农业种植专业合作社，建立完善的“市场牵龙头、龙头带基地、基地联农户”的农业产业链经营模式，带领项目居住地村民大力发展银柴胡、黄芪等中药材种植，通过土地流转、就近务工的方式，帮助52户建档立卡户实现脱贫，初步形成了可持续发展模式，推进作物增产提质增效、助力了农民增收和品牌强农，取得了阶段性成效。</w:t>
      </w:r>
    </w:p>
    <w:p>
      <w:pPr>
        <w:ind w:firstLine="592" w:firstLineChars="200"/>
        <w:rPr>
          <w:rFonts w:hint="default"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二是创新合作机制，实现组织协同。</w:t>
      </w:r>
      <w:r>
        <w:rPr>
          <w:rFonts w:hint="eastAsia" w:ascii="Times New Roman" w:hAnsi="Times New Roman" w:eastAsia="方正仿宋_GBK" w:cs="Times New Roman"/>
          <w:b w:val="0"/>
          <w:kern w:val="2"/>
          <w:sz w:val="30"/>
          <w:szCs w:val="30"/>
          <w:lang w:val="en-US" w:eastAsia="zh-CN" w:bidi="zh-CN"/>
        </w:rPr>
        <w:t>项目由宁夏科学技术厅给予技术指导，同心县科学技术局监督实施，把控实施过程，确保资金发挥效益</w:t>
      </w:r>
      <w:r>
        <w:rPr>
          <w:rFonts w:hint="default" w:ascii="Times New Roman" w:hAnsi="Times New Roman" w:eastAsia="方正仿宋_GBK" w:cs="Times New Roman"/>
          <w:b w:val="0"/>
          <w:kern w:val="2"/>
          <w:sz w:val="30"/>
          <w:szCs w:val="30"/>
          <w:lang w:val="en-US" w:eastAsia="zh-CN" w:bidi="zh-CN"/>
        </w:rPr>
        <w:t>。</w:t>
      </w:r>
      <w:r>
        <w:rPr>
          <w:rFonts w:hint="eastAsia" w:ascii="Times New Roman" w:hAnsi="Times New Roman" w:eastAsia="方正仿宋_GBK" w:cs="Times New Roman"/>
          <w:b w:val="0"/>
          <w:kern w:val="2"/>
          <w:sz w:val="30"/>
          <w:szCs w:val="30"/>
          <w:lang w:val="en-US" w:eastAsia="zh-CN" w:bidi="zh-CN"/>
        </w:rPr>
        <w:t>宁夏农林科学院农业资源与环境研究所和宁夏大学作为技术依托单位和成果转化单位，对项目的设计实施全过程实地参与指导。</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b w:val="0"/>
          <w:bCs w:val="0"/>
          <w:sz w:val="30"/>
          <w:szCs w:val="30"/>
          <w:lang w:bidi="zh-CN"/>
        </w:rPr>
      </w:pPr>
      <w:r>
        <w:rPr>
          <w:rFonts w:hint="eastAsia" w:ascii="方正楷体_GBK" w:hAnsi="方正楷体_GBK" w:eastAsia="方正楷体_GBK" w:cs="方正楷体_GBK"/>
          <w:color w:val="333333"/>
          <w:sz w:val="30"/>
          <w:szCs w:val="30"/>
          <w:shd w:val="clear" w:fill="FFFFFF"/>
          <w:lang w:val="en-US" w:eastAsia="zh-CN" w:bidi="zh-CN"/>
        </w:rPr>
        <w:t xml:space="preserve"> </w:t>
      </w:r>
      <w:bookmarkStart w:id="159" w:name="_Toc17730"/>
      <w:bookmarkStart w:id="160" w:name="_Toc14234"/>
      <w:bookmarkStart w:id="161" w:name="_Toc13811"/>
      <w:r>
        <w:rPr>
          <w:rFonts w:hint="eastAsia" w:ascii="方正楷体_GBK" w:hAnsi="方正楷体_GBK" w:eastAsia="方正楷体_GBK" w:cs="方正楷体_GBK"/>
          <w:b/>
          <w:bCs/>
          <w:sz w:val="30"/>
          <w:szCs w:val="30"/>
          <w:lang w:bidi="zh-CN"/>
        </w:rPr>
        <w:t>（二）存在的问题</w:t>
      </w:r>
      <w:bookmarkEnd w:id="159"/>
      <w:bookmarkEnd w:id="160"/>
      <w:bookmarkEnd w:id="161"/>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1.预算管理方面</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（1）绩效目标申报表的填报规范性不强。</w:t>
      </w:r>
    </w:p>
    <w:p>
      <w:pPr>
        <w:keepNext w:val="0"/>
        <w:keepLines w:val="0"/>
        <w:pageBreakBefore w:val="0"/>
        <w:widowControl w:val="0"/>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绩效目标申报表总体目标设定有绩无效，绩效指标细化、量化不强，效果指标的设定较为宏观，项目执行内容、总体目标、具体指标难以衔接。</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2.合同签署方面。</w:t>
      </w:r>
      <w:bookmarkStart w:id="162" w:name="_Toc27409"/>
    </w:p>
    <w:p>
      <w:pPr>
        <w:keepNext w:val="0"/>
        <w:keepLines w:val="0"/>
        <w:pageBreakBefore w:val="0"/>
        <w:widowControl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（1）合同签订不规范。</w:t>
      </w:r>
    </w:p>
    <w:p>
      <w:pPr>
        <w:keepNext w:val="0"/>
        <w:keepLines w:val="0"/>
        <w:pageBreakBefore w:val="0"/>
        <w:widowControl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经资料查阅，宁夏平态林生物有机肥料有限公司与宁夏农林科学院农业资源与环境研究所签订的《技术转让合同》中未签署日期。</w:t>
      </w:r>
      <w:bookmarkEnd w:id="162"/>
      <w:r>
        <w:rPr>
          <w:rFonts w:hint="eastAsia" w:ascii="Times New Roman" w:hAnsi="Times New Roman" w:eastAsia="方正仿宋_GBK" w:cs="Times New Roman"/>
          <w:b w:val="0"/>
          <w:kern w:val="2"/>
          <w:sz w:val="30"/>
          <w:szCs w:val="30"/>
          <w:lang w:val="en-US" w:eastAsia="zh-CN" w:bidi="zh-CN"/>
        </w:rPr>
        <w:t xml:space="preserve"> </w:t>
      </w:r>
    </w:p>
    <w:p>
      <w:pPr>
        <w:keepNext w:val="0"/>
        <w:keepLines w:val="0"/>
        <w:pageBreakBefore w:val="0"/>
        <w:widowControl w:val="0"/>
        <w:numPr>
          <w:ilvl w:val="0"/>
          <w:numId w:val="1"/>
        </w:numPr>
        <w:kinsoku/>
        <w:wordWrap/>
        <w:overflowPunct w:val="0"/>
        <w:topLinePunct w:val="0"/>
        <w:autoSpaceDE/>
        <w:autoSpaceDN/>
        <w:bidi w:val="0"/>
        <w:adjustRightInd/>
        <w:snapToGrid/>
        <w:ind w:left="38" w:leftChars="0" w:firstLine="592" w:firstLineChars="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申报成果资料不规范。</w:t>
      </w:r>
    </w:p>
    <w:p>
      <w:pPr>
        <w:keepNext w:val="0"/>
        <w:keepLines w:val="0"/>
        <w:pageBreakBefore w:val="0"/>
        <w:widowControl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实施单位提交的《2022年度自治区乡村振兴科技成果引进示范推广项目实施方案》中第十条：实施单位及组织部门意见部分，未见主管部门等签署意见及加盖公章。</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3.项目管理方面</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（1）缺少实施主体层面的实施方案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实施方案，仅为简单罗列，针对项目整体的组织架构、职责分工、资金分配、进度安排、风险预估与防范、过程监督检查等要素均不统一、完整、明确，未能体现项目的统筹安排。涉及部门整体的工作方案部门任务分解、资金分配与各科室的对应关系不清晰；未提供详尽的各项工作计划和资金使用计划；项目实施方案内容完整性不够，重点工作流程、组织分工、进度安排、资金分配、质量保障措施等不够清晰，具体工作的时间节点和阶段性目标不够清晰。</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63" w:name="_Toc27748"/>
      <w:r>
        <w:rPr>
          <w:rFonts w:hint="eastAsia" w:ascii="方正楷体_GBK" w:hAnsi="方正楷体_GBK" w:eastAsia="方正楷体_GBK" w:cs="方正楷体_GBK"/>
          <w:color w:val="333333"/>
          <w:sz w:val="30"/>
          <w:szCs w:val="30"/>
          <w:shd w:val="clear" w:fill="FFFFFF"/>
          <w:lang w:val="en-US" w:eastAsia="zh-CN" w:bidi="zh-CN"/>
        </w:rPr>
        <w:t>（三）建议</w:t>
      </w:r>
      <w:bookmarkEnd w:id="163"/>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w:t>
      </w:r>
      <w:r>
        <w:rPr>
          <w:rFonts w:hint="eastAsia" w:ascii="Times New Roman" w:hAnsi="Times New Roman" w:eastAsia="方正仿宋_GBK" w:cs="Times New Roman"/>
          <w:b w:val="0"/>
          <w:kern w:val="2"/>
          <w:sz w:val="30"/>
          <w:szCs w:val="30"/>
          <w:lang w:val="en-US" w:eastAsia="zh-CN" w:bidi="zh-CN"/>
        </w:rPr>
        <w:t>.</w:t>
      </w:r>
      <w:r>
        <w:rPr>
          <w:rFonts w:hint="eastAsia" w:ascii="Times New Roman" w:hAnsi="Times New Roman" w:eastAsia="方正仿宋_GBK" w:cs="Times New Roman"/>
          <w:b/>
          <w:bCs/>
          <w:kern w:val="2"/>
          <w:sz w:val="30"/>
          <w:szCs w:val="30"/>
          <w:lang w:val="en-US" w:eastAsia="zh-CN" w:bidi="zh-CN"/>
        </w:rPr>
        <w:t>规范、完整地填报绩效目标申报表，细化、量化绩效指标。</w:t>
      </w:r>
      <w:r>
        <w:rPr>
          <w:rFonts w:hint="eastAsia" w:ascii="Times New Roman" w:hAnsi="Times New Roman" w:eastAsia="方正仿宋_GBK" w:cs="Times New Roman"/>
          <w:b w:val="0"/>
          <w:kern w:val="2"/>
          <w:sz w:val="30"/>
          <w:szCs w:val="30"/>
          <w:lang w:val="en-US" w:eastAsia="zh-CN" w:bidi="zh-CN"/>
        </w:rPr>
        <w:t>增强绩效指标设置的可行性和可考量性，合理设定绩效目标，将预算申报、绩效目标设定按照各项目内容在项目前期进行申报、设定，为项目决策和预算决策提供有力支撑。</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2.合同签署方面</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（1）紧盯问题，立行立改。</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一是</w:t>
      </w:r>
      <w:r>
        <w:rPr>
          <w:rFonts w:hint="eastAsia" w:ascii="方正仿宋_GBK" w:hAnsi="方正仿宋_GBK" w:eastAsia="方正仿宋_GBK" w:cs="方正仿宋_GBK"/>
          <w:color w:val="000000"/>
          <w:kern w:val="0"/>
          <w:sz w:val="30"/>
          <w:szCs w:val="30"/>
          <w:lang w:val="en-US" w:eastAsia="zh-CN" w:bidi="ar"/>
        </w:rPr>
        <w:t>完善合同的签订和审查工作。建设单位相关负责人要加强对建设项目合同签订的专业审查和管理，促进合同规范签订；</w:t>
      </w:r>
      <w:r>
        <w:rPr>
          <w:rFonts w:hint="eastAsia" w:ascii="方正仿宋_GBK" w:hAnsi="方正仿宋_GBK" w:eastAsia="方正仿宋_GBK" w:cs="方正仿宋_GBK"/>
          <w:b/>
          <w:bCs/>
          <w:color w:val="000000"/>
          <w:kern w:val="0"/>
          <w:sz w:val="30"/>
          <w:szCs w:val="30"/>
          <w:lang w:val="en-US" w:eastAsia="zh-CN" w:bidi="ar"/>
        </w:rPr>
        <w:t>二是</w:t>
      </w:r>
      <w:r>
        <w:rPr>
          <w:rFonts w:hint="eastAsia" w:ascii="方正仿宋_GBK" w:hAnsi="方正仿宋_GBK" w:eastAsia="方正仿宋_GBK" w:cs="方正仿宋_GBK"/>
          <w:color w:val="000000"/>
          <w:kern w:val="0"/>
          <w:sz w:val="30"/>
          <w:szCs w:val="30"/>
          <w:lang w:val="en-US" w:eastAsia="zh-CN" w:bidi="ar"/>
        </w:rPr>
        <w:t>必要时可邀请法律顾问把关，从源头上杜绝不合法行为的发生。从被动应对和处理合同纠纷转为主动预防合同纠纷，从而提升项目管理水平、提高投资效益。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Lines="0" w:beforeAutospacing="0" w:afterLines="0" w:afterAutospacing="0" w:line="560" w:lineRule="exact"/>
        <w:ind w:left="0" w:right="0" w:firstLine="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（2）压实行业主管部门监管责任，推动问题整改走深走实。</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资金拨付后，主管部门应加强自身监管责任，注重资金使用方向，资金使用成效、验收情况及带动农户的产出情况，加强对经营方向、专业合作社的设立等内容进行相应的培训和指导，逐步稳定提升良好的经济效益和社会效果。</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3.完善项目管理，进一步提升项目执行的规范性、有效性。</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方正仿宋_GBK" w:hAnsi="方正仿宋_GBK" w:eastAsia="方正仿宋_GBK" w:cs="方正仿宋_GBK"/>
          <w:color w:val="000000"/>
          <w:kern w:val="0"/>
          <w:sz w:val="30"/>
          <w:szCs w:val="30"/>
          <w:lang w:val="en-US" w:eastAsia="zh-CN" w:bidi="ar"/>
        </w:rPr>
        <w:t>及时编制细化的项目实施方案，结合项目具体实施内容明确分工、合理组织，依据项目内容进一步制定细化的项目实施计划、招投标工作计划、资金使用计划，有效推进项目实施进程；注重项目过程管控，提高管理水平；加强合同管理、合同文本的规范性，保证合同形式和实质都满足内控规范要求，合理设置合同条款，强化合同履行全过程监控。</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64" w:name="_Toc30413"/>
      <w:r>
        <w:rPr>
          <w:rFonts w:hint="eastAsia" w:asciiTheme="majorEastAsia" w:hAnsiTheme="majorEastAsia" w:eastAsiaTheme="majorEastAsia" w:cstheme="majorEastAsia"/>
          <w:b/>
          <w:bCs/>
          <w:sz w:val="32"/>
          <w:szCs w:val="32"/>
          <w:lang w:val="en-US" w:eastAsia="zh-CN"/>
        </w:rPr>
        <w:t>八、其他需要说明的问题</w:t>
      </w:r>
      <w:bookmarkEnd w:id="164"/>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绩效评价报告是在被评价单位提供项目资料的基础上核实、分析而完成的，评价工作组现场核实的事项仅限于宁夏同心县科学技术局种养废弃物肥料化高值化利用技术引进示范项目补助资金有关的方面。同时评价报告及结论也受评价人员对项目的了解程度、专业知识和评价能力的限制，因此，本绩效评价报告仅对同心县科学技术局种养废弃物肥料化高值化利用技术引进示范项目补助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方正仿宋_GBK" w:hAnsi="方正仿宋_GBK" w:eastAsia="方正仿宋_GBK" w:cs="方正仿宋_GBK"/>
          <w:b w:val="0"/>
          <w:bCs w:val="0"/>
          <w:kern w:val="2"/>
          <w:sz w:val="30"/>
          <w:szCs w:val="30"/>
          <w:lang w:val="en-US" w:eastAsia="zh-CN" w:bidi="ar-SA"/>
        </w:rPr>
        <w:t xml:space="preserve">  </w:t>
      </w:r>
      <w:r>
        <w:rPr>
          <w:rFonts w:hint="eastAsia" w:ascii="Times New Roman" w:hAnsi="Times New Roman" w:eastAsia="方正仿宋_GBK" w:cs="Times New Roman"/>
          <w:b w:val="0"/>
          <w:bCs w:val="0"/>
          <w:kern w:val="2"/>
          <w:sz w:val="30"/>
          <w:szCs w:val="30"/>
          <w:lang w:val="en-US" w:eastAsia="zh-CN" w:bidi="ar-SA"/>
        </w:rPr>
        <w:t xml:space="preserve">    3.项目问卷调查</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rPr>
          <w:rFonts w:hint="eastAsia" w:ascii="Times New Roman" w:hAnsi="Times New Roman" w:eastAsia="方正仿宋_GBK" w:cs="Times New Roman"/>
          <w:b w:val="0"/>
          <w:color w:val="auto"/>
          <w:kern w:val="44"/>
          <w:sz w:val="28"/>
          <w:szCs w:val="28"/>
          <w:shd w:val="clear" w:fill="auto"/>
          <w:lang w:val="en-US" w:eastAsia="zh-CN" w:bidi="zh-CN"/>
        </w:rPr>
      </w:pPr>
    </w:p>
    <w:p>
      <w:pPr>
        <w:rPr>
          <w:rFonts w:hint="eastAsia" w:ascii="Times New Roman" w:hAnsi="Times New Roman" w:eastAsia="方正仿宋_GBK" w:cs="Times New Roman"/>
          <w:b w:val="0"/>
          <w:color w:val="auto"/>
          <w:kern w:val="44"/>
          <w:sz w:val="28"/>
          <w:szCs w:val="28"/>
          <w:shd w:val="clear" w:fill="auto"/>
          <w:lang w:val="en-US" w:eastAsia="zh-CN" w:bidi="zh-CN"/>
        </w:rPr>
      </w:pPr>
    </w:p>
    <w:p>
      <w:pPr>
        <w:pStyle w:val="4"/>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eastAsia"/>
        </w:rPr>
      </w:pPr>
      <w:r>
        <w:rPr>
          <w:rFonts w:hint="eastAsia" w:ascii="Times New Roman" w:hAnsi="Times New Roman" w:eastAsia="方正仿宋_GB2312" w:cs="Times New Roman"/>
          <w:b w:val="0"/>
          <w:sz w:val="28"/>
          <w:szCs w:val="28"/>
          <w:lang w:val="en-US" w:eastAsia="zh-CN"/>
        </w:rPr>
        <w:t xml:space="preserve">                                        </w:t>
      </w:r>
      <w:bookmarkEnd w:id="59"/>
      <w:bookmarkEnd w:id="60"/>
      <w:bookmarkEnd w:id="61"/>
      <w:bookmarkEnd w:id="62"/>
      <w:bookmarkEnd w:id="63"/>
      <w:bookmarkEnd w:id="64"/>
      <w:bookmarkEnd w:id="65"/>
      <w:bookmarkEnd w:id="66"/>
      <w:r>
        <w:rPr>
          <w:rFonts w:hint="eastAsia" w:ascii="Times New Roman" w:hAnsi="Times New Roman" w:eastAsia="方正仿宋_GB2312" w:cs="Times New Roman"/>
          <w:b w:val="0"/>
          <w:sz w:val="28"/>
          <w:szCs w:val="28"/>
          <w:lang w:val="en-US" w:eastAsia="zh-CN"/>
        </w:rPr>
        <w:t>2023年12月31日</w:t>
      </w:r>
      <w:bookmarkEnd w:id="31"/>
      <w:bookmarkEnd w:id="67"/>
      <w:bookmarkStart w:id="165" w:name="_Toc5302"/>
      <w:bookmarkStart w:id="166" w:name="_Toc20313"/>
    </w:p>
    <w:p>
      <w:pPr>
        <w:keepNext w:val="0"/>
        <w:keepLines w:val="0"/>
        <w:pageBreakBefore w:val="0"/>
        <w:widowControl w:val="0"/>
        <w:kinsoku/>
        <w:wordWrap/>
        <w:overflowPunct/>
        <w:topLinePunct w:val="0"/>
        <w:autoSpaceDE/>
        <w:autoSpaceDN/>
        <w:bidi w:val="0"/>
        <w:adjustRightInd/>
        <w:snapToGrid/>
        <w:ind w:firstLine="1580" w:firstLineChars="500"/>
        <w:textAlignment w:val="auto"/>
        <w:rPr>
          <w:rFonts w:hint="eastAsia" w:ascii="仿宋" w:hAnsi="仿宋"/>
          <w:lang w:val="en-US" w:eastAsia="zh-CN"/>
        </w:rPr>
      </w:pPr>
      <w:r>
        <w:rPr>
          <w:rFonts w:hint="eastAsia" w:ascii="仿宋" w:hAnsi="仿宋"/>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592" w:firstLineChars="200"/>
        <w:jc w:val="center"/>
        <w:textAlignment w:val="auto"/>
        <w:rPr>
          <w:rFonts w:hint="default" w:ascii="方正仿宋_GBK" w:hAnsi="方正仿宋_GBK" w:eastAsia="方正仿宋_GBK" w:cs="方正仿宋_GBK"/>
          <w:kern w:val="2"/>
          <w:sz w:val="30"/>
          <w:szCs w:val="30"/>
          <w:lang w:val="en-US" w:eastAsia="zh-CN" w:bidi="ar-SA"/>
        </w:rPr>
      </w:pPr>
      <w:r>
        <w:rPr>
          <w:rFonts w:hint="eastAsia" w:ascii="方正仿宋_GBK" w:hAnsi="方正仿宋_GBK" w:eastAsia="方正仿宋_GBK" w:cs="方正仿宋_GBK"/>
          <w:b w:val="0"/>
          <w:bCs w:val="0"/>
          <w:kern w:val="2"/>
          <w:sz w:val="30"/>
          <w:szCs w:val="30"/>
          <w:lang w:val="en-US" w:eastAsia="zh-CN" w:bidi="ar-SA"/>
        </w:rPr>
        <w:t xml:space="preserve">     </w:t>
      </w:r>
    </w:p>
    <w:p>
      <w:pPr>
        <w:rPr>
          <w:rFonts w:hint="eastAsia"/>
          <w:lang w:val="en-US" w:eastAsia="zh-CN"/>
        </w:rPr>
      </w:pPr>
      <w:r>
        <w:rPr>
          <w:rFonts w:hint="eastAsia"/>
          <w:lang w:val="en-US" w:eastAsia="zh-CN"/>
        </w:rPr>
        <w:t xml:space="preserve">                    </w:t>
      </w:r>
    </w:p>
    <w:p>
      <w:pPr>
        <w:ind w:left="0" w:leftChars="0" w:firstLine="0" w:firstLineChars="0"/>
        <w:rPr>
          <w:rFonts w:hint="eastAsia"/>
          <w:lang w:val="en-US" w:eastAsia="zh-CN"/>
        </w:rPr>
      </w:pPr>
    </w:p>
    <w:p>
      <w:pPr>
        <w:rPr>
          <w:rFonts w:hint="eastAsia"/>
          <w:lang w:val="en-US" w:eastAsia="zh-CN"/>
        </w:rPr>
      </w:pPr>
    </w:p>
    <w:p>
      <w:pPr>
        <w:ind w:left="0" w:leftChars="0" w:firstLine="0" w:firstLineChars="0"/>
        <w:rPr>
          <w:rFonts w:hint="default"/>
          <w:lang w:val="en-US" w:eastAsia="zh-CN"/>
        </w:rPr>
        <w:sectPr>
          <w:headerReference r:id="rId7" w:type="default"/>
          <w:footerReference r:id="rId8" w:type="default"/>
          <w:pgSz w:w="11906" w:h="16838"/>
          <w:pgMar w:top="2098" w:right="1587" w:bottom="2098" w:left="1587" w:header="1191" w:footer="935" w:gutter="0"/>
          <w:pgNumType w:fmt="decimal" w:start="1"/>
          <w:cols w:space="0" w:num="1"/>
          <w:rtlGutter w:val="0"/>
          <w:docGrid w:type="linesAndChars" w:linePitch="589" w:charSpace="-842"/>
        </w:sectPr>
      </w:pPr>
    </w:p>
    <w:bookmarkEnd w:id="165"/>
    <w:bookmarkEnd w:id="166"/>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同心县科学技术局种养废弃物肥料化高值化利用技术引进示范项目绩效评价指标体系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1"/>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70"/>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3"/>
                <w:rFonts w:hint="default" w:ascii="Times New Roman" w:hAnsi="Times New Roman" w:cs="Times New Roman"/>
                <w:lang w:val="en-US" w:eastAsia="zh-CN" w:bidi="ar"/>
              </w:rPr>
              <w:t>项目是否属于公共财政支持范围，是否符合中央地方事权支出责任划分原则</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3"/>
                <w:rFonts w:hint="default" w:ascii="Times New Roman" w:hAnsi="Times New Roman" w:cs="Times New Roman"/>
                <w:lang w:val="en-US" w:eastAsia="zh-CN" w:bidi="ar"/>
              </w:rPr>
              <w:t>项目是否与相关部门同类项目或部门内部相关项目重复</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该项目设定了绩效目标。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绩效目标能够</w:t>
            </w:r>
            <w:r>
              <w:rPr>
                <w:rFonts w:hint="default" w:ascii="Times New Roman" w:hAnsi="Times New Roman" w:eastAsia="方正仿宋_GBK" w:cs="Times New Roman"/>
                <w:i w:val="0"/>
                <w:iCs w:val="0"/>
                <w:color w:val="000000"/>
                <w:kern w:val="0"/>
                <w:sz w:val="22"/>
                <w:szCs w:val="22"/>
                <w:u w:val="none"/>
                <w:lang w:val="en-US" w:eastAsia="zh-CN" w:bidi="ar"/>
              </w:rPr>
              <w:t>清晰、细化、可衡量。</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方正仿宋_GBK" w:hAnsi="方正仿宋_GBK" w:eastAsia="方正仿宋_GBK" w:cs="方正仿宋_GBK"/>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方正仿宋_GBK" w:hAnsi="方正仿宋_GBK" w:eastAsia="方正仿宋_GBK" w:cs="方正仿宋_GBK"/>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方正仿宋_GBK" w:hAnsi="方正仿宋_GBK" w:eastAsia="方正仿宋_GBK" w:cs="方正仿宋_GBK"/>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方正仿宋_GBK" w:hAnsi="方正仿宋_GBK" w:eastAsia="方正仿宋_GBK" w:cs="方正仿宋_GBK"/>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方正仿宋_GBK" w:hAnsi="方正仿宋_GBK" w:eastAsia="方正仿宋_GBK" w:cs="方正仿宋_GBK"/>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方正仿宋_GBK" w:hAnsi="方正仿宋_GBK" w:eastAsia="方正仿宋_GBK" w:cs="方正仿宋_GBK"/>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资金全部到位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项目预算资金25.00万元，实际支出25.00万元，预算执行率100%。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评价标准：资金执行率=实际支付资金/实际到位资金×100%，专项资金执行率100%得满分。否则本指标得分=资金执行率×分值。</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w:t>
            </w:r>
            <w:r>
              <w:rPr>
                <w:rFonts w:hint="default" w:ascii="Times New Roman" w:hAnsi="Times New Roman" w:eastAsia="方正仿宋_GBK" w:cs="Times New Roman"/>
                <w:i w:val="0"/>
                <w:iCs w:val="0"/>
                <w:color w:val="000000"/>
                <w:kern w:val="0"/>
                <w:sz w:val="22"/>
                <w:szCs w:val="22"/>
                <w:u w:val="none"/>
                <w:lang w:val="en-US" w:eastAsia="zh-CN" w:bidi="ar"/>
              </w:rPr>
              <w:fldChar w:fldCharType="begin"/>
            </w:r>
            <w:r>
              <w:rPr>
                <w:rFonts w:hint="default" w:ascii="Times New Roman" w:hAnsi="Times New Roman" w:eastAsia="方正仿宋_GBK" w:cs="Times New Roman"/>
                <w:i w:val="0"/>
                <w:iCs w:val="0"/>
                <w:color w:val="000000"/>
                <w:kern w:val="0"/>
                <w:sz w:val="22"/>
                <w:szCs w:val="22"/>
                <w:u w:val="none"/>
                <w:lang w:val="en-US" w:eastAsia="zh-CN" w:bidi="ar"/>
              </w:rPr>
              <w:instrText xml:space="preserve"> EQ \o\ac(</w:instrText>
            </w:r>
            <w:r>
              <w:rPr>
                <w:rFonts w:hint="eastAsia" w:ascii="Times New Roman" w:hAnsi="Times New Roman" w:eastAsia="方正仿宋_GBK" w:cs="Times New Roman"/>
                <w:i w:val="0"/>
                <w:iCs w:val="0"/>
                <w:color w:val="000000"/>
                <w:kern w:val="0"/>
                <w:sz w:val="22"/>
                <w:szCs w:val="22"/>
                <w:u w:val="none"/>
                <w:lang w:val="en-US" w:eastAsia="zh-CN" w:bidi="ar"/>
              </w:rPr>
              <w:instrText xml:space="preserve">○</w:instrText>
            </w:r>
            <w:r>
              <w:rPr>
                <w:rFonts w:hint="default" w:ascii="Times New Roman" w:hAnsi="Times New Roman" w:eastAsia="方正仿宋_GBK" w:cs="Times New Roman"/>
                <w:i w:val="0"/>
                <w:iCs w:val="0"/>
                <w:color w:val="000000"/>
                <w:kern w:val="0"/>
                <w:sz w:val="22"/>
                <w:szCs w:val="22"/>
                <w:u w:val="none"/>
                <w:lang w:val="en-US" w:eastAsia="zh-CN" w:bidi="ar"/>
              </w:rPr>
              <w:instrText xml:space="preserve">,</w:instrText>
            </w:r>
            <w:r>
              <w:rPr>
                <w:rFonts w:hint="default" w:ascii="Times New Roman" w:hAnsi="Times New Roman" w:eastAsia="方正仿宋_GBK" w:cs="Times New Roman"/>
                <w:i w:val="0"/>
                <w:iCs w:val="0"/>
                <w:color w:val="000000"/>
                <w:kern w:val="0"/>
                <w:position w:val="3"/>
                <w:sz w:val="15"/>
                <w:szCs w:val="22"/>
                <w:u w:val="none"/>
                <w:lang w:val="en-US" w:eastAsia="zh-CN" w:bidi="ar"/>
              </w:rPr>
              <w:instrText xml:space="preserve">2</w:instrText>
            </w:r>
            <w:r>
              <w:rPr>
                <w:rFonts w:hint="default" w:ascii="Times New Roman" w:hAnsi="Times New Roman" w:eastAsia="方正仿宋_GBK" w:cs="Times New Roman"/>
                <w:i w:val="0"/>
                <w:iCs w:val="0"/>
                <w:color w:val="000000"/>
                <w:kern w:val="0"/>
                <w:sz w:val="22"/>
                <w:szCs w:val="22"/>
                <w:u w:val="none"/>
                <w:lang w:val="en-US" w:eastAsia="zh-CN" w:bidi="ar"/>
              </w:rPr>
              <w:instrText xml:space="preserve">)</w:instrText>
            </w:r>
            <w:r>
              <w:rPr>
                <w:rFonts w:hint="default" w:ascii="Times New Roman" w:hAnsi="Times New Roman" w:eastAsia="方正仿宋_GBK" w:cs="Times New Roman"/>
                <w:i w:val="0"/>
                <w:iCs w:val="0"/>
                <w:color w:val="000000"/>
                <w:kern w:val="0"/>
                <w:sz w:val="22"/>
                <w:szCs w:val="22"/>
                <w:u w:val="none"/>
                <w:lang w:val="en-US" w:eastAsia="zh-CN" w:bidi="ar"/>
              </w:rPr>
              <w:fldChar w:fldCharType="end"/>
            </w:r>
            <w:r>
              <w:rPr>
                <w:rFonts w:hint="default" w:ascii="Times New Roman" w:hAnsi="Times New Roman" w:eastAsia="方正仿宋_GBK" w:cs="Times New Roman"/>
                <w:i w:val="0"/>
                <w:iCs w:val="0"/>
                <w:color w:val="000000"/>
                <w:kern w:val="0"/>
                <w:sz w:val="22"/>
                <w:szCs w:val="22"/>
                <w:u w:val="none"/>
                <w:lang w:val="en-US" w:eastAsia="zh-CN" w:bidi="ar"/>
              </w:rPr>
              <w:t>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eastAsia" w:ascii="Times New Roman" w:hAnsi="Times New Roman" w:eastAsia="方正仿宋_GBK" w:cs="Times New Roman"/>
                <w:i w:val="0"/>
                <w:iCs w:val="0"/>
                <w:color w:val="000000"/>
                <w:kern w:val="0"/>
                <w:sz w:val="22"/>
                <w:szCs w:val="22"/>
                <w:u w:val="none"/>
                <w:lang w:val="en-US" w:eastAsia="zh-CN" w:bidi="ar"/>
              </w:rPr>
              <w:t>33</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有机肥工艺及生产线</w:t>
            </w:r>
            <w:r>
              <w:rPr>
                <w:rFonts w:hint="eastAsia" w:ascii="方正仿宋_GBK" w:hAnsi="方正仿宋_GBK" w:eastAsia="方正仿宋_GBK" w:cs="方正仿宋_GBK"/>
                <w:i w:val="0"/>
                <w:iCs w:val="0"/>
                <w:color w:val="000000"/>
                <w:kern w:val="0"/>
                <w:sz w:val="22"/>
                <w:szCs w:val="22"/>
                <w:u w:val="none"/>
                <w:lang w:val="en-US" w:eastAsia="zh-CN" w:bidi="ar"/>
              </w:rPr>
              <w:t>完成率</w:t>
            </w:r>
          </w:p>
        </w:tc>
        <w:tc>
          <w:tcPr>
            <w:tcW w:w="2370"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用以反映和考核实施项</w:t>
            </w:r>
            <w:r>
              <w:rPr>
                <w:rFonts w:hint="eastAsia" w:ascii="Times New Roman" w:hAnsi="Times New Roman" w:eastAsia="方正仿宋_GBK" w:cs="Times New Roman"/>
                <w:i w:val="0"/>
                <w:iCs w:val="0"/>
                <w:color w:val="000000"/>
                <w:kern w:val="0"/>
                <w:sz w:val="22"/>
                <w:szCs w:val="22"/>
                <w:u w:val="none"/>
                <w:lang w:val="en-US" w:eastAsia="zh-CN" w:bidi="ar"/>
              </w:rPr>
              <w:t>目及整体目标任务完成情况。</w:t>
            </w:r>
          </w:p>
        </w:tc>
        <w:tc>
          <w:tcPr>
            <w:tcW w:w="1043"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1套</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5</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  已全面达成。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6"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年处理种养废弃物完成率</w:t>
            </w:r>
          </w:p>
        </w:tc>
        <w:tc>
          <w:tcPr>
            <w:tcW w:w="2370"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用以反映和考核实施项</w:t>
            </w:r>
            <w:r>
              <w:rPr>
                <w:rFonts w:hint="eastAsia" w:ascii="Times New Roman" w:hAnsi="Times New Roman" w:eastAsia="方正仿宋_GBK" w:cs="Times New Roman"/>
                <w:i w:val="0"/>
                <w:iCs w:val="0"/>
                <w:color w:val="000000"/>
                <w:kern w:val="0"/>
                <w:sz w:val="22"/>
                <w:szCs w:val="22"/>
                <w:u w:val="none"/>
                <w:lang w:val="en-US" w:eastAsia="zh-CN" w:bidi="ar"/>
              </w:rPr>
              <w:t>目及整体目标任务完成情况。</w:t>
            </w:r>
          </w:p>
        </w:tc>
        <w:tc>
          <w:tcPr>
            <w:tcW w:w="1043"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6万吨</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5</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432" w:firstLineChars="20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已全面达成。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年产高品质生物有机肥完成率</w:t>
            </w:r>
          </w:p>
        </w:tc>
        <w:tc>
          <w:tcPr>
            <w:tcW w:w="2370"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用以反映和考核实施项</w:t>
            </w:r>
            <w:r>
              <w:rPr>
                <w:rFonts w:hint="eastAsia" w:ascii="Times New Roman" w:hAnsi="Times New Roman" w:eastAsia="方正仿宋_GBK" w:cs="Times New Roman"/>
                <w:i w:val="0"/>
                <w:iCs w:val="0"/>
                <w:color w:val="000000"/>
                <w:kern w:val="0"/>
                <w:sz w:val="22"/>
                <w:szCs w:val="22"/>
                <w:u w:val="none"/>
                <w:lang w:val="en-US" w:eastAsia="zh-CN" w:bidi="ar"/>
              </w:rPr>
              <w:t>目及整体目标任务完成情况。</w:t>
            </w:r>
          </w:p>
        </w:tc>
        <w:tc>
          <w:tcPr>
            <w:tcW w:w="1043"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3万吨</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5</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432" w:firstLineChars="20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已全面达成。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1"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示范基地面积（亩）</w:t>
            </w:r>
          </w:p>
        </w:tc>
        <w:tc>
          <w:tcPr>
            <w:tcW w:w="2370"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用以反映和考核实施项</w:t>
            </w:r>
            <w:r>
              <w:rPr>
                <w:rFonts w:hint="eastAsia" w:ascii="Times New Roman" w:hAnsi="Times New Roman" w:eastAsia="方正仿宋_GBK" w:cs="Times New Roman"/>
                <w:i w:val="0"/>
                <w:iCs w:val="0"/>
                <w:color w:val="000000"/>
                <w:kern w:val="0"/>
                <w:sz w:val="22"/>
                <w:szCs w:val="22"/>
                <w:u w:val="none"/>
                <w:lang w:val="en-US" w:eastAsia="zh-CN" w:bidi="ar"/>
              </w:rPr>
              <w:t>目及整体目标任务完成情况。</w:t>
            </w:r>
          </w:p>
        </w:tc>
        <w:tc>
          <w:tcPr>
            <w:tcW w:w="1043"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500亩</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5</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432" w:firstLineChars="20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已全面达成。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中药材种植循环利用示范样板完成率</w:t>
            </w:r>
          </w:p>
        </w:tc>
        <w:tc>
          <w:tcPr>
            <w:tcW w:w="2370"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用以反映和考核实施项</w:t>
            </w:r>
            <w:r>
              <w:rPr>
                <w:rFonts w:hint="eastAsia" w:ascii="Times New Roman" w:hAnsi="Times New Roman" w:eastAsia="方正仿宋_GBK" w:cs="Times New Roman"/>
                <w:i w:val="0"/>
                <w:iCs w:val="0"/>
                <w:color w:val="000000"/>
                <w:kern w:val="0"/>
                <w:sz w:val="22"/>
                <w:szCs w:val="22"/>
                <w:u w:val="none"/>
                <w:lang w:val="en-US" w:eastAsia="zh-CN" w:bidi="ar"/>
              </w:rPr>
              <w:t>目及整体目标任务完成情况。</w:t>
            </w:r>
          </w:p>
        </w:tc>
        <w:tc>
          <w:tcPr>
            <w:tcW w:w="1043"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1个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5</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432" w:firstLineChars="20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已全面达成。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项目验收质量合格率</w:t>
            </w:r>
          </w:p>
        </w:tc>
        <w:tc>
          <w:tcPr>
            <w:tcW w:w="2370"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用以反映和考核项目招投</w:t>
            </w:r>
            <w:r>
              <w:rPr>
                <w:rFonts w:hint="eastAsia" w:ascii="Times New Roman" w:hAnsi="Times New Roman" w:eastAsia="方正仿宋_GBK" w:cs="Times New Roman"/>
                <w:i w:val="0"/>
                <w:iCs w:val="0"/>
                <w:color w:val="000000"/>
                <w:kern w:val="0"/>
                <w:sz w:val="22"/>
                <w:szCs w:val="22"/>
                <w:u w:val="none"/>
                <w:lang w:val="en-US" w:eastAsia="zh-CN" w:bidi="ar"/>
              </w:rPr>
              <w:t>标程序及验收结果规范达标情况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3"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尚未组织全面验收。</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产出时效</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2370"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用以反映和考核项目资金到位程度。</w:t>
            </w:r>
          </w:p>
        </w:tc>
        <w:tc>
          <w:tcPr>
            <w:tcW w:w="1043"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评价要点：项目产出时效指标项下三级及细化指标预期目标值是否全面达成。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sz w:val="22"/>
                <w:szCs w:val="22"/>
                <w:u w:val="none"/>
                <w:lang w:val="en-US" w:eastAsia="zh-CN"/>
              </w:rPr>
              <w:t>评分标准：资金到位率100%得满分，到位不及时则不得分。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已完成</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3" w:hRule="atLeast"/>
        </w:trPr>
        <w:tc>
          <w:tcPr>
            <w:tcW w:w="1107"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eastAsia" w:ascii="Times New Roman" w:hAnsi="Times New Roman" w:eastAsia="方正仿宋_GBK" w:cs="Times New Roman"/>
                <w:i w:val="0"/>
                <w:iCs w:val="0"/>
                <w:color w:val="000000"/>
                <w:kern w:val="0"/>
                <w:sz w:val="22"/>
                <w:szCs w:val="22"/>
                <w:u w:val="none"/>
                <w:lang w:val="en-US" w:eastAsia="zh-CN" w:bidi="ar"/>
              </w:rPr>
              <w:t>27</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社会效益</w:t>
            </w:r>
          </w:p>
        </w:tc>
        <w:tc>
          <w:tcPr>
            <w:tcW w:w="98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带动周边人员就业积极性</w:t>
            </w:r>
          </w:p>
        </w:tc>
        <w:tc>
          <w:tcPr>
            <w:tcW w:w="237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用以反映和考核项目实施后带动周边群众参与其中的积极性且充分增加当地群众经济收入。</w:t>
            </w:r>
          </w:p>
        </w:tc>
        <w:tc>
          <w:tcPr>
            <w:tcW w:w="104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有效带动</w:t>
            </w:r>
          </w:p>
        </w:tc>
        <w:tc>
          <w:tcPr>
            <w:tcW w:w="704"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有效带动</w:t>
            </w:r>
          </w:p>
        </w:tc>
        <w:tc>
          <w:tcPr>
            <w:tcW w:w="776"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生态效益</w:t>
            </w:r>
          </w:p>
        </w:tc>
        <w:tc>
          <w:tcPr>
            <w:tcW w:w="98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有效改善生态环境</w:t>
            </w:r>
          </w:p>
        </w:tc>
        <w:tc>
          <w:tcPr>
            <w:tcW w:w="237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项目实施后有效改善周边生态环境。</w:t>
            </w:r>
          </w:p>
        </w:tc>
        <w:tc>
          <w:tcPr>
            <w:tcW w:w="104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改善</w:t>
            </w:r>
          </w:p>
        </w:tc>
        <w:tc>
          <w:tcPr>
            <w:tcW w:w="704"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5</w:t>
            </w:r>
          </w:p>
        </w:tc>
        <w:tc>
          <w:tcPr>
            <w:tcW w:w="8369"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价要点：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shd w:val="clear"/>
                <w:lang w:val="en-US" w:eastAsia="zh-CN" w:bidi="ar"/>
              </w:rPr>
              <w:t>畜禽粪污治理和资源化利用，是农村生态环境保护工作的重点和难点，对于改善农村生态环境质量，提高农业绿色发展水平。</w:t>
            </w:r>
          </w:p>
        </w:tc>
        <w:tc>
          <w:tcPr>
            <w:tcW w:w="776"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trPr>
        <w:tc>
          <w:tcPr>
            <w:tcW w:w="1107" w:type="dxa"/>
            <w:vMerge w:val="continue"/>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机制维护健全性</w:t>
            </w:r>
          </w:p>
        </w:tc>
        <w:tc>
          <w:tcPr>
            <w:tcW w:w="2370"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加强畜禽养殖废弃物监管，建立耕地质量长期监测机制。</w:t>
            </w:r>
          </w:p>
        </w:tc>
        <w:tc>
          <w:tcPr>
            <w:tcW w:w="104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7</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70"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项目实施地周边市民满意度</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≥94%。</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94.00</w:t>
            </w:r>
          </w:p>
        </w:tc>
      </w:tr>
    </w:tbl>
    <w:p>
      <w:pPr>
        <w:rPr>
          <w:rFonts w:hint="eastAsia"/>
          <w:lang w:val="en-US" w:eastAsia="zh-CN"/>
        </w:rPr>
      </w:pPr>
    </w:p>
    <w:p>
      <w:pPr>
        <w:rPr>
          <w:rFonts w:hint="default"/>
          <w:lang w:val="en-US" w:eastAsia="zh-CN"/>
        </w:rPr>
      </w:pPr>
    </w:p>
    <w:p>
      <w:pPr>
        <w:rPr>
          <w:rFonts w:hint="eastAsia"/>
          <w:lang w:val="en-US" w:eastAsia="zh-CN"/>
        </w:rPr>
      </w:pPr>
    </w:p>
    <w:p>
      <w:pPr>
        <w:rPr>
          <w:rFonts w:hint="eastAsia"/>
          <w:lang w:val="en-US" w:eastAsia="zh-CN"/>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pStyle w:val="2"/>
        <w:keepNext w:val="0"/>
        <w:keepLines w:val="0"/>
        <w:pageBreakBefore w:val="0"/>
        <w:widowControl w:val="0"/>
        <w:kinsoku/>
        <w:wordWrap/>
        <w:overflowPunct w:val="0"/>
        <w:topLinePunct w:val="0"/>
        <w:autoSpaceDE/>
        <w:autoSpaceDN/>
        <w:bidi w:val="0"/>
        <w:adjustRightInd/>
        <w:snapToGrid/>
        <w:spacing w:line="440" w:lineRule="exact"/>
        <w:jc w:val="center"/>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同心县科学技术局种养废弃物肥料化</w:t>
      </w:r>
    </w:p>
    <w:p>
      <w:pPr>
        <w:pStyle w:val="2"/>
        <w:keepNext w:val="0"/>
        <w:keepLines w:val="0"/>
        <w:pageBreakBefore w:val="0"/>
        <w:widowControl w:val="0"/>
        <w:kinsoku/>
        <w:wordWrap/>
        <w:overflowPunct w:val="0"/>
        <w:topLinePunct w:val="0"/>
        <w:autoSpaceDE/>
        <w:autoSpaceDN/>
        <w:bidi w:val="0"/>
        <w:adjustRightInd/>
        <w:snapToGrid/>
        <w:spacing w:line="440" w:lineRule="exact"/>
        <w:jc w:val="center"/>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高值化利用技术引进示范项目</w:t>
      </w:r>
    </w:p>
    <w:p>
      <w:pPr>
        <w:pStyle w:val="2"/>
        <w:keepNext w:val="0"/>
        <w:keepLines w:val="0"/>
        <w:pageBreakBefore w:val="0"/>
        <w:widowControl w:val="0"/>
        <w:kinsoku/>
        <w:wordWrap/>
        <w:overflowPunct w:val="0"/>
        <w:topLinePunct w:val="0"/>
        <w:autoSpaceDE/>
        <w:autoSpaceDN/>
        <w:bidi w:val="0"/>
        <w:adjustRightInd/>
        <w:snapToGrid/>
        <w:spacing w:line="440" w:lineRule="exact"/>
        <w:jc w:val="center"/>
        <w:textAlignment w:val="auto"/>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访谈方案</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一般债券资金项目的组织、实施、管理的具体情况，发现部门运行和管理中的问题，评估财政部门资金的使用以及与部门职能，了解和评估财政资金使用的效率和效益，发现资金使用和管理中的问题，为项目的管理和执行提供充分的决策依据。</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一</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同心县科学技术局分管领导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同心县科学技术局财务负责人</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宁夏平态林生物有机肥料有限公司项目负责人</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二</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三</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lang w:val="en-US" w:eastAsia="zh-CN"/>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四</w:t>
      </w:r>
      <w:r>
        <w:rPr>
          <w:rStyle w:val="24"/>
          <w:rFonts w:hint="eastAsia" w:ascii="方正仿宋_GBK" w:hAnsi="方正仿宋_GBK" w:eastAsia="方正仿宋_GBK" w:cs="方正仿宋_GBK"/>
          <w:color w:val="000000"/>
          <w:sz w:val="30"/>
          <w:szCs w:val="30"/>
          <w:lang w:eastAsia="zh-CN"/>
        </w:rPr>
        <w:t>）访谈</w:t>
      </w:r>
      <w:r>
        <w:rPr>
          <w:rStyle w:val="24"/>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1.请简要介绍一下宁夏同心县科学技术局种养废弃物肥料化高值化利用技术引进示范项目实施中主要负责的工作内容？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2.对于预算安排，如何去根据实际情况制定</w:t>
      </w:r>
      <w:r>
        <w:rPr>
          <w:rFonts w:hint="eastAsia" w:ascii="Times New Roman" w:hAnsi="Times New Roman" w:eastAsia="方正仿宋_GBK" w:cs="Times New Roman"/>
          <w:b w:val="0"/>
          <w:bCs w:val="0"/>
          <w:kern w:val="0"/>
          <w:sz w:val="30"/>
          <w:szCs w:val="30"/>
          <w:lang w:val="en-US" w:eastAsia="zh-CN" w:bidi="zh-CN"/>
        </w:rPr>
        <w:t>实施方案</w:t>
      </w:r>
      <w:r>
        <w:rPr>
          <w:rFonts w:hint="default" w:ascii="Times New Roman" w:hAnsi="Times New Roman" w:eastAsia="方正仿宋_GBK" w:cs="Times New Roman"/>
          <w:b w:val="0"/>
          <w:bCs w:val="0"/>
          <w:kern w:val="0"/>
          <w:sz w:val="30"/>
          <w:szCs w:val="30"/>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eastAsia="方正仿宋_GBK" w:cs="Times New Roman"/>
          <w:b w:val="0"/>
          <w:bCs w:val="0"/>
          <w:kern w:val="0"/>
          <w:sz w:val="30"/>
          <w:szCs w:val="30"/>
          <w:lang w:val="de-DE" w:eastAsia="zh-CN" w:bidi="zh-CN"/>
        </w:rPr>
      </w:pPr>
      <w:bookmarkStart w:id="167" w:name="_Toc396323558"/>
      <w:bookmarkStart w:id="168" w:name="_Toc393466358"/>
      <w:bookmarkStart w:id="169" w:name="_Toc387361423"/>
      <w:bookmarkStart w:id="170" w:name="_Toc385352814"/>
      <w:bookmarkStart w:id="171" w:name="_Toc390983233"/>
      <w:bookmarkStart w:id="172" w:name="_Toc385522401"/>
      <w:bookmarkStart w:id="173" w:name="_Toc385521993"/>
      <w:r>
        <w:rPr>
          <w:rFonts w:hint="default" w:ascii="Times New Roman" w:hAnsi="Times New Roman" w:eastAsia="方正仿宋_GBK" w:cs="Times New Roman"/>
          <w:b w:val="0"/>
          <w:bCs w:val="0"/>
          <w:kern w:val="0"/>
          <w:sz w:val="30"/>
          <w:szCs w:val="30"/>
          <w:lang w:val="en-US" w:eastAsia="zh-CN" w:bidi="zh-CN"/>
        </w:rPr>
        <w:t>3.项目实施效果和意义，</w:t>
      </w:r>
      <w:r>
        <w:rPr>
          <w:rFonts w:hint="default"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4.请您简要介绍</w:t>
      </w:r>
      <w:r>
        <w:rPr>
          <w:rFonts w:hint="default" w:ascii="Times New Roman" w:hAnsi="Times New Roman" w:eastAsia="方正仿宋_GBK" w:cs="Times New Roman"/>
          <w:b w:val="0"/>
          <w:bCs w:val="0"/>
          <w:kern w:val="0"/>
          <w:sz w:val="30"/>
          <w:szCs w:val="30"/>
          <w:lang w:val="de-DE" w:eastAsia="zh-CN" w:bidi="zh-CN"/>
        </w:rPr>
        <w:t>项目</w:t>
      </w:r>
      <w:r>
        <w:rPr>
          <w:rFonts w:hint="default" w:ascii="Times New Roman" w:hAnsi="Times New Roman" w:eastAsia="方正仿宋_GBK" w:cs="Times New Roman"/>
          <w:b w:val="0"/>
          <w:bCs w:val="0"/>
          <w:kern w:val="0"/>
          <w:sz w:val="30"/>
          <w:szCs w:val="30"/>
          <w:lang w:val="en-US" w:eastAsia="zh-CN" w:bidi="zh-CN"/>
        </w:rPr>
        <w:t xml:space="preserve">的资金支出情况？               </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6.项目实施过程中采取了哪些控制措施？</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7.</w:t>
      </w:r>
      <w:bookmarkEnd w:id="167"/>
      <w:bookmarkEnd w:id="168"/>
      <w:bookmarkEnd w:id="169"/>
      <w:bookmarkEnd w:id="170"/>
      <w:bookmarkEnd w:id="171"/>
      <w:bookmarkEnd w:id="172"/>
      <w:bookmarkEnd w:id="173"/>
      <w:r>
        <w:rPr>
          <w:rFonts w:hint="default" w:ascii="Times New Roman" w:hAnsi="Times New Roman" w:eastAsia="方正仿宋_GBK" w:cs="Times New Roman"/>
          <w:b w:val="0"/>
          <w:bCs w:val="0"/>
          <w:kern w:val="0"/>
          <w:sz w:val="30"/>
          <w:szCs w:val="30"/>
          <w:lang w:val="en-US" w:eastAsia="zh-CN" w:bidi="zh-CN"/>
        </w:rPr>
        <w:t>项目过程中都有哪些好的经验做法？项目开展都有哪些难点和建议？</w:t>
      </w: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2"/>
        <w:rPr>
          <w:rFonts w:hint="eastAsia"/>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同心县科学技术局种养废弃物肥料化高值化利用技术引进</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示范项目调查问卷样本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尊敬的先生/女士：</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您好！受同心县财政局委托，我公司对种养废弃物肥料化</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高值化利用技术引进示范项目情况展开调研。感谢您抽出宝贵时间参与问卷调查，请根据您的真实感受填写，我们保证问卷数据仅限于统计分析，对您的个人信息及答案将予以严格保密，感谢您的支持与配合！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请问您得年龄？</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□20岁以下   □21-40岁  □41-60岁  □61岁以上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2.</w:t>
      </w:r>
      <w:r>
        <w:rPr>
          <w:rFonts w:hint="eastAsia" w:ascii="Times New Roman" w:hAnsi="Times New Roman" w:cs="Times New Roman"/>
          <w:sz w:val="30"/>
          <w:szCs w:val="30"/>
          <w:lang w:val="en-US" w:eastAsia="zh-CN"/>
        </w:rPr>
        <w:t>请问您的文化程度？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□中专及以下 □大专   □本科     □研究生及以上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3.请问您</w:t>
      </w:r>
      <w:r>
        <w:rPr>
          <w:rFonts w:hint="eastAsia" w:ascii="Times New Roman" w:hAnsi="Times New Roman" w:cs="Times New Roman"/>
          <w:sz w:val="30"/>
          <w:szCs w:val="30"/>
          <w:lang w:val="en-US" w:eastAsia="zh-CN"/>
        </w:rPr>
        <w:t>是否为同心县当地居民？</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□是     □否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（二）基本问题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1.您养殖的收入占家庭总收入的比例：</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0%-20%  </w:t>
      </w: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21%40%  </w:t>
      </w: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41%—60%  </w:t>
      </w: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61%—80%</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81%—100%?</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2.人均耕地面积为多少？</w:t>
      </w:r>
    </w:p>
    <w:p>
      <w:pPr>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0.5亩以下  </w:t>
      </w: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0.5—1亩  </w:t>
      </w: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1—2亩  </w:t>
      </w: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2亩以上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3.您的养殖方式：</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个体散户</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专业户</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小规模养殖场</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中、大型规模养殖场</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4.当前畜禽粪污利用方式：</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废弃、直接排放</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直接还田</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鲜粪出售</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堆肥还田（堆肥发酵）</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建沼气池（生物发酵）</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5.您在畜禽粪污处理过程中遇到的主要困难是：</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缺乏技术</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成本费用高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劳动力缺乏</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施粪土地面积有限</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设施修建场地有限</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6.您是否了解畜禽粪污对于生态环境的污染途径：</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完全不了解</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一般</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比较了解</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非常了解</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（三）满意度问题</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1.您对平态林生物有机肥料有限公司实施的种养废弃物肥料化高值化利用技术引进示范项目是否满意？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2.您对本项目实施过程的管理是否满意？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3.您对项目实施过程中产生的废弃物是否满意？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（四）开放问题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您对种养废弃物肥料化高值化利用技术引进示范项目还有什么意见和建议？</w:t>
      </w:r>
    </w:p>
    <w:p>
      <w:pPr>
        <w:pStyle w:val="4"/>
        <w:rPr>
          <w:rFonts w:hint="default" w:ascii="Times New Roman" w:hAnsi="Times New Roman" w:eastAsia="方正仿宋_GBK" w:cs="Times New Roman"/>
          <w:b w:val="0"/>
          <w:bCs w:val="0"/>
          <w:kern w:val="0"/>
          <w:sz w:val="30"/>
          <w:szCs w:val="30"/>
          <w:lang w:val="en-US" w:eastAsia="zh-CN" w:bidi="zh-CN"/>
        </w:rPr>
      </w:pPr>
    </w:p>
    <w:p>
      <w:pPr>
        <w:rPr>
          <w:rFonts w:hint="default" w:ascii="Times New Roman" w:hAnsi="Times New Roman" w:eastAsia="方正仿宋_GBK" w:cs="Times New Roman"/>
          <w:b w:val="0"/>
          <w:bCs w:val="0"/>
          <w:kern w:val="0"/>
          <w:sz w:val="30"/>
          <w:szCs w:val="30"/>
          <w:lang w:val="en-US" w:eastAsia="zh-CN" w:bidi="zh-CN"/>
        </w:rPr>
      </w:pPr>
    </w:p>
    <w:p>
      <w:pPr>
        <w:pStyle w:val="2"/>
        <w:rPr>
          <w:rFonts w:hint="default" w:ascii="Times New Roman" w:hAnsi="Times New Roman" w:eastAsia="方正仿宋_GBK" w:cs="Times New Roman"/>
          <w:b w:val="0"/>
          <w:bCs w:val="0"/>
          <w:kern w:val="0"/>
          <w:sz w:val="30"/>
          <w:szCs w:val="30"/>
          <w:lang w:val="en-US" w:eastAsia="zh-CN" w:bidi="zh-CN"/>
        </w:rPr>
      </w:pPr>
    </w:p>
    <w:p>
      <w:pPr>
        <w:rPr>
          <w:rFonts w:hint="default" w:ascii="Times New Roman" w:hAnsi="Times New Roman" w:eastAsia="方正仿宋_GBK" w:cs="Times New Roman"/>
          <w:b w:val="0"/>
          <w:bCs w:val="0"/>
          <w:kern w:val="0"/>
          <w:sz w:val="30"/>
          <w:szCs w:val="30"/>
          <w:lang w:val="en-US" w:eastAsia="zh-CN" w:bidi="zh-CN"/>
        </w:rPr>
      </w:pPr>
    </w:p>
    <w:p>
      <w:pPr>
        <w:pStyle w:val="2"/>
        <w:rPr>
          <w:rFonts w:hint="default" w:ascii="Times New Roman" w:hAnsi="Times New Roman" w:eastAsia="方正仿宋_GBK" w:cs="Times New Roman"/>
          <w:b w:val="0"/>
          <w:bCs w:val="0"/>
          <w:kern w:val="0"/>
          <w:sz w:val="30"/>
          <w:szCs w:val="30"/>
          <w:lang w:val="en-US" w:eastAsia="zh-CN" w:bidi="zh-CN"/>
        </w:rPr>
      </w:pPr>
    </w:p>
    <w:p>
      <w:pPr>
        <w:rPr>
          <w:rFonts w:hint="default" w:ascii="Times New Roman" w:hAnsi="Times New Roman" w:eastAsia="方正仿宋_GBK" w:cs="Times New Roman"/>
          <w:b w:val="0"/>
          <w:bCs w:val="0"/>
          <w:kern w:val="0"/>
          <w:sz w:val="30"/>
          <w:szCs w:val="30"/>
          <w:lang w:val="en-US" w:eastAsia="zh-CN" w:bidi="zh-CN"/>
        </w:rPr>
      </w:pPr>
    </w:p>
    <w:p>
      <w:pPr>
        <w:pStyle w:val="2"/>
        <w:rPr>
          <w:rFonts w:hint="default" w:ascii="Times New Roman" w:hAnsi="Times New Roman" w:eastAsia="方正仿宋_GBK" w:cs="Times New Roman"/>
          <w:b w:val="0"/>
          <w:bCs w:val="0"/>
          <w:kern w:val="0"/>
          <w:sz w:val="30"/>
          <w:szCs w:val="30"/>
          <w:lang w:val="en-US" w:eastAsia="zh-CN" w:bidi="zh-CN"/>
        </w:rPr>
      </w:pPr>
    </w:p>
    <w:p>
      <w:pPr>
        <w:rPr>
          <w:rFonts w:hint="default" w:ascii="Times New Roman" w:hAnsi="Times New Roman" w:eastAsia="方正仿宋_GBK" w:cs="Times New Roman"/>
          <w:b w:val="0"/>
          <w:bCs w:val="0"/>
          <w:kern w:val="0"/>
          <w:sz w:val="30"/>
          <w:szCs w:val="30"/>
          <w:lang w:val="en-US" w:eastAsia="zh-CN" w:bidi="zh-CN"/>
        </w:rPr>
      </w:pPr>
    </w:p>
    <w:p>
      <w:pPr>
        <w:pStyle w:val="2"/>
        <w:rPr>
          <w:rFonts w:hint="default" w:ascii="Times New Roman" w:hAnsi="Times New Roman" w:eastAsia="方正仿宋_GBK" w:cs="Times New Roman"/>
          <w:b w:val="0"/>
          <w:bCs w:val="0"/>
          <w:kern w:val="0"/>
          <w:sz w:val="30"/>
          <w:szCs w:val="30"/>
          <w:lang w:val="en-US" w:eastAsia="zh-CN" w:bidi="zh-CN"/>
        </w:rPr>
      </w:pPr>
    </w:p>
    <w:p>
      <w:pPr>
        <w:rPr>
          <w:rFonts w:hint="default" w:ascii="Times New Roman" w:hAnsi="Times New Roman" w:eastAsia="方正仿宋_GBK" w:cs="Times New Roman"/>
          <w:b w:val="0"/>
          <w:bCs w:val="0"/>
          <w:kern w:val="0"/>
          <w:sz w:val="30"/>
          <w:szCs w:val="30"/>
          <w:lang w:val="en-US" w:eastAsia="zh-CN" w:bidi="zh-CN"/>
        </w:rPr>
      </w:pPr>
    </w:p>
    <w:p>
      <w:pPr>
        <w:pStyle w:val="2"/>
        <w:rPr>
          <w:rFonts w:hint="default" w:ascii="Times New Roman" w:hAnsi="Times New Roman" w:eastAsia="方正仿宋_GBK" w:cs="Times New Roman"/>
          <w:b w:val="0"/>
          <w:bCs w:val="0"/>
          <w:kern w:val="0"/>
          <w:sz w:val="30"/>
          <w:szCs w:val="30"/>
          <w:lang w:val="en-US" w:eastAsia="zh-CN" w:bidi="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附件4</w:t>
      </w:r>
    </w:p>
    <w:p>
      <w:pPr>
        <w:pStyle w:val="2"/>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p>
      <w:pPr>
        <w:rPr>
          <w:rFonts w:hint="default"/>
          <w:lang w:val="en-US" w:eastAsia="zh-CN"/>
        </w:rPr>
      </w:pPr>
      <w:r>
        <w:drawing>
          <wp:anchor distT="0" distB="0" distL="114300" distR="114300" simplePos="0" relativeHeight="251659264" behindDoc="1" locked="0" layoutInCell="1" allowOverlap="1">
            <wp:simplePos x="0" y="0"/>
            <wp:positionH relativeFrom="column">
              <wp:posOffset>212725</wp:posOffset>
            </wp:positionH>
            <wp:positionV relativeFrom="paragraph">
              <wp:posOffset>81280</wp:posOffset>
            </wp:positionV>
            <wp:extent cx="5039995" cy="6438900"/>
            <wp:effectExtent l="0" t="0" r="825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039995" cy="6438900"/>
                    </a:xfrm>
                    <a:prstGeom prst="rect">
                      <a:avLst/>
                    </a:prstGeom>
                    <a:noFill/>
                    <a:ln>
                      <a:noFill/>
                    </a:ln>
                  </pic:spPr>
                </pic:pic>
              </a:graphicData>
            </a:graphic>
          </wp:anchor>
        </w:drawing>
      </w: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A712707-EEB1-46A1-9D4E-F9AC85C0CFC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8198BFAD-E9F3-4C95-9C4A-F3B623D048A2}"/>
  </w:font>
  <w:font w:name="楷体">
    <w:panose1 w:val="02010609060101010101"/>
    <w:charset w:val="86"/>
    <w:family w:val="auto"/>
    <w:pitch w:val="default"/>
    <w:sig w:usb0="800002BF" w:usb1="38CF7CFA" w:usb2="00000016" w:usb3="00000000" w:csb0="00040001" w:csb1="00000000"/>
    <w:embedRegular r:id="rId3" w:fontKey="{E1A12F84-95DD-4233-B750-D074AB73EFC1}"/>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3563CCB2-7D4B-4A57-8D3C-8759BEF25CBA}"/>
  </w:font>
  <w:font w:name="方正仿宋_GBK">
    <w:panose1 w:val="02000000000000000000"/>
    <w:charset w:val="86"/>
    <w:family w:val="auto"/>
    <w:pitch w:val="default"/>
    <w:sig w:usb0="A00002BF" w:usb1="38CF7CFA" w:usb2="00082016" w:usb3="00000000" w:csb0="00040001" w:csb1="00000000"/>
    <w:embedRegular r:id="rId5" w:fontKey="{6D77621B-0A03-4259-B137-D217E13B1C12}"/>
  </w:font>
  <w:font w:name="方正小标宋_GBK">
    <w:panose1 w:val="02000000000000000000"/>
    <w:charset w:val="86"/>
    <w:family w:val="auto"/>
    <w:pitch w:val="default"/>
    <w:sig w:usb0="A00002BF" w:usb1="38CF7CFA" w:usb2="00082016" w:usb3="00000000" w:csb0="00040001" w:csb1="00000000"/>
    <w:embedRegular r:id="rId6" w:fontKey="{C52E1376-EFC9-4CD4-9055-EBB1BF82F93E}"/>
  </w:font>
  <w:font w:name="方正小标宋简体">
    <w:panose1 w:val="02000000000000000000"/>
    <w:charset w:val="86"/>
    <w:family w:val="auto"/>
    <w:pitch w:val="default"/>
    <w:sig w:usb0="00000001" w:usb1="08000000" w:usb2="00000000" w:usb3="00000000" w:csb0="00040000" w:csb1="00000000"/>
    <w:embedRegular r:id="rId7" w:fontKey="{346CC03A-B941-43D1-9B0A-8E92AEE2071C}"/>
  </w:font>
  <w:font w:name="方正仿宋_GB2312">
    <w:panose1 w:val="02000000000000000000"/>
    <w:charset w:val="86"/>
    <w:family w:val="auto"/>
    <w:pitch w:val="default"/>
    <w:sig w:usb0="A00002BF" w:usb1="184F6CFA" w:usb2="00000012" w:usb3="00000000" w:csb0="00040001" w:csb1="00000000"/>
    <w:embedRegular r:id="rId8" w:fontKey="{72ED33BB-07A8-4583-B12E-0656238E34DA}"/>
  </w:font>
  <w:font w:name="方正正黑_GBK">
    <w:panose1 w:val="02000000000000000000"/>
    <w:charset w:val="86"/>
    <w:family w:val="auto"/>
    <w:pitch w:val="default"/>
    <w:sig w:usb0="A00002BF" w:usb1="38CF7CFA" w:usb2="00082016" w:usb3="00000000" w:csb0="00040001" w:csb1="00000000"/>
    <w:embedRegular r:id="rId9" w:fontKey="{4FA03D33-4A1A-44C0-A028-EEEB2D002099}"/>
  </w:font>
  <w:font w:name="方正楷体_GBK">
    <w:panose1 w:val="02000000000000000000"/>
    <w:charset w:val="86"/>
    <w:family w:val="auto"/>
    <w:pitch w:val="default"/>
    <w:sig w:usb0="800002BF" w:usb1="38CF7CFA" w:usb2="00000016" w:usb3="00000000" w:csb0="00040000" w:csb1="00000000"/>
    <w:embedRegular r:id="rId10" w:fontKey="{E298F01F-383D-4FF0-873E-7507180CFCD6}"/>
  </w:font>
  <w:font w:name="方正公文小标宋">
    <w:panose1 w:val="02000500000000000000"/>
    <w:charset w:val="86"/>
    <w:family w:val="auto"/>
    <w:pitch w:val="default"/>
    <w:sig w:usb0="A00002BF" w:usb1="38CF7CFA" w:usb2="00000016" w:usb3="00000000" w:csb0="00040001" w:csb1="00000000"/>
    <w:embedRegular r:id="rId11" w:fontKey="{5AA2011E-D06E-4C4D-8704-E66373C0DCC0}"/>
  </w:font>
  <w:font w:name="华文仿宋">
    <w:panose1 w:val="02010600040101010101"/>
    <w:charset w:val="86"/>
    <w:family w:val="auto"/>
    <w:pitch w:val="default"/>
    <w:sig w:usb0="00000287" w:usb1="080F0000" w:usb2="00000000" w:usb3="00000000" w:csb0="0004009F" w:csb1="DFD70000"/>
    <w:embedRegular r:id="rId12" w:fontKey="{2298C4E3-854B-4CE6-8F09-C6B7ABC4B3CF}"/>
  </w:font>
  <w:font w:name="Microsoft YaHei UI">
    <w:panose1 w:val="020B0503020204020204"/>
    <w:charset w:val="86"/>
    <w:family w:val="auto"/>
    <w:pitch w:val="default"/>
    <w:sig w:usb0="80000287" w:usb1="2ACF3C50" w:usb2="00000016" w:usb3="00000000" w:csb0="0004001F" w:csb1="00000000"/>
    <w:embedRegular r:id="rId13" w:fontKey="{38BB9FEF-2EE2-4589-9796-A8B9E9AA04A4}"/>
  </w:font>
  <w:font w:name="微软雅黑">
    <w:panose1 w:val="020B0503020204020204"/>
    <w:charset w:val="86"/>
    <w:family w:val="auto"/>
    <w:pitch w:val="default"/>
    <w:sig w:usb0="80000287" w:usb1="2ACF3C50" w:usb2="00000016" w:usb3="00000000" w:csb0="0004001F" w:csb1="00000000"/>
    <w:embedRegular r:id="rId14" w:fontKey="{0410BCF6-A489-4737-9EB9-875749A60D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28"/>
        <w:szCs w:val="28"/>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1"/>
                      <w:rPr>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5940" w:hanging="5940" w:hangingChars="2700"/>
      <w:jc w:val="right"/>
      <w:rPr>
        <w:rFonts w:hint="eastAsia"/>
        <w:sz w:val="22"/>
        <w:szCs w:val="22"/>
        <w:lang w:val="en-US" w:eastAsia="zh-CN"/>
      </w:rPr>
    </w:pPr>
  </w:p>
  <w:p>
    <w:pPr>
      <w:pStyle w:val="15"/>
      <w:pBdr>
        <w:bottom w:val="none" w:color="auto" w:sz="0" w:space="1"/>
      </w:pBdr>
      <w:ind w:left="5940" w:hanging="4860" w:hangingChars="2700"/>
      <w:jc w:val="right"/>
      <w:rPr>
        <w:rFonts w:hint="eastAsia"/>
        <w:sz w:val="18"/>
        <w:szCs w:val="18"/>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5940" w:hanging="5940" w:hangingChars="2700"/>
      <w:jc w:val="right"/>
      <w:rPr>
        <w:rFonts w:hint="eastAsia"/>
        <w:sz w:val="22"/>
        <w:szCs w:val="22"/>
        <w:lang w:val="en-US" w:eastAsia="zh-CN"/>
      </w:rPr>
    </w:pPr>
  </w:p>
  <w:p>
    <w:pPr>
      <w:pStyle w:val="15"/>
      <w:pBdr>
        <w:bottom w:val="none" w:color="auto" w:sz="0" w:space="1"/>
      </w:pBdr>
      <w:ind w:left="5940" w:hanging="5940" w:hangingChars="2700"/>
      <w:jc w:val="right"/>
      <w:rPr>
        <w:rFonts w:hint="eastAsia"/>
        <w:sz w:val="22"/>
        <w:szCs w:val="22"/>
        <w:lang w:val="en-US" w:eastAsia="zh-CN"/>
      </w:rPr>
    </w:pPr>
  </w:p>
  <w:p>
    <w:pPr>
      <w:pStyle w:val="15"/>
      <w:pBdr>
        <w:bottom w:val="double" w:color="auto" w:sz="8" w:space="1"/>
      </w:pBdr>
      <w:ind w:left="5940" w:hanging="5963" w:hangingChars="2700"/>
      <w:jc w:val="right"/>
      <w:rPr>
        <w:rFonts w:hint="eastAsia"/>
        <w:sz w:val="22"/>
        <w:szCs w:val="22"/>
        <w:lang w:val="en-US" w:eastAsia="zh-CN"/>
      </w:rPr>
    </w:pPr>
    <w:r>
      <w:rPr>
        <w:rFonts w:hint="eastAsia"/>
        <w:b/>
        <w:bCs/>
        <w:sz w:val="22"/>
        <w:szCs w:val="22"/>
        <w:lang w:val="en-US" w:eastAsia="zh-CN"/>
      </w:rPr>
      <w:t xml:space="preserve">种养废弃物肥料化高值化利用技术引进示范项目 </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ind w:left="0" w:leftChars="0" w:firstLine="0" w:firstLineChars="0"/>
      <w:jc w:val="right"/>
      <w:rPr>
        <w:rFonts w:hint="eastAsia"/>
        <w:sz w:val="21"/>
        <w:szCs w:val="21"/>
        <w:lang w:val="en-US" w:eastAsia="zh-CN"/>
      </w:rPr>
    </w:pPr>
    <w:r>
      <w:rPr>
        <w:rFonts w:hint="eastAsia"/>
        <w:sz w:val="21"/>
        <w:szCs w:val="21"/>
        <w:lang w:val="en-US" w:eastAsia="zh-CN"/>
      </w:rPr>
      <w:t xml:space="preserve">                                     </w:t>
    </w:r>
  </w:p>
  <w:p>
    <w:pPr>
      <w:pStyle w:val="15"/>
      <w:pBdr>
        <w:bottom w:val="single" w:color="auto" w:sz="4"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b/>
        <w:bCs/>
        <w:sz w:val="22"/>
        <w:szCs w:val="22"/>
        <w:lang w:val="en-US" w:eastAsia="zh-CN"/>
      </w:rPr>
      <w:t xml:space="preserve"> 种养废弃物肥料化高值化利用技术引进示范项目</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F0B573"/>
    <w:multiLevelType w:val="singleLevel"/>
    <w:tmpl w:val="9AF0B573"/>
    <w:lvl w:ilvl="0" w:tentative="0">
      <w:start w:val="2"/>
      <w:numFmt w:val="decimal"/>
      <w:lvlText w:val="%1."/>
      <w:lvlJc w:val="left"/>
      <w:pPr>
        <w:tabs>
          <w:tab w:val="left" w:pos="312"/>
        </w:tabs>
      </w:pPr>
    </w:lvl>
  </w:abstractNum>
  <w:abstractNum w:abstractNumId="1">
    <w:nsid w:val="0C5FA276"/>
    <w:multiLevelType w:val="singleLevel"/>
    <w:tmpl w:val="0C5FA276"/>
    <w:lvl w:ilvl="0" w:tentative="0">
      <w:start w:val="2"/>
      <w:numFmt w:val="chineseCounting"/>
      <w:suff w:val="nothing"/>
      <w:lvlText w:val="（%1）"/>
      <w:lvlJc w:val="left"/>
      <w:rPr>
        <w:rFonts w:hint="eastAsia"/>
      </w:rPr>
    </w:lvl>
  </w:abstractNum>
  <w:abstractNum w:abstractNumId="2">
    <w:nsid w:val="19622275"/>
    <w:multiLevelType w:val="singleLevel"/>
    <w:tmpl w:val="19622275"/>
    <w:lvl w:ilvl="0" w:tentative="0">
      <w:start w:val="2"/>
      <w:numFmt w:val="decimal"/>
      <w:suff w:val="nothing"/>
      <w:lvlText w:val="（%1）"/>
      <w:lvlJc w:val="left"/>
      <w:pPr>
        <w:ind w:left="38"/>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3A4DF7"/>
    <w:rsid w:val="003E6048"/>
    <w:rsid w:val="00C83FFA"/>
    <w:rsid w:val="00C90E0C"/>
    <w:rsid w:val="00F1191B"/>
    <w:rsid w:val="010351AA"/>
    <w:rsid w:val="01277E1F"/>
    <w:rsid w:val="013B0A52"/>
    <w:rsid w:val="01711D58"/>
    <w:rsid w:val="01A22C15"/>
    <w:rsid w:val="02693F89"/>
    <w:rsid w:val="031F0282"/>
    <w:rsid w:val="03321D76"/>
    <w:rsid w:val="03782AE9"/>
    <w:rsid w:val="038F5644"/>
    <w:rsid w:val="049979AA"/>
    <w:rsid w:val="04CB2483"/>
    <w:rsid w:val="05127FF8"/>
    <w:rsid w:val="05373674"/>
    <w:rsid w:val="057E08FD"/>
    <w:rsid w:val="05DE7F94"/>
    <w:rsid w:val="05FF70EC"/>
    <w:rsid w:val="06310741"/>
    <w:rsid w:val="067B3A34"/>
    <w:rsid w:val="06935222"/>
    <w:rsid w:val="0696261C"/>
    <w:rsid w:val="07752028"/>
    <w:rsid w:val="079B438E"/>
    <w:rsid w:val="07C669DF"/>
    <w:rsid w:val="07DC0B0F"/>
    <w:rsid w:val="082C148A"/>
    <w:rsid w:val="084314D4"/>
    <w:rsid w:val="08A2629B"/>
    <w:rsid w:val="08D765EB"/>
    <w:rsid w:val="09087391"/>
    <w:rsid w:val="094E2BC9"/>
    <w:rsid w:val="0978425B"/>
    <w:rsid w:val="09EE451A"/>
    <w:rsid w:val="0A104DC5"/>
    <w:rsid w:val="0A1421D6"/>
    <w:rsid w:val="0A1441B8"/>
    <w:rsid w:val="0A9E5F43"/>
    <w:rsid w:val="0B1A65E0"/>
    <w:rsid w:val="0BA37CB5"/>
    <w:rsid w:val="0C063DA0"/>
    <w:rsid w:val="0D112862"/>
    <w:rsid w:val="0D1B3E33"/>
    <w:rsid w:val="0D8710B2"/>
    <w:rsid w:val="0DA75E3E"/>
    <w:rsid w:val="0DF16443"/>
    <w:rsid w:val="0DF27CB1"/>
    <w:rsid w:val="0E294B7B"/>
    <w:rsid w:val="0E411EBB"/>
    <w:rsid w:val="0E6B4917"/>
    <w:rsid w:val="0EE8142C"/>
    <w:rsid w:val="0F0355A7"/>
    <w:rsid w:val="0F812D08"/>
    <w:rsid w:val="0FBA6D07"/>
    <w:rsid w:val="0FC1070A"/>
    <w:rsid w:val="0FC2315B"/>
    <w:rsid w:val="0FC65D57"/>
    <w:rsid w:val="0FE268D2"/>
    <w:rsid w:val="104430E9"/>
    <w:rsid w:val="10594DE6"/>
    <w:rsid w:val="10923E54"/>
    <w:rsid w:val="10B4026F"/>
    <w:rsid w:val="10F70CB9"/>
    <w:rsid w:val="11326D9C"/>
    <w:rsid w:val="11576F43"/>
    <w:rsid w:val="11877731"/>
    <w:rsid w:val="123478B9"/>
    <w:rsid w:val="12780A7F"/>
    <w:rsid w:val="12A803F6"/>
    <w:rsid w:val="12B800BB"/>
    <w:rsid w:val="1306193D"/>
    <w:rsid w:val="138163C4"/>
    <w:rsid w:val="13D16037"/>
    <w:rsid w:val="14642D3C"/>
    <w:rsid w:val="149B2D2C"/>
    <w:rsid w:val="151B68BE"/>
    <w:rsid w:val="15BC373C"/>
    <w:rsid w:val="15D25F85"/>
    <w:rsid w:val="15D614F9"/>
    <w:rsid w:val="15E50ECA"/>
    <w:rsid w:val="165E3157"/>
    <w:rsid w:val="17C26244"/>
    <w:rsid w:val="18070836"/>
    <w:rsid w:val="18CC35FF"/>
    <w:rsid w:val="18D555BD"/>
    <w:rsid w:val="19A84F19"/>
    <w:rsid w:val="1A11557B"/>
    <w:rsid w:val="1A725422"/>
    <w:rsid w:val="1B0B13D3"/>
    <w:rsid w:val="1B587F55"/>
    <w:rsid w:val="1BBE1FA1"/>
    <w:rsid w:val="1CE014E1"/>
    <w:rsid w:val="1CFE5775"/>
    <w:rsid w:val="1D1E68C0"/>
    <w:rsid w:val="1D2F4821"/>
    <w:rsid w:val="1D4F132F"/>
    <w:rsid w:val="1D5F1562"/>
    <w:rsid w:val="1D8B2357"/>
    <w:rsid w:val="1DC45FEE"/>
    <w:rsid w:val="1DFC45E7"/>
    <w:rsid w:val="1E2F53D8"/>
    <w:rsid w:val="1EE937D9"/>
    <w:rsid w:val="1F051A31"/>
    <w:rsid w:val="1F191147"/>
    <w:rsid w:val="1F3724EF"/>
    <w:rsid w:val="1F4629DA"/>
    <w:rsid w:val="1F955F35"/>
    <w:rsid w:val="1F9F033C"/>
    <w:rsid w:val="1FC05264"/>
    <w:rsid w:val="20040FA2"/>
    <w:rsid w:val="200D1D2A"/>
    <w:rsid w:val="203E32AB"/>
    <w:rsid w:val="21127D86"/>
    <w:rsid w:val="21577FE6"/>
    <w:rsid w:val="218D141D"/>
    <w:rsid w:val="21D104AE"/>
    <w:rsid w:val="22111139"/>
    <w:rsid w:val="221E4098"/>
    <w:rsid w:val="223C7432"/>
    <w:rsid w:val="23244678"/>
    <w:rsid w:val="23487B6D"/>
    <w:rsid w:val="23637058"/>
    <w:rsid w:val="23687A05"/>
    <w:rsid w:val="23825220"/>
    <w:rsid w:val="23E8200D"/>
    <w:rsid w:val="23EB612F"/>
    <w:rsid w:val="23FA0237"/>
    <w:rsid w:val="24015121"/>
    <w:rsid w:val="242B2707"/>
    <w:rsid w:val="24533EA6"/>
    <w:rsid w:val="24A44DE5"/>
    <w:rsid w:val="24AF2BFF"/>
    <w:rsid w:val="25796D0E"/>
    <w:rsid w:val="25963936"/>
    <w:rsid w:val="25FF2DD9"/>
    <w:rsid w:val="26087208"/>
    <w:rsid w:val="26100882"/>
    <w:rsid w:val="26993D37"/>
    <w:rsid w:val="26D12065"/>
    <w:rsid w:val="26E34FB2"/>
    <w:rsid w:val="272621AB"/>
    <w:rsid w:val="273264EE"/>
    <w:rsid w:val="27341AD8"/>
    <w:rsid w:val="279A52BC"/>
    <w:rsid w:val="27CE7A10"/>
    <w:rsid w:val="28A11882"/>
    <w:rsid w:val="28B13905"/>
    <w:rsid w:val="28D2314B"/>
    <w:rsid w:val="28D47992"/>
    <w:rsid w:val="28E04120"/>
    <w:rsid w:val="28EC2844"/>
    <w:rsid w:val="29387837"/>
    <w:rsid w:val="29972B84"/>
    <w:rsid w:val="299F1664"/>
    <w:rsid w:val="2A08236A"/>
    <w:rsid w:val="2A3744E2"/>
    <w:rsid w:val="2A4468E8"/>
    <w:rsid w:val="2A88139D"/>
    <w:rsid w:val="2B04761D"/>
    <w:rsid w:val="2B31540B"/>
    <w:rsid w:val="2BF612E4"/>
    <w:rsid w:val="2C07626C"/>
    <w:rsid w:val="2C265B3F"/>
    <w:rsid w:val="2C3013E9"/>
    <w:rsid w:val="2C365B84"/>
    <w:rsid w:val="2C54430A"/>
    <w:rsid w:val="2C950AFD"/>
    <w:rsid w:val="2CD07D87"/>
    <w:rsid w:val="2D3477DA"/>
    <w:rsid w:val="2D921854"/>
    <w:rsid w:val="2DBA5D46"/>
    <w:rsid w:val="2DC2093D"/>
    <w:rsid w:val="2DEA5335"/>
    <w:rsid w:val="2E0E34EA"/>
    <w:rsid w:val="2E512AC0"/>
    <w:rsid w:val="2E59154F"/>
    <w:rsid w:val="2E7C1412"/>
    <w:rsid w:val="2E8D2405"/>
    <w:rsid w:val="2E96490B"/>
    <w:rsid w:val="2EDF2503"/>
    <w:rsid w:val="2EF064BE"/>
    <w:rsid w:val="2F96257F"/>
    <w:rsid w:val="304940ED"/>
    <w:rsid w:val="308C3833"/>
    <w:rsid w:val="3095731D"/>
    <w:rsid w:val="30B06230"/>
    <w:rsid w:val="30D50061"/>
    <w:rsid w:val="31164343"/>
    <w:rsid w:val="317928C0"/>
    <w:rsid w:val="317D7F2F"/>
    <w:rsid w:val="31A041CB"/>
    <w:rsid w:val="31EB3B69"/>
    <w:rsid w:val="31FC6110"/>
    <w:rsid w:val="32C75788"/>
    <w:rsid w:val="3301513E"/>
    <w:rsid w:val="330E3209"/>
    <w:rsid w:val="33210D4B"/>
    <w:rsid w:val="33753436"/>
    <w:rsid w:val="33AE6A83"/>
    <w:rsid w:val="33F20148"/>
    <w:rsid w:val="344C36D7"/>
    <w:rsid w:val="347D25A2"/>
    <w:rsid w:val="349124F1"/>
    <w:rsid w:val="34CF6284"/>
    <w:rsid w:val="34D94D78"/>
    <w:rsid w:val="34E43BF0"/>
    <w:rsid w:val="34FA0BAE"/>
    <w:rsid w:val="35A77929"/>
    <w:rsid w:val="366C6D72"/>
    <w:rsid w:val="36CC15BF"/>
    <w:rsid w:val="379D4EBE"/>
    <w:rsid w:val="37D93A30"/>
    <w:rsid w:val="38250B51"/>
    <w:rsid w:val="3846715C"/>
    <w:rsid w:val="38D81E75"/>
    <w:rsid w:val="39DD3A30"/>
    <w:rsid w:val="39EC58CA"/>
    <w:rsid w:val="39FB2B8C"/>
    <w:rsid w:val="3A1F1BFC"/>
    <w:rsid w:val="3A3F02FA"/>
    <w:rsid w:val="3A5D44DB"/>
    <w:rsid w:val="3A9262F0"/>
    <w:rsid w:val="3AC30F2B"/>
    <w:rsid w:val="3AE54968"/>
    <w:rsid w:val="3AED2368"/>
    <w:rsid w:val="3B261658"/>
    <w:rsid w:val="3B500B8C"/>
    <w:rsid w:val="3BB05953"/>
    <w:rsid w:val="3BCB0097"/>
    <w:rsid w:val="3C44609B"/>
    <w:rsid w:val="3C460065"/>
    <w:rsid w:val="3C653FC1"/>
    <w:rsid w:val="3D2757A1"/>
    <w:rsid w:val="3D430101"/>
    <w:rsid w:val="3D5F5ADC"/>
    <w:rsid w:val="3DB50FFF"/>
    <w:rsid w:val="3DCC1004"/>
    <w:rsid w:val="3DED69EA"/>
    <w:rsid w:val="3E4A5E49"/>
    <w:rsid w:val="3E505673"/>
    <w:rsid w:val="3E6D2B8B"/>
    <w:rsid w:val="3E783CB3"/>
    <w:rsid w:val="3EA727DC"/>
    <w:rsid w:val="3EEF0540"/>
    <w:rsid w:val="3EF96114"/>
    <w:rsid w:val="3F1964EA"/>
    <w:rsid w:val="3F4A06EC"/>
    <w:rsid w:val="3F6E5909"/>
    <w:rsid w:val="3F8E7D59"/>
    <w:rsid w:val="3F8F3AD1"/>
    <w:rsid w:val="3FFE5BBB"/>
    <w:rsid w:val="40453D92"/>
    <w:rsid w:val="405A5E8D"/>
    <w:rsid w:val="405B60A8"/>
    <w:rsid w:val="409C3B18"/>
    <w:rsid w:val="40B732E0"/>
    <w:rsid w:val="40D03C01"/>
    <w:rsid w:val="40E81398"/>
    <w:rsid w:val="40F40090"/>
    <w:rsid w:val="410336E1"/>
    <w:rsid w:val="4110479E"/>
    <w:rsid w:val="41553248"/>
    <w:rsid w:val="417052AF"/>
    <w:rsid w:val="419D4F33"/>
    <w:rsid w:val="41D70E14"/>
    <w:rsid w:val="41F30D48"/>
    <w:rsid w:val="42500DFE"/>
    <w:rsid w:val="4262727B"/>
    <w:rsid w:val="428423CE"/>
    <w:rsid w:val="42E3660E"/>
    <w:rsid w:val="430A1DED"/>
    <w:rsid w:val="435E7A42"/>
    <w:rsid w:val="43654FAA"/>
    <w:rsid w:val="437B6846"/>
    <w:rsid w:val="439A2BC7"/>
    <w:rsid w:val="44112D07"/>
    <w:rsid w:val="44D67B06"/>
    <w:rsid w:val="44D90B42"/>
    <w:rsid w:val="45034416"/>
    <w:rsid w:val="455C18CC"/>
    <w:rsid w:val="459C4B6B"/>
    <w:rsid w:val="45F418B3"/>
    <w:rsid w:val="45FD79E7"/>
    <w:rsid w:val="463C0759"/>
    <w:rsid w:val="46624259"/>
    <w:rsid w:val="46C44060"/>
    <w:rsid w:val="471E751C"/>
    <w:rsid w:val="472900CD"/>
    <w:rsid w:val="47A76A1D"/>
    <w:rsid w:val="47B70069"/>
    <w:rsid w:val="47B95B8F"/>
    <w:rsid w:val="47D334DC"/>
    <w:rsid w:val="488F195B"/>
    <w:rsid w:val="48A2254D"/>
    <w:rsid w:val="49072C4A"/>
    <w:rsid w:val="496D1725"/>
    <w:rsid w:val="498C7B7B"/>
    <w:rsid w:val="49A80A70"/>
    <w:rsid w:val="49EE685A"/>
    <w:rsid w:val="49F25388"/>
    <w:rsid w:val="4A045B66"/>
    <w:rsid w:val="4A0D5D1E"/>
    <w:rsid w:val="4A1470AD"/>
    <w:rsid w:val="4A471230"/>
    <w:rsid w:val="4A6E0EB3"/>
    <w:rsid w:val="4AC24D5B"/>
    <w:rsid w:val="4AD14F9E"/>
    <w:rsid w:val="4C07336D"/>
    <w:rsid w:val="4C0A5BB3"/>
    <w:rsid w:val="4C126731"/>
    <w:rsid w:val="4C561BFF"/>
    <w:rsid w:val="4C6C277D"/>
    <w:rsid w:val="4C72455F"/>
    <w:rsid w:val="4C80439B"/>
    <w:rsid w:val="4CD82614"/>
    <w:rsid w:val="4D283D09"/>
    <w:rsid w:val="4D650BDF"/>
    <w:rsid w:val="4D666D5C"/>
    <w:rsid w:val="4D7D0EB3"/>
    <w:rsid w:val="4DAE09A0"/>
    <w:rsid w:val="4DB841F3"/>
    <w:rsid w:val="4DE92870"/>
    <w:rsid w:val="4E10402F"/>
    <w:rsid w:val="4E1F474B"/>
    <w:rsid w:val="4E2A0721"/>
    <w:rsid w:val="4E612ADD"/>
    <w:rsid w:val="4F813436"/>
    <w:rsid w:val="4FC73DE1"/>
    <w:rsid w:val="507E7856"/>
    <w:rsid w:val="5080118E"/>
    <w:rsid w:val="509C7DFC"/>
    <w:rsid w:val="50F9524E"/>
    <w:rsid w:val="514507F5"/>
    <w:rsid w:val="51642943"/>
    <w:rsid w:val="519D207E"/>
    <w:rsid w:val="51CF6940"/>
    <w:rsid w:val="52132340"/>
    <w:rsid w:val="523508CE"/>
    <w:rsid w:val="52467A28"/>
    <w:rsid w:val="527340DC"/>
    <w:rsid w:val="527F195C"/>
    <w:rsid w:val="52A167DD"/>
    <w:rsid w:val="52FE4D9E"/>
    <w:rsid w:val="530F2210"/>
    <w:rsid w:val="53146370"/>
    <w:rsid w:val="53487DC7"/>
    <w:rsid w:val="534C038B"/>
    <w:rsid w:val="53837B15"/>
    <w:rsid w:val="545F7A68"/>
    <w:rsid w:val="54B35714"/>
    <w:rsid w:val="55E53FF3"/>
    <w:rsid w:val="56150435"/>
    <w:rsid w:val="56250D50"/>
    <w:rsid w:val="566C4581"/>
    <w:rsid w:val="5684380C"/>
    <w:rsid w:val="56C62FC9"/>
    <w:rsid w:val="58366D88"/>
    <w:rsid w:val="58B8408C"/>
    <w:rsid w:val="58C53371"/>
    <w:rsid w:val="592503CD"/>
    <w:rsid w:val="59A363B3"/>
    <w:rsid w:val="5A105AE3"/>
    <w:rsid w:val="5A465F14"/>
    <w:rsid w:val="5AC71F19"/>
    <w:rsid w:val="5ADC3C17"/>
    <w:rsid w:val="5B48305A"/>
    <w:rsid w:val="5BA00781"/>
    <w:rsid w:val="5BED775E"/>
    <w:rsid w:val="5C0F1DCA"/>
    <w:rsid w:val="5C2F0C39"/>
    <w:rsid w:val="5CAF7795"/>
    <w:rsid w:val="5CB00EB7"/>
    <w:rsid w:val="5D086F45"/>
    <w:rsid w:val="5D323FC2"/>
    <w:rsid w:val="5DE828D3"/>
    <w:rsid w:val="5E08551F"/>
    <w:rsid w:val="5E4F655B"/>
    <w:rsid w:val="5E525F9E"/>
    <w:rsid w:val="5E6F08FE"/>
    <w:rsid w:val="5EBA2711"/>
    <w:rsid w:val="5F745E66"/>
    <w:rsid w:val="5FA171DD"/>
    <w:rsid w:val="5FD749AD"/>
    <w:rsid w:val="6040150D"/>
    <w:rsid w:val="60936B26"/>
    <w:rsid w:val="60C2740B"/>
    <w:rsid w:val="60D64C64"/>
    <w:rsid w:val="61495849"/>
    <w:rsid w:val="615A19EE"/>
    <w:rsid w:val="61A60F09"/>
    <w:rsid w:val="61B72CE8"/>
    <w:rsid w:val="61CA2D38"/>
    <w:rsid w:val="620B4BE9"/>
    <w:rsid w:val="620F4F28"/>
    <w:rsid w:val="621041A6"/>
    <w:rsid w:val="622019C2"/>
    <w:rsid w:val="62D022B3"/>
    <w:rsid w:val="62F35FA1"/>
    <w:rsid w:val="63103B19"/>
    <w:rsid w:val="63222431"/>
    <w:rsid w:val="6338222B"/>
    <w:rsid w:val="634376F0"/>
    <w:rsid w:val="63492023"/>
    <w:rsid w:val="6392405C"/>
    <w:rsid w:val="6393578D"/>
    <w:rsid w:val="63B07107"/>
    <w:rsid w:val="63DA61F3"/>
    <w:rsid w:val="64280052"/>
    <w:rsid w:val="64573970"/>
    <w:rsid w:val="64A5151D"/>
    <w:rsid w:val="64DA6254"/>
    <w:rsid w:val="652E5FF6"/>
    <w:rsid w:val="655C7097"/>
    <w:rsid w:val="6582360D"/>
    <w:rsid w:val="658A05B5"/>
    <w:rsid w:val="660576BF"/>
    <w:rsid w:val="66307F76"/>
    <w:rsid w:val="66E11CA6"/>
    <w:rsid w:val="66F23DAD"/>
    <w:rsid w:val="6732466D"/>
    <w:rsid w:val="675B4115"/>
    <w:rsid w:val="67AB0D31"/>
    <w:rsid w:val="68242759"/>
    <w:rsid w:val="68324E76"/>
    <w:rsid w:val="6832790E"/>
    <w:rsid w:val="684257ED"/>
    <w:rsid w:val="68672CFF"/>
    <w:rsid w:val="6873723D"/>
    <w:rsid w:val="68B64FF8"/>
    <w:rsid w:val="68BC0F70"/>
    <w:rsid w:val="68BC56C0"/>
    <w:rsid w:val="6A5437CA"/>
    <w:rsid w:val="6A917936"/>
    <w:rsid w:val="6AC16985"/>
    <w:rsid w:val="6ACA3A8C"/>
    <w:rsid w:val="6AD14E1A"/>
    <w:rsid w:val="6AF23C66"/>
    <w:rsid w:val="6B1A20D3"/>
    <w:rsid w:val="6B564C81"/>
    <w:rsid w:val="6B6B233A"/>
    <w:rsid w:val="6BC7335C"/>
    <w:rsid w:val="6BEC38B2"/>
    <w:rsid w:val="6C2076DB"/>
    <w:rsid w:val="6C2B055A"/>
    <w:rsid w:val="6C902249"/>
    <w:rsid w:val="6D67760E"/>
    <w:rsid w:val="6DAD31F1"/>
    <w:rsid w:val="6E4C2A0A"/>
    <w:rsid w:val="6E7D43D0"/>
    <w:rsid w:val="6EEC38DF"/>
    <w:rsid w:val="6F370F76"/>
    <w:rsid w:val="6F965839"/>
    <w:rsid w:val="6FB36D7A"/>
    <w:rsid w:val="6FE216A6"/>
    <w:rsid w:val="70266E22"/>
    <w:rsid w:val="70741DA4"/>
    <w:rsid w:val="709A7A5C"/>
    <w:rsid w:val="70AF0549"/>
    <w:rsid w:val="70D3575F"/>
    <w:rsid w:val="71302009"/>
    <w:rsid w:val="71387B02"/>
    <w:rsid w:val="717464FF"/>
    <w:rsid w:val="71BB65F3"/>
    <w:rsid w:val="71EF02C9"/>
    <w:rsid w:val="71F97B41"/>
    <w:rsid w:val="721F7C71"/>
    <w:rsid w:val="72EF679F"/>
    <w:rsid w:val="730B450D"/>
    <w:rsid w:val="7343262D"/>
    <w:rsid w:val="740A20FF"/>
    <w:rsid w:val="742E4065"/>
    <w:rsid w:val="743838A1"/>
    <w:rsid w:val="74512B28"/>
    <w:rsid w:val="74836A59"/>
    <w:rsid w:val="74BB05BD"/>
    <w:rsid w:val="74DA512E"/>
    <w:rsid w:val="74F160B9"/>
    <w:rsid w:val="75E27AD0"/>
    <w:rsid w:val="767C258A"/>
    <w:rsid w:val="76AA651F"/>
    <w:rsid w:val="76DD54BE"/>
    <w:rsid w:val="774226B2"/>
    <w:rsid w:val="774A1F82"/>
    <w:rsid w:val="77943863"/>
    <w:rsid w:val="779E42D6"/>
    <w:rsid w:val="77CE623E"/>
    <w:rsid w:val="77D53A70"/>
    <w:rsid w:val="7800592B"/>
    <w:rsid w:val="786B4915"/>
    <w:rsid w:val="788F1AD5"/>
    <w:rsid w:val="793E0D61"/>
    <w:rsid w:val="795F1F28"/>
    <w:rsid w:val="796019D9"/>
    <w:rsid w:val="796E7CD8"/>
    <w:rsid w:val="79711576"/>
    <w:rsid w:val="7A033FC5"/>
    <w:rsid w:val="7A245FAC"/>
    <w:rsid w:val="7A6B246A"/>
    <w:rsid w:val="7A892CDD"/>
    <w:rsid w:val="7AE5221C"/>
    <w:rsid w:val="7AED2E7F"/>
    <w:rsid w:val="7AFB559C"/>
    <w:rsid w:val="7B0270AF"/>
    <w:rsid w:val="7BE451AA"/>
    <w:rsid w:val="7C662EE9"/>
    <w:rsid w:val="7CE710FA"/>
    <w:rsid w:val="7DA34BE9"/>
    <w:rsid w:val="7DCC321F"/>
    <w:rsid w:val="7E401EC6"/>
    <w:rsid w:val="7E4A6CF6"/>
    <w:rsid w:val="7E550EF8"/>
    <w:rsid w:val="7F437511"/>
    <w:rsid w:val="7F596D35"/>
    <w:rsid w:val="7F630D7E"/>
    <w:rsid w:val="7F77335A"/>
    <w:rsid w:val="7F80471E"/>
    <w:rsid w:val="7F9B5CCD"/>
    <w:rsid w:val="7FAC2F4F"/>
    <w:rsid w:val="7FAE5B5D"/>
    <w:rsid w:val="7FC5261C"/>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29"/>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4">
    <w:name w:val="heading 2"/>
    <w:basedOn w:val="1"/>
    <w:next w:val="1"/>
    <w:link w:val="28"/>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5">
    <w:name w:val="heading 3"/>
    <w:basedOn w:val="1"/>
    <w:next w:val="1"/>
    <w:link w:val="30"/>
    <w:autoRedefine/>
    <w:unhideWhenUsed/>
    <w:qFormat/>
    <w:uiPriority w:val="0"/>
    <w:pPr>
      <w:keepNext/>
      <w:keepLines/>
      <w:snapToGrid w:val="0"/>
      <w:spacing w:beforeLines="0" w:beforeAutospacing="0" w:afterLines="0" w:afterAutospacing="0" w:line="560" w:lineRule="exact"/>
      <w:outlineLvl w:val="2"/>
    </w:pPr>
    <w:rPr>
      <w:b/>
    </w:rPr>
  </w:style>
  <w:style w:type="paragraph" w:styleId="6">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7">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1"/>
    <w:next w:val="1"/>
    <w:autoRedefine/>
    <w:qFormat/>
    <w:uiPriority w:val="0"/>
    <w:pPr>
      <w:ind w:firstLine="0" w:firstLineChars="0"/>
    </w:pPr>
    <w:rPr>
      <w:rFonts w:ascii="仿宋_GB2312" w:hAnsi="仿宋_GB2312" w:eastAsia="仿宋_GB2312"/>
    </w:rPr>
  </w:style>
  <w:style w:type="paragraph" w:styleId="8">
    <w:name w:val="Normal Indent"/>
    <w:basedOn w:val="1"/>
    <w:autoRedefine/>
    <w:qFormat/>
    <w:uiPriority w:val="0"/>
    <w:pPr>
      <w:ind w:firstLine="200" w:firstLineChars="200"/>
    </w:pPr>
    <w:rPr>
      <w:rFonts w:ascii="Times New Roman" w:hAnsi="Times New Roman" w:eastAsia="宋体" w:cs="Times New Roman"/>
      <w:sz w:val="21"/>
    </w:rPr>
  </w:style>
  <w:style w:type="paragraph" w:styleId="9">
    <w:name w:val="Body Text"/>
    <w:basedOn w:val="1"/>
    <w:autoRedefine/>
    <w:qFormat/>
    <w:uiPriority w:val="1"/>
    <w:rPr>
      <w:rFonts w:ascii="宋体" w:hAnsi="宋体" w:cs="宋体"/>
      <w:sz w:val="32"/>
      <w:szCs w:val="32"/>
      <w:lang w:val="zh-CN" w:bidi="zh-CN"/>
    </w:rPr>
  </w:style>
  <w:style w:type="paragraph" w:styleId="10">
    <w:name w:val="Body Text Indent"/>
    <w:basedOn w:val="1"/>
    <w:next w:val="11"/>
    <w:autoRedefine/>
    <w:qFormat/>
    <w:uiPriority w:val="0"/>
    <w:pPr>
      <w:ind w:firstLine="640" w:firstLineChars="200"/>
    </w:pPr>
    <w:rPr>
      <w:rFonts w:ascii="仿宋_GB2312" w:eastAsia="仿宋_GB2312" w:cs="Times New Roman"/>
    </w:rPr>
  </w:style>
  <w:style w:type="paragraph" w:styleId="11">
    <w:name w:val="footer"/>
    <w:basedOn w:val="1"/>
    <w:next w:val="1"/>
    <w:autoRedefine/>
    <w:qFormat/>
    <w:uiPriority w:val="0"/>
    <w:pPr>
      <w:tabs>
        <w:tab w:val="center" w:pos="4153"/>
        <w:tab w:val="right" w:pos="8306"/>
      </w:tabs>
      <w:snapToGrid w:val="0"/>
      <w:jc w:val="left"/>
    </w:pPr>
    <w:rPr>
      <w:sz w:val="18"/>
    </w:rPr>
  </w:style>
  <w:style w:type="paragraph" w:styleId="12">
    <w:name w:val="List 2"/>
    <w:basedOn w:val="1"/>
    <w:autoRedefine/>
    <w:unhideWhenUsed/>
    <w:qFormat/>
    <w:uiPriority w:val="99"/>
    <w:pPr>
      <w:ind w:left="100" w:leftChars="200" w:hanging="200" w:hangingChars="200"/>
    </w:pPr>
  </w:style>
  <w:style w:type="paragraph" w:styleId="13">
    <w:name w:val="toc 3"/>
    <w:basedOn w:val="1"/>
    <w:next w:val="1"/>
    <w:autoRedefine/>
    <w:qFormat/>
    <w:uiPriority w:val="0"/>
    <w:pPr>
      <w:ind w:left="840" w:leftChars="400"/>
    </w:pPr>
  </w:style>
  <w:style w:type="paragraph" w:styleId="14">
    <w:name w:val="Date"/>
    <w:basedOn w:val="1"/>
    <w:next w:val="1"/>
    <w:autoRedefine/>
    <w:unhideWhenUsed/>
    <w:qFormat/>
    <w:uiPriority w:val="99"/>
    <w:pPr>
      <w:spacing w:before="100" w:beforeAutospacing="1" w:after="100" w:afterAutospacing="1"/>
      <w:ind w:left="2500" w:leftChars="2500"/>
    </w:pPr>
  </w:style>
  <w:style w:type="paragraph" w:styleId="15">
    <w:name w:val="header"/>
    <w:basedOn w:val="1"/>
    <w:next w:val="1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2"/>
    <w:basedOn w:val="1"/>
    <w:next w:val="1"/>
    <w:autoRedefine/>
    <w:qFormat/>
    <w:uiPriority w:val="0"/>
    <w:pPr>
      <w:ind w:left="420" w:leftChars="200"/>
    </w:pPr>
  </w:style>
  <w:style w:type="paragraph" w:styleId="18">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20">
    <w:name w:val="Title"/>
    <w:basedOn w:val="1"/>
    <w:next w:val="1"/>
    <w:autoRedefine/>
    <w:qFormat/>
    <w:uiPriority w:val="99"/>
    <w:pPr>
      <w:spacing w:before="240" w:after="60"/>
      <w:jc w:val="center"/>
      <w:outlineLvl w:val="0"/>
    </w:pPr>
    <w:rPr>
      <w:rFonts w:ascii="Cambria" w:hAnsi="Cambria" w:eastAsia="宋体"/>
      <w:b/>
      <w:bCs/>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paragraph" w:customStyle="1" w:styleId="27">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8">
    <w:name w:val="标题 2 Char"/>
    <w:link w:val="4"/>
    <w:autoRedefine/>
    <w:qFormat/>
    <w:uiPriority w:val="0"/>
    <w:rPr>
      <w:rFonts w:ascii="Arial" w:hAnsi="Arial" w:eastAsia="楷体"/>
      <w:b/>
    </w:rPr>
  </w:style>
  <w:style w:type="character" w:customStyle="1" w:styleId="29">
    <w:name w:val="标题 1 Char"/>
    <w:link w:val="3"/>
    <w:autoRedefine/>
    <w:qFormat/>
    <w:uiPriority w:val="0"/>
    <w:rPr>
      <w:rFonts w:eastAsia="黑体"/>
      <w:kern w:val="44"/>
    </w:rPr>
  </w:style>
  <w:style w:type="character" w:customStyle="1" w:styleId="30">
    <w:name w:val="标题 3 Char"/>
    <w:link w:val="5"/>
    <w:autoRedefine/>
    <w:qFormat/>
    <w:uiPriority w:val="0"/>
    <w:rPr>
      <w:b/>
    </w:rPr>
  </w:style>
  <w:style w:type="character" w:customStyle="1" w:styleId="31">
    <w:name w:val="font21"/>
    <w:basedOn w:val="23"/>
    <w:autoRedefine/>
    <w:qFormat/>
    <w:uiPriority w:val="0"/>
    <w:rPr>
      <w:rFonts w:hint="eastAsia" w:ascii="等线" w:hAnsi="等线" w:eastAsia="等线" w:cs="等线"/>
      <w:color w:val="000000"/>
      <w:sz w:val="22"/>
      <w:szCs w:val="22"/>
      <w:u w:val="none"/>
    </w:rPr>
  </w:style>
  <w:style w:type="character" w:customStyle="1" w:styleId="32">
    <w:name w:val="font11"/>
    <w:basedOn w:val="23"/>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3">
    <w:name w:val="font31"/>
    <w:basedOn w:val="23"/>
    <w:autoRedefine/>
    <w:qFormat/>
    <w:uiPriority w:val="0"/>
    <w:rPr>
      <w:rFonts w:hint="eastAsia" w:ascii="方正仿宋_GBK" w:hAnsi="方正仿宋_GBK" w:eastAsia="方正仿宋_GBK" w:cs="方正仿宋_GBK"/>
      <w:color w:val="000000"/>
      <w:sz w:val="22"/>
      <w:szCs w:val="22"/>
      <w:u w:val="non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81"/>
    <w:basedOn w:val="23"/>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6">
    <w:name w:val="font51"/>
    <w:basedOn w:val="23"/>
    <w:autoRedefine/>
    <w:qFormat/>
    <w:uiPriority w:val="0"/>
    <w:rPr>
      <w:rFonts w:hint="eastAsia" w:ascii="方正仿宋_GBK" w:hAnsi="方正仿宋_GBK" w:eastAsia="方正仿宋_GBK" w:cs="方正仿宋_GBK"/>
      <w:color w:val="000000"/>
      <w:sz w:val="21"/>
      <w:szCs w:val="21"/>
      <w:u w:val="none"/>
    </w:rPr>
  </w:style>
  <w:style w:type="character" w:customStyle="1" w:styleId="37">
    <w:name w:val="font41"/>
    <w:basedOn w:val="23"/>
    <w:autoRedefine/>
    <w:qFormat/>
    <w:uiPriority w:val="0"/>
    <w:rPr>
      <w:rFonts w:hint="default" w:ascii="Times New Roman" w:hAnsi="Times New Roman" w:cs="Times New Roman"/>
      <w:color w:val="000000"/>
      <w:sz w:val="22"/>
      <w:szCs w:val="22"/>
      <w:u w:val="none"/>
    </w:rPr>
  </w:style>
  <w:style w:type="character" w:customStyle="1" w:styleId="38">
    <w:name w:val="font61"/>
    <w:basedOn w:val="23"/>
    <w:autoRedefine/>
    <w:qFormat/>
    <w:uiPriority w:val="0"/>
    <w:rPr>
      <w:rFonts w:hint="eastAsia" w:ascii="方正仿宋_GBK" w:hAnsi="方正仿宋_GBK" w:eastAsia="方正仿宋_GBK" w:cs="方正仿宋_GBK"/>
      <w:color w:val="FF0000"/>
      <w:sz w:val="22"/>
      <w:szCs w:val="22"/>
      <w:u w:val="none"/>
    </w:rPr>
  </w:style>
  <w:style w:type="character" w:customStyle="1" w:styleId="39">
    <w:name w:val="font01"/>
    <w:basedOn w:val="23"/>
    <w:autoRedefine/>
    <w:qFormat/>
    <w:uiPriority w:val="0"/>
    <w:rPr>
      <w:rFonts w:hint="eastAsia" w:ascii="等线" w:hAnsi="等线" w:eastAsia="等线" w:cs="等线"/>
      <w:b/>
      <w:bCs/>
      <w:color w:val="000000"/>
      <w:sz w:val="22"/>
      <w:szCs w:val="22"/>
      <w:u w:val="none"/>
    </w:rPr>
  </w:style>
  <w:style w:type="paragraph" w:customStyle="1" w:styleId="40">
    <w:name w:val="KM_Text"/>
    <w:autoRedefine/>
    <w:qFormat/>
    <w:uiPriority w:val="0"/>
    <w:pPr>
      <w:spacing w:line="284" w:lineRule="exact"/>
    </w:pPr>
    <w:rPr>
      <w:rFonts w:ascii="Times New Roman" w:hAnsi="Times New Roman" w:eastAsia="宋体" w:cs="Times New Roman"/>
      <w:sz w:val="22"/>
      <w:szCs w:val="22"/>
      <w:lang w:val="de-DE" w:eastAsia="de-DE"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23626</Words>
  <Characters>24466</Characters>
  <Lines>0</Lines>
  <Paragraphs>0</Paragraphs>
  <TotalTime>0</TotalTime>
  <ScaleCrop>false</ScaleCrop>
  <LinksUpToDate>false</LinksUpToDate>
  <CharactersWithSpaces>24835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2024-01-29T02:52:54Z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37CDC7701A114316B4D922A60C1E0A31_13</vt:lpwstr>
  </property>
</Properties>
</file>