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同心县下马关镇2022年重点小城镇建设</w:t>
      </w: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项目奖补资金绩效评价报告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eastAsia" w:ascii="楷体" w:hAnsi="楷体" w:eastAsia="楷体" w:cs="楷体"/>
          <w:b w:val="0"/>
          <w:bCs w:val="0"/>
          <w:i w:val="0"/>
          <w:iCs w:val="0"/>
          <w:color w:val="000000" w:themeColor="text1"/>
          <w:sz w:val="32"/>
          <w:szCs w:val="32"/>
          <w:highlight w:val="none"/>
          <w14:textFill>
            <w14:solidFill>
              <w14:schemeClr w14:val="tx1"/>
            </w14:solidFill>
          </w14:textFill>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027</w:t>
      </w:r>
      <w:r>
        <w:rPr>
          <w:rFonts w:hint="eastAsia" w:ascii="楷体" w:hAnsi="楷体" w:eastAsia="楷体" w:cs="楷体"/>
          <w:b w:val="0"/>
          <w:bCs w:val="0"/>
          <w:i w:val="0"/>
          <w:iCs w:val="0"/>
          <w:color w:val="000000" w:themeColor="text1"/>
          <w:sz w:val="32"/>
          <w:szCs w:val="32"/>
          <w:highlight w:val="none"/>
          <w14:textFill>
            <w14:solidFill>
              <w14:schemeClr w14:val="tx1"/>
            </w14:solidFill>
          </w14:textFill>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 二〇二三年十二月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0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both"/>
        <w:textAlignment w:val="auto"/>
        <w:outlineLvl w:val="9"/>
        <w:rPr>
          <w:rFonts w:hint="eastAsia" w:ascii="方正小标宋简体" w:hAnsi="方正小标宋简体" w:eastAsia="方正小标宋简体" w:cs="方正小标宋简体"/>
          <w:b w:val="0"/>
          <w:color w:val="000000"/>
          <w:kern w:val="0"/>
          <w:sz w:val="44"/>
          <w:szCs w:val="44"/>
          <w:lang w:val="en-US" w:eastAsia="zh-CN" w:bidi="ar"/>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方正小标宋简体" w:hAnsi="方正小标宋简体" w:eastAsia="方正小标宋简体" w:cs="方正小标宋简体"/>
          <w:b w:val="0"/>
          <w:color w:val="000000"/>
          <w:kern w:val="0"/>
          <w:sz w:val="44"/>
          <w:szCs w:val="44"/>
          <w:lang w:val="en-US" w:eastAsia="zh-CN" w:bidi="ar"/>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同心县下马关镇2022年重点小城镇建设</w:t>
      </w: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项目奖补资金绩效评价报告</w:t>
      </w:r>
    </w:p>
    <w:p>
      <w:pPr>
        <w:keepNext w:val="0"/>
        <w:keepLines w:val="0"/>
        <w:pageBreakBefore w:val="0"/>
        <w:widowControl w:val="0"/>
        <w:kinsoku/>
        <w:wordWrap/>
        <w:overflowPunct/>
        <w:topLinePunct w:val="0"/>
        <w:autoSpaceDE/>
        <w:autoSpaceDN/>
        <w:bidi w:val="0"/>
        <w:adjustRightInd/>
        <w:snapToGrid/>
        <w:spacing w:line="660" w:lineRule="exact"/>
        <w:ind w:left="0" w:leftChars="0" w:firstLine="0" w:firstLineChars="0"/>
        <w:jc w:val="center"/>
        <w:textAlignment w:val="auto"/>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eastAsia" w:ascii="楷体" w:hAnsi="楷体" w:eastAsia="楷体" w:cs="楷体"/>
          <w:color w:val="000000" w:themeColor="text1"/>
          <w:kern w:val="0"/>
          <w:sz w:val="31"/>
          <w:szCs w:val="31"/>
          <w:lang w:val="en-US" w:eastAsia="zh-CN" w:bidi="ar"/>
          <w14:textFill>
            <w14:solidFill>
              <w14:schemeClr w14:val="tx1"/>
            </w14:solidFill>
          </w14:textFill>
        </w:rPr>
        <w:t>第</w:t>
      </w:r>
      <w:r>
        <w:rPr>
          <w:rFonts w:hint="default" w:ascii="Times New Roman" w:hAnsi="Times New Roman" w:eastAsia="楷体" w:cs="Times New Roman"/>
          <w:color w:val="000000" w:themeColor="text1"/>
          <w:kern w:val="0"/>
          <w:sz w:val="31"/>
          <w:szCs w:val="31"/>
          <w:lang w:val="en-US" w:eastAsia="zh-CN" w:bidi="ar"/>
          <w14:textFill>
            <w14:solidFill>
              <w14:schemeClr w14:val="tx1"/>
            </w14:solidFill>
          </w14:textFill>
        </w:rPr>
        <w:t>027号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1057" w:firstLineChars="341"/>
        <w:jc w:val="left"/>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000000"/>
          <w:kern w:val="0"/>
          <w:sz w:val="31"/>
          <w:szCs w:val="31"/>
          <w:lang w:val="en-US" w:eastAsia="zh-CN" w:bidi="ar"/>
        </w:rPr>
        <w:tab/>
      </w: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firstLine="1120" w:firstLineChars="400"/>
        <w:jc w:val="left"/>
        <w:textAlignment w:val="auto"/>
        <w:rPr>
          <w:rFonts w:hint="default"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评价对象名称：同心县下马关镇人民政府</w:t>
      </w:r>
    </w:p>
    <w:p>
      <w:pPr>
        <w:keepNext w:val="0"/>
        <w:keepLines w:val="0"/>
        <w:pageBreakBefore w:val="0"/>
        <w:widowControl/>
        <w:suppressLineNumbers w:val="0"/>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bookmarkStart w:id="193" w:name="_GoBack"/>
      <w:bookmarkEnd w:id="193"/>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25507"/>
      <w:bookmarkStart w:id="1" w:name="_Toc31379"/>
      <w:bookmarkStart w:id="2" w:name="_Toc17352"/>
      <w:bookmarkStart w:id="3" w:name="_Toc15415"/>
      <w:r>
        <w:rPr>
          <w:rFonts w:hint="eastAsia" w:asciiTheme="majorEastAsia" w:hAnsiTheme="majorEastAsia" w:eastAsiaTheme="majorEastAsia" w:cstheme="majorEastAsia"/>
          <w:b/>
          <w:bCs/>
          <w:sz w:val="30"/>
          <w:szCs w:val="30"/>
          <w:lang w:val="en-US" w:eastAsia="zh-CN"/>
        </w:rPr>
        <w:t>一、项目背景</w:t>
      </w:r>
      <w:bookmarkEnd w:id="0"/>
      <w:bookmarkEnd w:id="1"/>
      <w:bookmarkEnd w:id="2"/>
      <w:bookmarkEnd w:id="3"/>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8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4" w:name="_Toc13114"/>
      <w:bookmarkStart w:id="5" w:name="_Toc32242"/>
      <w:bookmarkStart w:id="6" w:name="_Toc18303"/>
      <w:r>
        <w:rPr>
          <w:rFonts w:hint="eastAsia" w:ascii="Times New Roman" w:hAnsi="Times New Roman" w:eastAsia="方正仿宋_GBK" w:cs="Times New Roman"/>
          <w:color w:val="auto"/>
          <w:kern w:val="2"/>
          <w:sz w:val="30"/>
          <w:szCs w:val="30"/>
          <w:highlight w:val="none"/>
          <w:lang w:val="en-US" w:eastAsia="zh-CN" w:bidi="ar-SA"/>
        </w:rPr>
        <w:t>宜居宜业和美乡村，循名责实，是“宜居+宜业+和美”意思的综合和叠加，即宜居生活空间、宜业生产空间、和谐社会空间。宜居、宜业和美三者相辅相成、相互促进、密不可分，其中，宜居是基础，宜业是保障，和美是旨归。</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8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小城镇是城乡融合发展的关键节点，也是实现共同富裕的重要支点。2020年4月，习近平总书记在浙江考察时指出，要全面深化“千村示范、万村整治”工程和美丽乡村、美丽城镇建设。</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抢抓全国开展特色小镇培育的机遇，充分利用地理区位、产业经济、文化资源等优势，挖掘韦州的历史文化，发展壮大特色产业，积极谋划和培育韦州特色小镇建设。在国家住房和城乡建设部公布的第二批276个全国特色小镇名单中，韦州镇榜上有名，成为该县首个成功入选全国特色小镇的乡镇。</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近年来</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同心县</w:t>
      </w:r>
      <w:r>
        <w:rPr>
          <w:rFonts w:hint="default" w:ascii="Times New Roman" w:hAnsi="Times New Roman" w:eastAsia="方正仿宋_GBK" w:cs="Times New Roman"/>
          <w:color w:val="auto"/>
          <w:kern w:val="2"/>
          <w:sz w:val="30"/>
          <w:szCs w:val="30"/>
          <w:highlight w:val="none"/>
          <w:lang w:val="en-US" w:eastAsia="zh-CN" w:bidi="ar-SA"/>
        </w:rPr>
        <w:t>以满足城乡群众美好生活需要为目的，不断完善小城镇基础设施，高标准推进重点小城镇建设项目，全力推动全镇经济发展跃上新台阶。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二、项目预算资金</w:t>
      </w:r>
      <w:bookmarkEnd w:id="4"/>
      <w:bookmarkEnd w:id="5"/>
      <w:bookmarkEnd w:id="6"/>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7" w:name="_Toc30853"/>
      <w:bookmarkStart w:id="8" w:name="_Toc3837"/>
      <w:r>
        <w:rPr>
          <w:rFonts w:hint="eastAsia" w:ascii="Times New Roman" w:hAnsi="Times New Roman" w:eastAsia="方正仿宋_GBK" w:cs="Times New Roman"/>
          <w:color w:val="auto"/>
          <w:kern w:val="2"/>
          <w:sz w:val="30"/>
          <w:szCs w:val="30"/>
          <w:highlight w:val="none"/>
          <w:lang w:val="en-US" w:eastAsia="zh-CN" w:bidi="ar-SA"/>
        </w:rPr>
        <w:t>同心县下马关镇2022年重点小城镇建设项目奖补资金实际到位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500.00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评价结论</w:t>
      </w:r>
      <w:bookmarkEnd w:id="7"/>
      <w:bookmarkEnd w:id="8"/>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eastAsia="方正仿宋_GBK" w:cs="Times New Roman"/>
          <w:color w:val="auto"/>
          <w:kern w:val="2"/>
          <w:sz w:val="30"/>
          <w:szCs w:val="30"/>
          <w:highlight w:val="none"/>
          <w:lang w:val="en-US" w:eastAsia="zh-CN" w:bidi="ar-SA"/>
        </w:rPr>
        <w:t>同心县下马关镇2022年重点小城镇建设项目奖补资金</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92.5</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优</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bookmarkStart w:id="9" w:name="_Toc14268"/>
      <w:bookmarkStart w:id="10" w:name="_Toc12376"/>
      <w:bookmarkStart w:id="11" w:name="_Toc16100"/>
      <w:bookmarkStart w:id="12" w:name="_Toc10088"/>
      <w:bookmarkStart w:id="13" w:name="_Toc2140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四、主要经验</w:t>
      </w:r>
      <w:bookmarkEnd w:id="9"/>
      <w:bookmarkEnd w:id="10"/>
      <w:bookmarkEnd w:id="11"/>
      <w:bookmarkEnd w:id="12"/>
      <w:bookmarkEnd w:id="13"/>
      <w:bookmarkStart w:id="14" w:name="_Toc5586"/>
      <w:bookmarkStart w:id="15" w:name="_Toc3362"/>
      <w:bookmarkStart w:id="16" w:name="_Toc29010"/>
      <w:r>
        <w:rPr>
          <w:rFonts w:hint="eastAsia" w:ascii="方正正黑_GBK" w:hAnsi="方正正黑_GBK" w:eastAsia="方正正黑_GBK" w:cs="方正正黑_GBK"/>
          <w:b/>
          <w:bCs/>
          <w:sz w:val="30"/>
          <w:szCs w:val="30"/>
          <w:lang w:val="en-US" w:eastAsia="zh-CN"/>
        </w:rPr>
        <w:t>、存在问题及建议</w:t>
      </w:r>
    </w:p>
    <w:bookmarkEnd w:id="14"/>
    <w:bookmarkEnd w:id="15"/>
    <w:bookmarkEnd w:id="16"/>
    <w:p>
      <w:pPr>
        <w:pStyle w:val="4"/>
        <w:ind w:firstLine="562"/>
        <w:rPr>
          <w:rFonts w:ascii="方正楷体_GBK" w:hAnsi="方正楷体_GBK" w:eastAsia="方正楷体_GBK" w:cs="方正楷体_GBK"/>
          <w:b/>
          <w:bCs w:val="0"/>
          <w:sz w:val="32"/>
          <w:szCs w:val="32"/>
        </w:rPr>
      </w:pPr>
      <w:bookmarkStart w:id="17" w:name="_Toc18815"/>
      <w:bookmarkStart w:id="18" w:name="_Toc5249"/>
      <w:bookmarkStart w:id="19" w:name="_Toc20623"/>
      <w:bookmarkStart w:id="20" w:name="_Toc11470"/>
      <w:r>
        <w:rPr>
          <w:rFonts w:hint="eastAsia" w:ascii="方正楷体_GBK" w:hAnsi="方正楷体_GBK" w:eastAsia="方正楷体_GBK" w:cs="方正楷体_GBK"/>
          <w:b/>
          <w:bCs w:val="0"/>
          <w:sz w:val="32"/>
          <w:szCs w:val="32"/>
        </w:rPr>
        <w:t>（一）经验做法</w:t>
      </w:r>
      <w:bookmarkEnd w:id="17"/>
      <w:bookmarkEnd w:id="18"/>
      <w:bookmarkEnd w:id="19"/>
      <w:bookmarkEnd w:id="20"/>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一是</w:t>
      </w:r>
      <w:r>
        <w:rPr>
          <w:rFonts w:hint="eastAsia" w:ascii="Times New Roman" w:hAnsi="Times New Roman" w:eastAsia="方正仿宋_GBK" w:cs="Times New Roman"/>
          <w:color w:val="auto"/>
          <w:kern w:val="2"/>
          <w:sz w:val="30"/>
          <w:szCs w:val="30"/>
          <w:highlight w:val="none"/>
          <w:lang w:val="en-US" w:eastAsia="zh-CN" w:bidi="ar-SA"/>
        </w:rPr>
        <w:t>建设美丽城镇，重视产镇融合。注重产业导向、民生导向，“宜农则农、宜工则工、宜商则商、宜游则游”的原则，将转型升级与当地特色产业发展充分结合，全面推进产镇融合，不断激活内生动力。同时引导产业向多样化发展，承接都市溢出功能，引导适宜产业向乡镇布局，提升乡镇的影响力和向周边辐射的能力。鼓励百姓创业、就业，提高收入，实现共同富裕的目标。</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color w:val="auto"/>
          <w:kern w:val="2"/>
          <w:sz w:val="30"/>
          <w:szCs w:val="30"/>
          <w:highlight w:val="none"/>
          <w:lang w:val="en-US" w:eastAsia="zh-CN" w:bidi="ar-SA"/>
        </w:rPr>
        <w:t>建设美丽城镇，重视创新治理。坚持党建引领，巧借各界力量，主动凝聚群众、联系群众、服务群众，实现治理提档升级，打通基层治理“最后一公里”，形成了人人参与、共同建设的共建共治共享的美丽城镇建设的良好格局。在平时基层治理过程中，要敢于创新，注重特色亮点的挖掘，善于总结提炼。</w:t>
      </w:r>
    </w:p>
    <w:p>
      <w:pPr>
        <w:pStyle w:val="4"/>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21" w:name="_Toc32671"/>
      <w:bookmarkStart w:id="22" w:name="_Toc15180"/>
      <w:bookmarkStart w:id="23" w:name="_Toc29333"/>
      <w:r>
        <w:rPr>
          <w:rFonts w:hint="eastAsia" w:ascii="方正楷体_GBK" w:hAnsi="方正楷体_GBK" w:eastAsia="方正楷体_GBK" w:cs="方正楷体_GBK"/>
          <w:b/>
          <w:bCs w:val="0"/>
          <w:sz w:val="32"/>
          <w:szCs w:val="32"/>
        </w:rPr>
        <w:t>（二）存在的问题</w:t>
      </w:r>
      <w:bookmarkEnd w:id="21"/>
      <w:bookmarkEnd w:id="22"/>
      <w:bookmarkEnd w:id="23"/>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1.工程结算、财务决算相对滞后。</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在项目完工后，工程结算、竣工决算（以下简称“双算”）不及时办理，将制约后续的资产移交和产权登记工作，不利于政府资产规范管理，而项目资金沉淀在基本建设账户上也不符合国家“盘活存量、用好增量”的财政政策。</w:t>
      </w:r>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2.后续管理缺乏养护方案。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color w:val="auto"/>
          <w:kern w:val="2"/>
          <w:sz w:val="30"/>
          <w:szCs w:val="30"/>
          <w:highlight w:val="none"/>
          <w:lang w:val="en-US" w:eastAsia="zh-CN" w:bidi="ar-SA"/>
        </w:rPr>
        <w:t>该项目竣工验收交付后未</w:t>
      </w:r>
      <w:r>
        <w:rPr>
          <w:rFonts w:hint="eastAsia" w:ascii="Times New Roman" w:hAnsi="Times New Roman" w:eastAsia="方正仿宋_GBK" w:cs="Times New Roman"/>
          <w:b w:val="0"/>
          <w:kern w:val="2"/>
          <w:sz w:val="30"/>
          <w:szCs w:val="30"/>
          <w:lang w:val="en-US" w:eastAsia="zh-CN" w:bidi="zh-CN"/>
        </w:rPr>
        <w:t>充分尊重群众意愿，注重符合当地实际，因地制宜，因类施策，未能建立长效管护方式进行有效管护治理。</w:t>
      </w:r>
    </w:p>
    <w:p>
      <w:pPr>
        <w:pStyle w:val="4"/>
        <w:ind w:firstLine="562"/>
        <w:rPr>
          <w:rFonts w:hint="eastAsia" w:ascii="方正楷体_GBK" w:hAnsi="方正楷体_GBK" w:eastAsia="方正楷体_GBK" w:cs="方正楷体_GBK"/>
          <w:b/>
          <w:bCs w:val="0"/>
          <w:sz w:val="32"/>
          <w:szCs w:val="32"/>
          <w:lang w:val="en-US" w:eastAsia="zh-CN"/>
        </w:rPr>
      </w:pPr>
      <w:bookmarkStart w:id="24" w:name="_Toc7298"/>
      <w:r>
        <w:rPr>
          <w:rFonts w:hint="eastAsia" w:ascii="方正楷体_GBK" w:hAnsi="方正楷体_GBK" w:eastAsia="方正楷体_GBK" w:cs="方正楷体_GBK"/>
          <w:b/>
          <w:bCs w:val="0"/>
          <w:sz w:val="32"/>
          <w:szCs w:val="32"/>
          <w:lang w:val="en-US" w:eastAsia="zh-CN"/>
        </w:rPr>
        <w:t>（三）相关的建议</w:t>
      </w:r>
      <w:bookmarkEnd w:id="2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1.加快结算审计，尽早发挥效益。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首先“双算”管理体制、机制和制度应尽快完善。</w:t>
      </w:r>
      <w:r>
        <w:rPr>
          <w:rFonts w:hint="eastAsia" w:ascii="方正仿宋_GBK" w:hAnsi="方正仿宋_GBK" w:eastAsia="方正仿宋_GBK" w:cs="方正仿宋_GBK"/>
          <w:color w:val="000000"/>
          <w:kern w:val="0"/>
          <w:sz w:val="30"/>
          <w:szCs w:val="30"/>
          <w:lang w:val="en-US" w:eastAsia="zh-CN" w:bidi="ar"/>
        </w:rPr>
        <w:t>应修订完善“双算”管理相关法规，改变目前法规规定不清晰或操作性不强的缺陷，理清建设项目各参建单位办理“双算”的义务和法律责任。</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其次建设单位应严格履行主体责任。</w:t>
      </w:r>
      <w:r>
        <w:rPr>
          <w:rFonts w:hint="eastAsia" w:ascii="方正仿宋_GBK" w:hAnsi="方正仿宋_GBK" w:eastAsia="方正仿宋_GBK" w:cs="方正仿宋_GBK"/>
          <w:color w:val="000000"/>
          <w:kern w:val="0"/>
          <w:sz w:val="30"/>
          <w:szCs w:val="30"/>
          <w:lang w:val="en-US" w:eastAsia="zh-CN" w:bidi="ar"/>
        </w:rPr>
        <w:t>建立健全建设项目全过程管理和内部审计制度，有效加强对建设项目各参建单位的合同管理和履约评价。如在招标文件、合同示范文本及合同专用条款中，应明确施工单位报送工程结算文件的时限、提前或逾期报送的奖罚条款等。</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最</w:t>
      </w:r>
      <w:r>
        <w:rPr>
          <w:rFonts w:hint="eastAsia" w:ascii="方正仿宋_GBK" w:hAnsi="方正仿宋_GBK" w:eastAsia="方正仿宋_GBK" w:cs="方正仿宋_GBK"/>
          <w:b/>
          <w:bCs/>
          <w:color w:val="000000"/>
          <w:kern w:val="0"/>
          <w:sz w:val="30"/>
          <w:szCs w:val="30"/>
          <w:lang w:val="en-US" w:eastAsia="zh-CN" w:bidi="ar"/>
        </w:rPr>
        <w:t>后政府各职能部门应形成合力加大监管力度。</w:t>
      </w:r>
      <w:r>
        <w:rPr>
          <w:rFonts w:hint="eastAsia" w:ascii="方正仿宋_GBK" w:hAnsi="方正仿宋_GBK" w:eastAsia="方正仿宋_GBK" w:cs="方正仿宋_GBK"/>
          <w:color w:val="000000"/>
          <w:kern w:val="0"/>
          <w:sz w:val="30"/>
          <w:szCs w:val="30"/>
          <w:lang w:val="en-US" w:eastAsia="zh-CN" w:bidi="ar"/>
        </w:rPr>
        <w:t>一是政府绩效考核部门应将建设单位的“双算”工作管理纳入绩效考评体系，对“双算”办理滞后或审核把关不严的，给予不同扣分甚至通报批评。</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2、建立健全长期维护机制。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Times New Roman" w:hAnsi="Times New Roman" w:eastAsia="方正仿宋_GBK" w:cs="Times New Roman"/>
          <w:color w:val="auto"/>
          <w:kern w:val="2"/>
          <w:sz w:val="30"/>
          <w:szCs w:val="30"/>
          <w:highlight w:val="none"/>
          <w:lang w:val="en-US" w:eastAsia="zh-CN" w:bidi="ar-SA"/>
        </w:rPr>
        <w:t>按照“谁所有、谁受益、谁管理”的原则，明确管护主体和具体实施范围及责任。街办、景区管理局负责指导、监督，创建村制定长效管护机制，引导村民参与管护、主动管护，确保项目建设发挥更大的效用</w:t>
      </w:r>
      <w:r>
        <w:rPr>
          <w:rFonts w:hint="eastAsia" w:ascii="方正仿宋_GBK" w:hAnsi="方正仿宋_GBK" w:eastAsia="方正仿宋_GBK" w:cs="方正仿宋_GBK"/>
          <w:color w:val="000000"/>
          <w:kern w:val="0"/>
          <w:sz w:val="30"/>
          <w:szCs w:val="30"/>
          <w:lang w:val="en-US" w:eastAsia="zh-CN" w:bidi="ar"/>
        </w:rPr>
        <w:t>。</w:t>
      </w:r>
    </w:p>
    <w:p>
      <w:pPr>
        <w:pStyle w:val="2"/>
        <w:rPr>
          <w:rFonts w:hint="eastAsia"/>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r>
        <w:rPr>
          <w:rFonts w:hint="eastAsia" w:ascii="方正楷体_GBK" w:hAnsi="方正楷体_GBK" w:eastAsia="方正楷体_GBK" w:cs="方正楷体_GBK"/>
          <w:b/>
          <w:bCs w:val="0"/>
          <w:sz w:val="32"/>
          <w:szCs w:val="32"/>
          <w:lang w:val="en-US" w:eastAsia="zh-CN"/>
        </w:rPr>
        <w:t xml:space="preserve"> </w:t>
      </w: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ind w:left="0" w:leftChars="0" w:firstLine="0" w:firstLineChars="0"/>
        <w:rPr>
          <w:rFonts w:hint="eastAsia"/>
          <w:lang w:val="en-US" w:eastAsia="zh-CN"/>
        </w:rPr>
      </w:pPr>
    </w:p>
    <w:p>
      <w:pPr>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目 录</w:t>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472"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TOC \o "1-3" \h \u </w:instrText>
      </w:r>
      <w:r>
        <w:rPr>
          <w:rFonts w:hint="eastAsia" w:ascii="仿宋" w:hAnsi="仿宋" w:eastAsia="仿宋" w:cs="仿宋"/>
          <w:sz w:val="24"/>
          <w:szCs w:val="24"/>
          <w:lang w:val="en-US" w:eastAsia="zh-CN"/>
        </w:rPr>
        <w:fldChar w:fldCharType="separate"/>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_Toc20386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_Toc20386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_Toc571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_Toc571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_Toc10871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_Toc10871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_Toc31441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二、项目资金预算安排和使用情况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_Toc31441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w:t>
      </w:r>
      <w:r>
        <w:rPr>
          <w:rFonts w:hint="eastAsia" w:ascii="仿宋" w:hAnsi="仿宋" w:eastAsia="仿宋" w:cs="仿宋"/>
          <w:b/>
          <w:bCs/>
          <w:sz w:val="24"/>
          <w:szCs w:val="24"/>
        </w:rPr>
        <w:fldChar w:fldCharType="end"/>
      </w:r>
      <w:r>
        <w:rPr>
          <w:rFonts w:hint="eastAsia" w:ascii="仿宋" w:hAnsi="仿宋" w:eastAsia="仿宋" w:cs="仿宋"/>
          <w:b/>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_Toc15420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_Toc15420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_Toc13833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_Toc13833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_Toc12708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（三）资金管理情况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_Toc12708 \h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_Toc23099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_Toc23099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_Toc19185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_Toc19185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5</w:t>
      </w:r>
      <w:r>
        <w:rPr>
          <w:rFonts w:hint="eastAsia" w:ascii="仿宋" w:hAnsi="仿宋" w:eastAsia="仿宋" w:cs="仿宋"/>
          <w:b/>
          <w:bCs/>
          <w:sz w:val="24"/>
          <w:szCs w:val="24"/>
        </w:rPr>
        <w:fldChar w:fldCharType="end"/>
      </w:r>
      <w:r>
        <w:rPr>
          <w:rFonts w:hint="eastAsia" w:ascii="仿宋" w:hAnsi="仿宋" w:eastAsia="仿宋" w:cs="仿宋"/>
          <w:b/>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_Toc17233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_Toc17233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_Toc7385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（二） 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_Toc7385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_Toc8634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_Toc8634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6</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_Toc4698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_Toc4698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_Toc26526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_Toc26526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_Toc17306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_Toc17306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_Toc2670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_Toc2670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_Toc12416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lang w:val="en-US" w:eastAsia="zh-CN"/>
        </w:rPr>
        <w:t>（五）评价标准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_Toc12416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_Toc16539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rPr>
        <w:t>（</w:t>
      </w:r>
      <w:r>
        <w:rPr>
          <w:rFonts w:hint="eastAsia" w:ascii="仿宋" w:hAnsi="仿宋" w:eastAsia="仿宋" w:cs="仿宋"/>
          <w:sz w:val="24"/>
          <w:szCs w:val="24"/>
          <w:lang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_Toc16539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_Toc5681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eastAsia="zh-CN"/>
        </w:rPr>
        <w:t>（七）</w:t>
      </w:r>
      <w:r>
        <w:rPr>
          <w:rFonts w:hint="eastAsia" w:ascii="仿宋" w:hAnsi="仿宋" w:eastAsia="仿宋" w:cs="仿宋"/>
          <w:sz w:val="24"/>
          <w:szCs w:val="24"/>
        </w:rPr>
        <w:t>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_Toc5681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_Toc23683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（八）绩效评价工作过程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_Toc23683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_Toc26418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五、综合评价情况及评价结论</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_Toc26418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14</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_Toc4573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（一）项目完成情况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_Toc4573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_Toc8548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（二）评价结论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_Toc8548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_Toc13609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_Toc13609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17</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_Toc8189 </w:instrText>
      </w:r>
      <w:r>
        <w:rPr>
          <w:rFonts w:hint="eastAsia" w:ascii="仿宋" w:hAnsi="仿宋" w:eastAsia="仿宋" w:cs="仿宋"/>
          <w:sz w:val="24"/>
          <w:szCs w:val="24"/>
          <w:lang w:val="en-US" w:eastAsia="zh-CN"/>
        </w:rPr>
        <w:fldChar w:fldCharType="separate"/>
      </w:r>
      <w:r>
        <w:rPr>
          <w:rFonts w:hint="eastAsia" w:ascii="仿宋" w:hAnsi="仿宋" w:eastAsia="仿宋" w:cs="仿宋"/>
          <w:bCs w:val="0"/>
          <w:spacing w:val="0"/>
          <w:sz w:val="24"/>
          <w:szCs w:val="24"/>
          <w:lang w:eastAsia="zh-CN"/>
        </w:rPr>
        <w:t>（一）</w:t>
      </w:r>
      <w:r>
        <w:rPr>
          <w:rFonts w:hint="eastAsia" w:ascii="仿宋" w:hAnsi="仿宋" w:eastAsia="仿宋" w:cs="仿宋"/>
          <w:bCs w:val="0"/>
          <w:spacing w:val="0"/>
          <w:sz w:val="24"/>
          <w:szCs w:val="24"/>
        </w:rPr>
        <w:t>项目决策情</w:t>
      </w:r>
      <w:r>
        <w:rPr>
          <w:rFonts w:hint="eastAsia" w:ascii="仿宋" w:hAnsi="仿宋" w:eastAsia="仿宋" w:cs="仿宋"/>
          <w:bCs w:val="0"/>
          <w:sz w:val="24"/>
          <w:szCs w:val="24"/>
        </w:rPr>
        <w:t>况</w:t>
      </w:r>
      <w:r>
        <w:rPr>
          <w:rFonts w:hint="eastAsia" w:ascii="仿宋" w:hAnsi="仿宋" w:eastAsia="仿宋" w:cs="仿宋"/>
          <w:bCs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_Toc8189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_Toc22920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（二）项目过程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_Toc22920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_Toc27546 </w:instrText>
      </w:r>
      <w:r>
        <w:rPr>
          <w:rFonts w:hint="eastAsia" w:ascii="仿宋" w:hAnsi="仿宋" w:eastAsia="仿宋" w:cs="仿宋"/>
          <w:sz w:val="24"/>
          <w:szCs w:val="24"/>
          <w:lang w:val="en-US" w:eastAsia="zh-CN"/>
        </w:rPr>
        <w:fldChar w:fldCharType="separate"/>
      </w:r>
      <w:r>
        <w:rPr>
          <w:rFonts w:hint="eastAsia" w:ascii="仿宋" w:hAnsi="仿宋" w:eastAsia="仿宋" w:cs="仿宋"/>
          <w:spacing w:val="0"/>
          <w:sz w:val="24"/>
          <w:szCs w:val="24"/>
          <w:lang w:eastAsia="zh-CN"/>
        </w:rPr>
        <w:t>（三）</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产出</w:t>
      </w:r>
      <w:r>
        <w:rPr>
          <w:rFonts w:hint="eastAsia" w:ascii="仿宋" w:hAnsi="仿宋" w:eastAsia="仿宋" w:cs="仿宋"/>
          <w:spacing w:val="0"/>
          <w:sz w:val="24"/>
          <w:szCs w:val="24"/>
        </w:rPr>
        <w:t>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_Toc27546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_Toc26836 </w:instrText>
      </w:r>
      <w:r>
        <w:rPr>
          <w:rFonts w:hint="eastAsia" w:ascii="仿宋" w:hAnsi="仿宋" w:eastAsia="仿宋" w:cs="仿宋"/>
          <w:sz w:val="24"/>
          <w:szCs w:val="24"/>
          <w:lang w:val="en-US" w:eastAsia="zh-CN"/>
        </w:rPr>
        <w:fldChar w:fldCharType="separate"/>
      </w:r>
      <w:r>
        <w:rPr>
          <w:rFonts w:hint="eastAsia" w:ascii="仿宋" w:hAnsi="仿宋" w:eastAsia="仿宋" w:cs="仿宋"/>
          <w:spacing w:val="0"/>
          <w:sz w:val="24"/>
          <w:szCs w:val="24"/>
          <w:lang w:eastAsia="zh-CN"/>
        </w:rPr>
        <w:t>（四）</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_Toc26836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HYPERLINK \l _Toc24634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七、主要经验做法、存在问题及建议</w:t>
      </w:r>
      <w:r>
        <w:rPr>
          <w:rFonts w:hint="eastAsia" w:ascii="仿宋" w:hAnsi="仿宋" w:eastAsia="仿宋" w:cs="仿宋"/>
          <w:b/>
          <w:bCs/>
          <w:sz w:val="24"/>
          <w:szCs w:val="24"/>
          <w:lang w:val="en-US" w:eastAsia="zh-CN"/>
        </w:rPr>
        <w:tab/>
      </w:r>
      <w:r>
        <w:rPr>
          <w:rFonts w:hint="eastAsia" w:ascii="仿宋" w:hAnsi="仿宋" w:eastAsia="仿宋" w:cs="仿宋"/>
          <w:b/>
          <w:bCs/>
          <w:sz w:val="24"/>
          <w:szCs w:val="24"/>
          <w:lang w:val="en-US" w:eastAsia="zh-CN"/>
        </w:rPr>
        <w:fldChar w:fldCharType="begin"/>
      </w:r>
      <w:r>
        <w:rPr>
          <w:rFonts w:hint="eastAsia" w:ascii="仿宋" w:hAnsi="仿宋" w:eastAsia="仿宋" w:cs="仿宋"/>
          <w:b/>
          <w:bCs/>
          <w:sz w:val="24"/>
          <w:szCs w:val="24"/>
          <w:lang w:val="en-US" w:eastAsia="zh-CN"/>
        </w:rPr>
        <w:instrText xml:space="preserve"> PAGEREF _Toc24634 \h </w:instrText>
      </w:r>
      <w:r>
        <w:rPr>
          <w:rFonts w:hint="eastAsia" w:ascii="仿宋" w:hAnsi="仿宋" w:eastAsia="仿宋" w:cs="仿宋"/>
          <w:b/>
          <w:bCs/>
          <w:sz w:val="24"/>
          <w:szCs w:val="24"/>
          <w:lang w:val="en-US" w:eastAsia="zh-CN"/>
        </w:rPr>
        <w:fldChar w:fldCharType="separate"/>
      </w:r>
      <w:r>
        <w:rPr>
          <w:rFonts w:hint="eastAsia" w:ascii="仿宋" w:hAnsi="仿宋" w:eastAsia="仿宋" w:cs="仿宋"/>
          <w:b/>
          <w:bCs/>
          <w:sz w:val="24"/>
          <w:szCs w:val="24"/>
          <w:lang w:val="en-US" w:eastAsia="zh-CN"/>
        </w:rPr>
        <w:t>27</w:t>
      </w:r>
      <w:r>
        <w:rPr>
          <w:rFonts w:hint="eastAsia" w:ascii="仿宋" w:hAnsi="仿宋" w:eastAsia="仿宋" w:cs="仿宋"/>
          <w:b/>
          <w:bCs/>
          <w:sz w:val="24"/>
          <w:szCs w:val="24"/>
          <w:lang w:val="en-US" w:eastAsia="zh-CN"/>
        </w:rPr>
        <w:fldChar w:fldCharType="end"/>
      </w:r>
      <w:r>
        <w:rPr>
          <w:rFonts w:hint="eastAsia" w:ascii="仿宋" w:hAnsi="仿宋" w:eastAsia="仿宋" w:cs="仿宋"/>
          <w:b/>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_Toc18320 </w:instrText>
      </w:r>
      <w:r>
        <w:rPr>
          <w:rFonts w:hint="eastAsia" w:ascii="仿宋" w:hAnsi="仿宋" w:eastAsia="仿宋" w:cs="仿宋"/>
          <w:sz w:val="24"/>
          <w:szCs w:val="24"/>
          <w:lang w:val="en-US" w:eastAsia="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_Toc18320 \h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_Toc19917 </w:instrText>
      </w:r>
      <w:r>
        <w:rPr>
          <w:rFonts w:hint="eastAsia" w:ascii="仿宋" w:hAnsi="仿宋" w:eastAsia="仿宋" w:cs="仿宋"/>
          <w:sz w:val="24"/>
          <w:szCs w:val="24"/>
          <w:lang w:val="en-US" w:eastAsia="zh-CN"/>
        </w:rPr>
        <w:fldChar w:fldCharType="separate"/>
      </w:r>
      <w:r>
        <w:rPr>
          <w:rFonts w:hint="eastAsia" w:ascii="仿宋" w:hAnsi="仿宋" w:eastAsia="仿宋" w:cs="仿宋"/>
          <w:bCs w:val="0"/>
          <w:sz w:val="24"/>
          <w:szCs w:val="24"/>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_Toc19917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_Toc14284 </w:instrText>
      </w:r>
      <w:r>
        <w:rPr>
          <w:rFonts w:hint="eastAsia" w:ascii="仿宋" w:hAnsi="仿宋" w:eastAsia="仿宋" w:cs="仿宋"/>
          <w:sz w:val="24"/>
          <w:szCs w:val="24"/>
          <w:lang w:val="en-US" w:eastAsia="zh-CN"/>
        </w:rPr>
        <w:fldChar w:fldCharType="separate"/>
      </w:r>
      <w:r>
        <w:rPr>
          <w:rFonts w:hint="eastAsia" w:ascii="仿宋" w:hAnsi="仿宋" w:eastAsia="仿宋" w:cs="仿宋"/>
          <w:bCs w:val="0"/>
          <w:sz w:val="24"/>
          <w:szCs w:val="24"/>
          <w:lang w:val="en-US" w:eastAsia="zh-CN"/>
        </w:rPr>
        <w:t>（三）相关的建议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_Toc14284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both"/>
        <w:textAlignment w:val="auto"/>
        <w:rPr>
          <w:rFonts w:hint="eastAsia" w:ascii="仿宋" w:hAnsi="仿宋" w:eastAsia="仿宋" w:cs="仿宋"/>
          <w:sz w:val="24"/>
          <w:szCs w:val="24"/>
          <w:lang w:val="en-US" w:eastAsia="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25" w:name="_Toc12033"/>
      <w:bookmarkStart w:id="26" w:name="_Toc30196"/>
      <w:r>
        <w:rPr>
          <w:rFonts w:hint="eastAsia" w:ascii="方正小标宋_GBK" w:hAnsi="方正小标宋_GBK" w:eastAsia="方正小标宋_GBK" w:cs="方正小标宋_GBK"/>
          <w:b w:val="0"/>
          <w:bCs w:val="0"/>
          <w:color w:val="181717" w:themeColor="background2" w:themeShade="1A"/>
          <w:sz w:val="36"/>
          <w:szCs w:val="36"/>
          <w:lang w:val="en-US" w:eastAsia="zh-CN"/>
        </w:rPr>
        <w:t>同心县下马关镇2022年重点小城镇建设项目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奖补资金绩效评价报告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，宁夏万协项目管理有限公司受同心县财政局委托，对同心县下马关镇2022年重点小城镇建设项目奖补资金开展绩效评价相关工作。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bidi w:val="0"/>
        <w:rPr>
          <w:rFonts w:hint="eastAsia" w:ascii="宋体" w:hAnsi="宋体" w:eastAsia="宋体" w:cs="宋体"/>
          <w:b/>
          <w:bCs/>
          <w:lang w:val="en-US" w:eastAsia="zh-CN"/>
        </w:rPr>
      </w:pPr>
      <w:bookmarkStart w:id="27" w:name="_Toc20386"/>
      <w:r>
        <w:rPr>
          <w:rFonts w:hint="eastAsia" w:ascii="宋体" w:hAnsi="宋体" w:eastAsia="宋体" w:cs="宋体"/>
          <w:b/>
          <w:bCs/>
          <w:lang w:val="en-US" w:eastAsia="zh-CN"/>
        </w:rPr>
        <w:t>一、项目基本情况</w:t>
      </w:r>
      <w:bookmarkEnd w:id="25"/>
      <w:bookmarkEnd w:id="26"/>
      <w:bookmarkEnd w:id="27"/>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8" w:name="_Toc5690"/>
      <w:bookmarkStart w:id="29" w:name="_Toc25760"/>
      <w:bookmarkStart w:id="30" w:name="_Toc571"/>
      <w:r>
        <w:rPr>
          <w:rFonts w:hint="eastAsia"/>
          <w:b/>
          <w:bCs/>
          <w:sz w:val="30"/>
          <w:szCs w:val="30"/>
          <w:lang w:val="en-US" w:eastAsia="zh-CN"/>
        </w:rPr>
        <w:t>（一）项目</w:t>
      </w:r>
      <w:bookmarkEnd w:id="28"/>
      <w:bookmarkEnd w:id="29"/>
      <w:r>
        <w:rPr>
          <w:rFonts w:hint="eastAsia"/>
          <w:b/>
          <w:bCs/>
          <w:sz w:val="30"/>
          <w:szCs w:val="30"/>
          <w:lang w:val="en-US" w:eastAsia="zh-CN"/>
        </w:rPr>
        <w:t>背景</w:t>
      </w:r>
      <w:bookmarkEnd w:id="30"/>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8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1" w:name="_Toc25776"/>
      <w:bookmarkStart w:id="32" w:name="_Toc24381"/>
      <w:bookmarkStart w:id="33" w:name="_Toc5111"/>
      <w:r>
        <w:rPr>
          <w:rFonts w:hint="eastAsia" w:ascii="Times New Roman" w:hAnsi="Times New Roman" w:eastAsia="方正仿宋_GBK" w:cs="Times New Roman"/>
          <w:color w:val="auto"/>
          <w:kern w:val="2"/>
          <w:sz w:val="30"/>
          <w:szCs w:val="30"/>
          <w:highlight w:val="none"/>
          <w:lang w:val="en-US" w:eastAsia="zh-CN" w:bidi="ar-SA"/>
        </w:rPr>
        <w:t>宜居宜业和美乡村，循名责实，是“宜居+宜业+和美”意思的综合和叠加，即宜居生活空间、宜业生产空间、和谐社会空间。宜居、宜业和美三者相辅相成、相互促进、密不可分，其中，宜居是基础，宜业是保障，和美是旨归。</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8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小城镇是城乡融合发展的关键节点，也是实现共同富裕的重要支点。2020年4月，习近平总书记在浙江考察时指出，要全面深化“千村示范、万村整治”工程和美丽乡村、美丽城镇建设。</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抢抓全国开展特色小镇培育的机遇，充分利用地理区位、产业经济、文化资源等优势，挖掘韦州的历史文化，发展壮大特色产业，积极谋划和培育韦州特色小镇建设。在国家住房和城乡建设部公布的第二批276个全国特色小镇名单中，韦州镇榜上有名，成为该县首个成功入选全国特色小镇的乡镇。</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近年来</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同心县</w:t>
      </w:r>
      <w:r>
        <w:rPr>
          <w:rFonts w:hint="default" w:ascii="Times New Roman" w:hAnsi="Times New Roman" w:eastAsia="方正仿宋_GBK" w:cs="Times New Roman"/>
          <w:color w:val="auto"/>
          <w:kern w:val="2"/>
          <w:sz w:val="30"/>
          <w:szCs w:val="30"/>
          <w:highlight w:val="none"/>
          <w:lang w:val="en-US" w:eastAsia="zh-CN" w:bidi="ar-SA"/>
        </w:rPr>
        <w:t>以满足城乡群众美好生活需要为目的，不断完善小城镇基础设施，高标准推进重点小城镇建设项目，全力推动全镇经济发展跃上新台阶。</w:t>
      </w:r>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sz w:val="30"/>
          <w:szCs w:val="30"/>
          <w:lang w:val="en-US" w:eastAsia="zh-CN"/>
        </w:rPr>
      </w:pPr>
      <w:bookmarkStart w:id="34" w:name="_Toc10871"/>
      <w:r>
        <w:rPr>
          <w:rFonts w:hint="eastAsia" w:ascii="方正楷体_GBK" w:hAnsi="方正楷体_GBK" w:eastAsia="方正楷体_GBK" w:cs="方正楷体_GBK"/>
          <w:sz w:val="30"/>
          <w:szCs w:val="30"/>
          <w:lang w:val="en-US" w:eastAsia="zh-CN"/>
        </w:rPr>
        <w:t>（二）项目实施主要内容</w:t>
      </w:r>
      <w:bookmarkEnd w:id="31"/>
      <w:bookmarkEnd w:id="32"/>
      <w:bookmarkEnd w:id="3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35" w:name="_Toc1917"/>
      <w:bookmarkStart w:id="36" w:name="_Toc8550"/>
      <w:r>
        <w:rPr>
          <w:rFonts w:hint="eastAsia" w:ascii="Times New Roman" w:hAnsi="Times New Roman" w:eastAsia="方正仿宋_GBK" w:cs="Times New Roman"/>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color w:val="auto"/>
          <w:kern w:val="2"/>
          <w:sz w:val="30"/>
          <w:szCs w:val="30"/>
          <w:highlight w:val="none"/>
          <w:lang w:val="en-US" w:eastAsia="zh-CN" w:bidi="ar-SA"/>
        </w:rPr>
        <w:t>主要建设内容包括土建改造工程、路灯改造工程及绿化改造工程等。</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bookmarkStart w:id="37" w:name="_Toc22184"/>
      <w:bookmarkStart w:id="38" w:name="_Toc17160"/>
      <w:r>
        <w:rPr>
          <w:rFonts w:hint="default" w:ascii="Times New Roman" w:hAnsi="Times New Roman" w:eastAsia="方正仿宋_GBK" w:cs="Times New Roman"/>
          <w:b/>
          <w:bCs/>
          <w:color w:val="auto"/>
          <w:kern w:val="2"/>
          <w:sz w:val="30"/>
          <w:szCs w:val="30"/>
          <w:highlight w:val="none"/>
          <w:lang w:val="en-US" w:eastAsia="zh-CN" w:bidi="ar-SA"/>
        </w:rPr>
        <w:t>土建改造工程</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（1）土建拆除</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破除主干道硬化路面并清理外运7193m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拆除</w:t>
      </w:r>
      <w:r>
        <w:rPr>
          <w:rFonts w:hint="default" w:ascii="Times New Roman" w:hAnsi="Times New Roman" w:eastAsia="方正仿宋_GBK" w:cs="Times New Roman"/>
          <w:color w:val="auto"/>
          <w:kern w:val="2"/>
          <w:sz w:val="30"/>
          <w:szCs w:val="30"/>
          <w:highlight w:val="none"/>
          <w:lang w:val="en-US" w:eastAsia="zh-CN" w:bidi="ar-SA"/>
        </w:rPr>
        <w:t>沿街商业路面并清理外运 19774m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拆除原有混凝土道牙3570m。</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（2）新建及修复</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修复行车硬化路面混凝土面层7193 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铺装</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300x150x60mm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彩色混凝土砖 4180m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铺装</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200x100x60mm彩色混凝土砖 15594m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新建树池 (500x250x100mm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混凝土道牙 5950m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新建 (1000x270x150mm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花岗岩道牙 3570m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重建道路两侧雨水井 85 座</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修复下水检查井 77 座</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新建矮墙 573mm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百货市场新建小游园 1处 </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含木质廊架 27m); 铺装休闲园路50m，廊架下铺装 30m2，小景石 2块，石汀步 24 块。</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2.路灯改造工程</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路灯拆除、转运及二次安装 46 套；路灯迁移后基础施工46 套；户外电力电缆终端头制作及安装 123 组；路灯基础开槽及布线 77 个；路灯喷漆 292 盏；安装路灯电缆 4966m；更换路灯内电缆 600m，路灯杆 5 盏，LED灯具 25 套；电缆沟挖填4700m；硬化路口线缆铺装 600m；电缆过路套管 600m；供电系统调试 1项。</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3.绿化改造工程</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新植落叶乔木 277 株，亚乔木 339 株，检柏球 6株；新植各类硬枝灌木及宿根花卉 2271.1 m；回填种植 1003. m；硬化破除并垃圾外运 908.5m</w:t>
      </w:r>
      <w:r>
        <w:rPr>
          <w:rFonts w:hint="eastAsia" w:ascii="Times New Roman" w:hAnsi="Times New Roman" w:eastAsia="方正仿宋_GBK" w:cs="Times New Roman"/>
          <w:color w:val="auto"/>
          <w:kern w:val="2"/>
          <w:sz w:val="30"/>
          <w:szCs w:val="30"/>
          <w:highlight w:val="none"/>
          <w:vertAlign w:val="superscript"/>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，清理下层垃圾土94.9m</w:t>
      </w:r>
      <w:r>
        <w:rPr>
          <w:rFonts w:hint="eastAsia" w:ascii="Times New Roman" w:hAnsi="Times New Roman" w:eastAsia="方正仿宋_GBK" w:cs="Times New Roman"/>
          <w:color w:val="auto"/>
          <w:kern w:val="2"/>
          <w:sz w:val="30"/>
          <w:szCs w:val="30"/>
          <w:highlight w:val="none"/>
          <w:vertAlign w:val="superscript"/>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，原有大国槐养护 85 株。苗木养护期限为两年，采用水车拉水灌溉。本次巷道内新建管道管径 d300-d400，采用高密度聚乙烯双壁波纹管，一号路、二号路新建排水管管径为 d600、d800，采用钢筋混凝土管 (II 级管 )。</w:t>
      </w:r>
    </w:p>
    <w:p>
      <w:pPr>
        <w:pStyle w:val="5"/>
        <w:pageBreakBefore w:val="0"/>
        <w:kinsoku/>
        <w:wordWrap/>
        <w:topLinePunct w:val="0"/>
        <w:autoSpaceDE/>
        <w:autoSpaceDN/>
        <w:bidi w:val="0"/>
        <w:spacing w:beforeLines="0" w:afterLines="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39" w:name="_Toc10687"/>
      <w:bookmarkStart w:id="40" w:name="_Toc17883"/>
      <w:r>
        <w:rPr>
          <w:rFonts w:hint="eastAsia" w:ascii="Times New Roman" w:hAnsi="Times New Roman" w:eastAsia="方正仿宋_GBK" w:cs="Times New Roman"/>
          <w:b w:val="0"/>
          <w:color w:val="auto"/>
          <w:kern w:val="2"/>
          <w:sz w:val="30"/>
          <w:szCs w:val="30"/>
          <w:highlight w:val="none"/>
          <w:lang w:val="en-US" w:eastAsia="zh-CN" w:bidi="ar-SA"/>
        </w:rPr>
        <w:t>上述项目内容的任务建设期为2022年7月-2023年10月，由宁夏飓风建筑工程有限公司负责项目实施与建设。</w:t>
      </w:r>
      <w:bookmarkEnd w:id="39"/>
      <w:bookmarkEnd w:id="40"/>
    </w:p>
    <w:bookmarkEnd w:id="37"/>
    <w:bookmarkEnd w:id="38"/>
    <w:p>
      <w:pPr>
        <w:pStyle w:val="3"/>
        <w:pageBreakBefore w:val="0"/>
        <w:kinsoku/>
        <w:wordWrap/>
        <w:topLinePunct w:val="0"/>
        <w:autoSpaceDE/>
        <w:autoSpaceDN/>
        <w:bidi w:val="0"/>
        <w:spacing w:beforeLines="0" w:afterLines="0"/>
        <w:jc w:val="both"/>
        <w:textAlignment w:val="auto"/>
        <w:rPr>
          <w:rFonts w:hint="eastAsia" w:ascii="宋体" w:hAnsi="宋体" w:eastAsia="宋体" w:cs="宋体"/>
          <w:b/>
          <w:bCs/>
          <w:lang w:val="en-US" w:eastAsia="zh-CN"/>
        </w:rPr>
      </w:pPr>
      <w:bookmarkStart w:id="41" w:name="_Toc31441"/>
      <w:bookmarkStart w:id="42" w:name="_Toc31374"/>
      <w:bookmarkStart w:id="43" w:name="_Toc3047"/>
      <w:r>
        <w:rPr>
          <w:rFonts w:hint="eastAsia" w:ascii="宋体" w:hAnsi="宋体" w:eastAsia="宋体" w:cs="宋体"/>
          <w:b/>
          <w:bCs/>
          <w:lang w:val="en-US" w:eastAsia="zh-CN"/>
        </w:rPr>
        <w:t>二、项目资金预算安排和使用情况</w:t>
      </w:r>
      <w:bookmarkEnd w:id="41"/>
    </w:p>
    <w:bookmarkEnd w:id="35"/>
    <w:bookmarkEnd w:id="36"/>
    <w:bookmarkEnd w:id="42"/>
    <w:bookmarkEnd w:id="43"/>
    <w:p>
      <w:pPr>
        <w:pStyle w:val="4"/>
        <w:keepNext/>
        <w:keepLines/>
        <w:pageBreakBefore w:val="0"/>
        <w:widowControl w:val="0"/>
        <w:kinsoku/>
        <w:wordWrap/>
        <w:overflowPunct/>
        <w:topLinePunct w:val="0"/>
        <w:autoSpaceDE/>
        <w:autoSpaceDN/>
        <w:bidi w:val="0"/>
        <w:adjustRightInd/>
        <w:snapToGrid w:val="0"/>
        <w:spacing w:beforeLines="0" w:afterLines="0" w:line="560" w:lineRule="exact"/>
        <w:jc w:val="both"/>
        <w:textAlignment w:val="auto"/>
        <w:rPr>
          <w:rFonts w:hint="eastAsia"/>
          <w:b/>
          <w:bCs/>
          <w:sz w:val="30"/>
          <w:szCs w:val="30"/>
          <w:lang w:val="en-US" w:eastAsia="zh-CN"/>
        </w:rPr>
      </w:pPr>
      <w:bookmarkStart w:id="44" w:name="_Toc15420"/>
      <w:bookmarkStart w:id="45" w:name="_Toc21063"/>
      <w:bookmarkStart w:id="46" w:name="_Toc26094"/>
      <w:bookmarkStart w:id="47" w:name="_Toc19300"/>
      <w:bookmarkStart w:id="48" w:name="_Toc20409"/>
      <w:bookmarkStart w:id="49" w:name="_Toc9451"/>
      <w:bookmarkStart w:id="50" w:name="_Toc31216"/>
      <w:bookmarkStart w:id="51" w:name="_Toc31361"/>
      <w:bookmarkStart w:id="52" w:name="_Toc29255"/>
      <w:bookmarkStart w:id="53" w:name="_Toc24442"/>
      <w:bookmarkStart w:id="54" w:name="_Toc2175"/>
      <w:bookmarkStart w:id="55" w:name="_Toc7963"/>
      <w:bookmarkStart w:id="56" w:name="_Toc19319"/>
      <w:bookmarkStart w:id="57" w:name="_Toc26903"/>
      <w:bookmarkStart w:id="58" w:name="_Toc1375"/>
      <w:bookmarkStart w:id="59" w:name="_Toc19237"/>
      <w:bookmarkStart w:id="60" w:name="_Toc29008"/>
      <w:bookmarkStart w:id="61" w:name="_Toc14208"/>
      <w:bookmarkStart w:id="62" w:name="_Toc17609"/>
      <w:bookmarkStart w:id="63" w:name="_Toc26741"/>
      <w:bookmarkStart w:id="64" w:name="_Toc24129"/>
      <w:r>
        <w:rPr>
          <w:rFonts w:hint="eastAsia"/>
          <w:b/>
          <w:bCs/>
          <w:sz w:val="30"/>
          <w:szCs w:val="30"/>
          <w:lang w:val="en-US" w:eastAsia="zh-CN"/>
        </w:rPr>
        <w:t>（一）资金来源情况</w:t>
      </w:r>
      <w:bookmarkEnd w:id="44"/>
      <w:bookmarkEnd w:id="45"/>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65" w:name="_Toc21684"/>
      <w:bookmarkStart w:id="66" w:name="_Toc13949"/>
      <w:r>
        <w:rPr>
          <w:rFonts w:hint="eastAsia" w:ascii="Times New Roman" w:hAnsi="Times New Roman" w:eastAsia="方正仿宋_GBK" w:cs="Times New Roman"/>
          <w:color w:val="auto"/>
          <w:kern w:val="2"/>
          <w:sz w:val="30"/>
          <w:szCs w:val="30"/>
          <w:highlight w:val="none"/>
          <w:lang w:val="en-US" w:eastAsia="zh-CN" w:bidi="ar-SA"/>
        </w:rPr>
        <w:t>2022年4月29日，根据《自治区住房和城乡建设厅关于拨付2022年重点小城镇和高质量美丽宜居村庄建设项目奖补资金的请示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）和《关于做好2022年全面推进乡村振兴重点工作的实施意见》（宁党发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要求，将项目奖补资金落实到具体项目。</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jc w:val="both"/>
        <w:textAlignment w:val="auto"/>
        <w:rPr>
          <w:rFonts w:hint="eastAsia"/>
          <w:b/>
          <w:bCs/>
          <w:sz w:val="30"/>
          <w:szCs w:val="30"/>
          <w:lang w:val="en-US" w:eastAsia="zh-CN"/>
        </w:rPr>
      </w:pPr>
      <w:bookmarkStart w:id="67" w:name="_Toc13592"/>
      <w:bookmarkStart w:id="68" w:name="_Toc13833"/>
      <w:r>
        <w:rPr>
          <w:rFonts w:hint="eastAsia"/>
          <w:b/>
          <w:bCs/>
          <w:sz w:val="30"/>
          <w:szCs w:val="30"/>
          <w:lang w:val="en-US" w:eastAsia="zh-CN"/>
        </w:rPr>
        <w:t>（二）资金到位情况</w:t>
      </w:r>
      <w:bookmarkEnd w:id="67"/>
      <w:bookmarkEnd w:id="68"/>
    </w:p>
    <w:p>
      <w:pPr>
        <w:keepNext w:val="0"/>
        <w:keepLines w:val="0"/>
        <w:pageBreakBefore w:val="0"/>
        <w:widowControl/>
        <w:suppressLineNumbers w:val="0"/>
        <w:kinsoku/>
        <w:wordWrap/>
        <w:topLinePunct w:val="0"/>
        <w:autoSpaceDE/>
        <w:autoSpaceDN/>
        <w:bidi w:val="0"/>
        <w:jc w:val="both"/>
        <w:textAlignment w:val="auto"/>
        <w:rPr>
          <w:rFonts w:hint="eastAsia"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项目概算总投资765.74万元，其中：工程费用710.07万元，其他费用33.37万元，预备费22.3万元。</w:t>
      </w:r>
    </w:p>
    <w:p>
      <w:pPr>
        <w:keepNext w:val="0"/>
        <w:keepLines w:val="0"/>
        <w:pageBreakBefore w:val="0"/>
        <w:widowControl/>
        <w:suppressLineNumbers w:val="0"/>
        <w:kinsoku/>
        <w:wordWrap/>
        <w:topLinePunct w:val="0"/>
        <w:autoSpaceDE/>
        <w:autoSpaceDN/>
        <w:bidi w:val="0"/>
        <w:jc w:val="both"/>
        <w:textAlignment w:val="auto"/>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截至评价时点，实际到位资金500.00万元，资金到位率100%，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4"/>
        <w:pageBreakBefore w:val="0"/>
        <w:kinsoku/>
        <w:wordWrap/>
        <w:topLinePunct w:val="0"/>
        <w:autoSpaceDE/>
        <w:autoSpaceDN/>
        <w:bidi w:val="0"/>
        <w:spacing w:beforeLines="0" w:afterLines="0"/>
        <w:jc w:val="both"/>
        <w:textAlignment w:val="auto"/>
        <w:rPr>
          <w:rFonts w:hint="default"/>
          <w:lang w:val="en-US" w:eastAsia="zh-CN"/>
        </w:rPr>
      </w:pPr>
      <w:bookmarkStart w:id="69" w:name="_Toc12708"/>
      <w:bookmarkStart w:id="70" w:name="_Toc3804"/>
      <w:r>
        <w:rPr>
          <w:rFonts w:hint="eastAsia"/>
          <w:lang w:val="en-US" w:eastAsia="zh-CN"/>
        </w:rPr>
        <w:t>（三）资金管理情况</w:t>
      </w:r>
      <w:bookmarkEnd w:id="69"/>
      <w:bookmarkEnd w:id="70"/>
    </w:p>
    <w:p>
      <w:pPr>
        <w:pageBreakBefore w:val="0"/>
        <w:kinsoku/>
        <w:wordWrap/>
        <w:overflowPunct w:val="0"/>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宁夏回族自治区小城镇和村庄建设项目资金管理办法》（宁财建</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476号</w:t>
      </w:r>
      <w:r>
        <w:rPr>
          <w:rFonts w:hint="eastAsia" w:ascii="Times New Roman" w:hAnsi="Times New Roman" w:eastAsia="方正仿宋_GB2312" w:cs="Times New Roman"/>
          <w:kern w:val="2"/>
          <w:sz w:val="30"/>
          <w:szCs w:val="30"/>
          <w:lang w:val="en-US" w:eastAsia="zh-CN" w:bidi="ar-SA"/>
        </w:rPr>
        <w:t>），下马关镇</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并结合项目方案的要求，对项目资金进行管理和实施监督检查，每笔资金在拨付使用过程中均能够严格执行各项管理制度。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专项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4"/>
        <w:pageBreakBefore w:val="0"/>
        <w:kinsoku/>
        <w:wordWrap/>
        <w:topLinePunct w:val="0"/>
        <w:autoSpaceDE/>
        <w:autoSpaceDN/>
        <w:bidi w:val="0"/>
        <w:spacing w:beforeLines="0" w:afterLines="0"/>
        <w:jc w:val="both"/>
        <w:textAlignment w:val="auto"/>
        <w:rPr>
          <w:rFonts w:hint="default"/>
          <w:lang w:val="en-US" w:eastAsia="zh-CN"/>
        </w:rPr>
      </w:pPr>
      <w:bookmarkStart w:id="71" w:name="_Toc23099"/>
      <w:bookmarkStart w:id="72" w:name="_Toc6553"/>
      <w:r>
        <w:rPr>
          <w:rFonts w:hint="eastAsia"/>
          <w:lang w:val="en-US" w:eastAsia="zh-CN"/>
        </w:rPr>
        <w:t>（四）资金使用情况</w:t>
      </w:r>
      <w:bookmarkEnd w:id="71"/>
      <w:bookmarkEnd w:id="72"/>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同心县下马关镇2022年重点小城镇建设项目奖补资金实际到位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500.00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65"/>
      <w:bookmarkEnd w:id="66"/>
      <w:bookmarkStart w:id="73" w:name="_Toc31342"/>
      <w:bookmarkStart w:id="74" w:name="_Toc2578"/>
    </w:p>
    <w:bookmarkEnd w:id="73"/>
    <w:bookmarkEnd w:id="74"/>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5" w:name="_Toc19185"/>
      <w:r>
        <w:rPr>
          <w:rFonts w:hint="eastAsia" w:asciiTheme="majorEastAsia" w:hAnsiTheme="majorEastAsia" w:eastAsiaTheme="majorEastAsia" w:cstheme="majorEastAsia"/>
          <w:b/>
          <w:bCs/>
          <w:sz w:val="30"/>
          <w:szCs w:val="30"/>
          <w:lang w:val="en-US" w:eastAsia="zh-CN"/>
        </w:rPr>
        <w:t>三、项目绩效</w:t>
      </w:r>
      <w:bookmarkEnd w:id="46"/>
      <w:bookmarkEnd w:id="47"/>
      <w:bookmarkEnd w:id="48"/>
      <w:bookmarkEnd w:id="49"/>
      <w:bookmarkEnd w:id="50"/>
      <w:bookmarkEnd w:id="51"/>
      <w:bookmarkEnd w:id="52"/>
      <w:bookmarkEnd w:id="53"/>
      <w:bookmarkEnd w:id="54"/>
      <w:bookmarkEnd w:id="55"/>
      <w:r>
        <w:rPr>
          <w:rFonts w:hint="eastAsia" w:asciiTheme="majorEastAsia" w:hAnsiTheme="majorEastAsia" w:eastAsiaTheme="majorEastAsia" w:cstheme="majorEastAsia"/>
          <w:b/>
          <w:bCs/>
          <w:sz w:val="30"/>
          <w:szCs w:val="30"/>
          <w:lang w:val="en-US" w:eastAsia="zh-CN"/>
        </w:rPr>
        <w:t>目标</w:t>
      </w:r>
      <w:bookmarkEnd w:id="75"/>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76" w:name="_Toc17233"/>
      <w:bookmarkStart w:id="77" w:name="_Toc23578"/>
      <w:bookmarkStart w:id="78" w:name="_Toc8204"/>
      <w:r>
        <w:rPr>
          <w:rFonts w:hint="eastAsia" w:ascii="方正楷体_GBK" w:hAnsi="方正楷体_GBK" w:eastAsia="方正楷体_GBK" w:cs="方正楷体_GBK"/>
          <w:sz w:val="30"/>
          <w:szCs w:val="30"/>
          <w:lang w:val="en-US" w:eastAsia="zh-CN"/>
        </w:rPr>
        <w:t>（一）绩效目标</w:t>
      </w:r>
      <w:bookmarkEnd w:id="76"/>
    </w:p>
    <w:bookmarkEnd w:id="77"/>
    <w:bookmarkEnd w:id="78"/>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美丽城镇建设是推动高质量发展的重要力量，是推进新型城镇化、促进城乡协调发展的有效途径，是打造全域美丽、促进大花园建设的关键一环</w:t>
      </w:r>
      <w:r>
        <w:rPr>
          <w:rFonts w:hint="eastAsia" w:ascii="Times New Roman" w:hAnsi="Times New Roman" w:eastAsia="方正仿宋_GBK" w:cs="Times New Roman"/>
          <w:color w:val="auto"/>
          <w:kern w:val="2"/>
          <w:sz w:val="30"/>
          <w:szCs w:val="30"/>
          <w:highlight w:val="none"/>
          <w:lang w:val="en-US" w:eastAsia="zh-CN" w:bidi="ar-SA"/>
        </w:rPr>
        <w:t>，同心县在美丽小城镇建设方面</w:t>
      </w:r>
      <w:r>
        <w:rPr>
          <w:rFonts w:hint="default" w:ascii="Times New Roman" w:hAnsi="Times New Roman" w:eastAsia="方正仿宋_GBK" w:cs="Times New Roman"/>
          <w:color w:val="auto"/>
          <w:kern w:val="2"/>
          <w:sz w:val="30"/>
          <w:szCs w:val="30"/>
          <w:highlight w:val="none"/>
          <w:lang w:val="en-US" w:eastAsia="zh-CN" w:bidi="ar-SA"/>
        </w:rPr>
        <w:t>取得了阶段性成效</w:t>
      </w:r>
      <w:r>
        <w:rPr>
          <w:rFonts w:hint="eastAsia" w:ascii="Times New Roman" w:hAnsi="Times New Roman" w:eastAsia="方正仿宋_GBK" w:cs="Times New Roman"/>
          <w:color w:val="auto"/>
          <w:kern w:val="2"/>
          <w:sz w:val="30"/>
          <w:szCs w:val="30"/>
          <w:highlight w:val="none"/>
          <w:lang w:val="en-US" w:eastAsia="zh-CN" w:bidi="ar-SA"/>
        </w:rPr>
        <w:t>，逐步提升居民幸福指数</w:t>
      </w:r>
      <w:r>
        <w:rPr>
          <w:rFonts w:hint="default" w:ascii="Times New Roman" w:hAnsi="Times New Roman" w:eastAsia="方正仿宋_GBK" w:cs="Times New Roman"/>
          <w:color w:val="auto"/>
          <w:kern w:val="2"/>
          <w:sz w:val="30"/>
          <w:szCs w:val="30"/>
          <w:highlight w:val="none"/>
          <w:lang w:val="en-US" w:eastAsia="zh-CN" w:bidi="ar-SA"/>
        </w:rPr>
        <w:t>。</w:t>
      </w:r>
    </w:p>
    <w:p>
      <w:pPr>
        <w:pStyle w:val="4"/>
        <w:numPr>
          <w:ilvl w:val="0"/>
          <w:numId w:val="2"/>
        </w:numPr>
        <w:bidi w:val="0"/>
        <w:rPr>
          <w:rFonts w:hint="eastAsia"/>
          <w:lang w:val="en-US" w:eastAsia="zh-CN"/>
        </w:rPr>
      </w:pPr>
      <w:bookmarkStart w:id="79" w:name="_Toc29105"/>
      <w:bookmarkStart w:id="80" w:name="_Toc6859"/>
      <w:bookmarkStart w:id="81" w:name="_Toc7385"/>
      <w:r>
        <w:rPr>
          <w:rFonts w:hint="eastAsia"/>
          <w:lang w:val="en-US" w:eastAsia="zh-CN"/>
        </w:rPr>
        <w:t>项目绩效</w:t>
      </w:r>
      <w:bookmarkEnd w:id="79"/>
      <w:bookmarkEnd w:id="80"/>
      <w:bookmarkStart w:id="82" w:name="_Toc11708"/>
      <w:bookmarkStart w:id="83" w:name="_Toc13598"/>
      <w:bookmarkStart w:id="84" w:name="_Toc14067"/>
      <w:r>
        <w:rPr>
          <w:rFonts w:hint="eastAsia"/>
          <w:lang w:val="en-US" w:eastAsia="zh-CN"/>
        </w:rPr>
        <w:t>目标</w:t>
      </w:r>
      <w:bookmarkEnd w:id="81"/>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通过前期实地调研，评价组与被评价单位进行充分、有效地沟通，依据项目的功能特性，明确项目在一定时期内的总体产出和效果，以定性和定量的方式确定所要实现的目标，明确了总体绩效目标。具体情况如下表：</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center"/>
        <w:textAlignment w:val="auto"/>
        <w:rPr>
          <w:rFonts w:hint="eastAsia"/>
          <w:b/>
          <w:bCs/>
          <w:lang w:val="en-US" w:eastAsia="zh-CN"/>
        </w:rPr>
      </w:pPr>
      <w:r>
        <w:rPr>
          <w:rFonts w:hint="eastAsia" w:ascii="Times New Roman" w:hAnsi="Times New Roman" w:eastAsia="方正仿宋_GBK" w:cs="Times New Roman"/>
          <w:b/>
          <w:bCs/>
          <w:color w:val="auto"/>
          <w:kern w:val="2"/>
          <w:sz w:val="30"/>
          <w:szCs w:val="30"/>
          <w:highlight w:val="none"/>
          <w:lang w:val="en-US" w:eastAsia="zh-CN" w:bidi="ar-SA"/>
        </w:rPr>
        <w:t>项目绩效目标完成表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同心县下马关镇2022年重点小城镇建设项目奖补资金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eastAsia="zh-CN"/>
              </w:rPr>
              <w:t>同心县</w:t>
            </w:r>
            <w:r>
              <w:rPr>
                <w:rFonts w:hint="eastAsia" w:ascii="Times New Roman" w:hAnsi="Times New Roman" w:eastAsia="方正仿宋_GBK" w:cs="Times New Roman"/>
                <w:i w:val="0"/>
                <w:iCs w:val="0"/>
                <w:color w:val="000000"/>
                <w:sz w:val="21"/>
                <w:szCs w:val="21"/>
                <w:u w:val="none"/>
                <w:lang w:val="en-US" w:eastAsia="zh-CN"/>
              </w:rPr>
              <w:t>下马关镇人民政府</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500.00万元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实施的新建项目全部按期开工建设并保质保量完成；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截至目前已全部完成年初既定的建设任务。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新建项目完成率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财务决算审核完成及时率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逐步提升村镇整体形象</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基本完备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r>
      <w:bookmarkEnd w:id="82"/>
      <w:bookmarkEnd w:id="83"/>
      <w:bookmarkEnd w:id="84"/>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85" w:name="_Toc2876"/>
      <w:bookmarkStart w:id="86" w:name="_Toc12031"/>
      <w:bookmarkStart w:id="87" w:name="_Toc8634"/>
      <w:r>
        <w:rPr>
          <w:rFonts w:hint="eastAsia" w:asciiTheme="majorEastAsia" w:hAnsiTheme="majorEastAsia" w:eastAsiaTheme="majorEastAsia" w:cstheme="majorEastAsia"/>
          <w:b/>
          <w:bCs/>
          <w:sz w:val="30"/>
          <w:szCs w:val="30"/>
          <w:lang w:val="en-US" w:eastAsia="zh-CN"/>
        </w:rPr>
        <w:t>四、绩效评价工作开展情况</w:t>
      </w:r>
      <w:bookmarkEnd w:id="85"/>
      <w:bookmarkEnd w:id="86"/>
      <w:bookmarkEnd w:id="87"/>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8" w:name="_Toc23289"/>
      <w:bookmarkStart w:id="89" w:name="_Toc4698"/>
      <w:bookmarkStart w:id="90" w:name="_Toc30230"/>
      <w:r>
        <w:rPr>
          <w:rFonts w:hint="eastAsia" w:ascii="方正楷体_GBK" w:hAnsi="方正楷体_GBK" w:eastAsia="方正楷体_GBK" w:cs="方正楷体_GBK"/>
          <w:b/>
          <w:bCs/>
          <w:sz w:val="30"/>
          <w:szCs w:val="30"/>
          <w:lang w:val="en-US" w:eastAsia="zh-CN"/>
        </w:rPr>
        <w:t>（一）绩效评价目的</w:t>
      </w:r>
      <w:bookmarkEnd w:id="88"/>
      <w:bookmarkEnd w:id="89"/>
      <w:bookmarkEnd w:id="90"/>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1.</w:t>
      </w:r>
      <w:r>
        <w:rPr>
          <w:rFonts w:hint="default" w:ascii="Times New Roman" w:hAnsi="Times New Roman" w:eastAsia="方正仿宋_GBK" w:cs="Times New Roman"/>
          <w:sz w:val="30"/>
          <w:szCs w:val="30"/>
          <w:lang w:val="en-US" w:eastAsia="zh-CN"/>
        </w:rPr>
        <w:t>通过绩效评价，对预算资金的投入、过程、产出、效果四个方面进行绩效评价，反映项目规范性、绩效目标设立的合理性和科学性、资金到位、支出情况，形成真实完整数据准确、分析透彻、逻辑清晰、客观公正的绩效评价结论为项目后续资金投入、分配和管理提供决策依据</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同时作为以后年度</w:t>
      </w:r>
      <w:r>
        <w:rPr>
          <w:rFonts w:hint="eastAsia" w:ascii="Times New Roman" w:hAnsi="Times New Roman" w:eastAsia="方正仿宋_GBK" w:cs="Times New Roman"/>
          <w:sz w:val="30"/>
          <w:szCs w:val="30"/>
          <w:lang w:val="en-US" w:eastAsia="zh-CN"/>
        </w:rPr>
        <w:t>同心县</w:t>
      </w:r>
      <w:r>
        <w:rPr>
          <w:rFonts w:hint="default" w:ascii="Times New Roman" w:hAnsi="Times New Roman" w:eastAsia="方正仿宋_GBK" w:cs="Times New Roman"/>
          <w:sz w:val="30"/>
          <w:szCs w:val="30"/>
          <w:lang w:val="en-US" w:eastAsia="zh-CN"/>
        </w:rPr>
        <w:t>编制预算和安排财政项目资金的重要依据逐步树立以结果为导向、讲求绩效的观念。</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sz w:val="30"/>
          <w:szCs w:val="30"/>
          <w:lang w:val="en-US" w:eastAsia="zh-CN"/>
        </w:rPr>
        <w:t>通过绩效评价，考察</w:t>
      </w:r>
      <w:r>
        <w:rPr>
          <w:rFonts w:hint="eastAsia" w:ascii="Times New Roman" w:hAnsi="Times New Roman" w:eastAsia="方正仿宋_GBK" w:cs="Times New Roman"/>
          <w:b w:val="0"/>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sz w:val="30"/>
          <w:szCs w:val="30"/>
          <w:lang w:val="en-US" w:eastAsia="zh-CN"/>
        </w:rPr>
        <w:t>使用的安全性、规范性和效益性。通过评价、总结项目实施的做法、经验和教训，提出改进措施和建设性意见，为项目绩效管理提供决策参考及政策制定依据。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val="0"/>
          <w:kern w:val="2"/>
          <w:sz w:val="30"/>
          <w:szCs w:val="30"/>
          <w:lang w:val="en-US" w:eastAsia="zh-CN" w:bidi="ar-SA"/>
        </w:rPr>
      </w:pPr>
      <w:r>
        <w:rPr>
          <w:rFonts w:hint="default" w:ascii="Times New Roman" w:hAnsi="Times New Roman" w:eastAsia="方正仿宋_GBK" w:cs="Times New Roman"/>
          <w:b/>
          <w:bCs/>
          <w:kern w:val="2"/>
          <w:sz w:val="30"/>
          <w:szCs w:val="30"/>
          <w:lang w:val="en-US" w:eastAsia="zh-CN" w:bidi="ar-SA"/>
        </w:rPr>
        <w:t>3.</w:t>
      </w:r>
      <w:r>
        <w:rPr>
          <w:rFonts w:hint="default" w:ascii="Times New Roman" w:hAnsi="Times New Roman" w:eastAsia="方正仿宋_GBK" w:cs="Times New Roman"/>
          <w:b w:val="0"/>
          <w:kern w:val="2"/>
          <w:sz w:val="30"/>
          <w:szCs w:val="30"/>
          <w:lang w:val="en-US" w:eastAsia="zh-CN" w:bidi="ar-SA"/>
        </w:rPr>
        <w:t>通过绩效评价，能够让各级工作人员认识到发挥项目资金效益的重要性，强化工作职责，能够更清晰地界定工作的内容与其需要达到的标准</w:t>
      </w:r>
      <w:r>
        <w:rPr>
          <w:rFonts w:hint="eastAsia" w:ascii="Times New Roman" w:hAnsi="Times New Roman" w:eastAsia="方正仿宋_GBK" w:cs="Times New Roman"/>
          <w:b w:val="0"/>
          <w:kern w:val="2"/>
          <w:sz w:val="30"/>
          <w:szCs w:val="30"/>
          <w:lang w:val="en-US" w:eastAsia="zh-CN" w:bidi="ar-SA"/>
        </w:rPr>
        <w:t>；</w:t>
      </w:r>
      <w:r>
        <w:rPr>
          <w:rFonts w:hint="default" w:ascii="Times New Roman" w:hAnsi="Times New Roman" w:eastAsia="方正仿宋_GBK" w:cs="Times New Roman"/>
          <w:b w:val="0"/>
          <w:kern w:val="2"/>
          <w:sz w:val="30"/>
          <w:szCs w:val="30"/>
          <w:lang w:val="en-US" w:eastAsia="zh-CN" w:bidi="ar-SA"/>
        </w:rPr>
        <w:t>能够让工作人员清楚认识到各自的问题和不足，激励加强项目管理、资金管理、绩效评价理论学习和实践活动，提高工作效率。同时也可在实践中检验绩效评价工作的针对性和可操作性，推动绩效评价的制度体系建设。</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1" w:name="_Toc26526"/>
      <w:r>
        <w:rPr>
          <w:rFonts w:hint="eastAsia" w:ascii="方正楷体_GBK" w:hAnsi="方正楷体_GBK" w:eastAsia="方正楷体_GBK" w:cs="方正楷体_GBK"/>
          <w:b/>
          <w:bCs/>
          <w:sz w:val="30"/>
          <w:szCs w:val="30"/>
          <w:lang w:val="en-US" w:eastAsia="zh-CN"/>
        </w:rPr>
        <w:t>（二）绩效评价对象</w:t>
      </w:r>
      <w:bookmarkEnd w:id="91"/>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 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同心县下马关镇2022年重点小城镇建设项目奖补资金项目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2" w:name="_Toc4083"/>
      <w:bookmarkStart w:id="93" w:name="_Toc17306"/>
      <w:bookmarkStart w:id="94" w:name="_Toc22702"/>
      <w:r>
        <w:rPr>
          <w:rFonts w:hint="eastAsia" w:ascii="方正楷体_GBK" w:hAnsi="方正楷体_GBK" w:eastAsia="方正楷体_GBK" w:cs="方正楷体_GBK"/>
          <w:b/>
          <w:bCs/>
          <w:sz w:val="30"/>
          <w:szCs w:val="30"/>
          <w:lang w:val="en-US" w:eastAsia="zh-CN"/>
        </w:rPr>
        <w:t>（三）评价依据</w:t>
      </w:r>
      <w:bookmarkEnd w:id="92"/>
      <w:bookmarkEnd w:id="93"/>
      <w:bookmarkEnd w:id="94"/>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9.</w:t>
      </w:r>
      <w:r>
        <w:rPr>
          <w:rFonts w:hint="eastAsia" w:ascii="Times New Roman" w:hAnsi="Times New Roman" w:eastAsia="方正仿宋_GB2312" w:cs="Times New Roman"/>
          <w:kern w:val="2"/>
          <w:sz w:val="30"/>
          <w:szCs w:val="30"/>
          <w:lang w:val="en-US" w:eastAsia="zh-CN" w:bidi="ar-SA"/>
        </w:rPr>
        <w:t>《同心县规划建设委员会会议纪要》（2020年第5期）</w:t>
      </w:r>
    </w:p>
    <w:p>
      <w:pPr>
        <w:topLinePunct/>
        <w:spacing w:line="560" w:lineRule="exact"/>
        <w:ind w:firstLine="592" w:firstLineChars="200"/>
        <w:outlineLvl w:val="0"/>
        <w:rPr>
          <w:rFonts w:hint="eastAsia" w:ascii="Times New Roman" w:hAnsi="Times New Roman" w:eastAsia="方正仿宋_GBK" w:cs="Times New Roman"/>
          <w:kern w:val="2"/>
          <w:sz w:val="30"/>
          <w:szCs w:val="30"/>
          <w:lang w:val="en-US" w:eastAsia="zh-CN" w:bidi="ar-SA"/>
        </w:rPr>
      </w:pPr>
      <w:bookmarkStart w:id="95" w:name="_Toc10429"/>
      <w:bookmarkStart w:id="96" w:name="_Toc27403"/>
      <w:bookmarkStart w:id="97" w:name="_Toc12022"/>
      <w:r>
        <w:rPr>
          <w:rFonts w:hint="eastAsia" w:ascii="Times New Roman" w:hAnsi="Times New Roman" w:eastAsia="方正仿宋_GBK" w:cs="Times New Roman"/>
          <w:color w:val="auto"/>
          <w:kern w:val="2"/>
          <w:sz w:val="30"/>
          <w:szCs w:val="30"/>
          <w:highlight w:val="none"/>
          <w:lang w:val="en-US" w:eastAsia="zh-CN" w:bidi="ar-SA"/>
        </w:rPr>
        <w:t>10.《关于同心县下马关镇重点小城镇建设 S202道路提升改造工程初步设计的批复》</w:t>
      </w:r>
      <w:r>
        <w:rPr>
          <w:rFonts w:hint="eastAsia" w:ascii="Times New Roman" w:hAnsi="Times New Roman" w:eastAsia="方正仿宋_GBK" w:cs="Times New Roman"/>
          <w:kern w:val="2"/>
          <w:sz w:val="30"/>
          <w:szCs w:val="30"/>
          <w:lang w:val="en-US" w:eastAsia="zh-CN" w:bidi="ar-SA"/>
        </w:rPr>
        <w:t>（同发改审发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22</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255</w:t>
      </w:r>
      <w:r>
        <w:rPr>
          <w:rFonts w:hint="default" w:ascii="Times New Roman" w:hAnsi="Times New Roman" w:eastAsia="方正仿宋_GBK" w:cs="Times New Roman"/>
          <w:kern w:val="2"/>
          <w:sz w:val="30"/>
          <w:szCs w:val="30"/>
          <w:lang w:val="en-US" w:eastAsia="zh-CN" w:bidi="ar-SA"/>
        </w:rPr>
        <w:t>号）</w:t>
      </w:r>
      <w:bookmarkEnd w:id="95"/>
      <w:bookmarkEnd w:id="96"/>
      <w:bookmarkEnd w:id="97"/>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11.相关行业政策、行业标准及专业技术规范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12.项目单位反映项目管理的有关资料，项目安排计划、资金拨付支出相关文件和凭证资料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8" w:name="_Toc17802"/>
      <w:bookmarkStart w:id="99" w:name="_Toc8570"/>
      <w:bookmarkStart w:id="100" w:name="_Toc2670"/>
      <w:r>
        <w:rPr>
          <w:rFonts w:hint="eastAsia" w:ascii="方正楷体_GBK" w:hAnsi="方正楷体_GBK" w:eastAsia="方正楷体_GBK" w:cs="方正楷体_GBK"/>
          <w:b/>
          <w:bCs/>
          <w:sz w:val="30"/>
          <w:szCs w:val="30"/>
          <w:lang w:val="en-US" w:eastAsia="zh-CN"/>
        </w:rPr>
        <w:t>（四）评价原则</w:t>
      </w:r>
      <w:bookmarkEnd w:id="98"/>
      <w:bookmarkEnd w:id="99"/>
      <w:bookmarkEnd w:id="100"/>
    </w:p>
    <w:p>
      <w:pPr>
        <w:rPr>
          <w:rFonts w:hint="default" w:ascii="Times New Roman" w:hAnsi="Times New Roman" w:eastAsia="方正仿宋_GBK" w:cs="Times New Roman"/>
          <w:b w:val="0"/>
          <w:bCs w:val="0"/>
          <w:kern w:val="0"/>
          <w:sz w:val="30"/>
          <w:szCs w:val="30"/>
          <w:lang w:val="en-US" w:eastAsia="zh-CN" w:bidi="zh-CN"/>
        </w:rPr>
      </w:pPr>
      <w:bookmarkStart w:id="101" w:name="_Toc23108"/>
      <w:bookmarkStart w:id="102" w:name="_Toc14020"/>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）和</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3" w:name="_Toc12416"/>
      <w:r>
        <w:rPr>
          <w:rFonts w:hint="eastAsia" w:ascii="方正楷体_GBK" w:hAnsi="方正楷体_GBK" w:eastAsia="方正楷体_GBK" w:cs="方正楷体_GBK"/>
          <w:b/>
          <w:bCs/>
          <w:sz w:val="30"/>
          <w:szCs w:val="30"/>
          <w:lang w:val="en-US" w:eastAsia="zh-CN"/>
        </w:rPr>
        <w:t>（五）评价标准</w:t>
      </w:r>
      <w:bookmarkEnd w:id="103"/>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104" w:name="_Toc3146"/>
      <w:bookmarkStart w:id="105" w:name="_Toc22268"/>
      <w:bookmarkStart w:id="106" w:name="_Toc19737"/>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104"/>
      <w:bookmarkEnd w:id="105"/>
      <w:bookmarkEnd w:id="106"/>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07" w:name="_Toc16539"/>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101"/>
      <w:bookmarkEnd w:id="102"/>
      <w:bookmarkEnd w:id="107"/>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bookmarkStart w:id="108" w:name="_Toc3585"/>
      <w:bookmarkStart w:id="109" w:name="_Toc31420"/>
      <w:r>
        <w:rPr>
          <w:rFonts w:hint="eastAsia" w:ascii="Times New Roman" w:hAnsi="Times New Roman" w:eastAsia="方正仿宋_GBK" w:cs="Times New Roman"/>
          <w:b w:val="0"/>
          <w:bCs w:val="0"/>
          <w:kern w:val="0"/>
          <w:sz w:val="30"/>
          <w:szCs w:val="30"/>
          <w:lang w:val="en-US" w:eastAsia="zh-CN" w:bidi="zh-CN"/>
        </w:rPr>
        <w:t>同心县下马关镇2022年重点小城镇建设项目奖补资金根据《项目支出绩效评价管理办法》（财预〔2020〕10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 4 个一级指标构成，同时对应分解并设置 12 个二级指标、23 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 20%，过程指标权重占比 20%，产出指标权重占比 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 3 个二级指标，同时对应分解并选择设置立项依据充分性、立项程序规范性、绩效目标合理性、绩效指标明确性、预算编制科学性、资金分配合理性 6 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 4 个二级指标，同时对应分解并选择设置年度建设实施项目个数、实施项目整体完成率、招投标程序合规率、工程验收质量达标率、项目开工及完工及时率、结算审核及竣工验收及时率、竣工财务决算完成及时率和工程建设投资总成本等 8 个三级指标，分别对项目产出情况进行考察评判。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效益类指标包括项目社会效益、可持续影响和满意度3个二级指标，同时对应分解并选择设置改善城镇环境、机制维护健全性和受益对象满意度4个三级指标进行考察评判。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10" w:name="_Toc11592"/>
      <w:bookmarkStart w:id="111" w:name="_Toc18428"/>
      <w:bookmarkStart w:id="112" w:name="_Toc13700"/>
      <w:bookmarkStart w:id="113" w:name="_Toc30606"/>
      <w:bookmarkStart w:id="114" w:name="_Toc3290"/>
      <w:bookmarkStart w:id="115" w:name="_Toc1193"/>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10"/>
      <w:bookmarkEnd w:id="111"/>
      <w:bookmarkEnd w:id="112"/>
      <w:bookmarkEnd w:id="113"/>
      <w:bookmarkEnd w:id="114"/>
      <w:bookmarkEnd w:id="115"/>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16" w:name="_Toc5681"/>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8"/>
      <w:bookmarkEnd w:id="109"/>
      <w:bookmarkEnd w:id="116"/>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17" w:name="_Toc18366"/>
      <w:bookmarkStart w:id="118" w:name="_Toc10922"/>
      <w:bookmarkStart w:id="119" w:name="_Toc29247"/>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17"/>
      <w:bookmarkEnd w:id="118"/>
      <w:bookmarkEnd w:id="119"/>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120" w:name="_Toc24968"/>
      <w:bookmarkStart w:id="121" w:name="_Toc28386"/>
      <w:bookmarkStart w:id="122" w:name="_Toc2624"/>
      <w:r>
        <w:rPr>
          <w:rFonts w:hint="eastAsia" w:ascii="Times New Roman" w:hAnsi="Times New Roman" w:eastAsia="方正仿宋_GBK" w:cs="Times New Roman"/>
          <w:b w:val="0"/>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b w:val="0"/>
          <w:color w:val="auto"/>
          <w:kern w:val="2"/>
          <w:sz w:val="30"/>
          <w:szCs w:val="30"/>
          <w:highlight w:val="none"/>
          <w:lang w:val="en-US" w:eastAsia="zh-CN" w:bidi="ar-SA"/>
        </w:rPr>
        <w:t>绩效评价主要采用因素分析法、比较法、现场核查法、公众评判法进行综合评价。具体评价方法如下</w:t>
      </w:r>
      <w:r>
        <w:rPr>
          <w:rFonts w:hint="eastAsia" w:ascii="Times New Roman" w:hAnsi="Times New Roman" w:eastAsia="方正仿宋_GBK" w:cs="Times New Roman"/>
          <w:b w:val="0"/>
          <w:color w:val="auto"/>
          <w:kern w:val="2"/>
          <w:sz w:val="30"/>
          <w:szCs w:val="30"/>
          <w:highlight w:val="none"/>
          <w:lang w:val="en-US" w:eastAsia="zh-CN" w:bidi="ar-SA"/>
        </w:rPr>
        <w:t>：</w:t>
      </w:r>
      <w:bookmarkEnd w:id="120"/>
      <w:bookmarkEnd w:id="121"/>
      <w:bookmarkEnd w:id="122"/>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b w:val="0"/>
          <w:color w:val="auto"/>
          <w:kern w:val="2"/>
          <w:sz w:val="30"/>
          <w:szCs w:val="30"/>
          <w:highlight w:val="none"/>
          <w:lang w:val="en-US" w:eastAsia="zh-CN" w:bidi="ar-SA"/>
        </w:rPr>
        <w:t>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b w:val="0"/>
          <w:color w:val="auto"/>
          <w:kern w:val="2"/>
          <w:sz w:val="30"/>
          <w:szCs w:val="30"/>
          <w:highlight w:val="none"/>
          <w:lang w:val="en-US" w:eastAsia="zh-CN" w:bidi="ar-SA"/>
        </w:rPr>
        <w:t>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23" w:name="_Toc14287"/>
      <w:bookmarkStart w:id="124" w:name="_Toc23683"/>
      <w:bookmarkStart w:id="125" w:name="_Toc15372"/>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23"/>
      <w:bookmarkEnd w:id="124"/>
      <w:bookmarkEnd w:id="125"/>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26" w:name="_Toc26418"/>
      <w:bookmarkStart w:id="127" w:name="_Toc15926"/>
      <w:bookmarkStart w:id="128" w:name="_Toc23927"/>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26"/>
      <w:bookmarkEnd w:id="127"/>
      <w:bookmarkEnd w:id="128"/>
    </w:p>
    <w:p>
      <w:pPr>
        <w:pStyle w:val="4"/>
        <w:bidi w:val="0"/>
        <w:rPr>
          <w:rFonts w:hint="default"/>
          <w:lang w:val="en-US" w:eastAsia="zh-CN"/>
        </w:rPr>
      </w:pPr>
      <w:bookmarkStart w:id="129" w:name="_Toc4573"/>
      <w:r>
        <w:rPr>
          <w:rFonts w:hint="eastAsia"/>
          <w:lang w:val="en-US" w:eastAsia="zh-CN"/>
        </w:rPr>
        <w:t>（一）项目完成情况</w:t>
      </w:r>
      <w:bookmarkEnd w:id="129"/>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w:t>
      </w:r>
      <w:r>
        <w:rPr>
          <w:rFonts w:hint="eastAsia" w:ascii="Times New Roman" w:hAnsi="Times New Roman" w:eastAsia="方正仿宋_GBK" w:cs="Times New Roman"/>
          <w:color w:val="auto"/>
          <w:kern w:val="2"/>
          <w:sz w:val="30"/>
          <w:szCs w:val="30"/>
          <w:highlight w:val="none"/>
          <w:lang w:val="en-US" w:eastAsia="zh-CN" w:bidi="ar-SA"/>
        </w:rPr>
        <w:t>专项</w:t>
      </w:r>
      <w:r>
        <w:rPr>
          <w:rFonts w:hint="default" w:ascii="Times New Roman" w:hAnsi="Times New Roman" w:eastAsia="方正仿宋_GBK" w:cs="Times New Roman"/>
          <w:color w:val="auto"/>
          <w:kern w:val="2"/>
          <w:sz w:val="30"/>
          <w:szCs w:val="30"/>
          <w:highlight w:val="none"/>
          <w:lang w:val="en-US" w:eastAsia="zh-CN" w:bidi="ar-SA"/>
        </w:rPr>
        <w:t>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500.00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在项目产出方面：</w:t>
      </w:r>
      <w:r>
        <w:rPr>
          <w:rFonts w:hint="eastAsia" w:ascii="Times New Roman" w:hAnsi="Times New Roman" w:eastAsia="方正仿宋_GBK" w:cs="Times New Roman"/>
          <w:b w:val="0"/>
          <w:bCs w:val="0"/>
          <w:color w:val="auto"/>
          <w:kern w:val="2"/>
          <w:sz w:val="30"/>
          <w:szCs w:val="30"/>
          <w:highlight w:val="none"/>
          <w:lang w:val="en-US" w:eastAsia="zh-CN" w:bidi="ar-SA"/>
        </w:rPr>
        <w:t>同心县下马关镇2022年重点小城镇建设项目奖补资金，严格落实“项目四制”。落实项目法人责任制，项目单位和法定代表人对项目建设的安全质量负总责；落实招标投标制，按照《招标投标法》《必须招标的工程项目规定》《必须招标的基础设施和公用事业项目范围规定》等要求做好项目招投标工作，并将强制性安全质量标准等作为招标文件的实质性要求和条件；落实工程监理制，监理单位要认真履行监理职责，特别要加强对关键工序、重要部位和隐蔽工程的监督检查；落实合同管理制度，建设工程的勘察设计、施工、设备材料采购和工程监理等要依法订立合同，并明确安全质量要求以及违约责任等。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优美的环境是最普惠的民生福祉，也是催生美丽经济的助推器。随着美丽城镇纵深推进，小城镇“镇景融合”发展模式作用愈发凸显。经对项目实施地开展满意度问卷调查，整体满意度为90%。</w:t>
      </w:r>
    </w:p>
    <w:p>
      <w:pPr>
        <w:pStyle w:val="4"/>
        <w:bidi w:val="0"/>
        <w:rPr>
          <w:rFonts w:hint="default"/>
          <w:lang w:val="en-US" w:eastAsia="zh-CN"/>
        </w:rPr>
      </w:pPr>
      <w:bookmarkStart w:id="130" w:name="_Toc8548"/>
      <w:r>
        <w:rPr>
          <w:rFonts w:hint="eastAsia"/>
          <w:lang w:val="en-US" w:eastAsia="zh-CN"/>
        </w:rPr>
        <w:t>（二）评价结论</w:t>
      </w:r>
      <w:bookmarkEnd w:id="130"/>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b w:val="0"/>
          <w:bCs w:val="0"/>
          <w:color w:val="auto"/>
          <w:kern w:val="2"/>
          <w:sz w:val="30"/>
          <w:szCs w:val="30"/>
          <w:highlight w:val="none"/>
          <w:lang w:val="en-US" w:eastAsia="zh-CN" w:bidi="ar-SA"/>
        </w:rPr>
        <w:t>同心县下马关镇2022年重点小城镇建设项目奖补资金</w:t>
      </w:r>
      <w:r>
        <w:rPr>
          <w:rFonts w:hint="default" w:ascii="Times New Roman" w:hAnsi="Times New Roman" w:eastAsia="方正仿宋_GBK" w:cs="Times New Roman"/>
          <w:b w:val="0"/>
          <w:bCs w:val="0"/>
          <w:color w:val="auto"/>
          <w:kern w:val="2"/>
          <w:sz w:val="30"/>
          <w:szCs w:val="30"/>
          <w:highlight w:val="none"/>
          <w:lang w:val="en-US" w:eastAsia="zh-CN" w:bidi="ar-SA"/>
        </w:rPr>
        <w:t>实施内容符合国家、自治区及</w:t>
      </w:r>
      <w:r>
        <w:rPr>
          <w:rFonts w:hint="eastAsia" w:ascii="Times New Roman" w:hAnsi="Times New Roman" w:eastAsia="方正仿宋_GBK" w:cs="Times New Roman"/>
          <w:b w:val="0"/>
          <w:bCs w:val="0"/>
          <w:color w:val="auto"/>
          <w:kern w:val="2"/>
          <w:sz w:val="30"/>
          <w:szCs w:val="30"/>
          <w:highlight w:val="none"/>
          <w:lang w:val="en-US" w:eastAsia="zh-CN" w:bidi="ar-SA"/>
        </w:rPr>
        <w:t>同心县专项</w:t>
      </w:r>
      <w:r>
        <w:rPr>
          <w:rFonts w:hint="default" w:ascii="Times New Roman" w:hAnsi="Times New Roman" w:eastAsia="方正仿宋_GBK" w:cs="Times New Roman"/>
          <w:b w:val="0"/>
          <w:bCs w:val="0"/>
          <w:color w:val="auto"/>
          <w:kern w:val="2"/>
          <w:sz w:val="30"/>
          <w:szCs w:val="30"/>
          <w:highlight w:val="none"/>
          <w:lang w:val="en-US" w:eastAsia="zh-CN" w:bidi="ar-SA"/>
        </w:rPr>
        <w:t xml:space="preserve">资金支持范围，项目管理规范，项目资金拨付及时，资金到位率为 100%，预算执行率为 </w:t>
      </w:r>
      <w:r>
        <w:rPr>
          <w:rFonts w:hint="eastAsia" w:ascii="Times New Roman" w:hAnsi="Times New Roman" w:eastAsia="方正仿宋_GBK" w:cs="Times New Roman"/>
          <w:b w:val="0"/>
          <w:bCs w:val="0"/>
          <w:color w:val="auto"/>
          <w:kern w:val="2"/>
          <w:sz w:val="30"/>
          <w:szCs w:val="30"/>
          <w:highlight w:val="none"/>
          <w:lang w:val="en-US" w:eastAsia="zh-CN" w:bidi="ar-SA"/>
        </w:rPr>
        <w:t>100</w:t>
      </w:r>
      <w:r>
        <w:rPr>
          <w:rFonts w:hint="default" w:ascii="Times New Roman" w:hAnsi="Times New Roman" w:eastAsia="方正仿宋_GBK" w:cs="Times New Roman"/>
          <w:b w:val="0"/>
          <w:bCs w:val="0"/>
          <w:color w:val="auto"/>
          <w:kern w:val="2"/>
          <w:sz w:val="30"/>
          <w:szCs w:val="30"/>
          <w:highlight w:val="none"/>
          <w:lang w:val="en-US" w:eastAsia="zh-CN" w:bidi="ar-SA"/>
        </w:rPr>
        <w:t>%，产</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出效果较明显。</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项目实施单位资金支出较规范</w:t>
      </w:r>
      <w:r>
        <w:rPr>
          <w:rFonts w:hint="eastAsia" w:ascii="Times New Roman" w:hAnsi="Times New Roman" w:eastAsia="方正仿宋_GBK" w:cs="Times New Roman"/>
          <w:spacing w:val="0"/>
          <w:kern w:val="0"/>
          <w:sz w:val="30"/>
          <w:szCs w:val="30"/>
          <w:lang w:bidi="zh-CN"/>
        </w:rPr>
        <w:t>，资金的拨付经单位主管领导、财政局业务科室、国库支付中心审批，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31" w:name="_Toc14682"/>
      <w:bookmarkStart w:id="132" w:name="_Toc9214"/>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“92.5”分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b/>
          <w:bCs/>
          <w:color w:val="auto"/>
          <w:kern w:val="2"/>
          <w:sz w:val="30"/>
          <w:szCs w:val="30"/>
          <w:highlight w:val="none"/>
          <w:lang w:val="en-US" w:eastAsia="zh-CN" w:bidi="ar-SA"/>
        </w:rPr>
      </w:pP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left"/>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28.00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24.50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left"/>
              <w:textAlignment w:val="center"/>
              <w:rPr>
                <w:rFonts w:hint="default" w:ascii="Times New Roman" w:hAnsi="Times New Roman" w:eastAsia="方正仿宋_GBK" w:cs="Times New Roman"/>
                <w:i w:val="0"/>
                <w:iCs w:val="0"/>
                <w:color w:val="000000" w:themeColor="text1"/>
                <w:sz w:val="22"/>
                <w:szCs w:val="22"/>
                <w:u w:val="none"/>
                <w:lang w:val="en-US"/>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82.35%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94.23%</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92.5%</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33" w:name="_Toc13609"/>
      <w:r>
        <w:rPr>
          <w:rFonts w:hint="eastAsia" w:asciiTheme="majorEastAsia" w:hAnsiTheme="majorEastAsia" w:eastAsiaTheme="majorEastAsia" w:cstheme="majorEastAsia"/>
          <w:b/>
          <w:bCs/>
          <w:sz w:val="32"/>
          <w:szCs w:val="32"/>
          <w:lang w:val="en-US" w:eastAsia="zh-CN"/>
        </w:rPr>
        <w:t>六、绩效评价指标分析</w:t>
      </w:r>
      <w:bookmarkEnd w:id="131"/>
      <w:bookmarkEnd w:id="132"/>
      <w:bookmarkEnd w:id="133"/>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34" w:name="_Toc10789"/>
      <w:bookmarkStart w:id="135" w:name="_Toc13089"/>
      <w:bookmarkStart w:id="136" w:name="_Toc8189"/>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34"/>
      <w:bookmarkEnd w:id="135"/>
      <w:r>
        <w:rPr>
          <w:rFonts w:hint="eastAsia" w:ascii="方正楷体_GBK" w:hAnsi="方正楷体_GBK" w:eastAsia="方正楷体_GBK" w:cs="方正楷体_GBK"/>
          <w:b/>
          <w:bCs w:val="0"/>
          <w:color w:val="auto"/>
          <w:sz w:val="30"/>
          <w:szCs w:val="30"/>
          <w:lang w:eastAsia="zh-CN"/>
        </w:rPr>
        <w:t>分析</w:t>
      </w:r>
      <w:bookmarkEnd w:id="136"/>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spacing w:val="1"/>
          <w:sz w:val="30"/>
          <w:szCs w:val="30"/>
          <w:lang w:val="en-US" w:eastAsia="zh-CN"/>
        </w:rPr>
        <w:t>本</w:t>
      </w:r>
      <w:r>
        <w:rPr>
          <w:rFonts w:hint="eastAsia" w:ascii="Times New Roman" w:hAnsi="Times New Roman" w:eastAsia="方正仿宋_GB2312" w:cs="Times New Roman"/>
          <w:kern w:val="2"/>
          <w:sz w:val="30"/>
          <w:szCs w:val="30"/>
          <w:lang w:val="en-US" w:eastAsia="zh-CN" w:bidi="ar-SA"/>
        </w:rPr>
        <w:t>项指标共设3个二级指标、6 个三级指标，权重分值 20 分，评价得分20.00 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8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2014年，自治区党委、政府出台《宁夏美丽乡村建设实施方案》，确定把城乡一体化作为美丽乡村建设的战略方向，积极构建布局合理、功能完善、质量提升的美丽乡村发展体系，大力实施规划引领、农房改造、收入倍增、基础配套、环境整治、生态建设、服务提升、文明创建八大工程，统筹推进美丽乡村建设。</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宁夏将统筹县域城镇和乡村规划建设，合理布局县城、重点镇、中心村基础设施和公共服务设施，促进</w:t>
      </w:r>
      <w:r>
        <w:rPr>
          <w:rFonts w:hint="eastAsia" w:ascii="Times New Roman" w:hAnsi="Times New Roman" w:eastAsia="方正仿宋_GBK" w:cs="Times New Roman"/>
          <w:color w:val="auto"/>
          <w:kern w:val="2"/>
          <w:sz w:val="30"/>
          <w:szCs w:val="30"/>
          <w:highlight w:val="none"/>
          <w:lang w:val="en-US" w:eastAsia="zh-CN" w:bidi="ar-SA"/>
        </w:rPr>
        <w:t>一、二、三产业</w:t>
      </w:r>
      <w:r>
        <w:rPr>
          <w:rFonts w:hint="default" w:ascii="Times New Roman" w:hAnsi="Times New Roman" w:eastAsia="方正仿宋_GBK" w:cs="Times New Roman"/>
          <w:color w:val="auto"/>
          <w:kern w:val="2"/>
          <w:sz w:val="30"/>
          <w:szCs w:val="30"/>
          <w:highlight w:val="none"/>
          <w:lang w:val="en-US" w:eastAsia="zh-CN" w:bidi="ar-SA"/>
        </w:rPr>
        <w:t>发展，推动建立以县域为单元统筹城乡的发展体系、服务体系、治理体系，进一步细化建设标准，重点在补短板、强弱项和产村融合上下功夫。同时，启动重点小城镇和高质量美丽宜居村庄、传统村落等新形态、新模式村镇建设项目，让更多美丽小城镇建设扮靓宁夏美丽山川。</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2312" w:cs="Times New Roman"/>
          <w:kern w:val="2"/>
          <w:sz w:val="30"/>
          <w:szCs w:val="30"/>
          <w:lang w:val="en-US" w:eastAsia="zh-CN" w:bidi="ar-SA"/>
        </w:rPr>
        <w:t>项目立项与下马关镇人民政府职责相符，</w:t>
      </w:r>
      <w:r>
        <w:rPr>
          <w:rFonts w:hint="eastAsia" w:ascii="Times New Roman" w:hAnsi="Times New Roman" w:eastAsia="方正仿宋_GBK" w:cs="Times New Roman"/>
          <w:color w:val="auto"/>
          <w:kern w:val="2"/>
          <w:sz w:val="30"/>
          <w:szCs w:val="30"/>
          <w:highlight w:val="none"/>
          <w:lang w:val="en-US" w:eastAsia="zh-CN" w:bidi="ar-SA"/>
        </w:rPr>
        <w:t>项目立项符合行业发展规划和政策要求，与部门职责范围相符，立项依据充分</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仿宋" w:cs="Times New Roman"/>
          <w:color w:val="000000"/>
          <w:kern w:val="0"/>
          <w:sz w:val="30"/>
          <w:szCs w:val="30"/>
          <w:lang w:val="en-US" w:eastAsia="zh-CN" w:bidi="ar"/>
        </w:rPr>
        <w:t>该指标满分3分，根据评分标准得</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仿宋" w:cs="Times New Roman"/>
          <w:color w:val="000000"/>
          <w:kern w:val="0"/>
          <w:sz w:val="30"/>
          <w:szCs w:val="30"/>
          <w:lang w:val="en-US" w:eastAsia="zh-CN" w:bidi="ar"/>
        </w:rPr>
        <w:t>该项目按照规定的程序审批，立项程序规范，同心县发展和改革局下发了</w:t>
      </w:r>
      <w:r>
        <w:rPr>
          <w:rFonts w:hint="eastAsia" w:ascii="Times New Roman" w:hAnsi="Times New Roman" w:eastAsia="方正仿宋_GB2312" w:cs="Times New Roman"/>
          <w:kern w:val="2"/>
          <w:sz w:val="30"/>
          <w:szCs w:val="30"/>
          <w:lang w:val="en-US" w:eastAsia="zh-CN" w:bidi="ar-SA"/>
        </w:rPr>
        <w:t>《关于同心县下马关镇重点小城镇建设 S202道路提升改造工程初步设计的批复》（同发改审发〔2022〕255号）</w:t>
      </w:r>
      <w:r>
        <w:rPr>
          <w:rFonts w:hint="default" w:ascii="Times New Roman" w:hAnsi="Times New Roman" w:eastAsia="仿宋" w:cs="Times New Roman"/>
          <w:color w:val="000000"/>
          <w:kern w:val="0"/>
          <w:sz w:val="30"/>
          <w:szCs w:val="30"/>
          <w:lang w:val="en-US" w:eastAsia="zh-CN" w:bidi="ar"/>
        </w:rPr>
        <w:t>，所提交的文件、材料符合相关要求，事前已经过必要的可行性研究等。该指标满分</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分，根据评分标准得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（1）绩效目标合理</w:t>
      </w:r>
      <w:r>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性</w:t>
      </w:r>
    </w:p>
    <w:p>
      <w:pPr>
        <w:keepNext w:val="0"/>
        <w:keepLines w:val="0"/>
        <w:pageBreakBefore w:val="0"/>
        <w:widowControl w:val="0"/>
        <w:kinsoku/>
        <w:wordWrap/>
        <w:overflowPunct w:val="0"/>
        <w:topLinePunct/>
        <w:autoSpaceDE/>
        <w:autoSpaceDN/>
        <w:bidi w:val="0"/>
        <w:adjustRightInd/>
        <w:snapToGrid/>
        <w:spacing w:line="560" w:lineRule="exact"/>
        <w:ind w:leftChars="0" w:firstLine="592" w:firstLineChars="200"/>
        <w:textAlignment w:val="auto"/>
        <w:outlineLvl w:val="0"/>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经现场绩效评价，</w:t>
      </w:r>
      <w:r>
        <w:rPr>
          <w:rFonts w:hint="eastAsia" w:ascii="Times New Roman" w:hAnsi="Times New Roman" w:eastAsia="方正仿宋_GBK" w:cs="Times New Roman"/>
          <w:b w:val="0"/>
          <w:color w:val="auto"/>
          <w:kern w:val="2"/>
          <w:sz w:val="30"/>
          <w:szCs w:val="30"/>
          <w:highlight w:val="none"/>
          <w:lang w:val="en-US" w:eastAsia="zh-CN" w:bidi="ar-SA"/>
        </w:rPr>
        <w:t>项目实施单位</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从合理性和明确性两个方面</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确定目标</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以项目实施方案中确定的总体目标、年度目标、各年度资金预算指标分配及项目支出预算绩效目标为依据，设置了具体的绩效目标，将主要任务具体细分为数量指标、质量指标、时效指标、成本指标、社会效益指标、可持续影响指标。绩效目标可量化、可细化，清晰可衡量</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项目绩效目标设定合理、明确。</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（2）</w:t>
      </w:r>
      <w:r>
        <w:rPr>
          <w:rFonts w:hint="default" w:ascii="Times New Roman" w:hAnsi="Times New Roman" w:cs="Times New Roman"/>
          <w:b/>
          <w:bCs/>
          <w:spacing w:val="1"/>
          <w:sz w:val="30"/>
          <w:szCs w:val="30"/>
          <w:lang w:val="en-US" w:eastAsia="zh-CN"/>
        </w:rPr>
        <w:t>绩效</w:t>
      </w:r>
      <w:r>
        <w:rPr>
          <w:rFonts w:hint="eastAsia" w:ascii="Times New Roman" w:hAnsi="Times New Roman" w:cs="Times New Roman"/>
          <w:b/>
          <w:bCs/>
          <w:spacing w:val="1"/>
          <w:sz w:val="30"/>
          <w:szCs w:val="30"/>
          <w:lang w:val="en-US" w:eastAsia="zh-CN"/>
        </w:rPr>
        <w:t>指标</w:t>
      </w:r>
      <w:r>
        <w:rPr>
          <w:rFonts w:hint="default" w:ascii="Times New Roman" w:hAnsi="Times New Roman" w:cs="Times New Roman"/>
          <w:b/>
          <w:bCs/>
          <w:spacing w:val="1"/>
          <w:sz w:val="30"/>
          <w:szCs w:val="30"/>
          <w:lang w:val="en-US" w:eastAsia="zh-CN"/>
        </w:rPr>
        <w:t>明确性</w:t>
      </w:r>
    </w:p>
    <w:p>
      <w:pPr>
        <w:keepNext w:val="0"/>
        <w:keepLines w:val="0"/>
        <w:pageBreakBefore w:val="0"/>
        <w:widowControl w:val="0"/>
        <w:kinsoku/>
        <w:wordWrap/>
        <w:overflowPunct w:val="0"/>
        <w:topLinePunct/>
        <w:autoSpaceDE/>
        <w:autoSpaceDN/>
        <w:bidi w:val="0"/>
        <w:adjustRightInd/>
        <w:snapToGrid/>
        <w:spacing w:line="560" w:lineRule="exact"/>
        <w:ind w:leftChars="0" w:firstLine="592" w:firstLineChars="200"/>
        <w:textAlignment w:val="auto"/>
        <w:outlineLvl w:val="0"/>
        <w:rPr>
          <w:rFonts w:hint="default" w:ascii="Times New Roman" w:hAnsi="Times New Roman" w:eastAsia="方正仿宋_GBK" w:cs="Times New Roman"/>
          <w:sz w:val="30"/>
          <w:szCs w:val="30"/>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3.资金投入方面</w:t>
      </w:r>
    </w:p>
    <w:p>
      <w:pPr>
        <w:pStyle w:val="4"/>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37" w:name="_Toc25991"/>
      <w:bookmarkStart w:id="138" w:name="_Toc5795"/>
      <w:bookmarkStart w:id="139" w:name="_Toc5176"/>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37"/>
      <w:bookmarkEnd w:id="138"/>
      <w:bookmarkEnd w:id="139"/>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本项目实施内容与规模、经济技术指标和相关定额标准及规范要求，经对投资概算进行测算后，结合</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推进</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实施重点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工作计划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预算编制科学合理，前期开展了调查研究，积累了部分基础数据资料，投资预算编制得到了有效论证，投资预算内容与项目内容基本相匹配；经立项申请批复的建设项目，实施单位委托有资质的单位编制了可研报告、建设方案及投资概算，投资概算按照定额标准并结合项目年度目标编制，概算额度测算依据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审定后下发了资金使用计划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测算依据充分，预算内容与项目实施内容一致。本项满分4 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pageBreakBefore w:val="0"/>
        <w:kinsoku/>
        <w:wordWrap/>
        <w:overflowPunct w:val="0"/>
        <w:topLinePunct w:val="0"/>
        <w:autoSpaceDE/>
        <w:autoSpaceDN/>
        <w:bidi w:val="0"/>
        <w:adjustRightInd/>
        <w:snapToGrid/>
        <w:spacing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auto"/>
          <w:kern w:val="2"/>
          <w:sz w:val="30"/>
          <w:szCs w:val="30"/>
          <w:highlight w:val="none"/>
          <w:lang w:val="en-US" w:eastAsia="zh-CN" w:bidi="ar-SA"/>
        </w:rPr>
        <w:t>2022年4月29日，根据《自治区住房和城乡建设厅关于拨付2022年重点小城镇和高质量美丽宜居村庄建设项目奖补资金的请示</w:t>
      </w:r>
      <w:r>
        <w:rPr>
          <w:rFonts w:hint="eastAsia" w:ascii="Times New Roman" w:hAnsi="Times New Roman" w:eastAsia="方正仿宋_GB2312" w:cs="Times New Roman"/>
          <w:kern w:val="2"/>
          <w:sz w:val="30"/>
          <w:szCs w:val="30"/>
          <w:lang w:val="en-US" w:eastAsia="zh-CN" w:bidi="ar-SA"/>
        </w:rPr>
        <w:t>》（宁建发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17号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《自治区财政厅 自治区住建厅关于下达2022年重点小城镇、高质量美丽宜居村庄建设项目奖补资金预算的通知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139号</w:t>
      </w:r>
      <w:r>
        <w:rPr>
          <w:rFonts w:hint="eastAsia" w:ascii="Times New Roman" w:hAnsi="Times New Roman" w:eastAsia="方正仿宋_GB2312" w:cs="Times New Roman"/>
          <w:kern w:val="2"/>
          <w:sz w:val="30"/>
          <w:szCs w:val="30"/>
          <w:lang w:val="en-US" w:eastAsia="zh-CN" w:bidi="ar-SA"/>
        </w:rPr>
        <w:t>）和《关于做好2022年全面推进乡村振兴重点工作的实施意见》（宁党发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要求，将项目奖补资金落实到具体项目。并结合项目实际的要求，同心县财政局对重点项目资金进行管理和分配，并对项目实施和资金使用情况进行监督检查。</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2</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sz w:val="30"/>
          <w:szCs w:val="30"/>
          <w:lang w:val="en-US" w:eastAsia="zh-CN"/>
        </w:rPr>
      </w:pPr>
      <w:bookmarkStart w:id="140" w:name="_Toc22920"/>
      <w:r>
        <w:rPr>
          <w:rFonts w:hint="eastAsia" w:ascii="方正楷体_GBK" w:hAnsi="方正楷体_GBK" w:eastAsia="方正楷体_GBK" w:cs="方正楷体_GBK"/>
          <w:sz w:val="30"/>
          <w:szCs w:val="30"/>
          <w:lang w:val="en-US" w:eastAsia="zh-CN"/>
        </w:rPr>
        <w:t>（二）项目过程</w:t>
      </w:r>
      <w:bookmarkEnd w:id="140"/>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spacing w:before="0" w:line="560" w:lineRule="exact"/>
        <w:ind w:right="0"/>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经绩效评价组现场资料查阅</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，同心县下马关镇2022年重点小城镇建设项目奖补资金预算安排500.00万元，实际到位资金500.00万元，资金到位率为100</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项目绩效评价涉及预算资金为500.00万元，经绩效评价小组对各预算单位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，截至评价前，预算执行金额为：500.00万元 ，经计算预算执行率为：100%。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%得满分。否则</w:t>
      </w:r>
      <w:r>
        <w:rPr>
          <w:rFonts w:hint="default" w:ascii="仿宋" w:hAnsi="仿宋" w:eastAsia="仿宋" w:cs="仿宋"/>
          <w:spacing w:val="-7"/>
          <w:sz w:val="30"/>
          <w:szCs w:val="30"/>
          <w:lang w:val="en-US" w:eastAsia="zh-CN"/>
        </w:rPr>
        <w:t>本指标得分=资金执行率×分值。</w:t>
      </w:r>
      <w:r>
        <w:rPr>
          <w:rFonts w:ascii="仿宋" w:hAnsi="仿宋" w:eastAsia="仿宋" w:cs="仿宋"/>
          <w:spacing w:val="-7"/>
          <w:sz w:val="30"/>
          <w:szCs w:val="30"/>
        </w:rPr>
        <w:t xml:space="preserve">该指标满分 </w:t>
      </w:r>
      <w:r>
        <w:rPr>
          <w:rFonts w:hint="eastAsia" w:cs="仿宋"/>
          <w:spacing w:val="-7"/>
          <w:sz w:val="30"/>
          <w:szCs w:val="30"/>
          <w:lang w:val="en-US" w:eastAsia="zh-CN"/>
        </w:rPr>
        <w:t>4</w:t>
      </w:r>
      <w:r>
        <w:rPr>
          <w:rFonts w:ascii="仿宋" w:hAnsi="仿宋" w:eastAsia="仿宋" w:cs="仿宋"/>
          <w:spacing w:val="-7"/>
          <w:sz w:val="30"/>
          <w:szCs w:val="30"/>
        </w:rPr>
        <w:t xml:space="preserve"> 分，根据评分标准得</w:t>
      </w:r>
      <w:r>
        <w:rPr>
          <w:rFonts w:hint="eastAsia" w:ascii="Times New Roman" w:hAnsi="Times New Roman" w:cs="Times New Roman"/>
          <w:spacing w:val="-3"/>
          <w:sz w:val="30"/>
          <w:szCs w:val="30"/>
          <w:u w:val="none"/>
          <w:lang w:val="en-US" w:eastAsia="zh-CN" w:bidi="ar"/>
        </w:rPr>
        <w:t>4</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仿宋"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w:t>
      </w:r>
      <w:r>
        <w:rPr>
          <w:rFonts w:ascii="仿宋" w:hAnsi="仿宋" w:eastAsia="仿宋" w:cs="仿宋"/>
          <w:spacing w:val="-7"/>
          <w:sz w:val="30"/>
          <w:szCs w:val="30"/>
        </w:rPr>
        <w:t>根据评分标准得</w:t>
      </w:r>
      <w:r>
        <w:rPr>
          <w:rFonts w:hint="eastAsia" w:cs="仿宋"/>
          <w:spacing w:val="-7"/>
          <w:sz w:val="30"/>
          <w:szCs w:val="30"/>
          <w:lang w:val="en-US" w:eastAsia="zh-CN"/>
        </w:rPr>
        <w:t>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jc w:val="both"/>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项目实施单位</w:t>
      </w:r>
      <w:r>
        <w:rPr>
          <w:rFonts w:hint="eastAsia" w:ascii="Times New Roman" w:hAnsi="Times New Roman" w:eastAsia="方正仿宋_GBK" w:cs="Times New Roman"/>
          <w:spacing w:val="0"/>
          <w:kern w:val="0"/>
          <w:sz w:val="30"/>
          <w:szCs w:val="30"/>
          <w:lang w:val="en-US" w:eastAsia="zh-CN" w:bidi="zh-CN"/>
        </w:rPr>
        <w:t>结合自身工作及业务实际，建立健全了各项规章制度。先后组织制定、修订了包括《单位层级内部控制制度》《预算管理内部控制制度》《收支管理内部控制制度》《政府采购管理内部控制制度》《资产管理内部控制度》《建设项目管理内部控制制度》《合同管理内部控制制度》等含工作规范、业务管理、资产管理、后勤保障管理、党风廉政建设方面的内控管理制度，将内控制度贯穿到各项经济活动中，制度设计较为完善，并基本得到了执行。</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在人员岗位上实行不相容职务相分离原则，对“三重一大”事项通过支委会、党组会集决策、设置资金支付审批流程及权限，对各类资金支付实行会签制度，有效防御资金使用风险。均能实现各项工作有章可循、有文可依，形成了责任明确、管理规范、运行有序的管理工作体系</w:t>
      </w:r>
      <w:r>
        <w:rPr>
          <w:rFonts w:hint="default" w:ascii="Times New Roman" w:hAnsi="Times New Roman" w:eastAsia="方正仿宋_GBK" w:cs="Times New Roman"/>
          <w:spacing w:val="0"/>
          <w:kern w:val="0"/>
          <w:sz w:val="30"/>
          <w:szCs w:val="30"/>
          <w:lang w:val="en-US" w:eastAsia="zh-CN" w:bidi="zh-CN"/>
        </w:rPr>
        <w:t>。</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 xml:space="preserve">根据评分标准得 </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 xml:space="preserve"> 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 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widowControl/>
        <w:suppressLineNumbers w:val="0"/>
        <w:jc w:val="left"/>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 xml:space="preserve">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eastAsia" w:ascii="Times New Roman" w:hAnsi="Times New Roman" w:eastAsia="方正仿宋_GBK" w:cs="Times New Roman"/>
          <w:color w:val="0000FF"/>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rPr>
      </w:pPr>
      <w:bookmarkStart w:id="141" w:name="_Toc18498"/>
      <w:bookmarkStart w:id="142" w:name="_Toc27546"/>
      <w:bookmarkStart w:id="143" w:name="_Toc1945"/>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41"/>
      <w:bookmarkEnd w:id="142"/>
      <w:bookmarkEnd w:id="143"/>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本项指标共设2个二级指标、5个三级指标，权重分值34分，评价得分28分，得分率为82.35%。具体评价指标分析如下：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1.产出数量方面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2020年5月12日，同心县发展改革局印发</w:t>
      </w:r>
      <w:r>
        <w:rPr>
          <w:rFonts w:hint="eastAsia" w:ascii="Times New Roman" w:hAnsi="Times New Roman" w:eastAsia="方正仿宋_GB2312" w:cs="Times New Roman"/>
          <w:kern w:val="2"/>
          <w:sz w:val="30"/>
          <w:szCs w:val="30"/>
          <w:lang w:val="en-US" w:eastAsia="zh-CN" w:bidi="ar-SA"/>
        </w:rPr>
        <w:t>《关于同心县下马关镇重点小城镇建设 S202道路提升改造工程初步设计的批复》（同发改审发〔2022〕255号）</w:t>
      </w:r>
      <w:r>
        <w:rPr>
          <w:rFonts w:hint="eastAsia" w:ascii="Times New Roman" w:hAnsi="Times New Roman" w:eastAsia="方正仿宋_GBK" w:cs="Times New Roman"/>
          <w:spacing w:val="0"/>
          <w:kern w:val="0"/>
          <w:sz w:val="30"/>
          <w:szCs w:val="30"/>
          <w:lang w:val="en-US" w:eastAsia="zh-CN" w:bidi="zh-CN"/>
        </w:rPr>
        <w:t>，批复项目予以立项。</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1.均完成</w:t>
      </w:r>
      <w:r>
        <w:rPr>
          <w:rFonts w:hint="default" w:ascii="Times New Roman" w:hAnsi="Times New Roman" w:eastAsia="方正仿宋_GBK" w:cs="Times New Roman"/>
          <w:b/>
          <w:bCs/>
          <w:color w:val="auto"/>
          <w:kern w:val="2"/>
          <w:sz w:val="30"/>
          <w:szCs w:val="30"/>
          <w:highlight w:val="none"/>
          <w:lang w:val="en-US" w:eastAsia="zh-CN" w:bidi="ar-SA"/>
        </w:rPr>
        <w:t>土建改造工程</w:t>
      </w:r>
      <w:r>
        <w:rPr>
          <w:rFonts w:hint="eastAsia" w:ascii="Times New Roman" w:hAnsi="Times New Roman" w:eastAsia="方正仿宋_GBK" w:cs="Times New Roman"/>
          <w:b/>
          <w:bCs/>
          <w:color w:val="auto"/>
          <w:kern w:val="2"/>
          <w:sz w:val="30"/>
          <w:szCs w:val="30"/>
          <w:highlight w:val="none"/>
          <w:lang w:val="en-US" w:eastAsia="zh-CN" w:bidi="ar-SA"/>
        </w:rPr>
        <w:t>方面</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（1）土建拆除</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破除主干道硬化路面并清理外运7193m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拆除</w:t>
      </w:r>
      <w:r>
        <w:rPr>
          <w:rFonts w:hint="default" w:ascii="Times New Roman" w:hAnsi="Times New Roman" w:eastAsia="方正仿宋_GBK" w:cs="Times New Roman"/>
          <w:color w:val="auto"/>
          <w:kern w:val="2"/>
          <w:sz w:val="30"/>
          <w:szCs w:val="30"/>
          <w:highlight w:val="none"/>
          <w:lang w:val="en-US" w:eastAsia="zh-CN" w:bidi="ar-SA"/>
        </w:rPr>
        <w:t>沿街商业路面并清理外运 19774m</w:t>
      </w:r>
      <w:r>
        <w:rPr>
          <w:rFonts w:hint="default" w:ascii="Times New Roman" w:hAnsi="Times New Roman" w:eastAsia="方正仿宋_GBK" w:cs="Times New Roman"/>
          <w:color w:val="auto"/>
          <w:kern w:val="2"/>
          <w:sz w:val="30"/>
          <w:szCs w:val="30"/>
          <w:highlight w:val="none"/>
          <w:vertAlign w:val="superscript"/>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拆除原有混凝土道牙3570m。</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（2）新建及修复</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修复行车硬化路面混凝土面层7193 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铺装</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300x150x60mm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彩色混凝土砖 4180m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铺装</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200x100x60mm彩色混凝土砖 15594m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新建树池 (500x250x100mm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混凝土道牙 5950m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新建 (1000x270x150mm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花岗岩道牙 3570m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重建道路两侧雨水井 85 座</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修复下水检查井 77 座</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新建矮墙 573mm</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百货市场新建小游园 1处 </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含木质廊架 27m); 铺装休闲园路50m，廊架下铺装 30m2，小景石 2块，石汀步 24 块。</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2.均完成路灯改造工程方面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路灯拆除、转运及二次安装 46 套；路灯迁移后基础施工46 套；户外电力电缆终端头制作及安装 123 组；路灯基础开槽及布线 77 个；路灯喷漆 292 盏；安装路灯电缆 4966m；更换路灯内电缆 600m，路灯杆 5 盏，LED灯具 25 套；电缆沟挖填4700m；硬化路口线缆铺装 600m；电缆过路套管 600m；供电系统调试 1项。</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3.均完成绿化改造工程方面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新植落叶乔木 277 株，亚乔木 339 株，检柏球 6株；新植各类硬枝灌木及宿根花卉 2271.1 m；回填种植 1003. m；硬化破除并垃圾外运 908.5m</w:t>
      </w:r>
      <w:r>
        <w:rPr>
          <w:rFonts w:hint="eastAsia" w:ascii="Times New Roman" w:hAnsi="Times New Roman" w:eastAsia="方正仿宋_GBK" w:cs="Times New Roman"/>
          <w:color w:val="auto"/>
          <w:kern w:val="2"/>
          <w:sz w:val="30"/>
          <w:szCs w:val="30"/>
          <w:highlight w:val="none"/>
          <w:vertAlign w:val="superscript"/>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，清理下层垃圾土94.9m</w:t>
      </w:r>
      <w:r>
        <w:rPr>
          <w:rFonts w:hint="eastAsia" w:ascii="Times New Roman" w:hAnsi="Times New Roman" w:eastAsia="方正仿宋_GBK" w:cs="Times New Roman"/>
          <w:color w:val="auto"/>
          <w:kern w:val="2"/>
          <w:sz w:val="30"/>
          <w:szCs w:val="30"/>
          <w:highlight w:val="none"/>
          <w:vertAlign w:val="superscript"/>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，原有大国槐养护 85 株。苗木养护期限为两年，采用水车拉水灌溉。本次巷道内新建管道管径 d300-d400，采用高密度聚乙烯双壁波纹管，一号路、二号路新建排水管管径为 d600、d800，采用钢筋混凝土管 (II 级管 )。</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该指标本项满分 8分，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8</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5</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eastAsia="方正仿宋_GBK" w:cs="Times New Roman"/>
          <w:spacing w:val="0"/>
          <w:kern w:val="0"/>
          <w:sz w:val="30"/>
          <w:szCs w:val="30"/>
          <w:lang w:val="en-US" w:eastAsia="zh-CN" w:bidi="zh-CN"/>
        </w:rPr>
        <w:t>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4" w:name="_Toc25249"/>
      <w:bookmarkStart w:id="145" w:name="_Toc28407"/>
      <w:bookmarkStart w:id="146" w:name="_Toc4341"/>
      <w:bookmarkStart w:id="147" w:name="_Toc30548"/>
      <w:bookmarkStart w:id="148" w:name="_Toc13818"/>
      <w:r>
        <w:rPr>
          <w:rFonts w:hint="default" w:ascii="Times New Roman" w:hAnsi="Times New Roman" w:cs="Times New Roman"/>
          <w:lang w:val="en-US" w:eastAsia="zh-CN"/>
        </w:rPr>
        <w:t>（1）资金到位及时率</w:t>
      </w:r>
      <w:bookmarkEnd w:id="144"/>
      <w:bookmarkEnd w:id="145"/>
      <w:bookmarkEnd w:id="146"/>
      <w:bookmarkEnd w:id="147"/>
      <w:bookmarkEnd w:id="148"/>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同心县下马关镇2022年重点小城镇建设项目奖补资金</w:t>
      </w:r>
      <w:r>
        <w:rPr>
          <w:rFonts w:hint="default" w:ascii="Times New Roman" w:hAnsi="Times New Roman" w:eastAsia="方正仿宋_GBK" w:cs="Times New Roman"/>
          <w:spacing w:val="0"/>
          <w:kern w:val="0"/>
          <w:sz w:val="30"/>
          <w:szCs w:val="30"/>
          <w:lang w:val="en-US" w:eastAsia="zh-CN" w:bidi="zh-CN"/>
        </w:rPr>
        <w:t>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9" w:name="_Toc2959"/>
      <w:bookmarkStart w:id="150" w:name="_Toc17547"/>
      <w:bookmarkStart w:id="151" w:name="_Toc21408"/>
      <w:bookmarkStart w:id="152" w:name="_Toc10694"/>
      <w:bookmarkStart w:id="153" w:name="_Toc19549"/>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49"/>
      <w:bookmarkEnd w:id="150"/>
      <w:bookmarkEnd w:id="151"/>
      <w:bookmarkEnd w:id="152"/>
      <w:bookmarkEnd w:id="153"/>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经现场资料审核，项目</w:t>
      </w:r>
      <w:r>
        <w:rPr>
          <w:rFonts w:hint="eastAsia" w:ascii="Times New Roman" w:hAnsi="Times New Roman" w:eastAsia="方正仿宋_GBK" w:cs="Times New Roman"/>
          <w:spacing w:val="0"/>
          <w:kern w:val="0"/>
          <w:sz w:val="30"/>
          <w:szCs w:val="30"/>
          <w:lang w:val="en-US" w:eastAsia="zh-CN" w:bidi="zh-CN"/>
        </w:rPr>
        <w:t>严格按照</w:t>
      </w:r>
      <w:r>
        <w:rPr>
          <w:rFonts w:hint="default" w:ascii="Times New Roman" w:hAnsi="Times New Roman" w:eastAsia="方正仿宋_GBK" w:cs="Times New Roman"/>
          <w:spacing w:val="0"/>
          <w:kern w:val="0"/>
          <w:sz w:val="30"/>
          <w:szCs w:val="30"/>
          <w:lang w:val="en-US" w:eastAsia="zh-CN" w:bidi="zh-CN"/>
        </w:rPr>
        <w:t>合同约定工期</w:t>
      </w:r>
      <w:r>
        <w:rPr>
          <w:rFonts w:hint="eastAsia" w:ascii="Times New Roman" w:hAnsi="Times New Roman" w:eastAsia="方正仿宋_GBK" w:cs="Times New Roman"/>
          <w:spacing w:val="0"/>
          <w:kern w:val="0"/>
          <w:sz w:val="30"/>
          <w:szCs w:val="30"/>
          <w:lang w:val="en-US" w:eastAsia="zh-CN" w:bidi="zh-CN"/>
        </w:rPr>
        <w:t>完成合同约定全部内容，完成率达100%</w:t>
      </w:r>
      <w:r>
        <w:rPr>
          <w:rFonts w:hint="default" w:ascii="Times New Roman" w:hAnsi="Times New Roman" w:eastAsia="方正仿宋_GBK" w:cs="Times New Roman"/>
          <w:spacing w:val="0"/>
          <w:kern w:val="0"/>
          <w:sz w:val="30"/>
          <w:szCs w:val="30"/>
          <w:lang w:val="en-US" w:eastAsia="zh-CN" w:bidi="zh-CN"/>
        </w:rPr>
        <w:t>。该指标本项满分3分，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default" w:ascii="Times New Roman" w:hAnsi="Times New Roman" w:eastAsia="方正仿宋_GBK" w:cs="Times New Roman"/>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54" w:name="_Toc4766"/>
      <w:bookmarkStart w:id="155" w:name="_Toc13913"/>
      <w:bookmarkStart w:id="156" w:name="_Toc30038"/>
      <w:bookmarkStart w:id="157" w:name="_Toc4328"/>
      <w:bookmarkStart w:id="158" w:name="_Toc32575"/>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54"/>
      <w:bookmarkEnd w:id="155"/>
      <w:bookmarkEnd w:id="156"/>
      <w:bookmarkEnd w:id="157"/>
      <w:bookmarkEnd w:id="158"/>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w:t>
      </w:r>
      <w:r>
        <w:rPr>
          <w:rFonts w:hint="eastAsia" w:ascii="Times New Roman" w:hAnsi="Times New Roman" w:eastAsia="方正仿宋_GBK" w:cs="Times New Roman"/>
          <w:spacing w:val="0"/>
          <w:kern w:val="0"/>
          <w:sz w:val="30"/>
          <w:szCs w:val="30"/>
          <w:lang w:val="en-US" w:eastAsia="zh-CN" w:bidi="zh-CN"/>
        </w:rPr>
        <w:t>未</w:t>
      </w:r>
      <w:r>
        <w:rPr>
          <w:rFonts w:hint="default" w:ascii="Times New Roman" w:hAnsi="Times New Roman" w:eastAsia="方正仿宋_GBK" w:cs="Times New Roman"/>
          <w:spacing w:val="0"/>
          <w:kern w:val="0"/>
          <w:sz w:val="30"/>
          <w:szCs w:val="30"/>
          <w:lang w:val="en-US" w:eastAsia="zh-CN" w:bidi="zh-CN"/>
        </w:rPr>
        <w:t>按期完成结算审核并报审，结算审核</w:t>
      </w:r>
      <w:r>
        <w:rPr>
          <w:rFonts w:hint="eastAsia" w:ascii="Times New Roman" w:hAnsi="Times New Roman" w:eastAsia="方正仿宋_GBK" w:cs="Times New Roman"/>
          <w:spacing w:val="0"/>
          <w:kern w:val="0"/>
          <w:sz w:val="30"/>
          <w:szCs w:val="30"/>
          <w:lang w:val="en-US" w:eastAsia="zh-CN" w:bidi="zh-CN"/>
        </w:rPr>
        <w:t>较为滞后</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59" w:name="_Toc12113"/>
      <w:bookmarkStart w:id="160" w:name="_Toc15238"/>
      <w:bookmarkStart w:id="161" w:name="_Toc26427"/>
      <w:bookmarkStart w:id="162" w:name="_Toc8050"/>
      <w:bookmarkStart w:id="163" w:name="_Toc9592"/>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59"/>
      <w:bookmarkEnd w:id="160"/>
      <w:bookmarkEnd w:id="161"/>
      <w:bookmarkEnd w:id="162"/>
      <w:bookmarkEnd w:id="163"/>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4.产出成本方面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765.74万元，经招标确定为646.26万元。本项目建设投资成本总额控制在初步设计批复总额以内。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64" w:name="_Toc17947"/>
      <w:bookmarkStart w:id="165" w:name="_Toc26836"/>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64"/>
      <w:bookmarkEnd w:id="165"/>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本项指标共设3个二级指标、4个三级指标，权重分值26分，评价得分24.5分，得分率为 94.23%。具体评价指标分析如下：</w:t>
      </w:r>
    </w:p>
    <w:p>
      <w:pPr>
        <w:keepNext w:val="0"/>
        <w:keepLines w:val="0"/>
        <w:pageBreakBefore w:val="0"/>
        <w:widowControl/>
        <w:numPr>
          <w:ilvl w:val="0"/>
          <w:numId w:val="3"/>
        </w:numPr>
        <w:suppressLineNumbers w:val="0"/>
        <w:kinsoku/>
        <w:wordWrap/>
        <w:overflowPunct w:val="0"/>
        <w:topLinePunct w:val="0"/>
        <w:autoSpaceDE/>
        <w:autoSpaceDN/>
        <w:bidi w:val="0"/>
        <w:adjustRightInd/>
        <w:snapToGrid/>
        <w:ind w:left="0" w:leftChars="0" w:firstLine="632" w:firstLineChars="200"/>
        <w:jc w:val="both"/>
        <w:textAlignment w:val="auto"/>
        <w:rPr>
          <w:rFonts w:hint="eastAsia" w:ascii="Times New Roman" w:hAnsi="Times New Roman" w:eastAsia="楷体" w:cs="Times New Roman"/>
          <w:b/>
          <w:kern w:val="2"/>
          <w:sz w:val="32"/>
          <w:szCs w:val="32"/>
          <w:lang w:val="en-US" w:eastAsia="zh-CN" w:bidi="ar-SA"/>
        </w:rPr>
      </w:pPr>
      <w:r>
        <w:rPr>
          <w:rFonts w:hint="eastAsia" w:ascii="Times New Roman" w:hAnsi="Times New Roman" w:eastAsia="楷体" w:cs="Times New Roman"/>
          <w:b/>
          <w:kern w:val="2"/>
          <w:sz w:val="32"/>
          <w:szCs w:val="32"/>
          <w:lang w:val="en-US" w:eastAsia="zh-CN" w:bidi="ar-SA"/>
        </w:rPr>
        <w:t>逐步改善生活环境</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spacing w:val="1"/>
          <w:sz w:val="30"/>
          <w:szCs w:val="30"/>
          <w:lang w:val="en-US" w:eastAsia="zh-CN"/>
        </w:rPr>
      </w:pPr>
      <w:bookmarkStart w:id="166" w:name="_Toc11426"/>
      <w:bookmarkStart w:id="167" w:name="_Toc26089"/>
      <w:r>
        <w:rPr>
          <w:rFonts w:hint="default" w:ascii="Times New Roman" w:hAnsi="Times New Roman" w:eastAsia="方正仿宋_GBK" w:cs="Times New Roman"/>
          <w:spacing w:val="1"/>
          <w:sz w:val="30"/>
          <w:szCs w:val="30"/>
          <w:lang w:val="en-US" w:eastAsia="zh-CN"/>
        </w:rPr>
        <w:t>该项目的实施，改善居住环境。村容村貌达到新农村的标准，生态环境质量明显提高。可有力促进农村居住区生活环境质量的提高和促进农业可持续发展模式的形成，对于解决“三农”问题，稳定社会，具有重要意义。</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切</w:t>
      </w:r>
      <w:r>
        <w:rPr>
          <w:rFonts w:hint="default" w:ascii="Times New Roman" w:hAnsi="Times New Roman" w:eastAsia="方正仿宋_GBK" w:cs="Times New Roman"/>
          <w:spacing w:val="1"/>
          <w:sz w:val="30"/>
          <w:szCs w:val="30"/>
          <w:lang w:val="en-US" w:eastAsia="zh-CN"/>
        </w:rPr>
        <w:t>实增强推进小城镇建设高质量发展的责任感和使命感，凝心聚力、攻坚克难，建设现代化宜居宜业美丽小城镇，不断增强人民群众的获得感、幸福感、安全感。</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8" w:firstLineChars="200"/>
        <w:jc w:val="both"/>
        <w:textAlignment w:val="auto"/>
        <w:outlineLvl w:val="9"/>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2.可持续影响性</w:t>
      </w:r>
      <w:bookmarkEnd w:id="166"/>
      <w:bookmarkEnd w:id="167"/>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楷体" w:cs="Times New Roman"/>
          <w:b/>
          <w:kern w:val="2"/>
          <w:sz w:val="30"/>
          <w:szCs w:val="30"/>
          <w:lang w:val="en-US" w:eastAsia="zh-CN" w:bidi="ar-SA"/>
        </w:rPr>
        <w:t>（1）建立健全长期维护机制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 xml:space="preserve">后续管护，美丽宜居村庄建设项目完工并投入使用后，按照“谁所有、谁受益、谁管理”的原则，明确管护主体和具体实施范围及责任。街办、景区管理局负责指导、监督，创建村制定长效管护机制，引导村民参与管护、主动管护，确保项目建设发挥更大的效用。 </w:t>
      </w:r>
    </w:p>
    <w:p>
      <w:pPr>
        <w:keepNext w:val="0"/>
        <w:keepLines w:val="0"/>
        <w:pageBreakBefore w:val="0"/>
        <w:widowControl/>
        <w:suppressLineNumbers w:val="0"/>
        <w:kinsoku/>
        <w:wordWrap/>
        <w:overflowPunct w:val="0"/>
        <w:topLinePunct w:val="0"/>
        <w:autoSpaceDE/>
        <w:autoSpaceDN/>
        <w:bidi w:val="0"/>
        <w:adjustRightInd/>
        <w:snapToGrid/>
        <w:ind w:left="0" w:leftChars="0" w:firstLine="0" w:firstLineChars="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color w:val="auto"/>
          <w:kern w:val="2"/>
          <w:sz w:val="30"/>
          <w:szCs w:val="30"/>
          <w:highlight w:val="none"/>
          <w:lang w:val="en-US" w:eastAsia="zh-CN" w:bidi="ar-SA"/>
        </w:rPr>
        <w:t>经资料审阅，后期维护机制待加强和不断完善。</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1.5</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楷体" w:cs="Times New Roman"/>
          <w:b/>
          <w:kern w:val="2"/>
          <w:sz w:val="30"/>
          <w:szCs w:val="30"/>
          <w:lang w:val="en-US" w:eastAsia="zh-CN" w:bidi="ar-SA"/>
        </w:rPr>
      </w:pPr>
      <w:r>
        <w:rPr>
          <w:rFonts w:hint="eastAsia" w:ascii="Times New Roman" w:hAnsi="Times New Roman" w:eastAsia="楷体" w:cs="Times New Roman"/>
          <w:b/>
          <w:kern w:val="2"/>
          <w:sz w:val="30"/>
          <w:szCs w:val="30"/>
          <w:lang w:val="en-US" w:eastAsia="zh-CN" w:bidi="ar-SA"/>
        </w:rPr>
        <w:t>（2）档案资料完备性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项目经验收投入使用后，项目的档案管理人员同工程项目管理人员，按照相关规定对建筑工程中的所有文件进行全面审核检查，竣工材料真实、较完善，全面符合档案归档的要求。并且应该积极严格地贯彻相关规定，将竣工档案验收作为整个工程验收的关键环节，保证工程建筑档案资料的完整准确。</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632" w:firstLineChars="200"/>
        <w:textAlignment w:val="auto"/>
        <w:rPr>
          <w:rFonts w:hint="eastAsia" w:ascii="Times New Roman" w:hAnsi="Times New Roman" w:eastAsia="楷体" w:cs="Times New Roman"/>
          <w:b/>
          <w:kern w:val="2"/>
          <w:sz w:val="32"/>
          <w:szCs w:val="32"/>
          <w:lang w:val="en-US" w:eastAsia="zh-CN" w:bidi="ar-SA"/>
        </w:rPr>
      </w:pPr>
      <w:bookmarkStart w:id="168" w:name="_Toc9957"/>
      <w:bookmarkStart w:id="169" w:name="_Toc937"/>
      <w:bookmarkStart w:id="170" w:name="_Toc3765"/>
      <w:bookmarkStart w:id="171" w:name="_Toc3473"/>
      <w:bookmarkStart w:id="172" w:name="_Toc16497"/>
      <w:r>
        <w:rPr>
          <w:rFonts w:hint="eastAsia" w:ascii="Times New Roman" w:hAnsi="Times New Roman" w:eastAsia="楷体" w:cs="Times New Roman"/>
          <w:b/>
          <w:kern w:val="2"/>
          <w:sz w:val="32"/>
          <w:szCs w:val="32"/>
          <w:lang w:val="en-US" w:eastAsia="zh-CN" w:bidi="ar-SA"/>
        </w:rPr>
        <w:t>（</w:t>
      </w:r>
      <w:r>
        <w:rPr>
          <w:rFonts w:hint="eastAsia" w:ascii="Times New Roman" w:hAnsi="Times New Roman" w:cs="Times New Roman"/>
          <w:b/>
          <w:kern w:val="2"/>
          <w:sz w:val="32"/>
          <w:szCs w:val="32"/>
          <w:lang w:val="en-US" w:eastAsia="zh-CN" w:bidi="ar-SA"/>
        </w:rPr>
        <w:t>3</w:t>
      </w:r>
      <w:r>
        <w:rPr>
          <w:rFonts w:hint="eastAsia" w:ascii="Times New Roman" w:hAnsi="Times New Roman" w:eastAsia="楷体" w:cs="Times New Roman"/>
          <w:b/>
          <w:kern w:val="2"/>
          <w:sz w:val="32"/>
          <w:szCs w:val="32"/>
          <w:lang w:val="en-US" w:eastAsia="zh-CN" w:bidi="ar-SA"/>
        </w:rPr>
        <w:t>）</w:t>
      </w:r>
      <w:r>
        <w:rPr>
          <w:rFonts w:hint="eastAsia" w:ascii="Times New Roman" w:hAnsi="Times New Roman" w:cs="Times New Roman"/>
          <w:b/>
          <w:kern w:val="2"/>
          <w:sz w:val="32"/>
          <w:szCs w:val="32"/>
          <w:lang w:val="en-US" w:eastAsia="zh-CN" w:bidi="ar-SA"/>
        </w:rPr>
        <w:t>满意度</w:t>
      </w:r>
      <w:bookmarkEnd w:id="168"/>
      <w:bookmarkEnd w:id="169"/>
      <w:bookmarkEnd w:id="170"/>
      <w:bookmarkEnd w:id="171"/>
      <w:bookmarkEnd w:id="17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我们通过发放调查问卷的方式，对项目所在地受益群体进行了满意度调查，调查问卷内容包括项目建设情况、项目建设背景、社会效益等方面。经统计，项目整体的</w:t>
      </w:r>
      <w:r>
        <w:rPr>
          <w:rFonts w:hint="default" w:ascii="Times New Roman" w:hAnsi="Times New Roman" w:eastAsia="方正仿宋_GBK" w:cs="Times New Roman"/>
          <w:spacing w:val="0"/>
          <w:kern w:val="0"/>
          <w:sz w:val="30"/>
          <w:szCs w:val="30"/>
          <w:lang w:val="en-US" w:eastAsia="zh-CN" w:bidi="zh-CN"/>
        </w:rPr>
        <w:t>满意度≥90</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。该指标本项满分10分，根据评分标准得10分。</w:t>
      </w:r>
    </w:p>
    <w:p>
      <w:pPr>
        <w:pStyle w:val="3"/>
        <w:ind w:firstLine="592" w:firstLineChars="200"/>
        <w:rPr>
          <w:rFonts w:hint="eastAsia" w:asciiTheme="majorEastAsia" w:hAnsiTheme="majorEastAsia" w:eastAsiaTheme="majorEastAsia" w:cstheme="majorEastAsia"/>
          <w:b/>
          <w:bCs/>
          <w:sz w:val="30"/>
          <w:szCs w:val="30"/>
        </w:rPr>
      </w:pPr>
      <w:bookmarkStart w:id="173" w:name="_Toc31782"/>
      <w:bookmarkStart w:id="174" w:name="_Toc24634"/>
      <w:bookmarkStart w:id="175" w:name="_Toc1561"/>
      <w:r>
        <w:rPr>
          <w:rFonts w:hint="eastAsia" w:asciiTheme="majorEastAsia" w:hAnsiTheme="majorEastAsia" w:eastAsiaTheme="majorEastAsia" w:cstheme="majorEastAsia"/>
          <w:b/>
          <w:bCs/>
          <w:sz w:val="30"/>
          <w:szCs w:val="30"/>
          <w:lang w:val="en-US" w:eastAsia="zh-CN"/>
        </w:rPr>
        <w:t>七</w:t>
      </w:r>
      <w:r>
        <w:rPr>
          <w:rFonts w:hint="eastAsia" w:asciiTheme="majorEastAsia" w:hAnsiTheme="majorEastAsia" w:eastAsiaTheme="majorEastAsia" w:cstheme="majorEastAsia"/>
          <w:b/>
          <w:bCs/>
          <w:sz w:val="30"/>
          <w:szCs w:val="30"/>
        </w:rPr>
        <w:t>、主要经验做法、存在问题及建议</w:t>
      </w:r>
      <w:bookmarkEnd w:id="173"/>
      <w:bookmarkEnd w:id="174"/>
      <w:bookmarkEnd w:id="175"/>
    </w:p>
    <w:p>
      <w:pPr>
        <w:pStyle w:val="4"/>
        <w:ind w:firstLine="562"/>
        <w:rPr>
          <w:rFonts w:ascii="方正楷体_GBK" w:hAnsi="方正楷体_GBK" w:eastAsia="方正楷体_GBK" w:cs="方正楷体_GBK"/>
          <w:b/>
          <w:bCs w:val="0"/>
          <w:sz w:val="32"/>
          <w:szCs w:val="32"/>
        </w:rPr>
      </w:pPr>
      <w:bookmarkStart w:id="176" w:name="_Toc18320"/>
      <w:bookmarkStart w:id="177" w:name="_Toc4904"/>
      <w:bookmarkStart w:id="178" w:name="_Toc19800"/>
      <w:r>
        <w:rPr>
          <w:rFonts w:hint="eastAsia" w:ascii="方正楷体_GBK" w:hAnsi="方正楷体_GBK" w:eastAsia="方正楷体_GBK" w:cs="方正楷体_GBK"/>
          <w:b/>
          <w:bCs w:val="0"/>
          <w:sz w:val="32"/>
          <w:szCs w:val="32"/>
        </w:rPr>
        <w:t>（一）经验做法</w:t>
      </w:r>
      <w:bookmarkEnd w:id="176"/>
      <w:bookmarkEnd w:id="177"/>
      <w:bookmarkEnd w:id="178"/>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同心县下马关镇2022年重点小城镇建设项目奖补资金</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项目建设单位严格执行国家基本建设程序，建立了“政府监督、项目法人负责、社会监督、企业保证”的质量管理体系，推行“四制”管理。</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工程施工中各参建单位按照工程建设管理要求进行现场管理，在施工现场成立了机构，分别负责技术、施工管理、施工协调、质量监督、财务管理，单位人员到位职责明确、措施到位、质量控制体系健全；施工单位严把材料质量关，坚决杜绝不合格材料进场，严格执行“三检制”要求，保证了各项工作按施工规范进行施工，工程质量得到了有效保证，</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监理单位实施了现场监理并对重点部位、关键工序实行了旁站监理，严把审核关，工程质量得到有效控制，保证了各项工作的相衔接。</w:t>
      </w:r>
    </w:p>
    <w:p>
      <w:pPr>
        <w:pStyle w:val="4"/>
        <w:pageBreakBefore w:val="0"/>
        <w:kinsoku/>
        <w:wordWrap/>
        <w:overflowPunct w:val="0"/>
        <w:topLinePunct w:val="0"/>
        <w:autoSpaceDE/>
        <w:autoSpaceDN/>
        <w:bidi w:val="0"/>
        <w:adjustRightInd/>
        <w:snapToGrid/>
        <w:spacing w:beforeLines="0" w:afterLines="0"/>
        <w:ind w:firstLine="562"/>
        <w:textAlignment w:val="auto"/>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79" w:name="_Toc13811"/>
      <w:bookmarkStart w:id="180" w:name="_Toc19917"/>
      <w:bookmarkStart w:id="181" w:name="_Toc14234"/>
      <w:r>
        <w:rPr>
          <w:rFonts w:hint="eastAsia" w:ascii="方正楷体_GBK" w:hAnsi="方正楷体_GBK" w:eastAsia="方正楷体_GBK" w:cs="方正楷体_GBK"/>
          <w:b/>
          <w:bCs w:val="0"/>
          <w:sz w:val="32"/>
          <w:szCs w:val="32"/>
        </w:rPr>
        <w:t>（二）存在的问题</w:t>
      </w:r>
      <w:bookmarkEnd w:id="179"/>
      <w:bookmarkEnd w:id="180"/>
      <w:bookmarkEnd w:id="181"/>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1.工程结算、财务决算相对滞后。</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在项目完工后，工程结算、竣工决算（以下简称“双算”）不及时办理，将制约后续的资产移交和产权登记工作，不利于政府资产规范管理，而项目资金沉淀在基本建设账户上也不符合国家“盘活存量、用好增量”的财政政策。</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w:t>
      </w:r>
      <w:bookmarkStart w:id="182" w:name="_Toc27748"/>
      <w:r>
        <w:rPr>
          <w:rFonts w:hint="eastAsia" w:ascii="Times New Roman" w:hAnsi="Times New Roman" w:eastAsia="方正仿宋_GBK" w:cs="Times New Roman"/>
          <w:b/>
          <w:bCs/>
          <w:kern w:val="2"/>
          <w:sz w:val="30"/>
          <w:szCs w:val="30"/>
          <w:lang w:val="en-US" w:eastAsia="zh-CN" w:bidi="zh-CN"/>
        </w:rPr>
        <w:t>后续管理缺乏养护方案。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color w:val="auto"/>
          <w:kern w:val="2"/>
          <w:sz w:val="30"/>
          <w:szCs w:val="30"/>
          <w:highlight w:val="none"/>
          <w:lang w:val="en-US" w:eastAsia="zh-CN" w:bidi="ar-SA"/>
        </w:rPr>
        <w:t>该项目竣工验收交付后未</w:t>
      </w:r>
      <w:r>
        <w:rPr>
          <w:rFonts w:hint="eastAsia" w:ascii="Times New Roman" w:hAnsi="Times New Roman" w:eastAsia="方正仿宋_GBK" w:cs="Times New Roman"/>
          <w:b w:val="0"/>
          <w:kern w:val="2"/>
          <w:sz w:val="30"/>
          <w:szCs w:val="30"/>
          <w:lang w:val="en-US" w:eastAsia="zh-CN" w:bidi="zh-CN"/>
        </w:rPr>
        <w:t>充分尊重群众意愿，注重符合当地实际，因地制宜，因类施策，未能建立长效管护方式进行有效管护治理。</w:t>
      </w:r>
    </w:p>
    <w:p>
      <w:pPr>
        <w:pStyle w:val="4"/>
        <w:pageBreakBefore w:val="0"/>
        <w:kinsoku/>
        <w:wordWrap/>
        <w:overflowPunct w:val="0"/>
        <w:topLinePunct w:val="0"/>
        <w:autoSpaceDE/>
        <w:autoSpaceDN/>
        <w:bidi w:val="0"/>
        <w:adjustRightInd/>
        <w:snapToGrid/>
        <w:spacing w:beforeLines="0" w:afterLines="0"/>
        <w:ind w:firstLine="562"/>
        <w:textAlignment w:val="auto"/>
        <w:rPr>
          <w:rFonts w:hint="eastAsia" w:ascii="方正楷体_GBK" w:hAnsi="方正楷体_GBK" w:eastAsia="方正楷体_GBK" w:cs="方正楷体_GBK"/>
          <w:b/>
          <w:bCs w:val="0"/>
          <w:sz w:val="32"/>
          <w:szCs w:val="32"/>
          <w:lang w:val="en-US" w:eastAsia="zh-CN"/>
        </w:rPr>
      </w:pPr>
      <w:bookmarkStart w:id="183" w:name="_Toc14284"/>
      <w:r>
        <w:rPr>
          <w:rFonts w:hint="eastAsia" w:ascii="方正楷体_GBK" w:hAnsi="方正楷体_GBK" w:eastAsia="方正楷体_GBK" w:cs="方正楷体_GBK"/>
          <w:b/>
          <w:bCs w:val="0"/>
          <w:sz w:val="32"/>
          <w:szCs w:val="32"/>
          <w:lang w:val="en-US" w:eastAsia="zh-CN"/>
        </w:rPr>
        <w:t>（三）</w:t>
      </w:r>
      <w:bookmarkEnd w:id="182"/>
      <w:r>
        <w:rPr>
          <w:rFonts w:hint="eastAsia" w:ascii="方正楷体_GBK" w:hAnsi="方正楷体_GBK" w:eastAsia="方正楷体_GBK" w:cs="方正楷体_GBK"/>
          <w:b/>
          <w:bCs w:val="0"/>
          <w:sz w:val="32"/>
          <w:szCs w:val="32"/>
          <w:lang w:val="en-US" w:eastAsia="zh-CN"/>
        </w:rPr>
        <w:t>相关的建议</w:t>
      </w:r>
      <w:bookmarkEnd w:id="183"/>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1.加快结算审计，尽早发挥效益。</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首先“双算”管理体制、机制和制度应尽快完善。</w:t>
      </w:r>
      <w:r>
        <w:rPr>
          <w:rFonts w:hint="eastAsia" w:ascii="方正仿宋_GBK" w:hAnsi="方正仿宋_GBK" w:eastAsia="方正仿宋_GBK" w:cs="方正仿宋_GBK"/>
          <w:color w:val="000000"/>
          <w:kern w:val="0"/>
          <w:sz w:val="30"/>
          <w:szCs w:val="30"/>
          <w:lang w:val="en-US" w:eastAsia="zh-CN" w:bidi="ar"/>
        </w:rPr>
        <w:t>应修订完善“双算”管理相关法规，改变目前法规规定不清晰或操作性不强的缺陷，理清建设项目各参建单位办理“双算”的义务和法律责任。</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其次建设单位应严格履行主体责任。</w:t>
      </w:r>
      <w:r>
        <w:rPr>
          <w:rFonts w:hint="eastAsia" w:ascii="方正仿宋_GBK" w:hAnsi="方正仿宋_GBK" w:eastAsia="方正仿宋_GBK" w:cs="方正仿宋_GBK"/>
          <w:color w:val="000000"/>
          <w:kern w:val="0"/>
          <w:sz w:val="30"/>
          <w:szCs w:val="30"/>
          <w:lang w:val="en-US" w:eastAsia="zh-CN" w:bidi="ar"/>
        </w:rPr>
        <w:t>建立健全建设项目全过程管理和内部审计制度，有效加强对建设项目各参建单位的合同管理和履约评价。如在招标文件、合同示范文本及合同专用条款中，应明确施工单位报送工程结算文件的时限、提前或逾期报送的奖罚条款等。</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最后政府各职能部门应形成合力加大监管力度。</w:t>
      </w:r>
      <w:r>
        <w:rPr>
          <w:rFonts w:hint="eastAsia" w:ascii="方正仿宋_GBK" w:hAnsi="方正仿宋_GBK" w:eastAsia="方正仿宋_GBK" w:cs="方正仿宋_GBK"/>
          <w:color w:val="000000"/>
          <w:kern w:val="0"/>
          <w:sz w:val="30"/>
          <w:szCs w:val="30"/>
          <w:lang w:val="en-US" w:eastAsia="zh-CN" w:bidi="ar"/>
        </w:rPr>
        <w:t>一是政府绩效考核部门应将建设单位的“双算”工作管理纳入绩效考评体系，对“双算”办理滞后或审核把关不严的，给予不同扣分甚至通报批评。</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2、建立健全长期维护机制。</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Times New Roman" w:hAnsi="Times New Roman" w:eastAsia="方正仿宋_GBK" w:cs="Times New Roman"/>
          <w:color w:val="auto"/>
          <w:kern w:val="2"/>
          <w:sz w:val="30"/>
          <w:szCs w:val="30"/>
          <w:highlight w:val="none"/>
          <w:lang w:val="en-US" w:eastAsia="zh-CN" w:bidi="ar-SA"/>
        </w:rPr>
        <w:t>按照“谁所有、谁受益、谁管理”的原则，明确管护主体和具体实施范围及责任。街办、景区管理局负责指导、监督，创建村制定长效管护机制，引导村民参与管护、主动管护，确保项目建设发挥更大的效用</w:t>
      </w:r>
      <w:r>
        <w:rPr>
          <w:rFonts w:hint="eastAsia" w:ascii="方正仿宋_GBK" w:hAnsi="方正仿宋_GBK" w:eastAsia="方正仿宋_GBK" w:cs="方正仿宋_GBK"/>
          <w:color w:val="000000"/>
          <w:kern w:val="0"/>
          <w:sz w:val="30"/>
          <w:szCs w:val="30"/>
          <w:lang w:val="en-US" w:eastAsia="zh-CN" w:bidi="ar"/>
        </w:rPr>
        <w:t>。</w:t>
      </w:r>
    </w:p>
    <w:p>
      <w:pPr>
        <w:keepNext w:val="0"/>
        <w:keepLines w:val="0"/>
        <w:pageBreakBefore w:val="0"/>
        <w:widowControl/>
        <w:numPr>
          <w:ilvl w:val="0"/>
          <w:numId w:val="4"/>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heme="majorEastAsia" w:hAnsiTheme="majorEastAsia" w:eastAsiaTheme="majorEastAsia" w:cstheme="majorEastAsia"/>
          <w:b/>
          <w:bCs/>
          <w:kern w:val="44"/>
          <w:sz w:val="30"/>
          <w:szCs w:val="30"/>
          <w:lang w:val="en-US" w:eastAsia="zh-CN" w:bidi="ar-SA"/>
        </w:rPr>
      </w:pPr>
      <w:r>
        <w:rPr>
          <w:rFonts w:hint="eastAsia" w:asciiTheme="majorEastAsia" w:hAnsiTheme="majorEastAsia" w:eastAsiaTheme="majorEastAsia" w:cstheme="majorEastAsia"/>
          <w:b/>
          <w:bCs/>
          <w:kern w:val="44"/>
          <w:sz w:val="30"/>
          <w:szCs w:val="30"/>
          <w:lang w:val="en-US" w:eastAsia="zh-CN" w:bidi="ar-SA"/>
        </w:rPr>
        <w:t>其他需要说明的问题</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w:t>
      </w:r>
      <w:r>
        <w:rPr>
          <w:rFonts w:hint="default" w:ascii="Times New Roman" w:hAnsi="Times New Roman" w:eastAsia="方正仿宋_GBK" w:cs="Times New Roman"/>
          <w:color w:val="000000"/>
          <w:kern w:val="0"/>
          <w:sz w:val="30"/>
          <w:szCs w:val="30"/>
          <w:lang w:val="en-US" w:eastAsia="zh-CN" w:bidi="ar"/>
        </w:rPr>
        <w:t>价工作组现场核实的事项仅限于</w:t>
      </w:r>
      <w:r>
        <w:rPr>
          <w:rFonts w:hint="eastAsia" w:ascii="Times New Roman" w:hAnsi="Times New Roman" w:eastAsia="方正仿宋_GBK" w:cs="Times New Roman"/>
          <w:color w:val="000000"/>
          <w:kern w:val="0"/>
          <w:sz w:val="30"/>
          <w:szCs w:val="30"/>
          <w:lang w:val="en-US" w:eastAsia="zh-CN" w:bidi="ar"/>
        </w:rPr>
        <w:t>同心县下马关镇2022年重点小城镇建设项目奖补资金</w:t>
      </w:r>
      <w:r>
        <w:rPr>
          <w:rFonts w:hint="default" w:ascii="Times New Roman" w:hAnsi="Times New Roman" w:eastAsia="方正仿宋_GBK" w:cs="Times New Roman"/>
          <w:color w:val="000000"/>
          <w:kern w:val="0"/>
          <w:sz w:val="30"/>
          <w:szCs w:val="30"/>
          <w:lang w:val="en-US" w:eastAsia="zh-CN" w:bidi="ar"/>
        </w:rPr>
        <w:t>项目补助资金有关的方面。同时评价报告及结论也受评价人员对项目的了解程度、专业知识和评价能力的限制，因此，本绩效评价报告仅对</w:t>
      </w:r>
      <w:r>
        <w:rPr>
          <w:rFonts w:hint="eastAsia" w:ascii="Times New Roman" w:hAnsi="Times New Roman" w:eastAsia="方正仿宋_GBK" w:cs="Times New Roman"/>
          <w:color w:val="000000"/>
          <w:kern w:val="0"/>
          <w:sz w:val="30"/>
          <w:szCs w:val="30"/>
          <w:lang w:val="en-US" w:eastAsia="zh-CN" w:bidi="ar"/>
        </w:rPr>
        <w:t>同心县下马关镇2022年重点小城镇建设项目奖补资金</w:t>
      </w:r>
      <w:r>
        <w:rPr>
          <w:rFonts w:hint="eastAsia" w:ascii="方正仿宋_GBK" w:hAnsi="方正仿宋_GBK" w:eastAsia="方正仿宋_GBK" w:cs="方正仿宋_GBK"/>
          <w:color w:val="000000"/>
          <w:kern w:val="0"/>
          <w:sz w:val="30"/>
          <w:szCs w:val="30"/>
          <w:lang w:val="en-US" w:eastAsia="zh-CN" w:bidi="ar"/>
        </w:rPr>
        <w:t>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bCs/>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pStyle w:val="2"/>
        <w:rPr>
          <w:rFonts w:hint="eastAsia" w:ascii="Times New Roman" w:hAnsi="Times New Roman" w:eastAsia="方正仿宋_GB2312" w:cs="Times New Roman"/>
          <w:sz w:val="28"/>
          <w:szCs w:val="28"/>
          <w:lang w:val="zh-CN"/>
        </w:rPr>
      </w:pPr>
    </w:p>
    <w:p>
      <w:pPr>
        <w:rPr>
          <w:rFonts w:hint="eastAsia"/>
          <w:lang w:val="zh-CN"/>
        </w:rPr>
      </w:pPr>
    </w:p>
    <w:p>
      <w:pPr>
        <w:pStyle w:val="2"/>
        <w:rPr>
          <w:rFonts w:hint="eastAsia" w:ascii="Times New Roman" w:hAnsi="Times New Roman" w:eastAsia="方正仿宋_GB2312" w:cs="Times New Roman"/>
          <w:sz w:val="28"/>
          <w:szCs w:val="28"/>
          <w:lang w:val="zh-CN"/>
        </w:rPr>
      </w:pPr>
    </w:p>
    <w:p>
      <w:pPr>
        <w:rPr>
          <w:rFonts w:hint="eastAsia" w:ascii="Times New Roman" w:hAnsi="Times New Roman" w:eastAsia="方正仿宋_GB2312" w:cs="Times New Roman"/>
          <w:sz w:val="28"/>
          <w:szCs w:val="28"/>
          <w:lang w:val="zh-CN"/>
        </w:rPr>
      </w:pPr>
    </w:p>
    <w:p>
      <w:pPr>
        <w:pStyle w:val="2"/>
        <w:rPr>
          <w:rFonts w:hint="eastAsia"/>
          <w:lang w:val="zh-CN"/>
        </w:rPr>
      </w:pPr>
    </w:p>
    <w:p>
      <w:pPr>
        <w:pStyle w:val="5"/>
        <w:rPr>
          <w:rFonts w:hint="eastAsia" w:ascii="Times New Roman" w:hAnsi="Times New Roman" w:eastAsia="方正仿宋_GB2312" w:cs="Times New Roman"/>
          <w:sz w:val="28"/>
          <w:szCs w:val="28"/>
          <w:lang w:val="zh-CN"/>
        </w:rPr>
      </w:pPr>
    </w:p>
    <w:p>
      <w:pPr>
        <w:rPr>
          <w:rFonts w:hint="eastAsia"/>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w:t>
      </w:r>
      <w:bookmarkEnd w:id="56"/>
      <w:bookmarkEnd w:id="57"/>
      <w:bookmarkEnd w:id="58"/>
      <w:bookmarkEnd w:id="59"/>
      <w:bookmarkEnd w:id="60"/>
      <w:bookmarkEnd w:id="61"/>
      <w:bookmarkEnd w:id="62"/>
      <w:bookmarkEnd w:id="63"/>
      <w:r>
        <w:rPr>
          <w:rFonts w:hint="eastAsia" w:ascii="Times New Roman" w:hAnsi="Times New Roman" w:eastAsia="方正仿宋_GB2312" w:cs="Times New Roman"/>
          <w:b w:val="0"/>
          <w:sz w:val="28"/>
          <w:szCs w:val="28"/>
          <w:lang w:val="en-US" w:eastAsia="zh-CN"/>
        </w:rPr>
        <w:t>2023年12月31日</w:t>
      </w:r>
      <w:bookmarkEnd w:id="33"/>
      <w:bookmarkEnd w:id="64"/>
      <w:bookmarkStart w:id="184" w:name="_Toc5302"/>
      <w:bookmarkStart w:id="185" w:name="_Toc20313"/>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headerReference r:id="rId7" w:type="default"/>
          <w:footerReference r:id="rId8" w:type="default"/>
          <w:pgSz w:w="11906" w:h="16838"/>
          <w:pgMar w:top="2098" w:right="1587" w:bottom="2098" w:left="1587" w:header="1587" w:footer="935" w:gutter="0"/>
          <w:pgNumType w:fmt="decimal" w:start="1"/>
          <w:cols w:space="0" w:num="1"/>
          <w:rtlGutter w:val="0"/>
          <w:docGrid w:type="linesAndChars" w:linePitch="589" w:charSpace="-842"/>
        </w:sectPr>
      </w:pPr>
    </w:p>
    <w:bookmarkEnd w:id="184"/>
    <w:bookmarkEnd w:id="185"/>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同心县下马关镇2022年重点小城镇建设项目奖补资金绩效评价指标体系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w:t>
            </w:r>
            <w:r>
              <w:rPr>
                <w:rFonts w:hint="default" w:ascii="Times New Roman" w:hAnsi="Times New Roman" w:eastAsia="方正仿宋_GBK" w:cs="Times New Roman"/>
                <w:i w:val="0"/>
                <w:iCs w:val="0"/>
                <w:color w:val="000000"/>
                <w:kern w:val="0"/>
                <w:sz w:val="22"/>
                <w:szCs w:val="22"/>
                <w:u w:val="none"/>
                <w:lang w:val="en-US" w:eastAsia="zh-CN" w:bidi="ar"/>
              </w:rPr>
              <w:t>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未编制</w:t>
            </w:r>
            <w:r>
              <w:rPr>
                <w:rFonts w:hint="default" w:ascii="Times New Roman" w:hAnsi="Times New Roman" w:eastAsia="方正仿宋_GBK" w:cs="Times New Roman"/>
                <w:i w:val="0"/>
                <w:iCs w:val="0"/>
                <w:color w:val="000000"/>
                <w:kern w:val="0"/>
                <w:sz w:val="22"/>
                <w:szCs w:val="22"/>
                <w:u w:val="none"/>
                <w:lang w:val="en-US" w:eastAsia="zh-CN" w:bidi="ar"/>
              </w:rPr>
              <w:t>绩效目标，</w:t>
            </w:r>
            <w:r>
              <w:rPr>
                <w:rFonts w:hint="eastAsia" w:ascii="Times New Roman" w:hAnsi="Times New Roman" w:eastAsia="方正仿宋_GBK" w:cs="Times New Roman"/>
                <w:i w:val="0"/>
                <w:iCs w:val="0"/>
                <w:color w:val="000000"/>
                <w:kern w:val="0"/>
                <w:sz w:val="22"/>
                <w:szCs w:val="22"/>
                <w:u w:val="none"/>
                <w:lang w:val="en-US" w:eastAsia="zh-CN" w:bidi="ar"/>
              </w:rPr>
              <w:t>指标不能够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项目预算资金500.00万元，实际支出500.00万元，预算执行率100%。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2022年预算执行率≥97.2%得2分，＜97.2则不得分；2023年预算执行率≥98.5%得2分，＜98.5则不得分。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25%，要素②不符合，扣除对应权重分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较及时</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7"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改善城市环境</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逐步改善生活环境。</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shd w:val="clear"/>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考察项目结束后档案归档情况。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：项目档案管理机制是否健全且执行有效。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rPr>
                <w:rFonts w:hint="eastAsia"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92.5</w:t>
            </w:r>
          </w:p>
        </w:tc>
      </w:tr>
    </w:tbl>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同心县下马关镇2022年重点小城镇建设项目奖补资金</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专项资金项目的组织、实施、管理的具体情况，发现部门运行和管理中的问题，评估财政部门资金的使用以及部门职能，了解和评估财政资金使用的效率和效益，发现资金使用和管理中的问题，为项目的管理和执行提供充分的决策依据。</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同心县下马关镇人民政府分管领导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同心县下马关镇人民政府项目办负责人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同心县下马关镇人民政府财务负责人</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请简要介绍一下同心县</w:t>
      </w:r>
      <w:r>
        <w:rPr>
          <w:rFonts w:hint="default" w:ascii="Times New Roman" w:hAnsi="Times New Roman" w:eastAsia="方正仿宋_GBK" w:cs="Times New Roman"/>
          <w:b w:val="0"/>
          <w:bCs w:val="0"/>
          <w:kern w:val="0"/>
          <w:sz w:val="30"/>
          <w:szCs w:val="30"/>
          <w:lang w:val="en-US" w:eastAsia="zh-CN" w:bidi="zh-CN"/>
        </w:rPr>
        <w:t>下马关镇2022年重点小</w:t>
      </w:r>
      <w:r>
        <w:rPr>
          <w:rFonts w:hint="eastAsia" w:ascii="方正仿宋_GBK" w:hAnsi="方正仿宋_GBK" w:eastAsia="方正仿宋_GBK" w:cs="方正仿宋_GBK"/>
          <w:b w:val="0"/>
          <w:bCs w:val="0"/>
          <w:kern w:val="0"/>
          <w:sz w:val="30"/>
          <w:szCs w:val="30"/>
          <w:lang w:val="en-US" w:eastAsia="zh-CN" w:bidi="zh-CN"/>
        </w:rPr>
        <w:t>城镇建设项目奖补资金实施中主要负责的工作内容？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86" w:name="_Toc393466358"/>
      <w:bookmarkStart w:id="187" w:name="_Toc385352814"/>
      <w:bookmarkStart w:id="188" w:name="_Toc385522401"/>
      <w:bookmarkStart w:id="189" w:name="_Toc390983233"/>
      <w:bookmarkStart w:id="190" w:name="_Toc387361423"/>
      <w:bookmarkStart w:id="191" w:name="_Toc396323558"/>
      <w:bookmarkStart w:id="192" w:name="_Toc385521993"/>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bookmarkEnd w:id="186"/>
      <w:bookmarkEnd w:id="187"/>
      <w:bookmarkEnd w:id="188"/>
      <w:bookmarkEnd w:id="189"/>
      <w:bookmarkEnd w:id="190"/>
      <w:bookmarkEnd w:id="191"/>
      <w:bookmarkEnd w:id="192"/>
      <w:r>
        <w:rPr>
          <w:rFonts w:hint="eastAsia" w:ascii="仿宋" w:hAnsi="仿宋" w:eastAsia="仿宋" w:cs="仿宋"/>
          <w:b w:val="0"/>
          <w:bCs w:val="0"/>
          <w:sz w:val="32"/>
          <w:szCs w:val="32"/>
          <w:lang w:val="en-US" w:eastAsia="zh-CN"/>
        </w:rPr>
        <w:t>项目过程中都有哪些好的经验做法？项目开展都有哪些难点和建议？</w:t>
      </w:r>
    </w:p>
    <w:p>
      <w:pPr>
        <w:pStyle w:val="4"/>
        <w:pageBreakBefore w:val="0"/>
        <w:widowControl w:val="0"/>
        <w:kinsoku/>
        <w:wordWrap/>
        <w:topLinePunct w:val="0"/>
        <w:bidi w:val="0"/>
        <w:adjustRightInd/>
        <w:snapToGrid/>
        <w:spacing w:beforeLines="0" w:afterLines="0"/>
        <w:textAlignment w:val="auto"/>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同心县下马关镇2022年重点小城镇建设项目奖补资金</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下马关镇2022年重点小城镇建设项目奖补资金实施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（二）满意度问题</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1.您对同心县下马关镇2022年重点小城镇建设项目奖补资金建设是否满意？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2.您对同心县下马关镇2022年重点小城镇建设项目奖补资金施工过程的管理是否满意？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3.您对同心县下马关镇2022年重点小城镇建设项目奖补资金工程总体进度是否满意？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（三）开放问题</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您对同心县下马关镇2022年重点小城镇建设项目奖补资金还有什么意见和建议？</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72" w:firstLineChars="200"/>
        <w:jc w:val="both"/>
        <w:textAlignment w:val="auto"/>
        <w:rPr>
          <w:rFonts w:hint="eastAsia" w:ascii="Times New Roman" w:hAnsi="Times New Roman" w:eastAsia="仿宋" w:cs="Times New Roman"/>
          <w:kern w:val="2"/>
          <w:sz w:val="30"/>
          <w:szCs w:val="30"/>
          <w:lang w:val="en-US" w:eastAsia="zh-CN" w:bidi="ar-SA"/>
        </w:rPr>
      </w:pPr>
      <w:r>
        <w:drawing>
          <wp:anchor distT="0" distB="0" distL="114300" distR="114300" simplePos="0" relativeHeight="251659264" behindDoc="1" locked="0" layoutInCell="1" allowOverlap="1">
            <wp:simplePos x="0" y="0"/>
            <wp:positionH relativeFrom="column">
              <wp:posOffset>225425</wp:posOffset>
            </wp:positionH>
            <wp:positionV relativeFrom="paragraph">
              <wp:posOffset>168910</wp:posOffset>
            </wp:positionV>
            <wp:extent cx="5088890" cy="6120130"/>
            <wp:effectExtent l="0" t="0" r="16510"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088890" cy="6120130"/>
                    </a:xfrm>
                    <a:prstGeom prst="rect">
                      <a:avLst/>
                    </a:prstGeom>
                    <a:noFill/>
                    <a:ln>
                      <a:noFill/>
                    </a:ln>
                  </pic:spPr>
                </pic:pic>
              </a:graphicData>
            </a:graphic>
          </wp:anchor>
        </w:drawing>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default" w:ascii="Times New Roman" w:hAnsi="Times New Roman" w:eastAsia="仿宋" w:cs="Times New Roman"/>
          <w:kern w:val="2"/>
          <w:sz w:val="30"/>
          <w:szCs w:val="30"/>
          <w:lang w:val="en-US" w:eastAsia="zh-CN" w:bidi="ar-SA"/>
        </w:rPr>
      </w:pP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DE2766-AAA3-4152-965A-2187DD2D32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239DC4A1-E6FD-4F6E-A73D-9D56589BFF66}"/>
  </w:font>
  <w:font w:name="楷体">
    <w:panose1 w:val="02010609060101010101"/>
    <w:charset w:val="86"/>
    <w:family w:val="auto"/>
    <w:pitch w:val="default"/>
    <w:sig w:usb0="800002BF" w:usb1="38CF7CFA" w:usb2="00000016" w:usb3="00000000" w:csb0="00040001" w:csb1="00000000"/>
    <w:embedRegular r:id="rId3" w:fontKey="{3499B3ED-60A8-4746-B4A2-B3B31E0A1252}"/>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1EC54D9A-7D59-4419-953F-DD3D20CF9039}"/>
  </w:font>
  <w:font w:name="方正仿宋_GBK">
    <w:panose1 w:val="02000000000000000000"/>
    <w:charset w:val="86"/>
    <w:family w:val="auto"/>
    <w:pitch w:val="default"/>
    <w:sig w:usb0="A00002BF" w:usb1="38CF7CFA" w:usb2="00082016" w:usb3="00000000" w:csb0="00040001" w:csb1="00000000"/>
    <w:embedRegular r:id="rId5" w:fontKey="{744B3E11-F6F5-45CD-8495-0FB4F03A1AAE}"/>
  </w:font>
  <w:font w:name="方正小标宋_GBK">
    <w:panose1 w:val="02000000000000000000"/>
    <w:charset w:val="86"/>
    <w:family w:val="auto"/>
    <w:pitch w:val="default"/>
    <w:sig w:usb0="A00002BF" w:usb1="38CF7CFA" w:usb2="00082016" w:usb3="00000000" w:csb0="00040001" w:csb1="00000000"/>
    <w:embedRegular r:id="rId6" w:fontKey="{2453A38D-7E19-45E5-A0F0-48F5AA81C2C7}"/>
  </w:font>
  <w:font w:name="方正小标宋简体">
    <w:panose1 w:val="02000000000000000000"/>
    <w:charset w:val="86"/>
    <w:family w:val="auto"/>
    <w:pitch w:val="default"/>
    <w:sig w:usb0="00000001" w:usb1="08000000" w:usb2="00000000" w:usb3="00000000" w:csb0="00040000" w:csb1="00000000"/>
    <w:embedRegular r:id="rId7" w:fontKey="{E794F5AF-E899-4277-BA1C-5EB17052DF55}"/>
  </w:font>
  <w:font w:name="方正正黑_GBK">
    <w:panose1 w:val="02000000000000000000"/>
    <w:charset w:val="86"/>
    <w:family w:val="auto"/>
    <w:pitch w:val="default"/>
    <w:sig w:usb0="A00002BF" w:usb1="38CF7CFA" w:usb2="00082016" w:usb3="00000000" w:csb0="00040001" w:csb1="00000000"/>
    <w:embedRegular r:id="rId8" w:fontKey="{49F9288B-2DD6-490A-B10F-2ECB6E46D31A}"/>
  </w:font>
  <w:font w:name="方正仿宋_GB2312">
    <w:panose1 w:val="02000000000000000000"/>
    <w:charset w:val="86"/>
    <w:family w:val="auto"/>
    <w:pitch w:val="default"/>
    <w:sig w:usb0="A00002BF" w:usb1="184F6CFA" w:usb2="00000012" w:usb3="00000000" w:csb0="00040001" w:csb1="00000000"/>
    <w:embedRegular r:id="rId9" w:fontKey="{413CC72E-E43D-41E9-B825-13202510A9AC}"/>
  </w:font>
  <w:font w:name="方正楷体_GBK">
    <w:panose1 w:val="02000000000000000000"/>
    <w:charset w:val="86"/>
    <w:family w:val="auto"/>
    <w:pitch w:val="default"/>
    <w:sig w:usb0="800002BF" w:usb1="38CF7CFA" w:usb2="00000016" w:usb3="00000000" w:csb0="00040000" w:csb1="00000000"/>
    <w:embedRegular r:id="rId10" w:fontKey="{206693BB-F8F3-4FFF-89C4-F7FB7A80C39A}"/>
  </w:font>
  <w:font w:name="方正公文小标宋">
    <w:panose1 w:val="02000500000000000000"/>
    <w:charset w:val="86"/>
    <w:family w:val="auto"/>
    <w:pitch w:val="default"/>
    <w:sig w:usb0="A00002BF" w:usb1="38CF7CFA" w:usb2="00000016" w:usb3="00000000" w:csb0="00040001" w:csb1="00000000"/>
    <w:embedRegular r:id="rId11" w:fontKey="{8838FC00-25CF-4507-B165-2A3E5FE999A7}"/>
  </w:font>
  <w:font w:name="微软雅黑">
    <w:panose1 w:val="020B0503020204020204"/>
    <w:charset w:val="86"/>
    <w:family w:val="auto"/>
    <w:pitch w:val="default"/>
    <w:sig w:usb0="80000287" w:usb1="2ACF3C50" w:usb2="00000016" w:usb3="00000000" w:csb0="0004001F" w:csb1="00000000"/>
    <w:embedRegular r:id="rId12" w:fontKey="{B9AF1251-A8F9-4FBB-94DA-D6F0D0DF19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posOffset>2604135</wp:posOffset>
              </wp:positionH>
              <wp:positionV relativeFrom="paragraph">
                <wp:posOffset>-234950</wp:posOffset>
              </wp:positionV>
              <wp:extent cx="488950" cy="361315"/>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488950" cy="361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05pt;margin-top:-18.5pt;height:28.45pt;width:38.5pt;mso-position-horizontal-relative:margin;z-index:251660288;mso-width-relative:page;mso-height-relative:page;" filled="f" stroked="f" coordsize="21600,21600" o:gfxdata="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v/BSNgAAAAKAQAADwAAAAAAAAABACAAAAAiAAAAZHJzL2Rvd25y&#10;ZXYueG1sUEsBAhQAFAAAAAgAh07iQKd+/1M3AgAAZQQAAA4AAAAAAAAAAQAgAAAAJwEAAGRycy9l&#10;Mm9Eb2MueG1sUEsFBgAAAAAGAAYAWQEAANAFAAAAAA==&#10;">
              <v:fill on="f" focussize="0,0"/>
              <v:stroke on="f" weight="0.5pt"/>
              <v:imagedata o:title=""/>
              <o:lock v:ext="edit" aspectratio="f"/>
              <v:textbox inset="0mm,0mm,0mm,0mm">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同心县下马关镇2022年重点小城镇建设项目奖补资金</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5"/>
      <w:pBdr>
        <w:bottom w:val="double" w:color="auto" w:sz="8"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ascii="方正小标宋_GBK" w:hAnsi="方正小标宋_GBK" w:eastAsia="方正小标宋_GBK" w:cs="方正小标宋_GBK"/>
        <w:b w:val="0"/>
        <w:bCs w:val="0"/>
        <w:color w:val="181717" w:themeColor="background2" w:themeShade="1A"/>
        <w:sz w:val="21"/>
        <w:szCs w:val="21"/>
        <w:lang w:val="en-US" w:eastAsia="zh-CN"/>
      </w:rPr>
      <w:t>同心县下马关镇2022年重点小城镇建设项目奖补资金</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AD5A8"/>
    <w:multiLevelType w:val="singleLevel"/>
    <w:tmpl w:val="955AD5A8"/>
    <w:lvl w:ilvl="0" w:tentative="0">
      <w:start w:val="8"/>
      <w:numFmt w:val="chineseCounting"/>
      <w:suff w:val="nothing"/>
      <w:lvlText w:val="%1、"/>
      <w:lvlJc w:val="left"/>
      <w:rPr>
        <w:rFonts w:hint="eastAsia"/>
      </w:rPr>
    </w:lvl>
  </w:abstractNum>
  <w:abstractNum w:abstractNumId="1">
    <w:nsid w:val="DAF42E28"/>
    <w:multiLevelType w:val="singleLevel"/>
    <w:tmpl w:val="DAF42E28"/>
    <w:lvl w:ilvl="0" w:tentative="0">
      <w:start w:val="1"/>
      <w:numFmt w:val="decimal"/>
      <w:suff w:val="nothing"/>
      <w:lvlText w:val="（%1）"/>
      <w:lvlJc w:val="left"/>
    </w:lvl>
  </w:abstractNum>
  <w:abstractNum w:abstractNumId="2">
    <w:nsid w:val="E0B2C9DB"/>
    <w:multiLevelType w:val="singleLevel"/>
    <w:tmpl w:val="E0B2C9DB"/>
    <w:lvl w:ilvl="0" w:tentative="0">
      <w:start w:val="2"/>
      <w:numFmt w:val="chineseCounting"/>
      <w:suff w:val="nothing"/>
      <w:lvlText w:val="（%1）"/>
      <w:lvlJc w:val="left"/>
      <w:rPr>
        <w:rFonts w:hint="eastAsia"/>
      </w:rPr>
    </w:lvl>
  </w:abstractNum>
  <w:abstractNum w:abstractNumId="3">
    <w:nsid w:val="FB20EEF5"/>
    <w:multiLevelType w:val="singleLevel"/>
    <w:tmpl w:val="FB20EEF5"/>
    <w:lvl w:ilvl="0" w:tentative="0">
      <w:start w:val="3"/>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B0A52"/>
    <w:rsid w:val="01711D58"/>
    <w:rsid w:val="01A22C15"/>
    <w:rsid w:val="02693F89"/>
    <w:rsid w:val="02B726F0"/>
    <w:rsid w:val="031F0282"/>
    <w:rsid w:val="03321D76"/>
    <w:rsid w:val="03782AE9"/>
    <w:rsid w:val="038F5644"/>
    <w:rsid w:val="049979AA"/>
    <w:rsid w:val="04CB2483"/>
    <w:rsid w:val="05127FF8"/>
    <w:rsid w:val="05373674"/>
    <w:rsid w:val="057E08FD"/>
    <w:rsid w:val="05922FA0"/>
    <w:rsid w:val="05DE7F94"/>
    <w:rsid w:val="05E661B9"/>
    <w:rsid w:val="06310741"/>
    <w:rsid w:val="067B3A34"/>
    <w:rsid w:val="06913258"/>
    <w:rsid w:val="06935222"/>
    <w:rsid w:val="0721638A"/>
    <w:rsid w:val="07752028"/>
    <w:rsid w:val="079B438E"/>
    <w:rsid w:val="07C669DF"/>
    <w:rsid w:val="07DC0B0F"/>
    <w:rsid w:val="084314D4"/>
    <w:rsid w:val="087F780C"/>
    <w:rsid w:val="08A2629B"/>
    <w:rsid w:val="08D765EB"/>
    <w:rsid w:val="09087391"/>
    <w:rsid w:val="094E2BC9"/>
    <w:rsid w:val="0978425B"/>
    <w:rsid w:val="09EE451A"/>
    <w:rsid w:val="0A104DC5"/>
    <w:rsid w:val="0A1421D6"/>
    <w:rsid w:val="0A1441B8"/>
    <w:rsid w:val="0A9E5F43"/>
    <w:rsid w:val="0B1A65E0"/>
    <w:rsid w:val="0BA37CB5"/>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552F6"/>
    <w:rsid w:val="10594DE6"/>
    <w:rsid w:val="10923E54"/>
    <w:rsid w:val="10B4026F"/>
    <w:rsid w:val="10F70CB9"/>
    <w:rsid w:val="11326D9C"/>
    <w:rsid w:val="11576F43"/>
    <w:rsid w:val="11877731"/>
    <w:rsid w:val="12057474"/>
    <w:rsid w:val="123478B9"/>
    <w:rsid w:val="12780A7F"/>
    <w:rsid w:val="12A803F6"/>
    <w:rsid w:val="12B800BB"/>
    <w:rsid w:val="1306193D"/>
    <w:rsid w:val="138163C4"/>
    <w:rsid w:val="13BD743A"/>
    <w:rsid w:val="13D16037"/>
    <w:rsid w:val="14642D3C"/>
    <w:rsid w:val="151B68BE"/>
    <w:rsid w:val="15BC373C"/>
    <w:rsid w:val="15D25F85"/>
    <w:rsid w:val="15D614F9"/>
    <w:rsid w:val="15E50ECA"/>
    <w:rsid w:val="16201F02"/>
    <w:rsid w:val="165E3157"/>
    <w:rsid w:val="17C26244"/>
    <w:rsid w:val="18070836"/>
    <w:rsid w:val="18950986"/>
    <w:rsid w:val="18CC35FF"/>
    <w:rsid w:val="18D555BD"/>
    <w:rsid w:val="19A84F19"/>
    <w:rsid w:val="1A11557B"/>
    <w:rsid w:val="1A725422"/>
    <w:rsid w:val="1B0B13D3"/>
    <w:rsid w:val="1B587F55"/>
    <w:rsid w:val="1BBE1FA1"/>
    <w:rsid w:val="1CE014E1"/>
    <w:rsid w:val="1CFE5775"/>
    <w:rsid w:val="1D2F4821"/>
    <w:rsid w:val="1D4F132F"/>
    <w:rsid w:val="1D5F1562"/>
    <w:rsid w:val="1D8B2357"/>
    <w:rsid w:val="1DC45FEE"/>
    <w:rsid w:val="1DFC45E7"/>
    <w:rsid w:val="1E2D344B"/>
    <w:rsid w:val="1EE937D9"/>
    <w:rsid w:val="1F051A31"/>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5D5A2E"/>
    <w:rsid w:val="29804D3A"/>
    <w:rsid w:val="29972B84"/>
    <w:rsid w:val="299F1664"/>
    <w:rsid w:val="2A08236A"/>
    <w:rsid w:val="2A3744E2"/>
    <w:rsid w:val="2A4468E8"/>
    <w:rsid w:val="2A88139D"/>
    <w:rsid w:val="2B04761D"/>
    <w:rsid w:val="2B31540B"/>
    <w:rsid w:val="2BF612E4"/>
    <w:rsid w:val="2C043A01"/>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C67693"/>
    <w:rsid w:val="2EC85F92"/>
    <w:rsid w:val="2EDF2503"/>
    <w:rsid w:val="2EF064BE"/>
    <w:rsid w:val="2F96257F"/>
    <w:rsid w:val="2FB60690"/>
    <w:rsid w:val="304940ED"/>
    <w:rsid w:val="308C3833"/>
    <w:rsid w:val="3095731D"/>
    <w:rsid w:val="30B06230"/>
    <w:rsid w:val="30D50061"/>
    <w:rsid w:val="31164343"/>
    <w:rsid w:val="317928C0"/>
    <w:rsid w:val="317D7F2F"/>
    <w:rsid w:val="31A041CB"/>
    <w:rsid w:val="31EB3B69"/>
    <w:rsid w:val="31FC6110"/>
    <w:rsid w:val="32C75788"/>
    <w:rsid w:val="3301513E"/>
    <w:rsid w:val="330D5FB0"/>
    <w:rsid w:val="330E3209"/>
    <w:rsid w:val="33210D4B"/>
    <w:rsid w:val="33565E16"/>
    <w:rsid w:val="33753436"/>
    <w:rsid w:val="33AE6A83"/>
    <w:rsid w:val="33F20148"/>
    <w:rsid w:val="344C36D7"/>
    <w:rsid w:val="347D25A2"/>
    <w:rsid w:val="349124F1"/>
    <w:rsid w:val="34CF6284"/>
    <w:rsid w:val="34D94D78"/>
    <w:rsid w:val="34E43BF0"/>
    <w:rsid w:val="34FA0BAE"/>
    <w:rsid w:val="35A77929"/>
    <w:rsid w:val="36524375"/>
    <w:rsid w:val="366C6D72"/>
    <w:rsid w:val="36CC15BF"/>
    <w:rsid w:val="375A12C0"/>
    <w:rsid w:val="379D4EBE"/>
    <w:rsid w:val="37D93A30"/>
    <w:rsid w:val="38250B51"/>
    <w:rsid w:val="382673F4"/>
    <w:rsid w:val="3846715C"/>
    <w:rsid w:val="393671C3"/>
    <w:rsid w:val="39EC58CA"/>
    <w:rsid w:val="39FB2B8C"/>
    <w:rsid w:val="3A1F1BFC"/>
    <w:rsid w:val="3A3F02FA"/>
    <w:rsid w:val="3A5D44DB"/>
    <w:rsid w:val="3A887938"/>
    <w:rsid w:val="3A9262F0"/>
    <w:rsid w:val="3AC30F2B"/>
    <w:rsid w:val="3AE54968"/>
    <w:rsid w:val="3AED2368"/>
    <w:rsid w:val="3AFD443D"/>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1E25B2"/>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5034416"/>
    <w:rsid w:val="455C18CC"/>
    <w:rsid w:val="459C4B6B"/>
    <w:rsid w:val="45C773F6"/>
    <w:rsid w:val="45F418B3"/>
    <w:rsid w:val="45FD79E7"/>
    <w:rsid w:val="463C0759"/>
    <w:rsid w:val="46624259"/>
    <w:rsid w:val="46C44060"/>
    <w:rsid w:val="471E751C"/>
    <w:rsid w:val="472900CD"/>
    <w:rsid w:val="47A76A1D"/>
    <w:rsid w:val="47B70069"/>
    <w:rsid w:val="47B95B8F"/>
    <w:rsid w:val="47D334DC"/>
    <w:rsid w:val="488F195B"/>
    <w:rsid w:val="48A2254D"/>
    <w:rsid w:val="49072C4A"/>
    <w:rsid w:val="491F502B"/>
    <w:rsid w:val="493354CD"/>
    <w:rsid w:val="496D1725"/>
    <w:rsid w:val="498C7B7B"/>
    <w:rsid w:val="49A80A70"/>
    <w:rsid w:val="49E52C6C"/>
    <w:rsid w:val="49EE685A"/>
    <w:rsid w:val="49F25388"/>
    <w:rsid w:val="4A045B66"/>
    <w:rsid w:val="4A0D5D1E"/>
    <w:rsid w:val="4A1470AD"/>
    <w:rsid w:val="4A471230"/>
    <w:rsid w:val="4A6E0EB3"/>
    <w:rsid w:val="4A755EA0"/>
    <w:rsid w:val="4AB663B6"/>
    <w:rsid w:val="4AC24D5B"/>
    <w:rsid w:val="4B893ACB"/>
    <w:rsid w:val="4C07336D"/>
    <w:rsid w:val="4C126731"/>
    <w:rsid w:val="4C561BFF"/>
    <w:rsid w:val="4C6C277D"/>
    <w:rsid w:val="4C80439B"/>
    <w:rsid w:val="4CAA019C"/>
    <w:rsid w:val="4CD82614"/>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B43398"/>
    <w:rsid w:val="50F9524E"/>
    <w:rsid w:val="514507F5"/>
    <w:rsid w:val="519D207E"/>
    <w:rsid w:val="51CF6940"/>
    <w:rsid w:val="52132340"/>
    <w:rsid w:val="523508CE"/>
    <w:rsid w:val="52467A28"/>
    <w:rsid w:val="527340DC"/>
    <w:rsid w:val="527F195C"/>
    <w:rsid w:val="52A167DD"/>
    <w:rsid w:val="52D63A99"/>
    <w:rsid w:val="52FE4D9E"/>
    <w:rsid w:val="530F2210"/>
    <w:rsid w:val="53146370"/>
    <w:rsid w:val="53487DC7"/>
    <w:rsid w:val="534C038B"/>
    <w:rsid w:val="53837B15"/>
    <w:rsid w:val="545D78A2"/>
    <w:rsid w:val="545F7A68"/>
    <w:rsid w:val="55E53FF3"/>
    <w:rsid w:val="56150435"/>
    <w:rsid w:val="56250D50"/>
    <w:rsid w:val="566C4581"/>
    <w:rsid w:val="5684380C"/>
    <w:rsid w:val="56C62FC9"/>
    <w:rsid w:val="579E6337"/>
    <w:rsid w:val="58366D88"/>
    <w:rsid w:val="58B8408C"/>
    <w:rsid w:val="58C53371"/>
    <w:rsid w:val="590F3861"/>
    <w:rsid w:val="592503CD"/>
    <w:rsid w:val="59ED3476"/>
    <w:rsid w:val="5A105AE3"/>
    <w:rsid w:val="5AC71F19"/>
    <w:rsid w:val="5ADC3C17"/>
    <w:rsid w:val="5B48305A"/>
    <w:rsid w:val="5BA00781"/>
    <w:rsid w:val="5BE54D4D"/>
    <w:rsid w:val="5BED775E"/>
    <w:rsid w:val="5C0F1DCA"/>
    <w:rsid w:val="5C2F0C39"/>
    <w:rsid w:val="5CAF7795"/>
    <w:rsid w:val="5CB00EB7"/>
    <w:rsid w:val="5D086F45"/>
    <w:rsid w:val="5D323FC2"/>
    <w:rsid w:val="5DE828D3"/>
    <w:rsid w:val="5E08551F"/>
    <w:rsid w:val="5E525F9E"/>
    <w:rsid w:val="5E6F08FE"/>
    <w:rsid w:val="5EBA2711"/>
    <w:rsid w:val="5F745E66"/>
    <w:rsid w:val="5FA171DD"/>
    <w:rsid w:val="5FD749AD"/>
    <w:rsid w:val="6040150D"/>
    <w:rsid w:val="60936B26"/>
    <w:rsid w:val="60C2740B"/>
    <w:rsid w:val="611A0FF5"/>
    <w:rsid w:val="61495849"/>
    <w:rsid w:val="615A19EE"/>
    <w:rsid w:val="61797ACD"/>
    <w:rsid w:val="619754F5"/>
    <w:rsid w:val="61A60F09"/>
    <w:rsid w:val="61B72CE8"/>
    <w:rsid w:val="61CA2D38"/>
    <w:rsid w:val="620B4BE9"/>
    <w:rsid w:val="620F4F28"/>
    <w:rsid w:val="621041A6"/>
    <w:rsid w:val="621F5C5A"/>
    <w:rsid w:val="622019C2"/>
    <w:rsid w:val="62D022B3"/>
    <w:rsid w:val="62F35FA1"/>
    <w:rsid w:val="63103B19"/>
    <w:rsid w:val="63222431"/>
    <w:rsid w:val="6338222B"/>
    <w:rsid w:val="634376F0"/>
    <w:rsid w:val="63492023"/>
    <w:rsid w:val="6392405C"/>
    <w:rsid w:val="6393578D"/>
    <w:rsid w:val="63DA61F3"/>
    <w:rsid w:val="640A6A84"/>
    <w:rsid w:val="64A5151D"/>
    <w:rsid w:val="64DA6254"/>
    <w:rsid w:val="652E5FF6"/>
    <w:rsid w:val="655C7097"/>
    <w:rsid w:val="65646CE3"/>
    <w:rsid w:val="6582360D"/>
    <w:rsid w:val="658A05B5"/>
    <w:rsid w:val="65C23A09"/>
    <w:rsid w:val="660576BF"/>
    <w:rsid w:val="66307F76"/>
    <w:rsid w:val="66F23DAD"/>
    <w:rsid w:val="675B4115"/>
    <w:rsid w:val="67AB0D31"/>
    <w:rsid w:val="68242759"/>
    <w:rsid w:val="68324E76"/>
    <w:rsid w:val="6832790E"/>
    <w:rsid w:val="684257ED"/>
    <w:rsid w:val="68672CFF"/>
    <w:rsid w:val="6873723D"/>
    <w:rsid w:val="68B64FF8"/>
    <w:rsid w:val="68BC0F70"/>
    <w:rsid w:val="68BC56C0"/>
    <w:rsid w:val="6A5437CA"/>
    <w:rsid w:val="6A8273F3"/>
    <w:rsid w:val="6A917936"/>
    <w:rsid w:val="6AC16985"/>
    <w:rsid w:val="6ACA3A8C"/>
    <w:rsid w:val="6AD14E1A"/>
    <w:rsid w:val="6AF23C66"/>
    <w:rsid w:val="6B013226"/>
    <w:rsid w:val="6B1A20D3"/>
    <w:rsid w:val="6B6B233A"/>
    <w:rsid w:val="6BC7335C"/>
    <w:rsid w:val="6BEC38B2"/>
    <w:rsid w:val="6C094140"/>
    <w:rsid w:val="6C2076DB"/>
    <w:rsid w:val="6D67760E"/>
    <w:rsid w:val="6DAD31F1"/>
    <w:rsid w:val="6E4C2A0A"/>
    <w:rsid w:val="6E641B01"/>
    <w:rsid w:val="6E7D43D0"/>
    <w:rsid w:val="6EEC38DF"/>
    <w:rsid w:val="6F370F76"/>
    <w:rsid w:val="6F965839"/>
    <w:rsid w:val="6FB36D7A"/>
    <w:rsid w:val="6FE216A6"/>
    <w:rsid w:val="70266E22"/>
    <w:rsid w:val="709A7A5C"/>
    <w:rsid w:val="70AF0549"/>
    <w:rsid w:val="70D3575F"/>
    <w:rsid w:val="71302009"/>
    <w:rsid w:val="71387B02"/>
    <w:rsid w:val="717464FF"/>
    <w:rsid w:val="71BB65F3"/>
    <w:rsid w:val="71EF02C9"/>
    <w:rsid w:val="72EF679F"/>
    <w:rsid w:val="730B450D"/>
    <w:rsid w:val="7343262D"/>
    <w:rsid w:val="740A20FF"/>
    <w:rsid w:val="742E4065"/>
    <w:rsid w:val="743838A1"/>
    <w:rsid w:val="74512B28"/>
    <w:rsid w:val="74836A59"/>
    <w:rsid w:val="74BB05BD"/>
    <w:rsid w:val="74DA512E"/>
    <w:rsid w:val="74F160B9"/>
    <w:rsid w:val="751E795F"/>
    <w:rsid w:val="7530098F"/>
    <w:rsid w:val="75E27AD0"/>
    <w:rsid w:val="76554C45"/>
    <w:rsid w:val="767C258A"/>
    <w:rsid w:val="76AA651F"/>
    <w:rsid w:val="76DD54BE"/>
    <w:rsid w:val="774226B2"/>
    <w:rsid w:val="774A1F82"/>
    <w:rsid w:val="777A6824"/>
    <w:rsid w:val="77943863"/>
    <w:rsid w:val="779E42D6"/>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E451AA"/>
    <w:rsid w:val="7C662EE9"/>
    <w:rsid w:val="7DA34BE9"/>
    <w:rsid w:val="7DCC321F"/>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0">
    <w:name w:val="Title"/>
    <w:basedOn w:val="1"/>
    <w:next w:val="1"/>
    <w:autoRedefine/>
    <w:qFormat/>
    <w:uiPriority w:val="99"/>
    <w:pPr>
      <w:spacing w:before="240" w:after="60"/>
      <w:jc w:val="center"/>
      <w:outlineLvl w:val="0"/>
    </w:pPr>
    <w:rPr>
      <w:rFonts w:ascii="Cambria" w:hAnsi="Cambria" w:eastAsia="宋体"/>
      <w:b/>
      <w:bC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5"/>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21482</Words>
  <Characters>23639</Characters>
  <Lines>0</Lines>
  <Paragraphs>0</Paragraphs>
  <TotalTime>2</TotalTime>
  <ScaleCrop>false</ScaleCrop>
  <LinksUpToDate>false</LinksUpToDate>
  <CharactersWithSpaces>23930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2024-01-29T02:23:23Z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21EAE1479B824198A072E0309270C8BF_13</vt:lpwstr>
  </property>
</Properties>
</file>