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同心县王团镇中心小学综合楼项目</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eastAsia" w:ascii="楷体" w:hAnsi="楷体" w:eastAsia="楷体" w:cs="楷体"/>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006</w:t>
      </w:r>
      <w:r>
        <w:rPr>
          <w:rFonts w:hint="eastAsia" w:ascii="楷体" w:hAnsi="楷体" w:eastAsia="楷体" w:cs="楷体"/>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0"/>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7" w:leftChars="174" w:hanging="700" w:hangingChars="2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28"/>
          <w:szCs w:val="28"/>
          <w:lang w:val="en-US" w:eastAsia="zh-CN" w:bidi="ar-SA"/>
        </w:rPr>
      </w:pPr>
    </w:p>
    <w:p>
      <w:pPr>
        <w:spacing w:line="360" w:lineRule="auto"/>
        <w:ind w:left="0" w:leftChars="0" w:firstLine="0" w:firstLineChars="0"/>
        <w:jc w:val="both"/>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同心县王团镇中心小学综合楼项目</w:t>
      </w:r>
    </w:p>
    <w:p>
      <w:pPr>
        <w:keepNext w:val="0"/>
        <w:keepLines w:val="0"/>
        <w:pageBreakBefore w:val="0"/>
        <w:widowControl w:val="0"/>
        <w:kinsoku/>
        <w:wordWrap/>
        <w:overflowPunct w:val="0"/>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eastAsia" w:ascii="楷体" w:hAnsi="楷体" w:eastAsia="楷体" w:cs="楷体"/>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006</w:t>
      </w:r>
      <w:r>
        <w:rPr>
          <w:rFonts w:hint="eastAsia" w:ascii="楷体" w:hAnsi="楷体" w:eastAsia="楷体" w:cs="楷体"/>
          <w:b w:val="0"/>
          <w:bCs w:val="0"/>
          <w:i w:val="0"/>
          <w:iCs w:val="0"/>
          <w:sz w:val="32"/>
          <w:szCs w:val="32"/>
          <w:highlight w:val="none"/>
        </w:rPr>
        <w:t>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2"/>
        <w:rPr>
          <w:lang w:val="en-US" w:eastAsia="zh-CN"/>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bookmarkStart w:id="153" w:name="_GoBack"/>
      <w:bookmarkEnd w:id="153"/>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114" w:leftChars="348" w:firstLine="840" w:firstLineChars="3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114" w:leftChars="348" w:firstLine="840" w:firstLineChars="300"/>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w:t>
      </w:r>
      <w:r>
        <w:rPr>
          <w:rFonts w:hint="eastAsia" w:ascii="方正小标宋_GBK" w:hAnsi="方正小标宋_GBK" w:eastAsia="方正小标宋_GBK" w:cs="方正小标宋_GBK"/>
          <w:color w:val="1E1C11"/>
          <w:spacing w:val="0"/>
          <w:kern w:val="0"/>
          <w:sz w:val="28"/>
          <w:szCs w:val="28"/>
          <w:lang w:val="en-US" w:eastAsia="zh-CN" w:bidi="ar"/>
        </w:rPr>
        <w:t>同心县教育局</w:t>
      </w:r>
    </w:p>
    <w:p>
      <w:pPr>
        <w:keepNext w:val="0"/>
        <w:keepLines w:val="0"/>
        <w:pageBreakBefore w:val="0"/>
        <w:widowControl/>
        <w:suppressLineNumbers w:val="0"/>
        <w:kinsoku/>
        <w:wordWrap/>
        <w:overflowPunct w:val="0"/>
        <w:topLinePunct w:val="0"/>
        <w:autoSpaceDE/>
        <w:autoSpaceDN/>
        <w:bidi w:val="0"/>
        <w:adjustRightInd/>
        <w:snapToGrid/>
        <w:ind w:left="1114" w:leftChars="348" w:firstLine="840" w:firstLineChars="3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114" w:leftChars="348" w:firstLine="840" w:firstLineChars="30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0"/>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17352"/>
      <w:r>
        <w:rPr>
          <w:rFonts w:hint="eastAsia" w:asciiTheme="majorEastAsia" w:hAnsiTheme="majorEastAsia" w:eastAsiaTheme="majorEastAsia" w:cstheme="majorEastAsia"/>
          <w:b/>
          <w:bCs/>
          <w:sz w:val="30"/>
          <w:szCs w:val="30"/>
          <w:lang w:val="en-US" w:eastAsia="zh-CN"/>
        </w:rPr>
        <w:t>一、项目背景</w:t>
      </w:r>
      <w:bookmarkEnd w:id="0"/>
    </w:p>
    <w:p>
      <w:pPr>
        <w:keepNext w:val="0"/>
        <w:keepLines w:val="0"/>
        <w:pageBreakBefore w:val="0"/>
        <w:widowControl/>
        <w:suppressLineNumbers w:val="0"/>
        <w:kinsoku/>
        <w:wordWrap/>
        <w:overflowPunct w:val="0"/>
        <w:topLinePunct w:val="0"/>
        <w:autoSpaceDE/>
        <w:autoSpaceDN/>
        <w:bidi w:val="0"/>
        <w:adjustRightInd/>
        <w:snapToGrid/>
        <w:ind w:left="0" w:leftChars="0" w:firstLine="552" w:firstLineChars="200"/>
        <w:jc w:val="both"/>
        <w:textAlignment w:val="auto"/>
        <w:rPr>
          <w:rFonts w:hint="eastAsia" w:ascii="Microsoft YaHei UI" w:hAnsi="Microsoft YaHei UI" w:eastAsia="Microsoft YaHei UI" w:cs="Microsoft YaHei UI"/>
          <w:i w:val="0"/>
          <w:iCs w:val="0"/>
          <w:caps w:val="0"/>
          <w:color w:val="7B0C00"/>
          <w:spacing w:val="15"/>
          <w:sz w:val="25"/>
          <w:szCs w:val="25"/>
        </w:rPr>
      </w:pPr>
      <w:bookmarkStart w:id="1" w:name="_Toc18303"/>
      <w:bookmarkStart w:id="2" w:name="_Toc32242"/>
      <w:bookmarkStart w:id="3" w:name="_Toc13114"/>
      <w:r>
        <w:rPr>
          <w:rFonts w:ascii="Microsoft YaHei UI" w:hAnsi="Microsoft YaHei UI" w:eastAsia="Microsoft YaHei UI" w:cs="Microsoft YaHei UI"/>
          <w:i w:val="0"/>
          <w:iCs w:val="0"/>
          <w:caps w:val="0"/>
          <w:color w:val="7B0C00"/>
          <w:spacing w:val="15"/>
          <w:sz w:val="25"/>
          <w:szCs w:val="25"/>
        </w:rPr>
        <w:t> </w:t>
      </w:r>
      <w:r>
        <w:rPr>
          <w:rFonts w:hint="eastAsia" w:ascii="Times New Roman" w:hAnsi="Times New Roman" w:eastAsia="方正仿宋_GBK" w:cs="Times New Roman"/>
          <w:color w:val="auto"/>
          <w:kern w:val="2"/>
          <w:sz w:val="30"/>
          <w:szCs w:val="30"/>
          <w:highlight w:val="none"/>
          <w:lang w:val="en-US" w:eastAsia="zh-CN" w:bidi="ar-SA"/>
        </w:rPr>
        <w:t>党的二十大报告中明确指出，在促进教育优化的过程中，要不断实现人民满意的教育目标，坚持以人民为核心的教育发展理念，不断搭建高质量的教学体系，全面发展素质教育，促进教育公平。在《中国教育现代化2035》再一次提出了要实现基本公共教育服务均等化的目标，全面推动教育均衡发展。在此基础上，一些地方政府也先后出台了多项政策，全力支持和保障集团化办学的可持续发展。由此可见，在未来很长一段时间，集团化办学将成为国家以及地方全面推进基础教育优化、均衡发展的重要方式。</w:t>
      </w:r>
      <w:r>
        <w:rPr>
          <w:rFonts w:hint="eastAsia" w:ascii="Microsoft YaHei UI" w:hAnsi="Microsoft YaHei UI" w:eastAsia="Microsoft YaHei UI" w:cs="Microsoft YaHei UI"/>
          <w:i w:val="0"/>
          <w:iCs w:val="0"/>
          <w:caps w:val="0"/>
          <w:color w:val="7B0C00"/>
          <w:spacing w:val="15"/>
          <w:sz w:val="25"/>
          <w:szCs w:val="25"/>
        </w:rPr>
        <w:t>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基础教育在国民教育体系中处于基础性、先导性地位，是造就人才和提高国民素质的奠基工程，寄托着人民群众对美好生活的期盼。同心县坚持把教育落在民生上、落在民心上，以实施“五大工程”为载体，全力推进基础教育质量提升行动，加快构建更加公平、更高质量的基础教育体系，切实提升群众的幸福感、获得感。</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王团镇中心小学室外现有场所已不能满足发展的需要，学校为进一步落实新时期教育方针，改善教学设施条件，提高教学质量和教学水平，促进教学、科研、服务整体水平的提高，满足教学的需要，决定拟建一座三层的综合教学楼。</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为加快补齐教育硬件短板，全力办好人民满意教育，打造民心工程，提升教育水平，</w:t>
      </w:r>
      <w:r>
        <w:rPr>
          <w:rFonts w:hint="eastAsia" w:ascii="Times New Roman" w:hAnsi="Times New Roman" w:eastAsia="方正仿宋_GBK" w:cs="Times New Roman"/>
          <w:color w:val="auto"/>
          <w:kern w:val="2"/>
          <w:sz w:val="30"/>
          <w:szCs w:val="30"/>
          <w:highlight w:val="none"/>
          <w:lang w:val="en-US" w:eastAsia="zh-CN" w:bidi="ar-SA"/>
        </w:rPr>
        <w:t>同心</w:t>
      </w:r>
      <w:r>
        <w:rPr>
          <w:rFonts w:hint="default" w:ascii="Times New Roman" w:hAnsi="Times New Roman" w:eastAsia="方正仿宋_GBK" w:cs="Times New Roman"/>
          <w:color w:val="auto"/>
          <w:kern w:val="2"/>
          <w:sz w:val="30"/>
          <w:szCs w:val="30"/>
          <w:highlight w:val="none"/>
          <w:lang w:val="en-US" w:eastAsia="zh-CN" w:bidi="ar-SA"/>
        </w:rPr>
        <w:t>县高标准高质量推进</w:t>
      </w:r>
      <w:r>
        <w:rPr>
          <w:rFonts w:hint="eastAsia" w:ascii="Times New Roman" w:hAnsi="Times New Roman" w:eastAsia="方正仿宋_GBK" w:cs="Times New Roman"/>
          <w:color w:val="auto"/>
          <w:kern w:val="2"/>
          <w:sz w:val="30"/>
          <w:szCs w:val="30"/>
          <w:highlight w:val="none"/>
          <w:lang w:val="en-US" w:eastAsia="zh-CN" w:bidi="ar-SA"/>
        </w:rPr>
        <w:t>王团镇中心小学</w:t>
      </w:r>
      <w:r>
        <w:rPr>
          <w:rFonts w:hint="default" w:ascii="Times New Roman" w:hAnsi="Times New Roman" w:eastAsia="方正仿宋_GBK" w:cs="Times New Roman"/>
          <w:color w:val="auto"/>
          <w:kern w:val="2"/>
          <w:sz w:val="30"/>
          <w:szCs w:val="30"/>
          <w:highlight w:val="none"/>
          <w:lang w:val="en-US" w:eastAsia="zh-CN" w:bidi="ar-SA"/>
        </w:rPr>
        <w:t>综合楼建设项目，改善</w:t>
      </w:r>
      <w:r>
        <w:rPr>
          <w:rFonts w:hint="eastAsia" w:ascii="Times New Roman" w:hAnsi="Times New Roman" w:eastAsia="方正仿宋_GBK" w:cs="Times New Roman"/>
          <w:color w:val="auto"/>
          <w:kern w:val="2"/>
          <w:sz w:val="30"/>
          <w:szCs w:val="30"/>
          <w:highlight w:val="none"/>
          <w:lang w:val="en-US" w:eastAsia="zh-CN" w:bidi="ar-SA"/>
        </w:rPr>
        <w:t>基础教育设施，为学生提供更优质的学习环境</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w:t>
      </w:r>
      <w:r>
        <w:rPr>
          <w:rFonts w:hint="default" w:ascii="Times New Roman" w:hAnsi="Times New Roman" w:eastAsia="方正仿宋_GBK" w:cs="Times New Roman"/>
          <w:color w:val="auto"/>
          <w:kern w:val="2"/>
          <w:sz w:val="30"/>
          <w:szCs w:val="30"/>
          <w:highlight w:val="none"/>
          <w:lang w:val="en-US" w:eastAsia="zh-CN" w:bidi="ar-SA"/>
        </w:rPr>
        <w:t>县持续推进乡村温馨校园建设，巩固拓展教育脱贫攻坚成果，提升乡村基础教育质量，助力乡村振兴，把乡村温馨校园建设与推进义务教育城乡一体化改革发展、实施乡村教育振兴、提升基础教育质量行动同部署同推进同落实。统筹利用好义务教育薄弱环节改善与能力提升工作项目，不断改善乡村学校办学条件，强化乡村学校学习、生活和文化环境建设，切实抬高乡村教育底部，整体提升义务教育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二.、项目预算资金</w:t>
      </w:r>
      <w:bookmarkEnd w:id="1"/>
      <w:bookmarkEnd w:id="2"/>
      <w:bookmarkEnd w:id="3"/>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4" w:name="_Toc3837"/>
      <w:bookmarkStart w:id="5" w:name="_Toc30853"/>
      <w:r>
        <w:rPr>
          <w:rFonts w:hint="eastAsia" w:ascii="Times New Roman" w:hAnsi="Times New Roman" w:eastAsia="方正仿宋_GB2312" w:cs="Times New Roman"/>
          <w:kern w:val="2"/>
          <w:sz w:val="30"/>
          <w:szCs w:val="30"/>
          <w:lang w:val="en-US" w:eastAsia="zh-CN" w:bidi="ar-SA"/>
        </w:rPr>
        <w:t>根据《自治区财政厅 自治区教育厅关于提前下达2022年部分教育项目资金预算（第二批）的通知》（宁财（教）指标</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625</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，提前下达2022年中央和自治区义务教育薄弱环节改善与能力提升补助资金。本次绩效评价涉及评价</w:t>
      </w:r>
      <w:r>
        <w:rPr>
          <w:rFonts w:hint="eastAsia" w:ascii="Times New Roman" w:hAnsi="Times New Roman" w:eastAsia="方正仿宋_GB2312" w:cs="Times New Roman"/>
          <w:kern w:val="2"/>
          <w:sz w:val="30"/>
          <w:szCs w:val="30"/>
          <w:lang w:val="en-US" w:eastAsia="zh-CN" w:bidi="ar-SA"/>
        </w:rPr>
        <w:t>资金为539.00万元。</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截至目前，实际支出539.00万元，预算执行率100.00%。</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4"/>
      <w:bookmarkEnd w:id="5"/>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87</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良</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6" w:name="_Toc10088"/>
      <w:bookmarkStart w:id="7" w:name="_Toc16100"/>
      <w:bookmarkStart w:id="8" w:name="_Toc21407"/>
      <w:bookmarkStart w:id="9" w:name="_Toc14268"/>
      <w:bookmarkStart w:id="10" w:name="_Toc1237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四、主要经验</w:t>
      </w:r>
      <w:bookmarkEnd w:id="6"/>
      <w:bookmarkEnd w:id="7"/>
      <w:bookmarkEnd w:id="8"/>
      <w:bookmarkEnd w:id="9"/>
      <w:bookmarkEnd w:id="10"/>
      <w:bookmarkStart w:id="11" w:name="_Toc3362"/>
      <w:bookmarkStart w:id="12" w:name="_Toc5586"/>
      <w:bookmarkStart w:id="13" w:name="_Toc2901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bookmarkEnd w:id="11"/>
    <w:bookmarkEnd w:id="12"/>
    <w:bookmarkEnd w:id="13"/>
    <w:p>
      <w:pPr>
        <w:pStyle w:val="4"/>
        <w:ind w:firstLine="562"/>
        <w:rPr>
          <w:rFonts w:ascii="方正楷体_GBK" w:hAnsi="方正楷体_GBK" w:eastAsia="方正楷体_GBK" w:cs="方正楷体_GBK"/>
          <w:b/>
          <w:bCs w:val="0"/>
          <w:sz w:val="32"/>
          <w:szCs w:val="32"/>
        </w:rPr>
      </w:pPr>
      <w:bookmarkStart w:id="14" w:name="_Toc5249"/>
      <w:r>
        <w:rPr>
          <w:rFonts w:hint="eastAsia" w:ascii="方正楷体_GBK" w:hAnsi="方正楷体_GBK" w:eastAsia="方正楷体_GBK" w:cs="方正楷体_GBK"/>
          <w:b/>
          <w:bCs w:val="0"/>
          <w:sz w:val="32"/>
          <w:szCs w:val="32"/>
        </w:rPr>
        <w:t>（一）经验做法</w:t>
      </w:r>
      <w:bookmarkEnd w:id="14"/>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一是</w:t>
      </w:r>
      <w:r>
        <w:rPr>
          <w:rFonts w:hint="eastAsia" w:ascii="Times New Roman" w:hAnsi="Times New Roman" w:eastAsia="方正仿宋_GBK" w:cs="Times New Roman"/>
          <w:color w:val="auto"/>
          <w:kern w:val="2"/>
          <w:sz w:val="30"/>
          <w:szCs w:val="30"/>
          <w:highlight w:val="none"/>
          <w:lang w:val="en-US" w:eastAsia="zh-CN" w:bidi="ar-SA"/>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杜绝不合格材料进场，严格执行“三检制”要求，保证了各项工作按施工规范进行施工，工程质量得到了有效保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监理单位实施了现场监理并对重点部位、关键工序实行了旁站监理，严把审核关，工程质量得到有效控制，保证了各项工作的相衔接。</w:t>
      </w:r>
    </w:p>
    <w:p>
      <w:pPr>
        <w:pStyle w:val="4"/>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5" w:name="_Toc22246"/>
      <w:r>
        <w:rPr>
          <w:rFonts w:hint="eastAsia" w:ascii="方正楷体_GBK" w:hAnsi="方正楷体_GBK" w:eastAsia="方正楷体_GBK" w:cs="方正楷体_GBK"/>
          <w:b/>
          <w:bCs w:val="0"/>
          <w:sz w:val="32"/>
          <w:szCs w:val="32"/>
        </w:rPr>
        <w:t>（二）存在的问题</w:t>
      </w:r>
      <w:bookmarkEnd w:id="15"/>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前期工作欠缺，未制定项目实施方案。</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未制定具体的项目实施方案。项目单位没有针对本项目制定具体的实施方案，仅提供了《同心县教育局合同业务工作流程图、风险点及主要防控措施》，这两个文件虽对工作开展有一定的约束和指导意义，能够解决部分相关问题，但无法明确项目实施的整体进度计划、项目组织架构、具体工程管理及资金管理方案也缺乏对项目所需的资金进行计划安排和风险分析，不利于项目按计划实施开展，同时不利于项目单位管理职能有效发挥。</w:t>
      </w:r>
    </w:p>
    <w:p>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项目单位监管意识不强</w:t>
      </w:r>
      <w:r>
        <w:rPr>
          <w:rFonts w:hint="eastAsia" w:ascii="Times New Roman" w:hAnsi="Times New Roman" w:eastAsia="方正仿宋_GBK" w:cs="Times New Roman"/>
          <w:b w:val="0"/>
          <w:kern w:val="2"/>
          <w:sz w:val="30"/>
          <w:szCs w:val="30"/>
          <w:lang w:val="en-US" w:eastAsia="zh-CN" w:bidi="zh-CN"/>
        </w:rPr>
        <w:t>。</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过程监管不到位项目实施过程中，项目单位监管意识较弱，且监管工作不规范，缺少检查通知、检查图片、项目整改材料等监管材料，难以体现项目单位监管工作的内容。按照项目建设管理的相关规定，项目单位应对项目实施过程的安全问题、项目进度和质量问题等进行监督和管理，从而体现出项目单位对各参建单位工作进行规范的监管，发挥项目单位的监督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4.项目完工后，久拖不“决”。</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主体改造项目在结算审核、竣工财务决算编制、会计核算、在建工程“转固”等方面存在一些亟待解决的问题。竣工财务决算工作严重滞后，导致新增资产价值难以确认。</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6" w:name="_Toc19915"/>
      <w:r>
        <w:rPr>
          <w:rFonts w:hint="eastAsia" w:ascii="方正楷体_GBK" w:hAnsi="方正楷体_GBK" w:eastAsia="方正楷体_GBK" w:cs="方正楷体_GBK"/>
          <w:color w:val="333333"/>
          <w:sz w:val="30"/>
          <w:szCs w:val="30"/>
          <w:shd w:val="clear" w:fill="FFFFFF"/>
          <w:lang w:val="en-US" w:eastAsia="zh-CN" w:bidi="zh-CN"/>
        </w:rPr>
        <w:t>（三）建议</w:t>
      </w:r>
      <w:bookmarkEnd w:id="1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pStyle w:val="2"/>
        <w:numPr>
          <w:ilvl w:val="0"/>
          <w:numId w:val="3"/>
        </w:numPr>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加强前期工作管理，制定项目实施方案。</w:t>
      </w:r>
    </w:p>
    <w:p>
      <w:pPr>
        <w:pStyle w:val="2"/>
        <w:keepNext/>
        <w:keepLines/>
        <w:pageBreakBefore w:val="0"/>
        <w:widowControl w:val="0"/>
        <w:numPr>
          <w:ilvl w:val="0"/>
          <w:numId w:val="0"/>
        </w:numPr>
        <w:kinsoku/>
        <w:wordWrap/>
        <w:overflowPunct w:val="0"/>
        <w:topLinePunct w:val="0"/>
        <w:autoSpaceDE/>
        <w:autoSpaceDN/>
        <w:bidi w:val="0"/>
        <w:adjustRightInd/>
        <w:snapToGrid w:val="0"/>
        <w:ind w:firstLine="592" w:firstLineChars="200"/>
        <w:textAlignment w:val="auto"/>
        <w:rPr>
          <w:rFonts w:hint="eastAsia" w:ascii="方正仿宋_GBK" w:hAnsi="方正仿宋_GBK" w:eastAsia="方正仿宋_GBK" w:cs="方正仿宋_GBK"/>
          <w:b w:val="0"/>
          <w:color w:val="000000"/>
          <w:kern w:val="0"/>
          <w:sz w:val="30"/>
          <w:szCs w:val="30"/>
          <w:lang w:val="en-US" w:eastAsia="zh-CN" w:bidi="ar"/>
        </w:rPr>
      </w:pPr>
      <w:r>
        <w:rPr>
          <w:rFonts w:hint="eastAsia" w:ascii="方正仿宋_GBK" w:hAnsi="方正仿宋_GBK" w:eastAsia="方正仿宋_GBK" w:cs="方正仿宋_GBK"/>
          <w:b w:val="0"/>
          <w:color w:val="000000"/>
          <w:kern w:val="0"/>
          <w:sz w:val="30"/>
          <w:szCs w:val="30"/>
          <w:lang w:val="en-US" w:eastAsia="zh-CN" w:bidi="ar"/>
        </w:rPr>
        <w:t>为项目顺利实施提供保障。建议做好项目总体实施方案，重视项目实施方案的指导性作用，制定项目实施计划，包括项目实施的时间节点人员安排、资金来源、保障措施等，并完善风险防控、质量管理制度。同时，建立并落实问责机制，最大程度上保障项目的顺利实施。</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3.加强对项目实施过程的监督，提升监管意识。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议项目单位要切实履行好监管职能，完善项目管理制度体系。在已有的项目管理制度上进一步制定项目进度跟踪监督制度，并严格执行，通过组织项目管理小组形式，以项目建设时间和项目监督进度计划为依据，组织安排管理小组人员对项目实施进度进行定期检查及不定期抽查，以保证项目可以如期推进，对于检查过程中发现的项目进度滞后等问题，进行及时整改，同时做好相关的监督检查记录。此外，加强对项目质量的检查和监督，对存在质量问题的项目要采取纠正措施，及时要求施工单位进行整改，确保项目完成质量符合要求。</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加强项目实施过程的规范管理工作。一方面，规范项目招投标、建设、验收等阶段的工作，遵循《建设工程质量管理条例》，增强对项目实施、验收等环节审核的严谨性规范性，在日常工作中随时对项目材料进行必要的抽查或普查。另一方面，完善常态化监管和阶段性监督机制，完善各项规范性监督管理佐证资料。建设单位主管机构也应设定监督评价机构，对诸如立项审批、项目委托、各项招标工作的合规性，合同签订的规范性、资金支付合规与及时性等方面及时发现建设单位实施过程中相关问题，并要求其认真整改。</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4.提升决算意识，履行决算职能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b/>
          <w:bCs/>
          <w:sz w:val="30"/>
          <w:szCs w:val="30"/>
          <w:lang w:val="en-US" w:eastAsia="zh-CN"/>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bidi w:val="0"/>
        <w:ind w:left="0" w:leftChars="0" w:firstLine="0" w:firstLineChars="0"/>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b/>
          <w:bCs/>
          <w:sz w:val="32"/>
          <w:szCs w:val="32"/>
          <w:lang w:val="en-US" w:eastAsia="zh-CN"/>
        </w:rPr>
        <w:t>目 录</w:t>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sz w:val="24"/>
          <w:szCs w:val="24"/>
        </w:rPr>
      </w:pPr>
      <w:r>
        <w:rPr>
          <w:rFonts w:hint="default" w:ascii="Times New Roman" w:hAnsi="Times New Roman" w:eastAsia="仿宋" w:cs="Times New Roman"/>
          <w:b w:val="0"/>
          <w:bCs w:val="0"/>
          <w:kern w:val="0"/>
          <w:sz w:val="28"/>
          <w:szCs w:val="28"/>
          <w:lang w:val="en-US" w:eastAsia="zh-CN" w:bidi="zh-CN"/>
        </w:rPr>
        <w:fldChar w:fldCharType="begin"/>
      </w:r>
      <w:r>
        <w:rPr>
          <w:rFonts w:hint="default" w:ascii="Times New Roman" w:hAnsi="Times New Roman" w:eastAsia="仿宋" w:cs="Times New Roman"/>
          <w:b w:val="0"/>
          <w:bCs w:val="0"/>
          <w:kern w:val="0"/>
          <w:sz w:val="28"/>
          <w:szCs w:val="28"/>
          <w:lang w:val="en-US" w:eastAsia="zh-CN" w:bidi="zh-CN"/>
        </w:rPr>
        <w:instrText xml:space="preserve">TOC \o "1-3" \h \u </w:instrText>
      </w:r>
      <w:r>
        <w:rPr>
          <w:rFonts w:hint="default" w:ascii="Times New Roman" w:hAnsi="Times New Roman" w:eastAsia="仿宋" w:cs="Times New Roman"/>
          <w:b w:val="0"/>
          <w:bCs w:val="0"/>
          <w:kern w:val="0"/>
          <w:sz w:val="28"/>
          <w:szCs w:val="28"/>
          <w:lang w:val="en-US" w:eastAsia="zh-CN" w:bidi="zh-CN"/>
        </w:rPr>
        <w:fldChar w:fldCharType="separate"/>
      </w: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_Toc5715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一、项目基本情况</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_Toc5715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1</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_Toc16069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（一）项目背景</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_Toc16069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_Toc25148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（二）项目实施主要内容</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_Toc25148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3</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_Toc30884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二、项目资金预算安排和使用情况</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_Toc30884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5</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_Toc28024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三、项目绩效目标</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_Toc28024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5</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_Toc30597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（一）绩效目标</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_Toc30597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5</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_Toc11695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（二） 项目绩效目标</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_Toc11695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6</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_Toc9328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四、绩效评价工作开展情况</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_Toc9328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7</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_Toc29149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（一）绩效评价目的</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_Toc29149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7</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_Toc15419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（二）绩效评价对象</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_Toc15419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8</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_Toc11808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（三）评价依据</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_Toc11808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8</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_Toc8986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（四）评价原则</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_Toc8986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9</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_Toc14153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sz w:val="24"/>
          <w:szCs w:val="24"/>
          <w:lang w:val="en-US" w:eastAsia="zh-CN"/>
        </w:rPr>
        <w:t>（五）评价标准</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_Toc14153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10</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_Toc26623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rPr>
        <w:t>（</w:t>
      </w:r>
      <w:r>
        <w:rPr>
          <w:rFonts w:hint="eastAsia" w:ascii="华文楷体" w:hAnsi="华文楷体" w:eastAsia="华文楷体" w:cs="华文楷体"/>
          <w:sz w:val="24"/>
          <w:szCs w:val="24"/>
          <w:lang w:eastAsia="zh-CN"/>
        </w:rPr>
        <w:t>六</w:t>
      </w:r>
      <w:r>
        <w:rPr>
          <w:rFonts w:hint="eastAsia" w:ascii="华文楷体" w:hAnsi="华文楷体" w:eastAsia="华文楷体" w:cs="华文楷体"/>
          <w:sz w:val="24"/>
          <w:szCs w:val="24"/>
        </w:rPr>
        <w:t>）评价指标体系</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_Toc26623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10</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_Toc1256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eastAsia="zh-CN"/>
        </w:rPr>
        <w:t>（七）</w:t>
      </w:r>
      <w:r>
        <w:rPr>
          <w:rFonts w:hint="eastAsia" w:ascii="华文楷体" w:hAnsi="华文楷体" w:eastAsia="华文楷体" w:cs="华文楷体"/>
          <w:sz w:val="24"/>
          <w:szCs w:val="24"/>
        </w:rPr>
        <w:t>评价方法</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_Toc1256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12</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_Toc1436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（八）绩效评价工作过程</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_Toc1436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13</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_Toc24352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五</w:t>
      </w:r>
      <w:r>
        <w:rPr>
          <w:rFonts w:hint="eastAsia" w:ascii="华文楷体" w:hAnsi="华文楷体" w:eastAsia="华文楷体" w:cs="华文楷体"/>
          <w:b/>
          <w:bCs/>
          <w:sz w:val="24"/>
          <w:szCs w:val="24"/>
        </w:rPr>
        <w:t>、综合评价情况及评价结论</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_Toc24352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15</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_Toc25087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（一）项目完成情况</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_Toc25087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15</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_Toc5264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（二）评价结论</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_Toc5264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16</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_Toc20229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六、绩效评价指标分析</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_Toc20229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18</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_Toc24092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val="0"/>
          <w:spacing w:val="0"/>
          <w:sz w:val="24"/>
          <w:szCs w:val="24"/>
          <w:lang w:eastAsia="zh-CN"/>
        </w:rPr>
        <w:t>（一）</w:t>
      </w:r>
      <w:r>
        <w:rPr>
          <w:rFonts w:hint="eastAsia" w:ascii="华文楷体" w:hAnsi="华文楷体" w:eastAsia="华文楷体" w:cs="华文楷体"/>
          <w:bCs w:val="0"/>
          <w:spacing w:val="0"/>
          <w:sz w:val="24"/>
          <w:szCs w:val="24"/>
        </w:rPr>
        <w:t>项目决策情</w:t>
      </w:r>
      <w:r>
        <w:rPr>
          <w:rFonts w:hint="eastAsia" w:ascii="华文楷体" w:hAnsi="华文楷体" w:eastAsia="华文楷体" w:cs="华文楷体"/>
          <w:bCs w:val="0"/>
          <w:sz w:val="24"/>
          <w:szCs w:val="24"/>
        </w:rPr>
        <w:t>况</w:t>
      </w:r>
      <w:r>
        <w:rPr>
          <w:rFonts w:hint="eastAsia" w:ascii="华文楷体" w:hAnsi="华文楷体" w:eastAsia="华文楷体" w:cs="华文楷体"/>
          <w:bCs w:val="0"/>
          <w:sz w:val="24"/>
          <w:szCs w:val="24"/>
          <w:lang w:eastAsia="zh-CN"/>
        </w:rPr>
        <w:t>分析</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_Toc24092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18</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_Toc6168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z w:val="24"/>
          <w:szCs w:val="24"/>
          <w:lang w:val="en-US" w:eastAsia="zh-CN"/>
        </w:rPr>
        <w:t>（二）项目过程</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_Toc6168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20</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_Toc15690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pacing w:val="0"/>
          <w:sz w:val="24"/>
          <w:szCs w:val="24"/>
          <w:lang w:eastAsia="zh-CN"/>
        </w:rPr>
        <w:t>（三）</w:t>
      </w:r>
      <w:r>
        <w:rPr>
          <w:rFonts w:hint="eastAsia" w:ascii="华文楷体" w:hAnsi="华文楷体" w:eastAsia="华文楷体" w:cs="华文楷体"/>
          <w:spacing w:val="0"/>
          <w:sz w:val="24"/>
          <w:szCs w:val="24"/>
        </w:rPr>
        <w:t>项目</w:t>
      </w:r>
      <w:r>
        <w:rPr>
          <w:rFonts w:hint="eastAsia" w:ascii="华文楷体" w:hAnsi="华文楷体" w:eastAsia="华文楷体" w:cs="华文楷体"/>
          <w:spacing w:val="0"/>
          <w:sz w:val="24"/>
          <w:szCs w:val="24"/>
          <w:lang w:eastAsia="zh-CN"/>
        </w:rPr>
        <w:t>产出</w:t>
      </w:r>
      <w:r>
        <w:rPr>
          <w:rFonts w:hint="eastAsia" w:ascii="华文楷体" w:hAnsi="华文楷体" w:eastAsia="华文楷体" w:cs="华文楷体"/>
          <w:spacing w:val="0"/>
          <w:sz w:val="24"/>
          <w:szCs w:val="24"/>
        </w:rPr>
        <w:t>情况</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_Toc15690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22</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_Toc3030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spacing w:val="0"/>
          <w:sz w:val="24"/>
          <w:szCs w:val="24"/>
          <w:lang w:eastAsia="zh-CN"/>
        </w:rPr>
        <w:t>（四）</w:t>
      </w:r>
      <w:r>
        <w:rPr>
          <w:rFonts w:hint="eastAsia" w:ascii="华文楷体" w:hAnsi="华文楷体" w:eastAsia="华文楷体" w:cs="华文楷体"/>
          <w:spacing w:val="0"/>
          <w:sz w:val="24"/>
          <w:szCs w:val="24"/>
        </w:rPr>
        <w:t>项目</w:t>
      </w:r>
      <w:r>
        <w:rPr>
          <w:rFonts w:hint="eastAsia" w:ascii="华文楷体" w:hAnsi="华文楷体" w:eastAsia="华文楷体" w:cs="华文楷体"/>
          <w:spacing w:val="0"/>
          <w:sz w:val="24"/>
          <w:szCs w:val="24"/>
          <w:lang w:eastAsia="zh-CN"/>
        </w:rPr>
        <w:t>效益</w:t>
      </w:r>
      <w:r>
        <w:rPr>
          <w:rFonts w:hint="eastAsia" w:ascii="华文楷体" w:hAnsi="华文楷体" w:eastAsia="华文楷体" w:cs="华文楷体"/>
          <w:spacing w:val="0"/>
          <w:sz w:val="24"/>
          <w:szCs w:val="24"/>
        </w:rPr>
        <w:t>情况</w:t>
      </w:r>
      <w:r>
        <w:rPr>
          <w:rFonts w:hint="eastAsia" w:ascii="华文楷体" w:hAnsi="华文楷体" w:eastAsia="华文楷体" w:cs="华文楷体"/>
          <w:spacing w:val="0"/>
          <w:sz w:val="24"/>
          <w:szCs w:val="24"/>
          <w:lang w:eastAsia="zh-CN"/>
        </w:rPr>
        <w:t>分析</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_Toc3030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25</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5"/>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0" w:firstLineChars="0"/>
        <w:jc w:val="both"/>
        <w:textAlignment w:val="auto"/>
        <w:rPr>
          <w:rFonts w:hint="eastAsia" w:ascii="华文楷体" w:hAnsi="华文楷体" w:eastAsia="华文楷体" w:cs="华文楷体"/>
          <w:b/>
          <w:bCs/>
          <w:sz w:val="24"/>
          <w:szCs w:val="24"/>
        </w:rPr>
      </w:pPr>
      <w:r>
        <w:rPr>
          <w:rFonts w:hint="eastAsia" w:ascii="华文楷体" w:hAnsi="华文楷体" w:eastAsia="华文楷体" w:cs="华文楷体"/>
          <w:b/>
          <w:bCs/>
          <w:kern w:val="0"/>
          <w:sz w:val="24"/>
          <w:szCs w:val="24"/>
          <w:lang w:val="en-US" w:eastAsia="zh-CN" w:bidi="zh-CN"/>
        </w:rPr>
        <w:fldChar w:fldCharType="begin"/>
      </w:r>
      <w:r>
        <w:rPr>
          <w:rFonts w:hint="eastAsia" w:ascii="华文楷体" w:hAnsi="华文楷体" w:eastAsia="华文楷体" w:cs="华文楷体"/>
          <w:b/>
          <w:bCs/>
          <w:kern w:val="0"/>
          <w:sz w:val="24"/>
          <w:szCs w:val="24"/>
          <w:lang w:val="en-US" w:eastAsia="zh-CN" w:bidi="zh-CN"/>
        </w:rPr>
        <w:instrText xml:space="preserve"> HYPERLINK \l _Toc19145 </w:instrText>
      </w:r>
      <w:r>
        <w:rPr>
          <w:rFonts w:hint="eastAsia" w:ascii="华文楷体" w:hAnsi="华文楷体" w:eastAsia="华文楷体" w:cs="华文楷体"/>
          <w:b/>
          <w:bCs/>
          <w:kern w:val="0"/>
          <w:sz w:val="24"/>
          <w:szCs w:val="24"/>
          <w:lang w:val="en-US" w:eastAsia="zh-CN" w:bidi="zh-CN"/>
        </w:rPr>
        <w:fldChar w:fldCharType="separate"/>
      </w:r>
      <w:r>
        <w:rPr>
          <w:rFonts w:hint="eastAsia" w:ascii="华文楷体" w:hAnsi="华文楷体" w:eastAsia="华文楷体" w:cs="华文楷体"/>
          <w:b/>
          <w:bCs/>
          <w:sz w:val="24"/>
          <w:szCs w:val="24"/>
          <w:lang w:val="en-US" w:eastAsia="zh-CN"/>
        </w:rPr>
        <w:t>七</w:t>
      </w:r>
      <w:r>
        <w:rPr>
          <w:rFonts w:hint="eastAsia" w:ascii="华文楷体" w:hAnsi="华文楷体" w:eastAsia="华文楷体" w:cs="华文楷体"/>
          <w:b/>
          <w:bCs/>
          <w:sz w:val="24"/>
          <w:szCs w:val="24"/>
        </w:rPr>
        <w:t>、主要经验做法、存在问题及建议</w:t>
      </w:r>
      <w:r>
        <w:rPr>
          <w:rFonts w:hint="eastAsia" w:ascii="华文楷体" w:hAnsi="华文楷体" w:eastAsia="华文楷体" w:cs="华文楷体"/>
          <w:b/>
          <w:bCs/>
          <w:sz w:val="24"/>
          <w:szCs w:val="24"/>
        </w:rPr>
        <w:tab/>
      </w:r>
      <w:r>
        <w:rPr>
          <w:rFonts w:hint="eastAsia" w:ascii="华文楷体" w:hAnsi="华文楷体" w:eastAsia="华文楷体" w:cs="华文楷体"/>
          <w:b/>
          <w:bCs/>
          <w:sz w:val="24"/>
          <w:szCs w:val="24"/>
        </w:rPr>
        <w:fldChar w:fldCharType="begin"/>
      </w:r>
      <w:r>
        <w:rPr>
          <w:rFonts w:hint="eastAsia" w:ascii="华文楷体" w:hAnsi="华文楷体" w:eastAsia="华文楷体" w:cs="华文楷体"/>
          <w:b/>
          <w:bCs/>
          <w:sz w:val="24"/>
          <w:szCs w:val="24"/>
        </w:rPr>
        <w:instrText xml:space="preserve"> PAGEREF _Toc19145 \h </w:instrText>
      </w:r>
      <w:r>
        <w:rPr>
          <w:rFonts w:hint="eastAsia" w:ascii="华文楷体" w:hAnsi="华文楷体" w:eastAsia="华文楷体" w:cs="华文楷体"/>
          <w:b/>
          <w:bCs/>
          <w:sz w:val="24"/>
          <w:szCs w:val="24"/>
        </w:rPr>
        <w:fldChar w:fldCharType="separate"/>
      </w:r>
      <w:r>
        <w:rPr>
          <w:rFonts w:hint="eastAsia" w:ascii="华文楷体" w:hAnsi="华文楷体" w:eastAsia="华文楷体" w:cs="华文楷体"/>
          <w:b/>
          <w:bCs/>
          <w:sz w:val="24"/>
          <w:szCs w:val="24"/>
        </w:rPr>
        <w:t>27</w:t>
      </w:r>
      <w:r>
        <w:rPr>
          <w:rFonts w:hint="eastAsia" w:ascii="华文楷体" w:hAnsi="华文楷体" w:eastAsia="华文楷体" w:cs="华文楷体"/>
          <w:b/>
          <w:bCs/>
          <w:sz w:val="24"/>
          <w:szCs w:val="24"/>
        </w:rPr>
        <w:fldChar w:fldCharType="end"/>
      </w:r>
      <w:r>
        <w:rPr>
          <w:rFonts w:hint="eastAsia" w:ascii="华文楷体" w:hAnsi="华文楷体" w:eastAsia="华文楷体" w:cs="华文楷体"/>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sz w:val="24"/>
          <w:szCs w:val="24"/>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_Toc8542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val="0"/>
          <w:sz w:val="24"/>
          <w:szCs w:val="24"/>
        </w:rPr>
        <w:t>（一）经验做法</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_Toc8542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27</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bCs w:val="0"/>
          <w:kern w:val="0"/>
          <w:sz w:val="24"/>
          <w:szCs w:val="24"/>
          <w:lang w:val="en-US" w:eastAsia="zh-CN" w:bidi="zh-CN"/>
        </w:rPr>
      </w:pPr>
      <w:r>
        <w:rPr>
          <w:rFonts w:hint="eastAsia" w:ascii="华文楷体" w:hAnsi="华文楷体" w:eastAsia="华文楷体" w:cs="华文楷体"/>
          <w:bCs w:val="0"/>
          <w:kern w:val="0"/>
          <w:sz w:val="24"/>
          <w:szCs w:val="24"/>
          <w:lang w:val="en-US" w:eastAsia="zh-CN" w:bidi="zh-CN"/>
        </w:rPr>
        <w:fldChar w:fldCharType="begin"/>
      </w:r>
      <w:r>
        <w:rPr>
          <w:rFonts w:hint="eastAsia" w:ascii="华文楷体" w:hAnsi="华文楷体" w:eastAsia="华文楷体" w:cs="华文楷体"/>
          <w:bCs w:val="0"/>
          <w:kern w:val="0"/>
          <w:sz w:val="24"/>
          <w:szCs w:val="24"/>
          <w:lang w:val="en-US" w:eastAsia="zh-CN" w:bidi="zh-CN"/>
        </w:rPr>
        <w:instrText xml:space="preserve"> HYPERLINK \l _Toc2806 </w:instrText>
      </w:r>
      <w:r>
        <w:rPr>
          <w:rFonts w:hint="eastAsia" w:ascii="华文楷体" w:hAnsi="华文楷体" w:eastAsia="华文楷体" w:cs="华文楷体"/>
          <w:bCs w:val="0"/>
          <w:kern w:val="0"/>
          <w:sz w:val="24"/>
          <w:szCs w:val="24"/>
          <w:lang w:val="en-US" w:eastAsia="zh-CN" w:bidi="zh-CN"/>
        </w:rPr>
        <w:fldChar w:fldCharType="separate"/>
      </w:r>
      <w:r>
        <w:rPr>
          <w:rFonts w:hint="eastAsia" w:ascii="华文楷体" w:hAnsi="华文楷体" w:eastAsia="华文楷体" w:cs="华文楷体"/>
          <w:bCs w:val="0"/>
          <w:sz w:val="24"/>
          <w:szCs w:val="24"/>
        </w:rPr>
        <w:t>（二）存在的问题</w:t>
      </w:r>
      <w:r>
        <w:rPr>
          <w:rFonts w:hint="eastAsia" w:ascii="华文楷体" w:hAnsi="华文楷体" w:eastAsia="华文楷体" w:cs="华文楷体"/>
          <w:sz w:val="24"/>
          <w:szCs w:val="24"/>
        </w:rPr>
        <w:tab/>
      </w:r>
      <w:r>
        <w:rPr>
          <w:rFonts w:hint="eastAsia" w:ascii="华文楷体" w:hAnsi="华文楷体" w:eastAsia="华文楷体" w:cs="华文楷体"/>
          <w:sz w:val="24"/>
          <w:szCs w:val="24"/>
        </w:rPr>
        <w:fldChar w:fldCharType="begin"/>
      </w:r>
      <w:r>
        <w:rPr>
          <w:rFonts w:hint="eastAsia" w:ascii="华文楷体" w:hAnsi="华文楷体" w:eastAsia="华文楷体" w:cs="华文楷体"/>
          <w:sz w:val="24"/>
          <w:szCs w:val="24"/>
        </w:rPr>
        <w:instrText xml:space="preserve"> PAGEREF _Toc2806 \h </w:instrText>
      </w:r>
      <w:r>
        <w:rPr>
          <w:rFonts w:hint="eastAsia" w:ascii="华文楷体" w:hAnsi="华文楷体" w:eastAsia="华文楷体" w:cs="华文楷体"/>
          <w:sz w:val="24"/>
          <w:szCs w:val="24"/>
        </w:rPr>
        <w:fldChar w:fldCharType="separate"/>
      </w:r>
      <w:r>
        <w:rPr>
          <w:rFonts w:hint="eastAsia" w:ascii="华文楷体" w:hAnsi="华文楷体" w:eastAsia="华文楷体" w:cs="华文楷体"/>
          <w:sz w:val="24"/>
          <w:szCs w:val="24"/>
        </w:rPr>
        <w:t>28</w:t>
      </w:r>
      <w:r>
        <w:rPr>
          <w:rFonts w:hint="eastAsia" w:ascii="华文楷体" w:hAnsi="华文楷体" w:eastAsia="华文楷体" w:cs="华文楷体"/>
          <w:sz w:val="24"/>
          <w:szCs w:val="24"/>
        </w:rPr>
        <w:fldChar w:fldCharType="end"/>
      </w:r>
      <w:r>
        <w:rPr>
          <w:rFonts w:hint="eastAsia" w:ascii="华文楷体" w:hAnsi="华文楷体" w:eastAsia="华文楷体" w:cs="华文楷体"/>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420" w:lineRule="exact"/>
        <w:ind w:left="0" w:leftChars="0" w:firstLine="236" w:firstLineChars="100"/>
        <w:jc w:val="both"/>
        <w:textAlignment w:val="auto"/>
        <w:rPr>
          <w:rFonts w:hint="eastAsia" w:ascii="华文楷体" w:hAnsi="华文楷体" w:eastAsia="华文楷体" w:cs="华文楷体"/>
          <w:bCs w:val="0"/>
          <w:sz w:val="30"/>
          <w:szCs w:val="30"/>
        </w:rPr>
      </w:pPr>
      <w:r>
        <w:rPr>
          <w:rFonts w:hint="eastAsia" w:ascii="华文楷体" w:hAnsi="华文楷体" w:eastAsia="华文楷体" w:cs="华文楷体"/>
          <w:bCs w:val="0"/>
          <w:sz w:val="24"/>
          <w:szCs w:val="24"/>
          <w:lang w:val="en-US" w:eastAsia="zh-CN"/>
        </w:rPr>
        <w:fldChar w:fldCharType="begin"/>
      </w:r>
      <w:r>
        <w:rPr>
          <w:rFonts w:hint="eastAsia" w:ascii="华文楷体" w:hAnsi="华文楷体" w:eastAsia="华文楷体" w:cs="华文楷体"/>
          <w:bCs w:val="0"/>
          <w:sz w:val="24"/>
          <w:szCs w:val="24"/>
          <w:lang w:val="en-US" w:eastAsia="zh-CN"/>
        </w:rPr>
        <w:instrText xml:space="preserve"> HYPERLINK \l _Toc23449 </w:instrText>
      </w:r>
      <w:r>
        <w:rPr>
          <w:rFonts w:hint="eastAsia" w:ascii="华文楷体" w:hAnsi="华文楷体" w:eastAsia="华文楷体" w:cs="华文楷体"/>
          <w:bCs w:val="0"/>
          <w:sz w:val="24"/>
          <w:szCs w:val="24"/>
          <w:lang w:val="en-US" w:eastAsia="zh-CN"/>
        </w:rPr>
        <w:fldChar w:fldCharType="separate"/>
      </w:r>
      <w:r>
        <w:rPr>
          <w:rFonts w:hint="eastAsia" w:ascii="华文楷体" w:hAnsi="华文楷体" w:eastAsia="华文楷体" w:cs="华文楷体"/>
          <w:bCs w:val="0"/>
          <w:sz w:val="24"/>
          <w:szCs w:val="24"/>
          <w:lang w:val="en-US" w:eastAsia="zh-CN"/>
        </w:rPr>
        <w:t>（三）建议</w:t>
      </w:r>
      <w:r>
        <w:rPr>
          <w:rFonts w:hint="eastAsia" w:ascii="华文楷体" w:hAnsi="华文楷体" w:eastAsia="华文楷体" w:cs="华文楷体"/>
          <w:bCs w:val="0"/>
          <w:sz w:val="24"/>
          <w:szCs w:val="24"/>
        </w:rPr>
        <w:tab/>
      </w:r>
      <w:r>
        <w:rPr>
          <w:rFonts w:hint="eastAsia" w:ascii="华文楷体" w:hAnsi="华文楷体" w:eastAsia="华文楷体" w:cs="华文楷体"/>
          <w:bCs w:val="0"/>
          <w:sz w:val="24"/>
          <w:szCs w:val="24"/>
        </w:rPr>
        <w:fldChar w:fldCharType="begin"/>
      </w:r>
      <w:r>
        <w:rPr>
          <w:rFonts w:hint="eastAsia" w:ascii="华文楷体" w:hAnsi="华文楷体" w:eastAsia="华文楷体" w:cs="华文楷体"/>
          <w:bCs w:val="0"/>
          <w:sz w:val="24"/>
          <w:szCs w:val="24"/>
        </w:rPr>
        <w:instrText xml:space="preserve"> PAGEREF _Toc23449 \h </w:instrText>
      </w:r>
      <w:r>
        <w:rPr>
          <w:rFonts w:hint="eastAsia" w:ascii="华文楷体" w:hAnsi="华文楷体" w:eastAsia="华文楷体" w:cs="华文楷体"/>
          <w:bCs w:val="0"/>
          <w:sz w:val="24"/>
          <w:szCs w:val="24"/>
        </w:rPr>
        <w:fldChar w:fldCharType="separate"/>
      </w:r>
      <w:r>
        <w:rPr>
          <w:rFonts w:hint="eastAsia" w:ascii="华文楷体" w:hAnsi="华文楷体" w:eastAsia="华文楷体" w:cs="华文楷体"/>
          <w:bCs w:val="0"/>
          <w:sz w:val="24"/>
          <w:szCs w:val="24"/>
        </w:rPr>
        <w:t>28</w:t>
      </w:r>
      <w:r>
        <w:rPr>
          <w:rFonts w:hint="eastAsia" w:ascii="华文楷体" w:hAnsi="华文楷体" w:eastAsia="华文楷体" w:cs="华文楷体"/>
          <w:bCs w:val="0"/>
          <w:sz w:val="24"/>
          <w:szCs w:val="24"/>
        </w:rPr>
        <w:fldChar w:fldCharType="end"/>
      </w:r>
      <w:r>
        <w:rPr>
          <w:rFonts w:hint="eastAsia" w:ascii="华文楷体" w:hAnsi="华文楷体" w:eastAsia="华文楷体" w:cs="华文楷体"/>
          <w:bCs w:val="0"/>
          <w:sz w:val="24"/>
          <w:szCs w:val="24"/>
          <w:lang w:val="en-US" w:eastAsia="zh-CN"/>
        </w:rPr>
        <w:fldChar w:fldCharType="end"/>
      </w:r>
    </w:p>
    <w:p>
      <w:pPr>
        <w:bidi w:val="0"/>
        <w:rPr>
          <w:rFonts w:hint="default" w:ascii="Times New Roman" w:hAnsi="Times New Roman" w:eastAsia="仿宋" w:cs="Times New Roman"/>
          <w:b w:val="0"/>
          <w:bCs w:val="0"/>
          <w:kern w:val="0"/>
          <w:sz w:val="28"/>
          <w:szCs w:val="28"/>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default" w:ascii="Times New Roman" w:hAnsi="Times New Roman" w:eastAsia="仿宋" w:cs="Times New Roman"/>
          <w:bCs w:val="0"/>
          <w:kern w:val="0"/>
          <w:szCs w:val="28"/>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同心县王团镇中心小学综合楼项目</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7" w:name="_Toc12033"/>
      <w:bookmarkStart w:id="18" w:name="_Toc30196"/>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，宁夏万协项目管理有限公司受同心县财政局委托，对同心县王团镇中心小学综合楼项目开展绩效评价相关工作。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bidi w:val="0"/>
        <w:rPr>
          <w:rFonts w:hint="eastAsia" w:ascii="宋体" w:hAnsi="宋体" w:eastAsia="宋体" w:cs="宋体"/>
          <w:b/>
          <w:bCs/>
          <w:lang w:val="en-US" w:eastAsia="zh-CN"/>
        </w:rPr>
      </w:pPr>
      <w:bookmarkStart w:id="19" w:name="_Toc5715"/>
      <w:r>
        <w:rPr>
          <w:rFonts w:hint="eastAsia" w:ascii="宋体" w:hAnsi="宋体" w:eastAsia="宋体" w:cs="宋体"/>
          <w:b/>
          <w:bCs/>
          <w:lang w:val="en-US" w:eastAsia="zh-CN"/>
        </w:rPr>
        <w:t>一、项目基本情况</w:t>
      </w:r>
      <w:bookmarkEnd w:id="17"/>
      <w:bookmarkEnd w:id="18"/>
      <w:bookmarkEnd w:id="19"/>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0" w:name="_Toc25760"/>
      <w:bookmarkStart w:id="21" w:name="_Toc5690"/>
      <w:bookmarkStart w:id="22" w:name="_Toc16069"/>
      <w:r>
        <w:rPr>
          <w:rFonts w:hint="eastAsia"/>
          <w:b/>
          <w:bCs/>
          <w:sz w:val="30"/>
          <w:szCs w:val="30"/>
          <w:lang w:val="en-US" w:eastAsia="zh-CN"/>
        </w:rPr>
        <w:t>（一）项目</w:t>
      </w:r>
      <w:bookmarkEnd w:id="20"/>
      <w:bookmarkEnd w:id="21"/>
      <w:r>
        <w:rPr>
          <w:rFonts w:hint="eastAsia"/>
          <w:b/>
          <w:bCs/>
          <w:sz w:val="30"/>
          <w:szCs w:val="30"/>
          <w:lang w:val="en-US" w:eastAsia="zh-CN"/>
        </w:rPr>
        <w:t>背景</w:t>
      </w:r>
      <w:bookmarkEnd w:id="22"/>
    </w:p>
    <w:p>
      <w:pPr>
        <w:keepNext w:val="0"/>
        <w:keepLines w:val="0"/>
        <w:pageBreakBefore w:val="0"/>
        <w:widowControl/>
        <w:suppressLineNumbers w:val="0"/>
        <w:kinsoku/>
        <w:wordWrap/>
        <w:overflowPunct w:val="0"/>
        <w:topLinePunct w:val="0"/>
        <w:autoSpaceDE/>
        <w:autoSpaceDN/>
        <w:bidi w:val="0"/>
        <w:adjustRightInd/>
        <w:snapToGrid/>
        <w:ind w:left="0" w:leftChars="0" w:firstLine="552" w:firstLineChars="200"/>
        <w:jc w:val="both"/>
        <w:textAlignment w:val="auto"/>
        <w:rPr>
          <w:rFonts w:hint="eastAsia" w:ascii="Microsoft YaHei UI" w:hAnsi="Microsoft YaHei UI" w:eastAsia="Microsoft YaHei UI" w:cs="Microsoft YaHei UI"/>
          <w:i w:val="0"/>
          <w:iCs w:val="0"/>
          <w:caps w:val="0"/>
          <w:color w:val="7B0C00"/>
          <w:spacing w:val="15"/>
          <w:sz w:val="25"/>
          <w:szCs w:val="25"/>
        </w:rPr>
      </w:pPr>
      <w:bookmarkStart w:id="23" w:name="_Toc25776"/>
      <w:bookmarkStart w:id="24" w:name="_Toc24381"/>
      <w:bookmarkStart w:id="25" w:name="_Toc5111"/>
      <w:r>
        <w:rPr>
          <w:rFonts w:ascii="Microsoft YaHei UI" w:hAnsi="Microsoft YaHei UI" w:eastAsia="Microsoft YaHei UI" w:cs="Microsoft YaHei UI"/>
          <w:i w:val="0"/>
          <w:iCs w:val="0"/>
          <w:caps w:val="0"/>
          <w:color w:val="7B0C00"/>
          <w:spacing w:val="15"/>
          <w:sz w:val="25"/>
          <w:szCs w:val="25"/>
        </w:rPr>
        <w:t> </w:t>
      </w:r>
      <w:r>
        <w:rPr>
          <w:rFonts w:hint="eastAsia" w:ascii="Times New Roman" w:hAnsi="Times New Roman" w:eastAsia="方正仿宋_GBK" w:cs="Times New Roman"/>
          <w:color w:val="auto"/>
          <w:kern w:val="2"/>
          <w:sz w:val="30"/>
          <w:szCs w:val="30"/>
          <w:highlight w:val="none"/>
          <w:lang w:val="en-US" w:eastAsia="zh-CN" w:bidi="ar-SA"/>
        </w:rPr>
        <w:t>党的二十大报告中明确指出，在促进教育优化的过程中，要不断实现人民满意的教育目标，坚持以人民为核心的教育发展理念，不断搭建高质量的教学体系，全面发展素质教育，促进教育公平。在《中国教育现代化2035》再一次提出了要实现基本公共教育服务均等化的目标，全面推动教育均衡发展。在此基础上，一些地方政府也先后出台了多项政策，全力支持和保障集团化办学的可持续发展。由此可见，在未来很长一段时间，集团化办学将成为国家以及地方全面推进基础教育优化、均衡发展的重要方式。</w:t>
      </w:r>
      <w:r>
        <w:rPr>
          <w:rFonts w:hint="eastAsia" w:ascii="Microsoft YaHei UI" w:hAnsi="Microsoft YaHei UI" w:eastAsia="Microsoft YaHei UI" w:cs="Microsoft YaHei UI"/>
          <w:i w:val="0"/>
          <w:iCs w:val="0"/>
          <w:caps w:val="0"/>
          <w:color w:val="7B0C00"/>
          <w:spacing w:val="15"/>
          <w:sz w:val="25"/>
          <w:szCs w:val="25"/>
        </w:rPr>
        <w:t>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基础教育在国民教育体系中处于基础性、先导性地位，是造就人才和提高国民素质的奠基工程，寄托着人民群众对美好生活的期盼。同心县坚持把教育落在民生上、落在民心上，以实施“五大工程”为载体，全力推进基础教育质量提升行动，加快构建更加公平、更高质量的基础教育体系，切实提升群众的幸福感、获得感。</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王团镇中心小学室外现有场所已不能满足发展的需要，学校为进一步落实新时期教育方针，改善教学设施条件，提高教学质量和教学水平，促进教学、科研、服务整体水平的提高，满足教学的需要，决定拟建一座三层的综合教学楼。</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为加快补齐教育硬件短板，全力办好人民满意教育，打造民心工程，提升教育水平，</w:t>
      </w:r>
      <w:r>
        <w:rPr>
          <w:rFonts w:hint="eastAsia" w:ascii="Times New Roman" w:hAnsi="Times New Roman" w:eastAsia="方正仿宋_GBK" w:cs="Times New Roman"/>
          <w:color w:val="auto"/>
          <w:kern w:val="2"/>
          <w:sz w:val="30"/>
          <w:szCs w:val="30"/>
          <w:highlight w:val="none"/>
          <w:lang w:val="en-US" w:eastAsia="zh-CN" w:bidi="ar-SA"/>
        </w:rPr>
        <w:t>同心</w:t>
      </w:r>
      <w:r>
        <w:rPr>
          <w:rFonts w:hint="default" w:ascii="Times New Roman" w:hAnsi="Times New Roman" w:eastAsia="方正仿宋_GBK" w:cs="Times New Roman"/>
          <w:color w:val="auto"/>
          <w:kern w:val="2"/>
          <w:sz w:val="30"/>
          <w:szCs w:val="30"/>
          <w:highlight w:val="none"/>
          <w:lang w:val="en-US" w:eastAsia="zh-CN" w:bidi="ar-SA"/>
        </w:rPr>
        <w:t>县高标准高质量推进</w:t>
      </w:r>
      <w:r>
        <w:rPr>
          <w:rFonts w:hint="eastAsia" w:ascii="Times New Roman" w:hAnsi="Times New Roman" w:eastAsia="方正仿宋_GBK" w:cs="Times New Roman"/>
          <w:color w:val="auto"/>
          <w:kern w:val="2"/>
          <w:sz w:val="30"/>
          <w:szCs w:val="30"/>
          <w:highlight w:val="none"/>
          <w:lang w:val="en-US" w:eastAsia="zh-CN" w:bidi="ar-SA"/>
        </w:rPr>
        <w:t>王团镇中心小学</w:t>
      </w:r>
      <w:r>
        <w:rPr>
          <w:rFonts w:hint="default" w:ascii="Times New Roman" w:hAnsi="Times New Roman" w:eastAsia="方正仿宋_GBK" w:cs="Times New Roman"/>
          <w:color w:val="auto"/>
          <w:kern w:val="2"/>
          <w:sz w:val="30"/>
          <w:szCs w:val="30"/>
          <w:highlight w:val="none"/>
          <w:lang w:val="en-US" w:eastAsia="zh-CN" w:bidi="ar-SA"/>
        </w:rPr>
        <w:t>综合楼建设项目，改善</w:t>
      </w:r>
      <w:r>
        <w:rPr>
          <w:rFonts w:hint="eastAsia" w:ascii="Times New Roman" w:hAnsi="Times New Roman" w:eastAsia="方正仿宋_GBK" w:cs="Times New Roman"/>
          <w:color w:val="auto"/>
          <w:kern w:val="2"/>
          <w:sz w:val="30"/>
          <w:szCs w:val="30"/>
          <w:highlight w:val="none"/>
          <w:lang w:val="en-US" w:eastAsia="zh-CN" w:bidi="ar-SA"/>
        </w:rPr>
        <w:t>基础教育设施，为学生提供更优质的学习环境</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w:t>
      </w:r>
      <w:r>
        <w:rPr>
          <w:rFonts w:hint="default" w:ascii="Times New Roman" w:hAnsi="Times New Roman" w:eastAsia="方正仿宋_GBK" w:cs="Times New Roman"/>
          <w:color w:val="auto"/>
          <w:kern w:val="2"/>
          <w:sz w:val="30"/>
          <w:szCs w:val="30"/>
          <w:highlight w:val="none"/>
          <w:lang w:val="en-US" w:eastAsia="zh-CN" w:bidi="ar-SA"/>
        </w:rPr>
        <w:t>县持续推进乡村温馨校园建设，巩固拓展教育脱贫攻坚成果，提升乡村基础教育质量，助力乡村振兴，把乡村温馨校园建设与推进义务教育城乡一体化改革发展、实施乡村教育振兴、提升基础教育质量行动同部署同推进同落实。统筹利用好义务教育薄弱环节改善与能力提升工作项目，不断改善乡村学校办学条件，强化乡村学校学习、生活和文化环境建设，切实抬高乡村教育底部，整体提升义务教育质量。</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26" w:name="_Toc25148"/>
      <w:r>
        <w:rPr>
          <w:rFonts w:hint="eastAsia" w:ascii="方正楷体_GBK" w:hAnsi="方正楷体_GBK" w:eastAsia="方正楷体_GBK" w:cs="方正楷体_GBK"/>
          <w:sz w:val="30"/>
          <w:szCs w:val="30"/>
          <w:lang w:val="en-US" w:eastAsia="zh-CN"/>
        </w:rPr>
        <w:t>（二）项目实施主要内容</w:t>
      </w:r>
      <w:bookmarkEnd w:id="23"/>
      <w:bookmarkEnd w:id="24"/>
      <w:bookmarkEnd w:id="2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7" w:name="_Toc1917"/>
      <w:bookmarkStart w:id="28" w:name="_Toc8550"/>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同心县王团镇中心小学综合楼项目建设规模及主要建设内容： 新建教学楼1800m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框架结构；配套建设消防水泵房 225 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。项目建筑结构形式为框架结构。设计使用年限为 50 年，抗震设防烈度为八度，耐火等级为二级。</w:t>
      </w:r>
      <w:bookmarkStart w:id="29" w:name="_Toc22184"/>
      <w:bookmarkStart w:id="30" w:name="_Toc17160"/>
    </w:p>
    <w:p>
      <w:pPr>
        <w:keepNext w:val="0"/>
        <w:keepLines w:val="0"/>
        <w:pageBreakBefore w:val="0"/>
        <w:widowControl/>
        <w:numPr>
          <w:ilvl w:val="0"/>
          <w:numId w:val="4"/>
        </w:numPr>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进行可行性分析研究。项目在预算投入之前进行了初步设计，出具了《</w:t>
      </w:r>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w:t>
      </w:r>
      <w:r>
        <w:rPr>
          <w:rFonts w:hint="eastAsia" w:ascii="Times New Roman" w:hAnsi="Times New Roman" w:eastAsia="方正仿宋_GBK" w:cs="Times New Roman"/>
          <w:b w:val="0"/>
          <w:color w:val="auto"/>
          <w:kern w:val="2"/>
          <w:sz w:val="30"/>
          <w:szCs w:val="30"/>
          <w:highlight w:val="none"/>
          <w:lang w:val="en-US" w:eastAsia="zh-CN" w:bidi="ar-SA"/>
        </w:rPr>
        <w:t>工程初步设计报告》，对项目建设可行性进行了分析研究。</w:t>
      </w:r>
    </w:p>
    <w:p>
      <w:pPr>
        <w:keepNext w:val="0"/>
        <w:keepLines w:val="0"/>
        <w:pageBreakBefore w:val="0"/>
        <w:widowControl/>
        <w:numPr>
          <w:ilvl w:val="0"/>
          <w:numId w:val="4"/>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取得项目立项批复。2021年1月21取得了同心县发改局印发《关于</w:t>
      </w:r>
      <w:r>
        <w:rPr>
          <w:rFonts w:hint="eastAsia" w:ascii="Times New Roman" w:hAnsi="Times New Roman" w:eastAsia="方正仿宋_GBK" w:cs="Times New Roman"/>
          <w:color w:val="auto"/>
          <w:kern w:val="2"/>
          <w:sz w:val="30"/>
          <w:szCs w:val="30"/>
          <w:highlight w:val="none"/>
          <w:lang w:val="en-US" w:eastAsia="zh-CN" w:bidi="ar-SA"/>
        </w:rPr>
        <w:t>同心县王团镇中心小学综合楼项目初步设计的</w:t>
      </w:r>
      <w:r>
        <w:rPr>
          <w:rFonts w:hint="eastAsia" w:ascii="Times New Roman" w:hAnsi="Times New Roman" w:eastAsia="方正仿宋_GBK" w:cs="Times New Roman"/>
          <w:b w:val="0"/>
          <w:color w:val="auto"/>
          <w:kern w:val="2"/>
          <w:sz w:val="30"/>
          <w:szCs w:val="30"/>
          <w:highlight w:val="none"/>
          <w:lang w:val="en-US" w:eastAsia="zh-CN" w:bidi="ar-SA"/>
        </w:rPr>
        <w:t>批复》（同发改审</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b w:val="0"/>
          <w:color w:val="auto"/>
          <w:kern w:val="2"/>
          <w:sz w:val="30"/>
          <w:szCs w:val="30"/>
          <w:highlight w:val="none"/>
          <w:lang w:val="en-US" w:eastAsia="zh-CN" w:bidi="ar-SA"/>
        </w:rPr>
        <w:t xml:space="preserve">24号）批文，项目予以立项。   </w:t>
      </w:r>
    </w:p>
    <w:p>
      <w:pPr>
        <w:keepNext w:val="0"/>
        <w:keepLines w:val="0"/>
        <w:pageBreakBefore w:val="0"/>
        <w:widowControl/>
        <w:numPr>
          <w:ilvl w:val="0"/>
          <w:numId w:val="4"/>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完成了项目规划、报建手续。</w:t>
      </w:r>
    </w:p>
    <w:p>
      <w:pPr>
        <w:keepNext w:val="0"/>
        <w:keepLines w:val="0"/>
        <w:pageBreakBefore w:val="0"/>
        <w:widowControl/>
        <w:numPr>
          <w:ilvl w:val="0"/>
          <w:numId w:val="4"/>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完成了用地、测量、勘探、设计等工作。</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5.于2021年7月21i完成招投标情况。项目建设过程中严格按照政府采购的要求经过招投标程序确定施工单位和供货商，本项目公开招标方式，主体工程由宁夏上润事业有限公司中标，并签订合同，批准手续后进行。</w:t>
      </w:r>
    </w:p>
    <w:p>
      <w:pPr>
        <w:pStyle w:val="2"/>
        <w:pageBreakBefore w:val="0"/>
        <w:widowControl w:val="0"/>
        <w:kinsoku/>
        <w:wordWrap/>
        <w:overflowPunct w:val="0"/>
        <w:topLinePunct w:val="0"/>
        <w:autoSpaceDE/>
        <w:autoSpaceDN/>
        <w:bidi w:val="0"/>
        <w:adjustRightInd/>
        <w:spacing w:beforeLines="0" w:afterLines="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截至目前，同心县王团镇中心小学已完工且完成验收。</w:t>
      </w:r>
    </w:p>
    <w:p>
      <w:pPr>
        <w:pageBreakBefore w:val="0"/>
        <w:widowControl w:val="0"/>
        <w:kinsoku/>
        <w:wordWrap/>
        <w:overflowPunct w:val="0"/>
        <w:topLinePunct w:val="0"/>
        <w:autoSpaceDE/>
        <w:autoSpaceDN/>
        <w:bidi w:val="0"/>
        <w:adjustRightInd/>
        <w:textAlignment w:val="auto"/>
        <w:rPr>
          <w:rFonts w:hint="default" w:ascii="Times New Roman" w:hAnsi="Times New Roman" w:eastAsia="方正仿宋_GBK" w:cs="Times New Roman"/>
          <w:b w:val="0"/>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同心县王团镇中心小学综合楼项目主要建设内容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1"/>
        <w:tblW w:w="50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1083"/>
        <w:gridCol w:w="4700"/>
        <w:gridCol w:w="1301"/>
        <w:gridCol w:w="1537"/>
        <w:gridCol w:w="1500"/>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项目名称</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概算资金</w:t>
            </w:r>
          </w:p>
        </w:tc>
        <w:tc>
          <w:tcPr>
            <w:tcW w:w="1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建设内容、规模</w:t>
            </w:r>
          </w:p>
        </w:tc>
        <w:tc>
          <w:tcPr>
            <w:tcW w:w="5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计划工期</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实际完成时间</w:t>
            </w:r>
          </w:p>
        </w:tc>
        <w:tc>
          <w:tcPr>
            <w:tcW w:w="5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是否验收</w:t>
            </w:r>
          </w:p>
        </w:tc>
        <w:tc>
          <w:tcPr>
            <w:tcW w:w="6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18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5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6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4"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等线" w:hAnsi="等线" w:eastAsia="等线" w:cs="等线"/>
                <w:color w:val="000000"/>
                <w:kern w:val="0"/>
                <w:sz w:val="21"/>
                <w:szCs w:val="21"/>
                <w:lang w:val="en-US" w:eastAsia="zh-CN"/>
              </w:rPr>
            </w:pPr>
            <w:r>
              <w:rPr>
                <w:rFonts w:hint="eastAsia" w:ascii="Times New Roman" w:hAnsi="Times New Roman" w:eastAsia="方正仿宋_GBK" w:cs="Times New Roman"/>
                <w:color w:val="auto"/>
                <w:kern w:val="2"/>
                <w:sz w:val="21"/>
                <w:szCs w:val="21"/>
                <w:highlight w:val="none"/>
                <w:lang w:val="en-US" w:eastAsia="zh-CN" w:bidi="ar-SA"/>
              </w:rPr>
              <w:t>同心县第三中学教学楼建设项目</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等线" w:cs="Times New Roman"/>
                <w:color w:val="000000"/>
                <w:kern w:val="0"/>
                <w:sz w:val="21"/>
                <w:szCs w:val="21"/>
                <w:lang w:val="en-US" w:eastAsia="zh-CN"/>
              </w:rPr>
            </w:pPr>
            <w:r>
              <w:rPr>
                <w:rFonts w:hint="eastAsia" w:ascii="Times New Roman" w:hAnsi="Times New Roman" w:eastAsia="等线" w:cs="Times New Roman"/>
                <w:color w:val="000000"/>
                <w:kern w:val="0"/>
                <w:sz w:val="21"/>
                <w:szCs w:val="21"/>
                <w:lang w:val="en-US" w:eastAsia="zh-CN"/>
              </w:rPr>
              <w:t>900.46</w:t>
            </w:r>
          </w:p>
        </w:tc>
        <w:tc>
          <w:tcPr>
            <w:tcW w:w="1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新建教学楼 1800 平方米框架结构；配套建设消防水泵房 225 平方米；（一）建筑设计：项目建筑结构形式为框架结构。设计使用年限为 50 年，抗震设防烈度为八度，耐火等级为二级。</w:t>
            </w:r>
          </w:p>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（二）结构设计：项目为框架结构，建筑物类别为丙级，安全等级一级。</w:t>
            </w:r>
          </w:p>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（三）给排水设计：项目生活供水和消火栓供水由市政管网直接供给。室内排水采用污废水合流制，生活污水经化粪池后排入院内排水管网，最终市政排水管道；</w:t>
            </w:r>
          </w:p>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（四）采暖通风设计：本项目为 75C/50C散热器采暖系统，采暖热源为已有换热站，满足自然排烟通风的房间采用自然防排烟（风），不满足自然排烟条件的内走廊采用机械排烟。</w:t>
            </w:r>
          </w:p>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both"/>
              <w:textAlignment w:val="auto"/>
              <w:rPr>
                <w:rFonts w:hint="eastAsia" w:ascii="等线" w:hAnsi="等线" w:eastAsia="等线" w:cs="等线"/>
                <w:color w:val="000000"/>
                <w:kern w:val="0"/>
                <w:sz w:val="21"/>
                <w:szCs w:val="21"/>
                <w:lang w:val="en-US" w:eastAsia="zh-CN"/>
              </w:rPr>
            </w:pPr>
            <w:r>
              <w:rPr>
                <w:rFonts w:hint="eastAsia" w:ascii="Times New Roman" w:hAnsi="Times New Roman" w:eastAsia="方正仿宋_GBK" w:cs="Times New Roman"/>
                <w:color w:val="auto"/>
                <w:kern w:val="2"/>
                <w:sz w:val="21"/>
                <w:szCs w:val="21"/>
                <w:highlight w:val="none"/>
                <w:lang w:val="en-US" w:eastAsia="zh-CN" w:bidi="ar-SA"/>
              </w:rPr>
              <w:t>（五）电气设计：负荷等级： 本项目照明负荷二级负荷，其余用电负荷均按三级设计。</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等线" w:cs="Times New Roman"/>
                <w:color w:val="000000"/>
                <w:kern w:val="0"/>
                <w:sz w:val="21"/>
                <w:szCs w:val="21"/>
                <w:lang w:val="en-US" w:eastAsia="zh-CN"/>
              </w:rPr>
            </w:pPr>
            <w:r>
              <w:rPr>
                <w:rFonts w:hint="default" w:ascii="Times New Roman" w:hAnsi="Times New Roman" w:eastAsia="等线" w:cs="Times New Roman"/>
                <w:color w:val="000000"/>
                <w:kern w:val="0"/>
                <w:sz w:val="21"/>
                <w:szCs w:val="21"/>
                <w:lang w:val="en-US" w:eastAsia="zh-CN"/>
              </w:rPr>
              <w:t>2021年8月16日</w:t>
            </w:r>
            <w:r>
              <w:rPr>
                <w:rFonts w:hint="eastAsia" w:ascii="Times New Roman" w:hAnsi="Times New Roman" w:eastAsia="等线" w:cs="Times New Roman"/>
                <w:color w:val="000000"/>
                <w:kern w:val="0"/>
                <w:sz w:val="21"/>
                <w:szCs w:val="21"/>
                <w:lang w:val="en-US" w:eastAsia="zh-CN"/>
              </w:rPr>
              <w:t>—2022年</w:t>
            </w:r>
            <w:r>
              <w:rPr>
                <w:rFonts w:hint="default" w:ascii="Times New Roman" w:hAnsi="Times New Roman" w:eastAsia="等线" w:cs="Times New Roman"/>
                <w:color w:val="000000"/>
                <w:kern w:val="0"/>
                <w:sz w:val="21"/>
                <w:szCs w:val="21"/>
                <w:lang w:val="en-US" w:eastAsia="zh-CN"/>
              </w:rPr>
              <w:t>6月11日</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eastAsia="等线" w:cs="Times New Roman"/>
                <w:color w:val="000000"/>
                <w:kern w:val="0"/>
                <w:sz w:val="21"/>
                <w:szCs w:val="21"/>
                <w:lang w:val="en-US" w:eastAsia="zh-CN"/>
              </w:rPr>
            </w:pPr>
            <w:r>
              <w:rPr>
                <w:rFonts w:hint="default" w:ascii="Times New Roman" w:hAnsi="Times New Roman" w:eastAsia="等线" w:cs="Times New Roman"/>
                <w:color w:val="000000"/>
                <w:kern w:val="0"/>
                <w:sz w:val="21"/>
                <w:szCs w:val="21"/>
                <w:lang w:val="en-US" w:eastAsia="zh-CN"/>
              </w:rPr>
              <w:t>2023年7月4日</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已完成验收</w:t>
            </w:r>
          </w:p>
        </w:tc>
        <w:tc>
          <w:tcPr>
            <w:tcW w:w="6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tc>
      </w:tr>
      <w:bookmarkEnd w:id="29"/>
      <w:bookmarkEnd w:id="30"/>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1" w:name="_Toc31374"/>
      <w:bookmarkStart w:id="32" w:name="_Toc3047"/>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3" w:name="_Toc30884"/>
      <w:r>
        <w:rPr>
          <w:rFonts w:hint="eastAsia" w:asciiTheme="majorEastAsia" w:hAnsiTheme="majorEastAsia" w:eastAsiaTheme="majorEastAsia" w:cstheme="majorEastAsia"/>
          <w:b/>
          <w:bCs/>
          <w:sz w:val="30"/>
          <w:szCs w:val="30"/>
          <w:lang w:val="en-US" w:eastAsia="zh-CN"/>
        </w:rPr>
        <w:t>二、项目资金预算安排和使用情况</w:t>
      </w:r>
      <w:bookmarkEnd w:id="33"/>
    </w:p>
    <w:bookmarkEnd w:id="31"/>
    <w:bookmarkEnd w:id="32"/>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bookmarkStart w:id="34" w:name="_Toc13949"/>
      <w:bookmarkStart w:id="35" w:name="_Toc21684"/>
      <w:r>
        <w:rPr>
          <w:rFonts w:hint="eastAsia" w:ascii="Times New Roman" w:hAnsi="Times New Roman" w:eastAsia="方正仿宋_GB2312" w:cs="Times New Roman"/>
          <w:kern w:val="2"/>
          <w:sz w:val="30"/>
          <w:szCs w:val="30"/>
          <w:lang w:val="en-US" w:eastAsia="zh-CN" w:bidi="ar-SA"/>
        </w:rPr>
        <w:t>项目概算总投资900.46万元，其中：工程费用 789.08 万元，其他费用 68.5万元，预备费 42.88万元。</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根据《自治区财政厅 自治区教育厅关于提前下达2022年部分教育项目资金预算（第二批）的通知》（宁财（教）指标</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625</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，提前下达2022年中央和自治区义务教育薄弱环节改善与能力提升补助资金。本次绩效评价涉及评价</w:t>
      </w:r>
      <w:r>
        <w:rPr>
          <w:rFonts w:hint="eastAsia" w:ascii="Times New Roman" w:hAnsi="Times New Roman" w:eastAsia="方正仿宋_GB2312" w:cs="Times New Roman"/>
          <w:kern w:val="2"/>
          <w:sz w:val="30"/>
          <w:szCs w:val="30"/>
          <w:lang w:val="en-US" w:eastAsia="zh-CN" w:bidi="ar-SA"/>
        </w:rPr>
        <w:t>资金为539.00万元。</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截至目前，实际支出539.00万元，预算执行率100.00%。</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项目实施内容符合国家、自治区及专项资金支持范围，项目管理规范，项目资金拨付及时，资金预算执行率为 100%，产出效果较明显。</w:t>
      </w:r>
    </w:p>
    <w:p>
      <w:pPr>
        <w:pStyle w:val="17"/>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项目实施单位资金支出较规范，未发现截留、挤占、挪用、虚列支出等情况，管理制度基本健全且得到有效执行，对项目实施起到了积极的推动作用。但还存在项目进度缓慢、设备未投入使用等问题。</w:t>
      </w:r>
    </w:p>
    <w:bookmarkEnd w:id="27"/>
    <w:bookmarkEnd w:id="28"/>
    <w:bookmarkEnd w:id="34"/>
    <w:bookmarkEnd w:id="35"/>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6" w:name="_Toc7963"/>
      <w:bookmarkStart w:id="37" w:name="_Toc9451"/>
      <w:bookmarkStart w:id="38" w:name="_Toc20409"/>
      <w:bookmarkStart w:id="39" w:name="_Toc26094"/>
      <w:bookmarkStart w:id="40" w:name="_Toc31361"/>
      <w:bookmarkStart w:id="41" w:name="_Toc24442"/>
      <w:bookmarkStart w:id="42" w:name="_Toc19300"/>
      <w:bookmarkStart w:id="43" w:name="_Toc2175"/>
      <w:bookmarkStart w:id="44" w:name="_Toc29255"/>
      <w:bookmarkStart w:id="45" w:name="_Toc31216"/>
      <w:bookmarkStart w:id="46" w:name="_Toc28024"/>
      <w:bookmarkStart w:id="47" w:name="_Toc26741"/>
      <w:bookmarkStart w:id="48" w:name="_Toc26903"/>
      <w:bookmarkStart w:id="49" w:name="_Toc29008"/>
      <w:bookmarkStart w:id="50" w:name="_Toc17609"/>
      <w:bookmarkStart w:id="51" w:name="_Toc1375"/>
      <w:bookmarkStart w:id="52" w:name="_Toc14208"/>
      <w:bookmarkStart w:id="53" w:name="_Toc19319"/>
      <w:bookmarkStart w:id="54" w:name="_Toc19237"/>
      <w:bookmarkStart w:id="55" w:name="_Toc24129"/>
      <w:r>
        <w:rPr>
          <w:rFonts w:hint="eastAsia" w:asciiTheme="majorEastAsia" w:hAnsiTheme="majorEastAsia" w:eastAsiaTheme="majorEastAsia" w:cstheme="majorEastAsia"/>
          <w:b/>
          <w:bCs/>
          <w:sz w:val="30"/>
          <w:szCs w:val="30"/>
          <w:lang w:val="en-US" w:eastAsia="zh-CN"/>
        </w:rPr>
        <w:t>三、项目绩效</w:t>
      </w:r>
      <w:bookmarkEnd w:id="36"/>
      <w:bookmarkEnd w:id="37"/>
      <w:bookmarkEnd w:id="38"/>
      <w:bookmarkEnd w:id="39"/>
      <w:bookmarkEnd w:id="40"/>
      <w:bookmarkEnd w:id="41"/>
      <w:bookmarkEnd w:id="42"/>
      <w:bookmarkEnd w:id="43"/>
      <w:bookmarkEnd w:id="44"/>
      <w:bookmarkEnd w:id="45"/>
      <w:r>
        <w:rPr>
          <w:rFonts w:hint="eastAsia" w:asciiTheme="majorEastAsia" w:hAnsiTheme="majorEastAsia" w:eastAsiaTheme="majorEastAsia" w:cstheme="majorEastAsia"/>
          <w:b/>
          <w:bCs/>
          <w:sz w:val="30"/>
          <w:szCs w:val="30"/>
          <w:lang w:val="en-US" w:eastAsia="zh-CN"/>
        </w:rPr>
        <w:t>目标</w:t>
      </w:r>
      <w:bookmarkEnd w:id="46"/>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56" w:name="_Toc30597"/>
      <w:bookmarkStart w:id="57" w:name="_Toc23578"/>
      <w:bookmarkStart w:id="58" w:name="_Toc8204"/>
      <w:r>
        <w:rPr>
          <w:rFonts w:hint="eastAsia" w:ascii="方正楷体_GBK" w:hAnsi="方正楷体_GBK" w:eastAsia="方正楷体_GBK" w:cs="方正楷体_GBK"/>
          <w:sz w:val="30"/>
          <w:szCs w:val="30"/>
          <w:lang w:val="en-US" w:eastAsia="zh-CN"/>
        </w:rPr>
        <w:t>（一）绩效目标</w:t>
      </w:r>
      <w:bookmarkEnd w:id="56"/>
    </w:p>
    <w:bookmarkEnd w:id="57"/>
    <w:bookmarkEnd w:id="58"/>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王团镇中心小学室外现有场所已不能满足发展的需要，学校为进一步落实新时期教育方针，改善教学设施条件，提高教学质量和教学水平，促进教学、科研、服务整体水平的提高，满足教学的需要，新建一座三层的综合教学楼。做好校舍建设和普及中小学阶段教育工作，是推进全市教育更好、更快发展的创新工作，夯实基础，教育大厦才会牢固。</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扩建后的校区将是一个布局合理、功能齐全、环境优美、高档次品位的一流现代化的学校。</w:t>
      </w:r>
      <w:bookmarkStart w:id="59" w:name="_Toc29105"/>
      <w:bookmarkStart w:id="60" w:name="_Toc6859"/>
    </w:p>
    <w:p>
      <w:pPr>
        <w:pStyle w:val="4"/>
        <w:numPr>
          <w:ilvl w:val="0"/>
          <w:numId w:val="5"/>
        </w:numPr>
        <w:bidi w:val="0"/>
        <w:rPr>
          <w:rFonts w:hint="eastAsia"/>
          <w:lang w:val="en-US" w:eastAsia="zh-CN"/>
        </w:rPr>
      </w:pPr>
      <w:bookmarkStart w:id="61" w:name="_Toc11695"/>
      <w:r>
        <w:rPr>
          <w:rFonts w:hint="eastAsia"/>
          <w:lang w:val="en-US" w:eastAsia="zh-CN"/>
        </w:rPr>
        <w:t>项目绩效</w:t>
      </w:r>
      <w:bookmarkEnd w:id="59"/>
      <w:bookmarkEnd w:id="60"/>
      <w:bookmarkStart w:id="62" w:name="_Toc13598"/>
      <w:bookmarkStart w:id="63" w:name="_Toc14067"/>
      <w:bookmarkStart w:id="64" w:name="_Toc11708"/>
      <w:r>
        <w:rPr>
          <w:rFonts w:hint="eastAsia"/>
          <w:lang w:val="en-US" w:eastAsia="zh-CN"/>
        </w:rPr>
        <w:t>目标</w:t>
      </w:r>
      <w:bookmarkEnd w:id="61"/>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同心县王团镇中心小学综合楼项目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同心县教育局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539.00万元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截至目前已全部完成年初既定的建设任务。一个布局合理、功能齐全、环境优美、高档次品位的一流现代化的学校。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新建教学综合楼</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1800m</w:t>
            </w:r>
            <w:r>
              <w:rPr>
                <w:rFonts w:hint="eastAsia" w:ascii="Times New Roman" w:hAnsi="Times New Roman" w:eastAsia="方正仿宋_GBK" w:cs="Times New Roman"/>
                <w:i w:val="0"/>
                <w:iCs w:val="0"/>
                <w:color w:val="000000"/>
                <w:kern w:val="0"/>
                <w:sz w:val="22"/>
                <w:szCs w:val="22"/>
                <w:u w:val="none"/>
                <w:vertAlign w:val="superscript"/>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1793m</w:t>
            </w:r>
            <w:r>
              <w:rPr>
                <w:rFonts w:hint="eastAsia" w:ascii="Times New Roman" w:hAnsi="Times New Roman" w:eastAsia="方正仿宋_GBK" w:cs="Times New Roman"/>
                <w:i w:val="0"/>
                <w:iCs w:val="0"/>
                <w:color w:val="000000"/>
                <w:kern w:val="0"/>
                <w:sz w:val="22"/>
                <w:szCs w:val="22"/>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新建消防水泵房完成率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225m</w:t>
            </w:r>
            <w:r>
              <w:rPr>
                <w:rFonts w:hint="eastAsia" w:ascii="Times New Roman" w:hAnsi="Times New Roman" w:eastAsia="方正仿宋_GBK" w:cs="Times New Roman"/>
                <w:i w:val="0"/>
                <w:iCs w:val="0"/>
                <w:color w:val="000000"/>
                <w:kern w:val="0"/>
                <w:sz w:val="22"/>
                <w:szCs w:val="22"/>
                <w:u w:val="none"/>
                <w:vertAlign w:val="superscript"/>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230.9m</w:t>
            </w:r>
            <w:r>
              <w:rPr>
                <w:rFonts w:hint="eastAsia" w:ascii="Times New Roman" w:hAnsi="Times New Roman" w:eastAsia="方正仿宋_GBK" w:cs="Times New Roman"/>
                <w:i w:val="0"/>
                <w:iCs w:val="0"/>
                <w:color w:val="000000"/>
                <w:kern w:val="0"/>
                <w:sz w:val="22"/>
                <w:szCs w:val="22"/>
                <w:u w:val="none"/>
                <w:vertAlign w:val="superscript"/>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88"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推动基础教育质量稳步提升，义务教育学校办学条件改善效果</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综合楼安全使用年限</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w:t>
            </w:r>
          </w:p>
        </w:tc>
      </w:tr>
      <w:bookmarkEnd w:id="62"/>
      <w:bookmarkEnd w:id="63"/>
      <w:bookmarkEnd w:id="64"/>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65" w:name="_Toc9328"/>
      <w:bookmarkStart w:id="66" w:name="_Toc2876"/>
      <w:bookmarkStart w:id="67" w:name="_Toc12031"/>
      <w:r>
        <w:rPr>
          <w:rFonts w:hint="eastAsia" w:asciiTheme="majorEastAsia" w:hAnsiTheme="majorEastAsia" w:eastAsiaTheme="majorEastAsia" w:cstheme="majorEastAsia"/>
          <w:b/>
          <w:bCs/>
          <w:sz w:val="30"/>
          <w:szCs w:val="30"/>
          <w:lang w:val="en-US" w:eastAsia="zh-CN"/>
        </w:rPr>
        <w:t>四、绩效评价工作开展情况</w:t>
      </w:r>
      <w:bookmarkEnd w:id="65"/>
      <w:bookmarkEnd w:id="66"/>
      <w:bookmarkEnd w:id="67"/>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68" w:name="_Toc29149"/>
      <w:bookmarkStart w:id="69" w:name="_Toc30230"/>
      <w:bookmarkStart w:id="70" w:name="_Toc23289"/>
      <w:r>
        <w:rPr>
          <w:rFonts w:hint="eastAsia" w:ascii="方正楷体_GBK" w:hAnsi="方正楷体_GBK" w:eastAsia="方正楷体_GBK" w:cs="方正楷体_GBK"/>
          <w:b/>
          <w:bCs/>
          <w:sz w:val="30"/>
          <w:szCs w:val="30"/>
          <w:lang w:val="en-US" w:eastAsia="zh-CN"/>
        </w:rPr>
        <w:t>（一）绩效评价目的</w:t>
      </w:r>
      <w:bookmarkEnd w:id="68"/>
      <w:bookmarkEnd w:id="69"/>
      <w:bookmarkEnd w:id="7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sz w:val="30"/>
          <w:szCs w:val="30"/>
          <w:lang w:val="en-US" w:eastAsia="zh-CN"/>
        </w:rPr>
        <w:t>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1" w:name="_Toc15419"/>
      <w:r>
        <w:rPr>
          <w:rFonts w:hint="eastAsia" w:ascii="方正楷体_GBK" w:hAnsi="方正楷体_GBK" w:eastAsia="方正楷体_GBK" w:cs="方正楷体_GBK"/>
          <w:b/>
          <w:bCs/>
          <w:sz w:val="30"/>
          <w:szCs w:val="30"/>
          <w:lang w:val="en-US" w:eastAsia="zh-CN"/>
        </w:rPr>
        <w:t>（二）绩效评价对象</w:t>
      </w:r>
      <w:bookmarkEnd w:id="7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同心县王团镇中心小学综合楼项目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2" w:name="_Toc11808"/>
      <w:bookmarkStart w:id="73" w:name="_Toc4083"/>
      <w:bookmarkStart w:id="74" w:name="_Toc22702"/>
      <w:r>
        <w:rPr>
          <w:rFonts w:hint="eastAsia" w:ascii="方正楷体_GBK" w:hAnsi="方正楷体_GBK" w:eastAsia="方正楷体_GBK" w:cs="方正楷体_GBK"/>
          <w:b/>
          <w:bCs/>
          <w:sz w:val="30"/>
          <w:szCs w:val="30"/>
          <w:lang w:val="en-US" w:eastAsia="zh-CN"/>
        </w:rPr>
        <w:t>（三）评价依据</w:t>
      </w:r>
      <w:bookmarkEnd w:id="72"/>
      <w:bookmarkEnd w:id="73"/>
      <w:bookmarkEnd w:id="74"/>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0"/>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75" w:name="_Toc27299"/>
      <w:r>
        <w:rPr>
          <w:rFonts w:hint="eastAsia" w:ascii="Times New Roman" w:hAnsi="Times New Roman" w:eastAsia="方正仿宋_GBK" w:cs="Times New Roman"/>
          <w:kern w:val="2"/>
          <w:sz w:val="30"/>
          <w:szCs w:val="30"/>
          <w:lang w:val="en-US" w:eastAsia="zh-CN" w:bidi="ar-SA"/>
        </w:rPr>
        <w:t>9.</w:t>
      </w:r>
      <w:r>
        <w:rPr>
          <w:rFonts w:hint="eastAsia" w:ascii="Times New Roman" w:hAnsi="Times New Roman" w:eastAsia="方正仿宋_GB2312" w:cs="Times New Roman"/>
          <w:kern w:val="2"/>
          <w:sz w:val="30"/>
          <w:szCs w:val="30"/>
          <w:lang w:val="en-US" w:eastAsia="zh-CN" w:bidi="ar-SA"/>
        </w:rPr>
        <w:t>《自治区财政厅 自治区教育厅关于提前下达2022年部分教育项目资金预算（第二批）的通知》（宁财（教）指标</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625</w:t>
      </w:r>
      <w:r>
        <w:rPr>
          <w:rFonts w:hint="default" w:ascii="Times New Roman" w:hAnsi="Times New Roman" w:eastAsia="方正仿宋_GBK" w:cs="Times New Roman"/>
          <w:kern w:val="2"/>
          <w:sz w:val="30"/>
          <w:szCs w:val="30"/>
          <w:lang w:val="en-US" w:eastAsia="zh-CN" w:bidi="ar-SA"/>
        </w:rPr>
        <w:t>号）</w:t>
      </w:r>
      <w:bookmarkEnd w:id="75"/>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10.</w:t>
      </w:r>
      <w:r>
        <w:rPr>
          <w:rFonts w:hint="eastAsia" w:ascii="Times New Roman" w:hAnsi="Times New Roman" w:eastAsia="方正仿宋_GB2312" w:cs="Times New Roman"/>
          <w:kern w:val="2"/>
          <w:sz w:val="30"/>
          <w:szCs w:val="30"/>
          <w:lang w:val="en-US" w:eastAsia="zh-CN" w:bidi="ar-SA"/>
        </w:rPr>
        <w:t>《关于申报 2021 年义务教育学校建设项目、幼儿园建设项目、普通高中改造项目年度计划及“十四五”规划的通知》</w:t>
      </w:r>
    </w:p>
    <w:p>
      <w:pPr>
        <w:topLinePunct/>
        <w:spacing w:line="560" w:lineRule="exact"/>
        <w:ind w:firstLine="592" w:firstLineChars="200"/>
        <w:outlineLvl w:val="0"/>
        <w:rPr>
          <w:rFonts w:hint="eastAsia" w:ascii="Times New Roman" w:hAnsi="Times New Roman" w:eastAsia="方正仿宋_GBK" w:cs="Times New Roman"/>
          <w:kern w:val="2"/>
          <w:sz w:val="30"/>
          <w:szCs w:val="30"/>
          <w:lang w:val="en-US" w:eastAsia="zh-CN" w:bidi="ar-SA"/>
        </w:rPr>
      </w:pPr>
      <w:bookmarkStart w:id="76" w:name="_Toc12022"/>
      <w:r>
        <w:rPr>
          <w:rFonts w:hint="eastAsia" w:ascii="Times New Roman" w:hAnsi="Times New Roman" w:eastAsia="方正仿宋_GBK" w:cs="Times New Roman"/>
          <w:color w:val="auto"/>
          <w:kern w:val="2"/>
          <w:sz w:val="30"/>
          <w:szCs w:val="30"/>
          <w:highlight w:val="none"/>
          <w:lang w:val="en-US" w:eastAsia="zh-CN" w:bidi="ar-SA"/>
        </w:rPr>
        <w:t>11.《关于同心县王团镇中心小学教学楼建设项目初步设计的批复》</w:t>
      </w:r>
      <w:r>
        <w:rPr>
          <w:rFonts w:hint="eastAsia" w:ascii="Times New Roman" w:hAnsi="Times New Roman" w:eastAsia="方正仿宋_GBK" w:cs="Times New Roman"/>
          <w:kern w:val="2"/>
          <w:sz w:val="30"/>
          <w:szCs w:val="30"/>
          <w:lang w:val="en-US" w:eastAsia="zh-CN" w:bidi="ar-SA"/>
        </w:rPr>
        <w:t>（同发改审发</w:t>
      </w:r>
      <w:r>
        <w:rPr>
          <w:rFonts w:hint="default" w:ascii="Times New Roman" w:hAnsi="Times New Roman" w:eastAsia="方正仿宋_GBK" w:cs="Times New Roman"/>
          <w:kern w:val="2"/>
          <w:sz w:val="30"/>
          <w:szCs w:val="30"/>
          <w:lang w:val="en-US" w:eastAsia="zh-CN" w:bidi="ar-SA"/>
        </w:rPr>
        <w:t>〔20</w:t>
      </w:r>
      <w:r>
        <w:rPr>
          <w:rFonts w:hint="eastAsia" w:ascii="Times New Roman" w:hAnsi="Times New Roman" w:eastAsia="方正仿宋_GBK" w:cs="Times New Roman"/>
          <w:kern w:val="2"/>
          <w:sz w:val="30"/>
          <w:szCs w:val="30"/>
          <w:lang w:val="en-US" w:eastAsia="zh-CN" w:bidi="ar-SA"/>
        </w:rPr>
        <w:t>21</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24</w:t>
      </w:r>
      <w:r>
        <w:rPr>
          <w:rFonts w:hint="default" w:ascii="Times New Roman" w:hAnsi="Times New Roman" w:eastAsia="方正仿宋_GBK" w:cs="Times New Roman"/>
          <w:kern w:val="2"/>
          <w:sz w:val="30"/>
          <w:szCs w:val="30"/>
          <w:lang w:val="en-US" w:eastAsia="zh-CN" w:bidi="ar-SA"/>
        </w:rPr>
        <w:t>号）</w:t>
      </w:r>
      <w:bookmarkEnd w:id="76"/>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77" w:name="_Toc17802"/>
      <w:bookmarkStart w:id="78" w:name="_Toc8986"/>
      <w:bookmarkStart w:id="79" w:name="_Toc8570"/>
      <w:r>
        <w:rPr>
          <w:rFonts w:hint="eastAsia" w:ascii="方正楷体_GBK" w:hAnsi="方正楷体_GBK" w:eastAsia="方正楷体_GBK" w:cs="方正楷体_GBK"/>
          <w:b/>
          <w:bCs/>
          <w:sz w:val="30"/>
          <w:szCs w:val="30"/>
          <w:lang w:val="en-US" w:eastAsia="zh-CN"/>
        </w:rPr>
        <w:t>（四）评价原则</w:t>
      </w:r>
      <w:bookmarkEnd w:id="77"/>
      <w:bookmarkEnd w:id="78"/>
      <w:bookmarkEnd w:id="79"/>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b w:val="0"/>
          <w:bCs w:val="0"/>
          <w:kern w:val="0"/>
          <w:sz w:val="30"/>
          <w:szCs w:val="30"/>
          <w:lang w:val="en-US" w:eastAsia="zh-CN" w:bidi="zh-CN"/>
        </w:rPr>
      </w:pPr>
      <w:bookmarkStart w:id="80" w:name="_Toc14020"/>
      <w:bookmarkStart w:id="81"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2312" w:cs="Times New Roman"/>
          <w:kern w:val="2"/>
          <w:sz w:val="30"/>
          <w:szCs w:val="30"/>
          <w:lang w:val="en-US" w:eastAsia="zh-CN" w:bidi="ar-SA"/>
        </w:rPr>
        <w:t>《自治区财政厅 自治区教育厅关于提前下达2022年部分教育项目资金预算（第二批）的通知》（宁财（教）指标</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625</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b w:val="0"/>
          <w:bCs w:val="0"/>
          <w:kern w:val="0"/>
          <w:sz w:val="30"/>
          <w:szCs w:val="30"/>
          <w:lang w:val="en-US" w:eastAsia="zh-CN" w:bidi="zh-CN"/>
        </w:rPr>
        <w:t>、</w:t>
      </w:r>
      <w:r>
        <w:rPr>
          <w:rFonts w:hint="eastAsia" w:ascii="Times New Roman" w:hAnsi="Times New Roman" w:eastAsia="方正仿宋_GB2312" w:cs="Times New Roman"/>
          <w:kern w:val="2"/>
          <w:sz w:val="30"/>
          <w:szCs w:val="30"/>
          <w:lang w:val="en-US" w:eastAsia="zh-CN" w:bidi="ar-SA"/>
        </w:rPr>
        <w:t>《关于申报 2021 年义务教育学校建设项目、幼儿园建设项目、普通高中改造项目年度计划及“十四五”规划的通知》</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2" w:name="_Toc14153"/>
      <w:r>
        <w:rPr>
          <w:rFonts w:hint="eastAsia" w:ascii="方正楷体_GBK" w:hAnsi="方正楷体_GBK" w:eastAsia="方正楷体_GBK" w:cs="方正楷体_GBK"/>
          <w:b/>
          <w:bCs/>
          <w:sz w:val="30"/>
          <w:szCs w:val="30"/>
          <w:lang w:val="en-US" w:eastAsia="zh-CN"/>
        </w:rPr>
        <w:t>（五）评价标准</w:t>
      </w:r>
      <w:bookmarkEnd w:id="82"/>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83" w:name="_Toc1973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83"/>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84" w:name="_Toc26623"/>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80"/>
      <w:bookmarkEnd w:id="81"/>
      <w:bookmarkEnd w:id="84"/>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85" w:name="_Toc3585"/>
      <w:bookmarkStart w:id="86" w:name="_Toc31420"/>
      <w:r>
        <w:rPr>
          <w:rFonts w:hint="eastAsia" w:ascii="Times New Roman" w:hAnsi="Times New Roman" w:eastAsia="方正仿宋_GBK" w:cs="Times New Roman"/>
          <w:b w:val="0"/>
          <w:bCs w:val="0"/>
          <w:kern w:val="0"/>
          <w:sz w:val="30"/>
          <w:szCs w:val="30"/>
          <w:lang w:val="en-US" w:eastAsia="zh-CN" w:bidi="zh-CN"/>
        </w:rPr>
        <w:t>同心县王团镇中心小学综合楼项目根据《项目支出绩效评价管理办法》（财预〔2020〕10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效益类指标包括项目社会效益、可持续影响和满意度3个二级指标，同时对应分解并选择设置红色旅游产业发展、增强红色教育、机制维护健全性和受益对象满意度4个三级指标进行考察评判。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87" w:name="_Toc18428"/>
      <w:bookmarkStart w:id="88" w:name="_Toc13700"/>
      <w:bookmarkStart w:id="89" w:name="_Toc3290"/>
      <w:bookmarkStart w:id="90" w:name="_Toc11592"/>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87"/>
      <w:bookmarkEnd w:id="88"/>
      <w:bookmarkEnd w:id="89"/>
      <w:bookmarkEnd w:id="90"/>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90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80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91" w:name="_Toc1256"/>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85"/>
      <w:bookmarkEnd w:id="86"/>
      <w:bookmarkEnd w:id="9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92" w:name="_Toc10922"/>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92"/>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93" w:name="_Toc2624"/>
      <w:r>
        <w:rPr>
          <w:rFonts w:hint="eastAsia" w:ascii="方正仿宋_GBK" w:hAnsi="方正仿宋_GBK" w:eastAsia="方正仿宋_GBK" w:cs="方正仿宋_GBK"/>
          <w:b w:val="0"/>
          <w:color w:val="auto"/>
          <w:kern w:val="2"/>
          <w:sz w:val="30"/>
          <w:szCs w:val="30"/>
          <w:highlight w:val="none"/>
          <w:lang w:val="en-US" w:eastAsia="zh-CN" w:bidi="ar-SA"/>
        </w:rPr>
        <w:t>同心县王团镇中心小学综合楼项目绩效评价主要采用因素分析法、比较法、现场核查法、公众评判法进行综合评价。具体评价方法如下：</w:t>
      </w:r>
      <w:bookmarkEnd w:id="93"/>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同心县王团镇中心小学综合楼项目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94" w:name="_Toc14287"/>
      <w:bookmarkStart w:id="95" w:name="_Toc1436"/>
      <w:bookmarkStart w:id="96" w:name="_Toc15372"/>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94"/>
      <w:bookmarkEnd w:id="95"/>
      <w:bookmarkEnd w:id="96"/>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97" w:name="_Toc23927"/>
      <w:bookmarkStart w:id="98" w:name="_Toc15926"/>
      <w:bookmarkStart w:id="99" w:name="_Toc24352"/>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97"/>
      <w:bookmarkEnd w:id="98"/>
      <w:bookmarkEnd w:id="99"/>
    </w:p>
    <w:p>
      <w:pPr>
        <w:pStyle w:val="4"/>
        <w:bidi w:val="0"/>
        <w:rPr>
          <w:rFonts w:hint="default"/>
          <w:lang w:val="en-US" w:eastAsia="zh-CN"/>
        </w:rPr>
      </w:pPr>
      <w:bookmarkStart w:id="100" w:name="_Toc25087"/>
      <w:r>
        <w:rPr>
          <w:rFonts w:hint="eastAsia"/>
          <w:lang w:val="en-US" w:eastAsia="zh-CN"/>
        </w:rPr>
        <w:t>（一）项目完成情况</w:t>
      </w:r>
      <w:bookmarkEnd w:id="10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教育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539.00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539.00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539.00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王团镇中心小学综合楼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近年来，同心县始终坚持把教育摆在优先发展的战略地位，举全县之力办好人民满意的教育。项目的实施将全面改善农村义务教育薄弱学校基本办学条件，夯实教育发展基础，提高办学水平，促进教育均衡发展，实现了优质资源共享，推动基础教育质量稳步提升，义务教育学校办学条件改善效果。经对项目实施地开展满意度问卷调查，整体满意度为95%。</w:t>
      </w:r>
    </w:p>
    <w:p>
      <w:pPr>
        <w:pStyle w:val="4"/>
        <w:bidi w:val="0"/>
        <w:rPr>
          <w:rFonts w:hint="default"/>
          <w:lang w:val="en-US" w:eastAsia="zh-CN"/>
        </w:rPr>
      </w:pPr>
      <w:bookmarkStart w:id="101" w:name="_Toc5264"/>
      <w:r>
        <w:rPr>
          <w:rFonts w:hint="eastAsia"/>
          <w:lang w:val="en-US" w:eastAsia="zh-CN"/>
        </w:rPr>
        <w:t>（二）评价结论</w:t>
      </w:r>
      <w:bookmarkEnd w:id="10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同心县王团镇中心小学综合楼项目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02" w:name="_Toc9214"/>
      <w:bookmarkStart w:id="103"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 87.00”</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分，评定等级为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“良”</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13.00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themeColor="text1"/>
                <w:sz w:val="22"/>
                <w:szCs w:val="22"/>
                <w:u w:val="none"/>
                <w:lang w:val="en-US"/>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75.67%</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方正仿宋_GBK" w:cs="Times New Roman"/>
                <w:i w:val="0"/>
                <w:iCs w:val="0"/>
                <w:color w:val="000000" w:themeColor="text1"/>
                <w:kern w:val="0"/>
                <w:sz w:val="22"/>
                <w:szCs w:val="22"/>
                <w:u w:val="none"/>
                <w:lang w:val="en-US" w:eastAsia="zh-CN" w:bidi="ar"/>
                <w14:textFill>
                  <w14:solidFill>
                    <w14:schemeClr w14:val="tx1"/>
                  </w14:solidFill>
                </w14:textFill>
              </w:rPr>
              <w:t>87.00%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04" w:name="_Toc20229"/>
      <w:r>
        <w:rPr>
          <w:rFonts w:hint="eastAsia" w:asciiTheme="majorEastAsia" w:hAnsiTheme="majorEastAsia" w:eastAsiaTheme="majorEastAsia" w:cstheme="majorEastAsia"/>
          <w:b/>
          <w:bCs/>
          <w:sz w:val="32"/>
          <w:szCs w:val="32"/>
          <w:lang w:val="en-US" w:eastAsia="zh-CN"/>
        </w:rPr>
        <w:t>六、绩效评价指标分析</w:t>
      </w:r>
      <w:bookmarkEnd w:id="102"/>
      <w:bookmarkEnd w:id="103"/>
      <w:bookmarkEnd w:id="104"/>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05" w:name="_Toc13089"/>
      <w:bookmarkStart w:id="106" w:name="_Toc10789"/>
      <w:bookmarkStart w:id="107" w:name="_Toc24092"/>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05"/>
      <w:bookmarkEnd w:id="106"/>
      <w:r>
        <w:rPr>
          <w:rFonts w:hint="eastAsia" w:ascii="方正楷体_GBK" w:hAnsi="方正楷体_GBK" w:eastAsia="方正楷体_GBK" w:cs="方正楷体_GBK"/>
          <w:b/>
          <w:bCs w:val="0"/>
          <w:color w:val="auto"/>
          <w:sz w:val="30"/>
          <w:szCs w:val="30"/>
          <w:lang w:eastAsia="zh-CN"/>
        </w:rPr>
        <w:t>分析</w:t>
      </w:r>
      <w:bookmarkEnd w:id="107"/>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分，扣7.00 分，评价得分13.00 分，得分率为65.00%。具体评价指标分析如下：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jc w:val="both"/>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2021年1月21日，同心县发展和改革局印发了《关于同心县王团镇中心小学教学楼建设项目初步设计的批复》（同发改审发〔2021〕24号）批复同心县王团镇中心小学综合楼项目立项，同心县教育局制定了《同心县王团镇中心小学综合楼项目建设方案》，用以规范项目的具体实施。</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本项目符合国家产业政策、吴忠市有关政策和城市规划，对盘活国有土地资源、提升学校学生学习环境和氛围有着重要的实际意义。同时，促进了学校校舍建设，合理利用了土地资源。从经济效益上看，项目可以达到收支平衡，财务上可行。从社会效益上看，做好校舍建设和普及中小学阶段教育工作，是推进全市教育更好、更快发展的创新工作，夯实基础，教育根基才会牢固，社会效益良好，所以项目是可行的。</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同心县教育局职责相符，项目立项符合同心县义务教育发展的要求，项目建设对于解决同心县城市学校大班额突出的问题，加快推进同心县义务教育阶段优质教育均衡发展和城乡一体化具有重大而现实的意义；项目立项属于中央和自治区义务教育薄弱环节改善与能力提升工作项目建设专项资金支持范围。</w:t>
      </w:r>
      <w:r>
        <w:rPr>
          <w:rFonts w:hint="default" w:ascii="Times New Roman" w:hAnsi="Times New Roman" w:eastAsia="仿宋" w:cs="Times New Roman"/>
          <w:color w:val="000000"/>
          <w:kern w:val="0"/>
          <w:sz w:val="30"/>
          <w:szCs w:val="30"/>
          <w:lang w:val="en-US" w:eastAsia="zh-CN" w:bidi="ar"/>
        </w:rPr>
        <w:t xml:space="preserve">该指标满分 3分，根据评分标准得 </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该项目按照规定的程序审批，立项程序规范，同心县发展和改革局下发了</w:t>
      </w:r>
      <w:r>
        <w:rPr>
          <w:rFonts w:hint="eastAsia" w:ascii="Times New Roman" w:hAnsi="Times New Roman" w:eastAsia="方正仿宋_GB2312" w:cs="Times New Roman"/>
          <w:kern w:val="2"/>
          <w:sz w:val="30"/>
          <w:szCs w:val="30"/>
          <w:lang w:val="en-US" w:eastAsia="zh-CN" w:bidi="ar-SA"/>
        </w:rPr>
        <w:t>《关于同心县王团镇中心小学教学楼建设项目初步设计的批复》（同发改审发〔2021〕24号）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jc w:val="both"/>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未能根据</w:t>
      </w:r>
      <w:r>
        <w:rPr>
          <w:rFonts w:hint="default" w:ascii="仿宋" w:hAnsi="仿宋" w:eastAsia="仿宋" w:cs="仿宋"/>
          <w:color w:val="000000"/>
          <w:kern w:val="0"/>
          <w:sz w:val="30"/>
          <w:szCs w:val="30"/>
          <w:lang w:val="en-US" w:eastAsia="zh-CN" w:bidi="ar"/>
        </w:rPr>
        <w:t>《项目支出绩效评价管理办法》（财预〔2020〕10号）、《自治区党委 人民政府关于全面实施预算绩效管理的实施意见》（宁党发〔2019〕9号）</w:t>
      </w:r>
      <w:r>
        <w:rPr>
          <w:rFonts w:hint="eastAsia" w:ascii="仿宋" w:hAnsi="仿宋" w:eastAsia="仿宋" w:cs="仿宋"/>
          <w:color w:val="000000"/>
          <w:kern w:val="0"/>
          <w:sz w:val="30"/>
          <w:szCs w:val="30"/>
          <w:lang w:val="en-US" w:eastAsia="zh-CN" w:bidi="ar"/>
        </w:rPr>
        <w:t>以及</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结合项目特性，</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w:t>
      </w:r>
      <w:r>
        <w:rPr>
          <w:rFonts w:hint="default" w:ascii="仿宋" w:hAnsi="仿宋" w:eastAsia="仿宋" w:cs="仿宋"/>
          <w:color w:val="000000"/>
          <w:kern w:val="0"/>
          <w:sz w:val="30"/>
          <w:szCs w:val="30"/>
          <w:lang w:val="en-US" w:eastAsia="zh-CN" w:bidi="ar"/>
        </w:rPr>
        <w:t>，对预期产出数量的描述，缺失对预期实现效果和财政资金政策意图体</w:t>
      </w:r>
      <w:r>
        <w:rPr>
          <w:rFonts w:hint="eastAsia" w:ascii="仿宋" w:hAnsi="仿宋" w:eastAsia="仿宋" w:cs="仿宋"/>
          <w:color w:val="000000"/>
          <w:kern w:val="0"/>
          <w:sz w:val="30"/>
          <w:szCs w:val="30"/>
          <w:lang w:val="en-US" w:eastAsia="zh-CN" w:bidi="ar"/>
        </w:rPr>
        <w:t>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eastAsia="zh-CN"/>
        </w:rPr>
        <w:t>不得</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jc w:val="both"/>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keepNext w:val="0"/>
        <w:keepLines w:val="0"/>
        <w:pageBreakBefore w:val="0"/>
        <w:kinsoku/>
        <w:wordWrap/>
        <w:overflowPunct w:val="0"/>
        <w:topLinePunct w:val="0"/>
        <w:autoSpaceDE/>
        <w:autoSpaceDN/>
        <w:bidi w:val="0"/>
        <w:adjustRightInd/>
        <w:snapToGrid/>
        <w:spacing w:before="0" w:line="560" w:lineRule="exact"/>
        <w:ind w:right="0"/>
        <w:jc w:val="both"/>
        <w:textAlignment w:val="auto"/>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实施单位评价范围内的项目尚未结合工作内容设置年度绩效目标，同时细化产出指标、效益指标、可持续影响和满意度指标。根据评分细则，</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08" w:name="_Toc579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08"/>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同心县教育局</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根据具体项目建设实施内容与规模、经济技术指标和相关定额标准及规范要求，经对投资概算进行测算后，结合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 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kinsoku/>
        <w:wordWrap/>
        <w:overflowPunct w:val="0"/>
        <w:topLinePunct w:val="0"/>
        <w:autoSpaceDE/>
        <w:autoSpaceDN/>
        <w:bidi w:val="0"/>
        <w:adjustRightInd/>
        <w:snapToGrid/>
        <w:spacing w:before="0" w:line="560" w:lineRule="exact"/>
        <w:ind w:right="0"/>
        <w:jc w:val="both"/>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项目由义务教育薄弱环节改善与能力提升中央财政补助资金安排，项目实施符合《财政部 教育部关于印发〈义务教育薄弱环节改善与能力提升补助资金管理办法〉的通知》（财教〔2021〕127号）资金分配办法，补助资金采取因素法分配，资金分配合理、合规。</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09" w:name="_Toc6168"/>
      <w:r>
        <w:rPr>
          <w:rFonts w:hint="eastAsia" w:ascii="方正楷体_GBK" w:hAnsi="方正楷体_GBK" w:eastAsia="方正楷体_GBK" w:cs="方正楷体_GBK"/>
          <w:sz w:val="30"/>
          <w:szCs w:val="30"/>
          <w:lang w:val="en-US" w:eastAsia="zh-CN"/>
        </w:rPr>
        <w:t>（二）项目过程</w:t>
      </w:r>
      <w:bookmarkEnd w:id="109"/>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，同心县王团镇中心小学综合楼项目预算安排中央资金539.00万元，实际到位资金539.00万元，资金到位率为100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项目绩效评价涉及预算资金为539.00万元，经绩效评价小组对各预算单位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，截至评价前，预算执行金额为：539.00万元，经计算预算执行率为：100%。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同心县教育局实施的王团镇中心小学综合楼</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同心县教育局</w:t>
      </w:r>
      <w:r>
        <w:rPr>
          <w:rFonts w:hint="default" w:ascii="Times New Roman" w:hAnsi="Times New Roman" w:eastAsia="方正仿宋_GBK" w:cs="Times New Roman"/>
          <w:spacing w:val="0"/>
          <w:kern w:val="0"/>
          <w:sz w:val="30"/>
          <w:szCs w:val="30"/>
          <w:lang w:val="en-US" w:bidi="zh-CN"/>
        </w:rPr>
        <w:t>印发</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w:t>
      </w:r>
      <w:r>
        <w:rPr>
          <w:rFonts w:hint="default" w:ascii="Times New Roman" w:hAnsi="Times New Roman" w:eastAsia="方正仿宋_GBK" w:cs="Times New Roman"/>
          <w:spacing w:val="0"/>
          <w:kern w:val="0"/>
          <w:sz w:val="30"/>
          <w:szCs w:val="30"/>
          <w:lang w:val="en-US" w:eastAsia="zh-CN" w:bidi="zh-CN"/>
        </w:rPr>
        <w:t>遵照《中华人民共和国预算法</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国务院关于全面实施预算绩效管理的意见〉的通知》（财预〔2018〕167号）、《自治区党委 人民政府关于全面实施预算绩效管理的实施意见》（宁党发〔2019〕9号）等文件的规定，对项目实施进行监管，财务和业务管理制度合法、合规、完整。</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 xml:space="preserve">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同心县教育局在项目的实施过程中支出管理、预算管理遵守相关法律法规、相关管理规定和财务管理制度；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 xml:space="preserve">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10" w:name="_Toc15690"/>
      <w:bookmarkStart w:id="111" w:name="_Toc18498"/>
      <w:bookmarkStart w:id="112" w:name="_Toc1945"/>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10"/>
      <w:bookmarkEnd w:id="111"/>
      <w:bookmarkEnd w:id="112"/>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本项指标共设2个二级指标、5个三级指标，权重分值34分，评价得分29.5分，得分率为86.76%。具体评价指标分析如下：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2021年1月24日，同心县发展改革局印发《关于同心县红军西征纪念馆主体改造工程初步设计的批复》（同发改审发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24号）号，批复项目予以立项；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2021年8月5日，经过公开招标的方式确定宁夏上润实业有限公司为项目中标单位。</w:t>
      </w:r>
    </w:p>
    <w:p>
      <w:pPr>
        <w:keepNext w:val="0"/>
        <w:keepLines w:val="0"/>
        <w:widowControl/>
        <w:suppressLineNumbers w:val="0"/>
        <w:jc w:val="left"/>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截至目前，同心县王团镇中心小学综合楼已完成批复等既定的全部施工内容，且完成验收。</w:t>
      </w: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13" w:name="_Toc4341"/>
      <w:bookmarkStart w:id="114" w:name="_Toc25249"/>
      <w:bookmarkStart w:id="115" w:name="_Toc13818"/>
      <w:r>
        <w:rPr>
          <w:rFonts w:hint="default" w:ascii="Times New Roman" w:hAnsi="Times New Roman" w:cs="Times New Roman"/>
          <w:lang w:val="en-US" w:eastAsia="zh-CN"/>
        </w:rPr>
        <w:t>（1）资金到位及时率</w:t>
      </w:r>
      <w:bookmarkEnd w:id="113"/>
      <w:bookmarkEnd w:id="114"/>
      <w:bookmarkEnd w:id="115"/>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同心县王团镇中心小学综合楼项目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16" w:name="_Toc2959"/>
      <w:bookmarkStart w:id="117" w:name="_Toc21408"/>
      <w:bookmarkStart w:id="118" w:name="_Toc1954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16"/>
      <w:bookmarkEnd w:id="117"/>
      <w:bookmarkEnd w:id="118"/>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经现场资料审核，项目合同约定工期2021年</w:t>
      </w:r>
      <w:r>
        <w:rPr>
          <w:rFonts w:hint="eastAsia" w:ascii="Times New Roman" w:hAnsi="Times New Roman" w:eastAsia="方正仿宋_GBK" w:cs="Times New Roman"/>
          <w:spacing w:val="0"/>
          <w:kern w:val="0"/>
          <w:sz w:val="30"/>
          <w:szCs w:val="30"/>
          <w:lang w:val="en-US" w:eastAsia="zh-CN" w:bidi="zh-CN"/>
        </w:rPr>
        <w:t>8</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16</w:t>
      </w:r>
      <w:r>
        <w:rPr>
          <w:rFonts w:hint="default" w:ascii="Times New Roman" w:hAnsi="Times New Roman" w:eastAsia="方正仿宋_GBK" w:cs="Times New Roman"/>
          <w:spacing w:val="0"/>
          <w:kern w:val="0"/>
          <w:sz w:val="30"/>
          <w:szCs w:val="30"/>
          <w:lang w:val="en-US" w:eastAsia="zh-CN" w:bidi="zh-CN"/>
        </w:rPr>
        <w:t>日—2022年</w:t>
      </w:r>
      <w:r>
        <w:rPr>
          <w:rFonts w:hint="eastAsia" w:ascii="Times New Roman" w:hAnsi="Times New Roman" w:eastAsia="方正仿宋_GBK" w:cs="Times New Roman"/>
          <w:spacing w:val="0"/>
          <w:kern w:val="0"/>
          <w:sz w:val="30"/>
          <w:szCs w:val="30"/>
          <w:lang w:val="en-US" w:eastAsia="zh-CN" w:bidi="zh-CN"/>
        </w:rPr>
        <w:t>6</w:t>
      </w:r>
      <w:r>
        <w:rPr>
          <w:rFonts w:hint="default" w:ascii="Times New Roman" w:hAnsi="Times New Roman" w:eastAsia="方正仿宋_GBK" w:cs="Times New Roman"/>
          <w:spacing w:val="0"/>
          <w:kern w:val="0"/>
          <w:sz w:val="30"/>
          <w:szCs w:val="30"/>
          <w:lang w:val="en-US" w:eastAsia="zh-CN" w:bidi="zh-CN"/>
        </w:rPr>
        <w:t>月</w:t>
      </w:r>
      <w:r>
        <w:rPr>
          <w:rFonts w:hint="eastAsia" w:ascii="Times New Roman" w:hAnsi="Times New Roman" w:eastAsia="方正仿宋_GBK" w:cs="Times New Roman"/>
          <w:spacing w:val="0"/>
          <w:kern w:val="0"/>
          <w:sz w:val="30"/>
          <w:szCs w:val="30"/>
          <w:lang w:val="en-US" w:eastAsia="zh-CN" w:bidi="zh-CN"/>
        </w:rPr>
        <w:t>11</w:t>
      </w:r>
      <w:r>
        <w:rPr>
          <w:rFonts w:hint="default" w:ascii="Times New Roman" w:hAnsi="Times New Roman" w:eastAsia="方正仿宋_GBK" w:cs="Times New Roman"/>
          <w:spacing w:val="0"/>
          <w:kern w:val="0"/>
          <w:sz w:val="30"/>
          <w:szCs w:val="30"/>
          <w:lang w:val="en-US" w:eastAsia="zh-CN" w:bidi="zh-CN"/>
        </w:rPr>
        <w:t>日，工期总天数为70天</w:t>
      </w:r>
      <w:r>
        <w:rPr>
          <w:rFonts w:hint="eastAsia" w:ascii="Times New Roman" w:hAnsi="Times New Roman" w:eastAsia="方正仿宋_GBK" w:cs="Times New Roman"/>
          <w:spacing w:val="0"/>
          <w:kern w:val="0"/>
          <w:sz w:val="30"/>
          <w:szCs w:val="30"/>
          <w:lang w:val="en-US" w:eastAsia="zh-CN" w:bidi="zh-CN"/>
        </w:rPr>
        <w:t>。施工过程中项目实施单位</w:t>
      </w:r>
      <w:r>
        <w:rPr>
          <w:rFonts w:hint="default" w:ascii="Times New Roman" w:hAnsi="Times New Roman" w:eastAsia="方正仿宋_GBK" w:cs="Times New Roman"/>
          <w:spacing w:val="0"/>
          <w:kern w:val="0"/>
          <w:sz w:val="30"/>
          <w:szCs w:val="30"/>
          <w:lang w:val="en-US" w:eastAsia="zh-CN" w:bidi="zh-CN"/>
        </w:rPr>
        <w:t>严格按照</w:t>
      </w:r>
      <w:r>
        <w:rPr>
          <w:rFonts w:hint="eastAsia" w:ascii="Times New Roman" w:hAnsi="Times New Roman" w:eastAsia="方正仿宋_GBK" w:cs="Times New Roman"/>
          <w:spacing w:val="0"/>
          <w:kern w:val="0"/>
          <w:sz w:val="30"/>
          <w:szCs w:val="30"/>
          <w:lang w:val="en-US" w:eastAsia="zh-CN" w:bidi="zh-CN"/>
        </w:rPr>
        <w:t>建设单位、监理单位开工报告</w:t>
      </w:r>
      <w:r>
        <w:rPr>
          <w:rFonts w:hint="default" w:ascii="Times New Roman" w:hAnsi="Times New Roman" w:eastAsia="方正仿宋_GBK" w:cs="Times New Roman"/>
          <w:spacing w:val="0"/>
          <w:kern w:val="0"/>
          <w:sz w:val="30"/>
          <w:szCs w:val="30"/>
          <w:lang w:val="en-US" w:eastAsia="zh-CN" w:bidi="zh-CN"/>
        </w:rPr>
        <w:t xml:space="preserve">约定履行工期。该指标本项满分3分，根据评分标准得 </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19" w:name="_Toc4766"/>
      <w:bookmarkStart w:id="120" w:name="_Toc30038"/>
      <w:bookmarkStart w:id="121" w:name="_Toc13913"/>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19"/>
      <w:bookmarkEnd w:id="120"/>
      <w:bookmarkEnd w:id="121"/>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22" w:name="_Toc26427"/>
      <w:bookmarkStart w:id="123" w:name="_Toc15238"/>
      <w:bookmarkStart w:id="124" w:name="_Toc9592"/>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22"/>
      <w:bookmarkEnd w:id="123"/>
      <w:bookmarkEnd w:id="12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900.46万元、中标合同价总额706.63万元。从施工单位提交的中标通知书结果来看，本项目建设投资成本总额控制在初步设计批复总额以内。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25" w:name="_Toc3030"/>
      <w:bookmarkStart w:id="126" w:name="_Toc17947"/>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25"/>
      <w:bookmarkEnd w:id="126"/>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pStyle w:val="4"/>
        <w:rPr>
          <w:rFonts w:hint="eastAsia" w:ascii="Times New Roman" w:hAnsi="Times New Roman" w:eastAsia="楷体" w:cs="Times New Roman"/>
          <w:b/>
          <w:kern w:val="2"/>
          <w:sz w:val="32"/>
          <w:szCs w:val="32"/>
          <w:lang w:val="en-US" w:eastAsia="zh-CN" w:bidi="ar-SA"/>
        </w:rPr>
      </w:pPr>
      <w:bookmarkStart w:id="127" w:name="_Toc19818"/>
      <w:bookmarkStart w:id="128" w:name="_Toc12708"/>
      <w:bookmarkStart w:id="129" w:name="_Toc19646"/>
      <w:r>
        <w:rPr>
          <w:rFonts w:hint="eastAsia" w:ascii="Times New Roman" w:hAnsi="Times New Roman" w:eastAsia="楷体" w:cs="Times New Roman"/>
          <w:b/>
          <w:kern w:val="2"/>
          <w:sz w:val="32"/>
          <w:szCs w:val="32"/>
          <w:lang w:val="en-US" w:eastAsia="zh-CN" w:bidi="ar-SA"/>
        </w:rPr>
        <w:t>（1）提升</w:t>
      </w:r>
      <w:bookmarkEnd w:id="127"/>
      <w:bookmarkEnd w:id="128"/>
      <w:r>
        <w:rPr>
          <w:rFonts w:hint="eastAsia" w:ascii="Times New Roman" w:hAnsi="Times New Roman" w:cs="Times New Roman"/>
          <w:b/>
          <w:kern w:val="2"/>
          <w:sz w:val="32"/>
          <w:szCs w:val="32"/>
          <w:lang w:val="en-US" w:eastAsia="zh-CN" w:bidi="ar-SA"/>
        </w:rPr>
        <w:t>教育教学质量</w:t>
      </w:r>
      <w:bookmarkEnd w:id="129"/>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王团镇中心小学作为乡村文化的中心和纽带，在保障乡村儿童受教育权利、提高乡村人口文化素质、增加乡村文化内涵、丰富乡村社区生活、建设美好乡村等方面发挥着举足轻重的作用。</w:t>
      </w:r>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项目的新建为适龄人口受高中教育铺平了道路能极大地缓解该片区适龄人口入学压力，而且在对学生德、智、体等全方面发展培育中，项目建成后继续为培养高素质人才打下了良好的基础。本项目的实施，可以有效地缓解教学基础设施欠缺的压力有利于促进高中教育稳定、持续、协调、健康发展，对整个的教育事业稳定发展起到一定的推动作用。</w:t>
      </w:r>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持续改善办学条件，为教育教学提供坚实的服务和保障，打造和谐美丽校园环境，合理规划学校布局，优化教育资源配置，基础教育质量稳步提升，城乡教育资源扩容增量，完成了王团镇中心小学综合楼任务，义务教育学校办学条件改善效果显著，经工作组社会调查问卷统计，约96%的受访群众对同心县义务教育基础设施建设比较满意。</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5</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30" w:name="_Toc26089"/>
      <w:bookmarkStart w:id="131" w:name="_Toc11426"/>
      <w:r>
        <w:rPr>
          <w:rFonts w:hint="eastAsia" w:ascii="Times New Roman" w:hAnsi="Times New Roman" w:eastAsia="方正仿宋_GBK" w:cs="Times New Roman"/>
          <w:b/>
          <w:bCs/>
          <w:spacing w:val="-6"/>
          <w:sz w:val="30"/>
          <w:szCs w:val="30"/>
          <w:lang w:val="en-US" w:eastAsia="zh-CN"/>
        </w:rPr>
        <w:t>2.可持续影响性</w:t>
      </w:r>
      <w:bookmarkEnd w:id="130"/>
      <w:bookmarkEnd w:id="13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（1）综合楼安全使用年限</w:t>
      </w:r>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现行国家标准建筑结构可靠度设计统一标准（GB50068-2018）中明确规定，普通房屋和构筑物，设计使用年限为50年。经质量验收合格，可保障项目的持续使用。</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结投入使用后，同心县教育局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32" w:name="_Toc3765"/>
      <w:bookmarkStart w:id="133" w:name="_Toc16497"/>
      <w:bookmarkStart w:id="134" w:name="_Toc9957"/>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32"/>
      <w:bookmarkEnd w:id="133"/>
      <w:bookmarkEnd w:id="134"/>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1"/>
          <w:sz w:val="30"/>
          <w:szCs w:val="30"/>
          <w:lang w:val="en-US" w:eastAsia="zh-CN"/>
        </w:rPr>
      </w:pPr>
      <w:r>
        <w:rPr>
          <w:rFonts w:hint="eastAsia"/>
          <w:lang w:val="en-US" w:eastAsia="zh-CN"/>
        </w:rPr>
        <w:t>我们通过发放调查问卷的方式，对同心县辖区常住居民、外来办事人员等进行了满意度调查，调查问卷内容包括项目建设情况、项目设计、历史要素、人文环境等方面。经统计，项目整体的</w:t>
      </w:r>
      <w:r>
        <w:rPr>
          <w:rFonts w:hint="default" w:ascii="Times New Roman" w:hAnsi="Times New Roman" w:cs="Times New Roman"/>
          <w:lang w:val="en-US" w:eastAsia="zh-CN"/>
        </w:rPr>
        <w:t>满意度≥90分。</w:t>
      </w:r>
      <w:r>
        <w:rPr>
          <w:rFonts w:hint="default" w:ascii="Times New Roman" w:hAnsi="Times New Roman" w:eastAsia="方正仿宋_GBK" w:cs="Times New Roman"/>
          <w:spacing w:val="1"/>
          <w:sz w:val="30"/>
          <w:szCs w:val="30"/>
          <w:lang w:val="en-US" w:eastAsia="zh-CN"/>
        </w:rPr>
        <w:t>该指标本项满分10分，</w:t>
      </w:r>
      <w:r>
        <w:rPr>
          <w:rFonts w:hint="default" w:ascii="Times New Roman" w:hAnsi="Times New Roman" w:eastAsia="仿宋" w:cs="Times New Roman"/>
          <w:color w:val="000000"/>
          <w:kern w:val="0"/>
          <w:sz w:val="30"/>
          <w:szCs w:val="30"/>
          <w:lang w:val="en-US" w:eastAsia="zh-CN" w:bidi="ar"/>
        </w:rPr>
        <w:t>根据评分标准得</w:t>
      </w:r>
      <w:r>
        <w:rPr>
          <w:rFonts w:hint="default" w:ascii="Times New Roman" w:hAnsi="Times New Roman" w:eastAsia="方正仿宋_GBK" w:cs="Times New Roman"/>
          <w:spacing w:val="1"/>
          <w:sz w:val="30"/>
          <w:szCs w:val="30"/>
          <w:lang w:val="en-US" w:eastAsia="zh-CN"/>
        </w:rPr>
        <w:t>10分。</w:t>
      </w:r>
    </w:p>
    <w:p>
      <w:pPr>
        <w:pStyle w:val="3"/>
        <w:ind w:firstLine="592" w:firstLineChars="200"/>
        <w:rPr>
          <w:rFonts w:hint="eastAsia" w:asciiTheme="majorEastAsia" w:hAnsiTheme="majorEastAsia" w:eastAsiaTheme="majorEastAsia" w:cstheme="majorEastAsia"/>
          <w:b/>
          <w:bCs/>
          <w:sz w:val="30"/>
          <w:szCs w:val="30"/>
        </w:rPr>
      </w:pPr>
      <w:bookmarkStart w:id="135" w:name="_Toc1561"/>
      <w:bookmarkStart w:id="136" w:name="_Toc19145"/>
      <w:bookmarkStart w:id="137" w:name="_Toc31782"/>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35"/>
      <w:bookmarkEnd w:id="136"/>
      <w:bookmarkEnd w:id="137"/>
    </w:p>
    <w:p>
      <w:pPr>
        <w:pStyle w:val="4"/>
        <w:ind w:firstLine="562"/>
        <w:rPr>
          <w:rFonts w:ascii="方正楷体_GBK" w:hAnsi="方正楷体_GBK" w:eastAsia="方正楷体_GBK" w:cs="方正楷体_GBK"/>
          <w:b/>
          <w:bCs w:val="0"/>
          <w:sz w:val="32"/>
          <w:szCs w:val="32"/>
        </w:rPr>
      </w:pPr>
      <w:bookmarkStart w:id="138" w:name="_Toc4904"/>
      <w:bookmarkStart w:id="139" w:name="_Toc8542"/>
      <w:bookmarkStart w:id="140" w:name="_Toc19800"/>
      <w:r>
        <w:rPr>
          <w:rFonts w:hint="eastAsia" w:ascii="方正楷体_GBK" w:hAnsi="方正楷体_GBK" w:eastAsia="方正楷体_GBK" w:cs="方正楷体_GBK"/>
          <w:b/>
          <w:bCs w:val="0"/>
          <w:sz w:val="32"/>
          <w:szCs w:val="32"/>
        </w:rPr>
        <w:t>（一）经验做法</w:t>
      </w:r>
      <w:bookmarkEnd w:id="138"/>
      <w:bookmarkEnd w:id="139"/>
      <w:bookmarkEnd w:id="140"/>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同心县王团镇中心小学综合楼项目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eastAsia"/>
          <w:lang w:val="en-US" w:eastAsia="zh-CN"/>
        </w:rPr>
      </w:pPr>
      <w:r>
        <w:rPr>
          <w:rFonts w:hint="eastAsia"/>
          <w:b/>
          <w:bCs/>
          <w:lang w:val="en-US" w:eastAsia="zh-CN"/>
        </w:rPr>
        <w:t>一是</w:t>
      </w:r>
      <w:r>
        <w:rPr>
          <w:rFonts w:hint="eastAsia"/>
          <w:lang w:val="en-US" w:eastAsia="zh-CN"/>
        </w:rPr>
        <w:t>项目建设单位严格执行国家基本建设程序，建立了“政府监督、项目法人负责、社会监督、企业保证”的质量管理体系，推行“四制”管理。</w:t>
      </w:r>
    </w:p>
    <w:p>
      <w:pPr>
        <w:keepNext w:val="0"/>
        <w:keepLines w:val="0"/>
        <w:pageBreakBefore w:val="0"/>
        <w:widowControl/>
        <w:kinsoku/>
        <w:wordWrap/>
        <w:overflowPunct/>
        <w:topLinePunct w:val="0"/>
        <w:autoSpaceDE/>
        <w:autoSpaceDN/>
        <w:bidi w:val="0"/>
        <w:adjustRightInd w:val="0"/>
        <w:snapToGrid w:val="0"/>
        <w:spacing w:line="560" w:lineRule="exact"/>
        <w:ind w:firstLine="63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b/>
          <w:bCs/>
          <w:lang w:val="en-US" w:eastAsia="zh-CN"/>
        </w:rPr>
        <w:t>二是</w:t>
      </w:r>
      <w:r>
        <w:rPr>
          <w:rFonts w:hint="eastAsia"/>
          <w:lang w:val="en-US" w:eastAsia="zh-CN"/>
        </w:rPr>
        <w:t>工程施工中各参建单位按照工程建设管理要求进行现场管理，在施工现场成立了机构，分别负责技术、施工管理、施工协调、质量监督、财务管理，单位人员到位职责明确、措施到位、质量控制体系健全；施工单位严把材料质量关，坚决</w:t>
      </w:r>
      <w:r>
        <w:rPr>
          <w:rFonts w:hint="eastAsia" w:ascii="Times New Roman" w:hAnsi="Times New Roman" w:eastAsia="方正仿宋_GBK" w:cs="Times New Roman"/>
          <w:color w:val="auto"/>
          <w:kern w:val="0"/>
          <w:sz w:val="30"/>
          <w:szCs w:val="30"/>
          <w:lang w:val="en-US" w:eastAsia="zh-CN" w:bidi="zh-CN"/>
        </w:rPr>
        <w:t>杜绝不合格材料进场，严格执行“三检制”要求，保证了各项工作按施工规范进行施工，工程质量得到了有效保证，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施工单位成立了工程项目部，建立了质量保证体系，明确了质量管理机构和人员职责，建立了有关规章制度和管理办法。设计单位及时进行了设计技术交底和提交了有关设计文件。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监理单位实施了现场监理并对重点部位、关键工序实行了旁站监理，严把审核关，工程质量得到有效控制，保证了各项工作的相衔接。</w:t>
      </w:r>
    </w:p>
    <w:p>
      <w:pPr>
        <w:pStyle w:val="4"/>
        <w:ind w:firstLine="562"/>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41" w:name="_Toc13811"/>
      <w:bookmarkStart w:id="142" w:name="_Toc2806"/>
      <w:bookmarkStart w:id="143" w:name="_Toc14234"/>
      <w:r>
        <w:rPr>
          <w:rFonts w:hint="eastAsia" w:ascii="方正楷体_GBK" w:hAnsi="方正楷体_GBK" w:eastAsia="方正楷体_GBK" w:cs="方正楷体_GBK"/>
          <w:b/>
          <w:bCs w:val="0"/>
          <w:sz w:val="32"/>
          <w:szCs w:val="32"/>
        </w:rPr>
        <w:t>（二）存在的问题</w:t>
      </w:r>
      <w:bookmarkEnd w:id="141"/>
      <w:bookmarkEnd w:id="142"/>
      <w:bookmarkEnd w:id="143"/>
    </w:p>
    <w:p>
      <w:pPr>
        <w:keepNext w:val="0"/>
        <w:keepLines w:val="0"/>
        <w:widowControl/>
        <w:suppressLineNumbers w:val="0"/>
        <w:jc w:val="left"/>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前期工作欠缺，未制定项目实施方案。</w:t>
      </w:r>
    </w:p>
    <w:p>
      <w:pPr>
        <w:keepNext w:val="0"/>
        <w:keepLines w:val="0"/>
        <w:widowControl/>
        <w:suppressLineNumbers w:val="0"/>
        <w:jc w:val="left"/>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未制定具体的项目实施方案。项目单位没有针对本项目制定具体的实施方案，仅提供了《同心县教育局合同业务工作流程图、风险点及主要防控措施》，这两个文件虽对工作开展有一定的约束和指导意义，能够解决部分相关问题，但无法明确项目实施的整体进度计划、项目组织架构、具体工程管理及资金管理方案也缺乏对项目所需的资金进行计划安排和风险分析，不利于项目按计划实施开展，同时不利于项目单位管理职能有效发挥。</w:t>
      </w:r>
    </w:p>
    <w:p>
      <w:pPr>
        <w:pStyle w:val="18"/>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项目单位监管意识不强</w:t>
      </w:r>
      <w:r>
        <w:rPr>
          <w:rFonts w:hint="eastAsia" w:ascii="Times New Roman" w:hAnsi="Times New Roman" w:eastAsia="方正仿宋_GBK" w:cs="Times New Roman"/>
          <w:b w:val="0"/>
          <w:kern w:val="2"/>
          <w:sz w:val="30"/>
          <w:szCs w:val="30"/>
          <w:lang w:val="en-US" w:eastAsia="zh-CN" w:bidi="zh-CN"/>
        </w:rPr>
        <w:t>。</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过程监管不到位项目实施过程中，项目单位监管意识较弱，且监管工作不规范，缺少检查通知、检查图片、项目整改材料等监管材料，难以体现项目单位监管工作的内容。按照项目建设管理的相关规定，项目单位应对项目实施过程的安全问题、项目进度和质量问题等进行监督和管理，从而体现出项目单位对各参建单位工作进行规范的监管，发挥项目单位的监督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4.项目完工后，久拖不“决”。</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主体改造项目在结算审核、竣工财务决算编制、会计核算、在建工程“转固”等方面存在一些亟待解决的问题。竣工财务决算工作严重滞后，导致新增资产价值难以确认。</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r>
        <w:rPr>
          <w:rFonts w:hint="eastAsia" w:ascii="方正楷体_GBK" w:hAnsi="方正楷体_GBK" w:eastAsia="方正楷体_GBK" w:cs="方正楷体_GBK"/>
          <w:color w:val="333333"/>
          <w:sz w:val="30"/>
          <w:szCs w:val="30"/>
          <w:shd w:val="clear" w:fill="FFFFFF"/>
          <w:lang w:val="en-US" w:eastAsia="zh-CN" w:bidi="zh-CN"/>
        </w:rPr>
        <w:t>（三）建议</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精神，完善项目支出预算绩效目标编制，并撰写自评报告。同时，财政和业务主管部门应加强指导监督。</w:t>
      </w:r>
    </w:p>
    <w:p>
      <w:pPr>
        <w:pStyle w:val="2"/>
        <w:numPr>
          <w:ilvl w:val="0"/>
          <w:numId w:val="3"/>
        </w:numPr>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加强前期工作管理，制定项目实施方案。</w:t>
      </w:r>
    </w:p>
    <w:p>
      <w:pPr>
        <w:pStyle w:val="2"/>
        <w:keepNext/>
        <w:keepLines/>
        <w:pageBreakBefore w:val="0"/>
        <w:widowControl w:val="0"/>
        <w:numPr>
          <w:ilvl w:val="0"/>
          <w:numId w:val="0"/>
        </w:numPr>
        <w:kinsoku/>
        <w:wordWrap/>
        <w:overflowPunct w:val="0"/>
        <w:topLinePunct w:val="0"/>
        <w:autoSpaceDE/>
        <w:autoSpaceDN/>
        <w:bidi w:val="0"/>
        <w:adjustRightInd/>
        <w:snapToGrid w:val="0"/>
        <w:ind w:firstLine="592" w:firstLineChars="200"/>
        <w:textAlignment w:val="auto"/>
        <w:rPr>
          <w:rFonts w:hint="eastAsia" w:ascii="方正仿宋_GBK" w:hAnsi="方正仿宋_GBK" w:eastAsia="方正仿宋_GBK" w:cs="方正仿宋_GBK"/>
          <w:b w:val="0"/>
          <w:color w:val="000000"/>
          <w:kern w:val="0"/>
          <w:sz w:val="30"/>
          <w:szCs w:val="30"/>
          <w:lang w:val="en-US" w:eastAsia="zh-CN" w:bidi="ar"/>
        </w:rPr>
      </w:pPr>
      <w:r>
        <w:rPr>
          <w:rFonts w:hint="eastAsia" w:ascii="方正仿宋_GBK" w:hAnsi="方正仿宋_GBK" w:eastAsia="方正仿宋_GBK" w:cs="方正仿宋_GBK"/>
          <w:b w:val="0"/>
          <w:color w:val="000000"/>
          <w:kern w:val="0"/>
          <w:sz w:val="30"/>
          <w:szCs w:val="30"/>
          <w:lang w:val="en-US" w:eastAsia="zh-CN" w:bidi="ar"/>
        </w:rPr>
        <w:t>为项目顺利实施提供保障。建议做好项目总体实施方案，重视项目实施方案的指导性作用，制定项目实施计划，包括项目实施的时间节点人员安排、资金来源、保障措施等，并完善风险防控、质量管理制度。同时，建立并落实问责机制，最大程度上保障项目的顺利实施。</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left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3.加强对项目实施过程的监督，提升监管意识。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议项目单位要切实履行好监管职能，完善项目管理制度体系。在已有的项目管理制度上进一步制定项目进度跟踪监督制度，并严格执行，通过组织项目管理小组形式，以项目建设时间和项目监督进度计划为依据，组织安排管理小组人员对项目实施进度进行定期检查及不定期抽查，以保证项目可以如期推进，对于检查过程中发现的项目进度滞后等问题，进行及时整改，同时做好相关的监督检查记录。此外，加强对项目质量的检查和监督，对存在质量问题的项目要采取纠正措施，及时要求施工单位进行整改，确保项目完成质量符合要求。</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加强项目实施过程的规范管理工作。一方面，规范项目招投标、建设、验收等阶段的工作，遵循《建设工程质量管理条例》，增强对项目实施、验收等环节审核的严谨性规范性，在日常工作中随时对项目材料进行必要的抽查或普查。另一方面，完善常态化监管和阶段性监督机制，完善各项规范性监督管理佐证资料。建设单位主管机构也应设定监督评价机构，对诸如立项审批、项目委托、各项招标工作的合规性，合同签订的规范性、资金支付合规与及时性等方面及时发现建设单位实施过程中相关问题，并要求其认真整改。</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4.提升决算意识，履行决算职能</w:t>
      </w:r>
    </w:p>
    <w:p>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b/>
          <w:bCs/>
          <w:sz w:val="30"/>
          <w:szCs w:val="30"/>
          <w:lang w:val="en-US" w:eastAsia="zh-CN"/>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keepNext w:val="0"/>
        <w:keepLines w:val="0"/>
        <w:pageBreakBefore w:val="0"/>
        <w:widowControl/>
        <w:numPr>
          <w:ilvl w:val="0"/>
          <w:numId w:val="6"/>
        </w:numPr>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r>
        <w:rPr>
          <w:rFonts w:hint="eastAsia" w:asciiTheme="majorEastAsia" w:hAnsiTheme="majorEastAsia" w:eastAsiaTheme="majorEastAsia" w:cstheme="majorEastAsia"/>
          <w:b/>
          <w:bCs/>
          <w:kern w:val="44"/>
          <w:sz w:val="30"/>
          <w:szCs w:val="30"/>
          <w:lang w:val="en-US" w:eastAsia="zh-CN" w:bidi="ar-SA"/>
        </w:rPr>
        <w:t>其他需要说明的问题</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同心县王团镇中心小学综合楼项目补助资金有关的方面。同时评价报告及结论也受评价人员对项目的了解程度、专业知识和评价能力的限制，因此，本绩效评价报告仅对同心县王团镇中心小学综合楼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ind w:left="0" w:leftChars="0" w:firstLine="0" w:firstLineChars="0"/>
        <w:rPr>
          <w:rFonts w:hint="eastAsia" w:ascii="方正仿宋_GBK" w:hAnsi="方正仿宋_GBK" w:eastAsia="方正仿宋_GBK" w:cs="方正仿宋_GBK"/>
          <w:color w:val="000000"/>
          <w:kern w:val="0"/>
          <w:sz w:val="30"/>
          <w:szCs w:val="30"/>
          <w:lang w:val="en-US" w:eastAsia="zh-CN" w:bidi="ar"/>
        </w:rPr>
      </w:pPr>
    </w:p>
    <w:p>
      <w:pPr>
        <w:pStyle w:val="2"/>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47"/>
      <w:bookmarkEnd w:id="48"/>
      <w:bookmarkEnd w:id="49"/>
      <w:bookmarkEnd w:id="50"/>
      <w:bookmarkEnd w:id="51"/>
      <w:bookmarkEnd w:id="52"/>
      <w:bookmarkEnd w:id="53"/>
      <w:bookmarkEnd w:id="54"/>
      <w:r>
        <w:rPr>
          <w:rFonts w:hint="eastAsia" w:ascii="Times New Roman" w:hAnsi="Times New Roman" w:eastAsia="方正仿宋_GB2312" w:cs="Times New Roman"/>
          <w:b w:val="0"/>
          <w:sz w:val="28"/>
          <w:szCs w:val="28"/>
          <w:lang w:val="en-US" w:eastAsia="zh-CN"/>
        </w:rPr>
        <w:t>2023年12月31日</w:t>
      </w:r>
      <w:bookmarkEnd w:id="25"/>
      <w:bookmarkEnd w:id="55"/>
      <w:bookmarkStart w:id="144" w:name="_Toc5302"/>
      <w:bookmarkStart w:id="145"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44"/>
    <w:bookmarkEnd w:id="145"/>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同心县王团镇中心小学综合楼项目绩效评价指标体系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同心县王团镇中心小学综合楼项目预算539万元，实际支出539万元，预算执行率100%。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2312" w:cs="Times New Roman"/>
                <w:i w:val="0"/>
                <w:iCs w:val="0"/>
                <w:color w:val="000000"/>
                <w:kern w:val="0"/>
                <w:sz w:val="21"/>
                <w:szCs w:val="21"/>
                <w:u w:val="none"/>
                <w:lang w:val="en-US" w:eastAsia="zh-CN" w:bidi="ar"/>
              </w:rPr>
              <w:t>资金执行率=实际支付资金/实际到位资金×100%，专项资金执行率</w:t>
            </w:r>
            <w:r>
              <w:rPr>
                <w:rFonts w:hint="eastAsia" w:ascii="Times New Roman" w:hAnsi="Times New Roman" w:eastAsia="方正仿宋_GB2312" w:cs="Times New Roman"/>
                <w:i w:val="0"/>
                <w:iCs w:val="0"/>
                <w:color w:val="000000"/>
                <w:kern w:val="0"/>
                <w:sz w:val="21"/>
                <w:szCs w:val="21"/>
                <w:u w:val="none"/>
                <w:lang w:val="en-US" w:eastAsia="zh-CN" w:bidi="ar"/>
              </w:rPr>
              <w:t>90</w:t>
            </w:r>
            <w:r>
              <w:rPr>
                <w:rFonts w:hint="default" w:ascii="Times New Roman" w:hAnsi="Times New Roman" w:eastAsia="方正仿宋_GB2312" w:cs="Times New Roman"/>
                <w:i w:val="0"/>
                <w:iCs w:val="0"/>
                <w:color w:val="000000"/>
                <w:kern w:val="0"/>
                <w:sz w:val="21"/>
                <w:szCs w:val="21"/>
                <w:u w:val="none"/>
                <w:lang w:val="en-US" w:eastAsia="zh-CN" w:bidi="ar"/>
              </w:rPr>
              <w:t>%得满分。否则本指标得分=资金执行率×分值。</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推动基础教育质量</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推动基础教育质量稳步提升，义务教育学校办学条件改善效果</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使用年限</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综合楼安全使用年限</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≥95%。</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3240" w:firstLineChars="1500"/>
              <w:jc w:val="both"/>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87</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0"/>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0"/>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同心县王团镇中心小学综合楼项目</w:t>
      </w:r>
    </w:p>
    <w:p>
      <w:pPr>
        <w:pStyle w:val="20"/>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同心县教育局分管领导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同心县教育局项目办负责人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同心县教育局财务科室负责人</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w:t>
      </w:r>
      <w:r>
        <w:rPr>
          <w:rFonts w:hint="eastAsia" w:cs="仿宋"/>
          <w:b w:val="0"/>
          <w:bCs w:val="0"/>
          <w:sz w:val="32"/>
          <w:szCs w:val="32"/>
          <w:lang w:val="en-US" w:eastAsia="zh-CN"/>
        </w:rPr>
        <w:t>请简要介绍一下同心县王团镇中心小学综合楼项目实施中主要负责的工作内容</w:t>
      </w:r>
      <w:r>
        <w:rPr>
          <w:rFonts w:hint="eastAsia" w:ascii="方正仿宋_GBK" w:hAnsi="方正仿宋_GBK" w:eastAsia="方正仿宋_GBK" w:cs="方正仿宋_GBK"/>
          <w:b w:val="0"/>
          <w:bCs w:val="0"/>
          <w:kern w:val="0"/>
          <w:sz w:val="30"/>
          <w:szCs w:val="30"/>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46" w:name="_Toc396323558"/>
      <w:bookmarkStart w:id="147" w:name="_Toc385352814"/>
      <w:bookmarkStart w:id="148" w:name="_Toc393466358"/>
      <w:bookmarkStart w:id="149" w:name="_Toc390983233"/>
      <w:bookmarkStart w:id="150" w:name="_Toc387361423"/>
      <w:bookmarkStart w:id="151" w:name="_Toc385521993"/>
      <w:bookmarkStart w:id="152" w:name="_Toc385522401"/>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146"/>
      <w:bookmarkEnd w:id="147"/>
      <w:bookmarkEnd w:id="148"/>
      <w:bookmarkEnd w:id="149"/>
      <w:bookmarkEnd w:id="150"/>
      <w:bookmarkEnd w:id="151"/>
      <w:bookmarkEnd w:id="152"/>
      <w:r>
        <w:rPr>
          <w:rFonts w:hint="eastAsia" w:ascii="仿宋" w:hAnsi="仿宋" w:eastAsia="仿宋" w:cs="仿宋"/>
          <w:b w:val="0"/>
          <w:bCs w:val="0"/>
          <w:sz w:val="32"/>
          <w:szCs w:val="32"/>
          <w:lang w:val="en-US" w:eastAsia="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2"/>
        <w:rPr>
          <w:rFonts w:hint="eastAsia"/>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同心县王团镇中心小学综合楼项目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王团镇中心小学综合楼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1.您对同心县王团镇中心小学综合楼项目中学综合楼项目发挥作用是否满意？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2.您对河同心县王团镇中心小学施工过程的管理是否满意？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3.您对同心县王团镇中心小学综合楼项目中学综合楼项目工程总体进度是否满意？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4.您认为综合楼建设是否对改善教学环境有提升作用？</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（三）开放问题</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您对同心县王团镇中心小学综合楼项目中学综合楼项目还有什么意见和建议？</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1776" w:firstLineChars="6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18"/>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1416" w:firstLineChars="600"/>
        <w:jc w:val="both"/>
        <w:textAlignment w:val="auto"/>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drawing>
          <wp:anchor distT="0" distB="0" distL="114300" distR="114300" simplePos="0" relativeHeight="251659264" behindDoc="1" locked="0" layoutInCell="1" allowOverlap="1">
            <wp:simplePos x="0" y="0"/>
            <wp:positionH relativeFrom="column">
              <wp:posOffset>239395</wp:posOffset>
            </wp:positionH>
            <wp:positionV relativeFrom="paragraph">
              <wp:posOffset>247015</wp:posOffset>
            </wp:positionV>
            <wp:extent cx="5400040" cy="6840220"/>
            <wp:effectExtent l="0" t="0" r="10160" b="1778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srcRect/>
                    <a:stretch>
                      <a:fillRect/>
                    </a:stretch>
                  </pic:blipFill>
                  <pic:spPr>
                    <a:xfrm>
                      <a:off x="0" y="0"/>
                      <a:ext cx="5400040" cy="6840220"/>
                    </a:xfrm>
                    <a:prstGeom prst="rect">
                      <a:avLst/>
                    </a:prstGeom>
                    <a:noFill/>
                    <a:ln>
                      <a:noFill/>
                    </a:ln>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973472-C121-4604-8909-AFD2AE65F3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B2B528C5-43E8-4036-985E-FF7F03FB44EF}"/>
  </w:font>
  <w:font w:name="楷体">
    <w:panose1 w:val="02010609060101010101"/>
    <w:charset w:val="86"/>
    <w:family w:val="auto"/>
    <w:pitch w:val="default"/>
    <w:sig w:usb0="800002BF" w:usb1="38CF7CFA" w:usb2="00000016" w:usb3="00000000" w:csb0="00040001" w:csb1="00000000"/>
    <w:embedRegular r:id="rId3" w:fontKey="{AC0D5EB4-DAAB-4A82-A69E-58FD2B31FFBA}"/>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AB9F8FCD-BB38-447E-ABE4-07ABB43BFB6D}"/>
  </w:font>
  <w:font w:name="方正仿宋_GBK">
    <w:panose1 w:val="02000000000000000000"/>
    <w:charset w:val="86"/>
    <w:family w:val="auto"/>
    <w:pitch w:val="default"/>
    <w:sig w:usb0="A00002BF" w:usb1="38CF7CFA" w:usb2="00082016" w:usb3="00000000" w:csb0="00040001" w:csb1="00000000"/>
    <w:embedRegular r:id="rId5" w:fontKey="{34054DAC-E393-4B94-B9F2-C958B10610B9}"/>
  </w:font>
  <w:font w:name="方正小标宋_GBK">
    <w:panose1 w:val="02000000000000000000"/>
    <w:charset w:val="86"/>
    <w:family w:val="auto"/>
    <w:pitch w:val="default"/>
    <w:sig w:usb0="A00002BF" w:usb1="38CF7CFA" w:usb2="00082016" w:usb3="00000000" w:csb0="00040001" w:csb1="00000000"/>
    <w:embedRegular r:id="rId6" w:fontKey="{8C40591E-C53A-4951-8320-A5B3C0E6E6A6}"/>
  </w:font>
  <w:font w:name="方正小标宋简体">
    <w:panose1 w:val="02000000000000000000"/>
    <w:charset w:val="86"/>
    <w:family w:val="auto"/>
    <w:pitch w:val="default"/>
    <w:sig w:usb0="00000001" w:usb1="08000000" w:usb2="00000000" w:usb3="00000000" w:csb0="00040000" w:csb1="00000000"/>
    <w:embedRegular r:id="rId7" w:fontKey="{F2B598D6-FA66-46B9-9A06-26B3FBCA6ED9}"/>
  </w:font>
  <w:font w:name="Microsoft YaHei UI">
    <w:panose1 w:val="020B0503020204020204"/>
    <w:charset w:val="86"/>
    <w:family w:val="auto"/>
    <w:pitch w:val="default"/>
    <w:sig w:usb0="80000287" w:usb1="2ACF3C50" w:usb2="00000016" w:usb3="00000000" w:csb0="0004001F" w:csb1="00000000"/>
    <w:embedRegular r:id="rId8" w:fontKey="{3A3AB54E-6E6A-4BE6-AC7D-F69793438DAA}"/>
  </w:font>
  <w:font w:name="方正正黑_GBK">
    <w:panose1 w:val="02000000000000000000"/>
    <w:charset w:val="86"/>
    <w:family w:val="auto"/>
    <w:pitch w:val="default"/>
    <w:sig w:usb0="A00002BF" w:usb1="38CF7CFA" w:usb2="00082016" w:usb3="00000000" w:csb0="00040001" w:csb1="00000000"/>
    <w:embedRegular r:id="rId9" w:fontKey="{AB20A681-79A1-4326-AD7A-1EB211334357}"/>
  </w:font>
  <w:font w:name="方正仿宋_GB2312">
    <w:panose1 w:val="02000000000000000000"/>
    <w:charset w:val="86"/>
    <w:family w:val="auto"/>
    <w:pitch w:val="default"/>
    <w:sig w:usb0="A00002BF" w:usb1="184F6CFA" w:usb2="00000012" w:usb3="00000000" w:csb0="00040001" w:csb1="00000000"/>
    <w:embedRegular r:id="rId10" w:fontKey="{65F62ADD-50F1-408B-B8B8-3618DE97166F}"/>
  </w:font>
  <w:font w:name="方正楷体_GBK">
    <w:panose1 w:val="02000000000000000000"/>
    <w:charset w:val="86"/>
    <w:family w:val="auto"/>
    <w:pitch w:val="default"/>
    <w:sig w:usb0="800002BF" w:usb1="38CF7CFA" w:usb2="00000016" w:usb3="00000000" w:csb0="00040000" w:csb1="00000000"/>
    <w:embedRegular r:id="rId11" w:fontKey="{69A4EB44-66BE-4EA8-A6E6-7671BEECC01E}"/>
  </w:font>
  <w:font w:name="方正公文小标宋">
    <w:panose1 w:val="02000500000000000000"/>
    <w:charset w:val="86"/>
    <w:family w:val="auto"/>
    <w:pitch w:val="default"/>
    <w:sig w:usb0="A00002BF" w:usb1="38CF7CFA" w:usb2="00000016" w:usb3="00000000" w:csb0="00040001" w:csb1="00000000"/>
    <w:embedRegular r:id="rId12" w:fontKey="{BCC69931-4B95-482C-A43F-1412BECD7317}"/>
  </w:font>
  <w:font w:name="华文楷体">
    <w:panose1 w:val="02010600040101010101"/>
    <w:charset w:val="86"/>
    <w:family w:val="auto"/>
    <w:pitch w:val="default"/>
    <w:sig w:usb0="00000287" w:usb1="080F0000" w:usb2="00000000" w:usb3="00000000" w:csb0="0004009F" w:csb1="DFD70000"/>
    <w:embedRegular r:id="rId13" w:fontKey="{ED7304D0-8945-4F7A-94F2-6414569145CC}"/>
  </w:font>
  <w:font w:name="微软雅黑">
    <w:panose1 w:val="020B0503020204020204"/>
    <w:charset w:val="86"/>
    <w:family w:val="auto"/>
    <w:pitch w:val="default"/>
    <w:sig w:usb0="80000287" w:usb1="2ACF3C50" w:usb2="00000016" w:usb3="00000000" w:csb0="0004001F" w:csb1="00000000"/>
    <w:embedRegular r:id="rId14" w:fontKey="{AD8491CB-C684-42DA-BCA3-6553EA598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0"/>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同心县王团镇中心小学综合楼项目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4"/>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仿宋" w:hAnsi="仿宋" w:eastAsia="仿宋" w:cs="仿宋"/>
        <w:sz w:val="22"/>
        <w:szCs w:val="22"/>
        <w:lang w:val="en-US" w:eastAsia="zh-CN"/>
      </w:rPr>
      <w:t xml:space="preserve">    </w:t>
    </w:r>
    <w:r>
      <w:rPr>
        <w:rFonts w:hint="eastAsia" w:ascii="仿宋" w:hAnsi="仿宋" w:eastAsia="仿宋" w:cs="仿宋"/>
        <w:b w:val="0"/>
        <w:bCs w:val="0"/>
        <w:color w:val="181717" w:themeColor="background2" w:themeShade="1A"/>
        <w:sz w:val="22"/>
        <w:szCs w:val="22"/>
        <w:lang w:val="en-US" w:eastAsia="zh-CN"/>
      </w:rPr>
      <w:t>同心县王团镇中心小学综合楼项目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AD5A8"/>
    <w:multiLevelType w:val="singleLevel"/>
    <w:tmpl w:val="955AD5A8"/>
    <w:lvl w:ilvl="0" w:tentative="0">
      <w:start w:val="8"/>
      <w:numFmt w:val="chineseCounting"/>
      <w:suff w:val="nothing"/>
      <w:lvlText w:val="%1、"/>
      <w:lvlJc w:val="left"/>
      <w:rPr>
        <w:rFonts w:hint="eastAsia"/>
      </w:rPr>
    </w:lvl>
  </w:abstractNum>
  <w:abstractNum w:abstractNumId="1">
    <w:nsid w:val="E04CA606"/>
    <w:multiLevelType w:val="singleLevel"/>
    <w:tmpl w:val="E04CA606"/>
    <w:lvl w:ilvl="0" w:tentative="0">
      <w:start w:val="2"/>
      <w:numFmt w:val="decimal"/>
      <w:lvlText w:val="%1."/>
      <w:lvlJc w:val="left"/>
      <w:pPr>
        <w:tabs>
          <w:tab w:val="left" w:pos="312"/>
        </w:tabs>
      </w:pPr>
    </w:lvl>
  </w:abstractNum>
  <w:abstractNum w:abstractNumId="2">
    <w:nsid w:val="E0B2C9DB"/>
    <w:multiLevelType w:val="singleLevel"/>
    <w:tmpl w:val="E0B2C9DB"/>
    <w:lvl w:ilvl="0" w:tentative="0">
      <w:start w:val="2"/>
      <w:numFmt w:val="chineseCounting"/>
      <w:suff w:val="nothing"/>
      <w:lvlText w:val="（%1）"/>
      <w:lvlJc w:val="left"/>
      <w:rPr>
        <w:rFonts w:hint="eastAsia"/>
      </w:rPr>
    </w:lvl>
  </w:abstractNum>
  <w:abstractNum w:abstractNumId="3">
    <w:nsid w:val="FB20EEF5"/>
    <w:multiLevelType w:val="singleLevel"/>
    <w:tmpl w:val="FB20EEF5"/>
    <w:lvl w:ilvl="0" w:tentative="0">
      <w:start w:val="3"/>
      <w:numFmt w:val="chineseCounting"/>
      <w:suff w:val="nothing"/>
      <w:lvlText w:val="%1、"/>
      <w:lvlJc w:val="left"/>
      <w:rPr>
        <w:rFonts w:hint="eastAsia"/>
      </w:rPr>
    </w:lvl>
  </w:abstractNum>
  <w:abstractNum w:abstractNumId="4">
    <w:nsid w:val="0F2CB481"/>
    <w:multiLevelType w:val="singleLevel"/>
    <w:tmpl w:val="0F2CB481"/>
    <w:lvl w:ilvl="0" w:tentative="0">
      <w:start w:val="2"/>
      <w:numFmt w:val="decimal"/>
      <w:lvlText w:val="%1."/>
      <w:lvlJc w:val="left"/>
      <w:pPr>
        <w:tabs>
          <w:tab w:val="left" w:pos="312"/>
        </w:tabs>
      </w:pPr>
    </w:lvl>
  </w:abstractNum>
  <w:abstractNum w:abstractNumId="5">
    <w:nsid w:val="23D65294"/>
    <w:multiLevelType w:val="singleLevel"/>
    <w:tmpl w:val="23D65294"/>
    <w:lvl w:ilvl="0" w:tentative="0">
      <w:start w:val="1"/>
      <w:numFmt w:val="decimal"/>
      <w:lvlText w:val="%1."/>
      <w:lvlJc w:val="left"/>
      <w:pPr>
        <w:tabs>
          <w:tab w:val="left" w:pos="312"/>
        </w:tabs>
      </w:p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1FE09C1"/>
    <w:rsid w:val="02693F89"/>
    <w:rsid w:val="02B726F0"/>
    <w:rsid w:val="031F0282"/>
    <w:rsid w:val="03321D76"/>
    <w:rsid w:val="03782AE9"/>
    <w:rsid w:val="038F5644"/>
    <w:rsid w:val="049979AA"/>
    <w:rsid w:val="04CB2483"/>
    <w:rsid w:val="05127FF8"/>
    <w:rsid w:val="05373674"/>
    <w:rsid w:val="057E08FD"/>
    <w:rsid w:val="05DE7F94"/>
    <w:rsid w:val="05E661B9"/>
    <w:rsid w:val="06310741"/>
    <w:rsid w:val="067B3A34"/>
    <w:rsid w:val="06935222"/>
    <w:rsid w:val="07752028"/>
    <w:rsid w:val="079B438E"/>
    <w:rsid w:val="07BB1F30"/>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057474"/>
    <w:rsid w:val="123478B9"/>
    <w:rsid w:val="12780A7F"/>
    <w:rsid w:val="12A803F6"/>
    <w:rsid w:val="12B800BB"/>
    <w:rsid w:val="1306193D"/>
    <w:rsid w:val="138163C4"/>
    <w:rsid w:val="13D16037"/>
    <w:rsid w:val="14642D3C"/>
    <w:rsid w:val="151B68BE"/>
    <w:rsid w:val="15BC373C"/>
    <w:rsid w:val="15D25F85"/>
    <w:rsid w:val="15D614F9"/>
    <w:rsid w:val="15E50ECA"/>
    <w:rsid w:val="16201F02"/>
    <w:rsid w:val="165E3157"/>
    <w:rsid w:val="17C26244"/>
    <w:rsid w:val="18070836"/>
    <w:rsid w:val="18CC35FF"/>
    <w:rsid w:val="18D555BD"/>
    <w:rsid w:val="19A84F19"/>
    <w:rsid w:val="1A11557B"/>
    <w:rsid w:val="1A725422"/>
    <w:rsid w:val="1B0B13D3"/>
    <w:rsid w:val="1B587F55"/>
    <w:rsid w:val="1B5B5EB7"/>
    <w:rsid w:val="1BBE1FA1"/>
    <w:rsid w:val="1C65489C"/>
    <w:rsid w:val="1CE014E1"/>
    <w:rsid w:val="1CFE5775"/>
    <w:rsid w:val="1D2F4821"/>
    <w:rsid w:val="1D4F132F"/>
    <w:rsid w:val="1D5F1562"/>
    <w:rsid w:val="1D8B2357"/>
    <w:rsid w:val="1DC217CD"/>
    <w:rsid w:val="1DC45FEE"/>
    <w:rsid w:val="1DFC45E7"/>
    <w:rsid w:val="1EE937D9"/>
    <w:rsid w:val="1F051A31"/>
    <w:rsid w:val="1F191147"/>
    <w:rsid w:val="1F28082E"/>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1D1150"/>
    <w:rsid w:val="25796D0E"/>
    <w:rsid w:val="25963936"/>
    <w:rsid w:val="25FF2DD9"/>
    <w:rsid w:val="26087208"/>
    <w:rsid w:val="26100882"/>
    <w:rsid w:val="26993D37"/>
    <w:rsid w:val="26D12065"/>
    <w:rsid w:val="26E34FB2"/>
    <w:rsid w:val="272621AB"/>
    <w:rsid w:val="273264EE"/>
    <w:rsid w:val="27341AD8"/>
    <w:rsid w:val="27902A43"/>
    <w:rsid w:val="279A52BC"/>
    <w:rsid w:val="27CE7A10"/>
    <w:rsid w:val="28A11882"/>
    <w:rsid w:val="28B13905"/>
    <w:rsid w:val="28D2314B"/>
    <w:rsid w:val="28D47992"/>
    <w:rsid w:val="28E04120"/>
    <w:rsid w:val="28EC2844"/>
    <w:rsid w:val="29387837"/>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66C6D72"/>
    <w:rsid w:val="36CC15BF"/>
    <w:rsid w:val="375A12C0"/>
    <w:rsid w:val="379D4EBE"/>
    <w:rsid w:val="37D93A30"/>
    <w:rsid w:val="38250B51"/>
    <w:rsid w:val="3846715C"/>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755EA0"/>
    <w:rsid w:val="4AB663B6"/>
    <w:rsid w:val="4AC24D5B"/>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D78A2"/>
    <w:rsid w:val="545F7A68"/>
    <w:rsid w:val="55E53FF3"/>
    <w:rsid w:val="56150435"/>
    <w:rsid w:val="56250D50"/>
    <w:rsid w:val="566C4581"/>
    <w:rsid w:val="5684380C"/>
    <w:rsid w:val="56C62FC9"/>
    <w:rsid w:val="571B3863"/>
    <w:rsid w:val="58366D88"/>
    <w:rsid w:val="58B8408C"/>
    <w:rsid w:val="58C53371"/>
    <w:rsid w:val="592503CD"/>
    <w:rsid w:val="598B1058"/>
    <w:rsid w:val="5A105AE3"/>
    <w:rsid w:val="5AC71F19"/>
    <w:rsid w:val="5ADC3C17"/>
    <w:rsid w:val="5B48305A"/>
    <w:rsid w:val="5BA00781"/>
    <w:rsid w:val="5BE54D4D"/>
    <w:rsid w:val="5BED775E"/>
    <w:rsid w:val="5C0F1DCA"/>
    <w:rsid w:val="5C2F0C39"/>
    <w:rsid w:val="5CAF7795"/>
    <w:rsid w:val="5CB00EB7"/>
    <w:rsid w:val="5D086F45"/>
    <w:rsid w:val="5D2558FC"/>
    <w:rsid w:val="5D323FC2"/>
    <w:rsid w:val="5DE828D3"/>
    <w:rsid w:val="5E08551F"/>
    <w:rsid w:val="5E525F9E"/>
    <w:rsid w:val="5E6F08FE"/>
    <w:rsid w:val="5EBA2711"/>
    <w:rsid w:val="5F745E66"/>
    <w:rsid w:val="5FA171DD"/>
    <w:rsid w:val="5FD749AD"/>
    <w:rsid w:val="6040150D"/>
    <w:rsid w:val="60936B26"/>
    <w:rsid w:val="60C2740B"/>
    <w:rsid w:val="611A0FF5"/>
    <w:rsid w:val="61495849"/>
    <w:rsid w:val="615A19EE"/>
    <w:rsid w:val="61797ACD"/>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2E5FF6"/>
    <w:rsid w:val="655C7097"/>
    <w:rsid w:val="6582360D"/>
    <w:rsid w:val="658A05B5"/>
    <w:rsid w:val="660576BF"/>
    <w:rsid w:val="66307F76"/>
    <w:rsid w:val="66723681"/>
    <w:rsid w:val="66F23DAD"/>
    <w:rsid w:val="675B4115"/>
    <w:rsid w:val="67AB0D31"/>
    <w:rsid w:val="68242759"/>
    <w:rsid w:val="68324E76"/>
    <w:rsid w:val="6832790E"/>
    <w:rsid w:val="684257ED"/>
    <w:rsid w:val="68672CFF"/>
    <w:rsid w:val="6873723D"/>
    <w:rsid w:val="68B64FF8"/>
    <w:rsid w:val="68BC0F70"/>
    <w:rsid w:val="68BC56C0"/>
    <w:rsid w:val="6A467EEF"/>
    <w:rsid w:val="6A5437CA"/>
    <w:rsid w:val="6A917936"/>
    <w:rsid w:val="6AC16985"/>
    <w:rsid w:val="6ACA3A8C"/>
    <w:rsid w:val="6AD14E1A"/>
    <w:rsid w:val="6AF23C66"/>
    <w:rsid w:val="6B013226"/>
    <w:rsid w:val="6B1A20D3"/>
    <w:rsid w:val="6B6B233A"/>
    <w:rsid w:val="6BC7335C"/>
    <w:rsid w:val="6BEC38B2"/>
    <w:rsid w:val="6C2076DB"/>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A35C7D"/>
    <w:rsid w:val="72EF679F"/>
    <w:rsid w:val="730B450D"/>
    <w:rsid w:val="7343262D"/>
    <w:rsid w:val="740A20FF"/>
    <w:rsid w:val="742E4065"/>
    <w:rsid w:val="743838A1"/>
    <w:rsid w:val="74512B28"/>
    <w:rsid w:val="74836A59"/>
    <w:rsid w:val="74BB05BD"/>
    <w:rsid w:val="74DA512E"/>
    <w:rsid w:val="74F160B9"/>
    <w:rsid w:val="75E27AD0"/>
    <w:rsid w:val="76554C45"/>
    <w:rsid w:val="767C258A"/>
    <w:rsid w:val="76AA651F"/>
    <w:rsid w:val="76DD54BE"/>
    <w:rsid w:val="774226B2"/>
    <w:rsid w:val="774A1F82"/>
    <w:rsid w:val="777A6824"/>
    <w:rsid w:val="77943863"/>
    <w:rsid w:val="779E42D6"/>
    <w:rsid w:val="77CE623E"/>
    <w:rsid w:val="77D53A70"/>
    <w:rsid w:val="7800592B"/>
    <w:rsid w:val="786B4915"/>
    <w:rsid w:val="788F1AD5"/>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2">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5">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6">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200" w:firstLineChars="200"/>
    </w:pPr>
    <w:rPr>
      <w:rFonts w:ascii="Times New Roman" w:hAnsi="Times New Roman" w:eastAsia="宋体" w:cs="Times New Roman"/>
      <w:sz w:val="21"/>
    </w:rPr>
  </w:style>
  <w:style w:type="paragraph" w:styleId="8">
    <w:name w:val="Body Text"/>
    <w:basedOn w:val="1"/>
    <w:autoRedefine/>
    <w:qFormat/>
    <w:uiPriority w:val="1"/>
    <w:rPr>
      <w:rFonts w:ascii="宋体" w:hAnsi="宋体" w:cs="宋体"/>
      <w:sz w:val="32"/>
      <w:szCs w:val="32"/>
      <w:lang w:val="zh-CN" w:bidi="zh-CN"/>
    </w:rPr>
  </w:style>
  <w:style w:type="paragraph" w:styleId="9">
    <w:name w:val="Body Text Indent"/>
    <w:basedOn w:val="1"/>
    <w:next w:val="10"/>
    <w:autoRedefine/>
    <w:qFormat/>
    <w:uiPriority w:val="0"/>
    <w:pPr>
      <w:ind w:firstLine="640" w:firstLineChars="200"/>
    </w:pPr>
    <w:rPr>
      <w:rFonts w:ascii="仿宋_GB2312" w:eastAsia="仿宋_GB2312" w:cs="Times New Roman"/>
    </w:rPr>
  </w:style>
  <w:style w:type="paragraph" w:styleId="10">
    <w:name w:val="footer"/>
    <w:basedOn w:val="1"/>
    <w:next w:val="1"/>
    <w:autoRedefine/>
    <w:qFormat/>
    <w:uiPriority w:val="0"/>
    <w:pPr>
      <w:tabs>
        <w:tab w:val="center" w:pos="4153"/>
        <w:tab w:val="right" w:pos="8306"/>
      </w:tabs>
      <w:snapToGrid w:val="0"/>
      <w:jc w:val="left"/>
    </w:pPr>
    <w:rPr>
      <w:sz w:val="18"/>
    </w:rPr>
  </w:style>
  <w:style w:type="paragraph" w:styleId="11">
    <w:name w:val="List 2"/>
    <w:basedOn w:val="1"/>
    <w:autoRedefine/>
    <w:unhideWhenUsed/>
    <w:qFormat/>
    <w:uiPriority w:val="99"/>
    <w:pPr>
      <w:ind w:left="100" w:leftChars="200" w:hanging="200" w:hangingChars="200"/>
    </w:pPr>
  </w:style>
  <w:style w:type="paragraph" w:styleId="12">
    <w:name w:val="toc 3"/>
    <w:basedOn w:val="1"/>
    <w:next w:val="1"/>
    <w:autoRedefine/>
    <w:qFormat/>
    <w:uiPriority w:val="0"/>
    <w:pPr>
      <w:ind w:left="840" w:leftChars="400"/>
    </w:pPr>
  </w:style>
  <w:style w:type="paragraph" w:styleId="13">
    <w:name w:val="Date"/>
    <w:basedOn w:val="1"/>
    <w:next w:val="1"/>
    <w:autoRedefine/>
    <w:unhideWhenUsed/>
    <w:qFormat/>
    <w:uiPriority w:val="99"/>
    <w:pPr>
      <w:spacing w:before="100" w:beforeAutospacing="1" w:after="100" w:afterAutospacing="1"/>
      <w:ind w:left="2500" w:leftChars="2500"/>
    </w:p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2"/>
    <w:basedOn w:val="1"/>
    <w:next w:val="1"/>
    <w:autoRedefine/>
    <w:qFormat/>
    <w:uiPriority w:val="0"/>
    <w:pPr>
      <w:ind w:left="420" w:leftChars="200"/>
    </w:pPr>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19">
    <w:name w:val="Title"/>
    <w:basedOn w:val="1"/>
    <w:next w:val="1"/>
    <w:autoRedefine/>
    <w:qFormat/>
    <w:uiPriority w:val="99"/>
    <w:pPr>
      <w:spacing w:before="240" w:after="60"/>
      <w:jc w:val="center"/>
      <w:outlineLvl w:val="0"/>
    </w:pPr>
    <w:rPr>
      <w:rFonts w:ascii="Cambria" w:hAnsi="Cambria" w:eastAsia="宋体"/>
      <w:b/>
      <w:bCs/>
    </w:rPr>
  </w:style>
  <w:style w:type="paragraph" w:styleId="20">
    <w:name w:val="Body Text First Indent 2"/>
    <w:basedOn w:val="1"/>
    <w:next w:val="1"/>
    <w:autoRedefine/>
    <w:qFormat/>
    <w:uiPriority w:val="0"/>
    <w:pPr>
      <w:ind w:firstLine="0" w:firstLineChars="0"/>
    </w:pPr>
    <w:rPr>
      <w:rFonts w:ascii="仿宋_GB2312" w:hAnsi="仿宋_GB2312" w:eastAsia="仿宋_GB2312"/>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2"/>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21482</Words>
  <Characters>23639</Characters>
  <Lines>0</Lines>
  <Paragraphs>0</Paragraphs>
  <TotalTime>0</TotalTime>
  <ScaleCrop>false</ScaleCrop>
  <LinksUpToDate>false</LinksUpToDate>
  <CharactersWithSpaces>23930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2024-01-29T02:47:56Z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51AF2AF165C54624BA36C4AAF88693AD_13</vt:lpwstr>
  </property>
</Properties>
</file>