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both"/>
        <w:textAlignment w:val="auto"/>
        <w:outlineLvl w:val="9"/>
        <w:rPr>
          <w:rFonts w:hint="eastAsia" w:ascii="黑体" w:hAnsi="黑体" w:eastAsia="黑体" w:cs="Times New Roman"/>
          <w:kern w:val="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同心县</w:t>
      </w:r>
      <w:r>
        <w:rPr>
          <w:rFonts w:hint="default" w:ascii="黑体" w:hAnsi="黑体" w:eastAsia="黑体" w:cs="Times New Roman"/>
          <w:kern w:val="0"/>
          <w:sz w:val="44"/>
          <w:szCs w:val="44"/>
          <w:lang w:val="en-US" w:eastAsia="zh-CN"/>
        </w:rPr>
        <w:t>2022</w:t>
      </w:r>
      <w:r>
        <w:rPr>
          <w:rFonts w:hint="eastAsia" w:ascii="黑体" w:hAnsi="黑体" w:eastAsia="黑体" w:cs="Times New Roman"/>
          <w:kern w:val="0"/>
          <w:sz w:val="44"/>
          <w:szCs w:val="44"/>
          <w:lang w:val="en-US" w:eastAsia="zh-CN"/>
        </w:rPr>
        <w:t>年老旧小区改造配套基础设施－文化街给排水管道更新工程项目</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28" w:firstLineChars="800"/>
        <w:jc w:val="both"/>
        <w:textAlignment w:val="auto"/>
        <w:rPr>
          <w:rFonts w:hint="eastAsia" w:ascii="楷体" w:hAnsi="楷体" w:eastAsia="楷体" w:cs="楷体"/>
          <w:b w:val="0"/>
          <w:bCs w:val="0"/>
          <w:i w:val="0"/>
          <w:iCs w:val="0"/>
          <w:color w:val="auto"/>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2023</w:t>
      </w:r>
      <w:r>
        <w:rPr>
          <w:rFonts w:hint="default" w:ascii="Times New Roman" w:hAnsi="Times New Roman" w:eastAsia="方正仿宋_GBK" w:cs="Times New Roman"/>
          <w:sz w:val="30"/>
          <w:szCs w:val="30"/>
          <w:lang w:val="en-US" w:eastAsia="zh-CN"/>
        </w:rPr>
        <w:t>〕</w:t>
      </w:r>
      <w:r>
        <w:rPr>
          <w:rFonts w:hint="eastAsia" w:ascii="楷体" w:hAnsi="楷体" w:eastAsia="楷体" w:cs="楷体"/>
          <w:b w:val="0"/>
          <w:bCs w:val="0"/>
          <w:i w:val="0"/>
          <w:iCs w:val="0"/>
          <w:color w:val="auto"/>
          <w:sz w:val="32"/>
          <w:szCs w:val="32"/>
          <w:highlight w:val="none"/>
        </w:rPr>
        <w:t>第</w:t>
      </w:r>
      <w:r>
        <w:rPr>
          <w:rFonts w:hint="eastAsia" w:ascii="楷体" w:hAnsi="楷体" w:eastAsia="楷体" w:cs="楷体"/>
          <w:b w:val="0"/>
          <w:bCs w:val="0"/>
          <w:i w:val="0"/>
          <w:iCs w:val="0"/>
          <w:color w:val="auto"/>
          <w:sz w:val="32"/>
          <w:szCs w:val="32"/>
          <w:highlight w:val="none"/>
          <w:lang w:val="en-US" w:eastAsia="zh-CN"/>
        </w:rPr>
        <w:t>017</w:t>
      </w:r>
      <w:r>
        <w:rPr>
          <w:rFonts w:hint="eastAsia" w:ascii="楷体" w:hAnsi="楷体" w:eastAsia="楷体" w:cs="楷体"/>
          <w:b w:val="0"/>
          <w:bCs w:val="0"/>
          <w:i w:val="0"/>
          <w:iCs w:val="0"/>
          <w:color w:val="auto"/>
          <w:sz w:val="32"/>
          <w:szCs w:val="32"/>
          <w:highlight w:val="none"/>
        </w:rPr>
        <w:t>号</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2"/>
        <w:rPr>
          <w:rFonts w:hint="eastAsia" w:ascii="黑体" w:hAnsi="黑体" w:eastAsia="黑体" w:cs="黑体"/>
          <w:sz w:val="44"/>
          <w:szCs w:val="44"/>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60" w:lineRule="exact"/>
        <w:ind w:firstLine="1184" w:firstLineChars="400"/>
        <w:jc w:val="both"/>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60" w:lineRule="exact"/>
        <w:ind w:left="0" w:leftChars="0" w:firstLine="1184" w:firstLineChars="400"/>
        <w:jc w:val="both"/>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评价机构名称：宁夏万协项目管理有限公司</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60" w:lineRule="exact"/>
        <w:ind w:firstLine="1184" w:firstLineChars="400"/>
        <w:jc w:val="both"/>
        <w:textAlignment w:val="auto"/>
        <w:rPr>
          <w:rFonts w:hint="default"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 价 日 期：二〇二三年十二月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tabs>
          <w:tab w:val="left" w:pos="1132"/>
        </w:tabs>
        <w:kinsoku/>
        <w:wordWrap/>
        <w:overflowPunct/>
        <w:topLinePunct w:val="0"/>
        <w:autoSpaceDE/>
        <w:autoSpaceDN/>
        <w:bidi w:val="0"/>
        <w:adjustRightInd/>
        <w:snapToGrid/>
        <w:spacing w:line="760" w:lineRule="exact"/>
        <w:ind w:left="0" w:leftChars="0" w:firstLine="0" w:firstLineChars="0"/>
        <w:jc w:val="left"/>
        <w:textAlignment w:val="auto"/>
        <w:outlineLvl w:val="9"/>
        <w:rPr>
          <w:rFonts w:hint="eastAsia" w:ascii="方正小标宋简体" w:hAnsi="方正小标宋简体" w:eastAsia="方正小标宋简体" w:cs="方正小标宋简体"/>
          <w:b w:val="0"/>
          <w:color w:val="000000"/>
          <w:kern w:val="0"/>
          <w:sz w:val="48"/>
          <w:szCs w:val="48"/>
          <w:lang w:val="en-US" w:eastAsia="zh-CN" w:bidi="ar"/>
        </w:rPr>
      </w:pP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同心县2022年老旧小区改造配套基础设施－文化街给排水管道更新工程建设项目</w:t>
      </w: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绩效评价报告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color w:val="auto"/>
        </w:rPr>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2023</w:t>
      </w:r>
      <w:r>
        <w:rPr>
          <w:rFonts w:hint="default" w:ascii="Times New Roman" w:hAnsi="Times New Roman" w:eastAsia="方正仿宋_GBK" w:cs="Times New Roman"/>
          <w:sz w:val="30"/>
          <w:szCs w:val="30"/>
          <w:lang w:val="en-US" w:eastAsia="zh-CN"/>
        </w:rPr>
        <w:t>〕</w:t>
      </w:r>
      <w:r>
        <w:rPr>
          <w:rFonts w:hint="eastAsia" w:ascii="楷体" w:hAnsi="楷体" w:eastAsia="楷体" w:cs="楷体"/>
          <w:color w:val="000000"/>
          <w:kern w:val="0"/>
          <w:sz w:val="31"/>
          <w:szCs w:val="31"/>
          <w:lang w:val="en-US" w:eastAsia="zh-CN" w:bidi="ar"/>
        </w:rPr>
        <w:t>第017</w:t>
      </w:r>
      <w:r>
        <w:rPr>
          <w:rFonts w:hint="eastAsia" w:ascii="楷体" w:hAnsi="楷体" w:eastAsia="楷体" w:cs="楷体"/>
          <w:color w:val="auto"/>
          <w:kern w:val="0"/>
          <w:sz w:val="31"/>
          <w:szCs w:val="31"/>
          <w:lang w:val="en-US" w:eastAsia="zh-CN" w:bidi="ar"/>
        </w:rPr>
        <w:t>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01"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ind w:left="0" w:leftChars="0" w:firstLine="0" w:firstLineChars="0"/>
        <w:jc w:val="left"/>
        <w:rPr>
          <w:rFonts w:ascii="方正小标宋_GBK" w:hAnsi="方正小标宋_GBK" w:eastAsia="方正小标宋_GBK" w:cs="方正小标宋_GBK"/>
          <w:color w:val="000000"/>
          <w:kern w:val="0"/>
          <w:sz w:val="31"/>
          <w:szCs w:val="31"/>
          <w:lang w:val="en-US" w:eastAsia="zh-CN" w:bidi="ar"/>
        </w:rPr>
      </w:pPr>
    </w:p>
    <w:p>
      <w:pPr>
        <w:pStyle w:val="2"/>
        <w:rPr>
          <w:rFonts w:ascii="方正小标宋_GBK" w:hAnsi="方正小标宋_GBK" w:eastAsia="方正小标宋_GBK" w:cs="方正小标宋_GBK"/>
          <w:color w:val="000000"/>
          <w:kern w:val="0"/>
          <w:sz w:val="31"/>
          <w:szCs w:val="31"/>
          <w:lang w:val="en-US" w:eastAsia="zh-CN" w:bidi="ar"/>
        </w:rPr>
      </w:pPr>
    </w:p>
    <w:p>
      <w:pPr>
        <w:rPr>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60" w:lineRule="exact"/>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60" w:lineRule="exact"/>
        <w:ind w:left="1237" w:leftChars="348" w:hanging="138"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104" w:firstLineChars="400"/>
        <w:jc w:val="both"/>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评价对象名称：同心县住房和城乡建设局</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1237" w:leftChars="348" w:hanging="138"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104" w:firstLineChars="400"/>
        <w:jc w:val="both"/>
        <w:textAlignment w:val="auto"/>
        <w:rPr>
          <w:rFonts w:hint="default" w:ascii="黑体" w:hAnsi="黑体" w:eastAsia="黑体" w:cs="黑体"/>
          <w:b w:val="0"/>
          <w:bCs w:val="0"/>
          <w:kern w:val="0"/>
          <w:sz w:val="30"/>
          <w:szCs w:val="30"/>
          <w:lang w:val="en-US" w:eastAsia="zh-CN" w:bidi="en-US"/>
        </w:rPr>
      </w:pPr>
      <w:r>
        <w:rPr>
          <w:rFonts w:hint="eastAsia" w:ascii="方正小标宋_GBK" w:hAnsi="方正小标宋_GBK" w:eastAsia="方正小标宋_GBK" w:cs="方正小标宋_GBK"/>
          <w:color w:val="1E1C11"/>
          <w:kern w:val="0"/>
          <w:sz w:val="28"/>
          <w:szCs w:val="28"/>
          <w:lang w:val="en-US" w:eastAsia="zh-CN" w:bidi="ar"/>
        </w:rPr>
        <w:t>评价报告时间：</w:t>
      </w:r>
      <w:r>
        <w:rPr>
          <w:rFonts w:hint="eastAsia" w:ascii="黑体" w:hAnsi="黑体" w:eastAsia="黑体" w:cs="黑体"/>
          <w:b w:val="0"/>
          <w:bCs w:val="0"/>
          <w:kern w:val="0"/>
          <w:sz w:val="30"/>
          <w:szCs w:val="30"/>
          <w:lang w:val="en-US" w:eastAsia="zh-CN" w:bidi="en-US"/>
        </w:rPr>
        <w:t>二〇二三年十二月</w:t>
      </w:r>
    </w:p>
    <w:p>
      <w:pPr>
        <w:keepNext w:val="0"/>
        <w:keepLines w:val="0"/>
        <w:pageBreakBefore w:val="0"/>
        <w:widowControl/>
        <w:suppressLineNumbers w:val="0"/>
        <w:kinsoku/>
        <w:wordWrap/>
        <w:overflowPunct w:val="0"/>
        <w:topLinePunct w:val="0"/>
        <w:autoSpaceDE/>
        <w:autoSpaceDN/>
        <w:bidi w:val="0"/>
        <w:adjustRightInd/>
        <w:snapToGrid/>
        <w:ind w:left="0" w:leftChars="0" w:firstLine="1104" w:firstLineChars="40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rPr>
          <w:rFonts w:hint="eastAsia"/>
          <w:lang w:val="en-US" w:eastAsia="zh-CN"/>
        </w:rPr>
      </w:pPr>
    </w:p>
    <w:p>
      <w:pPr>
        <w:pStyle w:val="2"/>
        <w:rPr>
          <w:rFonts w:hint="eastAsia"/>
          <w:lang w:val="en-US" w:eastAsia="zh-CN"/>
        </w:r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26331"/>
      <w:bookmarkStart w:id="1" w:name="_Toc17352"/>
      <w:r>
        <w:rPr>
          <w:rFonts w:hint="eastAsia" w:asciiTheme="majorEastAsia" w:hAnsiTheme="majorEastAsia" w:eastAsiaTheme="majorEastAsia" w:cstheme="majorEastAsia"/>
          <w:b/>
          <w:bCs/>
          <w:sz w:val="30"/>
          <w:szCs w:val="30"/>
          <w:lang w:val="en-US" w:eastAsia="zh-CN"/>
        </w:rPr>
        <w:t>一、项目背景</w:t>
      </w:r>
      <w:bookmarkEnd w:id="0"/>
      <w:bookmarkEnd w:id="1"/>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 w:name="_Toc13114"/>
      <w:bookmarkStart w:id="3" w:name="_Toc18303"/>
      <w:bookmarkStart w:id="4" w:name="_Toc32242"/>
      <w:r>
        <w:rPr>
          <w:rFonts w:hint="eastAsia" w:ascii="Times New Roman" w:hAnsi="Times New Roman" w:eastAsia="方正仿宋_GBK" w:cs="Times New Roman"/>
          <w:color w:val="auto"/>
          <w:kern w:val="2"/>
          <w:sz w:val="30"/>
          <w:szCs w:val="30"/>
          <w:highlight w:val="none"/>
          <w:lang w:val="en-US" w:eastAsia="zh-CN" w:bidi="ar-SA"/>
        </w:rPr>
        <w:t>同心县文化北街两侧老旧小区因其规划建设年代早，建设标准相对较低，室外管道老化严重，基础功能设施年久失修，已无法满足居住环境和市容美观的要求。为了能够从源头上解决周边老旧小区居民的生活难题，改善居民的生活状况，提高居民生活质量，同心县住房和城乡建设局拟在同心县文化北街建设同心县2022年老旧小区改造配套基础设施－文化北街给排水管道更新工程。</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文化北街 （永庆路－长征街 ）段现状两侧有丰泽苑、同心县党校家属楼、豫园小区南北苑、富兴小区、静安小区等住宅小区，该片区建成时间大部分在2000年以前，现基础功能设施年久失修，室外管道老化，无法满足居住群众温馨舒适的生活条件，迫切希望尽快改变这种状况。解决这些问题的关键就是要对小区进行综合整治，并建立健全管理机制，形成良性循环，解决城市居民他们最关心、最直接、最现实的实际问题，改善了生活环境提高了生活质量，办了实事、办了好事。</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同心县住房和城乡建设局一直秉承为居民办实事、办好事，解决居民最基本、最实际的问题。持续改善老旧小区的生活环境，提高居民生活质量，解决居民的后顾之忧，基础设施的逐步改变，给小区居民带来了更多的安全感、获得感和幸福感。</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5" w:name="_Toc10189"/>
      <w:r>
        <w:rPr>
          <w:rFonts w:hint="eastAsia" w:asciiTheme="majorEastAsia" w:hAnsiTheme="majorEastAsia" w:eastAsiaTheme="majorEastAsia" w:cstheme="majorEastAsia"/>
          <w:b/>
          <w:bCs/>
          <w:sz w:val="30"/>
          <w:szCs w:val="30"/>
          <w:lang w:val="en-US" w:eastAsia="zh-CN"/>
        </w:rPr>
        <w:t>二、项目预算资金</w:t>
      </w:r>
      <w:bookmarkEnd w:id="2"/>
      <w:bookmarkEnd w:id="3"/>
      <w:bookmarkEnd w:id="4"/>
      <w:bookmarkEnd w:id="5"/>
      <w:bookmarkStart w:id="6" w:name="_Toc3837"/>
      <w:bookmarkStart w:id="7" w:name="_Toc3085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2022年8月4日，根据财政部《关于下达2022年保障性安居工程投资预算的通知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190号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《关于下达2022年保障性安居工程奖励项目中央基建投资预算的通知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228号</w:t>
      </w:r>
      <w:r>
        <w:rPr>
          <w:rFonts w:hint="eastAsia" w:ascii="Times New Roman" w:hAnsi="Times New Roman" w:eastAsia="方正仿宋_GB2312" w:cs="Times New Roman"/>
          <w:kern w:val="2"/>
          <w:sz w:val="30"/>
          <w:szCs w:val="30"/>
          <w:lang w:val="en-US" w:eastAsia="zh-CN" w:bidi="ar-SA"/>
        </w:rPr>
        <w:t>），按照</w:t>
      </w:r>
      <w:r>
        <w:rPr>
          <w:rFonts w:hint="eastAsia"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2312" w:cs="Times New Roman"/>
          <w:kern w:val="2"/>
          <w:sz w:val="30"/>
          <w:szCs w:val="30"/>
          <w:lang w:val="en-US" w:eastAsia="zh-CN" w:bidi="ar-SA"/>
        </w:rPr>
        <w:t>自治区财政厅关于下达保障性安居工程2022年第三批中央预算内投资计划的通知》</w:t>
      </w:r>
      <w:r>
        <w:rPr>
          <w:rFonts w:hint="eastAsia" w:ascii="Times New Roman" w:hAnsi="Times New Roman" w:eastAsia="方正仿宋_GBK" w:cs="Times New Roman"/>
          <w:color w:val="auto"/>
          <w:kern w:val="2"/>
          <w:sz w:val="30"/>
          <w:szCs w:val="30"/>
          <w:highlight w:val="none"/>
          <w:lang w:val="en-US" w:eastAsia="zh-CN" w:bidi="ar-SA"/>
        </w:rPr>
        <w:t>宁发改投资</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400号</w:t>
      </w:r>
      <w:r>
        <w:rPr>
          <w:rFonts w:hint="eastAsia" w:ascii="Times New Roman" w:hAnsi="Times New Roman" w:eastAsia="方正仿宋_GB2312" w:cs="Times New Roman"/>
          <w:kern w:val="2"/>
          <w:sz w:val="30"/>
          <w:szCs w:val="30"/>
          <w:lang w:val="en-US" w:eastAsia="zh-CN" w:bidi="ar-SA"/>
        </w:rPr>
        <w:t>）文件</w:t>
      </w:r>
      <w:r>
        <w:rPr>
          <w:rFonts w:hint="eastAsia" w:ascii="Times New Roman" w:hAnsi="Times New Roman" w:eastAsia="方正仿宋_GBK" w:cs="Times New Roman"/>
          <w:color w:val="auto"/>
          <w:kern w:val="2"/>
          <w:sz w:val="30"/>
          <w:szCs w:val="30"/>
          <w:highlight w:val="none"/>
          <w:lang w:val="en-US" w:eastAsia="zh-CN" w:bidi="ar-SA"/>
        </w:rPr>
        <w:t>要求，下达专项资金为483.00万元。</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8" w:name="_Toc17976"/>
      <w:r>
        <w:rPr>
          <w:rFonts w:hint="eastAsia" w:ascii="Times New Roman" w:hAnsi="Times New Roman" w:eastAsia="方正仿宋_GBK" w:cs="Times New Roman"/>
          <w:color w:val="auto"/>
          <w:kern w:val="2"/>
          <w:sz w:val="30"/>
          <w:szCs w:val="30"/>
          <w:highlight w:val="none"/>
          <w:lang w:val="en-US" w:eastAsia="zh-CN" w:bidi="ar-SA"/>
        </w:rPr>
        <w:t>截至目前，实际支出483.00万元，预算执行率100.00%。</w:t>
      </w:r>
      <w:bookmarkEnd w:id="8"/>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92" w:firstLine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评价结论</w:t>
      </w:r>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cs="Times New Roman"/>
          <w:b w:val="0"/>
          <w:bCs w:val="0"/>
          <w:kern w:val="0"/>
          <w:sz w:val="30"/>
          <w:szCs w:val="30"/>
          <w:lang w:val="en-US" w:eastAsia="zh-CN" w:bidi="zh-CN"/>
        </w:rPr>
      </w:pPr>
      <w:r>
        <w:rPr>
          <w:rFonts w:hint="default" w:ascii="Times New Roman" w:hAnsi="Times New Roman" w:eastAsia="仿宋" w:cs="Times New Roman"/>
          <w:b w:val="0"/>
          <w:bCs w:val="0"/>
          <w:kern w:val="0"/>
          <w:sz w:val="30"/>
          <w:szCs w:val="30"/>
          <w:lang w:val="en-US" w:eastAsia="zh-CN" w:bidi="zh-CN"/>
        </w:rPr>
        <w:t>通过</w:t>
      </w:r>
      <w:r>
        <w:rPr>
          <w:rFonts w:hint="default" w:ascii="Times New Roman" w:hAnsi="Times New Roman" w:cs="Times New Roman"/>
          <w:b w:val="0"/>
          <w:bCs w:val="0"/>
          <w:kern w:val="0"/>
          <w:sz w:val="30"/>
          <w:szCs w:val="30"/>
          <w:lang w:val="en-US" w:eastAsia="zh-CN" w:bidi="zh-CN"/>
        </w:rPr>
        <w:t>资料收集</w:t>
      </w:r>
      <w:r>
        <w:rPr>
          <w:rFonts w:hint="default" w:ascii="Times New Roman" w:hAnsi="Times New Roman" w:eastAsia="仿宋" w:cs="Times New Roman"/>
          <w:b w:val="0"/>
          <w:bCs w:val="0"/>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现场</w:t>
      </w:r>
      <w:r>
        <w:rPr>
          <w:rFonts w:hint="default" w:ascii="Times New Roman" w:hAnsi="Times New Roman" w:eastAsia="仿宋" w:cs="Times New Roman"/>
          <w:b w:val="0"/>
          <w:bCs w:val="0"/>
          <w:kern w:val="0"/>
          <w:sz w:val="30"/>
          <w:szCs w:val="30"/>
          <w:lang w:val="en-US" w:eastAsia="zh-CN" w:bidi="zh-CN"/>
        </w:rPr>
        <w:t>访谈和问卷调查获取的数据，评价组对</w:t>
      </w:r>
      <w:r>
        <w:rPr>
          <w:rFonts w:hint="eastAsia" w:ascii="Times New Roman" w:hAnsi="Times New Roman" w:cs="Times New Roman"/>
          <w:b w:val="0"/>
          <w:bCs w:val="0"/>
          <w:kern w:val="0"/>
          <w:sz w:val="30"/>
          <w:szCs w:val="30"/>
          <w:lang w:val="en-US" w:eastAsia="zh-CN" w:bidi="zh-CN"/>
        </w:rPr>
        <w:t>同心县</w:t>
      </w:r>
      <w:r>
        <w:rPr>
          <w:rFonts w:hint="eastAsia" w:ascii="Times New Roman" w:hAnsi="Times New Roman" w:eastAsia="方正仿宋_GBK" w:cs="Times New Roman"/>
          <w:color w:val="auto"/>
          <w:kern w:val="2"/>
          <w:sz w:val="30"/>
          <w:szCs w:val="30"/>
          <w:highlight w:val="none"/>
          <w:lang w:val="en-US" w:eastAsia="zh-CN" w:bidi="ar-SA"/>
        </w:rPr>
        <w:t>2022年老旧小区改造配套基础设施－文化街给排水管道更新工程建设项目</w:t>
      </w:r>
      <w:r>
        <w:rPr>
          <w:rFonts w:hint="default" w:ascii="Times New Roman" w:hAnsi="Times New Roman" w:eastAsia="仿宋" w:cs="Times New Roman"/>
          <w:b w:val="0"/>
          <w:bCs w:val="0"/>
          <w:kern w:val="0"/>
          <w:sz w:val="30"/>
          <w:szCs w:val="30"/>
          <w:lang w:val="en-US" w:eastAsia="zh-CN" w:bidi="zh-CN"/>
        </w:rPr>
        <w:t>进行了独立客观公正的评价，最终得分</w:t>
      </w:r>
      <w:r>
        <w:rPr>
          <w:rFonts w:hint="default" w:ascii="Times New Roman" w:hAnsi="Times New Roman" w:cs="Times New Roman"/>
          <w:b w:val="0"/>
          <w:bCs w:val="0"/>
          <w:kern w:val="0"/>
          <w:sz w:val="30"/>
          <w:szCs w:val="30"/>
          <w:lang w:val="en-US" w:eastAsia="zh-CN" w:bidi="zh-CN"/>
        </w:rPr>
        <w:t>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87</w:t>
      </w:r>
      <w:r>
        <w:rPr>
          <w:rFonts w:hint="default" w:ascii="Times New Roman" w:hAnsi="Times New Roman" w:cs="Times New Roman"/>
          <w:b/>
          <w:bCs/>
          <w:kern w:val="0"/>
          <w:sz w:val="30"/>
          <w:szCs w:val="30"/>
          <w:lang w:val="en-US" w:eastAsia="zh-CN" w:bidi="zh-CN"/>
        </w:rPr>
        <w:t>分”，</w:t>
      </w:r>
      <w:r>
        <w:rPr>
          <w:rFonts w:hint="default" w:ascii="Times New Roman" w:hAnsi="Times New Roman" w:cs="Times New Roman"/>
          <w:b w:val="0"/>
          <w:bCs w:val="0"/>
          <w:kern w:val="0"/>
          <w:sz w:val="30"/>
          <w:szCs w:val="30"/>
          <w:lang w:val="en-US" w:eastAsia="zh-CN" w:bidi="zh-CN"/>
        </w:rPr>
        <w:t>评价结果为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良</w:t>
      </w:r>
      <w:r>
        <w:rPr>
          <w:rFonts w:hint="default" w:ascii="Times New Roman" w:hAnsi="Times New Roman" w:cs="Times New Roman"/>
          <w:b/>
          <w:bCs/>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w:t>
      </w:r>
      <w:bookmarkStart w:id="9" w:name="_Toc10088"/>
      <w:bookmarkStart w:id="10" w:name="_Toc16100"/>
      <w:bookmarkStart w:id="11" w:name="_Toc21407"/>
      <w:bookmarkStart w:id="12" w:name="_Toc14268"/>
      <w:bookmarkStart w:id="13" w:name="_Toc1237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四、主要经验</w:t>
      </w:r>
      <w:bookmarkEnd w:id="9"/>
      <w:bookmarkEnd w:id="10"/>
      <w:bookmarkEnd w:id="11"/>
      <w:bookmarkEnd w:id="12"/>
      <w:bookmarkEnd w:id="13"/>
      <w:bookmarkStart w:id="14" w:name="_Toc29010"/>
      <w:bookmarkStart w:id="15" w:name="_Toc5586"/>
      <w:bookmarkStart w:id="16" w:name="_Toc336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w:t>
      </w:r>
      <w:r>
        <w:rPr>
          <w:rFonts w:hint="eastAsia" w:ascii="Times New Roman" w:hAnsi="Times New Roman" w:eastAsia="方正仿宋_GBK" w:cs="Times New Roman"/>
          <w:color w:val="auto"/>
          <w:kern w:val="2"/>
          <w:sz w:val="30"/>
          <w:szCs w:val="30"/>
          <w:highlight w:val="none"/>
          <w:lang w:val="en-US" w:eastAsia="zh-CN" w:bidi="ar-SA"/>
        </w:rPr>
        <w:t>2022年老旧小区改造－文化街给排水管道更新工程建设项目</w:t>
      </w:r>
      <w:r>
        <w:rPr>
          <w:rFonts w:hint="default" w:ascii="Times New Roman" w:hAnsi="Times New Roman" w:eastAsia="方正仿宋_GBK" w:cs="Times New Roman"/>
          <w:color w:val="auto"/>
          <w:kern w:val="0"/>
          <w:sz w:val="30"/>
          <w:szCs w:val="30"/>
          <w:lang w:val="en-US" w:eastAsia="zh-CN" w:bidi="zh-CN"/>
        </w:rPr>
        <w:t>实施方面取得了一定的成就，经验和做法主要有以下几个方面：</w:t>
      </w:r>
    </w:p>
    <w:bookmarkEnd w:id="14"/>
    <w:bookmarkEnd w:id="15"/>
    <w:bookmarkEnd w:id="16"/>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bookmarkStart w:id="17" w:name="_Toc22246"/>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在老旧小区改造过程中，县住建局、街道、施工方都将“民情民意”放在第一位，在改造前发起民意调查、在改造中不断征求群众意见、在改造完成后做好民意回访。居民在改造过程中全程参与、全程监督，把“要我改”变成了“我要改”，居民也成了改造工作中的“主人翁”。</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pStyle w:val="4"/>
        <w:ind w:firstLine="562"/>
        <w:rPr>
          <w:rFonts w:hint="eastAsia" w:ascii="方正楷体_GBK" w:hAnsi="方正楷体_GBK" w:eastAsia="方正楷体_GBK" w:cs="方正楷体_GBK"/>
          <w:b/>
          <w:bCs w:val="0"/>
          <w:sz w:val="32"/>
          <w:szCs w:val="32"/>
        </w:rPr>
      </w:pPr>
      <w:bookmarkStart w:id="18" w:name="_Toc8871"/>
      <w:r>
        <w:rPr>
          <w:rFonts w:hint="eastAsia" w:ascii="方正楷体_GBK" w:hAnsi="方正楷体_GBK" w:eastAsia="方正楷体_GBK" w:cs="方正楷体_GBK"/>
          <w:b/>
          <w:bCs w:val="0"/>
          <w:sz w:val="32"/>
          <w:szCs w:val="32"/>
        </w:rPr>
        <w:t>（二）存在的问题</w:t>
      </w:r>
      <w:bookmarkEnd w:id="17"/>
      <w:bookmarkEnd w:id="18"/>
    </w:p>
    <w:p>
      <w:pPr>
        <w:keepNext w:val="0"/>
        <w:keepLines w:val="0"/>
        <w:pageBreakBefore w:val="0"/>
        <w:widowControl/>
        <w:suppressLineNumbers w:val="0"/>
        <w:kinsoku/>
        <w:wordWrap/>
        <w:topLinePunct w:val="0"/>
        <w:autoSpaceDE/>
        <w:autoSpaceDN/>
        <w:bidi w:val="0"/>
        <w:adjustRightInd/>
        <w:ind w:leftChars="0" w:firstLine="592" w:firstLineChars="20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pageBreakBefore w:val="0"/>
        <w:widowControl/>
        <w:suppressLineNumbers w:val="0"/>
        <w:kinsoku/>
        <w:wordWrap/>
        <w:topLinePunct w:val="0"/>
        <w:autoSpaceDE/>
        <w:autoSpaceDN/>
        <w:bidi w:val="0"/>
        <w:adjustRightInd/>
        <w:ind w:leftChars="0" w:firstLine="592" w:firstLineChars="200"/>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2.结算审核相对缓慢。</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exact"/>
        <w:ind w:leftChars="0" w:firstLine="592" w:firstLineChars="200"/>
        <w:jc w:val="both"/>
        <w:textAlignment w:val="auto"/>
        <w:outlineLvl w:val="1"/>
        <w:rPr>
          <w:rFonts w:hint="eastAsia" w:ascii="Times New Roman" w:hAnsi="Times New Roman" w:eastAsia="方正仿宋_GBK" w:cs="Times New Roman"/>
          <w:color w:val="000000"/>
          <w:kern w:val="0"/>
          <w:sz w:val="30"/>
          <w:szCs w:val="30"/>
          <w:lang w:val="en-US" w:eastAsia="zh-CN" w:bidi="ar"/>
        </w:rPr>
      </w:pPr>
      <w:bookmarkStart w:id="19" w:name="_Toc5115"/>
      <w:r>
        <w:rPr>
          <w:rFonts w:hint="eastAsia" w:ascii="Times New Roman" w:hAnsi="Times New Roman" w:eastAsia="方正仿宋_GBK" w:cs="Times New Roman"/>
          <w:kern w:val="2"/>
          <w:sz w:val="30"/>
          <w:szCs w:val="30"/>
          <w:lang w:val="en-US" w:eastAsia="zh-CN" w:bidi="zh-CN"/>
        </w:rPr>
        <w:t>在资料审阅过程中发现，项目在竣工验收后，未及时编制结算审核、竣工财务决算等，不符合</w:t>
      </w:r>
      <w:r>
        <w:rPr>
          <w:rFonts w:hint="default" w:ascii="Times New Roman" w:hAnsi="Times New Roman" w:eastAsia="方正仿宋_GBK" w:cs="Times New Roman"/>
          <w:color w:val="000000"/>
          <w:kern w:val="0"/>
          <w:sz w:val="30"/>
          <w:szCs w:val="30"/>
          <w:lang w:val="en-US" w:eastAsia="zh-CN" w:bidi="ar"/>
        </w:rPr>
        <w:t>《基本建设项目竣工财务决算管理暂行办法》规定，建设单位应在项目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r>
        <w:rPr>
          <w:rFonts w:hint="eastAsia" w:ascii="Times New Roman" w:hAnsi="Times New Roman" w:eastAsia="方正仿宋_GBK" w:cs="Times New Roman"/>
          <w:color w:val="000000"/>
          <w:kern w:val="0"/>
          <w:sz w:val="30"/>
          <w:szCs w:val="30"/>
          <w:lang w:val="en-US" w:eastAsia="zh-CN" w:bidi="ar"/>
        </w:rPr>
        <w:t>。</w:t>
      </w:r>
      <w:bookmarkEnd w:id="19"/>
    </w:p>
    <w:p>
      <w:pPr>
        <w:keepNext w:val="0"/>
        <w:keepLines w:val="0"/>
        <w:pageBreakBefore w:val="0"/>
        <w:widowControl w:val="0"/>
        <w:numPr>
          <w:ilvl w:val="0"/>
          <w:numId w:val="2"/>
        </w:numPr>
        <w:kinsoku/>
        <w:wordWrap/>
        <w:overflowPunct w:val="0"/>
        <w:topLinePunct w:val="0"/>
        <w:autoSpaceDE/>
        <w:autoSpaceDN/>
        <w:bidi w:val="0"/>
        <w:adjustRightInd/>
        <w:snapToGrid w:val="0"/>
        <w:spacing w:line="560" w:lineRule="exact"/>
        <w:ind w:leftChars="0" w:firstLine="592" w:firstLineChars="200"/>
        <w:jc w:val="both"/>
        <w:textAlignment w:val="auto"/>
        <w:outlineLvl w:val="1"/>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改造与管理衔接不到位。</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exact"/>
        <w:ind w:firstLine="592" w:firstLineChars="200"/>
        <w:jc w:val="both"/>
        <w:textAlignment w:val="auto"/>
        <w:outlineLvl w:val="1"/>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老旧小区改造各参与方普遍存在重改造轻管理的观念，把大部分资金和精力用在前期改造，但在改造完成后缺乏相应的管理机制来维护和保持改造成果。缺乏整体规划，导致没有机构有效组织和实施日常管理工作，小区环境在工程质保年限过后迅速变差，无法令居民满意。</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20" w:name="_Toc25355"/>
      <w:r>
        <w:rPr>
          <w:rFonts w:hint="eastAsia" w:ascii="方正楷体_GBK" w:hAnsi="方正楷体_GBK" w:eastAsia="方正楷体_GBK" w:cs="方正楷体_GBK"/>
          <w:color w:val="333333"/>
          <w:sz w:val="30"/>
          <w:szCs w:val="30"/>
          <w:shd w:val="clear" w:fill="FFFFFF"/>
          <w:lang w:val="en-US" w:eastAsia="zh-CN" w:bidi="zh-CN"/>
        </w:rPr>
        <w:t>（三）建议</w:t>
      </w:r>
      <w:bookmarkEnd w:id="20"/>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文件，完善项目支出预算绩效目标编制，并撰写自评报告。同时，财政和业务主管部门应加强指导监督。</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2.压实目标任务，紧盯进度计划</w:t>
      </w:r>
      <w:r>
        <w:rPr>
          <w:rFonts w:hint="eastAsia" w:ascii="仿宋" w:hAnsi="仿宋" w:cs="仿宋"/>
          <w:b/>
          <w:bCs w:val="0"/>
          <w:color w:val="000000" w:themeColor="text1"/>
          <w:sz w:val="32"/>
          <w:szCs w:val="32"/>
          <w:lang w:val="en-US" w:eastAsia="zh-CN"/>
          <w14:textFill>
            <w14:solidFill>
              <w14:schemeClr w14:val="tx1"/>
            </w14:solidFill>
          </w14:textFill>
        </w:rPr>
        <w:t>。</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一是</w:t>
      </w:r>
      <w:r>
        <w:rPr>
          <w:rFonts w:hint="eastAsia" w:ascii="方正仿宋_GBK" w:hAnsi="方正仿宋_GBK" w:eastAsia="方正仿宋_GBK" w:cs="方正仿宋_GBK"/>
          <w:color w:val="000000"/>
          <w:kern w:val="0"/>
          <w:sz w:val="30"/>
          <w:szCs w:val="30"/>
          <w:lang w:val="en-US" w:eastAsia="zh-CN" w:bidi="ar"/>
        </w:rPr>
        <w:t>对已竣工验收未进行工程结算审核的项目进行工程结算审核，真实反映工程造价，保证资金合理使用和工程质量，有效控制项目建设投资；</w:t>
      </w:r>
      <w:r>
        <w:rPr>
          <w:rFonts w:hint="eastAsia" w:ascii="方正仿宋_GBK" w:hAnsi="方正仿宋_GBK" w:eastAsia="方正仿宋_GBK" w:cs="方正仿宋_GBK"/>
          <w:b/>
          <w:bCs/>
          <w:color w:val="000000"/>
          <w:kern w:val="0"/>
          <w:sz w:val="30"/>
          <w:szCs w:val="30"/>
          <w:lang w:val="en-US" w:eastAsia="zh-CN" w:bidi="ar"/>
        </w:rPr>
        <w:t>二是</w:t>
      </w:r>
      <w:r>
        <w:rPr>
          <w:rFonts w:hint="eastAsia" w:ascii="方正仿宋_GBK" w:hAnsi="方正仿宋_GBK" w:eastAsia="方正仿宋_GBK" w:cs="方正仿宋_GBK"/>
          <w:color w:val="000000"/>
          <w:kern w:val="0"/>
          <w:sz w:val="30"/>
          <w:szCs w:val="30"/>
          <w:lang w:val="en-US" w:eastAsia="zh-CN" w:bidi="ar"/>
        </w:rPr>
        <w:t>实施完成的项目经过检查验收后，形成资产移交，并记入固定资产账，日常管护工作应制定详细养护管理方案，尽早发挥效益。</w:t>
      </w:r>
    </w:p>
    <w:p>
      <w:pPr>
        <w:keepNext w:val="0"/>
        <w:keepLines w:val="0"/>
        <w:pageBreakBefore w:val="0"/>
        <w:widowControl w:val="0"/>
        <w:numPr>
          <w:ilvl w:val="0"/>
          <w:numId w:val="0"/>
        </w:numPr>
        <w:kinsoku/>
        <w:wordWrap/>
        <w:overflowPunct w:val="0"/>
        <w:topLinePunct w:val="0"/>
        <w:autoSpaceDE/>
        <w:autoSpaceDN/>
        <w:bidi w:val="0"/>
        <w:adjustRightInd/>
        <w:snapToGrid/>
        <w:ind w:leftChars="200"/>
        <w:jc w:val="both"/>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3.强化宣传引导，建立长效机制。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小区改造前，要明确升级改造时间和目标并在小区显著位置予以公示，让居民深刻感受到旧改工作将会给他们生活和居住环境带来的深远影响；社区要采取多种形式进行物业管理政策法规和物业管理知识的宣传，让居民理解实施物业管理的意义，提高广大居民对物业管理的认知程度。物业服务企业进驻后，对服务项目、服务内容、服务标准、财务收支、成本核算、双方的权利和义务都要在小区进行公示张贴，增加物业服务的透明度，让广大居民知晓物业服务收费的合理性和合法性，逐步培养居民的物业服务消费意识，逐步提高小区物业费的收缴率。此外，还要稳步推进人民调解、综合执法进小区活动，逐步建立起老旧小区管理的长效机制。</w:t>
      </w:r>
    </w:p>
    <w:p>
      <w:pPr>
        <w:keepNext w:val="0"/>
        <w:keepLines w:val="0"/>
        <w:pageBreakBefore w:val="0"/>
        <w:widowControl w:val="0"/>
        <w:kinsoku/>
        <w:wordWrap/>
        <w:overflowPunct w:val="0"/>
        <w:topLinePunct w:val="0"/>
        <w:autoSpaceDE/>
        <w:autoSpaceDN/>
        <w:bidi w:val="0"/>
        <w:adjustRightInd/>
        <w:snapToGrid/>
        <w:ind w:left="0" w:leftChars="0" w:firstLine="0" w:firstLineChars="0"/>
        <w:jc w:val="center"/>
        <w:textAlignment w:val="auto"/>
        <w:rPr>
          <w:rFonts w:hint="eastAsia" w:ascii="方正仿宋_GBK" w:hAnsi="方正仿宋_GBK" w:eastAsia="方正仿宋_GBK" w:cs="方正仿宋_GBK"/>
          <w:color w:val="000000"/>
          <w:kern w:val="0"/>
          <w:sz w:val="30"/>
          <w:szCs w:val="30"/>
          <w:lang w:val="en-US" w:eastAsia="zh-CN" w:bidi="ar"/>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both"/>
        <w:textAlignment w:val="auto"/>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2"/>
        <w:rPr>
          <w:rFonts w:hint="eastAsia" w:ascii="方正公文小标宋" w:hAnsi="方正公文小标宋" w:eastAsia="方正公文小标宋" w:cs="方正公文小标宋"/>
          <w:b/>
          <w:bCs/>
          <w:sz w:val="72"/>
          <w:szCs w:val="72"/>
          <w:lang w:val="en-US" w:eastAsia="zh-CN"/>
        </w:rPr>
      </w:pPr>
    </w:p>
    <w:p>
      <w:pPr>
        <w:rPr>
          <w:rFonts w:hint="eastAsia"/>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lang w:val="en-US" w:eastAsia="zh-CN"/>
        </w:rPr>
      </w:pPr>
    </w:p>
    <w:p>
      <w:pPr>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lang w:val="en-US" w:eastAsia="zh-CN"/>
        </w:rPr>
      </w:pPr>
    </w:p>
    <w:p>
      <w:pPr>
        <w:rPr>
          <w:rFonts w:hint="eastAsia" w:ascii="方正仿宋_GBK" w:hAnsi="方正仿宋_GBK" w:eastAsia="方正仿宋_GBK" w:cs="方正仿宋_GBK"/>
          <w:b/>
          <w:bCs/>
          <w:sz w:val="30"/>
          <w:szCs w:val="30"/>
          <w:lang w:val="en-US" w:eastAsia="zh-CN"/>
        </w:rPr>
      </w:pPr>
    </w:p>
    <w:p>
      <w:pPr>
        <w:pStyle w:val="2"/>
        <w:rPr>
          <w:rFonts w:hint="eastAsia"/>
          <w:lang w:val="en-US" w:eastAsia="zh-CN"/>
        </w:rPr>
      </w:pPr>
    </w:p>
    <w:p>
      <w:pP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目 录</w:t>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val="0"/>
          <w:bCs w:val="0"/>
          <w:kern w:val="0"/>
          <w:sz w:val="24"/>
          <w:szCs w:val="24"/>
          <w:lang w:val="en-US" w:eastAsia="zh-CN" w:bidi="zh-CN"/>
        </w:rPr>
        <w:fldChar w:fldCharType="begin"/>
      </w:r>
      <w:r>
        <w:rPr>
          <w:rFonts w:hint="eastAsia" w:ascii="仿宋" w:hAnsi="仿宋" w:eastAsia="仿宋" w:cs="仿宋"/>
          <w:b w:val="0"/>
          <w:bCs w:val="0"/>
          <w:kern w:val="0"/>
          <w:sz w:val="24"/>
          <w:szCs w:val="24"/>
          <w:lang w:val="en-US" w:eastAsia="zh-CN" w:bidi="zh-CN"/>
        </w:rPr>
        <w:instrText xml:space="preserve">TOC \o "1-3" \h \u </w:instrText>
      </w:r>
      <w:r>
        <w:rPr>
          <w:rFonts w:hint="eastAsia" w:ascii="仿宋" w:hAnsi="仿宋" w:eastAsia="仿宋" w:cs="仿宋"/>
          <w:b w:val="0"/>
          <w:bCs w:val="0"/>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_Toc10212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_Toc10212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_Toc12717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_Toc12717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_Toc13287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二、项目资金预算安排和使用情况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_Toc13287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_Toc21956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（一）资金来源情况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_Toc21956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_Toc10483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（二）资金到位情况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_Toc10483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_Toc28864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（三）资金管理情况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_Toc28864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_Toc21050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（四）资金使用情况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_Toc21050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_Toc19546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三、项目绩效目标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_Toc19546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_Toc26304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_Toc26304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_Toc4080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 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_Toc4080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_Toc13100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四、绩效评价工作开展情况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_Toc13100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_Toc5441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（一）绩效评价目的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_Toc5441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_Toc21266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（二）绩效评价对象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_Toc21266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_Toc22306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（三）评价依据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_Toc22306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_Toc30714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（四）评价原则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_Toc30714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_Toc6179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（五）评价标准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_Toc6179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_Toc15537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六</w:t>
      </w:r>
      <w:r>
        <w:rPr>
          <w:rFonts w:hint="eastAsia" w:ascii="仿宋" w:hAnsi="仿宋" w:eastAsia="仿宋" w:cs="仿宋"/>
          <w:sz w:val="24"/>
          <w:szCs w:val="24"/>
        </w:rPr>
        <w:t>）评价指标体系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_Toc15537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_Toc25212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eastAsia="zh-CN"/>
        </w:rPr>
        <w:t>（七）</w:t>
      </w:r>
      <w:r>
        <w:rPr>
          <w:rFonts w:hint="eastAsia" w:ascii="仿宋" w:hAnsi="仿宋" w:eastAsia="仿宋" w:cs="仿宋"/>
          <w:sz w:val="24"/>
          <w:szCs w:val="24"/>
        </w:rPr>
        <w:t>评价方法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_Toc25212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_Toc23639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（八）绩效评价工作过程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_Toc23639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_Toc7332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五、综合评价情况及评价结论</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_Toc7332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14</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_Toc12755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（一）项目完成情况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_Toc12755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_Toc9075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_Toc9075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_Toc24762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六、绩效评价指标分析</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_Toc24762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16</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_Toc16736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pacing w:val="0"/>
          <w:sz w:val="24"/>
          <w:szCs w:val="24"/>
          <w:lang w:eastAsia="zh-CN"/>
        </w:rPr>
        <w:t>（一）</w:t>
      </w:r>
      <w:r>
        <w:rPr>
          <w:rFonts w:hint="eastAsia" w:ascii="仿宋" w:hAnsi="仿宋" w:eastAsia="仿宋" w:cs="仿宋"/>
          <w:bCs w:val="0"/>
          <w:spacing w:val="0"/>
          <w:sz w:val="24"/>
          <w:szCs w:val="24"/>
        </w:rPr>
        <w:t>项目决策情</w:t>
      </w:r>
      <w:r>
        <w:rPr>
          <w:rFonts w:hint="eastAsia" w:ascii="仿宋" w:hAnsi="仿宋" w:eastAsia="仿宋" w:cs="仿宋"/>
          <w:bCs w:val="0"/>
          <w:sz w:val="24"/>
          <w:szCs w:val="24"/>
        </w:rPr>
        <w:t>况</w:t>
      </w:r>
      <w:r>
        <w:rPr>
          <w:rFonts w:hint="eastAsia" w:ascii="仿宋" w:hAnsi="仿宋" w:eastAsia="仿宋" w:cs="仿宋"/>
          <w:bCs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_Toc16736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_Toc13987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_Toc13987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_Toc2652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（三）</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产出</w:t>
      </w:r>
      <w:r>
        <w:rPr>
          <w:rFonts w:hint="eastAsia" w:ascii="仿宋" w:hAnsi="仿宋" w:eastAsia="仿宋" w:cs="仿宋"/>
          <w:spacing w:val="0"/>
          <w:sz w:val="24"/>
          <w:szCs w:val="24"/>
        </w:rPr>
        <w:t>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_Toc2652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_Toc32195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（四）</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效益</w:t>
      </w:r>
      <w:r>
        <w:rPr>
          <w:rFonts w:hint="eastAsia" w:ascii="仿宋" w:hAnsi="仿宋" w:eastAsia="仿宋" w:cs="仿宋"/>
          <w:spacing w:val="0"/>
          <w:sz w:val="24"/>
          <w:szCs w:val="24"/>
        </w:rPr>
        <w:t>情况</w:t>
      </w:r>
      <w:r>
        <w:rPr>
          <w:rFonts w:hint="eastAsia" w:ascii="仿宋" w:hAnsi="仿宋" w:eastAsia="仿宋" w:cs="仿宋"/>
          <w:spacing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_Toc32195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_Toc21324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七、主要经验做法、存在问题及建议</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_Toc21324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26</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_Toc29347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（一）经验做法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_Toc29347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_Toc9130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（二）存在的问题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_Toc9130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236" w:firstLineChars="10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_Toc24084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shd w:val="clear" w:fill="FFFFFF"/>
          <w:lang w:val="en-US" w:eastAsia="zh-CN" w:bidi="zh-CN"/>
        </w:rPr>
        <w:t>（三）建议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_Toc24084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 w:cs="Times New Roman"/>
          <w:b w:val="0"/>
          <w:bCs w:val="0"/>
          <w:kern w:val="0"/>
          <w:sz w:val="28"/>
          <w:szCs w:val="28"/>
          <w:lang w:val="en-US" w:eastAsia="zh-CN" w:bidi="zh-CN"/>
        </w:rPr>
        <w:sectPr>
          <w:headerReference r:id="rId5" w:type="default"/>
          <w:footerReference r:id="rId6" w:type="default"/>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bookmarkStart w:id="21" w:name="_Toc30196"/>
      <w:bookmarkStart w:id="22" w:name="_Toc12033"/>
      <w:r>
        <w:rPr>
          <w:rFonts w:hint="eastAsia" w:ascii="方正小标宋_GBK" w:hAnsi="方正小标宋_GBK" w:eastAsia="方正小标宋_GBK" w:cs="方正小标宋_GBK"/>
          <w:b w:val="0"/>
          <w:bCs w:val="0"/>
          <w:color w:val="181717" w:themeColor="background2" w:themeShade="1A"/>
          <w:sz w:val="36"/>
          <w:szCs w:val="36"/>
          <w:lang w:val="en-US" w:eastAsia="zh-CN"/>
        </w:rPr>
        <w:t>同心县2022年老旧小区改造－文化街给排水管道更新工程建设项目绩效评价报告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，宁夏万协项目管理有限公司受同心县财政局委托，对同心县2022年老旧小区改造－文化街给排水管道更新工程建设项目开展绩效评价相关工作。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bidi w:val="0"/>
        <w:rPr>
          <w:rFonts w:hint="eastAsia" w:ascii="宋体" w:hAnsi="宋体" w:eastAsia="宋体" w:cs="宋体"/>
          <w:b/>
          <w:bCs/>
          <w:lang w:val="en-US" w:eastAsia="zh-CN"/>
        </w:rPr>
      </w:pPr>
      <w:bookmarkStart w:id="23" w:name="_Toc10212"/>
      <w:r>
        <w:rPr>
          <w:rFonts w:hint="eastAsia" w:ascii="宋体" w:hAnsi="宋体" w:eastAsia="宋体" w:cs="宋体"/>
          <w:b/>
          <w:bCs/>
          <w:lang w:val="en-US" w:eastAsia="zh-CN"/>
        </w:rPr>
        <w:t>一、项目基本情况</w:t>
      </w:r>
      <w:bookmarkEnd w:id="21"/>
      <w:bookmarkEnd w:id="22"/>
      <w:bookmarkEnd w:id="23"/>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4" w:name="_Toc5690"/>
      <w:bookmarkStart w:id="25" w:name="_Toc25760"/>
      <w:bookmarkStart w:id="26" w:name="_Toc12717"/>
      <w:r>
        <w:rPr>
          <w:rFonts w:hint="eastAsia"/>
          <w:b/>
          <w:bCs/>
          <w:sz w:val="30"/>
          <w:szCs w:val="30"/>
          <w:lang w:val="en-US" w:eastAsia="zh-CN"/>
        </w:rPr>
        <w:t>（一）项目</w:t>
      </w:r>
      <w:bookmarkEnd w:id="24"/>
      <w:bookmarkEnd w:id="25"/>
      <w:r>
        <w:rPr>
          <w:rFonts w:hint="eastAsia"/>
          <w:b/>
          <w:bCs/>
          <w:sz w:val="30"/>
          <w:szCs w:val="30"/>
          <w:lang w:val="en-US" w:eastAsia="zh-CN"/>
        </w:rPr>
        <w:t>背景</w:t>
      </w:r>
      <w:bookmarkEnd w:id="26"/>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7" w:name="_Toc25776"/>
      <w:bookmarkStart w:id="28" w:name="_Toc24381"/>
      <w:bookmarkStart w:id="29" w:name="_Toc5111"/>
      <w:r>
        <w:rPr>
          <w:rFonts w:hint="eastAsia" w:ascii="Times New Roman" w:hAnsi="Times New Roman" w:eastAsia="方正仿宋_GBK" w:cs="Times New Roman"/>
          <w:color w:val="auto"/>
          <w:kern w:val="2"/>
          <w:sz w:val="30"/>
          <w:szCs w:val="30"/>
          <w:highlight w:val="none"/>
          <w:lang w:val="en-US" w:eastAsia="zh-CN" w:bidi="ar-SA"/>
        </w:rPr>
        <w:t>同心县文化北街两侧老旧小区因其规划建设年代早，建设标准相对较低，室外管道老化严重，基础功能设施年久失修，已无法满足居住环境和市容美观的要求。为了能够从源头上解决周边老旧小区居民的生活难题，改善居民的生活状况，提高居民生活质量，同心县住房和城乡建设局拟在同心县文化北街建设同心县2022年老旧小区改造配套基础设施－文化北街给排水管道更新工程。</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文化北街 （永庆路－长征街 ）段现状两侧有丰泽苑、同心县党校家属楼、豫园小区南北苑、富兴小区、静安小区等住宅小区，该片区建成时间大部分在 2000 年以前，现基础功能设施年久失修，室外管道老化，无法满足居住群众温馨舒适的生活条件，迫切希望尽快改变这种状况。解决这些问题的关键就是要对小区进行综合整治，并建立健全管理机制，形成良性循环，解决城市居民他们最关心、最直接、最现实的实际问题，改善了生活环境提高了生活质量，办了实事、办了好事。</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同心县住房和城乡建设局一直秉承为居民办实事、办好事，解决居民最基本、最实际的问题。持续改善老旧小区的生活环境，提高居民生活质量，解决居民的后顾之忧，基础设施的逐步改变，给小区居民带来了更多的安全感、获得感和幸福感。</w:t>
      </w:r>
    </w:p>
    <w:bookmarkEnd w:id="27"/>
    <w:bookmarkEnd w:id="28"/>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sz w:val="30"/>
          <w:szCs w:val="30"/>
          <w:lang w:val="en-US" w:eastAsia="zh-CN"/>
        </w:rPr>
      </w:pPr>
      <w:bookmarkStart w:id="30" w:name="_Toc1"/>
      <w:bookmarkStart w:id="31" w:name="_Toc8550"/>
      <w:bookmarkStart w:id="32" w:name="_Toc1917"/>
      <w:r>
        <w:rPr>
          <w:rFonts w:hint="eastAsia" w:ascii="方正楷体_GBK" w:hAnsi="方正楷体_GBK" w:eastAsia="方正楷体_GBK" w:cs="方正楷体_GBK"/>
          <w:sz w:val="30"/>
          <w:szCs w:val="30"/>
          <w:lang w:val="en-US" w:eastAsia="zh-CN"/>
        </w:rPr>
        <w:t>（二）项目实施主要内容</w:t>
      </w:r>
      <w:bookmarkEnd w:id="30"/>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同心县 2022 年老旧小区改造配套基础设施</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文化北街给排水管道更新工程由同心县发展和改革局于2022年3月21日立项批复 </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同发改审发〔2022〕101号</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，项目建设内容为</w:t>
      </w:r>
      <w:r>
        <w:rPr>
          <w:rFonts w:hint="eastAsia"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排水工程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w:t>
      </w:r>
      <w:r>
        <w:rPr>
          <w:rFonts w:hint="default" w:ascii="Times New Roman" w:hAnsi="Times New Roman" w:eastAsia="方正仿宋_GBK" w:cs="Times New Roman"/>
          <w:color w:val="auto"/>
          <w:kern w:val="2"/>
          <w:sz w:val="30"/>
          <w:szCs w:val="30"/>
          <w:highlight w:val="none"/>
          <w:lang w:val="en-US" w:eastAsia="zh-CN" w:bidi="ar-SA"/>
        </w:rPr>
        <w:t>雨水工程</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雨水管道管径d600mm，管道长度为800</w:t>
      </w:r>
      <w:r>
        <w:rPr>
          <w:rFonts w:hint="eastAsia" w:ascii="Times New Roman" w:hAnsi="Times New Roman" w:eastAsia="方正仿宋_GBK" w:cs="Times New Roman"/>
          <w:color w:val="auto"/>
          <w:kern w:val="2"/>
          <w:sz w:val="30"/>
          <w:szCs w:val="30"/>
          <w:highlight w:val="none"/>
          <w:lang w:val="en-US" w:eastAsia="zh-CN" w:bidi="ar-SA"/>
        </w:rPr>
        <w:t>m；</w:t>
      </w:r>
      <w:r>
        <w:rPr>
          <w:rFonts w:hint="default" w:ascii="Times New Roman" w:hAnsi="Times New Roman" w:eastAsia="方正仿宋_GBK" w:cs="Times New Roman"/>
          <w:color w:val="auto"/>
          <w:kern w:val="2"/>
          <w:sz w:val="30"/>
          <w:szCs w:val="30"/>
          <w:highlight w:val="none"/>
          <w:lang w:val="en-US" w:eastAsia="zh-CN" w:bidi="ar-SA"/>
        </w:rPr>
        <w:t>东西两侧预留支管。预留支管管径d500mm，管长为26m。</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w:t>
      </w:r>
      <w:r>
        <w:rPr>
          <w:rFonts w:hint="default" w:ascii="Times New Roman" w:hAnsi="Times New Roman" w:eastAsia="方正仿宋_GBK" w:cs="Times New Roman"/>
          <w:color w:val="auto"/>
          <w:kern w:val="2"/>
          <w:sz w:val="30"/>
          <w:szCs w:val="30"/>
          <w:highlight w:val="none"/>
          <w:lang w:val="en-US" w:eastAsia="zh-CN" w:bidi="ar-SA"/>
        </w:rPr>
        <w:t>污水工程</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污水管道管径d400mm，管道长度为742</w:t>
      </w:r>
      <w:r>
        <w:rPr>
          <w:rFonts w:hint="eastAsia" w:ascii="Times New Roman" w:hAnsi="Times New Roman" w:eastAsia="方正仿宋_GBK" w:cs="Times New Roman"/>
          <w:color w:val="auto"/>
          <w:kern w:val="2"/>
          <w:sz w:val="30"/>
          <w:szCs w:val="30"/>
          <w:highlight w:val="none"/>
          <w:lang w:val="en-US" w:eastAsia="zh-CN" w:bidi="ar-SA"/>
        </w:rPr>
        <w:t>m；</w:t>
      </w:r>
      <w:r>
        <w:rPr>
          <w:rFonts w:hint="default" w:ascii="Times New Roman" w:hAnsi="Times New Roman" w:eastAsia="方正仿宋_GBK" w:cs="Times New Roman"/>
          <w:color w:val="auto"/>
          <w:kern w:val="2"/>
          <w:sz w:val="30"/>
          <w:szCs w:val="30"/>
          <w:highlight w:val="none"/>
          <w:lang w:val="en-US" w:eastAsia="zh-CN" w:bidi="ar-SA"/>
        </w:rPr>
        <w:t>东西两侧预留支管。预留支管管径d400mm，管长为126</w:t>
      </w:r>
      <w:r>
        <w:rPr>
          <w:rFonts w:hint="eastAsia" w:ascii="Times New Roman" w:hAnsi="Times New Roman" w:eastAsia="方正仿宋_GBK" w:cs="Times New Roman"/>
          <w:color w:val="auto"/>
          <w:kern w:val="2"/>
          <w:sz w:val="30"/>
          <w:szCs w:val="30"/>
          <w:highlight w:val="none"/>
          <w:lang w:val="en-US" w:eastAsia="zh-CN" w:bidi="ar-SA"/>
        </w:rPr>
        <w:t>m</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（3）</w:t>
      </w:r>
      <w:r>
        <w:rPr>
          <w:rFonts w:hint="default" w:ascii="Times New Roman" w:hAnsi="Times New Roman" w:eastAsia="方正仿宋_GBK" w:cs="Times New Roman"/>
          <w:color w:val="auto"/>
          <w:kern w:val="2"/>
          <w:sz w:val="30"/>
          <w:szCs w:val="30"/>
          <w:highlight w:val="none"/>
          <w:lang w:val="en-US" w:eastAsia="zh-CN" w:bidi="ar-SA"/>
        </w:rPr>
        <w:t>道路破除及恢复工程</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因铺设给排水管道需对现有局部沥青混凝土路面、人行道进行破除及恢复，沥青混凝土路面共计9371.69 m，人行道共计7449 m。</w:t>
      </w:r>
      <w:bookmarkStart w:id="33" w:name="_Toc17160"/>
      <w:bookmarkStart w:id="34" w:name="_Toc2218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2.给水工程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给水管道管径dn315mm，管道长度为810米；东西两侧预留支管。预留支管管径dn225mm，管长为63米。</w:t>
      </w:r>
    </w:p>
    <w:p>
      <w:pPr>
        <w:keepNext w:val="0"/>
        <w:keepLines w:val="0"/>
        <w:pageBreakBefore w:val="0"/>
        <w:widowControl w:val="0"/>
        <w:kinsoku/>
        <w:wordWrap/>
        <w:topLinePunct w:val="0"/>
        <w:autoSpaceDE/>
        <w:autoSpaceDN/>
        <w:bidi w:val="0"/>
        <w:adjustRightInd/>
        <w:snapToGrid/>
        <w:textAlignment w:val="auto"/>
        <w:rPr>
          <w:rFonts w:hint="eastAsia" w:asciiTheme="majorEastAsia" w:hAnsiTheme="majorEastAsia" w:eastAsiaTheme="majorEastAsia" w:cstheme="majorEastAsia"/>
          <w:b/>
          <w:bCs/>
          <w:sz w:val="30"/>
          <w:szCs w:val="30"/>
          <w:lang w:val="en-US" w:eastAsia="zh-CN"/>
        </w:rPr>
      </w:pPr>
      <w:r>
        <w:rPr>
          <w:rFonts w:hint="default" w:ascii="Times New Roman" w:hAnsi="Times New Roman" w:eastAsia="方正仿宋_GBK" w:cs="Times New Roman"/>
          <w:b w:val="0"/>
          <w:color w:val="auto"/>
          <w:kern w:val="2"/>
          <w:sz w:val="30"/>
          <w:szCs w:val="30"/>
          <w:highlight w:val="none"/>
          <w:lang w:val="en-US" w:eastAsia="zh-CN" w:bidi="ar-SA"/>
        </w:rPr>
        <w:t>本次绩效评价系对</w:t>
      </w:r>
      <w:r>
        <w:rPr>
          <w:rFonts w:hint="eastAsia" w:ascii="Times New Roman" w:hAnsi="Times New Roman" w:eastAsia="方正仿宋_GBK" w:cs="Times New Roman"/>
          <w:color w:val="auto"/>
          <w:kern w:val="2"/>
          <w:sz w:val="30"/>
          <w:szCs w:val="30"/>
          <w:highlight w:val="none"/>
          <w:lang w:val="en-US" w:eastAsia="zh-CN" w:bidi="ar-SA"/>
        </w:rPr>
        <w:t>同心县2022年老旧小区改造－文化街给排水管道更新工程建设项目</w:t>
      </w:r>
      <w:r>
        <w:rPr>
          <w:rFonts w:hint="default" w:ascii="Times New Roman" w:hAnsi="Times New Roman" w:eastAsia="方正仿宋_GBK" w:cs="Times New Roman"/>
          <w:b w:val="0"/>
          <w:color w:val="auto"/>
          <w:kern w:val="2"/>
          <w:sz w:val="30"/>
          <w:szCs w:val="30"/>
          <w:highlight w:val="none"/>
          <w:lang w:val="en-US" w:eastAsia="zh-CN" w:bidi="ar-SA"/>
        </w:rPr>
        <w:t>自 2022 年至</w:t>
      </w:r>
      <w:r>
        <w:rPr>
          <w:rFonts w:hint="eastAsia" w:ascii="Times New Roman" w:hAnsi="Times New Roman" w:eastAsia="方正仿宋_GBK" w:cs="Times New Roman"/>
          <w:b w:val="0"/>
          <w:color w:val="auto"/>
          <w:kern w:val="2"/>
          <w:sz w:val="30"/>
          <w:szCs w:val="30"/>
          <w:highlight w:val="none"/>
          <w:lang w:val="en-US" w:eastAsia="zh-CN" w:bidi="ar-SA"/>
        </w:rPr>
        <w:t>2024</w:t>
      </w:r>
      <w:r>
        <w:rPr>
          <w:rFonts w:hint="default" w:ascii="Times New Roman" w:hAnsi="Times New Roman" w:eastAsia="方正仿宋_GBK" w:cs="Times New Roman"/>
          <w:b w:val="0"/>
          <w:color w:val="auto"/>
          <w:kern w:val="2"/>
          <w:sz w:val="30"/>
          <w:szCs w:val="30"/>
          <w:highlight w:val="none"/>
          <w:lang w:val="en-US" w:eastAsia="zh-CN" w:bidi="ar-SA"/>
        </w:rPr>
        <w:t xml:space="preserve"> 年 </w:t>
      </w:r>
      <w:r>
        <w:rPr>
          <w:rFonts w:hint="eastAsia" w:ascii="Times New Roman" w:hAnsi="Times New Roman" w:eastAsia="方正仿宋_GBK" w:cs="Times New Roman"/>
          <w:b w:val="0"/>
          <w:color w:val="auto"/>
          <w:kern w:val="2"/>
          <w:sz w:val="30"/>
          <w:szCs w:val="30"/>
          <w:highlight w:val="none"/>
          <w:lang w:val="en-US" w:eastAsia="zh-CN" w:bidi="ar-SA"/>
        </w:rPr>
        <w:t>12</w:t>
      </w:r>
      <w:r>
        <w:rPr>
          <w:rFonts w:hint="default" w:ascii="Times New Roman" w:hAnsi="Times New Roman" w:eastAsia="方正仿宋_GBK" w:cs="Times New Roman"/>
          <w:b w:val="0"/>
          <w:color w:val="auto"/>
          <w:kern w:val="2"/>
          <w:sz w:val="30"/>
          <w:szCs w:val="30"/>
          <w:highlight w:val="none"/>
          <w:lang w:val="en-US" w:eastAsia="zh-CN" w:bidi="ar-SA"/>
        </w:rPr>
        <w:t xml:space="preserve"> 月31日期间项</w:t>
      </w:r>
      <w:r>
        <w:rPr>
          <w:rFonts w:hint="eastAsia" w:ascii="Times New Roman" w:hAnsi="Times New Roman" w:eastAsia="方正仿宋_GBK" w:cs="Times New Roman"/>
          <w:b w:val="0"/>
          <w:color w:val="auto"/>
          <w:kern w:val="2"/>
          <w:sz w:val="30"/>
          <w:szCs w:val="30"/>
          <w:highlight w:val="none"/>
          <w:lang w:val="en-US" w:eastAsia="zh-CN" w:bidi="ar-SA"/>
        </w:rPr>
        <w:t>目实</w:t>
      </w:r>
      <w:r>
        <w:rPr>
          <w:rFonts w:hint="default" w:ascii="Times New Roman" w:hAnsi="Times New Roman" w:eastAsia="方正仿宋_GBK" w:cs="Times New Roman"/>
          <w:b w:val="0"/>
          <w:color w:val="auto"/>
          <w:kern w:val="2"/>
          <w:sz w:val="30"/>
          <w:szCs w:val="30"/>
          <w:highlight w:val="none"/>
          <w:lang w:val="en-US" w:eastAsia="zh-CN" w:bidi="ar-SA"/>
        </w:rPr>
        <w:t>施情况进行的评价。</w:t>
      </w:r>
      <w:bookmarkEnd w:id="33"/>
      <w:bookmarkEnd w:id="34"/>
      <w:bookmarkStart w:id="35" w:name="_Toc31374"/>
      <w:bookmarkStart w:id="36" w:name="_Toc3047"/>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37" w:name="_Toc13287"/>
      <w:r>
        <w:rPr>
          <w:rFonts w:hint="eastAsia" w:asciiTheme="majorEastAsia" w:hAnsiTheme="majorEastAsia" w:eastAsiaTheme="majorEastAsia" w:cstheme="majorEastAsia"/>
          <w:b/>
          <w:bCs/>
          <w:sz w:val="30"/>
          <w:szCs w:val="30"/>
          <w:lang w:val="en-US" w:eastAsia="zh-CN"/>
        </w:rPr>
        <w:t>二、项目资金预算安排和使用情况</w:t>
      </w:r>
      <w:bookmarkEnd w:id="37"/>
    </w:p>
    <w:bookmarkEnd w:id="31"/>
    <w:bookmarkEnd w:id="32"/>
    <w:bookmarkEnd w:id="35"/>
    <w:bookmarkEnd w:id="36"/>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38" w:name="_Toc21956"/>
      <w:bookmarkStart w:id="39" w:name="_Toc21063"/>
      <w:bookmarkStart w:id="40" w:name="_Toc2175"/>
      <w:bookmarkStart w:id="41" w:name="_Toc19300"/>
      <w:bookmarkStart w:id="42" w:name="_Toc7963"/>
      <w:bookmarkStart w:id="43" w:name="_Toc31361"/>
      <w:bookmarkStart w:id="44" w:name="_Toc26094"/>
      <w:bookmarkStart w:id="45" w:name="_Toc29255"/>
      <w:bookmarkStart w:id="46" w:name="_Toc9451"/>
      <w:bookmarkStart w:id="47" w:name="_Toc31216"/>
      <w:bookmarkStart w:id="48" w:name="_Toc24442"/>
      <w:bookmarkStart w:id="49" w:name="_Toc20409"/>
      <w:bookmarkStart w:id="50" w:name="_Toc19319"/>
      <w:bookmarkStart w:id="51" w:name="_Toc26903"/>
      <w:bookmarkStart w:id="52" w:name="_Toc14208"/>
      <w:bookmarkStart w:id="53" w:name="_Toc29008"/>
      <w:bookmarkStart w:id="54" w:name="_Toc1375"/>
      <w:bookmarkStart w:id="55" w:name="_Toc19237"/>
      <w:bookmarkStart w:id="56" w:name="_Toc26741"/>
      <w:bookmarkStart w:id="57" w:name="_Toc17609"/>
      <w:bookmarkStart w:id="58" w:name="_Toc24129"/>
      <w:r>
        <w:rPr>
          <w:rFonts w:hint="eastAsia"/>
          <w:b/>
          <w:bCs/>
          <w:sz w:val="30"/>
          <w:szCs w:val="30"/>
          <w:lang w:val="en-US" w:eastAsia="zh-CN"/>
        </w:rPr>
        <w:t>（一）资金来源情况</w:t>
      </w:r>
      <w:bookmarkEnd w:id="38"/>
      <w:bookmarkEnd w:id="39"/>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59" w:name="_Toc13949"/>
      <w:bookmarkStart w:id="60" w:name="_Toc21684"/>
      <w:r>
        <w:rPr>
          <w:rFonts w:hint="eastAsia" w:ascii="Times New Roman" w:hAnsi="Times New Roman" w:eastAsia="方正仿宋_GBK" w:cs="Times New Roman"/>
          <w:color w:val="auto"/>
          <w:kern w:val="2"/>
          <w:sz w:val="30"/>
          <w:szCs w:val="30"/>
          <w:highlight w:val="none"/>
          <w:lang w:val="en-US" w:eastAsia="zh-CN" w:bidi="ar-SA"/>
        </w:rPr>
        <w:t>2022年8月4日，根据财政部《关于下达2022年保障性安居工程投资预算的通知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190号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《关于下达2022年保障性安居工程奖励项目中央基建投资预算的通知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228号</w:t>
      </w:r>
      <w:r>
        <w:rPr>
          <w:rFonts w:hint="eastAsia" w:ascii="Times New Roman" w:hAnsi="Times New Roman" w:eastAsia="方正仿宋_GB2312" w:cs="Times New Roman"/>
          <w:kern w:val="2"/>
          <w:sz w:val="30"/>
          <w:szCs w:val="30"/>
          <w:lang w:val="en-US" w:eastAsia="zh-CN" w:bidi="ar-SA"/>
        </w:rPr>
        <w:t>），按照</w:t>
      </w:r>
      <w:r>
        <w:rPr>
          <w:rFonts w:hint="eastAsia"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2312" w:cs="Times New Roman"/>
          <w:kern w:val="2"/>
          <w:sz w:val="30"/>
          <w:szCs w:val="30"/>
          <w:lang w:val="en-US" w:eastAsia="zh-CN" w:bidi="ar-SA"/>
        </w:rPr>
        <w:t>自治区财政厅关于下达保障性安居工程2022年第三批中央预算内投资计划的通知》</w:t>
      </w:r>
      <w:r>
        <w:rPr>
          <w:rFonts w:hint="eastAsia" w:ascii="Times New Roman" w:hAnsi="Times New Roman" w:eastAsia="方正仿宋_GBK" w:cs="Times New Roman"/>
          <w:color w:val="auto"/>
          <w:kern w:val="2"/>
          <w:sz w:val="30"/>
          <w:szCs w:val="30"/>
          <w:highlight w:val="none"/>
          <w:lang w:val="en-US" w:eastAsia="zh-CN" w:bidi="ar-SA"/>
        </w:rPr>
        <w:t>宁发改投资</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400号</w:t>
      </w:r>
      <w:r>
        <w:rPr>
          <w:rFonts w:hint="eastAsia" w:ascii="Times New Roman" w:hAnsi="Times New Roman" w:eastAsia="方正仿宋_GB2312" w:cs="Times New Roman"/>
          <w:kern w:val="2"/>
          <w:sz w:val="30"/>
          <w:szCs w:val="30"/>
          <w:lang w:val="en-US" w:eastAsia="zh-CN" w:bidi="ar-SA"/>
        </w:rPr>
        <w:t>）文件</w:t>
      </w:r>
      <w:r>
        <w:rPr>
          <w:rFonts w:hint="eastAsia" w:ascii="Times New Roman" w:hAnsi="Times New Roman" w:eastAsia="方正仿宋_GBK" w:cs="Times New Roman"/>
          <w:color w:val="auto"/>
          <w:kern w:val="2"/>
          <w:sz w:val="30"/>
          <w:szCs w:val="30"/>
          <w:highlight w:val="none"/>
          <w:lang w:val="en-US" w:eastAsia="zh-CN" w:bidi="ar-SA"/>
        </w:rPr>
        <w:t>要求，将项目资金落实到具体项目。</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jc w:val="both"/>
        <w:textAlignment w:val="auto"/>
        <w:rPr>
          <w:rFonts w:hint="eastAsia"/>
          <w:b/>
          <w:bCs/>
          <w:sz w:val="30"/>
          <w:szCs w:val="30"/>
          <w:lang w:val="en-US" w:eastAsia="zh-CN"/>
        </w:rPr>
      </w:pPr>
      <w:bookmarkStart w:id="61" w:name="_Toc13592"/>
      <w:bookmarkStart w:id="62" w:name="_Toc10483"/>
      <w:r>
        <w:rPr>
          <w:rFonts w:hint="eastAsia"/>
          <w:b/>
          <w:bCs/>
          <w:sz w:val="30"/>
          <w:szCs w:val="30"/>
          <w:lang w:val="en-US" w:eastAsia="zh-CN"/>
        </w:rPr>
        <w:t>（二）资金到位情况</w:t>
      </w:r>
      <w:bookmarkEnd w:id="61"/>
      <w:bookmarkEnd w:id="62"/>
    </w:p>
    <w:p>
      <w:pPr>
        <w:keepNext w:val="0"/>
        <w:keepLines w:val="0"/>
        <w:pageBreakBefore w:val="0"/>
        <w:widowControl/>
        <w:suppressLineNumbers w:val="0"/>
        <w:kinsoku/>
        <w:wordWrap/>
        <w:topLinePunct w:val="0"/>
        <w:autoSpaceDE/>
        <w:autoSpaceDN/>
        <w:bidi w:val="0"/>
        <w:jc w:val="both"/>
        <w:textAlignment w:val="auto"/>
        <w:rPr>
          <w:rFonts w:hint="eastAsia" w:ascii="Times New Roman" w:hAnsi="Times New Roman" w:eastAsia="方正仿宋_GB2312" w:cs="Times New Roman"/>
          <w:sz w:val="30"/>
          <w:szCs w:val="30"/>
          <w:lang w:val="en-US" w:eastAsia="zh-CN"/>
        </w:rPr>
      </w:pPr>
      <w:r>
        <w:rPr>
          <w:rFonts w:hint="eastAsia" w:ascii="Times New Roman" w:hAnsi="Times New Roman" w:eastAsia="方正仿宋_GB2312" w:cs="Times New Roman"/>
          <w:kern w:val="2"/>
          <w:sz w:val="30"/>
          <w:szCs w:val="30"/>
          <w:lang w:val="en-US" w:eastAsia="zh-CN" w:bidi="ar-SA"/>
        </w:rPr>
        <w:t>项目总投资为907.64万元，其中工程费839.64 万元，工程建设其他费用41.56万元，预备费 26.44 万元。2022 年共落实同心县 2022 年老旧小区改造配套基础设施－文化北街给排水管道更新工程上级专项补助资金483.00万元</w:t>
      </w:r>
      <w:r>
        <w:rPr>
          <w:rFonts w:hint="eastAsia" w:ascii="Times New Roman" w:hAnsi="Times New Roman" w:eastAsia="方正仿宋_GB2312" w:cs="Times New Roman"/>
          <w:sz w:val="30"/>
          <w:szCs w:val="30"/>
          <w:lang w:val="en-US" w:eastAsia="zh-CN"/>
        </w:rPr>
        <w:t>。资金落实到位率 100%。</w:t>
      </w:r>
    </w:p>
    <w:p>
      <w:pPr>
        <w:keepNext w:val="0"/>
        <w:keepLines w:val="0"/>
        <w:pageBreakBefore w:val="0"/>
        <w:widowControl/>
        <w:suppressLineNumbers w:val="0"/>
        <w:kinsoku/>
        <w:wordWrap/>
        <w:topLinePunct w:val="0"/>
        <w:autoSpaceDE/>
        <w:autoSpaceDN/>
        <w:bidi w:val="0"/>
        <w:jc w:val="both"/>
        <w:textAlignment w:val="auto"/>
        <w:rPr>
          <w:rFonts w:hint="default"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截至评价时点，实际到位资金483.00万元，资金到位率100%，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2312" w:cs="Times New Roman"/>
          <w:sz w:val="30"/>
          <w:szCs w:val="30"/>
          <w:lang w:val="en-US" w:eastAsia="zh-CN"/>
        </w:rPr>
        <w:t>。</w:t>
      </w:r>
    </w:p>
    <w:p>
      <w:pPr>
        <w:pStyle w:val="4"/>
        <w:pageBreakBefore w:val="0"/>
        <w:kinsoku/>
        <w:wordWrap/>
        <w:topLinePunct w:val="0"/>
        <w:autoSpaceDE/>
        <w:autoSpaceDN/>
        <w:bidi w:val="0"/>
        <w:spacing w:beforeLines="0" w:afterLines="0"/>
        <w:jc w:val="both"/>
        <w:textAlignment w:val="auto"/>
        <w:rPr>
          <w:rFonts w:hint="default"/>
          <w:lang w:val="en-US" w:eastAsia="zh-CN"/>
        </w:rPr>
      </w:pPr>
      <w:bookmarkStart w:id="63" w:name="_Toc28864"/>
      <w:bookmarkStart w:id="64" w:name="_Toc3804"/>
      <w:r>
        <w:rPr>
          <w:rFonts w:hint="eastAsia"/>
          <w:lang w:val="en-US" w:eastAsia="zh-CN"/>
        </w:rPr>
        <w:t>（三）资金管理情况</w:t>
      </w:r>
      <w:bookmarkEnd w:id="63"/>
      <w:bookmarkEnd w:id="64"/>
    </w:p>
    <w:p>
      <w:pPr>
        <w:keepNext w:val="0"/>
        <w:keepLines w:val="0"/>
        <w:pageBreakBefore w:val="0"/>
        <w:widowControl w:val="0"/>
        <w:kinsoku/>
        <w:wordWrap/>
        <w:overflowPunct w:val="0"/>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w:t>
      </w:r>
      <w:r>
        <w:rPr>
          <w:rFonts w:hint="eastAsia" w:ascii="Times New Roman" w:hAnsi="Times New Roman" w:eastAsia="方正仿宋_GB2312" w:cs="Times New Roman"/>
          <w:kern w:val="2"/>
          <w:sz w:val="30"/>
          <w:szCs w:val="30"/>
          <w:lang w:val="en-US" w:eastAsia="zh-CN" w:bidi="ar-SA"/>
        </w:rPr>
        <w:t>中央预算内投资补助和贴息项目管理办法》（第45号令），同心县住房和城乡建设局</w:t>
      </w:r>
      <w:r>
        <w:rPr>
          <w:rFonts w:hint="eastAsia" w:ascii="Times New Roman" w:hAnsi="Times New Roman" w:eastAsia="方正仿宋_GBK" w:cs="Times New Roman"/>
          <w:color w:val="auto"/>
          <w:kern w:val="2"/>
          <w:sz w:val="30"/>
          <w:szCs w:val="30"/>
          <w:highlight w:val="none"/>
          <w:lang w:val="en-US" w:eastAsia="zh-CN" w:bidi="ar-SA"/>
        </w:rPr>
        <w:t>并结合项目方案的要求，对项目资金进行管理和实施监督检查，每笔资金在拨付使用过程中均能够严格执行各项管理制度。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专项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p>
      <w:pPr>
        <w:pStyle w:val="4"/>
        <w:pageBreakBefore w:val="0"/>
        <w:kinsoku/>
        <w:wordWrap/>
        <w:topLinePunct w:val="0"/>
        <w:autoSpaceDE/>
        <w:autoSpaceDN/>
        <w:bidi w:val="0"/>
        <w:spacing w:beforeLines="0" w:afterLines="0"/>
        <w:jc w:val="both"/>
        <w:textAlignment w:val="auto"/>
        <w:rPr>
          <w:rFonts w:hint="default"/>
          <w:lang w:val="en-US" w:eastAsia="zh-CN"/>
        </w:rPr>
      </w:pPr>
      <w:bookmarkStart w:id="65" w:name="_Toc6553"/>
      <w:bookmarkStart w:id="66" w:name="_Toc21050"/>
      <w:r>
        <w:rPr>
          <w:rFonts w:hint="eastAsia"/>
          <w:lang w:val="en-US" w:eastAsia="zh-CN"/>
        </w:rPr>
        <w:t>（四）资金使用情况</w:t>
      </w:r>
      <w:bookmarkEnd w:id="65"/>
      <w:bookmarkEnd w:id="66"/>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2312" w:cs="Times New Roman"/>
          <w:kern w:val="2"/>
          <w:sz w:val="30"/>
          <w:szCs w:val="30"/>
          <w:lang w:val="en-US" w:eastAsia="zh-CN" w:bidi="ar-SA"/>
        </w:rPr>
        <w:t>同心县2022 年老旧小区改造配套基础设施－文化北街给排水管道更新工程</w:t>
      </w:r>
      <w:r>
        <w:rPr>
          <w:rFonts w:hint="eastAsia" w:ascii="Times New Roman" w:hAnsi="Times New Roman" w:eastAsia="方正仿宋_GBK" w:cs="Times New Roman"/>
          <w:color w:val="auto"/>
          <w:kern w:val="2"/>
          <w:sz w:val="30"/>
          <w:szCs w:val="30"/>
          <w:highlight w:val="none"/>
          <w:lang w:val="en-US" w:eastAsia="zh-CN" w:bidi="ar-SA"/>
        </w:rPr>
        <w:t>项目实际到位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2312" w:cs="Times New Roman"/>
          <w:sz w:val="30"/>
          <w:szCs w:val="30"/>
          <w:lang w:val="en-US" w:eastAsia="zh-CN"/>
        </w:rPr>
        <w:t>483.00</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483.00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2312" w:cs="Times New Roman"/>
          <w:sz w:val="30"/>
          <w:szCs w:val="30"/>
          <w:lang w:val="en-US" w:eastAsia="zh-CN"/>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方正仿宋_GBK" w:hAnsi="方正仿宋_GBK" w:eastAsia="方正仿宋_GBK" w:cs="方正仿宋_GBK"/>
          <w:kern w:val="44"/>
          <w:sz w:val="28"/>
          <w:szCs w:val="28"/>
          <w:lang w:eastAsia="zh-CN"/>
        </w:rPr>
        <w:t>。</w:t>
      </w:r>
      <w:bookmarkEnd w:id="59"/>
      <w:bookmarkEnd w:id="60"/>
      <w:bookmarkStart w:id="67" w:name="_Toc31342"/>
      <w:bookmarkStart w:id="68" w:name="_Toc2578"/>
    </w:p>
    <w:bookmarkEnd w:id="67"/>
    <w:bookmarkEnd w:id="68"/>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69" w:name="_Toc19546"/>
      <w:r>
        <w:rPr>
          <w:rFonts w:hint="eastAsia" w:asciiTheme="majorEastAsia" w:hAnsiTheme="majorEastAsia" w:eastAsiaTheme="majorEastAsia" w:cstheme="majorEastAsia"/>
          <w:b/>
          <w:bCs/>
          <w:sz w:val="30"/>
          <w:szCs w:val="30"/>
          <w:lang w:val="en-US" w:eastAsia="zh-CN"/>
        </w:rPr>
        <w:t>三、项目绩效</w:t>
      </w:r>
      <w:bookmarkEnd w:id="40"/>
      <w:bookmarkEnd w:id="41"/>
      <w:bookmarkEnd w:id="42"/>
      <w:bookmarkEnd w:id="43"/>
      <w:bookmarkEnd w:id="44"/>
      <w:bookmarkEnd w:id="45"/>
      <w:bookmarkEnd w:id="46"/>
      <w:bookmarkEnd w:id="47"/>
      <w:bookmarkEnd w:id="48"/>
      <w:bookmarkEnd w:id="49"/>
      <w:r>
        <w:rPr>
          <w:rFonts w:hint="eastAsia" w:asciiTheme="majorEastAsia" w:hAnsiTheme="majorEastAsia" w:eastAsiaTheme="majorEastAsia" w:cstheme="majorEastAsia"/>
          <w:b/>
          <w:bCs/>
          <w:sz w:val="30"/>
          <w:szCs w:val="30"/>
          <w:lang w:val="en-US" w:eastAsia="zh-CN"/>
        </w:rPr>
        <w:t>目标</w:t>
      </w:r>
      <w:bookmarkEnd w:id="69"/>
    </w:p>
    <w:p>
      <w:pPr>
        <w:pStyle w:val="4"/>
        <w:keepNext/>
        <w:keepLines/>
        <w:pageBreakBefore w:val="0"/>
        <w:widowControl/>
        <w:numPr>
          <w:ilvl w:val="-1"/>
          <w:numId w:val="0"/>
        </w:numPr>
        <w:kinsoku/>
        <w:wordWrap/>
        <w:overflowPunct w:val="0"/>
        <w:topLinePunct w:val="0"/>
        <w:autoSpaceDE/>
        <w:autoSpaceDN/>
        <w:bidi w:val="0"/>
        <w:adjustRightInd/>
        <w:snapToGrid w:val="0"/>
        <w:spacing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70" w:name="_Toc26304"/>
      <w:bookmarkStart w:id="71" w:name="_Toc23578"/>
      <w:bookmarkStart w:id="72" w:name="_Toc8204"/>
      <w:r>
        <w:rPr>
          <w:rFonts w:hint="eastAsia" w:ascii="方正楷体_GBK" w:hAnsi="方正楷体_GBK" w:eastAsia="方正楷体_GBK" w:cs="方正楷体_GBK"/>
          <w:sz w:val="30"/>
          <w:szCs w:val="30"/>
          <w:lang w:val="en-US" w:eastAsia="zh-CN"/>
        </w:rPr>
        <w:t>（一）绩效目标</w:t>
      </w:r>
      <w:bookmarkEnd w:id="70"/>
    </w:p>
    <w:bookmarkEnd w:id="71"/>
    <w:bookmarkEnd w:id="72"/>
    <w:p>
      <w:pPr>
        <w:pStyle w:val="2"/>
        <w:keepNext w:val="0"/>
        <w:keepLines w:val="0"/>
        <w:pageBreakBefore w:val="0"/>
        <w:widowControl w:val="0"/>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通过老旧小区配套基础设施改造有效解决老旧小区居住条件、创建舒适的居住环境，使小区居民的居住条件和生活品质得到提升，人民群众的获得感、幸福感和安全感显著增强。</w:t>
      </w:r>
      <w:bookmarkStart w:id="73" w:name="_Toc29105"/>
      <w:bookmarkStart w:id="74" w:name="_Toc6859"/>
    </w:p>
    <w:p>
      <w:pPr>
        <w:pStyle w:val="4"/>
        <w:numPr>
          <w:ilvl w:val="0"/>
          <w:numId w:val="4"/>
        </w:numPr>
        <w:bidi w:val="0"/>
        <w:rPr>
          <w:rFonts w:hint="eastAsia"/>
          <w:lang w:val="en-US" w:eastAsia="zh-CN"/>
        </w:rPr>
      </w:pPr>
      <w:bookmarkStart w:id="75" w:name="_Toc4080"/>
      <w:r>
        <w:rPr>
          <w:rFonts w:hint="eastAsia"/>
          <w:lang w:val="en-US" w:eastAsia="zh-CN"/>
        </w:rPr>
        <w:t>项目绩效</w:t>
      </w:r>
      <w:bookmarkEnd w:id="73"/>
      <w:bookmarkEnd w:id="74"/>
      <w:bookmarkStart w:id="76" w:name="_Toc13598"/>
      <w:bookmarkStart w:id="77" w:name="_Toc14067"/>
      <w:bookmarkStart w:id="78" w:name="_Toc11708"/>
      <w:r>
        <w:rPr>
          <w:rFonts w:hint="eastAsia"/>
          <w:lang w:val="en-US" w:eastAsia="zh-CN"/>
        </w:rPr>
        <w:t>目标</w:t>
      </w:r>
      <w:bookmarkEnd w:id="75"/>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通过前期实地调研，评价组与被评价单位进行充分、有效地沟通，依据项目的功能特性，明确项目在一定时期内的总体产出和效果，以定性和定量的方式确定所要实现的目标，明确了总体绩效目标。具体情况如下表：</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lang w:val="en-US" w:eastAsia="zh-CN"/>
        </w:rPr>
      </w:pPr>
      <w:r>
        <w:rPr>
          <w:rFonts w:hint="eastAsia" w:ascii="Times New Roman" w:hAnsi="Times New Roman" w:eastAsia="方正仿宋_GBK" w:cs="Times New Roman"/>
          <w:b w:val="0"/>
          <w:bCs w:val="0"/>
          <w:color w:val="auto"/>
          <w:kern w:val="2"/>
          <w:sz w:val="30"/>
          <w:szCs w:val="30"/>
          <w:highlight w:val="none"/>
          <w:lang w:val="en-US" w:eastAsia="zh-CN" w:bidi="ar-SA"/>
        </w:rPr>
        <w:t>项目绩效目标完成表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06"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2022年老旧小区改造配套基础设施－文化街给排水管道更新工程建设项目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同心县住房和城乡建设局</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483.00.万元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实施的新建项目全部按期开工建设并保质保量完成；</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left"/>
              <w:textAlignment w:val="auto"/>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sz w:val="21"/>
                <w:szCs w:val="21"/>
                <w:u w:val="none"/>
                <w:lang w:val="en-US" w:eastAsia="zh-CN"/>
              </w:rPr>
              <w:t>通过项目的实施，一系列改造举措让老旧小区焕发了新的容颜，小区生活环境的逐步改变，也给小区居民带来了更多的安全感、获得感和幸福感。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新建项目完成率</w:t>
            </w:r>
          </w:p>
        </w:tc>
        <w:tc>
          <w:tcPr>
            <w:tcW w:w="120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财务决算审核完成及时率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088"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有效改善居民居住环境</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长效管理机制健全性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≥95%</w:t>
            </w:r>
          </w:p>
        </w:tc>
      </w:tr>
      <w:bookmarkEnd w:id="76"/>
      <w:bookmarkEnd w:id="77"/>
      <w:bookmarkEnd w:id="78"/>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79" w:name="_Toc12031"/>
      <w:bookmarkStart w:id="80" w:name="_Toc2876"/>
      <w:bookmarkStart w:id="81" w:name="_Toc13100"/>
      <w:r>
        <w:rPr>
          <w:rFonts w:hint="eastAsia" w:asciiTheme="majorEastAsia" w:hAnsiTheme="majorEastAsia" w:eastAsiaTheme="majorEastAsia" w:cstheme="majorEastAsia"/>
          <w:b/>
          <w:bCs/>
          <w:sz w:val="30"/>
          <w:szCs w:val="30"/>
          <w:lang w:val="en-US" w:eastAsia="zh-CN"/>
        </w:rPr>
        <w:t>四、绩效评价工作开展情况</w:t>
      </w:r>
      <w:bookmarkEnd w:id="79"/>
      <w:bookmarkEnd w:id="80"/>
      <w:bookmarkEnd w:id="81"/>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2" w:name="_Toc5441"/>
      <w:bookmarkStart w:id="83" w:name="_Toc30230"/>
      <w:bookmarkStart w:id="84" w:name="_Toc23289"/>
      <w:r>
        <w:rPr>
          <w:rFonts w:hint="eastAsia" w:ascii="方正楷体_GBK" w:hAnsi="方正楷体_GBK" w:eastAsia="方正楷体_GBK" w:cs="方正楷体_GBK"/>
          <w:b/>
          <w:bCs/>
          <w:sz w:val="30"/>
          <w:szCs w:val="30"/>
          <w:lang w:val="en-US" w:eastAsia="zh-CN"/>
        </w:rPr>
        <w:t>（一）绩效评价目的</w:t>
      </w:r>
      <w:bookmarkEnd w:id="82"/>
      <w:bookmarkEnd w:id="83"/>
      <w:bookmarkEnd w:id="84"/>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1.</w:t>
      </w:r>
      <w:r>
        <w:rPr>
          <w:rFonts w:hint="default" w:ascii="Times New Roman" w:hAnsi="Times New Roman" w:eastAsia="方正仿宋_GBK" w:cs="Times New Roman"/>
          <w:sz w:val="30"/>
          <w:szCs w:val="30"/>
          <w:lang w:val="en-US" w:eastAsia="zh-CN"/>
        </w:rPr>
        <w:t>通过绩效评价，对预算资金的投入、过程、产出、效果四个方面进行绩效评价，反映项目规范性、绩效目标设立的合理性和科学性、资金到位、支出情况，形成真实完整数据准确、分析透彻、逻辑清晰、客观公正的绩效评价结论为项目后续资金投入、分配和管理提供决策依据</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同时作为以后年度</w:t>
      </w:r>
      <w:r>
        <w:rPr>
          <w:rFonts w:hint="eastAsia" w:ascii="Times New Roman" w:hAnsi="Times New Roman" w:eastAsia="方正仿宋_GBK" w:cs="Times New Roman"/>
          <w:sz w:val="30"/>
          <w:szCs w:val="30"/>
          <w:lang w:val="en-US" w:eastAsia="zh-CN"/>
        </w:rPr>
        <w:t>同心县</w:t>
      </w:r>
      <w:r>
        <w:rPr>
          <w:rFonts w:hint="default" w:ascii="Times New Roman" w:hAnsi="Times New Roman" w:eastAsia="方正仿宋_GBK" w:cs="Times New Roman"/>
          <w:sz w:val="30"/>
          <w:szCs w:val="30"/>
          <w:lang w:val="en-US" w:eastAsia="zh-CN"/>
        </w:rPr>
        <w:t>编制预算和安排财政项目资金的重要依据逐步树立以结果为导向、讲求绩效的观念。</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sz w:val="30"/>
          <w:szCs w:val="30"/>
          <w:lang w:val="en-US" w:eastAsia="zh-CN"/>
        </w:rPr>
        <w:t>通过绩效评价，考察</w:t>
      </w:r>
      <w:r>
        <w:rPr>
          <w:rFonts w:hint="eastAsia" w:ascii="Times New Roman" w:hAnsi="Times New Roman" w:eastAsia="方正仿宋_GBK" w:cs="Times New Roman"/>
          <w:b w:val="0"/>
          <w:color w:val="auto"/>
          <w:kern w:val="2"/>
          <w:sz w:val="30"/>
          <w:szCs w:val="30"/>
          <w:highlight w:val="none"/>
          <w:lang w:val="en-US" w:eastAsia="zh-CN" w:bidi="ar-SA"/>
        </w:rPr>
        <w:t>2022年老旧小区改造配套基础设施－文化街给排水管道更新工程建设项目</w:t>
      </w:r>
      <w:r>
        <w:rPr>
          <w:rFonts w:hint="default" w:ascii="Times New Roman" w:hAnsi="Times New Roman" w:eastAsia="方正仿宋_GBK" w:cs="Times New Roman"/>
          <w:sz w:val="30"/>
          <w:szCs w:val="30"/>
          <w:lang w:val="en-US" w:eastAsia="zh-CN"/>
        </w:rPr>
        <w:t>资金使用的安全性、规范性和效益性。通过评价、总结项目实施的做法、经验和教训，提出改进措施和建设性意见，为项目绩效管理提供决策参考及政策制定依据。</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3.</w:t>
      </w:r>
      <w:r>
        <w:rPr>
          <w:rFonts w:hint="default" w:ascii="Times New Roman" w:hAnsi="Times New Roman" w:eastAsia="方正仿宋_GBK" w:cs="Times New Roman"/>
          <w:b w:val="0"/>
          <w:kern w:val="2"/>
          <w:sz w:val="30"/>
          <w:szCs w:val="30"/>
          <w:lang w:val="en-US" w:eastAsia="zh-CN" w:bidi="ar-SA"/>
        </w:rPr>
        <w:t>通过绩效评价，能够让各级工作人员认识到发挥项目资金效益的重要性，强化工作职责，能够更清晰地界定工作的内容与其需要达到的标准</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能够让工作人员清楚认识到各自的问题和不足，激励加强项目管理、资金管理、绩效评价理论学习和实践活动，提高工作效率。同时也可在实践中检验绩效评价工作的针对性和可操作性，推动绩效评价的制度体系建设。</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5" w:name="_Toc21266"/>
      <w:r>
        <w:rPr>
          <w:rFonts w:hint="eastAsia" w:ascii="方正楷体_GBK" w:hAnsi="方正楷体_GBK" w:eastAsia="方正楷体_GBK" w:cs="方正楷体_GBK"/>
          <w:b/>
          <w:bCs/>
          <w:sz w:val="30"/>
          <w:szCs w:val="30"/>
          <w:lang w:val="en-US" w:eastAsia="zh-CN"/>
        </w:rPr>
        <w:t>（二）绩效评价对象</w:t>
      </w:r>
      <w:bookmarkEnd w:id="85"/>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 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同心县2022年老旧小区改造配套基础设施－文化街给排水管道更新工程建设项目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6" w:name="_Toc22306"/>
      <w:bookmarkStart w:id="87" w:name="_Toc4083"/>
      <w:bookmarkStart w:id="88" w:name="_Toc22702"/>
      <w:r>
        <w:rPr>
          <w:rFonts w:hint="eastAsia" w:ascii="方正楷体_GBK" w:hAnsi="方正楷体_GBK" w:eastAsia="方正楷体_GBK" w:cs="方正楷体_GBK"/>
          <w:b/>
          <w:bCs/>
          <w:sz w:val="30"/>
          <w:szCs w:val="30"/>
          <w:lang w:val="en-US" w:eastAsia="zh-CN"/>
        </w:rPr>
        <w:t>（三）评价依据</w:t>
      </w:r>
      <w:bookmarkEnd w:id="86"/>
      <w:bookmarkEnd w:id="87"/>
      <w:bookmarkEnd w:id="88"/>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9.</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sz w:val="30"/>
          <w:szCs w:val="30"/>
          <w:lang w:val="en-US" w:eastAsia="zh-CN"/>
        </w:rPr>
        <w:t>同心县2022年老旧小区改造配套基础设施－文化街给排水管道更新工程建设项目</w:t>
      </w:r>
      <w:r>
        <w:rPr>
          <w:rFonts w:hint="eastAsia" w:ascii="Times New Roman" w:hAnsi="Times New Roman" w:eastAsia="方正仿宋_GB2312" w:cs="Times New Roman"/>
          <w:kern w:val="2"/>
          <w:sz w:val="30"/>
          <w:szCs w:val="30"/>
          <w:lang w:val="en-US" w:eastAsia="zh-CN" w:bidi="ar-SA"/>
        </w:rPr>
        <w:t>初步设计的批复》</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同发改委</w:t>
      </w:r>
      <w:r>
        <w:rPr>
          <w:rFonts w:hint="default" w:ascii="Times New Roman" w:hAnsi="Times New Roman" w:eastAsia="方正仿宋_GBK" w:cs="Times New Roman"/>
          <w:kern w:val="2"/>
          <w:sz w:val="30"/>
          <w:szCs w:val="30"/>
          <w:lang w:val="en-US" w:eastAsia="zh-CN" w:bidi="ar-SA"/>
        </w:rPr>
        <w:t>〔202</w:t>
      </w:r>
      <w:r>
        <w:rPr>
          <w:rFonts w:hint="eastAsia" w:ascii="Times New Roman" w:hAnsi="Times New Roman" w:eastAsia="方正仿宋_GBK" w:cs="Times New Roman"/>
          <w:kern w:val="2"/>
          <w:sz w:val="30"/>
          <w:szCs w:val="30"/>
          <w:lang w:val="en-US" w:eastAsia="zh-CN" w:bidi="ar-SA"/>
        </w:rPr>
        <w:t>2</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101</w:t>
      </w:r>
      <w:r>
        <w:rPr>
          <w:rFonts w:hint="default" w:ascii="Times New Roman" w:hAnsi="Times New Roman" w:eastAsia="方正仿宋_GBK" w:cs="Times New Roman"/>
          <w:kern w:val="2"/>
          <w:sz w:val="30"/>
          <w:szCs w:val="30"/>
          <w:lang w:val="en-US" w:eastAsia="zh-CN" w:bidi="ar-SA"/>
        </w:rPr>
        <w:t>号）</w:t>
      </w:r>
    </w:p>
    <w:p>
      <w:pPr>
        <w:topLinePunct/>
        <w:spacing w:line="560" w:lineRule="exact"/>
        <w:ind w:firstLine="592" w:firstLineChars="200"/>
        <w:outlineLvl w:val="0"/>
        <w:rPr>
          <w:rFonts w:hint="eastAsia" w:ascii="Times New Roman" w:hAnsi="Times New Roman" w:eastAsia="方正仿宋_GB2312" w:cs="Times New Roman"/>
          <w:kern w:val="2"/>
          <w:sz w:val="30"/>
          <w:szCs w:val="30"/>
          <w:lang w:val="en-US" w:eastAsia="zh-CN" w:bidi="ar-SA"/>
        </w:rPr>
      </w:pPr>
      <w:bookmarkStart w:id="89" w:name="_Toc12022"/>
      <w:bookmarkStart w:id="90" w:name="_Toc5462"/>
      <w:r>
        <w:rPr>
          <w:rFonts w:hint="eastAsia" w:ascii="Times New Roman" w:hAnsi="Times New Roman" w:eastAsia="方正仿宋_GBK" w:cs="Times New Roman"/>
          <w:color w:val="auto"/>
          <w:kern w:val="2"/>
          <w:sz w:val="30"/>
          <w:szCs w:val="30"/>
          <w:highlight w:val="none"/>
          <w:lang w:val="en-US" w:eastAsia="zh-CN" w:bidi="ar-SA"/>
        </w:rPr>
        <w:t>10.</w:t>
      </w:r>
      <w:bookmarkEnd w:id="89"/>
      <w:r>
        <w:rPr>
          <w:rFonts w:hint="eastAsia" w:ascii="Times New Roman" w:hAnsi="Times New Roman" w:eastAsia="方正仿宋_GBK" w:cs="Times New Roman"/>
          <w:color w:val="auto"/>
          <w:kern w:val="2"/>
          <w:sz w:val="30"/>
          <w:szCs w:val="30"/>
          <w:highlight w:val="none"/>
          <w:lang w:val="en-US" w:eastAsia="zh-CN" w:bidi="ar-SA"/>
        </w:rPr>
        <w:t>《关于下达2022年保障性安居工程投资预算的通知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190号</w:t>
      </w:r>
      <w:r>
        <w:rPr>
          <w:rFonts w:hint="eastAsia" w:ascii="Times New Roman" w:hAnsi="Times New Roman" w:eastAsia="方正仿宋_GB2312" w:cs="Times New Roman"/>
          <w:kern w:val="2"/>
          <w:sz w:val="30"/>
          <w:szCs w:val="30"/>
          <w:lang w:val="en-US" w:eastAsia="zh-CN" w:bidi="ar-SA"/>
        </w:rPr>
        <w:t>）</w:t>
      </w:r>
      <w:bookmarkEnd w:id="90"/>
    </w:p>
    <w:p>
      <w:pPr>
        <w:topLinePunct/>
        <w:spacing w:line="560" w:lineRule="exact"/>
        <w:ind w:firstLine="592" w:firstLineChars="200"/>
        <w:outlineLvl w:val="0"/>
        <w:rPr>
          <w:rFonts w:hint="eastAsia" w:ascii="Times New Roman" w:hAnsi="Times New Roman" w:eastAsia="方正仿宋_GB2312" w:cs="Times New Roman"/>
          <w:kern w:val="2"/>
          <w:sz w:val="30"/>
          <w:szCs w:val="30"/>
          <w:lang w:val="en-US" w:eastAsia="zh-CN" w:bidi="ar-SA"/>
        </w:rPr>
      </w:pPr>
      <w:bookmarkStart w:id="91" w:name="_Toc12992"/>
      <w:r>
        <w:rPr>
          <w:rFonts w:hint="eastAsia" w:ascii="Times New Roman" w:hAnsi="Times New Roman" w:eastAsia="方正仿宋_GB2312" w:cs="Times New Roman"/>
          <w:kern w:val="2"/>
          <w:sz w:val="30"/>
          <w:szCs w:val="30"/>
          <w:lang w:val="en-US" w:eastAsia="zh-CN" w:bidi="ar-SA"/>
        </w:rPr>
        <w:t>11.</w:t>
      </w:r>
      <w:r>
        <w:rPr>
          <w:rFonts w:hint="eastAsia" w:ascii="Times New Roman" w:hAnsi="Times New Roman" w:eastAsia="方正仿宋_GBK" w:cs="Times New Roman"/>
          <w:color w:val="auto"/>
          <w:kern w:val="2"/>
          <w:sz w:val="30"/>
          <w:szCs w:val="30"/>
          <w:highlight w:val="none"/>
          <w:lang w:val="en-US" w:eastAsia="zh-CN" w:bidi="ar-SA"/>
        </w:rPr>
        <w:t>《关于下达2022年保障性安居工程奖励项目中央基建投资预算的通知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228号</w:t>
      </w:r>
      <w:r>
        <w:rPr>
          <w:rFonts w:hint="eastAsia" w:ascii="Times New Roman" w:hAnsi="Times New Roman" w:eastAsia="方正仿宋_GB2312" w:cs="Times New Roman"/>
          <w:kern w:val="2"/>
          <w:sz w:val="30"/>
          <w:szCs w:val="30"/>
          <w:lang w:val="en-US" w:eastAsia="zh-CN" w:bidi="ar-SA"/>
        </w:rPr>
        <w:t>）</w:t>
      </w:r>
      <w:bookmarkEnd w:id="91"/>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92" w:name="_Toc27877"/>
      <w:r>
        <w:rPr>
          <w:rFonts w:hint="eastAsia" w:ascii="Times New Roman" w:hAnsi="Times New Roman" w:eastAsia="方正仿宋_GB2312" w:cs="Times New Roman"/>
          <w:kern w:val="2"/>
          <w:sz w:val="30"/>
          <w:szCs w:val="30"/>
          <w:lang w:val="en-US" w:eastAsia="zh-CN" w:bidi="ar-SA"/>
        </w:rPr>
        <w:t>12.（自治区发展改革委 自治区住房城乡建设厅关于下达保障性住房安居工程2022年第三批中央预算内投资计划的通知）</w:t>
      </w:r>
      <w:r>
        <w:rPr>
          <w:rFonts w:hint="eastAsia" w:ascii="Times New Roman" w:hAnsi="Times New Roman" w:eastAsia="方正仿宋_GBK" w:cs="Times New Roman"/>
          <w:color w:val="auto"/>
          <w:kern w:val="2"/>
          <w:sz w:val="30"/>
          <w:szCs w:val="30"/>
          <w:highlight w:val="none"/>
          <w:lang w:val="en-US" w:eastAsia="zh-CN" w:bidi="ar-SA"/>
        </w:rPr>
        <w:t>宁发改投资</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543号</w:t>
      </w:r>
      <w:r>
        <w:rPr>
          <w:rFonts w:hint="eastAsia" w:ascii="Times New Roman" w:hAnsi="Times New Roman" w:eastAsia="方正仿宋_GB2312" w:cs="Times New Roman"/>
          <w:kern w:val="2"/>
          <w:sz w:val="30"/>
          <w:szCs w:val="30"/>
          <w:lang w:val="en-US" w:eastAsia="zh-CN" w:bidi="ar-SA"/>
        </w:rPr>
        <w:t>）</w:t>
      </w:r>
      <w:bookmarkEnd w:id="92"/>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13.相关行业政策、行业标准及专业技术规范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14.项目单位反映项目管理的有关资料，项目安排计划、资金拨付支出相关文件和凭证资料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15.其他与本项目相关资料。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3" w:name="_Toc17802"/>
      <w:bookmarkStart w:id="94" w:name="_Toc30714"/>
      <w:bookmarkStart w:id="95" w:name="_Toc8570"/>
      <w:r>
        <w:rPr>
          <w:rFonts w:hint="eastAsia" w:ascii="方正楷体_GBK" w:hAnsi="方正楷体_GBK" w:eastAsia="方正楷体_GBK" w:cs="方正楷体_GBK"/>
          <w:b/>
          <w:bCs/>
          <w:sz w:val="30"/>
          <w:szCs w:val="30"/>
          <w:lang w:val="en-US" w:eastAsia="zh-CN"/>
        </w:rPr>
        <w:t>（四）评价原则</w:t>
      </w:r>
      <w:bookmarkEnd w:id="93"/>
      <w:bookmarkEnd w:id="94"/>
      <w:bookmarkEnd w:id="95"/>
    </w:p>
    <w:p>
      <w:pPr>
        <w:rPr>
          <w:rFonts w:hint="default" w:ascii="Times New Roman" w:hAnsi="Times New Roman" w:eastAsia="方正仿宋_GBK" w:cs="Times New Roman"/>
          <w:b w:val="0"/>
          <w:bCs w:val="0"/>
          <w:kern w:val="0"/>
          <w:sz w:val="30"/>
          <w:szCs w:val="30"/>
          <w:lang w:val="en-US" w:eastAsia="zh-CN" w:bidi="zh-CN"/>
        </w:rPr>
      </w:pPr>
      <w:bookmarkStart w:id="96" w:name="_Toc23108"/>
      <w:bookmarkStart w:id="97" w:name="_Toc14020"/>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遵循</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同心县老旧小区改造规划方案暨五年实施方案</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规定，按照《财政部关于委托第三方机构参与预算绩效管理的指导意见》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(2021) 6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《自治区财政厅预算绩效一体化管理暂行办法》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8" w:name="_Toc6179"/>
      <w:r>
        <w:rPr>
          <w:rFonts w:hint="eastAsia" w:ascii="方正楷体_GBK" w:hAnsi="方正楷体_GBK" w:eastAsia="方正楷体_GBK" w:cs="方正楷体_GBK"/>
          <w:b/>
          <w:bCs/>
          <w:sz w:val="30"/>
          <w:szCs w:val="30"/>
          <w:lang w:val="en-US" w:eastAsia="zh-CN"/>
        </w:rPr>
        <w:t>（五）评价标准</w:t>
      </w:r>
      <w:bookmarkEnd w:id="98"/>
    </w:p>
    <w:p>
      <w:pPr>
        <w:topLinePunct/>
        <w:spacing w:line="560" w:lineRule="exact"/>
        <w:ind w:firstLine="592" w:firstLineChars="200"/>
        <w:outlineLvl w:val="0"/>
        <w:rPr>
          <w:rFonts w:hint="default" w:ascii="Times New Roman" w:hAnsi="Times New Roman" w:eastAsia="方正仿宋_GBK" w:cs="Times New Roman"/>
          <w:b w:val="0"/>
          <w:bCs w:val="0"/>
          <w:kern w:val="0"/>
          <w:sz w:val="30"/>
          <w:szCs w:val="30"/>
          <w:lang w:val="en-US" w:eastAsia="zh-CN" w:bidi="zh-CN"/>
        </w:rPr>
      </w:pPr>
      <w:bookmarkStart w:id="99" w:name="_Toc27039"/>
      <w:bookmarkStart w:id="100" w:name="_Toc19737"/>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99"/>
      <w:bookmarkEnd w:id="100"/>
    </w:p>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color w:val="auto"/>
          <w:sz w:val="30"/>
          <w:szCs w:val="30"/>
        </w:rPr>
      </w:pPr>
      <w:bookmarkStart w:id="101" w:name="_Toc15537"/>
      <w:r>
        <w:rPr>
          <w:rFonts w:hint="eastAsia" w:ascii="方正楷体_GBK" w:hAnsi="方正楷体_GBK" w:eastAsia="方正楷体_GBK" w:cs="方正楷体_GBK"/>
          <w:color w:val="auto"/>
          <w:sz w:val="30"/>
          <w:szCs w:val="30"/>
        </w:rPr>
        <w:t>（</w:t>
      </w:r>
      <w:r>
        <w:rPr>
          <w:rFonts w:hint="eastAsia" w:ascii="方正楷体_GBK" w:hAnsi="方正楷体_GBK" w:eastAsia="方正楷体_GBK" w:cs="方正楷体_GBK"/>
          <w:color w:val="auto"/>
          <w:sz w:val="30"/>
          <w:szCs w:val="30"/>
          <w:lang w:eastAsia="zh-CN"/>
        </w:rPr>
        <w:t>六</w:t>
      </w:r>
      <w:r>
        <w:rPr>
          <w:rFonts w:hint="eastAsia" w:ascii="方正楷体_GBK" w:hAnsi="方正楷体_GBK" w:eastAsia="方正楷体_GBK" w:cs="方正楷体_GBK"/>
          <w:color w:val="auto"/>
          <w:sz w:val="30"/>
          <w:szCs w:val="30"/>
        </w:rPr>
        <w:t>）评价指标体系</w:t>
      </w:r>
      <w:bookmarkEnd w:id="96"/>
      <w:bookmarkEnd w:id="97"/>
      <w:bookmarkEnd w:id="101"/>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bookmarkStart w:id="102" w:name="_Toc3585"/>
      <w:bookmarkStart w:id="103" w:name="_Toc31420"/>
      <w:r>
        <w:rPr>
          <w:rFonts w:hint="eastAsia" w:ascii="Times New Roman" w:hAnsi="Times New Roman" w:eastAsia="方正仿宋_GBK" w:cs="Times New Roman"/>
          <w:b w:val="0"/>
          <w:bCs w:val="0"/>
          <w:kern w:val="0"/>
          <w:sz w:val="30"/>
          <w:szCs w:val="30"/>
          <w:lang w:val="en-US" w:eastAsia="zh-CN" w:bidi="zh-CN"/>
        </w:rPr>
        <w:t>同心县2022年老旧小区改造配套基础设施－文化街给排水管道更新工程建设项目，根据《项目支出绩效评价管理办法》（财预〔2020〕10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个一级指标构成，对应分解并设置 12 个二级指标、23 个三级指标。</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效益类指标包括项目社会效益、可持续影响和满意度3个二级指标，同时对应分解并选择设置提升改善基础设施环境、机制维护健全性和受益对象满意度4个三级指标进行考察评判。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104" w:name="_Toc5272"/>
      <w:bookmarkStart w:id="105" w:name="_Toc11592"/>
      <w:bookmarkStart w:id="106" w:name="_Toc13700"/>
      <w:bookmarkStart w:id="107" w:name="_Toc18428"/>
      <w:bookmarkStart w:id="108" w:name="_Toc3290"/>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104"/>
      <w:bookmarkEnd w:id="105"/>
      <w:bookmarkEnd w:id="106"/>
      <w:bookmarkEnd w:id="107"/>
      <w:bookmarkEnd w:id="108"/>
    </w:p>
    <w:tbl>
      <w:tblPr>
        <w:tblStyle w:val="21"/>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bCs/>
                <w:color w:val="auto"/>
                <w:kern w:val="0"/>
                <w:sz w:val="28"/>
                <w:szCs w:val="28"/>
                <w:lang w:val="en-US" w:eastAsia="zh-CN" w:bidi="zh-CN"/>
              </w:rPr>
            </w:pPr>
            <w:r>
              <w:rPr>
                <w:rFonts w:hint="default" w:ascii="Times New Roman" w:hAnsi="Times New Roman" w:cs="Times New Roman"/>
                <w:b/>
                <w:bCs/>
                <w:color w:val="auto"/>
                <w:kern w:val="0"/>
                <w:sz w:val="28"/>
                <w:szCs w:val="28"/>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bCs/>
                <w:color w:val="auto"/>
                <w:kern w:val="0"/>
                <w:sz w:val="28"/>
                <w:szCs w:val="28"/>
                <w:lang w:val="en-US" w:eastAsia="zh-CN" w:bidi="zh-CN"/>
              </w:rPr>
            </w:pPr>
            <w:r>
              <w:rPr>
                <w:rFonts w:hint="default" w:ascii="Times New Roman" w:hAnsi="Times New Roman" w:cs="Times New Roman"/>
                <w:b/>
                <w:bCs/>
                <w:color w:val="auto"/>
                <w:kern w:val="0"/>
                <w:sz w:val="28"/>
                <w:szCs w:val="28"/>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90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80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差</w:t>
            </w:r>
          </w:p>
        </w:tc>
      </w:tr>
    </w:tbl>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bookmarkStart w:id="109" w:name="_Toc25212"/>
      <w:r>
        <w:rPr>
          <w:rFonts w:hint="eastAsia" w:ascii="方正楷体_GBK" w:hAnsi="方正楷体_GBK" w:eastAsia="方正楷体_GBK" w:cs="方正楷体_GBK"/>
          <w:color w:val="auto"/>
          <w:sz w:val="30"/>
          <w:szCs w:val="30"/>
          <w:lang w:eastAsia="zh-CN"/>
        </w:rPr>
        <w:t>（七）</w:t>
      </w:r>
      <w:r>
        <w:rPr>
          <w:rFonts w:hint="eastAsia" w:ascii="方正楷体_GBK" w:hAnsi="方正楷体_GBK" w:eastAsia="方正楷体_GBK" w:cs="方正楷体_GBK"/>
          <w:color w:val="auto"/>
          <w:sz w:val="30"/>
          <w:szCs w:val="30"/>
        </w:rPr>
        <w:t>评价方法</w:t>
      </w:r>
      <w:bookmarkEnd w:id="102"/>
      <w:bookmarkEnd w:id="103"/>
      <w:bookmarkEnd w:id="109"/>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110" w:name="_Toc23865"/>
      <w:bookmarkStart w:id="111" w:name="_Toc10922"/>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110"/>
      <w:bookmarkEnd w:id="111"/>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val="0"/>
          <w:color w:val="auto"/>
          <w:kern w:val="2"/>
          <w:sz w:val="30"/>
          <w:szCs w:val="30"/>
          <w:highlight w:val="none"/>
          <w:lang w:val="en-US" w:eastAsia="zh-CN" w:bidi="ar-SA"/>
        </w:rPr>
      </w:pPr>
      <w:bookmarkStart w:id="112" w:name="_Toc20533"/>
      <w:bookmarkStart w:id="113" w:name="_Toc2624"/>
      <w:r>
        <w:rPr>
          <w:rFonts w:hint="default" w:ascii="Times New Roman" w:hAnsi="Times New Roman" w:eastAsia="方正仿宋_GBK" w:cs="Times New Roman"/>
          <w:b w:val="0"/>
          <w:color w:val="auto"/>
          <w:kern w:val="2"/>
          <w:sz w:val="30"/>
          <w:szCs w:val="30"/>
          <w:highlight w:val="none"/>
          <w:lang w:val="en-US" w:eastAsia="zh-CN" w:bidi="ar-SA"/>
        </w:rPr>
        <w:t>同心县2022年老旧小区改造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文化街给排水管道更新工程建设项目绩效评价主要采用因素分析法、比较法、现场核查法、公众评判法进行综合评价。具体评价方法如下</w:t>
      </w:r>
      <w:r>
        <w:rPr>
          <w:rFonts w:hint="eastAsia" w:ascii="Times New Roman" w:hAnsi="Times New Roman" w:eastAsia="方正仿宋_GBK" w:cs="Times New Roman"/>
          <w:b w:val="0"/>
          <w:color w:val="auto"/>
          <w:kern w:val="2"/>
          <w:sz w:val="30"/>
          <w:szCs w:val="30"/>
          <w:highlight w:val="none"/>
          <w:lang w:val="en-US" w:eastAsia="zh-CN" w:bidi="ar-SA"/>
        </w:rPr>
        <w:t>：</w:t>
      </w:r>
      <w:bookmarkEnd w:id="112"/>
      <w:bookmarkEnd w:id="113"/>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2022年老旧小区改造－文化街给排水管道更新工程建设项目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 xml:space="preserve"> 通过查阅整理</w:t>
      </w:r>
      <w:r>
        <w:rPr>
          <w:rFonts w:hint="eastAsia" w:ascii="Times New Roman" w:hAnsi="Times New Roman" w:eastAsia="方正仿宋_GBK" w:cs="Times New Roman"/>
          <w:b w:val="0"/>
          <w:color w:val="auto"/>
          <w:kern w:val="2"/>
          <w:sz w:val="30"/>
          <w:szCs w:val="30"/>
          <w:highlight w:val="none"/>
          <w:lang w:val="en-US" w:eastAsia="zh-CN" w:bidi="ar-SA"/>
        </w:rPr>
        <w:t>2022年老旧小区改造－文化街给排水管道更新工程建设项目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2022年老旧小区改造－文化街给排水管道更新工程建设项目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2022年老旧小区改造－文化街给排水管道更新工程建设项目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w:t>
      </w:r>
      <w:r>
        <w:rPr>
          <w:rFonts w:hint="eastAsia" w:ascii="Times New Roman" w:hAnsi="Times New Roman" w:eastAsia="方正仿宋_GBK" w:cs="Times New Roman"/>
          <w:b/>
          <w:bCs/>
          <w:color w:val="auto"/>
          <w:kern w:val="2"/>
          <w:sz w:val="30"/>
          <w:szCs w:val="30"/>
          <w:highlight w:val="none"/>
          <w:lang w:val="en-US" w:eastAsia="zh-CN" w:bidi="ar-SA"/>
        </w:rPr>
        <w:t>三是</w:t>
      </w:r>
      <w:r>
        <w:rPr>
          <w:rFonts w:hint="eastAsia" w:ascii="Times New Roman" w:hAnsi="Times New Roman" w:eastAsia="方正仿宋_GBK" w:cs="Times New Roman"/>
          <w:b w:val="0"/>
          <w:color w:val="auto"/>
          <w:kern w:val="2"/>
          <w:sz w:val="30"/>
          <w:szCs w:val="30"/>
          <w:highlight w:val="none"/>
          <w:lang w:val="en-US" w:eastAsia="zh-CN" w:bidi="ar-SA"/>
        </w:rPr>
        <w:t>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114" w:name="_Toc14287"/>
      <w:bookmarkStart w:id="115" w:name="_Toc15372"/>
      <w:bookmarkStart w:id="116" w:name="_Toc23639"/>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14"/>
      <w:bookmarkEnd w:id="115"/>
      <w:bookmarkEnd w:id="116"/>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（1）</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（3）</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（1） </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117" w:name="_Toc23927"/>
      <w:bookmarkStart w:id="118" w:name="_Toc15926"/>
      <w:bookmarkStart w:id="119" w:name="_Toc7332"/>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117"/>
      <w:bookmarkEnd w:id="118"/>
      <w:bookmarkEnd w:id="119"/>
    </w:p>
    <w:p>
      <w:pPr>
        <w:pStyle w:val="4"/>
        <w:bidi w:val="0"/>
        <w:rPr>
          <w:rFonts w:hint="default"/>
          <w:lang w:val="en-US" w:eastAsia="zh-CN"/>
        </w:rPr>
      </w:pPr>
      <w:bookmarkStart w:id="120" w:name="_Toc12755"/>
      <w:r>
        <w:rPr>
          <w:rFonts w:hint="eastAsia"/>
          <w:lang w:val="en-US" w:eastAsia="zh-CN"/>
        </w:rPr>
        <w:t>（一）项目完成情况</w:t>
      </w:r>
      <w:bookmarkEnd w:id="120"/>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w:t>
      </w:r>
      <w:r>
        <w:rPr>
          <w:rFonts w:hint="eastAsia" w:ascii="Times New Roman" w:hAnsi="Times New Roman" w:eastAsia="方正仿宋_GBK" w:cs="Times New Roman"/>
          <w:b/>
          <w:bCs/>
          <w:color w:val="auto"/>
          <w:kern w:val="2"/>
          <w:sz w:val="30"/>
          <w:szCs w:val="30"/>
          <w:highlight w:val="none"/>
          <w:lang w:val="en-US" w:eastAsia="zh-CN" w:bidi="ar-SA"/>
        </w:rPr>
        <w:t>专项资金</w:t>
      </w:r>
      <w:r>
        <w:rPr>
          <w:rFonts w:hint="default" w:ascii="Times New Roman" w:hAnsi="Times New Roman" w:eastAsia="方正仿宋_GBK" w:cs="Times New Roman"/>
          <w:b/>
          <w:bCs/>
          <w:color w:val="auto"/>
          <w:kern w:val="2"/>
          <w:sz w:val="30"/>
          <w:szCs w:val="30"/>
          <w:highlight w:val="none"/>
          <w:lang w:val="en-US" w:eastAsia="zh-CN" w:bidi="ar-SA"/>
        </w:rPr>
        <w:t>预算管理方面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能够对</w:t>
      </w:r>
      <w:r>
        <w:rPr>
          <w:rFonts w:hint="eastAsia" w:ascii="Times New Roman" w:hAnsi="Times New Roman" w:eastAsia="方正仿宋_GBK" w:cs="Times New Roman"/>
          <w:color w:val="auto"/>
          <w:kern w:val="2"/>
          <w:sz w:val="30"/>
          <w:szCs w:val="30"/>
          <w:highlight w:val="none"/>
          <w:lang w:val="en-US" w:eastAsia="zh-CN" w:bidi="ar-SA"/>
        </w:rPr>
        <w:t>专项资</w:t>
      </w:r>
      <w:r>
        <w:rPr>
          <w:rFonts w:hint="default" w:ascii="Times New Roman" w:hAnsi="Times New Roman" w:eastAsia="方正仿宋_GBK" w:cs="Times New Roman"/>
          <w:color w:val="auto"/>
          <w:kern w:val="2"/>
          <w:sz w:val="30"/>
          <w:szCs w:val="30"/>
          <w:highlight w:val="none"/>
          <w:lang w:val="en-US" w:eastAsia="zh-CN" w:bidi="ar-SA"/>
        </w:rPr>
        <w:t>金使用、执行和绩效进行穿透式管理，资金投向合规、资金管理严格，风险防范有效，确保资金</w:t>
      </w:r>
      <w:r>
        <w:rPr>
          <w:rFonts w:hint="eastAsia" w:ascii="Times New Roman" w:hAnsi="Times New Roman" w:eastAsia="方正仿宋_GBK" w:cs="Times New Roman"/>
          <w:color w:val="auto"/>
          <w:kern w:val="2"/>
          <w:sz w:val="30"/>
          <w:szCs w:val="30"/>
          <w:highlight w:val="none"/>
          <w:lang w:val="en-US" w:eastAsia="zh-CN" w:bidi="ar-SA"/>
        </w:rPr>
        <w:t>效益的发挥。</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本项目预算安排资金总额</w:t>
      </w:r>
      <w:r>
        <w:rPr>
          <w:rFonts w:hint="eastAsia" w:ascii="Times New Roman" w:hAnsi="Times New Roman" w:eastAsia="方正仿宋_GBK" w:cs="Times New Roman"/>
          <w:color w:val="auto"/>
          <w:kern w:val="2"/>
          <w:sz w:val="30"/>
          <w:szCs w:val="30"/>
          <w:highlight w:val="none"/>
          <w:lang w:val="en-US" w:eastAsia="zh-CN" w:bidi="ar-SA"/>
        </w:rPr>
        <w:t>483.00.00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483.00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483.00</w:t>
      </w:r>
      <w:r>
        <w:rPr>
          <w:rFonts w:hint="default" w:ascii="Times New Roman" w:hAnsi="Times New Roman" w:eastAsia="方正仿宋_GBK" w:cs="Times New Roman"/>
          <w:color w:val="auto"/>
          <w:kern w:val="2"/>
          <w:sz w:val="30"/>
          <w:szCs w:val="30"/>
          <w:highlight w:val="none"/>
          <w:lang w:val="en-US" w:eastAsia="zh-CN" w:bidi="ar-SA"/>
        </w:rPr>
        <w:t xml:space="preserve"> 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在项目产出方面：</w:t>
      </w:r>
      <w:r>
        <w:rPr>
          <w:rFonts w:hint="eastAsia" w:ascii="Times New Roman" w:hAnsi="Times New Roman" w:eastAsia="方正仿宋_GBK" w:cs="Times New Roman"/>
          <w:b w:val="0"/>
          <w:bCs w:val="0"/>
          <w:color w:val="auto"/>
          <w:kern w:val="2"/>
          <w:sz w:val="30"/>
          <w:szCs w:val="30"/>
          <w:highlight w:val="none"/>
          <w:lang w:val="en-US" w:eastAsia="zh-CN" w:bidi="ar-SA"/>
        </w:rPr>
        <w:t>2022年老旧小区改造－文化街给排水管道更新工程建设项目，严格落实“项目四制”。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val="0"/>
          <w:bCs w:val="0"/>
          <w:color w:val="auto"/>
          <w:kern w:val="2"/>
          <w:sz w:val="30"/>
          <w:szCs w:val="30"/>
          <w:highlight w:val="none"/>
          <w:lang w:val="en-US" w:eastAsia="zh-CN" w:bidi="ar-SA"/>
        </w:rPr>
        <w:t>落实项目法人责任制，项目单位和法定代表人对项目建设的安全质量负总责；落实招标投标制，按照《招标投标法》《必须招标的工程项目规定》《必须招标的基础设施和公用事业项目范围规定》等要求做好项目招投标工作，并将强制性安全质量标准等作为招标文件的实质性要求和条件；落实工程监理制，监理单位要认真履行监理职责，特别要加强对关键工序、重要部位和隐蔽工程的监督检查；落实合同管理制度，建设工程的勘察设计、施工、设备材料采购和工程监理等要依法订立合同，并明确安全质量要求以及违约责任等。经工程验收质量合格，工程建设投资成本合理控制。</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b w:val="0"/>
          <w:bCs w:val="0"/>
          <w:color w:val="auto"/>
          <w:kern w:val="2"/>
          <w:sz w:val="30"/>
          <w:szCs w:val="30"/>
          <w:highlight w:val="none"/>
          <w:lang w:val="en-US" w:eastAsia="zh-CN" w:bidi="ar-SA"/>
        </w:rPr>
        <w:t>持续改善老旧小区的生活环境，提高居民生活质量，解决居民的后顾之忧。同时，把老旧小区改造与加强基层党建、创新社会治理结合起来，打造共建、共治、共享的社会治理新格局。经对项目实施地开展满意度问卷调查，整体满意度为95%。</w:t>
      </w:r>
    </w:p>
    <w:p>
      <w:pPr>
        <w:pStyle w:val="4"/>
        <w:bidi w:val="0"/>
        <w:rPr>
          <w:rFonts w:hint="default"/>
          <w:lang w:val="en-US" w:eastAsia="zh-CN"/>
        </w:rPr>
      </w:pPr>
      <w:bookmarkStart w:id="121" w:name="_Toc9075"/>
      <w:r>
        <w:rPr>
          <w:rFonts w:hint="eastAsia"/>
          <w:lang w:val="en-US" w:eastAsia="zh-CN"/>
        </w:rPr>
        <w:t>（二）评价结论</w:t>
      </w:r>
      <w:bookmarkEnd w:id="121"/>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2022年老旧小区改造－文化街给排水管道更新工程建设项目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实施内容符合国家、自治区及</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同心县专项</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资金支持范围，项目管理规范，项目资金拨付及时，资金到位率为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项目实施单位资金支出较规范</w:t>
      </w:r>
      <w:r>
        <w:rPr>
          <w:rFonts w:hint="eastAsia" w:ascii="Times New Roman" w:hAnsi="Times New Roman" w:eastAsia="方正仿宋_GBK" w:cs="Times New Roman"/>
          <w:spacing w:val="0"/>
          <w:kern w:val="0"/>
          <w:sz w:val="30"/>
          <w:szCs w:val="30"/>
          <w:lang w:bidi="zh-CN"/>
        </w:rPr>
        <w:t>，资金的拨付经单位主管领导、财政局业务科室、国库支付中心审批，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22" w:name="_Toc14682"/>
      <w:bookmarkStart w:id="123" w:name="_Toc9214"/>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“87.00”分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，评定等级为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“良”</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13.00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28.00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fldChar w:fldCharType="begin"/>
            </w:r>
            <w:r>
              <w:rPr>
                <w:rFonts w:hint="default" w:ascii="Times New Roman" w:hAnsi="Times New Roman" w:eastAsia="方正仿宋_GBK" w:cs="Times New Roman"/>
                <w:i w:val="0"/>
                <w:iCs w:val="0"/>
                <w:color w:val="000000"/>
                <w:kern w:val="0"/>
                <w:sz w:val="22"/>
                <w:szCs w:val="22"/>
                <w:u w:val="none"/>
                <w:lang w:val="en-US" w:eastAsia="zh-CN" w:bidi="ar"/>
              </w:rPr>
              <w:instrText xml:space="preserve"> = sum(B3:E3) \* MERGEFORMAT </w:instrText>
            </w:r>
            <w:r>
              <w:rPr>
                <w:rFonts w:hint="default" w:ascii="Times New Roman" w:hAnsi="Times New Roman" w:eastAsia="方正仿宋_GBK" w:cs="Times New Roman"/>
                <w:i w:val="0"/>
                <w:iCs w:val="0"/>
                <w:color w:val="000000"/>
                <w:kern w:val="0"/>
                <w:sz w:val="22"/>
                <w:szCs w:val="22"/>
                <w:u w:val="none"/>
                <w:lang w:val="en-US" w:eastAsia="zh-CN" w:bidi="ar"/>
              </w:rPr>
              <w:fldChar w:fldCharType="separate"/>
            </w:r>
            <w:r>
              <w:rPr>
                <w:rFonts w:hint="default" w:ascii="Times New Roman" w:hAnsi="Times New Roman" w:eastAsia="方正仿宋_GBK" w:cs="Times New Roman"/>
                <w:i w:val="0"/>
                <w:iCs w:val="0"/>
                <w:color w:val="000000"/>
                <w:kern w:val="0"/>
                <w:sz w:val="22"/>
                <w:szCs w:val="22"/>
                <w:u w:val="none"/>
                <w:lang w:val="en-US" w:eastAsia="zh-CN" w:bidi="ar"/>
              </w:rPr>
              <w:t>87</w:t>
            </w:r>
            <w:r>
              <w:rPr>
                <w:rFonts w:hint="default" w:ascii="Times New Roman" w:hAnsi="Times New Roman" w:eastAsia="方正仿宋_GBK" w:cs="Times New Roman"/>
                <w:i w:val="0"/>
                <w:iCs w:val="0"/>
                <w:color w:val="000000"/>
                <w:kern w:val="0"/>
                <w:sz w:val="22"/>
                <w:szCs w:val="22"/>
                <w:u w:val="none"/>
                <w:lang w:val="en-US" w:eastAsia="zh-CN" w:bidi="ar"/>
              </w:rPr>
              <w:fldChar w:fldCharType="end"/>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65.00%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82.35%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87.00%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24" w:name="_Toc24762"/>
      <w:r>
        <w:rPr>
          <w:rFonts w:hint="eastAsia" w:asciiTheme="majorEastAsia" w:hAnsiTheme="majorEastAsia" w:eastAsiaTheme="majorEastAsia" w:cstheme="majorEastAsia"/>
          <w:b/>
          <w:bCs/>
          <w:sz w:val="32"/>
          <w:szCs w:val="32"/>
          <w:lang w:val="en-US" w:eastAsia="zh-CN"/>
        </w:rPr>
        <w:t>六、绩效评价指标分析</w:t>
      </w:r>
      <w:bookmarkEnd w:id="122"/>
      <w:bookmarkEnd w:id="123"/>
      <w:bookmarkEnd w:id="124"/>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25" w:name="_Toc10789"/>
      <w:bookmarkStart w:id="126" w:name="_Toc13089"/>
      <w:bookmarkStart w:id="127" w:name="_Toc16736"/>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25"/>
      <w:bookmarkEnd w:id="126"/>
      <w:r>
        <w:rPr>
          <w:rFonts w:hint="eastAsia" w:ascii="方正楷体_GBK" w:hAnsi="方正楷体_GBK" w:eastAsia="方正楷体_GBK" w:cs="方正楷体_GBK"/>
          <w:b/>
          <w:bCs w:val="0"/>
          <w:color w:val="auto"/>
          <w:sz w:val="30"/>
          <w:szCs w:val="30"/>
          <w:lang w:eastAsia="zh-CN"/>
        </w:rPr>
        <w:t>分析</w:t>
      </w:r>
      <w:bookmarkEnd w:id="127"/>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6" w:firstLineChars="200"/>
        <w:jc w:val="both"/>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分，扣7.00 分，评价得分13.00 分，得分率为65.00%。具体评价指标分析如下：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6" w:firstLineChars="200"/>
        <w:jc w:val="both"/>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6" w:firstLineChars="200"/>
        <w:jc w:val="both"/>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同心县文化北街两侧老旧小区因其规划建设年代早，建设标准相对较低，室外管道老化严重，基础功能设施年久失修，已无法满足居住环境和市容美观的要求。为了能够从源头上解决周边老旧小区居民的生活难题，改善居民的生活状况，提高居民生活质量，同心县住房和城乡建设局拟在同心县文化北街建设同心县2022年老旧小区改造配套基础设施－文化北街给排水管道更新工程。</w:t>
      </w:r>
    </w:p>
    <w:p>
      <w:pPr>
        <w:pStyle w:val="5"/>
        <w:pageBreakBefore w:val="0"/>
        <w:kinsoku/>
        <w:wordWrap/>
        <w:overflowPunct w:val="0"/>
        <w:topLinePunct w:val="0"/>
        <w:autoSpaceDE/>
        <w:autoSpaceDN/>
        <w:bidi w:val="0"/>
        <w:adjustRightInd/>
        <w:spacing w:beforeLines="0" w:afterLines="0"/>
        <w:jc w:val="both"/>
        <w:textAlignment w:val="auto"/>
        <w:rPr>
          <w:rFonts w:hint="default" w:ascii="Times New Roman" w:hAnsi="Times New Roman" w:eastAsia="方正仿宋_GB2312" w:cs="Times New Roman"/>
          <w:b w:val="0"/>
          <w:kern w:val="2"/>
          <w:sz w:val="30"/>
          <w:szCs w:val="30"/>
          <w:lang w:val="en-US" w:eastAsia="zh-CN" w:bidi="ar-SA"/>
        </w:rPr>
      </w:pPr>
      <w:bookmarkStart w:id="128" w:name="_Toc10540"/>
      <w:r>
        <w:rPr>
          <w:rFonts w:hint="eastAsia" w:ascii="Times New Roman" w:hAnsi="Times New Roman" w:eastAsia="方正仿宋_GB2312" w:cs="Times New Roman"/>
          <w:b w:val="0"/>
          <w:kern w:val="2"/>
          <w:sz w:val="30"/>
          <w:szCs w:val="30"/>
          <w:lang w:val="en-US" w:eastAsia="zh-CN" w:bidi="ar-SA"/>
        </w:rPr>
        <w:t>2020年10月22日，第4期会议纪要明确提出研究审定吴忠市同心县 2021-2025 年老旧小区改造规划实施方案事宜。同意宁夏吴忠市同心县 2021-2025 年老旧小区改造规划实施方案。县住建局负责督促项目设计单位，按照会议提出的意见建议进一步修改完善。县发改局负责纳入全县“十四五”项目库积极争取项目资金支持。项目资金争取到位后，县住建局负责按程序组织实施。</w:t>
      </w:r>
      <w:bookmarkEnd w:id="128"/>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2022年3月21日，同心县发展和改革局印发了《同心县 2022 年老旧小区改造配套基础设施－文化北街给排水管道更新工程初步设计的批复》（同发改审发〔2022〕101号）予以立项。</w:t>
      </w:r>
      <w:r>
        <w:rPr>
          <w:rFonts w:hint="default" w:ascii="Times New Roman" w:hAnsi="Times New Roman" w:eastAsia="仿宋" w:cs="Times New Roman"/>
          <w:color w:val="000000"/>
          <w:kern w:val="0"/>
          <w:sz w:val="30"/>
          <w:szCs w:val="30"/>
          <w:lang w:val="en-US" w:eastAsia="zh-CN" w:bidi="ar"/>
        </w:rPr>
        <w:t>该指标满分3分，根据评分标准得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仿宋" w:cs="Times New Roman"/>
          <w:color w:val="000000"/>
          <w:kern w:val="0"/>
          <w:sz w:val="30"/>
          <w:szCs w:val="30"/>
          <w:lang w:val="en-US" w:eastAsia="zh-CN" w:bidi="ar"/>
        </w:rPr>
        <w:t>该项目按照规定的程序审批，立项程序规范，所提交的文件、材料符合相关要求，事前已经过必要的可行性研究等。该指标满分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分，根据评分标准得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该项目未能根据</w:t>
      </w:r>
      <w:r>
        <w:rPr>
          <w:rFonts w:hint="default" w:ascii="Times New Roman" w:hAnsi="Times New Roman" w:eastAsia="仿宋" w:cs="Times New Roman"/>
          <w:color w:val="000000"/>
          <w:kern w:val="0"/>
          <w:sz w:val="30"/>
          <w:szCs w:val="30"/>
          <w:lang w:val="en-US" w:eastAsia="zh-CN" w:bidi="ar"/>
        </w:rPr>
        <w:t>《项目支出绩效评价管理办法》（财预〔2020〕10号）、《自治区党委 人民政府关于全面实施预算绩效管理的实施意见》（宁党发〔2019〕9号）以及</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结合项目特性，设定绩效目标</w:t>
      </w:r>
      <w:r>
        <w:rPr>
          <w:rFonts w:hint="default" w:ascii="Times New Roman" w:hAnsi="Times New Roman" w:eastAsia="仿宋" w:cs="Times New Roman"/>
          <w:color w:val="000000"/>
          <w:kern w:val="0"/>
          <w:sz w:val="30"/>
          <w:szCs w:val="30"/>
          <w:lang w:val="en-US" w:eastAsia="zh-CN" w:bidi="ar"/>
        </w:rPr>
        <w:t>，对预期产出数量的描述，缺失对预期实现效果和财政资金政策意图体现</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spacing w:val="-12"/>
          <w:sz w:val="30"/>
          <w:szCs w:val="30"/>
        </w:rPr>
        <w:t>该</w:t>
      </w:r>
      <w:r>
        <w:rPr>
          <w:rFonts w:hint="default" w:ascii="Times New Roman" w:hAnsi="Times New Roman" w:eastAsia="方正仿宋_GBK" w:cs="Times New Roman"/>
          <w:spacing w:val="-7"/>
          <w:sz w:val="30"/>
          <w:szCs w:val="30"/>
        </w:rPr>
        <w:t>指</w:t>
      </w:r>
      <w:r>
        <w:rPr>
          <w:rFonts w:hint="default" w:ascii="Times New Roman" w:hAnsi="Times New Roman" w:eastAsia="方正仿宋_GBK" w:cs="Times New Roman"/>
          <w:spacing w:val="-6"/>
          <w:sz w:val="30"/>
          <w:szCs w:val="30"/>
        </w:rPr>
        <w:t>标</w:t>
      </w:r>
      <w:r>
        <w:rPr>
          <w:rFonts w:hint="default" w:ascii="Times New Roman" w:hAnsi="Times New Roman" w:eastAsia="方正仿宋_GBK" w:cs="Times New Roman"/>
          <w:spacing w:val="-6"/>
          <w:sz w:val="30"/>
          <w:szCs w:val="30"/>
          <w:lang w:eastAsia="zh-CN"/>
        </w:rPr>
        <w:t>不得</w:t>
      </w:r>
      <w:r>
        <w:rPr>
          <w:rFonts w:hint="default" w:ascii="Times New Roman" w:hAnsi="Times New Roman" w:eastAsia="方正仿宋_GBK" w:cs="Times New Roman"/>
          <w:spacing w:val="-6"/>
          <w:sz w:val="30"/>
          <w:szCs w:val="30"/>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keepNext w:val="0"/>
        <w:keepLines w:val="0"/>
        <w:pageBreakBefore w:val="0"/>
        <w:widowControl w:val="0"/>
        <w:kinsoku/>
        <w:wordWrap/>
        <w:overflowPunct w:val="0"/>
        <w:topLinePunct w:val="0"/>
        <w:autoSpaceDE/>
        <w:autoSpaceDN/>
        <w:bidi w:val="0"/>
        <w:adjustRightInd/>
        <w:snapToGrid/>
        <w:spacing w:before="0" w:line="560" w:lineRule="exact"/>
        <w:ind w:right="0"/>
        <w:textAlignment w:val="auto"/>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实施单位评价范围内的项目尚未结合工作内容设置年度绩效目标，同时细化产出指标、效益指标、可持续影响和满意度指标。根据评分细则，</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0" w:beforeLines="0" w:afterLines="0" w:line="560" w:lineRule="exact"/>
        <w:ind w:left="0" w:firstLine="552"/>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29" w:name="_Toc6908"/>
      <w:bookmarkStart w:id="130" w:name="_Toc5795"/>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29"/>
      <w:bookmarkEnd w:id="130"/>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本项目建设实施内容与规模、经济技术指标和相关定额标准及规范要求，经对投资概算进行测算后，结合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 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spacing w:before="0" w:line="560" w:lineRule="exact"/>
        <w:ind w:right="0"/>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auto"/>
          <w:kern w:val="2"/>
          <w:sz w:val="30"/>
          <w:szCs w:val="30"/>
          <w:highlight w:val="none"/>
          <w:lang w:val="en-US" w:eastAsia="zh-CN" w:bidi="ar-SA"/>
        </w:rPr>
        <w:t>2022年8月4日，根据财政部《关于下达2022年保障性安居工程投资预算的通知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190号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《关于下达2022年保障性安居工程奖励项目中央基建投资预算的通知</w:t>
      </w:r>
      <w:r>
        <w:rPr>
          <w:rFonts w:hint="eastAsia" w:ascii="Times New Roman" w:hAnsi="Times New Roman" w:eastAsia="方正仿宋_GB2312" w:cs="Times New Roman"/>
          <w:kern w:val="2"/>
          <w:sz w:val="30"/>
          <w:szCs w:val="30"/>
          <w:lang w:val="en-US" w:eastAsia="zh-CN" w:bidi="ar-SA"/>
        </w:rPr>
        <w:t>》（财建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228号</w:t>
      </w:r>
      <w:r>
        <w:rPr>
          <w:rFonts w:hint="eastAsia" w:ascii="Times New Roman" w:hAnsi="Times New Roman" w:eastAsia="方正仿宋_GB2312" w:cs="Times New Roman"/>
          <w:kern w:val="2"/>
          <w:sz w:val="30"/>
          <w:szCs w:val="30"/>
          <w:lang w:val="en-US" w:eastAsia="zh-CN" w:bidi="ar-SA"/>
        </w:rPr>
        <w:t>），按照（自治区发展改革委 自治区住房城乡建设厅关于下达保障性住房安居工程2022年第三批中央预算内投资计划的通知）</w:t>
      </w:r>
      <w:r>
        <w:rPr>
          <w:rFonts w:hint="eastAsia" w:ascii="Times New Roman" w:hAnsi="Times New Roman" w:eastAsia="方正仿宋_GBK" w:cs="Times New Roman"/>
          <w:color w:val="auto"/>
          <w:kern w:val="2"/>
          <w:sz w:val="30"/>
          <w:szCs w:val="30"/>
          <w:highlight w:val="none"/>
          <w:lang w:val="en-US" w:eastAsia="zh-CN" w:bidi="ar-SA"/>
        </w:rPr>
        <w:t>宁发改投资</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543号</w:t>
      </w:r>
      <w:r>
        <w:rPr>
          <w:rFonts w:hint="eastAsia" w:ascii="Times New Roman" w:hAnsi="Times New Roman" w:eastAsia="方正仿宋_GB2312" w:cs="Times New Roman"/>
          <w:kern w:val="2"/>
          <w:sz w:val="30"/>
          <w:szCs w:val="30"/>
          <w:lang w:val="en-US" w:eastAsia="zh-CN" w:bidi="ar-SA"/>
        </w:rPr>
        <w:t>）文件</w:t>
      </w:r>
      <w:r>
        <w:rPr>
          <w:rFonts w:hint="eastAsia" w:ascii="Times New Roman" w:hAnsi="Times New Roman" w:eastAsia="方正仿宋_GBK" w:cs="Times New Roman"/>
          <w:color w:val="auto"/>
          <w:kern w:val="2"/>
          <w:sz w:val="30"/>
          <w:szCs w:val="30"/>
          <w:highlight w:val="none"/>
          <w:lang w:val="en-US" w:eastAsia="zh-CN" w:bidi="ar-SA"/>
        </w:rPr>
        <w:t>要求</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，用以规范项目资金分配。资金分配合理、合规。</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31" w:name="_Toc13987"/>
      <w:r>
        <w:rPr>
          <w:rFonts w:hint="eastAsia" w:ascii="方正楷体_GBK" w:hAnsi="方正楷体_GBK" w:eastAsia="方正楷体_GBK" w:cs="方正楷体_GBK"/>
          <w:sz w:val="30"/>
          <w:szCs w:val="30"/>
          <w:lang w:val="en-US" w:eastAsia="zh-CN"/>
        </w:rPr>
        <w:t>（二）项目过程</w:t>
      </w:r>
      <w:bookmarkEnd w:id="131"/>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本项指标共设2个二级指标、5个三级指标，权重分值20分，评价得分20分，得分率为 100.00%。具体评价指标分析如下：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，同心县2022年老旧小区改造配套基础设施－文化街给排水管道更新工程建设项目预算安排资金483.00万元，实际到位资金483.00万元，资金到位率为100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项目绩效评价涉及预算资金为483.00万元，经绩效评价小组对各预算单位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，截至评价前，预算执行金额为：483.00万元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jc w:val="both"/>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jc w:val="both"/>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pageBreakBefore w:val="0"/>
        <w:widowControl/>
        <w:suppressLineNumbers w:val="0"/>
        <w:kinsoku/>
        <w:wordWrap/>
        <w:topLinePunct w:val="0"/>
        <w:autoSpaceDE/>
        <w:autoSpaceDN/>
        <w:bidi w:val="0"/>
        <w:adjustRightInd/>
        <w:snapToGrid/>
        <w:jc w:val="both"/>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项目实施单位</w:t>
      </w:r>
      <w:r>
        <w:rPr>
          <w:rFonts w:hint="default" w:ascii="Times New Roman" w:hAnsi="Times New Roman" w:eastAsia="方正仿宋_GBK" w:cs="Times New Roman"/>
          <w:spacing w:val="0"/>
          <w:kern w:val="0"/>
          <w:sz w:val="30"/>
          <w:szCs w:val="30"/>
          <w:lang w:val="en-US" w:bidi="zh-CN"/>
        </w:rPr>
        <w:t>印发</w:t>
      </w:r>
      <w:r>
        <w:rPr>
          <w:rFonts w:hint="default" w:ascii="Times New Roman" w:hAnsi="Times New Roman" w:eastAsia="方正仿宋_GBK" w:cs="Times New Roman"/>
          <w:spacing w:val="0"/>
          <w:kern w:val="0"/>
          <w:sz w:val="30"/>
          <w:szCs w:val="30"/>
          <w:lang w:val="en-US" w:eastAsia="zh-CN" w:bidi="zh-CN"/>
        </w:rPr>
        <w:t>《财务管理制度》，其中包括预算管理、采购管理、结算管理、资产管理、财务管理等的具体管理办法，</w:t>
      </w:r>
      <w:r>
        <w:rPr>
          <w:rFonts w:hint="default" w:ascii="Times New Roman" w:hAnsi="Times New Roman" w:eastAsia="方正仿宋_GBK" w:cs="Times New Roman"/>
        </w:rPr>
        <w:t>并且</w:t>
      </w:r>
      <w:r>
        <w:rPr>
          <w:rFonts w:hint="default" w:ascii="Times New Roman" w:hAnsi="Times New Roman" w:eastAsia="方正仿宋_GBK" w:cs="Times New Roman"/>
          <w:spacing w:val="0"/>
          <w:kern w:val="0"/>
          <w:sz w:val="30"/>
          <w:szCs w:val="30"/>
          <w:lang w:val="en-US" w:eastAsia="zh-CN" w:bidi="zh-CN"/>
        </w:rPr>
        <w:t>遵照《中华人民共和国预算法</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财政部关于贯彻落实〈中共中央 国务院关于全面实施预算绩效管理的意见〉的通知》（财预〔2018〕167号）、《自治区党委 人民政府关于全面实施预算绩效管理的实施意见》（宁党发〔2019〕9号）等文件的规定，对项目实施进行监管，财务和业务管理制度合法、合规、完整。</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 xml:space="preserve">根据评分标准得 </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 xml:space="preserve"> 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实施单位在项目的实施过程中支出管理、预算管理遵守相关法律法规、相关管理规定和财务管理制度；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（2）该项目不涉及调整；</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（4）根据现场调研以及项目验收报告，项目实施的人员条件、场地设备、信息支撑等落实到位；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项目实施的组织架构、人员编制完整，能够有效保证项目的实施。该指标本项满分 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 xml:space="preserve">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32" w:name="_Toc2652"/>
      <w:bookmarkStart w:id="133" w:name="_Toc1945"/>
      <w:bookmarkStart w:id="134" w:name="_Toc18498"/>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32"/>
      <w:bookmarkEnd w:id="133"/>
      <w:bookmarkEnd w:id="134"/>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本项指标共设2个二级指标、5个三级指标，权重分值34分，评价得分29.5分，得分率为86.76%。具体评价指标分析如下：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2022年3月21日，同心县发展改革局印发《</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同心县2022年老旧小区改造配套基础设施－文化街给排水管道更新工程建设项目</w:t>
      </w:r>
      <w:r>
        <w:rPr>
          <w:rFonts w:hint="eastAsia" w:ascii="Times New Roman" w:hAnsi="Times New Roman" w:eastAsia="方正仿宋_GBK" w:cs="Times New Roman"/>
          <w:spacing w:val="0"/>
          <w:kern w:val="0"/>
          <w:sz w:val="30"/>
          <w:szCs w:val="30"/>
          <w:lang w:val="en-US" w:eastAsia="zh-CN" w:bidi="zh-CN"/>
        </w:rPr>
        <w:t>初步设计的批复》（同发改审发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22</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101号）号，批复项目予以立项；</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2022年11月3日，经过公开招标的方式确定宁夏佰瑞麒建设工程有限公司为项目中标单位。</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截至目前，均已完成给水和排水等工程。给水管道起点从永庆路口由北向南敷设，终点接入长征路现状给水管道；</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排水工程方面。雨水管道起点从永庆路口由北向南敷设，终点接入长征路规划雨水管道内。污水管道起点从永庆路口由北向南敷设，分别接入利民路、建设巷和长征路现状排水管道。铺设给排水管道需对现有局部沥青混凝土路面进行破除及恢复9371.69m，对人行道进行破除及恢复7449m。</w:t>
      </w: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5" w:name="_Toc13818"/>
      <w:bookmarkStart w:id="136" w:name="_Toc4341"/>
      <w:bookmarkStart w:id="137" w:name="_Toc27989"/>
      <w:bookmarkStart w:id="138" w:name="_Toc25249"/>
      <w:r>
        <w:rPr>
          <w:rFonts w:hint="default" w:ascii="Times New Roman" w:hAnsi="Times New Roman" w:cs="Times New Roman"/>
          <w:lang w:val="en-US" w:eastAsia="zh-CN"/>
        </w:rPr>
        <w:t>（1）资金到位及时率</w:t>
      </w:r>
      <w:bookmarkEnd w:id="135"/>
      <w:bookmarkEnd w:id="136"/>
      <w:bookmarkEnd w:id="137"/>
      <w:bookmarkEnd w:id="138"/>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w:t>
      </w:r>
      <w:r>
        <w:rPr>
          <w:rFonts w:hint="eastAsia" w:ascii="Times New Roman" w:hAnsi="Times New Roman" w:eastAsia="方正仿宋_GBK" w:cs="Times New Roman"/>
          <w:spacing w:val="0"/>
          <w:kern w:val="0"/>
          <w:sz w:val="30"/>
          <w:szCs w:val="30"/>
          <w:lang w:val="en-US" w:eastAsia="zh-CN" w:bidi="zh-CN"/>
        </w:rPr>
        <w:t>同心县2022年老旧小区改造配套基础设施－文化街给排水管道更新工程建设项目</w:t>
      </w:r>
      <w:r>
        <w:rPr>
          <w:rFonts w:hint="default" w:ascii="Times New Roman" w:hAnsi="Times New Roman" w:eastAsia="方正仿宋_GBK" w:cs="Times New Roman"/>
          <w:spacing w:val="0"/>
          <w:kern w:val="0"/>
          <w:sz w:val="30"/>
          <w:szCs w:val="30"/>
          <w:lang w:val="en-US" w:eastAsia="zh-CN" w:bidi="zh-CN"/>
        </w:rPr>
        <w:t>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9" w:name="_Toc29549"/>
      <w:bookmarkStart w:id="140" w:name="_Toc2959"/>
      <w:bookmarkStart w:id="141" w:name="_Toc19549"/>
      <w:bookmarkStart w:id="142" w:name="_Toc21408"/>
      <w:r>
        <w:rPr>
          <w:rFonts w:hint="default" w:ascii="Times New Roman" w:hAnsi="Times New Roman" w:cs="Times New Roman"/>
          <w:lang w:val="en-US" w:eastAsia="zh-CN"/>
        </w:rPr>
        <w:t>（</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eastAsia" w:ascii="Times New Roman" w:hAnsi="Times New Roman" w:cs="Times New Roman"/>
          <w:lang w:val="en-US" w:eastAsia="zh-CN"/>
        </w:rPr>
        <w:t>开工完工</w:t>
      </w:r>
      <w:r>
        <w:rPr>
          <w:rFonts w:hint="default" w:ascii="Times New Roman" w:hAnsi="Times New Roman" w:cs="Times New Roman"/>
          <w:lang w:val="en-US" w:eastAsia="zh-CN"/>
        </w:rPr>
        <w:t>及时率</w:t>
      </w:r>
      <w:bookmarkEnd w:id="139"/>
      <w:bookmarkEnd w:id="140"/>
      <w:bookmarkEnd w:id="141"/>
      <w:bookmarkEnd w:id="142"/>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经现场资料审核，项目合同约定工期严格按照</w:t>
      </w:r>
      <w:r>
        <w:rPr>
          <w:rFonts w:hint="eastAsia" w:ascii="Times New Roman" w:hAnsi="Times New Roman" w:eastAsia="方正仿宋_GBK" w:cs="Times New Roman"/>
          <w:spacing w:val="0"/>
          <w:kern w:val="0"/>
          <w:sz w:val="30"/>
          <w:szCs w:val="30"/>
          <w:lang w:val="en-US" w:eastAsia="zh-CN" w:bidi="zh-CN"/>
        </w:rPr>
        <w:t>实际开工报告</w:t>
      </w:r>
      <w:r>
        <w:rPr>
          <w:rFonts w:hint="default" w:ascii="Times New Roman" w:hAnsi="Times New Roman" w:eastAsia="方正仿宋_GBK" w:cs="Times New Roman"/>
          <w:spacing w:val="0"/>
          <w:kern w:val="0"/>
          <w:sz w:val="30"/>
          <w:szCs w:val="30"/>
          <w:lang w:val="en-US" w:eastAsia="zh-CN" w:bidi="zh-CN"/>
        </w:rPr>
        <w:t>履行工期</w:t>
      </w:r>
      <w:r>
        <w:rPr>
          <w:rFonts w:hint="eastAsia" w:ascii="Times New Roman" w:hAnsi="Times New Roman" w:eastAsia="方正仿宋_GBK" w:cs="Times New Roman"/>
          <w:spacing w:val="0"/>
          <w:kern w:val="0"/>
          <w:sz w:val="30"/>
          <w:szCs w:val="30"/>
          <w:lang w:val="en-US" w:eastAsia="zh-CN" w:bidi="zh-CN"/>
        </w:rPr>
        <w:t>，各项手续完整齐全</w:t>
      </w:r>
      <w:r>
        <w:rPr>
          <w:rFonts w:hint="default" w:ascii="Times New Roman" w:hAnsi="Times New Roman" w:eastAsia="方正仿宋_GBK" w:cs="Times New Roman"/>
          <w:spacing w:val="0"/>
          <w:kern w:val="0"/>
          <w:sz w:val="30"/>
          <w:szCs w:val="30"/>
          <w:lang w:val="en-US" w:eastAsia="zh-CN" w:bidi="zh-CN"/>
        </w:rPr>
        <w:t>。该指标本项满分3分，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default" w:ascii="Times New Roman" w:hAnsi="Times New Roman" w:eastAsia="方正仿宋_GBK" w:cs="Times New Roman"/>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3" w:name="_Toc14278"/>
      <w:bookmarkStart w:id="144" w:name="_Toc30038"/>
      <w:bookmarkStart w:id="145" w:name="_Toc4766"/>
      <w:bookmarkStart w:id="146" w:name="_Toc13913"/>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eastAsia" w:ascii="Times New Roman" w:hAnsi="Times New Roman" w:cs="Times New Roman"/>
          <w:lang w:val="en-US" w:eastAsia="zh-CN"/>
        </w:rPr>
        <w:t>结算审核及验收完成及时率</w:t>
      </w:r>
      <w:bookmarkEnd w:id="143"/>
      <w:bookmarkEnd w:id="144"/>
      <w:bookmarkEnd w:id="145"/>
      <w:bookmarkEnd w:id="146"/>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eastAsia" w:ascii="Times New Roman" w:hAnsi="Times New Roman" w:eastAsia="楷体" w:cs="Times New Roman"/>
          <w:b/>
          <w:kern w:val="2"/>
          <w:sz w:val="32"/>
          <w:szCs w:val="32"/>
          <w:lang w:val="en-US" w:eastAsia="zh-CN" w:bidi="ar-SA"/>
        </w:rPr>
      </w:pPr>
      <w:bookmarkStart w:id="147" w:name="_Toc26427"/>
      <w:bookmarkStart w:id="148" w:name="_Toc31690"/>
      <w:bookmarkStart w:id="149" w:name="_Toc9592"/>
      <w:bookmarkStart w:id="150" w:name="_Toc15238"/>
      <w:r>
        <w:rPr>
          <w:rFonts w:hint="default" w:ascii="Times New Roman" w:hAnsi="Times New Roman" w:cs="Times New Roman"/>
          <w:lang w:val="en-US" w:eastAsia="zh-CN"/>
        </w:rPr>
        <w:t>（</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eastAsia="楷体" w:cs="Times New Roman"/>
          <w:b/>
          <w:kern w:val="2"/>
          <w:sz w:val="32"/>
          <w:szCs w:val="32"/>
          <w:lang w:val="en-US" w:eastAsia="zh-CN" w:bidi="ar-SA"/>
        </w:rPr>
        <w:t>财务决算完成及时率</w:t>
      </w:r>
      <w:bookmarkEnd w:id="147"/>
      <w:bookmarkEnd w:id="148"/>
      <w:bookmarkEnd w:id="149"/>
      <w:bookmarkEnd w:id="150"/>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2"/>
          <w:szCs w:val="32"/>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907.64万元、中标合同价总额797.44万元。从施工单位提交的中标通知书结果来看，本项目建设投资成本总额控制在初步设计批复总额以内。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51" w:name="_Toc32195"/>
      <w:bookmarkStart w:id="152" w:name="_Toc17947"/>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51"/>
      <w:bookmarkEnd w:id="152"/>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spacing w:line="560" w:lineRule="exact"/>
        <w:ind w:left="0" w:right="0"/>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本项指标共设3个二级指标、4个三级指标，权重分值26分，评价得分26分，得分率为 100.00%。具体评价指标分析如下：</w:t>
      </w:r>
    </w:p>
    <w:p>
      <w:pPr>
        <w:pStyle w:val="4"/>
        <w:pageBreakBefore w:val="0"/>
        <w:kinsoku/>
        <w:wordWrap/>
        <w:topLinePunct w:val="0"/>
        <w:autoSpaceDE/>
        <w:autoSpaceDN/>
        <w:bidi w:val="0"/>
        <w:adjustRightInd/>
        <w:spacing w:beforeLines="0" w:afterLines="0" w:line="560" w:lineRule="exact"/>
        <w:ind w:left="0" w:right="0"/>
        <w:textAlignment w:val="auto"/>
        <w:rPr>
          <w:rFonts w:hint="eastAsia" w:ascii="Times New Roman" w:hAnsi="Times New Roman" w:eastAsia="楷体" w:cs="Times New Roman"/>
          <w:b/>
          <w:kern w:val="2"/>
          <w:sz w:val="30"/>
          <w:szCs w:val="30"/>
          <w:lang w:val="en-US" w:eastAsia="zh-CN" w:bidi="ar-SA"/>
        </w:rPr>
      </w:pPr>
      <w:bookmarkStart w:id="153" w:name="_Toc19818"/>
      <w:bookmarkStart w:id="154" w:name="_Toc19646"/>
      <w:bookmarkStart w:id="155" w:name="_Toc12708"/>
      <w:bookmarkStart w:id="156" w:name="_Toc19002"/>
      <w:r>
        <w:rPr>
          <w:rFonts w:hint="eastAsia" w:ascii="Times New Roman" w:hAnsi="Times New Roman" w:eastAsia="楷体" w:cs="Times New Roman"/>
          <w:b/>
          <w:kern w:val="2"/>
          <w:sz w:val="30"/>
          <w:szCs w:val="30"/>
          <w:lang w:val="en-US" w:eastAsia="zh-CN" w:bidi="ar-SA"/>
        </w:rPr>
        <w:t>（1）提升</w:t>
      </w:r>
      <w:bookmarkEnd w:id="153"/>
      <w:bookmarkEnd w:id="154"/>
      <w:bookmarkEnd w:id="155"/>
      <w:r>
        <w:rPr>
          <w:rFonts w:hint="eastAsia" w:ascii="Times New Roman" w:hAnsi="Times New Roman" w:cs="Times New Roman"/>
          <w:b/>
          <w:kern w:val="2"/>
          <w:sz w:val="30"/>
          <w:szCs w:val="30"/>
          <w:lang w:val="en-US" w:eastAsia="zh-CN" w:bidi="ar-SA"/>
        </w:rPr>
        <w:t>居住环境，提升居民幸福指数</w:t>
      </w:r>
      <w:bookmarkEnd w:id="156"/>
    </w:p>
    <w:p>
      <w:pPr>
        <w:pStyle w:val="9"/>
        <w:keepNext w:val="0"/>
        <w:keepLines w:val="0"/>
        <w:pageBreakBefore w:val="0"/>
        <w:widowControl w:val="0"/>
        <w:kinsoku/>
        <w:wordWrap/>
        <w:overflowPunct/>
        <w:topLinePunct w:val="0"/>
        <w:autoSpaceDE/>
        <w:autoSpaceDN/>
        <w:bidi w:val="0"/>
        <w:adjustRightInd/>
        <w:snapToGrid w:val="0"/>
        <w:spacing w:line="560" w:lineRule="exact"/>
        <w:ind w:left="0" w:right="0" w:firstLine="596" w:firstLineChars="200"/>
        <w:jc w:val="both"/>
        <w:textAlignment w:val="auto"/>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spacing w:val="1"/>
          <w:kern w:val="2"/>
          <w:sz w:val="30"/>
          <w:szCs w:val="30"/>
          <w:lang w:val="en-US" w:eastAsia="zh-CN" w:bidi="ar-SA"/>
        </w:rPr>
        <w:t>老旧小区改造是重大民生工程和发展工程，对满足人民群众美好生活需要、推动惠民生扩内需、推进城市更新和开发建设方式转型、促进经济高质量发展具有十分重要的意义。</w:t>
      </w:r>
    </w:p>
    <w:p>
      <w:pPr>
        <w:keepNext w:val="0"/>
        <w:keepLines w:val="0"/>
        <w:pageBreakBefore w:val="0"/>
        <w:widowControl/>
        <w:suppressLineNumbers w:val="0"/>
        <w:kinsoku/>
        <w:wordWrap/>
        <w:overflowPunct w:val="0"/>
        <w:topLinePunct w:val="0"/>
        <w:autoSpaceDE/>
        <w:autoSpaceDN/>
        <w:bidi w:val="0"/>
        <w:adjustRightInd/>
        <w:snapToGrid/>
        <w:ind w:left="0" w:leftChars="0" w:firstLine="596"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次配套设施改造使老旧小区居民的生活环境和人居环境舒适度普遍提高，并极大提高了居住社区的和谐程度。从完成改造情况看，达到了整洁干净、亮化美化的要求，较好地融入了现代化城市格局，不仅增强了城市的吸引力和辐射力，实现了物业的保值增值，而且也为展示城市形象锦上添花，居民普遍反映良好。</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10</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5</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bookmarkStart w:id="157" w:name="_Toc11426"/>
      <w:bookmarkStart w:id="158" w:name="_Toc26089"/>
      <w:r>
        <w:rPr>
          <w:rFonts w:hint="eastAsia" w:ascii="Times New Roman" w:hAnsi="Times New Roman" w:eastAsia="方正仿宋_GBK" w:cs="Times New Roman"/>
          <w:b/>
          <w:bCs/>
          <w:spacing w:val="-6"/>
          <w:sz w:val="30"/>
          <w:szCs w:val="30"/>
          <w:lang w:val="en-US" w:eastAsia="zh-CN"/>
        </w:rPr>
        <w:t>2.可持续影响性</w:t>
      </w:r>
      <w:bookmarkEnd w:id="157"/>
      <w:bookmarkEnd w:id="158"/>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（1）</w:t>
      </w:r>
      <w:r>
        <w:rPr>
          <w:rFonts w:hint="eastAsia" w:ascii="仿宋" w:hAnsi="仿宋" w:eastAsia="仿宋" w:cs="仿宋"/>
          <w:b/>
          <w:bCs/>
          <w:color w:val="000000" w:themeColor="text1"/>
          <w:kern w:val="2"/>
          <w:sz w:val="30"/>
          <w:szCs w:val="30"/>
          <w:lang w:val="en-US" w:eastAsia="zh-CN" w:bidi="ar-SA"/>
          <w14:textFill>
            <w14:solidFill>
              <w14:schemeClr w14:val="tx1"/>
            </w14:solidFill>
          </w14:textFill>
        </w:rPr>
        <w:t>长效机制健全性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①是否建立或具备长期维护机制、方案；②是否明确养护责任部门、配备维护管理人员；③养护维护支持经费来源是否有保障。项目在竣工后定制细化可操作执行的维护方案。</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分，根据评分标准</w:t>
      </w:r>
      <w:r>
        <w:rPr>
          <w:rFonts w:hint="eastAsia" w:ascii="Times New Roman" w:hAnsi="Times New Roman" w:eastAsia="方正仿宋_GBK" w:cs="Times New Roman"/>
          <w:spacing w:val="0"/>
          <w:kern w:val="0"/>
          <w:sz w:val="30"/>
          <w:szCs w:val="30"/>
          <w:lang w:val="en-US" w:eastAsia="zh-CN" w:bidi="zh-CN"/>
        </w:rPr>
        <w:t>得3</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投入使用后，项目实施单位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ind w:firstLine="632" w:firstLineChars="200"/>
        <w:textAlignment w:val="auto"/>
        <w:rPr>
          <w:rFonts w:hint="eastAsia" w:ascii="Times New Roman" w:hAnsi="Times New Roman" w:eastAsia="楷体" w:cs="Times New Roman"/>
          <w:b/>
          <w:kern w:val="2"/>
          <w:sz w:val="32"/>
          <w:szCs w:val="32"/>
          <w:lang w:val="en-US" w:eastAsia="zh-CN" w:bidi="ar-SA"/>
        </w:rPr>
      </w:pPr>
      <w:bookmarkStart w:id="159" w:name="_Toc16497"/>
      <w:bookmarkStart w:id="160" w:name="_Toc3765"/>
      <w:bookmarkStart w:id="161" w:name="_Toc9957"/>
      <w:bookmarkStart w:id="162" w:name="_Toc30814"/>
      <w:r>
        <w:rPr>
          <w:rFonts w:hint="eastAsia" w:ascii="Times New Roman" w:hAnsi="Times New Roman" w:eastAsia="楷体" w:cs="Times New Roman"/>
          <w:b/>
          <w:kern w:val="2"/>
          <w:sz w:val="32"/>
          <w:szCs w:val="32"/>
          <w:lang w:val="en-US" w:eastAsia="zh-CN" w:bidi="ar-SA"/>
        </w:rPr>
        <w:t>（2）</w:t>
      </w:r>
      <w:r>
        <w:rPr>
          <w:rFonts w:hint="eastAsia" w:ascii="Times New Roman" w:hAnsi="Times New Roman" w:cs="Times New Roman"/>
          <w:b/>
          <w:kern w:val="2"/>
          <w:sz w:val="32"/>
          <w:szCs w:val="32"/>
          <w:lang w:val="en-US" w:eastAsia="zh-CN" w:bidi="ar-SA"/>
        </w:rPr>
        <w:t>满意度</w:t>
      </w:r>
      <w:bookmarkEnd w:id="159"/>
      <w:bookmarkEnd w:id="160"/>
      <w:bookmarkEnd w:id="161"/>
      <w:bookmarkEnd w:id="162"/>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我们通过发放调查问卷的方式，对项目实施地区人员进行了满意度调查，调查问卷内容包括项目建设情况、项目设计、历史要素、人文环境等方面。经统计，项目整体的</w:t>
      </w:r>
      <w:r>
        <w:rPr>
          <w:rFonts w:hint="default" w:ascii="Times New Roman" w:hAnsi="Times New Roman" w:eastAsia="方正仿宋_GBK" w:cs="Times New Roman"/>
          <w:spacing w:val="0"/>
          <w:kern w:val="0"/>
          <w:sz w:val="30"/>
          <w:szCs w:val="30"/>
          <w:lang w:val="en-US" w:eastAsia="zh-CN" w:bidi="zh-CN"/>
        </w:rPr>
        <w:t>满意度≥90分。该指标本项满分10分，根据评分标准得10分。</w:t>
      </w:r>
    </w:p>
    <w:p>
      <w:pPr>
        <w:pStyle w:val="3"/>
        <w:ind w:firstLine="592" w:firstLineChars="200"/>
        <w:rPr>
          <w:rFonts w:hint="eastAsia" w:asciiTheme="majorEastAsia" w:hAnsiTheme="majorEastAsia" w:eastAsiaTheme="majorEastAsia" w:cstheme="majorEastAsia"/>
          <w:b/>
          <w:bCs/>
          <w:sz w:val="30"/>
          <w:szCs w:val="30"/>
        </w:rPr>
      </w:pPr>
      <w:bookmarkStart w:id="163" w:name="_Toc21324"/>
      <w:bookmarkStart w:id="164" w:name="_Toc1561"/>
      <w:bookmarkStart w:id="165" w:name="_Toc31782"/>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63"/>
      <w:bookmarkEnd w:id="164"/>
      <w:bookmarkEnd w:id="165"/>
    </w:p>
    <w:p>
      <w:pPr>
        <w:pStyle w:val="4"/>
        <w:ind w:firstLine="562"/>
        <w:rPr>
          <w:rFonts w:ascii="方正楷体_GBK" w:hAnsi="方正楷体_GBK" w:eastAsia="方正楷体_GBK" w:cs="方正楷体_GBK"/>
          <w:b/>
          <w:bCs w:val="0"/>
          <w:sz w:val="32"/>
          <w:szCs w:val="32"/>
        </w:rPr>
      </w:pPr>
      <w:bookmarkStart w:id="166" w:name="_Toc4904"/>
      <w:bookmarkStart w:id="167" w:name="_Toc19800"/>
      <w:bookmarkStart w:id="168" w:name="_Toc29347"/>
      <w:r>
        <w:rPr>
          <w:rFonts w:hint="eastAsia" w:ascii="方正楷体_GBK" w:hAnsi="方正楷体_GBK" w:eastAsia="方正楷体_GBK" w:cs="方正楷体_GBK"/>
          <w:b/>
          <w:bCs w:val="0"/>
          <w:sz w:val="32"/>
          <w:szCs w:val="32"/>
        </w:rPr>
        <w:t>（一）经验做法</w:t>
      </w:r>
      <w:bookmarkEnd w:id="166"/>
      <w:bookmarkEnd w:id="167"/>
      <w:bookmarkEnd w:id="168"/>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2022年老旧小区改造－文化街给排水管道更新工程建设项目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全面推行工程项目法人制、合同制、招标制和质量终身制，严格按照工程设计要求和施工标准进行施工，并聘请工程监理现场监督，发现问题，及时纠正，确保工程进度和质量；</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不断推动进展情况定期调度和督查通报机制；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组织监理公司和施工公司定期召开工地例会，针对工程质量、安全进度方面进行沟通，对存在的问题各方进行商讨解决，落实质量，严抓工程质量关，保证施工进度，努力创建标准化工地；</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69" w:name="_Toc13811"/>
      <w:bookmarkStart w:id="170" w:name="_Toc9130"/>
      <w:bookmarkStart w:id="171" w:name="_Toc14234"/>
      <w:r>
        <w:rPr>
          <w:rFonts w:hint="eastAsia" w:ascii="方正楷体_GBK" w:hAnsi="方正楷体_GBK" w:eastAsia="方正楷体_GBK" w:cs="方正楷体_GBK"/>
          <w:b/>
          <w:bCs w:val="0"/>
          <w:sz w:val="32"/>
          <w:szCs w:val="32"/>
        </w:rPr>
        <w:t>（二）存在的问题</w:t>
      </w:r>
      <w:bookmarkEnd w:id="169"/>
      <w:bookmarkEnd w:id="170"/>
      <w:bookmarkEnd w:id="171"/>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2.结算审核相对缓慢。</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exact"/>
        <w:ind w:firstLine="592" w:firstLineChars="200"/>
        <w:jc w:val="both"/>
        <w:textAlignment w:val="auto"/>
        <w:outlineLvl w:val="1"/>
        <w:rPr>
          <w:rFonts w:hint="eastAsia" w:ascii="Times New Roman" w:hAnsi="Times New Roman" w:eastAsia="方正仿宋_GBK" w:cs="Times New Roman"/>
          <w:b/>
          <w:bCs/>
          <w:kern w:val="2"/>
          <w:sz w:val="30"/>
          <w:szCs w:val="30"/>
          <w:lang w:val="en-US" w:eastAsia="zh-CN" w:bidi="zh-CN"/>
        </w:rPr>
      </w:pPr>
      <w:bookmarkStart w:id="172" w:name="_Toc17694"/>
      <w:r>
        <w:rPr>
          <w:rFonts w:hint="eastAsia" w:ascii="Times New Roman" w:hAnsi="Times New Roman" w:eastAsia="方正仿宋_GBK" w:cs="Times New Roman"/>
          <w:kern w:val="2"/>
          <w:sz w:val="30"/>
          <w:szCs w:val="30"/>
          <w:lang w:val="en-US" w:eastAsia="zh-CN" w:bidi="zh-CN"/>
        </w:rPr>
        <w:t>在资料审阅过程中发现，项目在竣工验收后，未及时编制结算审核、竣工财务决算等，不符合</w:t>
      </w:r>
      <w:r>
        <w:rPr>
          <w:rFonts w:hint="default" w:ascii="Times New Roman" w:hAnsi="Times New Roman" w:eastAsia="方正仿宋_GBK" w:cs="Times New Roman"/>
          <w:color w:val="000000"/>
          <w:kern w:val="0"/>
          <w:sz w:val="30"/>
          <w:szCs w:val="30"/>
          <w:lang w:val="en-US" w:eastAsia="zh-CN" w:bidi="ar"/>
        </w:rPr>
        <w:t>《基本建设项目竣工财务决算管理暂行办法》规定，建设单位应在项目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r>
        <w:rPr>
          <w:rFonts w:hint="eastAsia" w:ascii="Times New Roman" w:hAnsi="Times New Roman" w:eastAsia="方正仿宋_GBK" w:cs="Times New Roman"/>
          <w:color w:val="000000"/>
          <w:kern w:val="0"/>
          <w:sz w:val="30"/>
          <w:szCs w:val="30"/>
          <w:lang w:val="en-US" w:eastAsia="zh-CN" w:bidi="ar"/>
        </w:rPr>
        <w:t>。</w:t>
      </w:r>
      <w:bookmarkEnd w:id="172"/>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3.改造与管理衔接不到位。</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exact"/>
        <w:ind w:firstLine="592" w:firstLineChars="200"/>
        <w:jc w:val="both"/>
        <w:textAlignment w:val="auto"/>
        <w:outlineLvl w:val="1"/>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老旧小区改造各参与方普遍存在重改造轻管理的观念，把大部分资金和精力用在前期改造，但在改造完成后缺乏相应的管理机制来维护和保持改造成果。缺乏整体规划，导致没有机构有效组织和实施日常管理工作，小区环境在工程质保年限过后迅速变差，无法令居民满意。</w:t>
      </w:r>
    </w:p>
    <w:p>
      <w:pPr>
        <w:keepNext w:val="0"/>
        <w:keepLines w:val="0"/>
        <w:pageBreakBefore w:val="0"/>
        <w:widowControl w:val="0"/>
        <w:numPr>
          <w:ilvl w:val="0"/>
          <w:numId w:val="0"/>
        </w:numPr>
        <w:kinsoku/>
        <w:wordWrap/>
        <w:overflowPunct w:val="0"/>
        <w:topLinePunct w:val="0"/>
        <w:autoSpaceDE/>
        <w:autoSpaceDN/>
        <w:bidi w:val="0"/>
        <w:adjustRightInd/>
        <w:snapToGrid w:val="0"/>
        <w:spacing w:after="0" w:line="560" w:lineRule="exact"/>
        <w:ind w:firstLine="592" w:firstLineChars="200"/>
        <w:jc w:val="both"/>
        <w:textAlignment w:val="auto"/>
        <w:outlineLvl w:val="1"/>
        <w:rPr>
          <w:rFonts w:hint="eastAsia" w:ascii="Times New Roman" w:hAnsi="Times New Roman" w:eastAsia="方正仿宋_GBK" w:cs="Times New Roman"/>
          <w:kern w:val="2"/>
          <w:sz w:val="30"/>
          <w:szCs w:val="30"/>
          <w:lang w:val="en-US" w:eastAsia="zh-CN" w:bidi="zh-CN"/>
        </w:rPr>
      </w:pP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73" w:name="_Toc24084"/>
      <w:r>
        <w:rPr>
          <w:rFonts w:hint="eastAsia" w:ascii="方正楷体_GBK" w:hAnsi="方正楷体_GBK" w:eastAsia="方正楷体_GBK" w:cs="方正楷体_GBK"/>
          <w:color w:val="333333"/>
          <w:sz w:val="30"/>
          <w:szCs w:val="30"/>
          <w:shd w:val="clear" w:fill="FFFFFF"/>
          <w:lang w:val="en-US" w:eastAsia="zh-CN" w:bidi="zh-CN"/>
        </w:rPr>
        <w:t>（三）建议</w:t>
      </w:r>
      <w:bookmarkEnd w:id="173"/>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文件，完善项目支出预算绩效目标编制，并撰写自评报告。同时，财政和业务主管部门应加强指导监督。</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2.压实目标任务，紧盯进度计划</w:t>
      </w:r>
      <w:r>
        <w:rPr>
          <w:rFonts w:hint="eastAsia" w:ascii="仿宋" w:hAnsi="仿宋" w:cs="仿宋"/>
          <w:b/>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exact"/>
        <w:ind w:leftChars="0" w:firstLine="592" w:firstLineChars="200"/>
        <w:jc w:val="both"/>
        <w:textAlignment w:val="auto"/>
        <w:outlineLvl w:val="1"/>
        <w:rPr>
          <w:rFonts w:hint="eastAsia" w:ascii="Times New Roman" w:hAnsi="Times New Roman" w:eastAsia="方正仿宋_GBK" w:cs="Times New Roman"/>
          <w:b/>
          <w:bCs/>
          <w:kern w:val="2"/>
          <w:sz w:val="30"/>
          <w:szCs w:val="30"/>
          <w:lang w:val="en-US" w:eastAsia="zh-CN" w:bidi="zh-CN"/>
        </w:rPr>
      </w:pPr>
      <w:r>
        <w:rPr>
          <w:rFonts w:hint="eastAsia" w:ascii="方正仿宋_GBK" w:hAnsi="方正仿宋_GBK" w:eastAsia="方正仿宋_GBK" w:cs="方正仿宋_GBK"/>
          <w:b/>
          <w:bCs/>
          <w:color w:val="000000"/>
          <w:kern w:val="0"/>
          <w:sz w:val="30"/>
          <w:szCs w:val="30"/>
          <w:lang w:val="en-US" w:eastAsia="zh-CN" w:bidi="ar"/>
        </w:rPr>
        <w:t>一是</w:t>
      </w:r>
      <w:r>
        <w:rPr>
          <w:rFonts w:hint="eastAsia" w:ascii="方正仿宋_GBK" w:hAnsi="方正仿宋_GBK" w:eastAsia="方正仿宋_GBK" w:cs="方正仿宋_GBK"/>
          <w:color w:val="000000"/>
          <w:kern w:val="0"/>
          <w:sz w:val="30"/>
          <w:szCs w:val="30"/>
          <w:lang w:val="en-US" w:eastAsia="zh-CN" w:bidi="ar"/>
        </w:rPr>
        <w:t>对已竣工验收未进行工程结算审核的项目进行工程结算审核，真实反映工程造价，保证资金合理使用和工程质量，有效控制项目建设投资；</w:t>
      </w:r>
      <w:r>
        <w:rPr>
          <w:rFonts w:hint="eastAsia" w:ascii="方正仿宋_GBK" w:hAnsi="方正仿宋_GBK" w:eastAsia="方正仿宋_GBK" w:cs="方正仿宋_GBK"/>
          <w:b/>
          <w:bCs/>
          <w:color w:val="000000"/>
          <w:kern w:val="0"/>
          <w:sz w:val="30"/>
          <w:szCs w:val="30"/>
          <w:lang w:val="en-US" w:eastAsia="zh-CN" w:bidi="ar"/>
        </w:rPr>
        <w:t>二是</w:t>
      </w:r>
      <w:r>
        <w:rPr>
          <w:rFonts w:hint="eastAsia" w:ascii="方正仿宋_GBK" w:hAnsi="方正仿宋_GBK" w:eastAsia="方正仿宋_GBK" w:cs="方正仿宋_GBK"/>
          <w:color w:val="000000"/>
          <w:kern w:val="0"/>
          <w:sz w:val="30"/>
          <w:szCs w:val="30"/>
          <w:lang w:val="en-US" w:eastAsia="zh-CN" w:bidi="ar"/>
        </w:rPr>
        <w:t>实施完成的项目经过检查验收后，形成资产移交，并记入固定资产账，日常管护工作应制定详细养护管理方案，尽早发挥效益。</w:t>
      </w:r>
    </w:p>
    <w:p>
      <w:pPr>
        <w:keepNext w:val="0"/>
        <w:keepLines w:val="0"/>
        <w:pageBreakBefore w:val="0"/>
        <w:widowControl w:val="0"/>
        <w:numPr>
          <w:ilvl w:val="0"/>
          <w:numId w:val="0"/>
        </w:numPr>
        <w:kinsoku/>
        <w:wordWrap/>
        <w:overflowPunct w:val="0"/>
        <w:topLinePunct w:val="0"/>
        <w:autoSpaceDE/>
        <w:autoSpaceDN/>
        <w:bidi w:val="0"/>
        <w:adjustRightInd/>
        <w:snapToGrid/>
        <w:ind w:leftChars="200"/>
        <w:jc w:val="both"/>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3.强化宣传引导，建立长效机制。</w:t>
      </w:r>
    </w:p>
    <w:p>
      <w:pPr>
        <w:keepNext w:val="0"/>
        <w:keepLines w:val="0"/>
        <w:pageBreakBefore w:val="0"/>
        <w:widowControl w:val="0"/>
        <w:kinsoku/>
        <w:wordWrap/>
        <w:overflowPunct/>
        <w:topLinePunct w:val="0"/>
        <w:autoSpaceDE/>
        <w:autoSpaceDN/>
        <w:bidi w:val="0"/>
        <w:adjustRightInd/>
        <w:snapToGrid w:val="0"/>
        <w:ind w:firstLine="592" w:firstLineChars="200"/>
        <w:textAlignment w:val="auto"/>
        <w:rPr>
          <w:rFonts w:hint="eastAsia"/>
          <w:lang w:val="en-US" w:eastAsia="zh-CN"/>
        </w:rPr>
      </w:pPr>
      <w:r>
        <w:rPr>
          <w:rFonts w:hint="eastAsia" w:ascii="方正仿宋_GBK" w:hAnsi="方正仿宋_GBK" w:eastAsia="方正仿宋_GBK" w:cs="方正仿宋_GBK"/>
          <w:color w:val="000000"/>
          <w:kern w:val="0"/>
          <w:sz w:val="30"/>
          <w:szCs w:val="30"/>
          <w:lang w:val="en-US" w:eastAsia="zh-CN" w:bidi="ar"/>
        </w:rPr>
        <w:t>小区改造前，要明确升级改造时间和目标并在小区显著位置予以公示，让居民深刻感受到旧改工作将会给他们生活和居住环境带来的深远影响；社区要采取多种形式进行物业管理政策法规和物业管理知识的宣传，让居民理解实施物业管理的意义，提高广大居民对物业管理的认知程度。物业服务企业进驻后，对服务项目、服务内容、服务标准、财务收支、成本核算、双方的权利和义务都要在小区进行公示张贴，增加物业服务的透明度，让广大居民知晓物业服务收费的合理性和合法性，逐步培养居民的物业服务消费意识，逐步提高小区物业费的收缴率。此外，还要稳步推进人民调解、综合执法进小区活动，逐步建立起老旧小区管理的长效机制。</w:t>
      </w:r>
    </w:p>
    <w:p>
      <w:pPr>
        <w:keepNext w:val="0"/>
        <w:keepLines w:val="0"/>
        <w:pageBreakBefore w:val="0"/>
        <w:widowControl/>
        <w:numPr>
          <w:ilvl w:val="0"/>
          <w:numId w:val="5"/>
        </w:numPr>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eastAsia" w:asciiTheme="majorEastAsia" w:hAnsiTheme="majorEastAsia" w:eastAsiaTheme="majorEastAsia" w:cstheme="majorEastAsia"/>
          <w:b/>
          <w:bCs/>
          <w:kern w:val="44"/>
          <w:sz w:val="30"/>
          <w:szCs w:val="30"/>
          <w:lang w:val="en-US" w:eastAsia="zh-CN" w:bidi="ar-SA"/>
        </w:rPr>
        <w:t>其他需要说明的问题</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本绩效评价报告是在被评价单位提供项目资料的基础上核实、分析而完成的，评价工作组现场核实的事项仅限于</w:t>
      </w:r>
      <w:r>
        <w:rPr>
          <w:rFonts w:hint="eastAsia" w:ascii="Times New Roman" w:hAnsi="Times New Roman" w:eastAsia="方正仿宋_GBK" w:cs="Times New Roman"/>
          <w:color w:val="000000"/>
          <w:kern w:val="0"/>
          <w:sz w:val="30"/>
          <w:szCs w:val="30"/>
          <w:lang w:val="en-US" w:eastAsia="zh-CN" w:bidi="ar"/>
        </w:rPr>
        <w:t>2022年老旧小区改造－文化街给排水管道更新工程</w:t>
      </w:r>
      <w:r>
        <w:rPr>
          <w:rFonts w:hint="default" w:ascii="Times New Roman" w:hAnsi="Times New Roman" w:eastAsia="方正仿宋_GBK" w:cs="Times New Roman"/>
          <w:color w:val="000000"/>
          <w:kern w:val="0"/>
          <w:sz w:val="30"/>
          <w:szCs w:val="30"/>
          <w:lang w:val="en-US" w:eastAsia="zh-CN" w:bidi="ar"/>
        </w:rPr>
        <w:t>建设项目项目补助资金有关的方面。同时评价报告及结论也受评价人员对项目的了解程度、专业知识和评价能力的限制，因此，本绩效评价报告仅对</w:t>
      </w:r>
      <w:r>
        <w:rPr>
          <w:rFonts w:hint="eastAsia" w:ascii="Times New Roman" w:hAnsi="Times New Roman" w:eastAsia="方正仿宋_GBK" w:cs="Times New Roman"/>
          <w:color w:val="000000"/>
          <w:kern w:val="0"/>
          <w:sz w:val="30"/>
          <w:szCs w:val="30"/>
          <w:lang w:val="en-US" w:eastAsia="zh-CN" w:bidi="ar"/>
        </w:rPr>
        <w:t>2022年老旧小区改造－文化街给排水管道更新工程</w:t>
      </w:r>
      <w:r>
        <w:rPr>
          <w:rFonts w:hint="default" w:ascii="Times New Roman" w:hAnsi="Times New Roman" w:eastAsia="方正仿宋_GBK" w:cs="Times New Roman"/>
          <w:color w:val="000000"/>
          <w:kern w:val="0"/>
          <w:sz w:val="30"/>
          <w:szCs w:val="30"/>
          <w:lang w:val="en-US" w:eastAsia="zh-CN" w:bidi="ar"/>
        </w:rPr>
        <w:t>建设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项目访谈方案及访谈记录</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3.项目问卷调查</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4.绩效评价报告（征求意见稿）意见反馈表</w:t>
      </w: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pStyle w:val="2"/>
        <w:rPr>
          <w:rFonts w:hint="eastAsia" w:ascii="Times New Roman" w:hAnsi="Times New Roman" w:eastAsia="方正仿宋_GB2312" w:cs="Times New Roman"/>
          <w:sz w:val="28"/>
          <w:szCs w:val="28"/>
          <w:lang w:val="zh-CN"/>
        </w:rPr>
      </w:pPr>
    </w:p>
    <w:p>
      <w:pPr>
        <w:rPr>
          <w:rFonts w:hint="eastAsia"/>
          <w:lang w:val="zh-CN"/>
        </w:rPr>
      </w:pPr>
    </w:p>
    <w:p>
      <w:pPr>
        <w:pStyle w:val="5"/>
        <w:rPr>
          <w:rFonts w:hint="eastAsia" w:ascii="Times New Roman" w:hAnsi="Times New Roman" w:eastAsia="方正仿宋_GB2312" w:cs="Times New Roman"/>
          <w:sz w:val="28"/>
          <w:szCs w:val="28"/>
          <w:lang w:val="zh-CN"/>
        </w:rPr>
      </w:pPr>
    </w:p>
    <w:p>
      <w:pPr>
        <w:pStyle w:val="5"/>
        <w:rPr>
          <w:rFonts w:hint="eastAsia"/>
          <w:lang w:val="zh-CN"/>
        </w:rPr>
      </w:pPr>
    </w:p>
    <w:p>
      <w:pPr>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default" w:ascii="方正仿宋_GBK" w:hAnsi="方正仿宋_GBK" w:eastAsia="方正仿宋_GBK" w:cs="方正仿宋_GBK"/>
          <w:kern w:val="2"/>
          <w:sz w:val="30"/>
          <w:szCs w:val="30"/>
          <w:lang w:val="en-US" w:eastAsia="zh-CN" w:bidi="ar-SA"/>
        </w:rPr>
      </w:pPr>
      <w:r>
        <w:rPr>
          <w:rFonts w:hint="eastAsia" w:ascii="Times New Roman" w:hAnsi="Times New Roman" w:eastAsia="方正仿宋_GB2312" w:cs="Times New Roman"/>
          <w:b w:val="0"/>
          <w:sz w:val="28"/>
          <w:szCs w:val="28"/>
          <w:lang w:val="en-US" w:eastAsia="zh-CN"/>
        </w:rPr>
        <w:t xml:space="preserve">                                        </w:t>
      </w:r>
      <w:bookmarkEnd w:id="50"/>
      <w:bookmarkEnd w:id="51"/>
      <w:bookmarkEnd w:id="52"/>
      <w:bookmarkEnd w:id="53"/>
      <w:bookmarkEnd w:id="54"/>
      <w:bookmarkEnd w:id="55"/>
      <w:bookmarkEnd w:id="56"/>
      <w:bookmarkEnd w:id="57"/>
      <w:r>
        <w:rPr>
          <w:rFonts w:hint="eastAsia" w:ascii="Times New Roman" w:hAnsi="Times New Roman" w:eastAsia="方正仿宋_GB2312" w:cs="Times New Roman"/>
          <w:b w:val="0"/>
          <w:sz w:val="28"/>
          <w:szCs w:val="28"/>
          <w:lang w:val="en-US" w:eastAsia="zh-CN"/>
        </w:rPr>
        <w:t>2023年12月31日</w:t>
      </w:r>
      <w:bookmarkEnd w:id="29"/>
      <w:bookmarkEnd w:id="58"/>
      <w:bookmarkStart w:id="174" w:name="_Toc5302"/>
      <w:bookmarkStart w:id="175" w:name="_Toc20313"/>
      <w:r>
        <w:rPr>
          <w:rFonts w:hint="eastAsia" w:ascii="方正仿宋_GBK" w:hAnsi="方正仿宋_GBK" w:eastAsia="方正仿宋_GBK" w:cs="方正仿宋_GBK"/>
          <w:b w:val="0"/>
          <w:bCs w:val="0"/>
          <w:kern w:val="2"/>
          <w:sz w:val="30"/>
          <w:szCs w:val="30"/>
          <w:lang w:val="en-US" w:eastAsia="zh-CN" w:bidi="ar-SA"/>
        </w:rPr>
        <w:t xml:space="preserve">     </w:t>
      </w:r>
    </w:p>
    <w:p>
      <w:pPr>
        <w:rPr>
          <w:rFonts w:hint="default"/>
          <w:lang w:val="en-US" w:eastAsia="zh-CN"/>
        </w:rPr>
        <w:sectPr>
          <w:headerReference r:id="rId7" w:type="default"/>
          <w:footerReference r:id="rId8" w:type="default"/>
          <w:pgSz w:w="11906" w:h="16838"/>
          <w:pgMar w:top="2098" w:right="1587" w:bottom="2098" w:left="1587" w:header="1587" w:footer="935" w:gutter="0"/>
          <w:pgNumType w:fmt="decimal" w:start="1"/>
          <w:cols w:space="0" w:num="1"/>
          <w:rtlGutter w:val="0"/>
          <w:docGrid w:type="linesAndChars" w:linePitch="589" w:charSpace="-842"/>
        </w:sectPr>
      </w:pPr>
    </w:p>
    <w:bookmarkEnd w:id="174"/>
    <w:bookmarkEnd w:id="175"/>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2022年老旧小区改造－文化街给排水管道更新工程建设项目绩效评价指标体系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1"/>
        <w:tblW w:w="207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3"/>
                <w:rFonts w:hint="default" w:ascii="Times New Roman" w:hAnsi="Times New Roman" w:cs="Times New Roman"/>
                <w:lang w:val="en-US" w:eastAsia="zh-CN" w:bidi="ar"/>
              </w:rPr>
              <w:t>项目是否属于公共财政支持范围，是否符合中央地方事权支出责任划分原则</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3"/>
                <w:rFonts w:hint="default" w:ascii="Times New Roman" w:hAnsi="Times New Roman" w:cs="Times New Roman"/>
                <w:lang w:val="en-US" w:eastAsia="zh-CN" w:bidi="ar"/>
              </w:rPr>
              <w:t>项目是否与相关部门同类项目或部门内部相关项目重复</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w:t>
            </w:r>
            <w:r>
              <w:rPr>
                <w:rFonts w:hint="default" w:ascii="Times New Roman" w:hAnsi="Times New Roman" w:eastAsia="方正仿宋_GBK" w:cs="Times New Roman"/>
                <w:i w:val="0"/>
                <w:iCs w:val="0"/>
                <w:color w:val="000000"/>
                <w:kern w:val="0"/>
                <w:sz w:val="22"/>
                <w:szCs w:val="22"/>
                <w:u w:val="none"/>
                <w:lang w:val="en-US" w:eastAsia="zh-CN" w:bidi="ar"/>
              </w:rPr>
              <w:t>设定了绩效目标。</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未编制</w:t>
            </w:r>
            <w:r>
              <w:rPr>
                <w:rFonts w:hint="default" w:ascii="Times New Roman" w:hAnsi="Times New Roman" w:eastAsia="方正仿宋_GBK" w:cs="Times New Roman"/>
                <w:i w:val="0"/>
                <w:iCs w:val="0"/>
                <w:color w:val="000000"/>
                <w:kern w:val="0"/>
                <w:sz w:val="22"/>
                <w:szCs w:val="22"/>
                <w:u w:val="none"/>
                <w:lang w:val="en-US" w:eastAsia="zh-CN" w:bidi="ar"/>
              </w:rPr>
              <w:t>绩效目标，</w:t>
            </w:r>
            <w:r>
              <w:rPr>
                <w:rFonts w:hint="eastAsia" w:ascii="Times New Roman" w:hAnsi="Times New Roman" w:eastAsia="方正仿宋_GBK" w:cs="Times New Roman"/>
                <w:i w:val="0"/>
                <w:iCs w:val="0"/>
                <w:color w:val="000000"/>
                <w:kern w:val="0"/>
                <w:sz w:val="22"/>
                <w:szCs w:val="22"/>
                <w:u w:val="none"/>
                <w:lang w:val="en-US" w:eastAsia="zh-CN" w:bidi="ar"/>
              </w:rPr>
              <w:t>指标不能够</w:t>
            </w:r>
            <w:r>
              <w:rPr>
                <w:rFonts w:hint="default" w:ascii="Times New Roman" w:hAnsi="Times New Roman" w:eastAsia="方正仿宋_GBK" w:cs="Times New Roman"/>
                <w:i w:val="0"/>
                <w:iCs w:val="0"/>
                <w:color w:val="000000"/>
                <w:kern w:val="0"/>
                <w:sz w:val="22"/>
                <w:szCs w:val="22"/>
                <w:u w:val="none"/>
                <w:lang w:val="en-US" w:eastAsia="zh-CN" w:bidi="ar"/>
              </w:rPr>
              <w:t>清晰、细化、可衡量。</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项目预算资金483.00万元，实际支出483.00万元，预算执行率100%。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资金执行率=实际支付资金/实际到位资金×100%，专项资金执行率95%得满分。否则本指标得分=资金执行率×分值。</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25%，要素D2不符合，扣除对应权重分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此项目财务和业务管理制度合法、合规、完整。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实施项目整体完成率</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8</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较及时。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未发生超预算现象。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推动基础教育质量</w:t>
            </w:r>
          </w:p>
        </w:tc>
        <w:tc>
          <w:tcPr>
            <w:tcW w:w="2365"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推动基础教育质量稳步提升，义务教育学校办学条件改善效果</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长效机制健全性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建立健全长期可维护机制</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考察项目结束后档案归档情况。</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：项目档案管理机制是否健全且执行有效。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728" w:firstLineChars="800"/>
              <w:jc w:val="both"/>
              <w:textAlignment w:val="center"/>
              <w:rPr>
                <w:rStyle w:val="31"/>
                <w:rFonts w:hint="default"/>
                <w:lang w:val="en-US" w:eastAsia="zh-CN" w:bidi="ar"/>
              </w:rPr>
            </w:pPr>
            <w:bookmarkStart w:id="183" w:name="_GoBack"/>
            <w:bookmarkEnd w:id="183"/>
            <w:r>
              <w:rPr>
                <w:rStyle w:val="31"/>
                <w:rFonts w:hint="eastAsia"/>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87</w:t>
            </w:r>
          </w:p>
        </w:tc>
      </w:tr>
    </w:tbl>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kern w:val="2"/>
          <w:sz w:val="30"/>
          <w:szCs w:val="30"/>
          <w:lang w:val="en-US" w:eastAsia="zh-CN" w:bidi="ar-SA"/>
        </w:rPr>
      </w:pPr>
    </w:p>
    <w:p>
      <w:pPr>
        <w:ind w:left="0" w:leftChars="0" w:firstLine="0" w:firstLineChars="0"/>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pStyle w:val="2"/>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同心县2022年老旧小区改造－文化街给排水管道更新工程建设</w:t>
      </w:r>
    </w:p>
    <w:p>
      <w:pPr>
        <w:pStyle w:val="2"/>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项目访谈方案</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专项资金项目的组织、实施、管理的具体情况，发现部门运行和管理中的问题，评估财政部门资金的使用以及部门职能，了解和评估财政资金使用的效率和效益，发现资金使用和管理中的问题，为项目的管理和执行提供充分的决策依据。</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一</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同心县住房和城乡建设局财务科室负责人</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二</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三</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lang w:val="en-US" w:eastAsia="zh-CN"/>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四</w:t>
      </w:r>
      <w:r>
        <w:rPr>
          <w:rStyle w:val="24"/>
          <w:rFonts w:hint="eastAsia" w:ascii="方正仿宋_GBK" w:hAnsi="方正仿宋_GBK" w:eastAsia="方正仿宋_GBK" w:cs="方正仿宋_GBK"/>
          <w:color w:val="000000"/>
          <w:sz w:val="30"/>
          <w:szCs w:val="30"/>
          <w:lang w:eastAsia="zh-CN"/>
        </w:rPr>
        <w:t>）访谈</w:t>
      </w:r>
      <w:r>
        <w:rPr>
          <w:rStyle w:val="24"/>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default" w:ascii="方正仿宋_GBK" w:hAnsi="方正仿宋_GBK" w:eastAsia="方正仿宋_GBK" w:cs="方正仿宋_GBK"/>
          <w:b w:val="0"/>
          <w:bCs w:val="0"/>
          <w:kern w:val="0"/>
          <w:sz w:val="30"/>
          <w:szCs w:val="30"/>
          <w:lang w:val="en-US" w:eastAsia="zh-CN" w:bidi="zh-CN"/>
        </w:rPr>
        <w:t>1.</w:t>
      </w:r>
      <w:r>
        <w:rPr>
          <w:rFonts w:hint="eastAsia" w:ascii="方正仿宋_GBK" w:hAnsi="方正仿宋_GBK" w:eastAsia="方正仿宋_GBK" w:cs="方正仿宋_GBK"/>
          <w:b w:val="0"/>
          <w:bCs w:val="0"/>
          <w:kern w:val="0"/>
          <w:sz w:val="30"/>
          <w:szCs w:val="30"/>
          <w:lang w:val="en-US" w:eastAsia="zh-CN" w:bidi="zh-CN"/>
        </w:rPr>
        <w:t>请简要介绍一</w:t>
      </w:r>
      <w:r>
        <w:rPr>
          <w:rFonts w:hint="default" w:ascii="Times New Roman" w:hAnsi="Times New Roman" w:eastAsia="方正仿宋_GBK" w:cs="Times New Roman"/>
          <w:b w:val="0"/>
          <w:bCs w:val="0"/>
          <w:kern w:val="0"/>
          <w:sz w:val="30"/>
          <w:szCs w:val="30"/>
          <w:lang w:val="en-US" w:eastAsia="zh-CN" w:bidi="zh-CN"/>
        </w:rPr>
        <w:t>下</w:t>
      </w:r>
      <w:r>
        <w:rPr>
          <w:rFonts w:hint="eastAsia" w:ascii="Times New Roman" w:hAnsi="Times New Roman" w:eastAsia="方正仿宋_GBK" w:cs="Times New Roman"/>
          <w:b w:val="0"/>
          <w:bCs w:val="0"/>
          <w:kern w:val="0"/>
          <w:sz w:val="30"/>
          <w:szCs w:val="30"/>
          <w:lang w:val="en-US" w:eastAsia="zh-CN" w:bidi="zh-CN"/>
        </w:rPr>
        <w:t>同心县</w:t>
      </w:r>
      <w:r>
        <w:rPr>
          <w:rFonts w:hint="default" w:ascii="Times New Roman" w:hAnsi="Times New Roman" w:eastAsia="方正仿宋_GBK" w:cs="Times New Roman"/>
          <w:b w:val="0"/>
          <w:bCs w:val="0"/>
          <w:kern w:val="0"/>
          <w:sz w:val="30"/>
          <w:szCs w:val="30"/>
          <w:lang w:val="en-US" w:eastAsia="zh-CN" w:bidi="zh-CN"/>
        </w:rPr>
        <w:t>2022年老旧小区改造</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文化街给排水管道更</w:t>
      </w:r>
      <w:r>
        <w:rPr>
          <w:rFonts w:hint="eastAsia" w:ascii="方正仿宋_GBK" w:hAnsi="方正仿宋_GBK" w:eastAsia="方正仿宋_GBK" w:cs="方正仿宋_GBK"/>
          <w:b w:val="0"/>
          <w:bCs w:val="0"/>
          <w:kern w:val="0"/>
          <w:sz w:val="30"/>
          <w:szCs w:val="30"/>
          <w:lang w:val="en-US" w:eastAsia="zh-CN" w:bidi="zh-CN"/>
        </w:rPr>
        <w:t>新工程建设项目实施中主要负责的工作内容？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de-DE" w:eastAsia="zh-CN" w:bidi="zh-CN"/>
        </w:rPr>
      </w:pPr>
      <w:bookmarkStart w:id="176" w:name="_Toc387361423"/>
      <w:bookmarkStart w:id="177" w:name="_Toc393466358"/>
      <w:bookmarkStart w:id="178" w:name="_Toc385522401"/>
      <w:bookmarkStart w:id="179" w:name="_Toc396323558"/>
      <w:bookmarkStart w:id="180" w:name="_Toc385521993"/>
      <w:bookmarkStart w:id="181" w:name="_Toc385352814"/>
      <w:bookmarkStart w:id="182" w:name="_Toc390983233"/>
      <w:r>
        <w:rPr>
          <w:rFonts w:hint="eastAsia" w:ascii="Times New Roman" w:hAnsi="Times New Roman" w:eastAsia="方正仿宋_GBK" w:cs="Times New Roman"/>
          <w:b w:val="0"/>
          <w:bCs w:val="0"/>
          <w:kern w:val="0"/>
          <w:sz w:val="30"/>
          <w:szCs w:val="30"/>
          <w:lang w:val="en-US" w:eastAsia="zh-CN" w:bidi="zh-CN"/>
        </w:rPr>
        <w:t>3.项目实施效果和意义，</w:t>
      </w:r>
      <w:r>
        <w:rPr>
          <w:rFonts w:hint="eastAsia"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4.请您简要介绍</w:t>
      </w:r>
      <w:r>
        <w:rPr>
          <w:rFonts w:hint="eastAsia" w:ascii="Times New Roman" w:hAnsi="Times New Roman" w:eastAsia="方正仿宋_GBK" w:cs="Times New Roman"/>
          <w:b w:val="0"/>
          <w:bCs w:val="0"/>
          <w:kern w:val="0"/>
          <w:sz w:val="30"/>
          <w:szCs w:val="30"/>
          <w:lang w:val="de-DE" w:eastAsia="zh-CN" w:bidi="zh-CN"/>
        </w:rPr>
        <w:t>项目</w:t>
      </w:r>
      <w:r>
        <w:rPr>
          <w:rFonts w:hint="eastAsia"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6.项目实施过程中采取了哪些控制措施？</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仿宋" w:hAnsi="仿宋" w:eastAsia="仿宋" w:cs="仿宋"/>
          <w:b w:val="0"/>
          <w:bCs w:val="0"/>
          <w:sz w:val="32"/>
          <w:szCs w:val="32"/>
          <w:lang w:val="en-US" w:eastAsia="zh-CN"/>
        </w:rPr>
      </w:pPr>
      <w:r>
        <w:rPr>
          <w:rFonts w:hint="eastAsia" w:ascii="Times New Roman" w:hAnsi="Times New Roman" w:eastAsia="方正仿宋_GBK" w:cs="Times New Roman"/>
          <w:b w:val="0"/>
          <w:bCs w:val="0"/>
          <w:kern w:val="0"/>
          <w:sz w:val="30"/>
          <w:szCs w:val="30"/>
          <w:lang w:val="en-US" w:eastAsia="zh-CN" w:bidi="zh-CN"/>
        </w:rPr>
        <w:t>7.</w:t>
      </w:r>
      <w:bookmarkEnd w:id="176"/>
      <w:bookmarkEnd w:id="177"/>
      <w:bookmarkEnd w:id="178"/>
      <w:bookmarkEnd w:id="179"/>
      <w:bookmarkEnd w:id="180"/>
      <w:bookmarkEnd w:id="181"/>
      <w:bookmarkEnd w:id="182"/>
      <w:r>
        <w:rPr>
          <w:rFonts w:hint="eastAsia" w:ascii="仿宋" w:hAnsi="仿宋" w:eastAsia="仿宋" w:cs="仿宋"/>
          <w:b w:val="0"/>
          <w:bCs w:val="0"/>
          <w:sz w:val="32"/>
          <w:szCs w:val="32"/>
          <w:lang w:val="en-US" w:eastAsia="zh-CN"/>
        </w:rPr>
        <w:t>项目过程中都有哪些好的经验做法？项目开展都有哪些难点和建议？</w:t>
      </w:r>
    </w:p>
    <w:p>
      <w:pPr>
        <w:pStyle w:val="4"/>
        <w:pageBreakBefore w:val="0"/>
        <w:widowControl w:val="0"/>
        <w:kinsoku/>
        <w:wordWrap/>
        <w:topLinePunct w:val="0"/>
        <w:bidi w:val="0"/>
        <w:adjustRightInd/>
        <w:snapToGrid/>
        <w:spacing w:beforeLines="0" w:afterLines="0"/>
        <w:textAlignment w:val="auto"/>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lang w:val="en-US" w:eastAsia="zh-CN"/>
        </w:rPr>
      </w:pPr>
    </w:p>
    <w:p>
      <w:pPr>
        <w:rPr>
          <w:rFonts w:hint="eastAsia" w:ascii="仿宋" w:hAnsi="仿宋" w:eastAsia="仿宋" w:cs="仿宋"/>
          <w:b w:val="0"/>
          <w:bCs w:val="0"/>
          <w:sz w:val="32"/>
          <w:szCs w:val="32"/>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附件3</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同心县2022年老旧小区改造－文化街给排水管道更新工程</w:t>
      </w:r>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建设项目调查问卷样本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2022年老旧小区改造配套基础设施－文化街给排水管道更新工程建设项目（给水、排水、供暖管道更新）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1.</w:t>
      </w:r>
      <w:r>
        <w:rPr>
          <w:rFonts w:hint="eastAsia" w:ascii="Times New Roman" w:hAnsi="Times New Roman" w:eastAsia="方正仿宋_GBK" w:cs="Times New Roman"/>
          <w:b w:val="0"/>
          <w:bCs w:val="0"/>
          <w:kern w:val="0"/>
          <w:sz w:val="30"/>
          <w:szCs w:val="30"/>
          <w:lang w:val="en-US" w:eastAsia="zh-CN" w:bidi="zh-CN"/>
        </w:rPr>
        <w:t>请问您得年龄？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□20岁以下   □21-40岁  □41-60岁  □61岁以上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2.</w:t>
      </w:r>
      <w:r>
        <w:rPr>
          <w:rFonts w:hint="eastAsia" w:ascii="Times New Roman" w:hAnsi="Times New Roman" w:cs="Times New Roman"/>
          <w:sz w:val="30"/>
          <w:szCs w:val="30"/>
          <w:lang w:val="en-US" w:eastAsia="zh-CN"/>
        </w:rPr>
        <w:t>请问您的文化程度？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□中专及以下 □大专   □本科     □研究生及以上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3.请问您</w:t>
      </w:r>
      <w:r>
        <w:rPr>
          <w:rFonts w:hint="eastAsia" w:ascii="Times New Roman" w:hAnsi="Times New Roman" w:cs="Times New Roman"/>
          <w:sz w:val="30"/>
          <w:szCs w:val="30"/>
          <w:lang w:val="en-US" w:eastAsia="zh-CN"/>
        </w:rPr>
        <w:t>是否为同心县当地居民？</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□是     □否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（二）满意度问题</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1.您对2022年老旧小区改造－文化街给排水管道更新工程建设项目建设是否满意？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2.您对2022年老旧小区改造－文化街给排水管道更新工程建设项目施工过程的管理是否满意？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3.您对2022年老旧小区改造－文化街给排水管道更新工程建设项目中学综合楼项目工程总体进度是否满意？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（三）开放问题</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您对2022年老旧小区改造配套基础设施－文化街给排水管道更新工程建设项目还有什么意见和建议？</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附件4</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center"/>
        <w:textAlignment w:val="auto"/>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72" w:firstLineChars="200"/>
        <w:jc w:val="both"/>
        <w:textAlignment w:val="auto"/>
        <w:rPr>
          <w:rFonts w:hint="eastAsia" w:ascii="Times New Roman" w:hAnsi="Times New Roman" w:eastAsia="仿宋" w:cs="Times New Roman"/>
          <w:kern w:val="2"/>
          <w:sz w:val="30"/>
          <w:szCs w:val="30"/>
          <w:lang w:val="en-US" w:eastAsia="zh-CN" w:bidi="ar-SA"/>
        </w:rPr>
      </w:pPr>
      <w:r>
        <w:drawing>
          <wp:anchor distT="0" distB="0" distL="114300" distR="114300" simplePos="0" relativeHeight="251659264" behindDoc="1" locked="0" layoutInCell="1" allowOverlap="1">
            <wp:simplePos x="0" y="0"/>
            <wp:positionH relativeFrom="column">
              <wp:posOffset>173355</wp:posOffset>
            </wp:positionH>
            <wp:positionV relativeFrom="paragraph">
              <wp:posOffset>213360</wp:posOffset>
            </wp:positionV>
            <wp:extent cx="5039995" cy="6213475"/>
            <wp:effectExtent l="0" t="0" r="8255" b="1587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039995" cy="6213475"/>
                    </a:xfrm>
                    <a:prstGeom prst="rect">
                      <a:avLst/>
                    </a:prstGeom>
                    <a:noFill/>
                    <a:ln>
                      <a:noFill/>
                    </a:ln>
                  </pic:spPr>
                </pic:pic>
              </a:graphicData>
            </a:graphic>
          </wp:anchor>
        </w:drawing>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default" w:ascii="Times New Roman" w:hAnsi="Times New Roman" w:eastAsia="仿宋" w:cs="Times New Roman"/>
          <w:kern w:val="2"/>
          <w:sz w:val="30"/>
          <w:szCs w:val="30"/>
          <w:lang w:val="en-US" w:eastAsia="zh-CN" w:bidi="ar-SA"/>
        </w:rPr>
      </w:pP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F63900-1B8F-40A1-8B68-056408491F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E686420-4971-43AF-8D7F-D67A2B5C5665}"/>
  </w:font>
  <w:font w:name="楷体">
    <w:panose1 w:val="02010609060101010101"/>
    <w:charset w:val="86"/>
    <w:family w:val="auto"/>
    <w:pitch w:val="default"/>
    <w:sig w:usb0="800002BF" w:usb1="38CF7CFA" w:usb2="00000016" w:usb3="00000000" w:csb0="00040001" w:csb1="00000000"/>
    <w:embedRegular r:id="rId3" w:fontKey="{811EE786-B387-43DB-834B-0BED1C92BF74}"/>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6EE1D0EE-3D0F-48CF-9D24-09E20044775F}"/>
  </w:font>
  <w:font w:name="方正仿宋_GBK">
    <w:panose1 w:val="02000000000000000000"/>
    <w:charset w:val="86"/>
    <w:family w:val="auto"/>
    <w:pitch w:val="default"/>
    <w:sig w:usb0="A00002BF" w:usb1="38CF7CFA" w:usb2="00082016" w:usb3="00000000" w:csb0="00040001" w:csb1="00000000"/>
    <w:embedRegular r:id="rId5" w:fontKey="{5DF05444-19AF-4017-955C-F7CB55E22199}"/>
  </w:font>
  <w:font w:name="方正小标宋_GBK">
    <w:panose1 w:val="02000000000000000000"/>
    <w:charset w:val="86"/>
    <w:family w:val="auto"/>
    <w:pitch w:val="default"/>
    <w:sig w:usb0="A00002BF" w:usb1="38CF7CFA" w:usb2="00082016" w:usb3="00000000" w:csb0="00040001" w:csb1="00000000"/>
    <w:embedRegular r:id="rId6" w:fontKey="{BA6F9BA0-0BD1-4C00-AC8E-D038CEC2913A}"/>
  </w:font>
  <w:font w:name="方正小标宋简体">
    <w:panose1 w:val="02000000000000000000"/>
    <w:charset w:val="86"/>
    <w:family w:val="auto"/>
    <w:pitch w:val="default"/>
    <w:sig w:usb0="00000001" w:usb1="08000000" w:usb2="00000000" w:usb3="00000000" w:csb0="00040000" w:csb1="00000000"/>
    <w:embedRegular r:id="rId7" w:fontKey="{E63A5882-616E-4A5C-8F74-A36B6C9BF68A}"/>
  </w:font>
  <w:font w:name="方正仿宋_GB2312">
    <w:panose1 w:val="02000000000000000000"/>
    <w:charset w:val="86"/>
    <w:family w:val="auto"/>
    <w:pitch w:val="default"/>
    <w:sig w:usb0="A00002BF" w:usb1="184F6CFA" w:usb2="00000012" w:usb3="00000000" w:csb0="00040001" w:csb1="00000000"/>
    <w:embedRegular r:id="rId8" w:fontKey="{7EA48ACB-E732-414B-9A85-7F10B6E9674F}"/>
  </w:font>
  <w:font w:name="方正正黑_GBK">
    <w:panose1 w:val="02000000000000000000"/>
    <w:charset w:val="86"/>
    <w:family w:val="auto"/>
    <w:pitch w:val="default"/>
    <w:sig w:usb0="A00002BF" w:usb1="38CF7CFA" w:usb2="00082016" w:usb3="00000000" w:csb0="00040001" w:csb1="00000000"/>
    <w:embedRegular r:id="rId9" w:fontKey="{7C93FC3C-D689-4090-9210-6AB836A75957}"/>
  </w:font>
  <w:font w:name="方正楷体_GBK">
    <w:panose1 w:val="02000000000000000000"/>
    <w:charset w:val="86"/>
    <w:family w:val="auto"/>
    <w:pitch w:val="default"/>
    <w:sig w:usb0="800002BF" w:usb1="38CF7CFA" w:usb2="00000016" w:usb3="00000000" w:csb0="00040000" w:csb1="00000000"/>
    <w:embedRegular r:id="rId10" w:fontKey="{5E2BA2AA-92C2-42A8-9EB4-18141189B6FD}"/>
  </w:font>
  <w:font w:name="方正公文小标宋">
    <w:panose1 w:val="02000500000000000000"/>
    <w:charset w:val="86"/>
    <w:family w:val="auto"/>
    <w:pitch w:val="default"/>
    <w:sig w:usb0="A00002BF" w:usb1="38CF7CFA" w:usb2="00000016" w:usb3="00000000" w:csb0="00040001" w:csb1="00000000"/>
    <w:embedRegular r:id="rId11" w:fontKey="{B4444986-F700-42C0-BED8-097CE54E52B3}"/>
  </w:font>
  <w:font w:name="微软雅黑">
    <w:panose1 w:val="020B0503020204020204"/>
    <w:charset w:val="86"/>
    <w:family w:val="auto"/>
    <w:pitch w:val="default"/>
    <w:sig w:usb0="80000287" w:usb1="2ACF3C50" w:usb2="00000016" w:usb3="00000000" w:csb0="0004001F" w:csb1="00000000"/>
    <w:embedRegular r:id="rId12" w:fontKey="{8624DEEC-DD43-4568-9438-12C07E16D1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5940" w:hanging="5940" w:hangingChars="2700"/>
      <w:jc w:val="right"/>
      <w:rPr>
        <w:rFonts w:hint="eastAsia"/>
        <w:sz w:val="22"/>
        <w:szCs w:val="2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ind w:left="5940" w:hanging="5963" w:hangingChars="2700"/>
      <w:jc w:val="right"/>
      <w:rPr>
        <w:rFonts w:hint="eastAsia"/>
        <w:sz w:val="22"/>
        <w:szCs w:val="22"/>
        <w:lang w:val="en-US" w:eastAsia="zh-CN"/>
      </w:rPr>
    </w:pPr>
    <w:r>
      <w:rPr>
        <w:rFonts w:hint="eastAsia"/>
        <w:b/>
        <w:bCs/>
        <w:sz w:val="22"/>
        <w:szCs w:val="22"/>
        <w:lang w:val="en-US" w:eastAsia="zh-CN"/>
      </w:rPr>
      <w:t>同心县2022年老旧小区改造-文化街给排水管道更新工程建设项目</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5"/>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1"/>
        <w:szCs w:val="21"/>
        <w:lang w:val="en-US" w:eastAsia="zh-CN"/>
      </w:rPr>
      <w:t>2022年老旧小区改造配套基础设施-文化街给排水管道更新工程建设项目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AD5A8"/>
    <w:multiLevelType w:val="singleLevel"/>
    <w:tmpl w:val="955AD5A8"/>
    <w:lvl w:ilvl="0" w:tentative="0">
      <w:start w:val="8"/>
      <w:numFmt w:val="chineseCounting"/>
      <w:suff w:val="nothing"/>
      <w:lvlText w:val="%1、"/>
      <w:lvlJc w:val="left"/>
      <w:rPr>
        <w:rFonts w:hint="eastAsia"/>
      </w:rPr>
    </w:lvl>
  </w:abstractNum>
  <w:abstractNum w:abstractNumId="1">
    <w:nsid w:val="C7FE0FB2"/>
    <w:multiLevelType w:val="singleLevel"/>
    <w:tmpl w:val="C7FE0FB2"/>
    <w:lvl w:ilvl="0" w:tentative="0">
      <w:start w:val="1"/>
      <w:numFmt w:val="decimal"/>
      <w:lvlText w:val="%1."/>
      <w:lvlJc w:val="left"/>
      <w:pPr>
        <w:tabs>
          <w:tab w:val="left" w:pos="312"/>
        </w:tabs>
      </w:pPr>
    </w:lvl>
  </w:abstractNum>
  <w:abstractNum w:abstractNumId="2">
    <w:nsid w:val="E0B2C9DB"/>
    <w:multiLevelType w:val="singleLevel"/>
    <w:tmpl w:val="E0B2C9DB"/>
    <w:lvl w:ilvl="0" w:tentative="0">
      <w:start w:val="2"/>
      <w:numFmt w:val="chineseCounting"/>
      <w:suff w:val="nothing"/>
      <w:lvlText w:val="（%1）"/>
      <w:lvlJc w:val="left"/>
      <w:rPr>
        <w:rFonts w:hint="eastAsia"/>
      </w:rPr>
    </w:lvl>
  </w:abstractNum>
  <w:abstractNum w:abstractNumId="3">
    <w:nsid w:val="FB20EEF5"/>
    <w:multiLevelType w:val="singleLevel"/>
    <w:tmpl w:val="FB20EEF5"/>
    <w:lvl w:ilvl="0" w:tentative="0">
      <w:start w:val="3"/>
      <w:numFmt w:val="chineseCounting"/>
      <w:suff w:val="nothing"/>
      <w:lvlText w:val="%1、"/>
      <w:lvlJc w:val="left"/>
      <w:rPr>
        <w:rFonts w:hint="eastAsia"/>
      </w:rPr>
    </w:lvl>
  </w:abstractNum>
  <w:abstractNum w:abstractNumId="4">
    <w:nsid w:val="41BE4942"/>
    <w:multiLevelType w:val="singleLevel"/>
    <w:tmpl w:val="41BE4942"/>
    <w:lvl w:ilvl="0" w:tentative="0">
      <w:start w:val="3"/>
      <w:numFmt w:val="decimal"/>
      <w:lvlText w:val="%1."/>
      <w:lvlJc w:val="left"/>
      <w:pPr>
        <w:tabs>
          <w:tab w:val="left" w:pos="312"/>
        </w:tabs>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2E1F6F"/>
    <w:rsid w:val="003A4DF7"/>
    <w:rsid w:val="00824DB4"/>
    <w:rsid w:val="00C83FFA"/>
    <w:rsid w:val="00C90E0C"/>
    <w:rsid w:val="00F1191B"/>
    <w:rsid w:val="010351AA"/>
    <w:rsid w:val="01277E1F"/>
    <w:rsid w:val="013B0A52"/>
    <w:rsid w:val="01711D58"/>
    <w:rsid w:val="01A22C15"/>
    <w:rsid w:val="02693F89"/>
    <w:rsid w:val="02B726F0"/>
    <w:rsid w:val="031F0282"/>
    <w:rsid w:val="03321D76"/>
    <w:rsid w:val="03782AE9"/>
    <w:rsid w:val="038F5644"/>
    <w:rsid w:val="049979AA"/>
    <w:rsid w:val="04CB2483"/>
    <w:rsid w:val="05127FF8"/>
    <w:rsid w:val="05373674"/>
    <w:rsid w:val="057E08FD"/>
    <w:rsid w:val="05DE7F94"/>
    <w:rsid w:val="05E661B9"/>
    <w:rsid w:val="06310741"/>
    <w:rsid w:val="067B3A34"/>
    <w:rsid w:val="06935222"/>
    <w:rsid w:val="07752028"/>
    <w:rsid w:val="079B438E"/>
    <w:rsid w:val="07C669DF"/>
    <w:rsid w:val="07DC0B0F"/>
    <w:rsid w:val="084314D4"/>
    <w:rsid w:val="08A2629B"/>
    <w:rsid w:val="08D765EB"/>
    <w:rsid w:val="09087391"/>
    <w:rsid w:val="094E2BC9"/>
    <w:rsid w:val="0978425B"/>
    <w:rsid w:val="09EE451A"/>
    <w:rsid w:val="0A104DC5"/>
    <w:rsid w:val="0A1421D6"/>
    <w:rsid w:val="0A1441B8"/>
    <w:rsid w:val="0A9E5F43"/>
    <w:rsid w:val="0AFD1C36"/>
    <w:rsid w:val="0B1A65E0"/>
    <w:rsid w:val="0BA37CB5"/>
    <w:rsid w:val="0BD53BE7"/>
    <w:rsid w:val="0C063DA0"/>
    <w:rsid w:val="0D112862"/>
    <w:rsid w:val="0D1B3E33"/>
    <w:rsid w:val="0D8710B2"/>
    <w:rsid w:val="0DA75E3E"/>
    <w:rsid w:val="0DF16443"/>
    <w:rsid w:val="0DF27CB1"/>
    <w:rsid w:val="0E294B7B"/>
    <w:rsid w:val="0E411EBB"/>
    <w:rsid w:val="0E6B4917"/>
    <w:rsid w:val="0EE8142C"/>
    <w:rsid w:val="0F0355A7"/>
    <w:rsid w:val="0F812D08"/>
    <w:rsid w:val="0FBA6D07"/>
    <w:rsid w:val="0FC1070A"/>
    <w:rsid w:val="0FC2315B"/>
    <w:rsid w:val="0FC65D57"/>
    <w:rsid w:val="0FE268D2"/>
    <w:rsid w:val="104430E9"/>
    <w:rsid w:val="10594DE6"/>
    <w:rsid w:val="10923E54"/>
    <w:rsid w:val="10B4026F"/>
    <w:rsid w:val="10F70CB9"/>
    <w:rsid w:val="11326D9C"/>
    <w:rsid w:val="11576F43"/>
    <w:rsid w:val="11877731"/>
    <w:rsid w:val="12057474"/>
    <w:rsid w:val="123478B9"/>
    <w:rsid w:val="12780A7F"/>
    <w:rsid w:val="12A803F6"/>
    <w:rsid w:val="12B800BB"/>
    <w:rsid w:val="1306193D"/>
    <w:rsid w:val="138163C4"/>
    <w:rsid w:val="13D16037"/>
    <w:rsid w:val="14642D3C"/>
    <w:rsid w:val="148B1226"/>
    <w:rsid w:val="15024196"/>
    <w:rsid w:val="151B68BE"/>
    <w:rsid w:val="157F13EB"/>
    <w:rsid w:val="15BC373C"/>
    <w:rsid w:val="15D25F85"/>
    <w:rsid w:val="15D614F9"/>
    <w:rsid w:val="15E50ECA"/>
    <w:rsid w:val="16201F02"/>
    <w:rsid w:val="165E3157"/>
    <w:rsid w:val="17C26244"/>
    <w:rsid w:val="18070836"/>
    <w:rsid w:val="18CC35FF"/>
    <w:rsid w:val="18D555BD"/>
    <w:rsid w:val="190012D5"/>
    <w:rsid w:val="19A84F19"/>
    <w:rsid w:val="1A11557B"/>
    <w:rsid w:val="1A2F552A"/>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3724EF"/>
    <w:rsid w:val="1F4629DA"/>
    <w:rsid w:val="1F955F35"/>
    <w:rsid w:val="1F9F033C"/>
    <w:rsid w:val="1FC05264"/>
    <w:rsid w:val="20040FA2"/>
    <w:rsid w:val="203E32AB"/>
    <w:rsid w:val="21577FE6"/>
    <w:rsid w:val="218D141D"/>
    <w:rsid w:val="21D104AE"/>
    <w:rsid w:val="22111139"/>
    <w:rsid w:val="221E4098"/>
    <w:rsid w:val="223C7432"/>
    <w:rsid w:val="23244678"/>
    <w:rsid w:val="23487B6D"/>
    <w:rsid w:val="23637058"/>
    <w:rsid w:val="23687A05"/>
    <w:rsid w:val="23825220"/>
    <w:rsid w:val="23E8200D"/>
    <w:rsid w:val="23EB612F"/>
    <w:rsid w:val="23FA0237"/>
    <w:rsid w:val="24015121"/>
    <w:rsid w:val="242B2707"/>
    <w:rsid w:val="24533EA6"/>
    <w:rsid w:val="24A44DE5"/>
    <w:rsid w:val="24AF2BFF"/>
    <w:rsid w:val="25796D0E"/>
    <w:rsid w:val="25963936"/>
    <w:rsid w:val="25FF2DD9"/>
    <w:rsid w:val="26087208"/>
    <w:rsid w:val="26100882"/>
    <w:rsid w:val="26993D37"/>
    <w:rsid w:val="26D12065"/>
    <w:rsid w:val="26E34FB2"/>
    <w:rsid w:val="272621AB"/>
    <w:rsid w:val="273264EE"/>
    <w:rsid w:val="27341AD8"/>
    <w:rsid w:val="279A52BC"/>
    <w:rsid w:val="27CE7A10"/>
    <w:rsid w:val="28A11882"/>
    <w:rsid w:val="28B13905"/>
    <w:rsid w:val="28D2314B"/>
    <w:rsid w:val="28D47992"/>
    <w:rsid w:val="28E04120"/>
    <w:rsid w:val="28EC2844"/>
    <w:rsid w:val="29387837"/>
    <w:rsid w:val="295D5A2E"/>
    <w:rsid w:val="29972B84"/>
    <w:rsid w:val="299F1664"/>
    <w:rsid w:val="2A08236A"/>
    <w:rsid w:val="2A3744E2"/>
    <w:rsid w:val="2A4468E8"/>
    <w:rsid w:val="2A88139D"/>
    <w:rsid w:val="2B04761D"/>
    <w:rsid w:val="2B31540B"/>
    <w:rsid w:val="2BF612E4"/>
    <w:rsid w:val="2C07626C"/>
    <w:rsid w:val="2C265B3F"/>
    <w:rsid w:val="2C365B84"/>
    <w:rsid w:val="2C54430A"/>
    <w:rsid w:val="2C950AFD"/>
    <w:rsid w:val="2C9E0632"/>
    <w:rsid w:val="2CD07D87"/>
    <w:rsid w:val="2D3477DA"/>
    <w:rsid w:val="2D921854"/>
    <w:rsid w:val="2DBA5D46"/>
    <w:rsid w:val="2DC2093D"/>
    <w:rsid w:val="2DEA5335"/>
    <w:rsid w:val="2E0E34EA"/>
    <w:rsid w:val="2E512AC0"/>
    <w:rsid w:val="2E59154F"/>
    <w:rsid w:val="2E7C1412"/>
    <w:rsid w:val="2E8D2405"/>
    <w:rsid w:val="2E96490B"/>
    <w:rsid w:val="2EB82AC2"/>
    <w:rsid w:val="2EDF2503"/>
    <w:rsid w:val="2EF064BE"/>
    <w:rsid w:val="2F96257F"/>
    <w:rsid w:val="304940ED"/>
    <w:rsid w:val="308C3833"/>
    <w:rsid w:val="3095731D"/>
    <w:rsid w:val="30B06230"/>
    <w:rsid w:val="30D50061"/>
    <w:rsid w:val="31164343"/>
    <w:rsid w:val="317928C0"/>
    <w:rsid w:val="317D7F2F"/>
    <w:rsid w:val="31A041CB"/>
    <w:rsid w:val="31EB3B69"/>
    <w:rsid w:val="31FC6110"/>
    <w:rsid w:val="32C75788"/>
    <w:rsid w:val="3301513E"/>
    <w:rsid w:val="330E3209"/>
    <w:rsid w:val="33210D4B"/>
    <w:rsid w:val="33753436"/>
    <w:rsid w:val="33AE6A83"/>
    <w:rsid w:val="33F20148"/>
    <w:rsid w:val="344C36D7"/>
    <w:rsid w:val="347D25A2"/>
    <w:rsid w:val="349124F1"/>
    <w:rsid w:val="34CF6284"/>
    <w:rsid w:val="34D94D78"/>
    <w:rsid w:val="34E43BF0"/>
    <w:rsid w:val="34FA0BAE"/>
    <w:rsid w:val="35A77929"/>
    <w:rsid w:val="366C6D72"/>
    <w:rsid w:val="36CC15BF"/>
    <w:rsid w:val="375A12C0"/>
    <w:rsid w:val="379D4EBE"/>
    <w:rsid w:val="37D93A30"/>
    <w:rsid w:val="38123115"/>
    <w:rsid w:val="38250B51"/>
    <w:rsid w:val="3846715C"/>
    <w:rsid w:val="39EC58CA"/>
    <w:rsid w:val="39FB2B8C"/>
    <w:rsid w:val="3A1F1BFC"/>
    <w:rsid w:val="3A3F02FA"/>
    <w:rsid w:val="3A5D44DB"/>
    <w:rsid w:val="3A887938"/>
    <w:rsid w:val="3A9262F0"/>
    <w:rsid w:val="3AC30F2B"/>
    <w:rsid w:val="3AE54968"/>
    <w:rsid w:val="3AED2368"/>
    <w:rsid w:val="3B261658"/>
    <w:rsid w:val="3B500B8C"/>
    <w:rsid w:val="3BB05953"/>
    <w:rsid w:val="3BCB0097"/>
    <w:rsid w:val="3C44609B"/>
    <w:rsid w:val="3C460065"/>
    <w:rsid w:val="3C653FC1"/>
    <w:rsid w:val="3D2757A1"/>
    <w:rsid w:val="3D430101"/>
    <w:rsid w:val="3D5F5ADC"/>
    <w:rsid w:val="3DB50FFF"/>
    <w:rsid w:val="3DCC1004"/>
    <w:rsid w:val="3DED69EA"/>
    <w:rsid w:val="3E4A5E49"/>
    <w:rsid w:val="3E505673"/>
    <w:rsid w:val="3E6D2B8B"/>
    <w:rsid w:val="3E783CB3"/>
    <w:rsid w:val="3EEF0540"/>
    <w:rsid w:val="3EF96114"/>
    <w:rsid w:val="3F1964EA"/>
    <w:rsid w:val="3F4A06EC"/>
    <w:rsid w:val="3F6E5909"/>
    <w:rsid w:val="3F8E7D59"/>
    <w:rsid w:val="3F8F3AD1"/>
    <w:rsid w:val="40453D92"/>
    <w:rsid w:val="405A5E8D"/>
    <w:rsid w:val="405B60A8"/>
    <w:rsid w:val="409C3B18"/>
    <w:rsid w:val="40B732E0"/>
    <w:rsid w:val="40D03C01"/>
    <w:rsid w:val="40E81398"/>
    <w:rsid w:val="40F40090"/>
    <w:rsid w:val="410336E1"/>
    <w:rsid w:val="4110479E"/>
    <w:rsid w:val="41553248"/>
    <w:rsid w:val="417052AF"/>
    <w:rsid w:val="419D4F33"/>
    <w:rsid w:val="41D70E14"/>
    <w:rsid w:val="41F30D48"/>
    <w:rsid w:val="42500DFE"/>
    <w:rsid w:val="4262727B"/>
    <w:rsid w:val="428423CE"/>
    <w:rsid w:val="42E3660E"/>
    <w:rsid w:val="430A1DED"/>
    <w:rsid w:val="435E7A42"/>
    <w:rsid w:val="43654FAA"/>
    <w:rsid w:val="43765BBD"/>
    <w:rsid w:val="437B6846"/>
    <w:rsid w:val="439A2BC7"/>
    <w:rsid w:val="44112D07"/>
    <w:rsid w:val="44D67B06"/>
    <w:rsid w:val="45034416"/>
    <w:rsid w:val="455C18CC"/>
    <w:rsid w:val="459C4B6B"/>
    <w:rsid w:val="45F418B3"/>
    <w:rsid w:val="45FD79E7"/>
    <w:rsid w:val="463C0759"/>
    <w:rsid w:val="46624259"/>
    <w:rsid w:val="46C44060"/>
    <w:rsid w:val="471E751C"/>
    <w:rsid w:val="472900CD"/>
    <w:rsid w:val="47A76A1D"/>
    <w:rsid w:val="47B70069"/>
    <w:rsid w:val="47B95B8F"/>
    <w:rsid w:val="47D334DC"/>
    <w:rsid w:val="488F195B"/>
    <w:rsid w:val="48A2254D"/>
    <w:rsid w:val="49072C4A"/>
    <w:rsid w:val="496D1725"/>
    <w:rsid w:val="498C7B7B"/>
    <w:rsid w:val="49A80A70"/>
    <w:rsid w:val="49EE685A"/>
    <w:rsid w:val="49F25388"/>
    <w:rsid w:val="4A045B66"/>
    <w:rsid w:val="4A0D5D1E"/>
    <w:rsid w:val="4A1470AD"/>
    <w:rsid w:val="4A471230"/>
    <w:rsid w:val="4A6E0EB3"/>
    <w:rsid w:val="4A755EA0"/>
    <w:rsid w:val="4AB663B6"/>
    <w:rsid w:val="4AC24D5B"/>
    <w:rsid w:val="4C07336D"/>
    <w:rsid w:val="4C126731"/>
    <w:rsid w:val="4C561BFF"/>
    <w:rsid w:val="4C6C277D"/>
    <w:rsid w:val="4C80439B"/>
    <w:rsid w:val="4CD82614"/>
    <w:rsid w:val="4D283D09"/>
    <w:rsid w:val="4D650BDF"/>
    <w:rsid w:val="4D666D5C"/>
    <w:rsid w:val="4DAE09A0"/>
    <w:rsid w:val="4DB841F3"/>
    <w:rsid w:val="4DE92870"/>
    <w:rsid w:val="4E10402F"/>
    <w:rsid w:val="4E1F474B"/>
    <w:rsid w:val="4E2A0721"/>
    <w:rsid w:val="4E612ADD"/>
    <w:rsid w:val="4F813436"/>
    <w:rsid w:val="4FC73DE1"/>
    <w:rsid w:val="50485D02"/>
    <w:rsid w:val="507E7856"/>
    <w:rsid w:val="5080118E"/>
    <w:rsid w:val="509C7DFC"/>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D78A2"/>
    <w:rsid w:val="545F7A68"/>
    <w:rsid w:val="55E53FF3"/>
    <w:rsid w:val="56150435"/>
    <w:rsid w:val="56250D50"/>
    <w:rsid w:val="566C4581"/>
    <w:rsid w:val="56815ACA"/>
    <w:rsid w:val="5684380C"/>
    <w:rsid w:val="56C62FC9"/>
    <w:rsid w:val="58366D88"/>
    <w:rsid w:val="58B8408C"/>
    <w:rsid w:val="58C53371"/>
    <w:rsid w:val="592503CD"/>
    <w:rsid w:val="5A105AE3"/>
    <w:rsid w:val="5AC71F19"/>
    <w:rsid w:val="5ADC3C17"/>
    <w:rsid w:val="5B48305A"/>
    <w:rsid w:val="5BA00781"/>
    <w:rsid w:val="5BB1420F"/>
    <w:rsid w:val="5BE54D4D"/>
    <w:rsid w:val="5BED775E"/>
    <w:rsid w:val="5C0F1DCA"/>
    <w:rsid w:val="5C2F0C39"/>
    <w:rsid w:val="5CAF7795"/>
    <w:rsid w:val="5CB00EB7"/>
    <w:rsid w:val="5D086F45"/>
    <w:rsid w:val="5D0A5550"/>
    <w:rsid w:val="5D323FC2"/>
    <w:rsid w:val="5DE828D3"/>
    <w:rsid w:val="5E08551F"/>
    <w:rsid w:val="5E525F9E"/>
    <w:rsid w:val="5E6F08FE"/>
    <w:rsid w:val="5EBA2711"/>
    <w:rsid w:val="5F745E66"/>
    <w:rsid w:val="5FA171DD"/>
    <w:rsid w:val="5FD749AD"/>
    <w:rsid w:val="6040150D"/>
    <w:rsid w:val="60936B26"/>
    <w:rsid w:val="60C2740B"/>
    <w:rsid w:val="611A0FF5"/>
    <w:rsid w:val="61495849"/>
    <w:rsid w:val="615A19EE"/>
    <w:rsid w:val="61797ACD"/>
    <w:rsid w:val="61A60F09"/>
    <w:rsid w:val="61B72CE8"/>
    <w:rsid w:val="61CA2D38"/>
    <w:rsid w:val="620B4BE9"/>
    <w:rsid w:val="620F4F28"/>
    <w:rsid w:val="621041A6"/>
    <w:rsid w:val="622019C2"/>
    <w:rsid w:val="62D022B3"/>
    <w:rsid w:val="62F35FA1"/>
    <w:rsid w:val="63103B19"/>
    <w:rsid w:val="63222431"/>
    <w:rsid w:val="6338222B"/>
    <w:rsid w:val="634376F0"/>
    <w:rsid w:val="63492023"/>
    <w:rsid w:val="6392405C"/>
    <w:rsid w:val="6393578D"/>
    <w:rsid w:val="63DA61F3"/>
    <w:rsid w:val="64A5151D"/>
    <w:rsid w:val="64DA6254"/>
    <w:rsid w:val="652E5FF6"/>
    <w:rsid w:val="655C7097"/>
    <w:rsid w:val="6582360D"/>
    <w:rsid w:val="658A05B5"/>
    <w:rsid w:val="660576BF"/>
    <w:rsid w:val="66307F76"/>
    <w:rsid w:val="66F23DAD"/>
    <w:rsid w:val="675B4115"/>
    <w:rsid w:val="67AB0D31"/>
    <w:rsid w:val="68242759"/>
    <w:rsid w:val="68324E76"/>
    <w:rsid w:val="6832790E"/>
    <w:rsid w:val="684257ED"/>
    <w:rsid w:val="68672CFF"/>
    <w:rsid w:val="6873723D"/>
    <w:rsid w:val="68B64FF8"/>
    <w:rsid w:val="68BC0F70"/>
    <w:rsid w:val="68BC56C0"/>
    <w:rsid w:val="6A5437CA"/>
    <w:rsid w:val="6A917936"/>
    <w:rsid w:val="6AC16985"/>
    <w:rsid w:val="6ACA3A8C"/>
    <w:rsid w:val="6AD14E1A"/>
    <w:rsid w:val="6AF23C66"/>
    <w:rsid w:val="6B013226"/>
    <w:rsid w:val="6B1A20D3"/>
    <w:rsid w:val="6B6B233A"/>
    <w:rsid w:val="6BC7335C"/>
    <w:rsid w:val="6BEC38B2"/>
    <w:rsid w:val="6C2076DB"/>
    <w:rsid w:val="6D260D22"/>
    <w:rsid w:val="6D67760E"/>
    <w:rsid w:val="6D8D1A87"/>
    <w:rsid w:val="6DAD31F1"/>
    <w:rsid w:val="6E4C2A0A"/>
    <w:rsid w:val="6E641B01"/>
    <w:rsid w:val="6E7D43D0"/>
    <w:rsid w:val="6EEC38DF"/>
    <w:rsid w:val="6F370F76"/>
    <w:rsid w:val="6F965839"/>
    <w:rsid w:val="6FB36D7A"/>
    <w:rsid w:val="6FE216A6"/>
    <w:rsid w:val="70266E22"/>
    <w:rsid w:val="709A7A5C"/>
    <w:rsid w:val="70AF0549"/>
    <w:rsid w:val="70D3575F"/>
    <w:rsid w:val="71302009"/>
    <w:rsid w:val="71387B02"/>
    <w:rsid w:val="717464FF"/>
    <w:rsid w:val="71BB65F3"/>
    <w:rsid w:val="71EF02C9"/>
    <w:rsid w:val="72EF679F"/>
    <w:rsid w:val="730B450D"/>
    <w:rsid w:val="7343262D"/>
    <w:rsid w:val="740A20FF"/>
    <w:rsid w:val="742E4065"/>
    <w:rsid w:val="743838A1"/>
    <w:rsid w:val="74512B28"/>
    <w:rsid w:val="74836A59"/>
    <w:rsid w:val="74BB05BD"/>
    <w:rsid w:val="74DA512E"/>
    <w:rsid w:val="74F160B9"/>
    <w:rsid w:val="75E27AD0"/>
    <w:rsid w:val="76554C45"/>
    <w:rsid w:val="767C258A"/>
    <w:rsid w:val="76AA651F"/>
    <w:rsid w:val="76DD54BE"/>
    <w:rsid w:val="774226B2"/>
    <w:rsid w:val="774A1F82"/>
    <w:rsid w:val="777A6824"/>
    <w:rsid w:val="77943863"/>
    <w:rsid w:val="779E42D6"/>
    <w:rsid w:val="77CE623E"/>
    <w:rsid w:val="77D53A70"/>
    <w:rsid w:val="7800592B"/>
    <w:rsid w:val="786B4915"/>
    <w:rsid w:val="788F1AD5"/>
    <w:rsid w:val="793E0D61"/>
    <w:rsid w:val="795F1F28"/>
    <w:rsid w:val="796E7CD8"/>
    <w:rsid w:val="79711576"/>
    <w:rsid w:val="7A033FC5"/>
    <w:rsid w:val="7A245FAC"/>
    <w:rsid w:val="7A6B246A"/>
    <w:rsid w:val="7A892CDD"/>
    <w:rsid w:val="7AE5221C"/>
    <w:rsid w:val="7AED2E7F"/>
    <w:rsid w:val="7AFB559C"/>
    <w:rsid w:val="7B0270AF"/>
    <w:rsid w:val="7BE451AA"/>
    <w:rsid w:val="7C662EE9"/>
    <w:rsid w:val="7DA34BE9"/>
    <w:rsid w:val="7DCC321F"/>
    <w:rsid w:val="7E401EC6"/>
    <w:rsid w:val="7E4A6CF6"/>
    <w:rsid w:val="7E550EF8"/>
    <w:rsid w:val="7F437511"/>
    <w:rsid w:val="7F596D35"/>
    <w:rsid w:val="7F630D7E"/>
    <w:rsid w:val="7F77335A"/>
    <w:rsid w:val="7F9B5CCD"/>
    <w:rsid w:val="7FAC2F4F"/>
    <w:rsid w:val="7FAE5B5D"/>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9"/>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8"/>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5">
    <w:name w:val="heading 3"/>
    <w:basedOn w:val="1"/>
    <w:next w:val="1"/>
    <w:link w:val="30"/>
    <w:autoRedefine/>
    <w:unhideWhenUsed/>
    <w:qFormat/>
    <w:uiPriority w:val="0"/>
    <w:pPr>
      <w:keepNext/>
      <w:keepLines/>
      <w:snapToGrid w:val="0"/>
      <w:spacing w:beforeLines="0" w:beforeAutospacing="0" w:afterLines="0" w:afterAutospacing="0" w:line="560" w:lineRule="exact"/>
      <w:outlineLvl w:val="2"/>
    </w:pPr>
    <w:rPr>
      <w:b/>
    </w:rPr>
  </w:style>
  <w:style w:type="paragraph" w:styleId="6">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7">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0" w:firstLineChars="0"/>
    </w:pPr>
    <w:rPr>
      <w:rFonts w:ascii="仿宋_GB2312" w:hAnsi="仿宋_GB2312" w:eastAsia="仿宋_GB2312"/>
    </w:rPr>
  </w:style>
  <w:style w:type="paragraph" w:styleId="8">
    <w:name w:val="Normal Indent"/>
    <w:basedOn w:val="1"/>
    <w:autoRedefine/>
    <w:qFormat/>
    <w:uiPriority w:val="0"/>
    <w:pPr>
      <w:ind w:firstLine="200" w:firstLineChars="200"/>
    </w:pPr>
    <w:rPr>
      <w:rFonts w:ascii="Times New Roman" w:hAnsi="Times New Roman" w:eastAsia="宋体" w:cs="Times New Roman"/>
      <w:sz w:val="21"/>
    </w:rPr>
  </w:style>
  <w:style w:type="paragraph" w:styleId="9">
    <w:name w:val="Body Text"/>
    <w:basedOn w:val="1"/>
    <w:autoRedefine/>
    <w:qFormat/>
    <w:uiPriority w:val="1"/>
    <w:rPr>
      <w:rFonts w:ascii="宋体" w:hAnsi="宋体" w:cs="宋体"/>
      <w:sz w:val="32"/>
      <w:szCs w:val="32"/>
      <w:lang w:val="zh-CN" w:bidi="zh-CN"/>
    </w:rPr>
  </w:style>
  <w:style w:type="paragraph" w:styleId="10">
    <w:name w:val="Body Text Indent"/>
    <w:basedOn w:val="1"/>
    <w:next w:val="11"/>
    <w:autoRedefine/>
    <w:qFormat/>
    <w:uiPriority w:val="0"/>
    <w:pPr>
      <w:ind w:firstLine="640" w:firstLineChars="200"/>
    </w:pPr>
    <w:rPr>
      <w:rFonts w:ascii="仿宋_GB2312" w:eastAsia="仿宋_GB2312" w:cs="Times New Roman"/>
    </w:rPr>
  </w:style>
  <w:style w:type="paragraph" w:styleId="11">
    <w:name w:val="footer"/>
    <w:basedOn w:val="1"/>
    <w:next w:val="1"/>
    <w:autoRedefine/>
    <w:qFormat/>
    <w:uiPriority w:val="0"/>
    <w:pPr>
      <w:tabs>
        <w:tab w:val="center" w:pos="4153"/>
        <w:tab w:val="right" w:pos="8306"/>
      </w:tabs>
      <w:snapToGrid w:val="0"/>
      <w:jc w:val="left"/>
    </w:pPr>
    <w:rPr>
      <w:sz w:val="18"/>
    </w:rPr>
  </w:style>
  <w:style w:type="paragraph" w:styleId="12">
    <w:name w:val="List 2"/>
    <w:basedOn w:val="1"/>
    <w:autoRedefine/>
    <w:unhideWhenUsed/>
    <w:qFormat/>
    <w:uiPriority w:val="99"/>
    <w:pPr>
      <w:ind w:left="100" w:leftChars="200" w:hanging="200" w:hangingChars="200"/>
    </w:pPr>
  </w:style>
  <w:style w:type="paragraph" w:styleId="13">
    <w:name w:val="toc 3"/>
    <w:basedOn w:val="1"/>
    <w:next w:val="1"/>
    <w:autoRedefine/>
    <w:qFormat/>
    <w:uiPriority w:val="0"/>
    <w:pPr>
      <w:ind w:left="840" w:leftChars="400"/>
    </w:pPr>
  </w:style>
  <w:style w:type="paragraph" w:styleId="14">
    <w:name w:val="Date"/>
    <w:basedOn w:val="1"/>
    <w:next w:val="1"/>
    <w:autoRedefine/>
    <w:unhideWhenUsed/>
    <w:qFormat/>
    <w:uiPriority w:val="99"/>
    <w:pPr>
      <w:spacing w:before="100" w:beforeAutospacing="1" w:after="100" w:afterAutospacing="1"/>
      <w:ind w:left="2500" w:leftChars="2500"/>
    </w:p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0"/>
  </w:style>
  <w:style w:type="paragraph" w:styleId="17">
    <w:name w:val="toc 2"/>
    <w:basedOn w:val="1"/>
    <w:next w:val="1"/>
    <w:autoRedefine/>
    <w:qFormat/>
    <w:uiPriority w:val="0"/>
    <w:pPr>
      <w:ind w:left="420" w:leftChars="200"/>
    </w:pPr>
  </w:style>
  <w:style w:type="paragraph" w:styleId="1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20">
    <w:name w:val="Title"/>
    <w:basedOn w:val="1"/>
    <w:next w:val="1"/>
    <w:autoRedefine/>
    <w:qFormat/>
    <w:uiPriority w:val="99"/>
    <w:pPr>
      <w:spacing w:before="240" w:after="60"/>
      <w:jc w:val="center"/>
      <w:outlineLvl w:val="0"/>
    </w:pPr>
    <w:rPr>
      <w:rFonts w:ascii="Cambria" w:hAnsi="Cambria" w:eastAsia="宋体"/>
      <w:b/>
      <w:bCs/>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basedOn w:val="23"/>
    <w:autoRedefine/>
    <w:qFormat/>
    <w:uiPriority w:val="0"/>
    <w:rPr>
      <w:color w:val="0000FF"/>
      <w:u w:val="single"/>
    </w:rPr>
  </w:style>
  <w:style w:type="paragraph" w:customStyle="1" w:styleId="27">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8">
    <w:name w:val="标题 2 Char"/>
    <w:link w:val="4"/>
    <w:autoRedefine/>
    <w:qFormat/>
    <w:uiPriority w:val="0"/>
    <w:rPr>
      <w:rFonts w:ascii="Arial" w:hAnsi="Arial" w:eastAsia="楷体"/>
      <w:b/>
    </w:rPr>
  </w:style>
  <w:style w:type="character" w:customStyle="1" w:styleId="29">
    <w:name w:val="标题 1 Char"/>
    <w:link w:val="3"/>
    <w:autoRedefine/>
    <w:qFormat/>
    <w:uiPriority w:val="0"/>
    <w:rPr>
      <w:rFonts w:eastAsia="黑体"/>
      <w:kern w:val="44"/>
    </w:rPr>
  </w:style>
  <w:style w:type="character" w:customStyle="1" w:styleId="30">
    <w:name w:val="标题 3 Char"/>
    <w:link w:val="5"/>
    <w:autoRedefine/>
    <w:qFormat/>
    <w:uiPriority w:val="0"/>
    <w:rPr>
      <w:b/>
    </w:rPr>
  </w:style>
  <w:style w:type="character" w:customStyle="1" w:styleId="31">
    <w:name w:val="font21"/>
    <w:basedOn w:val="23"/>
    <w:autoRedefine/>
    <w:qFormat/>
    <w:uiPriority w:val="0"/>
    <w:rPr>
      <w:rFonts w:hint="eastAsia" w:ascii="等线" w:hAnsi="等线" w:eastAsia="等线" w:cs="等线"/>
      <w:color w:val="000000"/>
      <w:sz w:val="22"/>
      <w:szCs w:val="22"/>
      <w:u w:val="none"/>
    </w:rPr>
  </w:style>
  <w:style w:type="character" w:customStyle="1" w:styleId="32">
    <w:name w:val="font11"/>
    <w:basedOn w:val="23"/>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3">
    <w:name w:val="font31"/>
    <w:basedOn w:val="23"/>
    <w:autoRedefine/>
    <w:qFormat/>
    <w:uiPriority w:val="0"/>
    <w:rPr>
      <w:rFonts w:hint="eastAsia" w:ascii="方正仿宋_GBK" w:hAnsi="方正仿宋_GBK" w:eastAsia="方正仿宋_GBK" w:cs="方正仿宋_GBK"/>
      <w:color w:val="000000"/>
      <w:sz w:val="22"/>
      <w:szCs w:val="22"/>
      <w:u w:val="none"/>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character" w:customStyle="1" w:styleId="35">
    <w:name w:val="font81"/>
    <w:basedOn w:val="2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6">
    <w:name w:val="font51"/>
    <w:basedOn w:val="23"/>
    <w:autoRedefine/>
    <w:qFormat/>
    <w:uiPriority w:val="0"/>
    <w:rPr>
      <w:rFonts w:hint="eastAsia" w:ascii="方正仿宋_GBK" w:hAnsi="方正仿宋_GBK" w:eastAsia="方正仿宋_GBK" w:cs="方正仿宋_GBK"/>
      <w:color w:val="000000"/>
      <w:sz w:val="21"/>
      <w:szCs w:val="21"/>
      <w:u w:val="none"/>
    </w:rPr>
  </w:style>
  <w:style w:type="character" w:customStyle="1" w:styleId="37">
    <w:name w:val="font41"/>
    <w:basedOn w:val="23"/>
    <w:autoRedefine/>
    <w:qFormat/>
    <w:uiPriority w:val="0"/>
    <w:rPr>
      <w:rFonts w:hint="default" w:ascii="Times New Roman" w:hAnsi="Times New Roman" w:cs="Times New Roman"/>
      <w:color w:val="000000"/>
      <w:sz w:val="22"/>
      <w:szCs w:val="22"/>
      <w:u w:val="none"/>
    </w:rPr>
  </w:style>
  <w:style w:type="character" w:customStyle="1" w:styleId="38">
    <w:name w:val="font61"/>
    <w:basedOn w:val="23"/>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21367</Words>
  <Characters>22421</Characters>
  <Lines>0</Lines>
  <Paragraphs>0</Paragraphs>
  <TotalTime>11</TotalTime>
  <ScaleCrop>false</ScaleCrop>
  <LinksUpToDate>false</LinksUpToDate>
  <CharactersWithSpaces>22865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2024-01-29T02:53:50Z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