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jpeg" ContentType="image/jpeg"/>
  <Default Extension="JPG" ContentType="image/.jp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560"/>
        <w:jc w:val="right"/>
        <w:rPr>
          <w:rFonts w:eastAsia="宋体" w:cs="Times New Roman"/>
          <w:szCs w:val="28"/>
        </w:rPr>
      </w:pPr>
      <w:bookmarkStart w:id="0" w:name="_Toc443910889"/>
    </w:p>
    <w:p>
      <w:pPr>
        <w:ind w:firstLine="560"/>
        <w:jc w:val="right"/>
        <w:rPr>
          <w:rFonts w:cs="Times New Roman"/>
          <w:szCs w:val="28"/>
        </w:rPr>
      </w:pPr>
    </w:p>
    <w:p>
      <w:pPr>
        <w:widowControl/>
        <w:ind w:firstLine="0" w:firstLineChars="0"/>
        <w:jc w:val="left"/>
        <w:rPr>
          <w:rFonts w:cs="Times New Roman"/>
          <w:szCs w:val="28"/>
        </w:rPr>
        <w:sectPr>
          <w:headerReference r:id="rId7" w:type="first"/>
          <w:footerReference r:id="rId10" w:type="first"/>
          <w:headerReference r:id="rId5" w:type="default"/>
          <w:footerReference r:id="rId8" w:type="default"/>
          <w:headerReference r:id="rId6" w:type="even"/>
          <w:footerReference r:id="rId9" w:type="even"/>
          <w:pgSz w:w="11906" w:h="16838"/>
          <w:pgMar w:top="1440" w:right="1418" w:bottom="1440" w:left="1418" w:header="1020" w:footer="992" w:gutter="0"/>
          <w:cols w:space="425" w:num="1"/>
          <w:docGrid w:linePitch="381" w:charSpace="0"/>
        </w:sectPr>
      </w:pPr>
      <w:r>
        <w:rPr>
          <w:rFonts w:cs="Times New Roman"/>
          <w:szCs w:val="2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6227445</wp:posOffset>
                </wp:positionV>
                <wp:extent cx="3728085" cy="1466850"/>
                <wp:effectExtent l="0" t="0" r="0" b="0"/>
                <wp:wrapNone/>
                <wp:docPr id="9" name="文本框 28"/>
                <wp:cNvGraphicFramePr/>
                <a:graphic xmlns:a="http://schemas.openxmlformats.org/drawingml/2006/main">
                  <a:graphicData uri="http://schemas.microsoft.com/office/word/2010/wordprocessingShape">
                    <wps:wsp>
                      <wps:cNvSpPr>
                        <a:spLocks noChangeArrowheads="1"/>
                      </wps:cNvSpPr>
                      <wps:spPr bwMode="auto">
                        <a:xfrm>
                          <a:off x="0" y="0"/>
                          <a:ext cx="3728378" cy="1466850"/>
                        </a:xfrm>
                        <a:prstGeom prst="rect">
                          <a:avLst/>
                        </a:prstGeom>
                        <a:noFill/>
                        <a:ln>
                          <a:noFill/>
                        </a:ln>
                      </wps:spPr>
                      <wps:txbx>
                        <w:txbxContent>
                          <w:p>
                            <w:pPr>
                              <w:ind w:firstLine="0" w:firstLineChars="0"/>
                              <w:jc w:val="left"/>
                              <w:rPr>
                                <w:rFonts w:ascii="宋体" w:hAnsi="宋体" w:eastAsia="宋体"/>
                                <w:b/>
                                <w:sz w:val="32"/>
                                <w:szCs w:val="32"/>
                              </w:rPr>
                            </w:pPr>
                            <w:r>
                              <w:rPr>
                                <w:rFonts w:hint="eastAsia" w:ascii="宋体" w:hAnsi="宋体" w:eastAsia="宋体"/>
                                <w:b/>
                                <w:sz w:val="32"/>
                                <w:szCs w:val="32"/>
                              </w:rPr>
                              <w:t>实施单位</w:t>
                            </w:r>
                            <w:r>
                              <w:rPr>
                                <w:rFonts w:ascii="宋体" w:hAnsi="宋体" w:eastAsia="宋体"/>
                                <w:b/>
                                <w:sz w:val="32"/>
                                <w:szCs w:val="32"/>
                              </w:rPr>
                              <w:t>：同心县</w:t>
                            </w:r>
                            <w:r>
                              <w:rPr>
                                <w:rFonts w:hint="eastAsia" w:ascii="宋体" w:hAnsi="宋体" w:eastAsia="宋体"/>
                                <w:b/>
                                <w:sz w:val="32"/>
                                <w:szCs w:val="32"/>
                              </w:rPr>
                              <w:t>农业</w:t>
                            </w:r>
                            <w:r>
                              <w:rPr>
                                <w:rFonts w:ascii="宋体" w:hAnsi="宋体" w:eastAsia="宋体"/>
                                <w:b/>
                                <w:sz w:val="32"/>
                                <w:szCs w:val="32"/>
                              </w:rPr>
                              <w:t>农村局</w:t>
                            </w:r>
                          </w:p>
                          <w:p>
                            <w:pPr>
                              <w:ind w:firstLine="0" w:firstLineChars="0"/>
                              <w:jc w:val="left"/>
                              <w:rPr>
                                <w:rFonts w:ascii="宋体" w:hAnsi="宋体" w:eastAsia="宋体"/>
                                <w:b/>
                                <w:sz w:val="32"/>
                                <w:szCs w:val="32"/>
                              </w:rPr>
                            </w:pPr>
                            <w:r>
                              <w:rPr>
                                <w:rFonts w:hint="eastAsia" w:ascii="宋体" w:hAnsi="宋体" w:eastAsia="宋体"/>
                                <w:b/>
                                <w:sz w:val="32"/>
                                <w:szCs w:val="32"/>
                              </w:rPr>
                              <w:t>编制单位</w:t>
                            </w:r>
                            <w:r>
                              <w:rPr>
                                <w:rFonts w:ascii="宋体" w:hAnsi="宋体" w:eastAsia="宋体"/>
                                <w:b/>
                                <w:sz w:val="32"/>
                                <w:szCs w:val="32"/>
                              </w:rPr>
                              <w:t>：中国投资咨询有限责任公司</w:t>
                            </w:r>
                          </w:p>
                          <w:p>
                            <w:pPr>
                              <w:ind w:firstLine="0" w:firstLineChars="0"/>
                              <w:jc w:val="left"/>
                              <w:rPr>
                                <w:rFonts w:hint="eastAsia" w:ascii="宋体" w:hAnsi="宋体" w:eastAsia="宋体"/>
                                <w:b/>
                                <w:sz w:val="32"/>
                                <w:szCs w:val="32"/>
                              </w:rPr>
                            </w:pPr>
                            <w:r>
                              <w:rPr>
                                <w:rFonts w:hint="eastAsia" w:ascii="宋体" w:hAnsi="宋体" w:eastAsia="宋体"/>
                                <w:b/>
                                <w:sz w:val="32"/>
                                <w:szCs w:val="32"/>
                              </w:rPr>
                              <w:t>时    间</w:t>
                            </w:r>
                            <w:r>
                              <w:rPr>
                                <w:rFonts w:ascii="宋体" w:hAnsi="宋体" w:eastAsia="宋体"/>
                                <w:b/>
                                <w:sz w:val="32"/>
                                <w:szCs w:val="32"/>
                              </w:rPr>
                              <w:t>：2023</w:t>
                            </w:r>
                            <w:r>
                              <w:rPr>
                                <w:rFonts w:hint="eastAsia" w:ascii="宋体" w:hAnsi="宋体" w:eastAsia="宋体"/>
                                <w:b/>
                                <w:sz w:val="32"/>
                                <w:szCs w:val="32"/>
                              </w:rPr>
                              <w:t>年08月25</w:t>
                            </w:r>
                            <w:r>
                              <w:rPr>
                                <w:rFonts w:ascii="宋体" w:hAnsi="宋体" w:eastAsia="宋体"/>
                                <w:b/>
                                <w:sz w:val="32"/>
                                <w:szCs w:val="32"/>
                              </w:rPr>
                              <w:t>日</w:t>
                            </w:r>
                          </w:p>
                          <w:p>
                            <w:pPr>
                              <w:ind w:firstLine="0" w:firstLineChars="0"/>
                              <w:jc w:val="center"/>
                              <w:rPr>
                                <w:b/>
                                <w:sz w:val="32"/>
                                <w:szCs w:val="32"/>
                              </w:rPr>
                            </w:pPr>
                          </w:p>
                          <w:p>
                            <w:pPr>
                              <w:ind w:firstLine="0" w:firstLineChars="0"/>
                              <w:jc w:val="center"/>
                              <w:rPr>
                                <w:b/>
                                <w:sz w:val="32"/>
                                <w:szCs w:val="32"/>
                              </w:rPr>
                            </w:pPr>
                          </w:p>
                          <w:p>
                            <w:pPr>
                              <w:ind w:firstLine="0" w:firstLineChars="0"/>
                              <w:jc w:val="center"/>
                              <w:rPr>
                                <w:b/>
                                <w:sz w:val="32"/>
                                <w:szCs w:val="32"/>
                              </w:rPr>
                            </w:pPr>
                          </w:p>
                          <w:p>
                            <w:pPr>
                              <w:ind w:firstLine="0" w:firstLineChars="0"/>
                              <w:jc w:val="center"/>
                              <w:rPr>
                                <w:b/>
                                <w:sz w:val="32"/>
                                <w:szCs w:val="32"/>
                              </w:rPr>
                            </w:pPr>
                          </w:p>
                          <w:p>
                            <w:pPr>
                              <w:ind w:firstLine="0" w:firstLineChars="0"/>
                              <w:jc w:val="center"/>
                              <w:rPr>
                                <w:b/>
                                <w:sz w:val="32"/>
                                <w:szCs w:val="32"/>
                              </w:rPr>
                            </w:pPr>
                          </w:p>
                          <w:p>
                            <w:pPr>
                              <w:ind w:firstLine="0" w:firstLineChars="0"/>
                              <w:jc w:val="center"/>
                              <w:rPr>
                                <w:b/>
                                <w:sz w:val="32"/>
                                <w:szCs w:val="32"/>
                              </w:rPr>
                            </w:pPr>
                          </w:p>
                          <w:p>
                            <w:pPr>
                              <w:ind w:firstLine="0" w:firstLineChars="0"/>
                              <w:jc w:val="center"/>
                              <w:rPr>
                                <w:b/>
                                <w:sz w:val="32"/>
                                <w:szCs w:val="32"/>
                              </w:rPr>
                            </w:pPr>
                          </w:p>
                          <w:p>
                            <w:pPr>
                              <w:ind w:firstLine="0" w:firstLineChars="0"/>
                              <w:jc w:val="center"/>
                              <w:rPr>
                                <w:b/>
                                <w:sz w:val="32"/>
                                <w:szCs w:val="32"/>
                              </w:rPr>
                            </w:pPr>
                          </w:p>
                        </w:txbxContent>
                      </wps:txbx>
                      <wps:bodyPr rot="0" vert="horz" wrap="square" lIns="91440" tIns="45720" rIns="91440" bIns="45720" anchor="t" anchorCtr="0" upright="1">
                        <a:noAutofit/>
                      </wps:bodyPr>
                    </wps:wsp>
                  </a:graphicData>
                </a:graphic>
              </wp:anchor>
            </w:drawing>
          </mc:Choice>
          <mc:Fallback>
            <w:pict>
              <v:rect id="文本框 28" o:spid="_x0000_s1026" o:spt="1" style="position:absolute;left:0pt;margin-top:490.35pt;height:115.5pt;width:293.55pt;mso-position-horizontal:center;mso-position-horizontal-relative:margin;z-index:251662336;mso-width-relative:page;mso-height-relative:page;" filled="f" stroked="f" coordsize="21600,21600" o:gfxdata="UEsDBAoAAAAAAIdO4kAAAAAAAAAAAAAAAAAEAAAAZHJzL1BLAwQUAAAACACHTuJAitUjONkAAAAJ&#10;AQAADwAAAGRycy9kb3ducmV2LnhtbE2PQUvDQBSE74L/YXmCF7G7KWhizKaHglhEKKba8zb7TILZ&#10;t2l2m9R/7/Okx2GGmW+K1dn1YsIxdJ40JAsFAqn2tqNGw/vu6TYDEaIha3pPqOEbA6zKy4vC5NbP&#10;9IZTFRvBJRRyo6GNccilDHWLzoSFH5DY+/SjM5Hl2Eg7mpnLXS+XSt1LZzrihdYMuG6x/qpOTsNc&#10;b6f97vVZbm/2G0/HzXFdfbxofX2VqEcQEc/xLwy/+IwOJTMd/IlsEL0GPhI1PGQqBcH2XZYmIA6c&#10;WyZJCrIs5P8H5Q9QSwMEFAAAAAgAh07iQP8bozEVAgAADQQAAA4AAABkcnMvZTJvRG9jLnhtbK1T&#10;QW7bMBC8F+gfCN5rWY5jO4LlIIiRokDaBkj7AJqiLKISl13SltwHtD/IqZfe+y6/o0vKcZ30kkMv&#10;BJe7HM7MLueXXVOzrUKnweQ8HQw5U0ZCoc06558/3byZcea8MIWowaic75Tjl4vXr+atzdQIKqgL&#10;hYxAjMtam/PKe5sliZOVaoQbgFWGkiVgIzyFuE4KFC2hN3UyGg4nSQtYWASpnKPTZZ/kB0R8CSCU&#10;pZZqCXLTKON7VFS18CTJVdo6vohsy1JJ/7EsnfKszjkp9XGlR2i/CmuymItsjcJWWh4oiJdQeKap&#10;EdrQo0eopfCCbVD/A9VoieCg9AMJTdILiY6QinT4zJv7SlgVtZDVzh5Nd/8PVn7Y3iHTRc4vODOi&#10;oYbvH37sf/7e//rORrPgT2tdRmX39g6DQmdvQX5xzMB1JcxaXSFCWylREKs01CdPLoTA0VW2at9D&#10;QfBi4yFa1ZXYBEAygXWxI7tjR1TnmaTDs+lodjaliZSUS8eTyew89iwR2eN1i86/VdCwsMk5Ussj&#10;vNjeOh/oiOyxJLxm4EbXdWx7bZ4cUGE4ifQD416571bdwYQVFDsSgtBPEf0h2lSA3zhraYJy7r5u&#10;BCrO6neGzLhIx+MwcjEYn09HFOBpZnWaEUYSVM49Z/322vdjurGo1xW9lEZZBq7IwFJHacHcntWB&#10;N01JVHyY6DCGp3Gs+vuLF38A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itUjONkAAAAJAQAADwAA&#10;AAAAAAABACAAAAAiAAAAZHJzL2Rvd25yZXYueG1sUEsBAhQAFAAAAAgAh07iQP8bozEVAgAADQQA&#10;AA4AAAAAAAAAAQAgAAAAKAEAAGRycy9lMm9Eb2MueG1sUEsFBgAAAAAGAAYAWQEAAK8FAAAAAA==&#10;">
                <v:fill on="f" focussize="0,0"/>
                <v:stroke on="f"/>
                <v:imagedata o:title=""/>
                <o:lock v:ext="edit" aspectratio="f"/>
                <v:textbox>
                  <w:txbxContent>
                    <w:p>
                      <w:pPr>
                        <w:ind w:firstLine="0" w:firstLineChars="0"/>
                        <w:jc w:val="left"/>
                        <w:rPr>
                          <w:rFonts w:ascii="宋体" w:hAnsi="宋体" w:eastAsia="宋体"/>
                          <w:b/>
                          <w:sz w:val="32"/>
                          <w:szCs w:val="32"/>
                        </w:rPr>
                      </w:pPr>
                      <w:r>
                        <w:rPr>
                          <w:rFonts w:hint="eastAsia" w:ascii="宋体" w:hAnsi="宋体" w:eastAsia="宋体"/>
                          <w:b/>
                          <w:sz w:val="32"/>
                          <w:szCs w:val="32"/>
                        </w:rPr>
                        <w:t>实施单位</w:t>
                      </w:r>
                      <w:r>
                        <w:rPr>
                          <w:rFonts w:ascii="宋体" w:hAnsi="宋体" w:eastAsia="宋体"/>
                          <w:b/>
                          <w:sz w:val="32"/>
                          <w:szCs w:val="32"/>
                        </w:rPr>
                        <w:t>：同心县</w:t>
                      </w:r>
                      <w:r>
                        <w:rPr>
                          <w:rFonts w:hint="eastAsia" w:ascii="宋体" w:hAnsi="宋体" w:eastAsia="宋体"/>
                          <w:b/>
                          <w:sz w:val="32"/>
                          <w:szCs w:val="32"/>
                        </w:rPr>
                        <w:t>农业</w:t>
                      </w:r>
                      <w:r>
                        <w:rPr>
                          <w:rFonts w:ascii="宋体" w:hAnsi="宋体" w:eastAsia="宋体"/>
                          <w:b/>
                          <w:sz w:val="32"/>
                          <w:szCs w:val="32"/>
                        </w:rPr>
                        <w:t>农村局</w:t>
                      </w:r>
                    </w:p>
                    <w:p>
                      <w:pPr>
                        <w:ind w:firstLine="0" w:firstLineChars="0"/>
                        <w:jc w:val="left"/>
                        <w:rPr>
                          <w:rFonts w:ascii="宋体" w:hAnsi="宋体" w:eastAsia="宋体"/>
                          <w:b/>
                          <w:sz w:val="32"/>
                          <w:szCs w:val="32"/>
                        </w:rPr>
                      </w:pPr>
                      <w:r>
                        <w:rPr>
                          <w:rFonts w:hint="eastAsia" w:ascii="宋体" w:hAnsi="宋体" w:eastAsia="宋体"/>
                          <w:b/>
                          <w:sz w:val="32"/>
                          <w:szCs w:val="32"/>
                        </w:rPr>
                        <w:t>编制单位</w:t>
                      </w:r>
                      <w:r>
                        <w:rPr>
                          <w:rFonts w:ascii="宋体" w:hAnsi="宋体" w:eastAsia="宋体"/>
                          <w:b/>
                          <w:sz w:val="32"/>
                          <w:szCs w:val="32"/>
                        </w:rPr>
                        <w:t>：中国投资咨询有限责任公司</w:t>
                      </w:r>
                    </w:p>
                    <w:p>
                      <w:pPr>
                        <w:ind w:firstLine="0" w:firstLineChars="0"/>
                        <w:jc w:val="left"/>
                        <w:rPr>
                          <w:rFonts w:hint="eastAsia" w:ascii="宋体" w:hAnsi="宋体" w:eastAsia="宋体"/>
                          <w:b/>
                          <w:sz w:val="32"/>
                          <w:szCs w:val="32"/>
                        </w:rPr>
                      </w:pPr>
                      <w:r>
                        <w:rPr>
                          <w:rFonts w:hint="eastAsia" w:ascii="宋体" w:hAnsi="宋体" w:eastAsia="宋体"/>
                          <w:b/>
                          <w:sz w:val="32"/>
                          <w:szCs w:val="32"/>
                        </w:rPr>
                        <w:t>时    间</w:t>
                      </w:r>
                      <w:r>
                        <w:rPr>
                          <w:rFonts w:ascii="宋体" w:hAnsi="宋体" w:eastAsia="宋体"/>
                          <w:b/>
                          <w:sz w:val="32"/>
                          <w:szCs w:val="32"/>
                        </w:rPr>
                        <w:t>：2023</w:t>
                      </w:r>
                      <w:r>
                        <w:rPr>
                          <w:rFonts w:hint="eastAsia" w:ascii="宋体" w:hAnsi="宋体" w:eastAsia="宋体"/>
                          <w:b/>
                          <w:sz w:val="32"/>
                          <w:szCs w:val="32"/>
                        </w:rPr>
                        <w:t>年08月25</w:t>
                      </w:r>
                      <w:r>
                        <w:rPr>
                          <w:rFonts w:ascii="宋体" w:hAnsi="宋体" w:eastAsia="宋体"/>
                          <w:b/>
                          <w:sz w:val="32"/>
                          <w:szCs w:val="32"/>
                        </w:rPr>
                        <w:t>日</w:t>
                      </w:r>
                    </w:p>
                    <w:p>
                      <w:pPr>
                        <w:ind w:firstLine="0" w:firstLineChars="0"/>
                        <w:jc w:val="center"/>
                        <w:rPr>
                          <w:b/>
                          <w:sz w:val="32"/>
                          <w:szCs w:val="32"/>
                        </w:rPr>
                      </w:pPr>
                    </w:p>
                    <w:p>
                      <w:pPr>
                        <w:ind w:firstLine="0" w:firstLineChars="0"/>
                        <w:jc w:val="center"/>
                        <w:rPr>
                          <w:b/>
                          <w:sz w:val="32"/>
                          <w:szCs w:val="32"/>
                        </w:rPr>
                      </w:pPr>
                    </w:p>
                    <w:p>
                      <w:pPr>
                        <w:ind w:firstLine="0" w:firstLineChars="0"/>
                        <w:jc w:val="center"/>
                        <w:rPr>
                          <w:b/>
                          <w:sz w:val="32"/>
                          <w:szCs w:val="32"/>
                        </w:rPr>
                      </w:pPr>
                    </w:p>
                    <w:p>
                      <w:pPr>
                        <w:ind w:firstLine="0" w:firstLineChars="0"/>
                        <w:jc w:val="center"/>
                        <w:rPr>
                          <w:b/>
                          <w:sz w:val="32"/>
                          <w:szCs w:val="32"/>
                        </w:rPr>
                      </w:pPr>
                    </w:p>
                    <w:p>
                      <w:pPr>
                        <w:ind w:firstLine="0" w:firstLineChars="0"/>
                        <w:jc w:val="center"/>
                        <w:rPr>
                          <w:b/>
                          <w:sz w:val="32"/>
                          <w:szCs w:val="32"/>
                        </w:rPr>
                      </w:pPr>
                    </w:p>
                    <w:p>
                      <w:pPr>
                        <w:ind w:firstLine="0" w:firstLineChars="0"/>
                        <w:jc w:val="center"/>
                        <w:rPr>
                          <w:b/>
                          <w:sz w:val="32"/>
                          <w:szCs w:val="32"/>
                        </w:rPr>
                      </w:pPr>
                    </w:p>
                    <w:p>
                      <w:pPr>
                        <w:ind w:firstLine="0" w:firstLineChars="0"/>
                        <w:jc w:val="center"/>
                        <w:rPr>
                          <w:b/>
                          <w:sz w:val="32"/>
                          <w:szCs w:val="32"/>
                        </w:rPr>
                      </w:pPr>
                    </w:p>
                    <w:p>
                      <w:pPr>
                        <w:ind w:firstLine="0" w:firstLineChars="0"/>
                        <w:jc w:val="center"/>
                        <w:rPr>
                          <w:b/>
                          <w:sz w:val="32"/>
                          <w:szCs w:val="32"/>
                        </w:rPr>
                      </w:pPr>
                    </w:p>
                  </w:txbxContent>
                </v:textbox>
              </v:rect>
            </w:pict>
          </mc:Fallback>
        </mc:AlternateContent>
      </w:r>
      <w:r>
        <w:rPr>
          <w:rFonts w:cs="Times New Roman"/>
          <w:szCs w:val="28"/>
        </w:rPr>
        <mc:AlternateContent>
          <mc:Choice Requires="wps">
            <w:drawing>
              <wp:anchor distT="45720" distB="45720" distL="114300" distR="114300" simplePos="0" relativeHeight="251661312" behindDoc="0" locked="0" layoutInCell="1" allowOverlap="1">
                <wp:simplePos x="0" y="0"/>
                <wp:positionH relativeFrom="margin">
                  <wp:posOffset>-492760</wp:posOffset>
                </wp:positionH>
                <wp:positionV relativeFrom="paragraph">
                  <wp:posOffset>2061845</wp:posOffset>
                </wp:positionV>
                <wp:extent cx="6980555" cy="1750695"/>
                <wp:effectExtent l="0" t="0" r="0" b="0"/>
                <wp:wrapSquare wrapText="bothSides"/>
                <wp:docPr id="8" name="文本框 2"/>
                <wp:cNvGraphicFramePr/>
                <a:graphic xmlns:a="http://schemas.openxmlformats.org/drawingml/2006/main">
                  <a:graphicData uri="http://schemas.microsoft.com/office/word/2010/wordprocessingShape">
                    <wps:wsp>
                      <wps:cNvSpPr>
                        <a:spLocks noChangeArrowheads="1"/>
                      </wps:cNvSpPr>
                      <wps:spPr bwMode="auto">
                        <a:xfrm>
                          <a:off x="0" y="0"/>
                          <a:ext cx="6980555" cy="1750695"/>
                        </a:xfrm>
                        <a:prstGeom prst="rect">
                          <a:avLst/>
                        </a:prstGeom>
                        <a:noFill/>
                        <a:ln w="12700">
                          <a:solidFill>
                            <a:srgbClr val="365F91">
                              <a:alpha val="0"/>
                            </a:srgbClr>
                          </a:solidFill>
                          <a:prstDash val="dash"/>
                          <a:miter lim="200000"/>
                        </a:ln>
                      </wps:spPr>
                      <wps:txbx>
                        <w:txbxContent>
                          <w:p>
                            <w:pPr>
                              <w:ind w:firstLine="0" w:firstLineChars="0"/>
                              <w:jc w:val="center"/>
                              <w:rPr>
                                <w:rFonts w:ascii="宋体" w:hAnsi="宋体" w:eastAsia="宋体"/>
                                <w:b/>
                                <w:bCs/>
                                <w:color w:val="FFFFFF"/>
                                <w:sz w:val="52"/>
                                <w:szCs w:val="40"/>
                              </w:rPr>
                            </w:pPr>
                            <w:r>
                              <w:rPr>
                                <w:rFonts w:hint="eastAsia" w:ascii="宋体" w:hAnsi="宋体" w:eastAsia="宋体"/>
                                <w:b/>
                                <w:bCs/>
                                <w:color w:val="FFFFFF"/>
                                <w:sz w:val="52"/>
                                <w:szCs w:val="40"/>
                              </w:rPr>
                              <w:t>同心县高标准农田及现代化高效节水灌区</w:t>
                            </w:r>
                            <w:r>
                              <w:rPr>
                                <w:rFonts w:ascii="宋体" w:hAnsi="宋体" w:eastAsia="宋体"/>
                                <w:b/>
                                <w:bCs/>
                                <w:color w:val="FFFFFF"/>
                                <w:sz w:val="52"/>
                                <w:szCs w:val="40"/>
                              </w:rPr>
                              <w:t>建设</w:t>
                            </w:r>
                            <w:r>
                              <w:rPr>
                                <w:rFonts w:hint="eastAsia" w:ascii="宋体" w:hAnsi="宋体" w:eastAsia="宋体"/>
                                <w:b/>
                                <w:bCs/>
                                <w:color w:val="FFFFFF"/>
                                <w:sz w:val="52"/>
                                <w:szCs w:val="40"/>
                              </w:rPr>
                              <w:t>特许经营项目实施方案</w:t>
                            </w:r>
                          </w:p>
                          <w:p>
                            <w:pPr>
                              <w:ind w:firstLine="0" w:firstLineChars="0"/>
                              <w:jc w:val="center"/>
                              <w:rPr>
                                <w:rFonts w:ascii="宋体" w:hAnsi="宋体" w:eastAsia="宋体"/>
                                <w:b/>
                                <w:bCs/>
                                <w:color w:val="FFFFFF"/>
                                <w:sz w:val="52"/>
                                <w:szCs w:val="40"/>
                              </w:rPr>
                            </w:pPr>
                            <w:r>
                              <w:rPr>
                                <w:rFonts w:hint="eastAsia" w:ascii="宋体" w:hAnsi="宋体" w:eastAsia="宋体"/>
                                <w:b/>
                                <w:bCs/>
                                <w:color w:val="FFFFFF"/>
                                <w:sz w:val="52"/>
                                <w:szCs w:val="40"/>
                              </w:rPr>
                              <w:t>（征求意见稿）</w:t>
                            </w:r>
                          </w:p>
                        </w:txbxContent>
                      </wps:txbx>
                      <wps:bodyPr rot="0" vert="horz" wrap="square" lIns="91440" tIns="45720" rIns="91440" bIns="45720" anchor="t" anchorCtr="0" upright="1">
                        <a:noAutofit/>
                      </wps:bodyPr>
                    </wps:wsp>
                  </a:graphicData>
                </a:graphic>
              </wp:anchor>
            </w:drawing>
          </mc:Choice>
          <mc:Fallback>
            <w:pict>
              <v:rect id="文本框 2" o:spid="_x0000_s1026" o:spt="1" style="position:absolute;left:0pt;margin-left:-38.8pt;margin-top:162.35pt;height:137.85pt;width:549.65pt;mso-position-horizontal-relative:margin;mso-wrap-distance-bottom:3.6pt;mso-wrap-distance-left:9pt;mso-wrap-distance-right:9pt;mso-wrap-distance-top:3.6pt;z-index:251661312;mso-width-relative:page;mso-height-relative:page;" filled="f" stroked="t" coordsize="21600,21600" o:gfxdata="UEsDBAoAAAAAAIdO4kAAAAAAAAAAAAAAAAAEAAAAZHJzL1BLAwQUAAAACACHTuJAHj8UBtwAAAAM&#10;AQAADwAAAGRycy9kb3ducmV2LnhtbE2PTUvDQBCG74L/YRnBW7ubGBKJmfQgiFA82CoSb5vsNAnu&#10;R8xum/rv3Z70NsM8vPO81eZsNDvR7EdnEZK1AEa2c2q0PcL729PqHpgP0iqpnSWEH/Kwqa+vKlkq&#10;t9gdnfahZzHE+lIiDCFMJee+G8hIv3YT2Xg7uNnIENe552qWSww3mqdC5NzI0cYPg5zocaDua380&#10;CNvGTC/t4XX5/mh3+jOZs23z3CDe3iTiAVigc/iD4aIf1aGOTq07WuWZRlgVRR5RhLs0K4BdCJEm&#10;cWoRciEy4HXF/5eofwFQSwMEFAAAAAgAh07iQDgfWCZVAgAAiwQAAA4AAABkcnMvZTJvRG9jLnht&#10;bK1UwW4TMRC9I/EPlu90N6GbNqtsqqpREVKBSoUPcLzerIXtMbaTTfkA+ANOXLjzXf0Oxva2pOXS&#10;AzmsPJ7xm3lvZrI422tFdsJ5Caahk6OSEmE4tNJsGvrp4+WrU0p8YKZlCoxo6K3w9Gz58sVisLWY&#10;Qg+qFY4giPH1YBvah2DrovC8F5r5I7DCoLMDp1lA022K1rEB0bUqpmU5KwZwrXXAhfd4u8pOOiK6&#10;5wBC10kuVsC3WpiQUZ1QLCAl30vr6TJV23WChw9d50UgqqHINKQvJsHzOn6L5YLVG8dsL/lYAntO&#10;CU84aSYNJn2AWrHAyNbJf6C05A48dOGIgy4ykaQIspiUT7S56ZkViQtK7e2D6P7/wfL3u2tHZNtQ&#10;bLthGht+9+P73c/fd7++kWmUZ7C+xqgbe+0iQW+vgH/2xMBFz8xGnDsHQy9Yi0VNYnzx6EE0PD4l&#10;6+EdtIjOtgGSUvvO6QiIGpB9asjtQ0PEPhCOl7P5aVlVFSUcfZOTqpzNq5SD1ffPrfPhjQBN4qGh&#10;Djue4NnuyodYDqvvQ2I2A5dSqdR1ZciAqNOTskwvPCjZRm+i6TbrC+XIjuHgvJ5Vl/NJhlW2Z/k2&#10;DQ/C+xyaUj3CiHlXzPc5vMVTHjctA26QkrqhuBD4GykpM6oXBcvCh/16P/ZgDe0t6uggzzBuMB56&#10;cF8pGXB+G+q/bJkTlKi3Bnsxnxwfx4FPxnF1MkXDHXrWhx5mOEI1NFCSjxchL8nWOrnpMVOmb+Ac&#10;+9fJpGzsba5qrBtnNKkw7lNcgkM7Rf39D1n+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MoEAABbQ29udGVudF9UeXBlc10ueG1sUEsBAhQACgAA&#10;AAAAh07iQAAAAAAAAAAAAAAAAAYAAAAAAAAAAAAQAAAArAMAAF9yZWxzL1BLAQIUABQAAAAIAIdO&#10;4kCKFGY80QAAAJQBAAALAAAAAAAAAAEAIAAAANADAABfcmVscy8ucmVsc1BLAQIUAAoAAAAAAIdO&#10;4kAAAAAAAAAAAAAAAAAEAAAAAAAAAAAAEAAAAAAAAABkcnMvUEsBAhQAFAAAAAgAh07iQB4/FAbc&#10;AAAADAEAAA8AAAAAAAAAAQAgAAAAIgAAAGRycy9kb3ducmV2LnhtbFBLAQIUABQAAAAIAIdO4kA4&#10;H1gmVQIAAIsEAAAOAAAAAAAAAAEAIAAAACsBAABkcnMvZTJvRG9jLnhtbFBLBQYAAAAABgAGAFkB&#10;AADyBQAAAAA=&#10;">
                <v:fill on="f" focussize="0,0"/>
                <v:stroke weight="1pt" color="#365F91" opacity="0f" miterlimit="2" joinstyle="miter" dashstyle="dash"/>
                <v:imagedata o:title=""/>
                <o:lock v:ext="edit" aspectratio="f"/>
                <v:textbox>
                  <w:txbxContent>
                    <w:p>
                      <w:pPr>
                        <w:ind w:firstLine="0" w:firstLineChars="0"/>
                        <w:jc w:val="center"/>
                        <w:rPr>
                          <w:rFonts w:ascii="宋体" w:hAnsi="宋体" w:eastAsia="宋体"/>
                          <w:b/>
                          <w:bCs/>
                          <w:color w:val="FFFFFF"/>
                          <w:sz w:val="52"/>
                          <w:szCs w:val="40"/>
                        </w:rPr>
                      </w:pPr>
                      <w:r>
                        <w:rPr>
                          <w:rFonts w:hint="eastAsia" w:ascii="宋体" w:hAnsi="宋体" w:eastAsia="宋体"/>
                          <w:b/>
                          <w:bCs/>
                          <w:color w:val="FFFFFF"/>
                          <w:sz w:val="52"/>
                          <w:szCs w:val="40"/>
                        </w:rPr>
                        <w:t>同心县高标准农田及现代化高效节水灌区</w:t>
                      </w:r>
                      <w:r>
                        <w:rPr>
                          <w:rFonts w:ascii="宋体" w:hAnsi="宋体" w:eastAsia="宋体"/>
                          <w:b/>
                          <w:bCs/>
                          <w:color w:val="FFFFFF"/>
                          <w:sz w:val="52"/>
                          <w:szCs w:val="40"/>
                        </w:rPr>
                        <w:t>建设</w:t>
                      </w:r>
                      <w:r>
                        <w:rPr>
                          <w:rFonts w:hint="eastAsia" w:ascii="宋体" w:hAnsi="宋体" w:eastAsia="宋体"/>
                          <w:b/>
                          <w:bCs/>
                          <w:color w:val="FFFFFF"/>
                          <w:sz w:val="52"/>
                          <w:szCs w:val="40"/>
                        </w:rPr>
                        <w:t>特许经营项目实施方案</w:t>
                      </w:r>
                    </w:p>
                    <w:p>
                      <w:pPr>
                        <w:ind w:firstLine="0" w:firstLineChars="0"/>
                        <w:jc w:val="center"/>
                        <w:rPr>
                          <w:rFonts w:ascii="宋体" w:hAnsi="宋体" w:eastAsia="宋体"/>
                          <w:b/>
                          <w:bCs/>
                          <w:color w:val="FFFFFF"/>
                          <w:sz w:val="52"/>
                          <w:szCs w:val="40"/>
                        </w:rPr>
                      </w:pPr>
                      <w:r>
                        <w:rPr>
                          <w:rFonts w:hint="eastAsia" w:ascii="宋体" w:hAnsi="宋体" w:eastAsia="宋体"/>
                          <w:b/>
                          <w:bCs/>
                          <w:color w:val="FFFFFF"/>
                          <w:sz w:val="52"/>
                          <w:szCs w:val="40"/>
                        </w:rPr>
                        <w:t>（征求意见稿）</w:t>
                      </w:r>
                    </w:p>
                  </w:txbxContent>
                </v:textbox>
                <w10:wrap type="square"/>
              </v:rect>
            </w:pict>
          </mc:Fallback>
        </mc:AlternateContent>
      </w:r>
      <w:r>
        <w:rPr>
          <w:rFonts w:cs="Times New Roman"/>
          <w:szCs w:val="28"/>
        </w:rPr>
        <mc:AlternateContent>
          <mc:Choice Requires="wps">
            <w:drawing>
              <wp:anchor distT="0" distB="0" distL="114300" distR="114300" simplePos="0" relativeHeight="251660288" behindDoc="1" locked="0" layoutInCell="1" allowOverlap="1">
                <wp:simplePos x="0" y="0"/>
                <wp:positionH relativeFrom="page">
                  <wp:posOffset>23495</wp:posOffset>
                </wp:positionH>
                <wp:positionV relativeFrom="margin">
                  <wp:posOffset>2459355</wp:posOffset>
                </wp:positionV>
                <wp:extent cx="7499985" cy="2048510"/>
                <wp:effectExtent l="19050" t="19050" r="43815" b="66040"/>
                <wp:wrapSquare wrapText="bothSides"/>
                <wp:docPr id="11" name="矩形 1"/>
                <wp:cNvGraphicFramePr/>
                <a:graphic xmlns:a="http://schemas.openxmlformats.org/drawingml/2006/main">
                  <a:graphicData uri="http://schemas.microsoft.com/office/word/2010/wordprocessingShape">
                    <wps:wsp>
                      <wps:cNvSpPr>
                        <a:spLocks noChangeArrowheads="1"/>
                      </wps:cNvSpPr>
                      <wps:spPr bwMode="auto">
                        <a:xfrm>
                          <a:off x="0" y="0"/>
                          <a:ext cx="7499985" cy="2048510"/>
                        </a:xfrm>
                        <a:prstGeom prst="rect">
                          <a:avLst/>
                        </a:prstGeom>
                        <a:solidFill>
                          <a:srgbClr val="960000"/>
                        </a:solidFill>
                        <a:ln w="38100">
                          <a:solidFill>
                            <a:sysClr val="window" lastClr="FFFFFF">
                              <a:lumMod val="95000"/>
                              <a:lumOff val="0"/>
                            </a:sysClr>
                          </a:solidFill>
                          <a:miter lim="800000"/>
                        </a:ln>
                        <a:effectLst>
                          <a:outerShdw dist="28398" dir="3806097" algn="ctr" rotWithShape="0">
                            <a:srgbClr val="ED7D31">
                              <a:lumMod val="50000"/>
                              <a:lumOff val="0"/>
                              <a:alpha val="50000"/>
                            </a:srgbClr>
                          </a:outerShdw>
                        </a:effectLst>
                      </wps:spPr>
                      <wps:bodyPr rot="0" vert="horz" wrap="square" lIns="91440" tIns="45720" rIns="91440" bIns="45720" anchor="t" anchorCtr="0" upright="1">
                        <a:noAutofit/>
                      </wps:bodyPr>
                    </wps:wsp>
                  </a:graphicData>
                </a:graphic>
              </wp:anchor>
            </w:drawing>
          </mc:Choice>
          <mc:Fallback>
            <w:pict>
              <v:rect id="矩形 1" o:spid="_x0000_s1026" o:spt="1" style="position:absolute;left:0pt;margin-left:1.85pt;margin-top:193.65pt;height:161.3pt;width:590.55pt;mso-position-horizontal-relative:page;mso-position-vertical-relative:margin;mso-wrap-distance-bottom:0pt;mso-wrap-distance-left:9pt;mso-wrap-distance-right:9pt;mso-wrap-distance-top:0pt;z-index:-251656192;mso-width-relative:page;mso-height-relative:page;" fillcolor="#960000" filled="t" stroked="t" coordsize="21600,21600" o:gfxdata="UEsDBAoAAAAAAIdO4kAAAAAAAAAAAAAAAAAEAAAAZHJzL1BLAwQUAAAACACHTuJAPf05N9gAAAAK&#10;AQAADwAAAGRycy9kb3ducmV2LnhtbE2PzU7DMBCE70i8g7VI3KgdAiQNcXqgQuLCgcIDOLHJT+O1&#10;id0k8PRsT3BajWY0+025W+3IZjOF3qGEZCOAGWyc7rGV8PH+fJMDC1GhVqNDI+HbBNhVlxelKrRb&#10;8M3Mh9gyKsFQKAldjL7gPDSdsSpsnDdI3qebrIokp5brSS1Ubkd+K8QDt6pH+tApb5460xwPJyvB&#10;Dw6/htd0WJdxX8/3/udFHPdSXl8l4hFYNGv8C8MZn9ChIqbanVAHNkpIMwrSybMU2NlP8jvaUkvI&#10;xHYLvCr5/wnVL1BLAwQUAAAACACHTuJA/b4CArICAACHBQAADgAAAGRycy9lMm9Eb2MueG1srVTL&#10;btQwFN0j8Q+W9zTJPDpJ1ExVdShCKlCpINYex0ks/ML2TGb4GSR2fASfg/gNrp1pGDosuiCLyNe+&#10;Pj7n+lxfXO6kQFtmHdeqwtlZihFTVNdctRX+8P7mRY6R80TVRGjFKrxnDl8unz+76E3JJrrTomYW&#10;AYhyZW8q3HlvyiRxtGOSuDNtmILFRltJPIS2TWpLekCXIpmk6XnSa1sbqylzDmZXwyI+INqnAOqm&#10;4ZStNN1IpvyAapkgHiS5jhuHl5Ft0zDq3zWNYx6JCoNSH/9wCIzX4Z8sL0jZWmI6Tg8UyFMoPNIk&#10;CVdw6Ai1Ip6gjeUnUJJTq51u/BnVMhmExIqAiix9VJv7jhgWtUCpnRmL7v4fLH27vbOI1+CEDCNF&#10;JNz4r6/ff/74hrJQnN64EnLuzZ0N8py51fSTQ0pfd0S17Mpa3XeM1EAp5id/bQiBg61o3b/RNUCT&#10;jdexTrvGygAIFUC7eB378TrYziMKk4tZURT5HCMKa5N0ls+zeGEJKR+2G+v8K6YlCoMKW7jvCE+2&#10;t84DfUh9SIn0teD1DRciBrZdXwuLtgS8UZyn8AXFsMUdpwmF+gpP8wyWTzH2boQAj9e6x0gQ52Gy&#10;wjfxi5vERkIBDkfNDyeREqbBnsP0eHiEPOUhuYe+E1xWOA9cH/KFCqxY9DqIDoHeQOp9V/eo5qEs&#10;k3xaQFfXHEhN8/Q8LRYYEdFC/1NvMbLaf+S+i3YLt3BSnZerxWqanSgJQiKNfyghJRGmI4O2MTEU&#10;dyh7FDgSjdGRhmij4JzBgWtd78FFwDNaBV4vGHTafsGoh96tsPu8IZZB7V8rcGKRzWah2WMwmy8m&#10;ENjjlfXxClEUoCrsoSZxeO0hgi0bY3nbwUmDcqWvwL0Nj74Kzh5YAfUQQH9GEYe3JDwAx3HM+vN+&#10;Ln8D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IwUAAFtDb250ZW50X1R5cGVzXS54bWxQSwECFAAKAAAAAACHTuJAAAAAAAAAAAAAAAAABgAAAAAA&#10;AAAAABAAAAAFBAAAX3JlbHMvUEsBAhQAFAAAAAgAh07iQIoUZjzRAAAAlAEAAAsAAAAAAAAAAQAg&#10;AAAAKQQAAF9yZWxzLy5yZWxzUEsBAhQACgAAAAAAh07iQAAAAAAAAAAAAAAAAAQAAAAAAAAAAAAQ&#10;AAAAAAAAAGRycy9QSwECFAAUAAAACACHTuJAPf05N9gAAAAKAQAADwAAAAAAAAABACAAAAAiAAAA&#10;ZHJzL2Rvd25yZXYueG1sUEsBAhQAFAAAAAgAh07iQP2+AgKyAgAAhwUAAA4AAAAAAAAAAQAgAAAA&#10;JwEAAGRycy9lMm9Eb2MueG1sUEsFBgAAAAAGAAYAWQEAAEsGAAAAAA==&#10;">
                <v:fill on="t" focussize="0,0"/>
                <v:stroke weight="3pt" color="#F2F2F2" miterlimit="8" joinstyle="miter"/>
                <v:imagedata o:title=""/>
                <o:lock v:ext="edit" aspectratio="f"/>
                <v:shadow on="t" color="#843C0B" opacity="32768f" offset="1pt,2pt" origin="0f,0f" matrix="65536f,0f,0f,65536f"/>
                <w10:wrap type="square"/>
              </v:rect>
            </w:pict>
          </mc:Fallback>
        </mc:AlternateContent>
      </w:r>
      <w:bookmarkEnd w:id="0"/>
    </w:p>
    <w:p>
      <w:pPr>
        <w:widowControl/>
        <w:ind w:firstLine="0" w:firstLineChars="0"/>
        <w:jc w:val="left"/>
        <w:rPr>
          <w:rFonts w:cs="Times New Roman"/>
          <w:szCs w:val="28"/>
        </w:rPr>
      </w:pPr>
    </w:p>
    <w:p>
      <w:pPr>
        <w:adjustRightInd w:val="0"/>
        <w:snapToGrid w:val="0"/>
        <w:ind w:firstLine="643"/>
        <w:rPr>
          <w:rFonts w:eastAsia="宋体" w:cs="Times New Roman"/>
          <w:b/>
          <w:bCs/>
          <w:sz w:val="32"/>
          <w:szCs w:val="32"/>
          <w:lang w:bidi="ar"/>
        </w:rPr>
      </w:pPr>
    </w:p>
    <w:p>
      <w:pPr>
        <w:adjustRightInd w:val="0"/>
        <w:snapToGrid w:val="0"/>
        <w:ind w:firstLine="0" w:firstLineChars="0"/>
        <w:jc w:val="center"/>
        <w:rPr>
          <w:rFonts w:cs="Times New Roman"/>
          <w:b/>
          <w:bCs/>
          <w:sz w:val="32"/>
          <w:szCs w:val="32"/>
          <w:lang w:bidi="ar"/>
        </w:rPr>
      </w:pPr>
      <w:r>
        <w:rPr>
          <w:rFonts w:hint="eastAsia" w:cs="Times New Roman"/>
          <w:b/>
          <w:bCs/>
          <w:sz w:val="32"/>
          <w:szCs w:val="32"/>
          <w:lang w:bidi="ar"/>
        </w:rPr>
        <w:t>同心县高标准农田及现代化高效节水灌区建设</w:t>
      </w:r>
    </w:p>
    <w:p>
      <w:pPr>
        <w:adjustRightInd w:val="0"/>
        <w:snapToGrid w:val="0"/>
        <w:ind w:firstLine="0" w:firstLineChars="0"/>
        <w:jc w:val="center"/>
        <w:rPr>
          <w:rFonts w:cs="Times New Roman"/>
          <w:b/>
          <w:bCs/>
          <w:sz w:val="32"/>
          <w:szCs w:val="32"/>
          <w:lang w:bidi="ar"/>
        </w:rPr>
      </w:pPr>
      <w:r>
        <w:rPr>
          <w:rFonts w:hint="eastAsia" w:cs="Times New Roman"/>
          <w:b/>
          <w:bCs/>
          <w:sz w:val="32"/>
          <w:szCs w:val="32"/>
          <w:lang w:bidi="ar"/>
        </w:rPr>
        <w:t>特许经营项目实施方案（征求意见稿）</w:t>
      </w:r>
    </w:p>
    <w:p>
      <w:pPr>
        <w:adjustRightInd w:val="0"/>
        <w:snapToGrid w:val="0"/>
        <w:ind w:firstLine="643"/>
        <w:jc w:val="center"/>
        <w:rPr>
          <w:rFonts w:cs="Times New Roman"/>
          <w:b/>
          <w:bCs/>
          <w:sz w:val="32"/>
          <w:szCs w:val="32"/>
        </w:rPr>
      </w:pPr>
    </w:p>
    <w:p>
      <w:pPr>
        <w:adjustRightInd w:val="0"/>
        <w:snapToGrid w:val="0"/>
        <w:ind w:firstLine="643"/>
        <w:jc w:val="center"/>
        <w:rPr>
          <w:rFonts w:cs="Times New Roman"/>
          <w:b/>
          <w:bCs/>
          <w:sz w:val="32"/>
          <w:szCs w:val="32"/>
        </w:rPr>
      </w:pPr>
    </w:p>
    <w:p>
      <w:pPr>
        <w:adjustRightInd w:val="0"/>
        <w:snapToGrid w:val="0"/>
        <w:ind w:firstLine="643"/>
        <w:jc w:val="center"/>
        <w:rPr>
          <w:rFonts w:cs="Times New Roman"/>
          <w:b/>
          <w:bCs/>
          <w:sz w:val="32"/>
          <w:szCs w:val="32"/>
        </w:rPr>
      </w:pPr>
    </w:p>
    <w:p>
      <w:pPr>
        <w:adjustRightInd w:val="0"/>
        <w:snapToGrid w:val="0"/>
        <w:ind w:firstLine="640"/>
        <w:jc w:val="center"/>
        <w:rPr>
          <w:rFonts w:cs="Times New Roman"/>
          <w:bCs/>
          <w:sz w:val="32"/>
          <w:szCs w:val="32"/>
        </w:rPr>
      </w:pPr>
    </w:p>
    <w:p>
      <w:pPr>
        <w:adjustRightInd w:val="0"/>
        <w:snapToGrid w:val="0"/>
        <w:ind w:firstLine="568" w:firstLineChars="202"/>
        <w:rPr>
          <w:rFonts w:cs="Times New Roman"/>
          <w:bCs/>
          <w:spacing w:val="-3"/>
          <w:szCs w:val="28"/>
          <w:lang w:bidi="ar"/>
        </w:rPr>
      </w:pPr>
      <w:r>
        <w:rPr>
          <w:rFonts w:cs="Times New Roman"/>
          <w:b/>
          <w:szCs w:val="28"/>
          <w:lang w:bidi="ar"/>
        </w:rPr>
        <w:t>项目名称：</w:t>
      </w:r>
      <w:r>
        <w:rPr>
          <w:rFonts w:hint="eastAsia" w:cs="Times New Roman"/>
          <w:bCs/>
          <w:spacing w:val="-3"/>
          <w:szCs w:val="28"/>
          <w:lang w:bidi="ar"/>
        </w:rPr>
        <w:t>同心县高标准农田及现代化高效节水</w:t>
      </w:r>
      <w:r>
        <w:rPr>
          <w:rFonts w:hint="eastAsia" w:cs="Times New Roman"/>
          <w:bCs/>
          <w:spacing w:val="-3"/>
          <w:szCs w:val="28"/>
          <w:lang w:eastAsia="zh-Hans" w:bidi="ar"/>
        </w:rPr>
        <w:t>特许经</w:t>
      </w:r>
      <w:r>
        <w:rPr>
          <w:rFonts w:hint="eastAsia" w:cs="Times New Roman"/>
          <w:bCs/>
          <w:spacing w:val="-3"/>
          <w:szCs w:val="28"/>
          <w:lang w:bidi="ar"/>
        </w:rPr>
        <w:t>营项目</w:t>
      </w:r>
    </w:p>
    <w:p>
      <w:pPr>
        <w:adjustRightInd w:val="0"/>
        <w:snapToGrid w:val="0"/>
        <w:ind w:firstLine="568" w:firstLineChars="202"/>
        <w:rPr>
          <w:rFonts w:cs="Times New Roman"/>
          <w:bCs/>
          <w:szCs w:val="28"/>
        </w:rPr>
      </w:pPr>
      <w:r>
        <w:rPr>
          <w:rFonts w:cs="Times New Roman"/>
          <w:b/>
          <w:szCs w:val="28"/>
          <w:lang w:bidi="ar"/>
        </w:rPr>
        <w:t>委托单位：</w:t>
      </w:r>
      <w:r>
        <w:rPr>
          <w:rFonts w:hint="eastAsia" w:cs="Times New Roman"/>
          <w:bCs/>
          <w:szCs w:val="28"/>
          <w:lang w:bidi="ar"/>
        </w:rPr>
        <w:t>同心县农业农村局</w:t>
      </w:r>
    </w:p>
    <w:p>
      <w:pPr>
        <w:adjustRightInd w:val="0"/>
        <w:snapToGrid w:val="0"/>
        <w:ind w:firstLine="568" w:firstLineChars="202"/>
        <w:rPr>
          <w:rFonts w:cs="Times New Roman"/>
          <w:bCs/>
          <w:szCs w:val="28"/>
        </w:rPr>
      </w:pPr>
      <w:r>
        <w:rPr>
          <w:rFonts w:cs="Times New Roman"/>
          <w:b/>
          <w:szCs w:val="28"/>
          <w:lang w:bidi="ar"/>
        </w:rPr>
        <w:t>编制单位：</w:t>
      </w:r>
      <w:r>
        <w:rPr>
          <w:rFonts w:cs="Times New Roman"/>
          <w:bCs/>
          <w:szCs w:val="28"/>
          <w:lang w:bidi="ar"/>
        </w:rPr>
        <w:t>中国投资咨询有限责任公司</w:t>
      </w:r>
    </w:p>
    <w:p>
      <w:pPr>
        <w:adjustRightInd w:val="0"/>
        <w:snapToGrid w:val="0"/>
        <w:ind w:firstLine="568" w:firstLineChars="202"/>
        <w:rPr>
          <w:rFonts w:cs="Times New Roman"/>
          <w:bCs/>
          <w:szCs w:val="28"/>
        </w:rPr>
      </w:pPr>
      <w:r>
        <w:rPr>
          <w:rFonts w:cs="Times New Roman"/>
          <w:b/>
          <w:szCs w:val="28"/>
          <w:lang w:bidi="ar"/>
        </w:rPr>
        <w:t>资信等级：</w:t>
      </w:r>
      <w:r>
        <w:rPr>
          <w:rFonts w:cs="Times New Roman"/>
          <w:bCs/>
          <w:szCs w:val="28"/>
          <w:lang w:bidi="ar"/>
        </w:rPr>
        <w:t>政府和社会资本合作（PPP）咨询专项资信甲级</w:t>
      </w:r>
    </w:p>
    <w:p>
      <w:pPr>
        <w:adjustRightInd w:val="0"/>
        <w:snapToGrid w:val="0"/>
        <w:ind w:firstLine="568" w:firstLineChars="202"/>
        <w:rPr>
          <w:rFonts w:cs="Times New Roman"/>
          <w:bCs/>
          <w:szCs w:val="28"/>
        </w:rPr>
      </w:pPr>
      <w:r>
        <w:rPr>
          <w:rFonts w:cs="Times New Roman"/>
          <w:b/>
          <w:szCs w:val="28"/>
          <w:lang w:bidi="ar"/>
        </w:rPr>
        <w:t>证书编号：</w:t>
      </w:r>
      <w:r>
        <w:rPr>
          <w:rFonts w:cs="Times New Roman"/>
          <w:bCs/>
          <w:szCs w:val="28"/>
          <w:lang w:bidi="ar"/>
        </w:rPr>
        <w:t>91310000100004228A-19ZXJ19</w:t>
      </w:r>
    </w:p>
    <w:p>
      <w:pPr>
        <w:adjustRightInd w:val="0"/>
        <w:snapToGrid w:val="0"/>
        <w:ind w:firstLine="568" w:firstLineChars="202"/>
        <w:rPr>
          <w:rFonts w:cs="Times New Roman"/>
          <w:bCs/>
          <w:szCs w:val="28"/>
        </w:rPr>
      </w:pPr>
      <w:r>
        <w:rPr>
          <w:rFonts w:cs="Times New Roman"/>
          <w:b/>
          <w:szCs w:val="28"/>
          <w:lang w:bidi="ar"/>
        </w:rPr>
        <w:t>项目负责人：</w:t>
      </w:r>
      <w:r>
        <w:rPr>
          <w:rFonts w:cs="Times New Roman"/>
          <w:bCs/>
          <w:szCs w:val="28"/>
          <w:lang w:bidi="ar"/>
        </w:rPr>
        <w:t xml:space="preserve"> 周  伟 财政部、国家发展改革委PPP专家</w:t>
      </w:r>
    </w:p>
    <w:p>
      <w:pPr>
        <w:adjustRightInd w:val="0"/>
        <w:snapToGrid w:val="0"/>
        <w:ind w:firstLine="3360" w:firstLineChars="1200"/>
        <w:rPr>
          <w:rFonts w:cs="Times New Roman"/>
          <w:bCs/>
          <w:szCs w:val="28"/>
        </w:rPr>
      </w:pPr>
      <w:r>
        <w:rPr>
          <w:rFonts w:cs="Times New Roman"/>
          <w:bCs/>
          <w:szCs w:val="28"/>
          <w:lang w:bidi="ar"/>
        </w:rPr>
        <w:t>高级经济师、注册咨询工程师（</w:t>
      </w:r>
      <w:r>
        <w:rPr>
          <w:rFonts w:hint="eastAsia" w:cs="Times New Roman"/>
          <w:bCs/>
          <w:szCs w:val="28"/>
          <w:lang w:eastAsia="zh-Hans" w:bidi="ar"/>
        </w:rPr>
        <w:t>投资</w:t>
      </w:r>
      <w:r>
        <w:rPr>
          <w:rFonts w:cs="Times New Roman"/>
          <w:bCs/>
          <w:szCs w:val="28"/>
          <w:lang w:bidi="ar"/>
        </w:rPr>
        <w:t>）</w:t>
      </w:r>
    </w:p>
    <w:p>
      <w:pPr>
        <w:adjustRightInd w:val="0"/>
        <w:snapToGrid w:val="0"/>
        <w:ind w:firstLine="568" w:firstLineChars="202"/>
        <w:rPr>
          <w:rFonts w:cs="Times New Roman"/>
          <w:bCs/>
          <w:szCs w:val="28"/>
          <w:lang w:eastAsia="zh-Hans" w:bidi="ar"/>
        </w:rPr>
      </w:pPr>
      <w:r>
        <w:rPr>
          <w:rFonts w:cs="Times New Roman"/>
          <w:b/>
          <w:szCs w:val="28"/>
          <w:lang w:bidi="ar"/>
        </w:rPr>
        <w:t>项目组成员：</w:t>
      </w:r>
      <w:r>
        <w:rPr>
          <w:rFonts w:hint="eastAsia" w:cs="Times New Roman"/>
          <w:b/>
          <w:szCs w:val="28"/>
          <w:lang w:bidi="ar"/>
        </w:rPr>
        <w:t xml:space="preserve"> </w:t>
      </w:r>
      <w:r>
        <w:rPr>
          <w:rFonts w:hint="eastAsia" w:cs="Times New Roman"/>
          <w:bCs/>
          <w:szCs w:val="28"/>
          <w:lang w:eastAsia="zh-Hans" w:bidi="ar"/>
        </w:rPr>
        <w:t>杨银雪、</w:t>
      </w:r>
      <w:r>
        <w:rPr>
          <w:rFonts w:hint="eastAsia" w:cs="Times New Roman"/>
          <w:bCs/>
          <w:szCs w:val="28"/>
          <w:lang w:bidi="ar"/>
        </w:rPr>
        <w:t>刘元鹏</w:t>
      </w:r>
      <w:r>
        <w:rPr>
          <w:rFonts w:hint="eastAsia" w:cs="Times New Roman"/>
          <w:bCs/>
          <w:szCs w:val="28"/>
          <w:lang w:eastAsia="zh-Hans" w:bidi="ar"/>
        </w:rPr>
        <w:t>、</w:t>
      </w:r>
      <w:r>
        <w:rPr>
          <w:rFonts w:hint="eastAsia" w:cs="Times New Roman"/>
          <w:bCs/>
          <w:szCs w:val="28"/>
          <w:lang w:bidi="ar"/>
        </w:rPr>
        <w:t>王  博</w:t>
      </w:r>
      <w:r>
        <w:rPr>
          <w:rFonts w:hint="eastAsia" w:cs="Times New Roman"/>
          <w:bCs/>
          <w:szCs w:val="28"/>
          <w:lang w:eastAsia="zh-Hans" w:bidi="ar"/>
        </w:rPr>
        <w:t>、</w:t>
      </w:r>
      <w:r>
        <w:rPr>
          <w:rFonts w:hint="eastAsia" w:cs="Times New Roman"/>
          <w:bCs/>
          <w:szCs w:val="28"/>
          <w:lang w:bidi="ar"/>
        </w:rPr>
        <w:t>方政匀</w:t>
      </w:r>
    </w:p>
    <w:p>
      <w:pPr>
        <w:adjustRightInd w:val="0"/>
        <w:snapToGrid w:val="0"/>
        <w:ind w:firstLine="2380" w:firstLineChars="850"/>
        <w:rPr>
          <w:rFonts w:cs="Times New Roman"/>
          <w:bCs/>
          <w:szCs w:val="28"/>
          <w:lang w:bidi="ar"/>
        </w:rPr>
      </w:pPr>
      <w:r>
        <w:rPr>
          <w:rFonts w:hint="eastAsia" w:cs="Times New Roman"/>
          <w:bCs/>
          <w:szCs w:val="28"/>
          <w:lang w:bidi="ar"/>
        </w:rPr>
        <w:t xml:space="preserve">王红雨、张瑞豪、单 </w:t>
      </w:r>
      <w:r>
        <w:rPr>
          <w:rFonts w:cs="Times New Roman"/>
          <w:bCs/>
          <w:szCs w:val="28"/>
          <w:lang w:bidi="ar"/>
        </w:rPr>
        <w:t xml:space="preserve"> </w:t>
      </w:r>
      <w:r>
        <w:rPr>
          <w:rFonts w:hint="eastAsia" w:cs="Times New Roman"/>
          <w:bCs/>
          <w:szCs w:val="28"/>
          <w:lang w:bidi="ar"/>
        </w:rPr>
        <w:t xml:space="preserve">奎、李 </w:t>
      </w:r>
      <w:r>
        <w:rPr>
          <w:rFonts w:cs="Times New Roman"/>
          <w:bCs/>
          <w:szCs w:val="28"/>
          <w:lang w:bidi="ar"/>
        </w:rPr>
        <w:t xml:space="preserve"> </w:t>
      </w:r>
      <w:r>
        <w:rPr>
          <w:rFonts w:hint="eastAsia" w:cs="Times New Roman"/>
          <w:bCs/>
          <w:szCs w:val="28"/>
          <w:lang w:bidi="ar"/>
        </w:rPr>
        <w:t>哲</w:t>
      </w:r>
    </w:p>
    <w:p>
      <w:pPr>
        <w:adjustRightInd w:val="0"/>
        <w:snapToGrid w:val="0"/>
        <w:ind w:firstLine="565" w:firstLineChars="202"/>
        <w:rPr>
          <w:rFonts w:eastAsia="宋体" w:cs="Times New Roman"/>
          <w:bCs/>
          <w:szCs w:val="28"/>
        </w:rPr>
      </w:pPr>
    </w:p>
    <w:p>
      <w:pPr>
        <w:adjustRightInd w:val="0"/>
        <w:snapToGrid w:val="0"/>
        <w:ind w:firstLine="565" w:firstLineChars="202"/>
        <w:rPr>
          <w:rFonts w:eastAsia="宋体" w:cs="Times New Roman"/>
          <w:bCs/>
          <w:szCs w:val="28"/>
        </w:rPr>
      </w:pPr>
    </w:p>
    <w:p>
      <w:pPr>
        <w:widowControl/>
        <w:ind w:firstLine="480"/>
        <w:jc w:val="left"/>
        <w:rPr>
          <w:rFonts w:eastAsia="宋体" w:cs="Times New Roman"/>
          <w:bCs/>
          <w:szCs w:val="28"/>
        </w:rPr>
      </w:pPr>
      <w:r>
        <w:rPr>
          <w:rFonts w:eastAsia="宋体" w:cs="Times New Roman"/>
          <w:bCs/>
          <w:sz w:val="24"/>
          <w:szCs w:val="24"/>
          <w:lang w:bidi="ar"/>
        </w:rPr>
        <w:br w:type="page"/>
      </w:r>
    </w:p>
    <w:p>
      <w:pPr>
        <w:adjustRightInd w:val="0"/>
        <w:snapToGrid w:val="0"/>
        <w:ind w:firstLine="0" w:firstLineChars="0"/>
        <w:jc w:val="center"/>
        <w:rPr>
          <w:rFonts w:cs="Times New Roman"/>
          <w:szCs w:val="28"/>
        </w:rPr>
      </w:pPr>
      <w:r>
        <w:rPr>
          <w:rFonts w:eastAsia="宋体" w:cs="Times New Roman"/>
          <w:sz w:val="24"/>
          <w:szCs w:val="24"/>
        </w:rPr>
        <w:drawing>
          <wp:inline distT="0" distB="0" distL="114300" distR="114300">
            <wp:extent cx="5724525" cy="8119745"/>
            <wp:effectExtent l="0" t="0" r="9525" b="0"/>
            <wp:docPr id="1" name="图片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65"/>
                    <pic:cNvPicPr>
                      <a:picLocks noChangeAspect="1"/>
                    </pic:cNvPicPr>
                  </pic:nvPicPr>
                  <pic:blipFill>
                    <a:blip r:embed="rId14"/>
                    <a:stretch>
                      <a:fillRect/>
                    </a:stretch>
                  </pic:blipFill>
                  <pic:spPr>
                    <a:xfrm>
                      <a:off x="0" y="0"/>
                      <a:ext cx="5727069" cy="8123354"/>
                    </a:xfrm>
                    <a:prstGeom prst="rect">
                      <a:avLst/>
                    </a:prstGeom>
                    <a:noFill/>
                    <a:ln>
                      <a:noFill/>
                    </a:ln>
                  </pic:spPr>
                </pic:pic>
              </a:graphicData>
            </a:graphic>
          </wp:inline>
        </w:drawing>
      </w:r>
    </w:p>
    <w:p>
      <w:pPr>
        <w:widowControl/>
        <w:ind w:firstLine="560"/>
        <w:jc w:val="left"/>
        <w:rPr>
          <w:rFonts w:cs="Times New Roman"/>
          <w:szCs w:val="28"/>
        </w:rPr>
      </w:pPr>
      <w:r>
        <w:rPr>
          <w:rFonts w:cs="Times New Roman"/>
          <w:szCs w:val="28"/>
        </w:rPr>
        <w:br w:type="page"/>
      </w:r>
    </w:p>
    <w:p>
      <w:pPr>
        <w:ind w:firstLine="643"/>
        <w:jc w:val="center"/>
        <w:rPr>
          <w:rFonts w:eastAsia="宋体" w:cs="Times New Roman"/>
          <w:b/>
          <w:bCs/>
          <w:sz w:val="32"/>
          <w:szCs w:val="36"/>
        </w:rPr>
      </w:pPr>
      <w:r>
        <w:rPr>
          <w:rFonts w:hint="eastAsia" w:eastAsia="宋体" w:cs="Times New Roman"/>
          <w:b/>
          <w:bCs/>
          <w:sz w:val="32"/>
          <w:szCs w:val="36"/>
        </w:rPr>
        <w:t>目</w:t>
      </w:r>
      <w:r>
        <w:rPr>
          <w:rFonts w:eastAsia="宋体" w:cs="Times New Roman"/>
          <w:b/>
          <w:bCs/>
          <w:sz w:val="32"/>
          <w:szCs w:val="36"/>
        </w:rPr>
        <w:t xml:space="preserve">  </w:t>
      </w:r>
      <w:r>
        <w:rPr>
          <w:rFonts w:hint="eastAsia" w:eastAsia="宋体" w:cs="Times New Roman"/>
          <w:b/>
          <w:bCs/>
          <w:sz w:val="32"/>
          <w:szCs w:val="36"/>
        </w:rPr>
        <w:t>录</w:t>
      </w:r>
    </w:p>
    <w:p>
      <w:pPr>
        <w:pStyle w:val="21"/>
        <w:tabs>
          <w:tab w:val="right" w:leader="dot" w:pos="9060"/>
        </w:tabs>
        <w:rPr>
          <w:rFonts w:asciiTheme="minorHAnsi" w:hAnsiTheme="minorHAnsi" w:eastAsiaTheme="minorEastAsia"/>
          <w:b w:val="0"/>
          <w:sz w:val="21"/>
        </w:rPr>
      </w:pPr>
      <w:r>
        <w:rPr>
          <w:rFonts w:cs="Times New Roman"/>
          <w:b w:val="0"/>
        </w:rPr>
        <w:fldChar w:fldCharType="begin"/>
      </w:r>
      <w:r>
        <w:rPr>
          <w:rFonts w:cs="Times New Roman"/>
          <w:b w:val="0"/>
        </w:rPr>
        <w:instrText xml:space="preserve"> TOC \o "1-2" \h \z \u </w:instrText>
      </w:r>
      <w:r>
        <w:rPr>
          <w:rFonts w:cs="Times New Roman"/>
          <w:b w:val="0"/>
        </w:rPr>
        <w:fldChar w:fldCharType="separate"/>
      </w:r>
      <w:r>
        <w:fldChar w:fldCharType="begin"/>
      </w:r>
      <w:r>
        <w:instrText xml:space="preserve"> HYPERLINK \l "_Toc148432335" </w:instrText>
      </w:r>
      <w:r>
        <w:fldChar w:fldCharType="separate"/>
      </w:r>
      <w:r>
        <w:rPr>
          <w:rStyle w:val="34"/>
          <w:rFonts w:hint="eastAsia" w:cs="Times New Roman"/>
        </w:rPr>
        <w:t>实施方案核心内容概述</w:t>
      </w:r>
      <w:r>
        <w:tab/>
      </w:r>
      <w:r>
        <w:fldChar w:fldCharType="begin"/>
      </w:r>
      <w:r>
        <w:instrText xml:space="preserve"> PAGEREF _Toc148432335 \h </w:instrText>
      </w:r>
      <w:r>
        <w:fldChar w:fldCharType="separate"/>
      </w:r>
      <w:r>
        <w:t>1</w:t>
      </w:r>
      <w:r>
        <w:fldChar w:fldCharType="end"/>
      </w:r>
      <w:r>
        <w:fldChar w:fldCharType="end"/>
      </w:r>
    </w:p>
    <w:p>
      <w:pPr>
        <w:pStyle w:val="21"/>
        <w:tabs>
          <w:tab w:val="right" w:leader="dot" w:pos="9060"/>
        </w:tabs>
        <w:rPr>
          <w:rFonts w:asciiTheme="minorHAnsi" w:hAnsiTheme="minorHAnsi" w:eastAsiaTheme="minorEastAsia"/>
          <w:b w:val="0"/>
          <w:sz w:val="21"/>
        </w:rPr>
      </w:pPr>
      <w:r>
        <w:fldChar w:fldCharType="begin"/>
      </w:r>
      <w:r>
        <w:instrText xml:space="preserve"> HYPERLINK \l "_Toc148432336" </w:instrText>
      </w:r>
      <w:r>
        <w:fldChar w:fldCharType="separate"/>
      </w:r>
      <w:r>
        <w:rPr>
          <w:rStyle w:val="34"/>
          <w:rFonts w:hint="eastAsia" w:cs="Times New Roman"/>
        </w:rPr>
        <w:t>第一章</w:t>
      </w:r>
      <w:r>
        <w:rPr>
          <w:rStyle w:val="34"/>
          <w:rFonts w:cs="Times New Roman"/>
        </w:rPr>
        <w:t xml:space="preserve"> </w:t>
      </w:r>
      <w:r>
        <w:rPr>
          <w:rStyle w:val="34"/>
          <w:rFonts w:hint="eastAsia" w:cs="Times New Roman"/>
        </w:rPr>
        <w:t>项目实施背景</w:t>
      </w:r>
      <w:r>
        <w:tab/>
      </w:r>
      <w:r>
        <w:fldChar w:fldCharType="begin"/>
      </w:r>
      <w:r>
        <w:instrText xml:space="preserve"> PAGEREF _Toc148432336 \h </w:instrText>
      </w:r>
      <w:r>
        <w:fldChar w:fldCharType="separate"/>
      </w:r>
      <w:r>
        <w:t>4</w:t>
      </w:r>
      <w:r>
        <w:fldChar w:fldCharType="end"/>
      </w:r>
      <w:r>
        <w:fldChar w:fldCharType="end"/>
      </w:r>
    </w:p>
    <w:p>
      <w:pPr>
        <w:pStyle w:val="21"/>
        <w:tabs>
          <w:tab w:val="right" w:leader="dot" w:pos="9060"/>
        </w:tabs>
        <w:rPr>
          <w:rFonts w:asciiTheme="minorHAnsi" w:hAnsiTheme="minorHAnsi" w:eastAsiaTheme="minorEastAsia"/>
          <w:b w:val="0"/>
          <w:sz w:val="21"/>
        </w:rPr>
      </w:pPr>
      <w:r>
        <w:fldChar w:fldCharType="begin"/>
      </w:r>
      <w:r>
        <w:instrText xml:space="preserve"> HYPERLINK \l "_Toc148432337" </w:instrText>
      </w:r>
      <w:r>
        <w:fldChar w:fldCharType="separate"/>
      </w:r>
      <w:r>
        <w:rPr>
          <w:rStyle w:val="34"/>
          <w:rFonts w:hint="eastAsia" w:cs="Times New Roman"/>
        </w:rPr>
        <w:t>第二章</w:t>
      </w:r>
      <w:r>
        <w:rPr>
          <w:rStyle w:val="34"/>
          <w:rFonts w:cs="Times New Roman"/>
        </w:rPr>
        <w:t xml:space="preserve"> </w:t>
      </w:r>
      <w:r>
        <w:rPr>
          <w:rStyle w:val="34"/>
          <w:rFonts w:hint="eastAsia" w:cs="Times New Roman"/>
        </w:rPr>
        <w:t>编制依据和原则</w:t>
      </w:r>
      <w:r>
        <w:tab/>
      </w:r>
      <w:r>
        <w:fldChar w:fldCharType="begin"/>
      </w:r>
      <w:r>
        <w:instrText xml:space="preserve"> PAGEREF _Toc148432337 \h </w:instrText>
      </w:r>
      <w:r>
        <w:fldChar w:fldCharType="separate"/>
      </w:r>
      <w:r>
        <w:t>8</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"_Toc148432338" </w:instrText>
      </w:r>
      <w:r>
        <w:fldChar w:fldCharType="separate"/>
      </w:r>
      <w:r>
        <w:rPr>
          <w:rStyle w:val="34"/>
          <w:rFonts w:hint="eastAsia" w:cs="Times New Roman"/>
        </w:rPr>
        <w:t>一、编制依据</w:t>
      </w:r>
      <w:r>
        <w:tab/>
      </w:r>
      <w:r>
        <w:fldChar w:fldCharType="begin"/>
      </w:r>
      <w:r>
        <w:instrText xml:space="preserve"> PAGEREF _Toc148432338 \h </w:instrText>
      </w:r>
      <w:r>
        <w:fldChar w:fldCharType="separate"/>
      </w:r>
      <w:r>
        <w:t>8</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"_Toc148432339" </w:instrText>
      </w:r>
      <w:r>
        <w:fldChar w:fldCharType="separate"/>
      </w:r>
      <w:r>
        <w:rPr>
          <w:rStyle w:val="34"/>
          <w:rFonts w:hint="eastAsia" w:cs="Times New Roman"/>
        </w:rPr>
        <w:t>二、编制原则</w:t>
      </w:r>
      <w:r>
        <w:tab/>
      </w:r>
      <w:r>
        <w:fldChar w:fldCharType="begin"/>
      </w:r>
      <w:r>
        <w:instrText xml:space="preserve"> PAGEREF _Toc148432339 \h </w:instrText>
      </w:r>
      <w:r>
        <w:fldChar w:fldCharType="separate"/>
      </w:r>
      <w:r>
        <w:t>12</w:t>
      </w:r>
      <w:r>
        <w:fldChar w:fldCharType="end"/>
      </w:r>
      <w:r>
        <w:fldChar w:fldCharType="end"/>
      </w:r>
    </w:p>
    <w:p>
      <w:pPr>
        <w:pStyle w:val="21"/>
        <w:tabs>
          <w:tab w:val="right" w:leader="dot" w:pos="9060"/>
        </w:tabs>
        <w:rPr>
          <w:rFonts w:asciiTheme="minorHAnsi" w:hAnsiTheme="minorHAnsi" w:eastAsiaTheme="minorEastAsia"/>
          <w:b w:val="0"/>
          <w:sz w:val="21"/>
        </w:rPr>
      </w:pPr>
      <w:r>
        <w:fldChar w:fldCharType="begin"/>
      </w:r>
      <w:r>
        <w:instrText xml:space="preserve"> HYPERLINK \l "_Toc148432340" </w:instrText>
      </w:r>
      <w:r>
        <w:fldChar w:fldCharType="separate"/>
      </w:r>
      <w:r>
        <w:rPr>
          <w:rStyle w:val="34"/>
          <w:rFonts w:hint="eastAsia" w:cs="Times New Roman"/>
        </w:rPr>
        <w:t>第三章</w:t>
      </w:r>
      <w:r>
        <w:rPr>
          <w:rStyle w:val="34"/>
          <w:rFonts w:cs="Times New Roman"/>
        </w:rPr>
        <w:t xml:space="preserve"> </w:t>
      </w:r>
      <w:r>
        <w:rPr>
          <w:rStyle w:val="34"/>
          <w:rFonts w:hint="eastAsia" w:cs="Times New Roman"/>
        </w:rPr>
        <w:t>项目概况</w:t>
      </w:r>
      <w:r>
        <w:tab/>
      </w:r>
      <w:r>
        <w:fldChar w:fldCharType="begin"/>
      </w:r>
      <w:r>
        <w:instrText xml:space="preserve"> PAGEREF _Toc148432340 \h </w:instrText>
      </w:r>
      <w:r>
        <w:fldChar w:fldCharType="separate"/>
      </w:r>
      <w:r>
        <w:t>14</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"_Toc148432341" </w:instrText>
      </w:r>
      <w:r>
        <w:fldChar w:fldCharType="separate"/>
      </w:r>
      <w:r>
        <w:rPr>
          <w:rStyle w:val="34"/>
          <w:rFonts w:hint="eastAsia" w:cs="Times New Roman"/>
        </w:rPr>
        <w:t>一、项目名称</w:t>
      </w:r>
      <w:r>
        <w:tab/>
      </w:r>
      <w:r>
        <w:fldChar w:fldCharType="begin"/>
      </w:r>
      <w:r>
        <w:instrText xml:space="preserve"> PAGEREF _Toc148432341 \h </w:instrText>
      </w:r>
      <w:r>
        <w:fldChar w:fldCharType="separate"/>
      </w:r>
      <w:r>
        <w:t>14</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"_Toc148432342" </w:instrText>
      </w:r>
      <w:r>
        <w:fldChar w:fldCharType="separate"/>
      </w:r>
      <w:r>
        <w:rPr>
          <w:rStyle w:val="34"/>
          <w:rFonts w:hint="eastAsia" w:cs="Times New Roman"/>
        </w:rPr>
        <w:t>二、项目类型</w:t>
      </w:r>
      <w:r>
        <w:tab/>
      </w:r>
      <w:r>
        <w:fldChar w:fldCharType="begin"/>
      </w:r>
      <w:r>
        <w:instrText xml:space="preserve"> PAGEREF _Toc148432342 \h </w:instrText>
      </w:r>
      <w:r>
        <w:fldChar w:fldCharType="separate"/>
      </w:r>
      <w:r>
        <w:t>14</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"_Toc148432343" </w:instrText>
      </w:r>
      <w:r>
        <w:fldChar w:fldCharType="separate"/>
      </w:r>
      <w:r>
        <w:rPr>
          <w:rStyle w:val="34"/>
          <w:rFonts w:hint="eastAsia" w:cs="Times New Roman"/>
          <w:bCs/>
        </w:rPr>
        <w:t>三、项目所属行业</w:t>
      </w:r>
      <w:r>
        <w:tab/>
      </w:r>
      <w:r>
        <w:fldChar w:fldCharType="begin"/>
      </w:r>
      <w:r>
        <w:instrText xml:space="preserve"> PAGEREF _Toc148432343 \h </w:instrText>
      </w:r>
      <w:r>
        <w:fldChar w:fldCharType="separate"/>
      </w:r>
      <w:r>
        <w:t>14</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"_Toc148432344" </w:instrText>
      </w:r>
      <w:r>
        <w:fldChar w:fldCharType="separate"/>
      </w:r>
      <w:r>
        <w:rPr>
          <w:rStyle w:val="34"/>
          <w:rFonts w:hint="eastAsia" w:cs="Times New Roman"/>
        </w:rPr>
        <w:t>四、项目实施机构</w:t>
      </w:r>
      <w:r>
        <w:tab/>
      </w:r>
      <w:r>
        <w:fldChar w:fldCharType="begin"/>
      </w:r>
      <w:r>
        <w:instrText xml:space="preserve"> PAGEREF _Toc148432344 \h </w:instrText>
      </w:r>
      <w:r>
        <w:fldChar w:fldCharType="separate"/>
      </w:r>
      <w:r>
        <w:t>14</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"_Toc148432345" </w:instrText>
      </w:r>
      <w:r>
        <w:fldChar w:fldCharType="separate"/>
      </w:r>
      <w:r>
        <w:rPr>
          <w:rStyle w:val="34"/>
          <w:rFonts w:hint="eastAsia" w:cs="Times New Roman"/>
        </w:rPr>
        <w:t>五、项目实施进度</w:t>
      </w:r>
      <w:r>
        <w:tab/>
      </w:r>
      <w:r>
        <w:fldChar w:fldCharType="begin"/>
      </w:r>
      <w:r>
        <w:instrText xml:space="preserve"> PAGEREF _Toc148432345 \h </w:instrText>
      </w:r>
      <w:r>
        <w:fldChar w:fldCharType="separate"/>
      </w:r>
      <w:r>
        <w:t>14</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"_Toc148432346" </w:instrText>
      </w:r>
      <w:r>
        <w:fldChar w:fldCharType="separate"/>
      </w:r>
      <w:r>
        <w:rPr>
          <w:rStyle w:val="34"/>
          <w:rFonts w:hint="eastAsia" w:cs="Times New Roman"/>
        </w:rPr>
        <w:t>六、项目建设规模和内容</w:t>
      </w:r>
      <w:r>
        <w:tab/>
      </w:r>
      <w:r>
        <w:fldChar w:fldCharType="begin"/>
      </w:r>
      <w:r>
        <w:instrText xml:space="preserve"> PAGEREF _Toc148432346 \h </w:instrText>
      </w:r>
      <w:r>
        <w:fldChar w:fldCharType="separate"/>
      </w:r>
      <w:r>
        <w:t>15</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"_Toc148432347" </w:instrText>
      </w:r>
      <w:r>
        <w:fldChar w:fldCharType="separate"/>
      </w:r>
      <w:r>
        <w:rPr>
          <w:rStyle w:val="34"/>
          <w:rFonts w:hint="eastAsia" w:cs="Times New Roman"/>
        </w:rPr>
        <w:t>七、项目投资规模及构成</w:t>
      </w:r>
      <w:r>
        <w:tab/>
      </w:r>
      <w:r>
        <w:fldChar w:fldCharType="begin"/>
      </w:r>
      <w:r>
        <w:instrText xml:space="preserve"> PAGEREF _Toc148432347 \h </w:instrText>
      </w:r>
      <w:r>
        <w:fldChar w:fldCharType="separate"/>
      </w:r>
      <w:r>
        <w:t>23</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"_Toc148432348" </w:instrText>
      </w:r>
      <w:r>
        <w:fldChar w:fldCharType="separate"/>
      </w:r>
      <w:r>
        <w:rPr>
          <w:rStyle w:val="34"/>
          <w:rFonts w:hint="eastAsia" w:cs="Times New Roman"/>
        </w:rPr>
        <w:t>八、项目产出说明</w:t>
      </w:r>
      <w:r>
        <w:tab/>
      </w:r>
      <w:r>
        <w:fldChar w:fldCharType="begin"/>
      </w:r>
      <w:r>
        <w:instrText xml:space="preserve"> PAGEREF _Toc148432348 \h </w:instrText>
      </w:r>
      <w:r>
        <w:fldChar w:fldCharType="separate"/>
      </w:r>
      <w:r>
        <w:t>24</w:t>
      </w:r>
      <w:r>
        <w:fldChar w:fldCharType="end"/>
      </w:r>
      <w:r>
        <w:fldChar w:fldCharType="end"/>
      </w:r>
    </w:p>
    <w:p>
      <w:pPr>
        <w:pStyle w:val="21"/>
        <w:tabs>
          <w:tab w:val="right" w:leader="dot" w:pos="9060"/>
        </w:tabs>
        <w:rPr>
          <w:rFonts w:asciiTheme="minorHAnsi" w:hAnsiTheme="minorHAnsi" w:eastAsiaTheme="minorEastAsia"/>
          <w:b w:val="0"/>
          <w:sz w:val="21"/>
        </w:rPr>
      </w:pPr>
      <w:r>
        <w:fldChar w:fldCharType="begin"/>
      </w:r>
      <w:r>
        <w:instrText xml:space="preserve"> HYPERLINK \l "_Toc148432349" </w:instrText>
      </w:r>
      <w:r>
        <w:fldChar w:fldCharType="separate"/>
      </w:r>
      <w:r>
        <w:rPr>
          <w:rStyle w:val="34"/>
          <w:rFonts w:hint="eastAsia" w:cs="Times New Roman"/>
        </w:rPr>
        <w:t>第四章</w:t>
      </w:r>
      <w:r>
        <w:rPr>
          <w:rStyle w:val="34"/>
          <w:rFonts w:cs="Times New Roman"/>
        </w:rPr>
        <w:t xml:space="preserve"> </w:t>
      </w:r>
      <w:r>
        <w:rPr>
          <w:rStyle w:val="34"/>
          <w:rFonts w:hint="eastAsia" w:cs="Times New Roman"/>
        </w:rPr>
        <w:t>特许经营模式必要性和可行性</w:t>
      </w:r>
      <w:r>
        <w:tab/>
      </w:r>
      <w:r>
        <w:fldChar w:fldCharType="begin"/>
      </w:r>
      <w:r>
        <w:instrText xml:space="preserve"> PAGEREF _Toc148432349 \h </w:instrText>
      </w:r>
      <w:r>
        <w:fldChar w:fldCharType="separate"/>
      </w:r>
      <w:r>
        <w:t>31</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"_Toc148432350" </w:instrText>
      </w:r>
      <w:r>
        <w:fldChar w:fldCharType="separate"/>
      </w:r>
      <w:r>
        <w:rPr>
          <w:rStyle w:val="34"/>
          <w:rFonts w:hint="eastAsia" w:cs="Times New Roman"/>
        </w:rPr>
        <w:t>一、项目采用特许经营模式的必要性</w:t>
      </w:r>
      <w:r>
        <w:tab/>
      </w:r>
      <w:r>
        <w:fldChar w:fldCharType="begin"/>
      </w:r>
      <w:r>
        <w:instrText xml:space="preserve"> PAGEREF _Toc148432350 \h </w:instrText>
      </w:r>
      <w:r>
        <w:fldChar w:fldCharType="separate"/>
      </w:r>
      <w:r>
        <w:t>31</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"_Toc148432351" </w:instrText>
      </w:r>
      <w:r>
        <w:fldChar w:fldCharType="separate"/>
      </w:r>
      <w:r>
        <w:rPr>
          <w:rStyle w:val="34"/>
          <w:rFonts w:hint="eastAsia" w:cs="Times New Roman"/>
        </w:rPr>
        <w:t>二、项目采用特许经营模式的可行性</w:t>
      </w:r>
      <w:r>
        <w:tab/>
      </w:r>
      <w:r>
        <w:fldChar w:fldCharType="begin"/>
      </w:r>
      <w:r>
        <w:instrText xml:space="preserve"> PAGEREF _Toc148432351 \h </w:instrText>
      </w:r>
      <w:r>
        <w:fldChar w:fldCharType="separate"/>
      </w:r>
      <w:r>
        <w:t>33</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"_Toc148432352" </w:instrText>
      </w:r>
      <w:r>
        <w:fldChar w:fldCharType="separate"/>
      </w:r>
      <w:r>
        <w:rPr>
          <w:rStyle w:val="34"/>
          <w:rFonts w:hint="eastAsia" w:cs="Times New Roman"/>
        </w:rPr>
        <w:t>三、满足使用者付费的条件</w:t>
      </w:r>
      <w:r>
        <w:tab/>
      </w:r>
      <w:r>
        <w:fldChar w:fldCharType="begin"/>
      </w:r>
      <w:r>
        <w:instrText xml:space="preserve"> PAGEREF _Toc148432352 \h </w:instrText>
      </w:r>
      <w:r>
        <w:fldChar w:fldCharType="separate"/>
      </w:r>
      <w:r>
        <w:t>35</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"_Toc148432353" </w:instrText>
      </w:r>
      <w:r>
        <w:fldChar w:fldCharType="separate"/>
      </w:r>
      <w:r>
        <w:rPr>
          <w:rStyle w:val="34"/>
          <w:rFonts w:hint="eastAsia" w:cs="Times New Roman"/>
        </w:rPr>
        <w:t>四、有大量实施经验可供借鉴</w:t>
      </w:r>
      <w:r>
        <w:tab/>
      </w:r>
      <w:r>
        <w:fldChar w:fldCharType="begin"/>
      </w:r>
      <w:r>
        <w:instrText xml:space="preserve"> PAGEREF _Toc148432353 \h </w:instrText>
      </w:r>
      <w:r>
        <w:fldChar w:fldCharType="separate"/>
      </w:r>
      <w:r>
        <w:t>35</w:t>
      </w:r>
      <w:r>
        <w:fldChar w:fldCharType="end"/>
      </w:r>
      <w:r>
        <w:fldChar w:fldCharType="end"/>
      </w:r>
    </w:p>
    <w:p>
      <w:pPr>
        <w:pStyle w:val="21"/>
        <w:tabs>
          <w:tab w:val="right" w:leader="dot" w:pos="9060"/>
        </w:tabs>
        <w:rPr>
          <w:rFonts w:asciiTheme="minorHAnsi" w:hAnsiTheme="minorHAnsi" w:eastAsiaTheme="minorEastAsia"/>
          <w:b w:val="0"/>
          <w:sz w:val="21"/>
        </w:rPr>
      </w:pPr>
      <w:r>
        <w:fldChar w:fldCharType="begin"/>
      </w:r>
      <w:r>
        <w:instrText xml:space="preserve"> HYPERLINK \l "_Toc148432354" </w:instrText>
      </w:r>
      <w:r>
        <w:fldChar w:fldCharType="separate"/>
      </w:r>
      <w:r>
        <w:rPr>
          <w:rStyle w:val="34"/>
          <w:rFonts w:hint="eastAsia" w:cs="Times New Roman"/>
        </w:rPr>
        <w:t>第五章</w:t>
      </w:r>
      <w:r>
        <w:rPr>
          <w:rStyle w:val="34"/>
          <w:rFonts w:cs="Times New Roman"/>
        </w:rPr>
        <w:t xml:space="preserve"> </w:t>
      </w:r>
      <w:r>
        <w:rPr>
          <w:rStyle w:val="34"/>
          <w:rFonts w:hint="eastAsia" w:cs="Times New Roman"/>
        </w:rPr>
        <w:t>特许经营模式研究</w:t>
      </w:r>
      <w:r>
        <w:tab/>
      </w:r>
      <w:r>
        <w:fldChar w:fldCharType="begin"/>
      </w:r>
      <w:r>
        <w:instrText xml:space="preserve"> PAGEREF _Toc148432354 \h </w:instrText>
      </w:r>
      <w:r>
        <w:fldChar w:fldCharType="separate"/>
      </w:r>
      <w:r>
        <w:t>37</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"_Toc148432355" </w:instrText>
      </w:r>
      <w:r>
        <w:fldChar w:fldCharType="separate"/>
      </w:r>
      <w:r>
        <w:rPr>
          <w:rStyle w:val="34"/>
          <w:rFonts w:hint="eastAsia" w:cs="Times New Roman"/>
        </w:rPr>
        <w:t>一、实施主体</w:t>
      </w:r>
      <w:r>
        <w:tab/>
      </w:r>
      <w:r>
        <w:fldChar w:fldCharType="begin"/>
      </w:r>
      <w:r>
        <w:instrText xml:space="preserve"> PAGEREF _Toc148432355 \h </w:instrText>
      </w:r>
      <w:r>
        <w:fldChar w:fldCharType="separate"/>
      </w:r>
      <w:r>
        <w:t>37</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"_Toc148432356" </w:instrText>
      </w:r>
      <w:r>
        <w:fldChar w:fldCharType="separate"/>
      </w:r>
      <w:r>
        <w:rPr>
          <w:rStyle w:val="34"/>
          <w:rFonts w:hint="eastAsia" w:cs="Times New Roman"/>
        </w:rPr>
        <w:t>二、运作方式</w:t>
      </w:r>
      <w:r>
        <w:tab/>
      </w:r>
      <w:r>
        <w:fldChar w:fldCharType="begin"/>
      </w:r>
      <w:r>
        <w:instrText xml:space="preserve"> PAGEREF _Toc148432356 \h </w:instrText>
      </w:r>
      <w:r>
        <w:fldChar w:fldCharType="separate"/>
      </w:r>
      <w:r>
        <w:t>37</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"_Toc148432357" </w:instrText>
      </w:r>
      <w:r>
        <w:fldChar w:fldCharType="separate"/>
      </w:r>
      <w:r>
        <w:rPr>
          <w:rStyle w:val="34"/>
          <w:rFonts w:hint="eastAsia" w:cs="Times New Roman"/>
          <w:bCs/>
        </w:rPr>
        <w:t>三、项目交易结构</w:t>
      </w:r>
      <w:r>
        <w:tab/>
      </w:r>
      <w:r>
        <w:fldChar w:fldCharType="begin"/>
      </w:r>
      <w:r>
        <w:instrText xml:space="preserve"> PAGEREF _Toc148432357 \h </w:instrText>
      </w:r>
      <w:r>
        <w:fldChar w:fldCharType="separate"/>
      </w:r>
      <w:r>
        <w:t>41</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"_Toc148432358" </w:instrText>
      </w:r>
      <w:r>
        <w:fldChar w:fldCharType="separate"/>
      </w:r>
      <w:r>
        <w:rPr>
          <w:rStyle w:val="34"/>
          <w:rFonts w:hint="eastAsia" w:cs="Times New Roman"/>
          <w:bCs/>
        </w:rPr>
        <w:t>四、回报机制</w:t>
      </w:r>
      <w:r>
        <w:tab/>
      </w:r>
      <w:r>
        <w:fldChar w:fldCharType="begin"/>
      </w:r>
      <w:r>
        <w:instrText xml:space="preserve"> PAGEREF _Toc148432358 \h </w:instrText>
      </w:r>
      <w:r>
        <w:fldChar w:fldCharType="separate"/>
      </w:r>
      <w:r>
        <w:t>45</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"_Toc148432359" </w:instrText>
      </w:r>
      <w:r>
        <w:fldChar w:fldCharType="separate"/>
      </w:r>
      <w:r>
        <w:rPr>
          <w:rStyle w:val="34"/>
          <w:rFonts w:hint="eastAsia" w:cs="Times New Roman"/>
          <w:bCs/>
        </w:rPr>
        <w:t>五、合作期限</w:t>
      </w:r>
      <w:r>
        <w:tab/>
      </w:r>
      <w:r>
        <w:fldChar w:fldCharType="begin"/>
      </w:r>
      <w:r>
        <w:instrText xml:space="preserve"> PAGEREF _Toc148432359 \h </w:instrText>
      </w:r>
      <w:r>
        <w:fldChar w:fldCharType="separate"/>
      </w:r>
      <w:r>
        <w:t>50</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"_Toc148432360" </w:instrText>
      </w:r>
      <w:r>
        <w:fldChar w:fldCharType="separate"/>
      </w:r>
      <w:r>
        <w:rPr>
          <w:rStyle w:val="34"/>
          <w:rFonts w:hint="eastAsia" w:cs="Times New Roman"/>
          <w:bCs/>
        </w:rPr>
        <w:t>六、关联工作安排</w:t>
      </w:r>
      <w:r>
        <w:tab/>
      </w:r>
      <w:r>
        <w:fldChar w:fldCharType="begin"/>
      </w:r>
      <w:r>
        <w:instrText xml:space="preserve"> PAGEREF _Toc148432360 \h </w:instrText>
      </w:r>
      <w:r>
        <w:fldChar w:fldCharType="separate"/>
      </w:r>
      <w:r>
        <w:t>50</w:t>
      </w:r>
      <w:r>
        <w:fldChar w:fldCharType="end"/>
      </w:r>
      <w:r>
        <w:fldChar w:fldCharType="end"/>
      </w:r>
    </w:p>
    <w:p>
      <w:pPr>
        <w:pStyle w:val="21"/>
        <w:tabs>
          <w:tab w:val="right" w:leader="dot" w:pos="9060"/>
        </w:tabs>
        <w:rPr>
          <w:rFonts w:asciiTheme="minorHAnsi" w:hAnsiTheme="minorHAnsi" w:eastAsiaTheme="minorEastAsia"/>
          <w:b w:val="0"/>
          <w:sz w:val="21"/>
        </w:rPr>
      </w:pPr>
      <w:r>
        <w:fldChar w:fldCharType="begin"/>
      </w:r>
      <w:r>
        <w:instrText xml:space="preserve"> HYPERLINK \l "_Toc148432361" </w:instrText>
      </w:r>
      <w:r>
        <w:fldChar w:fldCharType="separate"/>
      </w:r>
      <w:r>
        <w:rPr>
          <w:rStyle w:val="34"/>
          <w:rFonts w:hint="eastAsia" w:cs="Times New Roman"/>
        </w:rPr>
        <w:t>第六章</w:t>
      </w:r>
      <w:r>
        <w:rPr>
          <w:rStyle w:val="34"/>
          <w:rFonts w:cs="Times New Roman"/>
        </w:rPr>
        <w:t xml:space="preserve"> </w:t>
      </w:r>
      <w:r>
        <w:rPr>
          <w:rStyle w:val="34"/>
          <w:rFonts w:hint="eastAsia" w:cs="Times New Roman"/>
        </w:rPr>
        <w:t>财务评价与补贴方案</w:t>
      </w:r>
      <w:r>
        <w:tab/>
      </w:r>
      <w:r>
        <w:fldChar w:fldCharType="begin"/>
      </w:r>
      <w:r>
        <w:instrText xml:space="preserve"> PAGEREF _Toc148432361 \h </w:instrText>
      </w:r>
      <w:r>
        <w:fldChar w:fldCharType="separate"/>
      </w:r>
      <w:r>
        <w:t>54</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"_Toc148432362" </w:instrText>
      </w:r>
      <w:r>
        <w:fldChar w:fldCharType="separate"/>
      </w:r>
      <w:r>
        <w:rPr>
          <w:rStyle w:val="34"/>
          <w:rFonts w:hint="eastAsia" w:cs="Times New Roman"/>
        </w:rPr>
        <w:t>一、财务测算任务与原则</w:t>
      </w:r>
      <w:r>
        <w:tab/>
      </w:r>
      <w:r>
        <w:fldChar w:fldCharType="begin"/>
      </w:r>
      <w:r>
        <w:instrText xml:space="preserve"> PAGEREF _Toc148432362 \h </w:instrText>
      </w:r>
      <w:r>
        <w:fldChar w:fldCharType="separate"/>
      </w:r>
      <w:r>
        <w:t>54</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"_Toc148432363" </w:instrText>
      </w:r>
      <w:r>
        <w:fldChar w:fldCharType="separate"/>
      </w:r>
      <w:r>
        <w:rPr>
          <w:rStyle w:val="34"/>
          <w:rFonts w:hint="eastAsia" w:cs="Times New Roman"/>
        </w:rPr>
        <w:t>二、基础数据</w:t>
      </w:r>
      <w:r>
        <w:tab/>
      </w:r>
      <w:r>
        <w:fldChar w:fldCharType="begin"/>
      </w:r>
      <w:r>
        <w:instrText xml:space="preserve"> PAGEREF _Toc148432363 \h </w:instrText>
      </w:r>
      <w:r>
        <w:fldChar w:fldCharType="separate"/>
      </w:r>
      <w:r>
        <w:t>54</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"_Toc148432364" </w:instrText>
      </w:r>
      <w:r>
        <w:fldChar w:fldCharType="separate"/>
      </w:r>
      <w:r>
        <w:rPr>
          <w:rStyle w:val="34"/>
          <w:rFonts w:hint="eastAsia" w:cs="Times New Roman"/>
        </w:rPr>
        <w:t>三、运营成本测算</w:t>
      </w:r>
      <w:r>
        <w:tab/>
      </w:r>
      <w:r>
        <w:fldChar w:fldCharType="begin"/>
      </w:r>
      <w:r>
        <w:instrText xml:space="preserve"> PAGEREF _Toc148432364 \h </w:instrText>
      </w:r>
      <w:r>
        <w:fldChar w:fldCharType="separate"/>
      </w:r>
      <w:r>
        <w:t>59</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"_Toc148432365" </w:instrText>
      </w:r>
      <w:r>
        <w:fldChar w:fldCharType="separate"/>
      </w:r>
      <w:r>
        <w:rPr>
          <w:rStyle w:val="34"/>
          <w:rFonts w:hint="eastAsia" w:cs="Times New Roman"/>
        </w:rPr>
        <w:t>四、项目收入测算</w:t>
      </w:r>
      <w:r>
        <w:tab/>
      </w:r>
      <w:r>
        <w:fldChar w:fldCharType="begin"/>
      </w:r>
      <w:r>
        <w:instrText xml:space="preserve"> PAGEREF _Toc148432365 \h </w:instrText>
      </w:r>
      <w:r>
        <w:fldChar w:fldCharType="separate"/>
      </w:r>
      <w:r>
        <w:t>61</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"_Toc148432366" </w:instrText>
      </w:r>
      <w:r>
        <w:fldChar w:fldCharType="separate"/>
      </w:r>
      <w:r>
        <w:rPr>
          <w:rStyle w:val="34"/>
          <w:rFonts w:hint="eastAsia"/>
        </w:rPr>
        <w:t>五、财务测算分析</w:t>
      </w:r>
      <w:r>
        <w:tab/>
      </w:r>
      <w:r>
        <w:fldChar w:fldCharType="begin"/>
      </w:r>
      <w:r>
        <w:instrText xml:space="preserve"> PAGEREF _Toc148432366 \h </w:instrText>
      </w:r>
      <w:r>
        <w:fldChar w:fldCharType="separate"/>
      </w:r>
      <w:r>
        <w:t>62</w:t>
      </w:r>
      <w:r>
        <w:fldChar w:fldCharType="end"/>
      </w:r>
      <w:r>
        <w:fldChar w:fldCharType="end"/>
      </w:r>
    </w:p>
    <w:p>
      <w:pPr>
        <w:pStyle w:val="21"/>
        <w:tabs>
          <w:tab w:val="right" w:leader="dot" w:pos="9060"/>
        </w:tabs>
        <w:rPr>
          <w:rFonts w:asciiTheme="minorHAnsi" w:hAnsiTheme="minorHAnsi" w:eastAsiaTheme="minorEastAsia"/>
          <w:b w:val="0"/>
          <w:sz w:val="21"/>
        </w:rPr>
      </w:pPr>
      <w:r>
        <w:fldChar w:fldCharType="begin"/>
      </w:r>
      <w:r>
        <w:instrText xml:space="preserve"> HYPERLINK \l "_Toc148432367" </w:instrText>
      </w:r>
      <w:r>
        <w:fldChar w:fldCharType="separate"/>
      </w:r>
      <w:r>
        <w:rPr>
          <w:rStyle w:val="34"/>
          <w:rFonts w:hint="eastAsia" w:cs="Times New Roman"/>
        </w:rPr>
        <w:t>第七章</w:t>
      </w:r>
      <w:r>
        <w:rPr>
          <w:rStyle w:val="34"/>
          <w:rFonts w:cs="Times New Roman"/>
        </w:rPr>
        <w:t xml:space="preserve"> </w:t>
      </w:r>
      <w:r>
        <w:rPr>
          <w:rStyle w:val="34"/>
          <w:rFonts w:hint="eastAsia" w:cs="Times New Roman"/>
        </w:rPr>
        <w:t>项目风险识别与分配</w:t>
      </w:r>
      <w:r>
        <w:tab/>
      </w:r>
      <w:r>
        <w:fldChar w:fldCharType="begin"/>
      </w:r>
      <w:r>
        <w:instrText xml:space="preserve"> PAGEREF _Toc148432367 \h </w:instrText>
      </w:r>
      <w:r>
        <w:fldChar w:fldCharType="separate"/>
      </w:r>
      <w:r>
        <w:t>65</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"_Toc148432368" </w:instrText>
      </w:r>
      <w:r>
        <w:fldChar w:fldCharType="separate"/>
      </w:r>
      <w:r>
        <w:rPr>
          <w:rStyle w:val="34"/>
          <w:rFonts w:hint="eastAsia" w:cs="Times New Roman"/>
        </w:rPr>
        <w:t>一、项目风险分配原则</w:t>
      </w:r>
      <w:r>
        <w:tab/>
      </w:r>
      <w:r>
        <w:fldChar w:fldCharType="begin"/>
      </w:r>
      <w:r>
        <w:instrText xml:space="preserve"> PAGEREF _Toc148432368 \h </w:instrText>
      </w:r>
      <w:r>
        <w:fldChar w:fldCharType="separate"/>
      </w:r>
      <w:r>
        <w:t>65</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"_Toc148432369" </w:instrText>
      </w:r>
      <w:r>
        <w:fldChar w:fldCharType="separate"/>
      </w:r>
      <w:r>
        <w:rPr>
          <w:rStyle w:val="34"/>
          <w:rFonts w:hint="eastAsia" w:cs="Times New Roman"/>
        </w:rPr>
        <w:t>二、风险分配框架与流程</w:t>
      </w:r>
      <w:r>
        <w:tab/>
      </w:r>
      <w:r>
        <w:fldChar w:fldCharType="begin"/>
      </w:r>
      <w:r>
        <w:instrText xml:space="preserve"> PAGEREF _Toc148432369 \h </w:instrText>
      </w:r>
      <w:r>
        <w:fldChar w:fldCharType="separate"/>
      </w:r>
      <w:r>
        <w:t>66</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"_Toc148432370" </w:instrText>
      </w:r>
      <w:r>
        <w:fldChar w:fldCharType="separate"/>
      </w:r>
      <w:r>
        <w:rPr>
          <w:rStyle w:val="34"/>
          <w:rFonts w:hint="eastAsia" w:cs="Times New Roman"/>
        </w:rPr>
        <w:t>三、项目风险分配及应对措施</w:t>
      </w:r>
      <w:r>
        <w:tab/>
      </w:r>
      <w:r>
        <w:fldChar w:fldCharType="begin"/>
      </w:r>
      <w:r>
        <w:instrText xml:space="preserve"> PAGEREF _Toc148432370 \h </w:instrText>
      </w:r>
      <w:r>
        <w:fldChar w:fldCharType="separate"/>
      </w:r>
      <w:r>
        <w:t>67</w:t>
      </w:r>
      <w:r>
        <w:fldChar w:fldCharType="end"/>
      </w:r>
      <w:r>
        <w:fldChar w:fldCharType="end"/>
      </w:r>
    </w:p>
    <w:p>
      <w:pPr>
        <w:pStyle w:val="21"/>
        <w:tabs>
          <w:tab w:val="right" w:leader="dot" w:pos="9060"/>
        </w:tabs>
        <w:rPr>
          <w:rFonts w:asciiTheme="minorHAnsi" w:hAnsiTheme="minorHAnsi" w:eastAsiaTheme="minorEastAsia"/>
          <w:b w:val="0"/>
          <w:sz w:val="21"/>
        </w:rPr>
      </w:pPr>
      <w:r>
        <w:fldChar w:fldCharType="begin"/>
      </w:r>
      <w:r>
        <w:instrText xml:space="preserve"> HYPERLINK \l "_Toc148432371" </w:instrText>
      </w:r>
      <w:r>
        <w:fldChar w:fldCharType="separate"/>
      </w:r>
      <w:r>
        <w:rPr>
          <w:rStyle w:val="34"/>
          <w:rFonts w:hint="eastAsia" w:cs="Times New Roman"/>
        </w:rPr>
        <w:t>第八章</w:t>
      </w:r>
      <w:r>
        <w:rPr>
          <w:rStyle w:val="34"/>
          <w:rFonts w:cs="Times New Roman"/>
        </w:rPr>
        <w:t xml:space="preserve"> </w:t>
      </w:r>
      <w:r>
        <w:rPr>
          <w:rStyle w:val="34"/>
          <w:rFonts w:hint="eastAsia" w:cs="Times New Roman"/>
        </w:rPr>
        <w:t>特许经营协议框架草案</w:t>
      </w:r>
      <w:r>
        <w:tab/>
      </w:r>
      <w:r>
        <w:fldChar w:fldCharType="begin"/>
      </w:r>
      <w:r>
        <w:instrText xml:space="preserve"> PAGEREF _Toc148432371 \h </w:instrText>
      </w:r>
      <w:r>
        <w:fldChar w:fldCharType="separate"/>
      </w:r>
      <w:r>
        <w:t>75</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"_Toc148432372" </w:instrText>
      </w:r>
      <w:r>
        <w:fldChar w:fldCharType="separate"/>
      </w:r>
      <w:r>
        <w:rPr>
          <w:rStyle w:val="34"/>
          <w:rFonts w:hint="eastAsia" w:cs="Times New Roman"/>
        </w:rPr>
        <w:t>一、协议框架及主要内容</w:t>
      </w:r>
      <w:r>
        <w:tab/>
      </w:r>
      <w:r>
        <w:fldChar w:fldCharType="begin"/>
      </w:r>
      <w:r>
        <w:instrText xml:space="preserve"> PAGEREF _Toc148432372 \h </w:instrText>
      </w:r>
      <w:r>
        <w:fldChar w:fldCharType="separate"/>
      </w:r>
      <w:r>
        <w:t>75</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"_Toc148432373" </w:instrText>
      </w:r>
      <w:r>
        <w:fldChar w:fldCharType="separate"/>
      </w:r>
      <w:r>
        <w:rPr>
          <w:rStyle w:val="34"/>
          <w:rFonts w:hint="eastAsia" w:cs="Times New Roman"/>
        </w:rPr>
        <w:t>二、合同体系构成</w:t>
      </w:r>
      <w:r>
        <w:tab/>
      </w:r>
      <w:r>
        <w:fldChar w:fldCharType="begin"/>
      </w:r>
      <w:r>
        <w:instrText xml:space="preserve"> PAGEREF _Toc148432373 \h </w:instrText>
      </w:r>
      <w:r>
        <w:fldChar w:fldCharType="separate"/>
      </w:r>
      <w:r>
        <w:t>76</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"_Toc148432374" </w:instrText>
      </w:r>
      <w:r>
        <w:fldChar w:fldCharType="separate"/>
      </w:r>
      <w:r>
        <w:rPr>
          <w:rStyle w:val="34"/>
          <w:rFonts w:hint="eastAsia" w:cs="Times New Roman"/>
        </w:rPr>
        <w:t>三、协议核心边界条件</w:t>
      </w:r>
      <w:r>
        <w:tab/>
      </w:r>
      <w:r>
        <w:fldChar w:fldCharType="begin"/>
      </w:r>
      <w:r>
        <w:instrText xml:space="preserve"> PAGEREF _Toc148432374 \h </w:instrText>
      </w:r>
      <w:r>
        <w:fldChar w:fldCharType="separate"/>
      </w:r>
      <w:r>
        <w:t>78</w:t>
      </w:r>
      <w:r>
        <w:fldChar w:fldCharType="end"/>
      </w:r>
      <w:r>
        <w:fldChar w:fldCharType="end"/>
      </w:r>
    </w:p>
    <w:p>
      <w:pPr>
        <w:pStyle w:val="21"/>
        <w:tabs>
          <w:tab w:val="right" w:leader="dot" w:pos="9060"/>
        </w:tabs>
        <w:rPr>
          <w:rFonts w:asciiTheme="minorHAnsi" w:hAnsiTheme="minorHAnsi" w:eastAsiaTheme="minorEastAsia"/>
          <w:b w:val="0"/>
          <w:sz w:val="21"/>
        </w:rPr>
      </w:pPr>
      <w:r>
        <w:fldChar w:fldCharType="begin"/>
      </w:r>
      <w:r>
        <w:instrText xml:space="preserve"> HYPERLINK \l "_Toc148432375" </w:instrText>
      </w:r>
      <w:r>
        <w:fldChar w:fldCharType="separate"/>
      </w:r>
      <w:r>
        <w:rPr>
          <w:rStyle w:val="34"/>
          <w:rFonts w:hint="eastAsia" w:cs="Times New Roman"/>
        </w:rPr>
        <w:t>第九章</w:t>
      </w:r>
      <w:r>
        <w:rPr>
          <w:rStyle w:val="34"/>
          <w:rFonts w:cs="Times New Roman"/>
        </w:rPr>
        <w:t xml:space="preserve"> </w:t>
      </w:r>
      <w:r>
        <w:rPr>
          <w:rStyle w:val="34"/>
          <w:rFonts w:hint="eastAsia" w:cs="Times New Roman"/>
        </w:rPr>
        <w:t>特许经营者应具备的条件与选择方式</w:t>
      </w:r>
      <w:r>
        <w:tab/>
      </w:r>
      <w:r>
        <w:fldChar w:fldCharType="begin"/>
      </w:r>
      <w:r>
        <w:instrText xml:space="preserve"> PAGEREF _Toc148432375 \h </w:instrText>
      </w:r>
      <w:r>
        <w:fldChar w:fldCharType="separate"/>
      </w:r>
      <w:r>
        <w:t>99</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"_Toc148432376" </w:instrText>
      </w:r>
      <w:r>
        <w:fldChar w:fldCharType="separate"/>
      </w:r>
      <w:r>
        <w:rPr>
          <w:rStyle w:val="34"/>
          <w:rFonts w:hint="eastAsia" w:cs="Times New Roman"/>
        </w:rPr>
        <w:t>一、特许经营者的选择方式</w:t>
      </w:r>
      <w:r>
        <w:tab/>
      </w:r>
      <w:r>
        <w:fldChar w:fldCharType="begin"/>
      </w:r>
      <w:r>
        <w:instrText xml:space="preserve"> PAGEREF _Toc148432376 \h </w:instrText>
      </w:r>
      <w:r>
        <w:fldChar w:fldCharType="separate"/>
      </w:r>
      <w:r>
        <w:t>99</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"_Toc148432377" </w:instrText>
      </w:r>
      <w:r>
        <w:fldChar w:fldCharType="separate"/>
      </w:r>
      <w:r>
        <w:rPr>
          <w:rStyle w:val="34"/>
          <w:rFonts w:hint="eastAsia" w:cs="Times New Roman"/>
        </w:rPr>
        <w:t>二、特许经营者的资格条件</w:t>
      </w:r>
      <w:r>
        <w:tab/>
      </w:r>
      <w:r>
        <w:fldChar w:fldCharType="begin"/>
      </w:r>
      <w:r>
        <w:instrText xml:space="preserve"> PAGEREF _Toc148432377 \h </w:instrText>
      </w:r>
      <w:r>
        <w:fldChar w:fldCharType="separate"/>
      </w:r>
      <w:r>
        <w:t>101</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"_Toc148432378" </w:instrText>
      </w:r>
      <w:r>
        <w:fldChar w:fldCharType="separate"/>
      </w:r>
      <w:r>
        <w:rPr>
          <w:rStyle w:val="34"/>
          <w:rFonts w:hint="eastAsia"/>
        </w:rPr>
        <w:t>三、特许经营者的选择</w:t>
      </w:r>
      <w:r>
        <w:tab/>
      </w:r>
      <w:r>
        <w:fldChar w:fldCharType="begin"/>
      </w:r>
      <w:r>
        <w:instrText xml:space="preserve"> PAGEREF _Toc148432378 \h </w:instrText>
      </w:r>
      <w:r>
        <w:fldChar w:fldCharType="separate"/>
      </w:r>
      <w:r>
        <w:t>101</w:t>
      </w:r>
      <w:r>
        <w:fldChar w:fldCharType="end"/>
      </w:r>
      <w:r>
        <w:fldChar w:fldCharType="end"/>
      </w:r>
    </w:p>
    <w:p>
      <w:pPr>
        <w:pStyle w:val="21"/>
        <w:tabs>
          <w:tab w:val="right" w:leader="dot" w:pos="9060"/>
        </w:tabs>
        <w:rPr>
          <w:rFonts w:asciiTheme="minorHAnsi" w:hAnsiTheme="minorHAnsi" w:eastAsiaTheme="minorEastAsia"/>
          <w:b w:val="0"/>
          <w:sz w:val="21"/>
        </w:rPr>
      </w:pPr>
      <w:r>
        <w:fldChar w:fldCharType="begin"/>
      </w:r>
      <w:r>
        <w:instrText xml:space="preserve"> HYPERLINK \l "_Toc148432379" </w:instrText>
      </w:r>
      <w:r>
        <w:fldChar w:fldCharType="separate"/>
      </w:r>
      <w:r>
        <w:rPr>
          <w:rStyle w:val="34"/>
          <w:rFonts w:hint="eastAsia" w:cs="Times New Roman"/>
        </w:rPr>
        <w:t>第十章</w:t>
      </w:r>
      <w:r>
        <w:rPr>
          <w:rStyle w:val="34"/>
          <w:rFonts w:cs="Times New Roman"/>
        </w:rPr>
        <w:t xml:space="preserve"> </w:t>
      </w:r>
      <w:r>
        <w:rPr>
          <w:rStyle w:val="34"/>
          <w:rFonts w:hint="eastAsia" w:cs="Times New Roman"/>
        </w:rPr>
        <w:t>政府承诺与保障</w:t>
      </w:r>
      <w:r>
        <w:tab/>
      </w:r>
      <w:r>
        <w:fldChar w:fldCharType="begin"/>
      </w:r>
      <w:r>
        <w:instrText xml:space="preserve"> PAGEREF _Toc148432379 \h </w:instrText>
      </w:r>
      <w:r>
        <w:fldChar w:fldCharType="separate"/>
      </w:r>
      <w:r>
        <w:t>105</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"_Toc148432380" </w:instrText>
      </w:r>
      <w:r>
        <w:fldChar w:fldCharType="separate"/>
      </w:r>
      <w:r>
        <w:rPr>
          <w:rStyle w:val="34"/>
          <w:rFonts w:hint="eastAsia" w:cs="Times New Roman"/>
        </w:rPr>
        <w:t>一、特许经营权的有效性</w:t>
      </w:r>
      <w:r>
        <w:tab/>
      </w:r>
      <w:r>
        <w:fldChar w:fldCharType="begin"/>
      </w:r>
      <w:r>
        <w:instrText xml:space="preserve"> PAGEREF _Toc148432380 \h </w:instrText>
      </w:r>
      <w:r>
        <w:fldChar w:fldCharType="separate"/>
      </w:r>
      <w:r>
        <w:t>105</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"_Toc148432381" </w:instrText>
      </w:r>
      <w:r>
        <w:fldChar w:fldCharType="separate"/>
      </w:r>
      <w:r>
        <w:rPr>
          <w:rStyle w:val="34"/>
          <w:rFonts w:hint="eastAsia" w:cs="Times New Roman"/>
        </w:rPr>
        <w:t>二、协调与政府部门的联系</w:t>
      </w:r>
      <w:r>
        <w:tab/>
      </w:r>
      <w:r>
        <w:fldChar w:fldCharType="begin"/>
      </w:r>
      <w:r>
        <w:instrText xml:space="preserve"> PAGEREF _Toc148432381 \h </w:instrText>
      </w:r>
      <w:r>
        <w:fldChar w:fldCharType="separate"/>
      </w:r>
      <w:r>
        <w:t>105</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"_Toc148432382" </w:instrText>
      </w:r>
      <w:r>
        <w:fldChar w:fldCharType="separate"/>
      </w:r>
      <w:r>
        <w:rPr>
          <w:rStyle w:val="34"/>
          <w:rFonts w:hint="eastAsia" w:cs="Times New Roman"/>
        </w:rPr>
        <w:t>三、加强能力建设</w:t>
      </w:r>
      <w:r>
        <w:tab/>
      </w:r>
      <w:r>
        <w:fldChar w:fldCharType="begin"/>
      </w:r>
      <w:r>
        <w:instrText xml:space="preserve"> PAGEREF _Toc148432382 \h </w:instrText>
      </w:r>
      <w:r>
        <w:fldChar w:fldCharType="separate"/>
      </w:r>
      <w:r>
        <w:t>105</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"_Toc148432383" </w:instrText>
      </w:r>
      <w:r>
        <w:fldChar w:fldCharType="separate"/>
      </w:r>
      <w:r>
        <w:rPr>
          <w:rStyle w:val="34"/>
          <w:rFonts w:hint="eastAsia" w:cs="Times New Roman"/>
        </w:rPr>
        <w:t>四、争取政策支持</w:t>
      </w:r>
      <w:r>
        <w:tab/>
      </w:r>
      <w:r>
        <w:fldChar w:fldCharType="begin"/>
      </w:r>
      <w:r>
        <w:instrText xml:space="preserve"> PAGEREF _Toc148432383 \h </w:instrText>
      </w:r>
      <w:r>
        <w:fldChar w:fldCharType="separate"/>
      </w:r>
      <w:r>
        <w:t>105</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"_Toc148432384" </w:instrText>
      </w:r>
      <w:r>
        <w:fldChar w:fldCharType="separate"/>
      </w:r>
      <w:r>
        <w:rPr>
          <w:rStyle w:val="34"/>
          <w:rFonts w:hint="eastAsia" w:cs="Times New Roman"/>
        </w:rPr>
        <w:t>五、完善监管制度</w:t>
      </w:r>
      <w:r>
        <w:tab/>
      </w:r>
      <w:r>
        <w:fldChar w:fldCharType="begin"/>
      </w:r>
      <w:r>
        <w:instrText xml:space="preserve"> PAGEREF _Toc148432384 \h </w:instrText>
      </w:r>
      <w:r>
        <w:fldChar w:fldCharType="separate"/>
      </w:r>
      <w:r>
        <w:t>105</w:t>
      </w:r>
      <w:r>
        <w:fldChar w:fldCharType="end"/>
      </w:r>
      <w:r>
        <w:fldChar w:fldCharType="end"/>
      </w:r>
    </w:p>
    <w:p>
      <w:pPr>
        <w:pStyle w:val="21"/>
        <w:tabs>
          <w:tab w:val="right" w:leader="dot" w:pos="9060"/>
        </w:tabs>
        <w:rPr>
          <w:rFonts w:asciiTheme="minorHAnsi" w:hAnsiTheme="minorHAnsi" w:eastAsiaTheme="minorEastAsia"/>
          <w:b w:val="0"/>
          <w:sz w:val="21"/>
        </w:rPr>
      </w:pPr>
      <w:r>
        <w:fldChar w:fldCharType="begin"/>
      </w:r>
      <w:r>
        <w:instrText xml:space="preserve"> HYPERLINK \l "_Toc148432385" </w:instrText>
      </w:r>
      <w:r>
        <w:fldChar w:fldCharType="separate"/>
      </w:r>
      <w:r>
        <w:rPr>
          <w:rStyle w:val="34"/>
          <w:rFonts w:hint="eastAsia" w:cs="Times New Roman"/>
        </w:rPr>
        <w:t>第十一章</w:t>
      </w:r>
      <w:r>
        <w:rPr>
          <w:rStyle w:val="34"/>
          <w:rFonts w:cs="Times New Roman"/>
        </w:rPr>
        <w:t xml:space="preserve"> </w:t>
      </w:r>
      <w:r>
        <w:rPr>
          <w:rStyle w:val="34"/>
          <w:rFonts w:hint="eastAsia" w:cs="Times New Roman"/>
        </w:rPr>
        <w:t>特许经营期满后资产处置方式</w:t>
      </w:r>
      <w:r>
        <w:tab/>
      </w:r>
      <w:r>
        <w:fldChar w:fldCharType="begin"/>
      </w:r>
      <w:r>
        <w:instrText xml:space="preserve"> PAGEREF _Toc148432385 \h </w:instrText>
      </w:r>
      <w:r>
        <w:fldChar w:fldCharType="separate"/>
      </w:r>
      <w:r>
        <w:t>109</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"_Toc148432386" </w:instrText>
      </w:r>
      <w:r>
        <w:fldChar w:fldCharType="separate"/>
      </w:r>
      <w:r>
        <w:rPr>
          <w:rStyle w:val="34"/>
          <w:rFonts w:hint="eastAsia" w:cs="Times New Roman"/>
        </w:rPr>
        <w:t>一、移交日期</w:t>
      </w:r>
      <w:r>
        <w:tab/>
      </w:r>
      <w:r>
        <w:fldChar w:fldCharType="begin"/>
      </w:r>
      <w:r>
        <w:instrText xml:space="preserve"> PAGEREF _Toc148432386 \h </w:instrText>
      </w:r>
      <w:r>
        <w:fldChar w:fldCharType="separate"/>
      </w:r>
      <w:r>
        <w:t>109</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"_Toc148432387" </w:instrText>
      </w:r>
      <w:r>
        <w:fldChar w:fldCharType="separate"/>
      </w:r>
      <w:r>
        <w:rPr>
          <w:rStyle w:val="34"/>
          <w:rFonts w:hint="eastAsia" w:cs="Times New Roman"/>
        </w:rPr>
        <w:t>二、移交范围</w:t>
      </w:r>
      <w:r>
        <w:tab/>
      </w:r>
      <w:r>
        <w:fldChar w:fldCharType="begin"/>
      </w:r>
      <w:r>
        <w:instrText xml:space="preserve"> PAGEREF _Toc148432387 \h </w:instrText>
      </w:r>
      <w:r>
        <w:fldChar w:fldCharType="separate"/>
      </w:r>
      <w:r>
        <w:t>109</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"_Toc148432388" </w:instrText>
      </w:r>
      <w:r>
        <w:fldChar w:fldCharType="separate"/>
      </w:r>
      <w:r>
        <w:rPr>
          <w:rStyle w:val="34"/>
          <w:rFonts w:hint="eastAsia" w:cs="Times New Roman"/>
        </w:rPr>
        <w:t>三、移交程序</w:t>
      </w:r>
      <w:r>
        <w:tab/>
      </w:r>
      <w:r>
        <w:fldChar w:fldCharType="begin"/>
      </w:r>
      <w:r>
        <w:instrText xml:space="preserve"> PAGEREF _Toc148432388 \h </w:instrText>
      </w:r>
      <w:r>
        <w:fldChar w:fldCharType="separate"/>
      </w:r>
      <w:r>
        <w:t>109</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"_Toc148432389" </w:instrText>
      </w:r>
      <w:r>
        <w:fldChar w:fldCharType="separate"/>
      </w:r>
      <w:r>
        <w:rPr>
          <w:rStyle w:val="34"/>
          <w:rFonts w:hint="eastAsia" w:cs="Times New Roman"/>
        </w:rPr>
        <w:t>四、移交的条件和标准</w:t>
      </w:r>
      <w:r>
        <w:tab/>
      </w:r>
      <w:r>
        <w:fldChar w:fldCharType="begin"/>
      </w:r>
      <w:r>
        <w:instrText xml:space="preserve"> PAGEREF _Toc148432389 \h </w:instrText>
      </w:r>
      <w:r>
        <w:fldChar w:fldCharType="separate"/>
      </w:r>
      <w:r>
        <w:t>110</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"_Toc148432390" </w:instrText>
      </w:r>
      <w:r>
        <w:fldChar w:fldCharType="separate"/>
      </w:r>
      <w:r>
        <w:rPr>
          <w:rStyle w:val="34"/>
          <w:rFonts w:hint="eastAsia" w:cs="Times New Roman"/>
        </w:rPr>
        <w:t>五、合同转移</w:t>
      </w:r>
      <w:r>
        <w:tab/>
      </w:r>
      <w:r>
        <w:fldChar w:fldCharType="begin"/>
      </w:r>
      <w:r>
        <w:instrText xml:space="preserve"> PAGEREF _Toc148432390 \h </w:instrText>
      </w:r>
      <w:r>
        <w:fldChar w:fldCharType="separate"/>
      </w:r>
      <w:r>
        <w:t>110</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"_Toc148432391" </w:instrText>
      </w:r>
      <w:r>
        <w:fldChar w:fldCharType="separate"/>
      </w:r>
      <w:r>
        <w:rPr>
          <w:rStyle w:val="34"/>
          <w:rFonts w:hint="eastAsia" w:cs="Times New Roman"/>
        </w:rPr>
        <w:t>六、移交费用</w:t>
      </w:r>
      <w:r>
        <w:tab/>
      </w:r>
      <w:r>
        <w:fldChar w:fldCharType="begin"/>
      </w:r>
      <w:r>
        <w:instrText xml:space="preserve"> PAGEREF _Toc148432391 \h </w:instrText>
      </w:r>
      <w:r>
        <w:fldChar w:fldCharType="separate"/>
      </w:r>
      <w:r>
        <w:t>111</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"_Toc148432392" </w:instrText>
      </w:r>
      <w:r>
        <w:fldChar w:fldCharType="separate"/>
      </w:r>
      <w:r>
        <w:rPr>
          <w:rStyle w:val="34"/>
          <w:rFonts w:hint="eastAsia" w:cs="Times New Roman"/>
        </w:rPr>
        <w:t>七、非正常移交</w:t>
      </w:r>
      <w:r>
        <w:tab/>
      </w:r>
      <w:r>
        <w:fldChar w:fldCharType="begin"/>
      </w:r>
      <w:r>
        <w:instrText xml:space="preserve"> PAGEREF _Toc148432392 \h </w:instrText>
      </w:r>
      <w:r>
        <w:fldChar w:fldCharType="separate"/>
      </w:r>
      <w:r>
        <w:t>111</w:t>
      </w:r>
      <w:r>
        <w:fldChar w:fldCharType="end"/>
      </w:r>
      <w:r>
        <w:fldChar w:fldCharType="end"/>
      </w:r>
    </w:p>
    <w:p>
      <w:pPr>
        <w:pStyle w:val="21"/>
        <w:tabs>
          <w:tab w:val="right" w:leader="dot" w:pos="9060"/>
        </w:tabs>
        <w:rPr>
          <w:rFonts w:asciiTheme="minorHAnsi" w:hAnsiTheme="minorHAnsi" w:eastAsiaTheme="minorEastAsia"/>
          <w:b w:val="0"/>
          <w:sz w:val="21"/>
        </w:rPr>
      </w:pPr>
      <w:r>
        <w:fldChar w:fldCharType="begin"/>
      </w:r>
      <w:r>
        <w:instrText xml:space="preserve"> HYPERLINK \l "_Toc148432393" </w:instrText>
      </w:r>
      <w:r>
        <w:fldChar w:fldCharType="separate"/>
      </w:r>
      <w:r>
        <w:rPr>
          <w:rStyle w:val="34"/>
          <w:rFonts w:hint="eastAsia" w:cs="Times New Roman"/>
        </w:rPr>
        <w:t>第十二章</w:t>
      </w:r>
      <w:r>
        <w:rPr>
          <w:rStyle w:val="34"/>
          <w:rFonts w:cs="Times New Roman"/>
        </w:rPr>
        <w:t xml:space="preserve"> </w:t>
      </w:r>
      <w:r>
        <w:rPr>
          <w:rStyle w:val="34"/>
          <w:rFonts w:hint="eastAsia" w:cs="Times New Roman"/>
        </w:rPr>
        <w:t>绩效考核方案</w:t>
      </w:r>
      <w:r>
        <w:tab/>
      </w:r>
      <w:r>
        <w:fldChar w:fldCharType="begin"/>
      </w:r>
      <w:r>
        <w:instrText xml:space="preserve"> PAGEREF _Toc148432393 \h </w:instrText>
      </w:r>
      <w:r>
        <w:fldChar w:fldCharType="separate"/>
      </w:r>
      <w:r>
        <w:t>112</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"_Toc148432394" </w:instrText>
      </w:r>
      <w:r>
        <w:fldChar w:fldCharType="separate"/>
      </w:r>
      <w:r>
        <w:rPr>
          <w:rStyle w:val="34"/>
          <w:rFonts w:hint="eastAsia" w:asciiTheme="majorHAnsi" w:hAnsiTheme="majorHAnsi" w:cstheme="majorBidi"/>
          <w:bCs/>
        </w:rPr>
        <w:t>一、绩效考核政策依据</w:t>
      </w:r>
      <w:r>
        <w:tab/>
      </w:r>
      <w:r>
        <w:fldChar w:fldCharType="begin"/>
      </w:r>
      <w:r>
        <w:instrText xml:space="preserve"> PAGEREF _Toc148432394 \h </w:instrText>
      </w:r>
      <w:r>
        <w:fldChar w:fldCharType="separate"/>
      </w:r>
      <w:r>
        <w:t>112</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"_Toc148432395" </w:instrText>
      </w:r>
      <w:r>
        <w:fldChar w:fldCharType="separate"/>
      </w:r>
      <w:r>
        <w:rPr>
          <w:rStyle w:val="34"/>
          <w:rFonts w:hint="eastAsia" w:asciiTheme="majorHAnsi" w:hAnsiTheme="majorHAnsi" w:cstheme="majorBidi"/>
          <w:bCs/>
        </w:rPr>
        <w:t>二、绩效考核原则与方法</w:t>
      </w:r>
      <w:r>
        <w:tab/>
      </w:r>
      <w:r>
        <w:fldChar w:fldCharType="begin"/>
      </w:r>
      <w:r>
        <w:instrText xml:space="preserve"> PAGEREF _Toc148432395 \h </w:instrText>
      </w:r>
      <w:r>
        <w:fldChar w:fldCharType="separate"/>
      </w:r>
      <w:r>
        <w:t>112</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"_Toc148432396" </w:instrText>
      </w:r>
      <w:r>
        <w:fldChar w:fldCharType="separate"/>
      </w:r>
      <w:r>
        <w:rPr>
          <w:rStyle w:val="34"/>
          <w:rFonts w:hint="eastAsia" w:asciiTheme="majorHAnsi" w:hAnsiTheme="majorHAnsi" w:cstheme="majorBidi"/>
          <w:bCs/>
        </w:rPr>
        <w:t>三、绩效考核办法设计</w:t>
      </w:r>
      <w:r>
        <w:tab/>
      </w:r>
      <w:r>
        <w:fldChar w:fldCharType="begin"/>
      </w:r>
      <w:r>
        <w:instrText xml:space="preserve"> PAGEREF _Toc148432396 \h </w:instrText>
      </w:r>
      <w:r>
        <w:fldChar w:fldCharType="separate"/>
      </w:r>
      <w:r>
        <w:t>113</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"_Toc148432397" </w:instrText>
      </w:r>
      <w:r>
        <w:fldChar w:fldCharType="separate"/>
      </w:r>
      <w:r>
        <w:rPr>
          <w:rStyle w:val="34"/>
          <w:rFonts w:hint="eastAsia" w:asciiTheme="majorHAnsi" w:hAnsiTheme="majorHAnsi" w:cstheme="majorBidi"/>
          <w:bCs/>
        </w:rPr>
        <w:t>四、建设期绩效考核</w:t>
      </w:r>
      <w:r>
        <w:tab/>
      </w:r>
      <w:r>
        <w:fldChar w:fldCharType="begin"/>
      </w:r>
      <w:r>
        <w:instrText xml:space="preserve"> PAGEREF _Toc148432397 \h </w:instrText>
      </w:r>
      <w:r>
        <w:fldChar w:fldCharType="separate"/>
      </w:r>
      <w:r>
        <w:t>114</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"_Toc148432398" </w:instrText>
      </w:r>
      <w:r>
        <w:fldChar w:fldCharType="separate"/>
      </w:r>
      <w:r>
        <w:rPr>
          <w:rStyle w:val="34"/>
          <w:rFonts w:hint="eastAsia" w:asciiTheme="majorHAnsi" w:hAnsiTheme="majorHAnsi" w:cstheme="majorBidi"/>
          <w:bCs/>
        </w:rPr>
        <w:t>五、运营期绩效考核</w:t>
      </w:r>
      <w:r>
        <w:tab/>
      </w:r>
      <w:r>
        <w:fldChar w:fldCharType="begin"/>
      </w:r>
      <w:r>
        <w:instrText xml:space="preserve"> PAGEREF _Toc148432398 \h </w:instrText>
      </w:r>
      <w:r>
        <w:fldChar w:fldCharType="separate"/>
      </w:r>
      <w:r>
        <w:t>123</w:t>
      </w:r>
      <w:r>
        <w:fldChar w:fldCharType="end"/>
      </w:r>
      <w:r>
        <w:fldChar w:fldCharType="end"/>
      </w:r>
    </w:p>
    <w:p>
      <w:pPr>
        <w:pStyle w:val="21"/>
        <w:tabs>
          <w:tab w:val="right" w:leader="dot" w:pos="9060"/>
        </w:tabs>
        <w:rPr>
          <w:rFonts w:asciiTheme="minorHAnsi" w:hAnsiTheme="minorHAnsi" w:eastAsiaTheme="minorEastAsia"/>
          <w:b w:val="0"/>
          <w:sz w:val="21"/>
        </w:rPr>
      </w:pPr>
      <w:r>
        <w:fldChar w:fldCharType="begin"/>
      </w:r>
      <w:r>
        <w:instrText xml:space="preserve"> HYPERLINK \l "_Toc148432399" </w:instrText>
      </w:r>
      <w:r>
        <w:fldChar w:fldCharType="separate"/>
      </w:r>
      <w:r>
        <w:rPr>
          <w:rStyle w:val="34"/>
          <w:rFonts w:hint="eastAsia" w:cs="Times New Roman"/>
        </w:rPr>
        <w:t>附件一：项目总投资（特许经营范围）财务分析附表</w:t>
      </w:r>
      <w:r>
        <w:tab/>
      </w:r>
      <w:r>
        <w:fldChar w:fldCharType="begin"/>
      </w:r>
      <w:r>
        <w:instrText xml:space="preserve"> PAGEREF _Toc148432399 \h </w:instrText>
      </w:r>
      <w:r>
        <w:fldChar w:fldCharType="separate"/>
      </w:r>
      <w:r>
        <w:t>131</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"_Toc148432400" </w:instrText>
      </w:r>
      <w:r>
        <w:fldChar w:fldCharType="separate"/>
      </w:r>
      <w:r>
        <w:rPr>
          <w:rStyle w:val="34"/>
          <w:rFonts w:hint="eastAsia"/>
        </w:rPr>
        <w:t>附表</w:t>
      </w:r>
      <w:r>
        <w:rPr>
          <w:rStyle w:val="34"/>
        </w:rPr>
        <w:t>1</w:t>
      </w:r>
      <w:r>
        <w:rPr>
          <w:rStyle w:val="34"/>
          <w:rFonts w:hint="eastAsia"/>
        </w:rPr>
        <w:t>：项目收入估算表（单位：万元）</w:t>
      </w:r>
      <w:r>
        <w:tab/>
      </w:r>
      <w:r>
        <w:fldChar w:fldCharType="begin"/>
      </w:r>
      <w:r>
        <w:instrText xml:space="preserve"> PAGEREF _Toc148432400 \h </w:instrText>
      </w:r>
      <w:r>
        <w:fldChar w:fldCharType="separate"/>
      </w:r>
      <w:r>
        <w:t>131</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"_Toc148432401" </w:instrText>
      </w:r>
      <w:r>
        <w:fldChar w:fldCharType="separate"/>
      </w:r>
      <w:r>
        <w:rPr>
          <w:rStyle w:val="34"/>
          <w:rFonts w:hint="eastAsia"/>
        </w:rPr>
        <w:t>附表</w:t>
      </w:r>
      <w:r>
        <w:rPr>
          <w:rStyle w:val="34"/>
        </w:rPr>
        <w:t>2</w:t>
      </w:r>
      <w:r>
        <w:rPr>
          <w:rStyle w:val="34"/>
          <w:rFonts w:hint="eastAsia"/>
        </w:rPr>
        <w:t>：项目总成本估算表（单位：万元）</w:t>
      </w:r>
      <w:r>
        <w:tab/>
      </w:r>
      <w:r>
        <w:fldChar w:fldCharType="begin"/>
      </w:r>
      <w:r>
        <w:instrText xml:space="preserve"> PAGEREF _Toc148432401 \h </w:instrText>
      </w:r>
      <w:r>
        <w:fldChar w:fldCharType="separate"/>
      </w:r>
      <w:r>
        <w:t>133</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"_Toc148432402" </w:instrText>
      </w:r>
      <w:r>
        <w:fldChar w:fldCharType="separate"/>
      </w:r>
      <w:r>
        <w:rPr>
          <w:rStyle w:val="34"/>
          <w:rFonts w:hint="eastAsia"/>
        </w:rPr>
        <w:t>附表</w:t>
      </w:r>
      <w:r>
        <w:rPr>
          <w:rStyle w:val="34"/>
        </w:rPr>
        <w:t>3</w:t>
      </w:r>
      <w:r>
        <w:rPr>
          <w:rStyle w:val="34"/>
          <w:rFonts w:hint="eastAsia"/>
        </w:rPr>
        <w:t>：项目借款还本付息表（单位：万元）</w:t>
      </w:r>
      <w:r>
        <w:tab/>
      </w:r>
      <w:r>
        <w:fldChar w:fldCharType="begin"/>
      </w:r>
      <w:r>
        <w:instrText xml:space="preserve"> PAGEREF _Toc148432402 \h </w:instrText>
      </w:r>
      <w:r>
        <w:fldChar w:fldCharType="separate"/>
      </w:r>
      <w:r>
        <w:t>134</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"_Toc148432403" </w:instrText>
      </w:r>
      <w:r>
        <w:fldChar w:fldCharType="separate"/>
      </w:r>
      <w:r>
        <w:rPr>
          <w:rStyle w:val="34"/>
          <w:rFonts w:hint="eastAsia"/>
        </w:rPr>
        <w:t>附表</w:t>
      </w:r>
      <w:r>
        <w:rPr>
          <w:rStyle w:val="34"/>
        </w:rPr>
        <w:t>4</w:t>
      </w:r>
      <w:r>
        <w:rPr>
          <w:rStyle w:val="34"/>
          <w:rFonts w:hint="eastAsia"/>
        </w:rPr>
        <w:t>：增值税及附加估算表（单位：万元）</w:t>
      </w:r>
      <w:r>
        <w:tab/>
      </w:r>
      <w:r>
        <w:fldChar w:fldCharType="begin"/>
      </w:r>
      <w:r>
        <w:instrText xml:space="preserve"> PAGEREF _Toc148432403 \h </w:instrText>
      </w:r>
      <w:r>
        <w:fldChar w:fldCharType="separate"/>
      </w:r>
      <w:r>
        <w:t>135</w:t>
      </w:r>
      <w:r>
        <w:fldChar w:fldCharType="end"/>
      </w:r>
      <w:r>
        <w:fldChar w:fldCharType="end"/>
      </w:r>
    </w:p>
    <w:p>
      <w:pPr>
        <w:pStyle w:val="25"/>
        <w:tabs>
          <w:tab w:val="right" w:leader="dot" w:pos="9060"/>
        </w:tabs>
        <w:ind w:firstLine="560"/>
        <w:rPr>
          <w:rFonts w:asciiTheme="minorHAnsi" w:hAnsiTheme="minorHAnsi" w:eastAsiaTheme="minorEastAsia"/>
          <w:sz w:val="21"/>
        </w:rPr>
      </w:pPr>
      <w:r>
        <w:fldChar w:fldCharType="begin"/>
      </w:r>
      <w:r>
        <w:instrText xml:space="preserve"> HYPERLINK \l "_Toc148432404" </w:instrText>
      </w:r>
      <w:r>
        <w:fldChar w:fldCharType="separate"/>
      </w:r>
      <w:r>
        <w:rPr>
          <w:rStyle w:val="34"/>
          <w:rFonts w:hint="eastAsia"/>
        </w:rPr>
        <w:t>附表</w:t>
      </w:r>
      <w:r>
        <w:rPr>
          <w:rStyle w:val="34"/>
        </w:rPr>
        <w:t>5</w:t>
      </w:r>
      <w:r>
        <w:rPr>
          <w:rStyle w:val="34"/>
          <w:rFonts w:hint="eastAsia"/>
        </w:rPr>
        <w:t>：资本金现金流量表（单位：万元）</w:t>
      </w:r>
      <w:r>
        <w:tab/>
      </w:r>
      <w:r>
        <w:fldChar w:fldCharType="begin"/>
      </w:r>
      <w:r>
        <w:instrText xml:space="preserve"> PAGEREF _Toc148432404 \h </w:instrText>
      </w:r>
      <w:r>
        <w:fldChar w:fldCharType="separate"/>
      </w:r>
      <w:r>
        <w:t>137</w:t>
      </w:r>
      <w:r>
        <w:fldChar w:fldCharType="end"/>
      </w:r>
      <w:r>
        <w:fldChar w:fldCharType="end"/>
      </w:r>
    </w:p>
    <w:p>
      <w:pPr>
        <w:ind w:firstLine="0" w:firstLineChars="0"/>
        <w:rPr>
          <w:rFonts w:cs="Times New Roman"/>
        </w:rPr>
        <w:sectPr>
          <w:headerReference r:id="rId11" w:type="default"/>
          <w:pgSz w:w="11906" w:h="16838"/>
          <w:pgMar w:top="1440" w:right="1418" w:bottom="1440" w:left="1418" w:header="567" w:footer="992" w:gutter="0"/>
          <w:cols w:space="425" w:num="1"/>
          <w:docGrid w:linePitch="381" w:charSpace="0"/>
        </w:sectPr>
      </w:pPr>
      <w:r>
        <w:rPr>
          <w:rFonts w:cs="Times New Roman"/>
          <w:b/>
        </w:rPr>
        <w:fldChar w:fldCharType="end"/>
      </w:r>
    </w:p>
    <w:p>
      <w:pPr>
        <w:pStyle w:val="2"/>
        <w:rPr>
          <w:rFonts w:cs="Times New Roman"/>
        </w:rPr>
      </w:pPr>
      <w:bookmarkStart w:id="1" w:name="_Toc148432335"/>
      <w:r>
        <w:rPr>
          <w:rFonts w:hint="eastAsia" w:cs="Times New Roman"/>
        </w:rPr>
        <w:t>实施方案核心内容概述</w:t>
      </w:r>
      <w:bookmarkEnd w:id="1"/>
    </w:p>
    <w:tbl>
      <w:tblPr>
        <w:tblStyle w:val="3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6"/>
        <w:gridCol w:w="1509"/>
        <w:gridCol w:w="959"/>
        <w:gridCol w:w="159"/>
        <w:gridCol w:w="1342"/>
        <w:gridCol w:w="284"/>
        <w:gridCol w:w="31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96" w:type="dxa"/>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项目名称</w:t>
            </w:r>
          </w:p>
        </w:tc>
        <w:tc>
          <w:tcPr>
            <w:tcW w:w="7364" w:type="dxa"/>
            <w:gridSpan w:val="6"/>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同心县高标准农田及现代化高效节水灌区建设特许经营项目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96" w:type="dxa"/>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项目类型</w:t>
            </w:r>
          </w:p>
        </w:tc>
        <w:tc>
          <w:tcPr>
            <w:tcW w:w="2627" w:type="dxa"/>
            <w:gridSpan w:val="3"/>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新建+存量项目</w:t>
            </w:r>
          </w:p>
        </w:tc>
        <w:tc>
          <w:tcPr>
            <w:tcW w:w="1626" w:type="dxa"/>
            <w:gridSpan w:val="2"/>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行业类别</w:t>
            </w:r>
          </w:p>
        </w:tc>
        <w:tc>
          <w:tcPr>
            <w:tcW w:w="3111" w:type="dxa"/>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水利工程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96" w:type="dxa"/>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实施机构</w:t>
            </w:r>
          </w:p>
        </w:tc>
        <w:tc>
          <w:tcPr>
            <w:tcW w:w="7364" w:type="dxa"/>
            <w:gridSpan w:val="6"/>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同心县农业农村局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96" w:type="dxa"/>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投资规模</w:t>
            </w:r>
          </w:p>
        </w:tc>
        <w:tc>
          <w:tcPr>
            <w:tcW w:w="7364" w:type="dxa"/>
            <w:gridSpan w:val="6"/>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工程估算静态总投资为104,789.30万元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696" w:type="dxa"/>
            <w:vAlign w:val="center"/>
          </w:tcPr>
          <w:p>
            <w:pPr>
              <w:spacing w:line="240" w:lineRule="auto"/>
              <w:ind w:firstLine="0" w:firstLineChars="0"/>
              <w:contextualSpacing/>
              <w:jc w:val="center"/>
              <w:outlineLvl w:val="6"/>
              <w:rPr>
                <w:rFonts w:cs="Times New Roman"/>
                <w:bCs/>
                <w:sz w:val="24"/>
                <w:szCs w:val="24"/>
              </w:rPr>
            </w:pPr>
            <w:bookmarkStart w:id="2" w:name="_Hlk68773577"/>
            <w:r>
              <w:rPr>
                <w:rFonts w:hint="eastAsia" w:cs="Times New Roman"/>
                <w:bCs/>
                <w:sz w:val="24"/>
                <w:szCs w:val="24"/>
              </w:rPr>
              <w:t>建设内容</w:t>
            </w:r>
          </w:p>
        </w:tc>
        <w:tc>
          <w:tcPr>
            <w:tcW w:w="7364" w:type="dxa"/>
            <w:gridSpan w:val="6"/>
            <w:vAlign w:val="center"/>
          </w:tcPr>
          <w:p>
            <w:pPr>
              <w:spacing w:line="240" w:lineRule="auto"/>
              <w:ind w:firstLine="480"/>
              <w:contextualSpacing/>
              <w:outlineLvl w:val="6"/>
              <w:rPr>
                <w:rFonts w:hint="eastAsia" w:cs="Times New Roman"/>
                <w:bCs/>
                <w:sz w:val="24"/>
                <w:szCs w:val="24"/>
              </w:rPr>
            </w:pPr>
            <w:r>
              <w:rPr>
                <w:rFonts w:hint="eastAsia" w:cs="Times New Roman"/>
                <w:bCs/>
                <w:sz w:val="24"/>
                <w:szCs w:val="24"/>
              </w:rPr>
              <w:t>1.骨干灌溉工程升级改造</w:t>
            </w:r>
          </w:p>
          <w:p>
            <w:pPr>
              <w:spacing w:line="240" w:lineRule="auto"/>
              <w:ind w:firstLine="480"/>
              <w:contextualSpacing/>
              <w:outlineLvl w:val="6"/>
              <w:rPr>
                <w:rFonts w:hint="eastAsia" w:cs="Times New Roman"/>
                <w:bCs/>
                <w:sz w:val="24"/>
                <w:szCs w:val="24"/>
              </w:rPr>
            </w:pPr>
            <w:r>
              <w:rPr>
                <w:rFonts w:hint="eastAsia" w:cs="Times New Roman"/>
                <w:bCs/>
                <w:sz w:val="24"/>
                <w:szCs w:val="24"/>
              </w:rPr>
              <w:t>（1）骨干水源配水工程</w:t>
            </w:r>
          </w:p>
          <w:p>
            <w:pPr>
              <w:spacing w:line="240" w:lineRule="auto"/>
              <w:ind w:firstLine="480"/>
              <w:contextualSpacing/>
              <w:outlineLvl w:val="6"/>
              <w:rPr>
                <w:rFonts w:hint="eastAsia" w:cs="Times New Roman"/>
                <w:bCs/>
                <w:sz w:val="24"/>
                <w:szCs w:val="24"/>
              </w:rPr>
            </w:pPr>
            <w:r>
              <w:rPr>
                <w:rFonts w:hint="eastAsia" w:cs="Times New Roman"/>
                <w:bCs/>
                <w:sz w:val="24"/>
                <w:szCs w:val="24"/>
              </w:rPr>
              <w:t>①小洪沟水库配水工程自小洪沟水库重力流输水管线末端取水，新建配水管线总长5.588km，设计流量0.136～0.359m</w:t>
            </w:r>
            <w:r>
              <w:rPr>
                <w:rFonts w:ascii="Calibri" w:hAnsi="Calibri" w:cs="Times New Roman"/>
                <w:bCs/>
                <w:sz w:val="24"/>
                <w:szCs w:val="24"/>
              </w:rPr>
              <w:t>³</w:t>
            </w:r>
            <w:r>
              <w:rPr>
                <w:rFonts w:hint="eastAsia" w:cs="Times New Roman"/>
                <w:bCs/>
                <w:sz w:val="24"/>
                <w:szCs w:val="24"/>
              </w:rPr>
              <w:t>/s，管径DN400～600，管压1.6～2.0Mpa，管材采用球磨铸铁管，布置管线附属建筑物45座。</w:t>
            </w:r>
          </w:p>
          <w:p>
            <w:pPr>
              <w:spacing w:line="240" w:lineRule="auto"/>
              <w:ind w:firstLine="480"/>
              <w:contextualSpacing/>
              <w:outlineLvl w:val="6"/>
              <w:rPr>
                <w:rFonts w:hint="eastAsia" w:cs="Times New Roman"/>
                <w:bCs/>
                <w:sz w:val="24"/>
                <w:szCs w:val="24"/>
              </w:rPr>
            </w:pPr>
            <w:r>
              <w:rPr>
                <w:rFonts w:hint="eastAsia" w:cs="Times New Roman"/>
                <w:bCs/>
                <w:sz w:val="24"/>
                <w:szCs w:val="24"/>
              </w:rPr>
              <w:t>②杨河套子水库配水工程自杨河套子水库出水泵站取水，新建配水管线总长10.49km，设计流量0.139～0.858m</w:t>
            </w:r>
            <w:r>
              <w:rPr>
                <w:rFonts w:ascii="Calibri" w:hAnsi="Calibri" w:cs="Times New Roman"/>
                <w:bCs/>
                <w:sz w:val="24"/>
                <w:szCs w:val="24"/>
              </w:rPr>
              <w:t>³</w:t>
            </w:r>
            <w:r>
              <w:rPr>
                <w:rFonts w:hint="eastAsia" w:cs="Times New Roman"/>
                <w:bCs/>
                <w:sz w:val="24"/>
                <w:szCs w:val="24"/>
              </w:rPr>
              <w:t>/s，管径DN450～1000，管压0.4～0.8Mpa，管材采用PCP管和钢丝网骨架PE管，布置管线附属建筑物64座。</w:t>
            </w:r>
          </w:p>
          <w:p>
            <w:pPr>
              <w:spacing w:line="240" w:lineRule="auto"/>
              <w:ind w:firstLine="480"/>
              <w:contextualSpacing/>
              <w:outlineLvl w:val="6"/>
              <w:rPr>
                <w:rFonts w:hint="eastAsia" w:cs="Times New Roman"/>
                <w:bCs/>
                <w:sz w:val="24"/>
                <w:szCs w:val="24"/>
              </w:rPr>
            </w:pPr>
            <w:r>
              <w:rPr>
                <w:rFonts w:hint="eastAsia" w:cs="Times New Roman"/>
                <w:bCs/>
                <w:sz w:val="24"/>
                <w:szCs w:val="24"/>
              </w:rPr>
              <w:t>③马家塘水库配水工程自马家塘水库出水泵站取水，新建配水管线总长9.05km（河西镇配水管线长6.73km，丁塘镇配水管线长2.32km），设计流量0.137～1.443m</w:t>
            </w:r>
            <w:r>
              <w:rPr>
                <w:rFonts w:ascii="Calibri" w:hAnsi="Calibri" w:cs="Times New Roman"/>
                <w:bCs/>
                <w:sz w:val="24"/>
                <w:szCs w:val="24"/>
              </w:rPr>
              <w:t>³</w:t>
            </w:r>
            <w:r>
              <w:rPr>
                <w:rFonts w:hint="eastAsia" w:cs="Times New Roman"/>
                <w:bCs/>
                <w:sz w:val="24"/>
                <w:szCs w:val="24"/>
              </w:rPr>
              <w:t>/s，管径DN400～1200，管压0.6Mpa，管材采用PCP管、钢丝网骨架PE管和球墨铸铁管，布置管线附属建筑物72座。</w:t>
            </w:r>
          </w:p>
          <w:p>
            <w:pPr>
              <w:spacing w:line="240" w:lineRule="auto"/>
              <w:ind w:firstLine="480"/>
              <w:contextualSpacing/>
              <w:outlineLvl w:val="6"/>
              <w:rPr>
                <w:rFonts w:hint="eastAsia" w:cs="Times New Roman"/>
                <w:bCs/>
                <w:sz w:val="24"/>
                <w:szCs w:val="24"/>
              </w:rPr>
            </w:pPr>
            <w:r>
              <w:rPr>
                <w:rFonts w:hint="eastAsia" w:cs="Times New Roman"/>
                <w:bCs/>
                <w:sz w:val="24"/>
                <w:szCs w:val="24"/>
              </w:rPr>
              <w:t>（2）调蓄水池工程</w:t>
            </w:r>
          </w:p>
          <w:p>
            <w:pPr>
              <w:spacing w:line="240" w:lineRule="auto"/>
              <w:ind w:firstLine="480"/>
              <w:contextualSpacing/>
              <w:outlineLvl w:val="6"/>
              <w:rPr>
                <w:rFonts w:hint="eastAsia" w:cs="Times New Roman"/>
                <w:bCs/>
                <w:sz w:val="24"/>
                <w:szCs w:val="24"/>
              </w:rPr>
            </w:pPr>
            <w:r>
              <w:rPr>
                <w:rFonts w:hint="eastAsia" w:cs="Times New Roman"/>
                <w:bCs/>
                <w:sz w:val="24"/>
                <w:szCs w:val="24"/>
              </w:rPr>
              <w:t>扬黄灌区规划新增高效节水面积26.35万亩，其中利用已建调蓄水池为水源实施高效节水面积为14.36万亩，利用新建调蓄水池为水源实施高效节水面积为11.99万亩。扬黄灌区新建调蓄水池20座，单座调蓄水池容积3.5～24.0万m</w:t>
            </w:r>
            <w:r>
              <w:rPr>
                <w:rFonts w:ascii="Calibri" w:hAnsi="Calibri" w:cs="Times New Roman"/>
                <w:bCs/>
                <w:sz w:val="24"/>
                <w:szCs w:val="24"/>
              </w:rPr>
              <w:t>³</w:t>
            </w:r>
            <w:r>
              <w:rPr>
                <w:rFonts w:hint="eastAsia" w:ascii="仿宋" w:hAnsi="仿宋" w:cs="Times New Roman"/>
                <w:bCs/>
                <w:sz w:val="24"/>
                <w:szCs w:val="24"/>
              </w:rPr>
              <w:t>，总容积</w:t>
            </w:r>
            <w:r>
              <w:rPr>
                <w:rFonts w:hint="eastAsia" w:cs="Times New Roman"/>
                <w:bCs/>
                <w:sz w:val="24"/>
                <w:szCs w:val="24"/>
              </w:rPr>
              <w:t>210.30万m</w:t>
            </w:r>
            <w:r>
              <w:rPr>
                <w:rFonts w:ascii="Calibri" w:hAnsi="Calibri" w:cs="Times New Roman"/>
                <w:bCs/>
                <w:sz w:val="24"/>
                <w:szCs w:val="24"/>
              </w:rPr>
              <w:t>³</w:t>
            </w:r>
            <w:r>
              <w:rPr>
                <w:rFonts w:hint="eastAsia" w:ascii="仿宋" w:hAnsi="仿宋" w:cs="Times New Roman"/>
                <w:bCs/>
                <w:sz w:val="24"/>
                <w:szCs w:val="24"/>
              </w:rPr>
              <w:t>。</w:t>
            </w:r>
          </w:p>
          <w:p>
            <w:pPr>
              <w:spacing w:line="240" w:lineRule="auto"/>
              <w:ind w:firstLine="480"/>
              <w:contextualSpacing/>
              <w:outlineLvl w:val="6"/>
              <w:rPr>
                <w:rFonts w:hint="eastAsia" w:cs="Times New Roman"/>
                <w:bCs/>
                <w:sz w:val="24"/>
                <w:szCs w:val="24"/>
              </w:rPr>
            </w:pPr>
            <w:r>
              <w:rPr>
                <w:rFonts w:hint="eastAsia" w:cs="Times New Roman"/>
                <w:bCs/>
                <w:sz w:val="24"/>
                <w:szCs w:val="24"/>
              </w:rPr>
              <w:t>2.高标准农田工程</w:t>
            </w:r>
          </w:p>
          <w:p>
            <w:pPr>
              <w:spacing w:line="240" w:lineRule="auto"/>
              <w:ind w:firstLine="480"/>
              <w:contextualSpacing/>
              <w:outlineLvl w:val="6"/>
              <w:rPr>
                <w:rFonts w:hint="eastAsia" w:cs="Times New Roman"/>
                <w:bCs/>
                <w:sz w:val="24"/>
                <w:szCs w:val="24"/>
              </w:rPr>
            </w:pPr>
            <w:r>
              <w:rPr>
                <w:rFonts w:hint="eastAsia" w:cs="Times New Roman"/>
                <w:bCs/>
                <w:sz w:val="24"/>
                <w:szCs w:val="24"/>
              </w:rPr>
              <w:t>（1）改造提升高标准农田（渠改滴）</w:t>
            </w:r>
          </w:p>
          <w:p>
            <w:pPr>
              <w:spacing w:line="240" w:lineRule="auto"/>
              <w:ind w:firstLine="480"/>
              <w:contextualSpacing/>
              <w:outlineLvl w:val="6"/>
              <w:rPr>
                <w:rFonts w:hint="eastAsia" w:cs="Times New Roman"/>
                <w:bCs/>
                <w:sz w:val="24"/>
                <w:szCs w:val="24"/>
              </w:rPr>
            </w:pPr>
            <w:r>
              <w:rPr>
                <w:rFonts w:hint="eastAsia" w:cs="Times New Roman"/>
                <w:bCs/>
                <w:sz w:val="24"/>
                <w:szCs w:val="24"/>
              </w:rPr>
              <w:t>规划改造提升高标准农田（渠改滴）26.36万亩，全部采用高效节灌方式，至十四五末2025年高效节灌覆盖率达到100%。</w:t>
            </w:r>
          </w:p>
          <w:p>
            <w:pPr>
              <w:spacing w:line="240" w:lineRule="auto"/>
              <w:ind w:firstLine="480"/>
              <w:contextualSpacing/>
              <w:outlineLvl w:val="6"/>
              <w:rPr>
                <w:rFonts w:hint="eastAsia" w:cs="Times New Roman"/>
                <w:bCs/>
                <w:sz w:val="24"/>
                <w:szCs w:val="24"/>
              </w:rPr>
            </w:pPr>
            <w:r>
              <w:rPr>
                <w:rFonts w:hint="eastAsia" w:cs="Times New Roman"/>
                <w:bCs/>
                <w:sz w:val="24"/>
                <w:szCs w:val="24"/>
              </w:rPr>
              <w:t>改造提升高标准农田（渠改滴）采用“黄河水＋蓄水池调蓄＋微灌（粮食作物或经济作物）＋农艺节水措施＋节水管理技术”的发展模式。主要建设内容包括：土地平整、土壤改良、灌溉和排水、田间道路、农田防护和生态环境保护、农田输配电、科技服务、管护利用；其中灌溉和排水主要包括蓄水池、田间供水系统首部、田间管网以及自动化和信息化设施。</w:t>
            </w:r>
          </w:p>
          <w:p>
            <w:pPr>
              <w:spacing w:line="240" w:lineRule="auto"/>
              <w:ind w:firstLine="480"/>
              <w:contextualSpacing/>
              <w:outlineLvl w:val="6"/>
              <w:rPr>
                <w:rFonts w:hint="eastAsia" w:cs="Times New Roman"/>
                <w:bCs/>
                <w:sz w:val="24"/>
                <w:szCs w:val="24"/>
              </w:rPr>
            </w:pPr>
            <w:r>
              <w:rPr>
                <w:rFonts w:hint="eastAsia" w:cs="Times New Roman"/>
                <w:bCs/>
                <w:sz w:val="24"/>
                <w:szCs w:val="24"/>
              </w:rPr>
              <w:t>（2）改造提升已建高效节灌</w:t>
            </w:r>
          </w:p>
          <w:p>
            <w:pPr>
              <w:spacing w:line="240" w:lineRule="auto"/>
              <w:ind w:firstLine="480"/>
              <w:contextualSpacing/>
              <w:outlineLvl w:val="6"/>
              <w:rPr>
                <w:rFonts w:hint="eastAsia" w:cs="Times New Roman"/>
                <w:bCs/>
                <w:sz w:val="24"/>
                <w:szCs w:val="24"/>
              </w:rPr>
            </w:pPr>
            <w:r>
              <w:rPr>
                <w:rFonts w:hint="eastAsia" w:cs="Times New Roman"/>
                <w:bCs/>
                <w:sz w:val="24"/>
                <w:szCs w:val="24"/>
              </w:rPr>
              <w:t>改造提升已建高效节灌工程主要针对2012～2018年度实施的部分未充分发挥效益的项目，改造提升项目9个，提升改造面积3.62万亩。已建高效节水灌溉工程全部采用“黄河水＋蓄水池调蓄＋微灌（粮食作物或经济作物）＋农艺节水措施＋节水管理技术”的发展模式。改造提升根据《高标准农田建设通则》等标准，针对已实施高效节水农业项目区农田设施不配套、工程老化、工程建设标准低等问题，按照“缺什么、补什么”的原则开展有针对性的改造提升，结合农艺农艺措施，并对田间工程配套实施自动化控制、信息化管理。</w:t>
            </w:r>
          </w:p>
          <w:p>
            <w:pPr>
              <w:spacing w:line="240" w:lineRule="auto"/>
              <w:ind w:firstLine="480"/>
              <w:contextualSpacing/>
              <w:outlineLvl w:val="6"/>
              <w:rPr>
                <w:rFonts w:hint="eastAsia" w:cs="Times New Roman"/>
                <w:bCs/>
                <w:sz w:val="24"/>
                <w:szCs w:val="24"/>
              </w:rPr>
            </w:pPr>
            <w:r>
              <w:rPr>
                <w:rFonts w:hint="eastAsia" w:cs="Times New Roman"/>
                <w:bCs/>
                <w:sz w:val="24"/>
                <w:szCs w:val="24"/>
              </w:rPr>
              <w:t>3.灌区信息化建设</w:t>
            </w:r>
          </w:p>
          <w:p>
            <w:pPr>
              <w:spacing w:line="240" w:lineRule="auto"/>
              <w:ind w:firstLine="480"/>
              <w:contextualSpacing/>
              <w:outlineLvl w:val="6"/>
              <w:rPr>
                <w:rFonts w:hint="eastAsia" w:cs="Times New Roman"/>
                <w:bCs/>
                <w:sz w:val="24"/>
                <w:szCs w:val="24"/>
              </w:rPr>
            </w:pPr>
            <w:r>
              <w:rPr>
                <w:rFonts w:hint="eastAsia" w:cs="Times New Roman"/>
                <w:bCs/>
                <w:sz w:val="24"/>
                <w:szCs w:val="24"/>
              </w:rPr>
              <w:t>建设内容包括：1、物联网感知体系建设。对灌区内的13座水库、53座已建蓄水池、20座新建蓄水池进行安全监测，监测内容包括：已建水库进行变形监测、渗流监测、环境量监测以及监测自动化系统；已建蓄水池和新建蓄水池进行渗流监测、环境量监测以及监测自动化系统。</w:t>
            </w:r>
          </w:p>
          <w:p>
            <w:pPr>
              <w:spacing w:line="240" w:lineRule="auto"/>
              <w:ind w:firstLine="480"/>
              <w:contextualSpacing/>
              <w:outlineLvl w:val="6"/>
              <w:rPr>
                <w:rFonts w:hint="eastAsia" w:cs="Times New Roman"/>
                <w:bCs/>
                <w:sz w:val="24"/>
                <w:szCs w:val="24"/>
              </w:rPr>
            </w:pPr>
            <w:r>
              <w:rPr>
                <w:rFonts w:hint="eastAsia" w:cs="Times New Roman"/>
                <w:bCs/>
                <w:sz w:val="24"/>
                <w:szCs w:val="24"/>
              </w:rPr>
              <w:t>2、网络通信及运行环境建设。本次工程信息化项目结合县水务局总调中心、乡镇分调中心二级分级应用情况，整体通过政务云部署搭建，可节省信创操作系统、中间件、数据库实施费用。本次工程信息化计划申请1套负载、2套应用服务实例、1套数据库实例、1套文件存储用于本项目部署搭建。根据同心县水务局调度中心实际使用环境设计1套LED大屏显示系统及会议扩声系统，主要用于现代化灌区信息化数据展示、视频会商。分调中心设计9套控制电脑及9套会议一体机，用于分调中心系统综合控制展示及远程视频会商。</w:t>
            </w:r>
          </w:p>
          <w:p>
            <w:pPr>
              <w:spacing w:line="240" w:lineRule="auto"/>
              <w:ind w:firstLine="480"/>
              <w:contextualSpacing/>
              <w:outlineLvl w:val="6"/>
              <w:rPr>
                <w:rFonts w:hint="eastAsia" w:cs="Times New Roman"/>
                <w:bCs/>
                <w:sz w:val="24"/>
                <w:szCs w:val="24"/>
              </w:rPr>
            </w:pPr>
            <w:r>
              <w:rPr>
                <w:rFonts w:hint="eastAsia" w:cs="Times New Roman"/>
                <w:bCs/>
                <w:sz w:val="24"/>
                <w:szCs w:val="24"/>
              </w:rPr>
              <w:t>3、数据资源体系建设。搭建标准化数据资源存储共享体系，打破信息壁垒，实现各类基本信息、监测数据、业务报表等数据统一存储与共享。汇聚整合同心县基础空间数据、三维数据、专题数据、监测数据、外部共享数据等，保证数据统一出口，各类数据完整统一，为业务系统提供数据资源支撑保障，为灌区信息化管理系统建设提供支撑。</w:t>
            </w:r>
          </w:p>
          <w:p>
            <w:pPr>
              <w:spacing w:line="240" w:lineRule="auto"/>
              <w:ind w:firstLine="480"/>
              <w:contextualSpacing/>
              <w:outlineLvl w:val="6"/>
              <w:rPr>
                <w:rFonts w:cs="Times New Roman"/>
                <w:bCs/>
                <w:sz w:val="24"/>
                <w:szCs w:val="24"/>
              </w:rPr>
            </w:pPr>
            <w:r>
              <w:rPr>
                <w:rFonts w:hint="eastAsia" w:cs="Times New Roman"/>
                <w:bCs/>
                <w:sz w:val="24"/>
                <w:szCs w:val="24"/>
              </w:rPr>
              <w:t>4、业务应用支撑平台建设。（1）构建数据融合平台。以倾斜摄影GIS地图为底图，融合业务监测数据，按照L1、L2、L3级数据的标准要求，打造同心数据底板，以数据引擎为驱动，构建数据模型，从而建设数据融合平台。（2）构建模型平台。构建模型平台，涵盖水利专业模型，可视化模型，以及模型管理，实现模型、场景的动态配置，以发布服务的方式，供业务应用调用。（3）构建知识平台。构建知识平台，实现从知识获取、知识融合、知识存储、知识推理以及知识可视化等方面的智能化管理。</w:t>
            </w:r>
          </w:p>
          <w:p>
            <w:pPr>
              <w:spacing w:line="240" w:lineRule="auto"/>
              <w:ind w:firstLine="480"/>
              <w:contextualSpacing/>
              <w:outlineLvl w:val="6"/>
              <w:rPr>
                <w:rFonts w:hint="eastAsia" w:cs="Times New Roman"/>
                <w:bCs/>
                <w:sz w:val="24"/>
                <w:szCs w:val="24"/>
              </w:rPr>
            </w:pPr>
            <w:r>
              <w:rPr>
                <w:rFonts w:hint="eastAsia" w:cs="Times New Roman"/>
                <w:bCs/>
                <w:sz w:val="24"/>
                <w:szCs w:val="24"/>
              </w:rPr>
              <w:t>5、灌区管理业务应用建设。建设灌区信息化管理系统，其主要包括灌区一张图、综合展示与信息服务系统、水资源调度、智能灌溉系统、水费计量系统、工程建设过程管理、工程运行维护、移动应用等功能模块。</w:t>
            </w:r>
          </w:p>
          <w:p>
            <w:pPr>
              <w:spacing w:line="240" w:lineRule="auto"/>
              <w:ind w:firstLine="480"/>
              <w:contextualSpacing/>
              <w:outlineLvl w:val="6"/>
              <w:rPr>
                <w:rFonts w:hint="eastAsia" w:cs="Times New Roman"/>
                <w:bCs/>
                <w:sz w:val="24"/>
                <w:szCs w:val="24"/>
              </w:rPr>
            </w:pPr>
            <w:r>
              <w:rPr>
                <w:rFonts w:hint="eastAsia" w:cs="Times New Roman"/>
                <w:bCs/>
                <w:sz w:val="24"/>
                <w:szCs w:val="24"/>
              </w:rPr>
              <w:t>6、网络安全与密码应用。根据自治区推进“数字政府”建设领导小组办公室关于加强自治区电子政务外网和公共云平台建设及管理工作的通知（宁数办发﹝2020﹞9号）,本项目建设的平台系统部署在宁夏政务云，结合自治区政务云的网络现状和安全需求，从云平台边界安全防护、宿主机及虚拟化安全、云管理平台安全入手，保障云平台自身安全。网络安全按照等保2.0二级等保标准建设。</w:t>
            </w:r>
          </w:p>
          <w:p>
            <w:pPr>
              <w:spacing w:line="240" w:lineRule="auto"/>
              <w:ind w:firstLine="480"/>
              <w:contextualSpacing/>
              <w:outlineLvl w:val="6"/>
              <w:rPr>
                <w:rFonts w:hint="eastAsia" w:cs="Times New Roman"/>
                <w:bCs/>
                <w:sz w:val="24"/>
                <w:szCs w:val="24"/>
              </w:rPr>
            </w:pPr>
            <w:r>
              <w:rPr>
                <w:rFonts w:hint="eastAsia" w:cs="Times New Roman"/>
                <w:bCs/>
                <w:sz w:val="24"/>
                <w:szCs w:val="24"/>
              </w:rPr>
              <w:t>7、与现有相关系统平台对接。灌区信息化管理系统需从固海扬水管理处的固海扬水管理业务系统、固扩扬水管理业务系统和红寺堡扬水管理处的红寺堡扬水管理业务系统中调用相关业务数据，本次灌区信息化管理系统和三大扬水管理系统对接，实现数据交换。</w:t>
            </w:r>
          </w:p>
          <w:p>
            <w:pPr>
              <w:spacing w:line="240" w:lineRule="auto"/>
              <w:ind w:firstLine="480"/>
              <w:contextualSpacing/>
              <w:outlineLvl w:val="6"/>
              <w:rPr>
                <w:rFonts w:hint="eastAsia" w:cs="Times New Roman"/>
                <w:bCs/>
                <w:sz w:val="24"/>
                <w:szCs w:val="24"/>
              </w:rPr>
            </w:pPr>
            <w:r>
              <w:rPr>
                <w:rFonts w:hint="eastAsia" w:cs="Times New Roman"/>
                <w:bCs/>
                <w:sz w:val="24"/>
                <w:szCs w:val="24"/>
              </w:rPr>
              <w:t>宁夏“互联网+高效节水农业”管理服务平台主要包含采集系统、高效节灌一张图、工程建设管理、智能灌溉、专家决策、实时监控、病虫情监测、水费计收、系统日志等。灌区信息化管理系统通过和互联网+高效节水平台对接，获取已建工程相关数据信息。</w:t>
            </w:r>
          </w:p>
          <w:p>
            <w:pPr>
              <w:spacing w:line="240" w:lineRule="auto"/>
              <w:ind w:firstLine="480"/>
              <w:contextualSpacing/>
              <w:outlineLvl w:val="6"/>
              <w:rPr>
                <w:rFonts w:hint="eastAsia" w:cs="Times New Roman"/>
                <w:bCs/>
                <w:sz w:val="24"/>
                <w:szCs w:val="24"/>
              </w:rPr>
            </w:pPr>
            <w:r>
              <w:rPr>
                <w:rFonts w:hint="eastAsia" w:cs="Times New Roman"/>
                <w:bCs/>
                <w:sz w:val="24"/>
                <w:szCs w:val="24"/>
              </w:rPr>
              <w:t>4.调度中心建设</w:t>
            </w:r>
          </w:p>
          <w:p>
            <w:pPr>
              <w:spacing w:line="240" w:lineRule="auto"/>
              <w:ind w:firstLine="480"/>
              <w:contextualSpacing/>
              <w:outlineLvl w:val="6"/>
              <w:rPr>
                <w:rFonts w:cs="Times New Roman"/>
                <w:bCs/>
                <w:sz w:val="24"/>
                <w:szCs w:val="24"/>
              </w:rPr>
            </w:pPr>
            <w:r>
              <w:rPr>
                <w:rFonts w:hint="eastAsia" w:cs="Times New Roman"/>
                <w:bCs/>
                <w:sz w:val="24"/>
                <w:szCs w:val="24"/>
              </w:rPr>
              <w:t>便于水资源的统一调配，本工程拟采用全县域统一调度、各乡镇分散调度的方案，在同心县城新建总调中心，统一调度管理整个扬黄灌区，在灌区涉及的9个乡镇新建分调中心，调度管理所辖乡镇范围内扬黄灌区。</w:t>
            </w:r>
          </w:p>
        </w:tc>
      </w:tr>
      <w:bookmarkEnd w:id="2"/>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6" w:type="dxa"/>
            <w:shd w:val="clear" w:color="auto" w:fill="auto"/>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特许经营范围</w:t>
            </w:r>
          </w:p>
        </w:tc>
        <w:tc>
          <w:tcPr>
            <w:tcW w:w="7364" w:type="dxa"/>
            <w:gridSpan w:val="6"/>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改造提升高标准农田（渠改滴）26.36万亩+改造提升已建高效节灌</w:t>
            </w:r>
            <w:r>
              <w:rPr>
                <w:rFonts w:cs="Times New Roman"/>
                <w:bCs/>
                <w:sz w:val="24"/>
                <w:szCs w:val="24"/>
              </w:rPr>
              <w:t>3.62万亩</w:t>
            </w:r>
            <w:r>
              <w:rPr>
                <w:rFonts w:hint="eastAsia" w:cs="Times New Roman"/>
                <w:bCs/>
                <w:sz w:val="24"/>
                <w:szCs w:val="24"/>
              </w:rPr>
              <w:t>+存量</w:t>
            </w:r>
            <w:r>
              <w:rPr>
                <w:rFonts w:cs="Times New Roman"/>
                <w:bCs/>
                <w:sz w:val="24"/>
                <w:szCs w:val="24"/>
              </w:rPr>
              <w:t>40.03</w:t>
            </w:r>
            <w:r>
              <w:rPr>
                <w:rFonts w:hint="eastAsia" w:cs="Times New Roman"/>
                <w:bCs/>
                <w:sz w:val="24"/>
                <w:szCs w:val="24"/>
              </w:rPr>
              <w:t>万亩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6" w:type="dxa"/>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回报机制</w:t>
            </w:r>
          </w:p>
        </w:tc>
        <w:tc>
          <w:tcPr>
            <w:tcW w:w="2468" w:type="dxa"/>
            <w:gridSpan w:val="2"/>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使用者付费</w:t>
            </w:r>
          </w:p>
        </w:tc>
        <w:tc>
          <w:tcPr>
            <w:tcW w:w="1501" w:type="dxa"/>
            <w:gridSpan w:val="2"/>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运作模式</w:t>
            </w:r>
          </w:p>
        </w:tc>
        <w:tc>
          <w:tcPr>
            <w:tcW w:w="3395" w:type="dxa"/>
            <w:gridSpan w:val="2"/>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委托运营（O&amp;M）+建设-运营-移交（BOT）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696" w:type="dxa"/>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合作期限</w:t>
            </w:r>
          </w:p>
        </w:tc>
        <w:tc>
          <w:tcPr>
            <w:tcW w:w="7364" w:type="dxa"/>
            <w:gridSpan w:val="6"/>
            <w:vAlign w:val="center"/>
          </w:tcPr>
          <w:p>
            <w:pPr>
              <w:spacing w:line="240" w:lineRule="auto"/>
              <w:ind w:firstLine="0" w:firstLineChars="0"/>
              <w:contextualSpacing/>
              <w:jc w:val="center"/>
              <w:outlineLvl w:val="6"/>
              <w:rPr>
                <w:rFonts w:cs="Times New Roman"/>
                <w:bCs/>
                <w:sz w:val="24"/>
                <w:szCs w:val="24"/>
              </w:rPr>
            </w:pPr>
            <w:r>
              <w:rPr>
                <w:rFonts w:cs="Times New Roman"/>
                <w:bCs/>
                <w:sz w:val="24"/>
                <w:szCs w:val="24"/>
              </w:rPr>
              <w:t>30</w:t>
            </w:r>
            <w:r>
              <w:rPr>
                <w:rFonts w:hint="eastAsia" w:cs="Times New Roman"/>
                <w:bCs/>
                <w:sz w:val="24"/>
                <w:szCs w:val="24"/>
              </w:rPr>
              <w:t>年。其中：新建项目建设期</w:t>
            </w:r>
            <w:r>
              <w:rPr>
                <w:rFonts w:cs="Times New Roman"/>
                <w:bCs/>
                <w:sz w:val="24"/>
                <w:szCs w:val="24"/>
              </w:rPr>
              <w:t>3</w:t>
            </w:r>
            <w:r>
              <w:rPr>
                <w:rFonts w:hint="eastAsia" w:cs="Times New Roman"/>
                <w:bCs/>
                <w:sz w:val="24"/>
                <w:szCs w:val="24"/>
              </w:rPr>
              <w:t>年，运营期2</w:t>
            </w:r>
            <w:r>
              <w:rPr>
                <w:rFonts w:cs="Times New Roman"/>
                <w:bCs/>
                <w:sz w:val="24"/>
                <w:szCs w:val="24"/>
              </w:rPr>
              <w:t>7</w:t>
            </w:r>
            <w:r>
              <w:rPr>
                <w:rFonts w:hint="eastAsia" w:cs="Times New Roman"/>
                <w:bCs/>
                <w:sz w:val="24"/>
                <w:szCs w:val="24"/>
              </w:rPr>
              <w:t>年；存量项目运营期30年。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05" w:type="dxa"/>
            <w:gridSpan w:val="2"/>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可行性缺口补助年均值</w:t>
            </w:r>
          </w:p>
        </w:tc>
        <w:tc>
          <w:tcPr>
            <w:tcW w:w="5855" w:type="dxa"/>
            <w:gridSpan w:val="5"/>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05" w:type="dxa"/>
            <w:gridSpan w:val="2"/>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使用者付费收入占比</w:t>
            </w:r>
          </w:p>
        </w:tc>
        <w:tc>
          <w:tcPr>
            <w:tcW w:w="5855" w:type="dxa"/>
            <w:gridSpan w:val="5"/>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【1</w:t>
            </w:r>
            <w:r>
              <w:rPr>
                <w:rFonts w:cs="Times New Roman"/>
                <w:bCs/>
                <w:sz w:val="24"/>
                <w:szCs w:val="24"/>
              </w:rPr>
              <w:t>00%</w:t>
            </w:r>
            <w:r>
              <w:rPr>
                <w:rFonts w:hint="eastAsia" w:cs="Times New Roman"/>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96" w:type="dxa"/>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采购方式</w:t>
            </w:r>
          </w:p>
        </w:tc>
        <w:tc>
          <w:tcPr>
            <w:tcW w:w="7364" w:type="dxa"/>
            <w:gridSpan w:val="6"/>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公开招标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96" w:type="dxa"/>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招标标的</w:t>
            </w:r>
          </w:p>
        </w:tc>
        <w:tc>
          <w:tcPr>
            <w:tcW w:w="7364" w:type="dxa"/>
            <w:gridSpan w:val="6"/>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资本金内部收益率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96" w:type="dxa"/>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股权锁定期</w:t>
            </w:r>
          </w:p>
        </w:tc>
        <w:tc>
          <w:tcPr>
            <w:tcW w:w="7364" w:type="dxa"/>
            <w:gridSpan w:val="6"/>
            <w:vAlign w:val="center"/>
          </w:tcPr>
          <w:p>
            <w:pPr>
              <w:spacing w:line="240" w:lineRule="auto"/>
              <w:ind w:firstLine="0" w:firstLineChars="0"/>
              <w:contextualSpacing/>
              <w:jc w:val="left"/>
              <w:outlineLvl w:val="6"/>
              <w:rPr>
                <w:rFonts w:cs="Times New Roman"/>
                <w:bCs/>
                <w:sz w:val="24"/>
                <w:szCs w:val="24"/>
              </w:rPr>
            </w:pPr>
            <w:r>
              <w:rPr>
                <w:rFonts w:hint="eastAsia" w:cs="Times New Roman"/>
                <w:bCs/>
                <w:sz w:val="24"/>
                <w:szCs w:val="24"/>
              </w:rPr>
              <w:t>自项目特许经营合同签订之日起至项目进入运营期后【3】年。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96" w:type="dxa"/>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资本金比例</w:t>
            </w:r>
          </w:p>
        </w:tc>
        <w:tc>
          <w:tcPr>
            <w:tcW w:w="7364" w:type="dxa"/>
            <w:gridSpan w:val="6"/>
            <w:vAlign w:val="center"/>
          </w:tcPr>
          <w:p>
            <w:pPr>
              <w:spacing w:line="240" w:lineRule="auto"/>
              <w:ind w:firstLine="0" w:firstLineChars="0"/>
              <w:contextualSpacing/>
              <w:jc w:val="center"/>
              <w:outlineLvl w:val="6"/>
              <w:rPr>
                <w:rFonts w:cs="Times New Roman"/>
                <w:bCs/>
                <w:sz w:val="24"/>
                <w:szCs w:val="24"/>
              </w:rPr>
            </w:pPr>
            <w:r>
              <w:rPr>
                <w:rFonts w:cs="Times New Roman"/>
                <w:bCs/>
                <w:sz w:val="24"/>
                <w:szCs w:val="24"/>
              </w:rPr>
              <w:t>46.30%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96" w:type="dxa"/>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主要财务指标</w:t>
            </w:r>
          </w:p>
        </w:tc>
        <w:tc>
          <w:tcPr>
            <w:tcW w:w="7364" w:type="dxa"/>
            <w:gridSpan w:val="6"/>
            <w:vAlign w:val="center"/>
          </w:tcPr>
          <w:p>
            <w:pPr>
              <w:spacing w:line="240" w:lineRule="auto"/>
              <w:ind w:firstLine="0" w:firstLineChars="0"/>
              <w:contextualSpacing/>
              <w:jc w:val="center"/>
              <w:outlineLvl w:val="6"/>
              <w:rPr>
                <w:rFonts w:cs="Times New Roman"/>
                <w:bCs/>
                <w:sz w:val="24"/>
                <w:szCs w:val="24"/>
              </w:rPr>
            </w:pPr>
            <w:r>
              <w:rPr>
                <w:rFonts w:hint="eastAsia" w:cs="Times New Roman"/>
                <w:bCs/>
                <w:sz w:val="24"/>
                <w:szCs w:val="24"/>
              </w:rPr>
              <w:t>资本金内部收益率（税后）不超过</w:t>
            </w:r>
            <w:r>
              <w:rPr>
                <w:rFonts w:cs="Times New Roman"/>
                <w:bCs/>
                <w:sz w:val="24"/>
                <w:szCs w:val="24"/>
              </w:rPr>
              <w:t>5.5%</w:t>
            </w:r>
          </w:p>
        </w:tc>
      </w:tr>
    </w:tbl>
    <w:p>
      <w:pPr>
        <w:widowControl/>
        <w:ind w:firstLine="560"/>
        <w:jc w:val="left"/>
        <w:rPr>
          <w:rFonts w:cs="Times New Roman"/>
        </w:rPr>
      </w:pPr>
    </w:p>
    <w:p>
      <w:pPr>
        <w:ind w:firstLine="0" w:firstLineChars="0"/>
        <w:rPr>
          <w:rFonts w:cs="Times New Roman"/>
        </w:rPr>
        <w:sectPr>
          <w:footerReference r:id="rId12" w:type="default"/>
          <w:pgSz w:w="11906" w:h="16838"/>
          <w:pgMar w:top="1440" w:right="1418" w:bottom="1440" w:left="1418" w:header="567" w:footer="992" w:gutter="0"/>
          <w:pgNumType w:start="1"/>
          <w:cols w:space="425" w:num="1"/>
          <w:docGrid w:linePitch="381" w:charSpace="0"/>
        </w:sectPr>
      </w:pPr>
    </w:p>
    <w:p>
      <w:pPr>
        <w:pStyle w:val="2"/>
        <w:spacing w:after="400"/>
        <w:rPr>
          <w:rFonts w:cs="Times New Roman"/>
        </w:rPr>
      </w:pPr>
      <w:bookmarkStart w:id="3" w:name="_Toc148432336"/>
      <w:r>
        <w:rPr>
          <w:rFonts w:hint="eastAsia" w:cs="Times New Roman"/>
        </w:rPr>
        <w:t>第一章</w:t>
      </w:r>
      <w:r>
        <w:rPr>
          <w:rFonts w:cs="Times New Roman"/>
        </w:rPr>
        <w:t xml:space="preserve"> </w:t>
      </w:r>
      <w:r>
        <w:rPr>
          <w:rFonts w:hint="eastAsia" w:cs="Times New Roman"/>
        </w:rPr>
        <w:t>项目实施背景</w:t>
      </w:r>
      <w:bookmarkEnd w:id="3"/>
    </w:p>
    <w:p>
      <w:pPr>
        <w:pStyle w:val="44"/>
        <w:ind w:firstLine="560"/>
        <w:jc w:val="both"/>
        <w:rPr>
          <w:rFonts w:eastAsia="仿宋"/>
        </w:rPr>
      </w:pPr>
      <w:r>
        <w:rPr>
          <w:rFonts w:eastAsia="仿宋"/>
        </w:rPr>
        <w:t>为全面贯彻落实党中央、国务院实施乡村振兴战略的决策部署，以习近平新时代中国特色社会主义思想为指导，积极践行“节水优先、空间均衡、系统治理、两手发力”治水思路，为加快补齐中型灌区工程体系短板，创新灌区管理体制机制，确保粮食安全，2019年11月20日</w:t>
      </w:r>
      <w:r>
        <w:rPr>
          <w:rFonts w:hint="eastAsia" w:eastAsia="仿宋"/>
        </w:rPr>
        <w:t>国务院办公厅印</w:t>
      </w:r>
      <w:r>
        <w:rPr>
          <w:rFonts w:eastAsia="仿宋"/>
        </w:rPr>
        <w:t>发了《</w:t>
      </w:r>
      <w:r>
        <w:rPr>
          <w:rFonts w:hint="eastAsia" w:eastAsia="仿宋"/>
        </w:rPr>
        <w:t>关于切实加强高标准农田建设提升国家粮食安全保障能力的意见</w:t>
      </w:r>
      <w:r>
        <w:rPr>
          <w:rFonts w:eastAsia="仿宋"/>
        </w:rPr>
        <w:t>》（办农水﹝2019﹞50号），强调“</w:t>
      </w:r>
      <w:r>
        <w:rPr>
          <w:rFonts w:hint="eastAsia" w:eastAsia="仿宋"/>
        </w:rPr>
        <w:t>到2022年，建成10亿亩高标准农田，以此稳定保障1万亿斤以上粮食产能；到2035年，通过持续改造提升，全国高标准农田保有量进一步提高，不断夯实国家粮食安全保障基础。</w:t>
      </w:r>
      <w:r>
        <w:rPr>
          <w:rFonts w:eastAsia="仿宋"/>
        </w:rPr>
        <w:t>”</w:t>
      </w:r>
      <w:r>
        <w:rPr>
          <w:rFonts w:hint="eastAsia"/>
        </w:rPr>
        <w:t xml:space="preserve"> </w:t>
      </w:r>
      <w:r>
        <w:rPr>
          <w:rFonts w:hint="eastAsia" w:eastAsia="仿宋"/>
        </w:rPr>
        <w:t>2021年9月6日农业农村部经国务院批复同意印发《全国高标准农田建设规划（2021—2030年）》。2</w:t>
      </w:r>
      <w:r>
        <w:rPr>
          <w:rFonts w:eastAsia="仿宋"/>
        </w:rPr>
        <w:t>022年</w:t>
      </w:r>
      <w:r>
        <w:rPr>
          <w:rFonts w:hint="eastAsia" w:eastAsia="仿宋"/>
        </w:rPr>
        <w:t>1</w:t>
      </w:r>
      <w:r>
        <w:rPr>
          <w:rFonts w:eastAsia="仿宋"/>
        </w:rPr>
        <w:t>1月，</w:t>
      </w:r>
      <w:r>
        <w:rPr>
          <w:rFonts w:hint="eastAsia" w:eastAsia="仿宋"/>
        </w:rPr>
        <w:t>农业农村部印发《关于推进高标准农田改造提升的指导意见》（农建发〔2022〕5号）。根据国务院、农业农村部等部委政策精神，宁夏回族自治区十二届人大四次会议审议通过的《宁夏回族自治区国民经济和社会发展第十四个五年规划和2035年远景目标纲要》，要求全面实施深度节水控水行动，大力发展节水型农业，推动水资源节约高效利用，实施灌区量测水设施和滴灌、喷灌、沟灌等节水改造，农业高效节水灌溉面积达到400万亩以上。</w:t>
      </w:r>
      <w:r>
        <w:rPr>
          <w:rFonts w:eastAsia="仿宋"/>
        </w:rPr>
        <w:t>自治区</w:t>
      </w:r>
      <w:r>
        <w:rPr>
          <w:rFonts w:hint="eastAsia" w:eastAsia="仿宋"/>
        </w:rPr>
        <w:t>人民政府办公厅</w:t>
      </w:r>
      <w:r>
        <w:rPr>
          <w:rFonts w:eastAsia="仿宋"/>
        </w:rPr>
        <w:t>于2020年5月11日下发了《</w:t>
      </w:r>
      <w:r>
        <w:rPr>
          <w:rFonts w:hint="eastAsia" w:eastAsia="仿宋"/>
        </w:rPr>
        <w:t>关于切实加强高标准农田建设提升国家粮食安全保障能力的实施意见</w:t>
      </w:r>
      <w:r>
        <w:rPr>
          <w:rFonts w:eastAsia="仿宋"/>
        </w:rPr>
        <w:t>》（</w:t>
      </w:r>
      <w:r>
        <w:rPr>
          <w:rFonts w:hint="eastAsia" w:eastAsia="仿宋"/>
        </w:rPr>
        <w:t>宁政办发〔2020〕20号</w:t>
      </w:r>
      <w:r>
        <w:rPr>
          <w:rFonts w:eastAsia="仿宋"/>
        </w:rPr>
        <w:t>）。明确“</w:t>
      </w:r>
      <w:r>
        <w:rPr>
          <w:rFonts w:hint="eastAsia" w:eastAsia="仿宋"/>
        </w:rPr>
        <w:t>到2022年，建成1000万亩高标准农田，以此稳定保障360万吨以上粮食产能；到2035年，通过持续改造提升，全区高标准农田保有量进一步提高，不断夯实国家粮食安全保障基础。</w:t>
      </w:r>
      <w:r>
        <w:rPr>
          <w:rFonts w:eastAsia="仿宋"/>
        </w:rPr>
        <w:t>”2022年4月22日</w:t>
      </w:r>
      <w:r>
        <w:rPr>
          <w:rFonts w:hint="eastAsia" w:eastAsia="仿宋"/>
        </w:rPr>
        <w:t>宁夏回族自治区农业农村厅关于印发《宁夏高标准农田建设规划（2021-2030年）》的通知。《规划》分析了当前全区高标准农田建设成效与面临的形势，提出了“十四五”“十五五”时期高标准农田建设的总体要求、建设内容、建设任务、建设监管、管护利用和保障措施等，是指导各市、县（区）科学有序开展高标准农田建设的重要依据和行动指南。</w:t>
      </w:r>
    </w:p>
    <w:p>
      <w:pPr>
        <w:pStyle w:val="44"/>
        <w:wordWrap/>
        <w:spacing w:line="360" w:lineRule="auto"/>
        <w:ind w:firstLine="560"/>
        <w:jc w:val="both"/>
        <w:rPr>
          <w:rFonts w:eastAsia="仿宋"/>
        </w:rPr>
      </w:pPr>
      <w:r>
        <w:rPr>
          <w:rFonts w:hint="eastAsia" w:eastAsia="仿宋"/>
        </w:rPr>
        <w:t>宁夏引黄灌区是宁夏政治、经济和农业发展的核心区，也是节水潜力最大的区域，分为宁夏中北部以黄河为水源的引黄和扬黄灌区。近年来，按照中央和自治区治水新思路、国家农业现代化和水利现代化发展要求，把传统灌区建设成为现代化生态灌区已成为灌区工作的主要目标。中央2017年一号文件提出把农业节水作为方向性、战略性大事来抓，建设现代化灌区。灌区的现代化建设已经成为国家农业现代化建设的战略需求。以此为契机，自治区党委政府提出，对宁夏引黄灌区实施以高效节水为核心的现代化升级改造。自治区水利厅开展了宁夏引黄现代化生态灌区建设规划，利用现代信息化等先进技术，对引黄灌区进行全面的、系统的升级改造，进一步提高农业灌溉用水效率，解决自治区水资源短缺瓶颈，实现自治区提出的建设现代化生态灌区构想，将宁夏引黄灌区打造成为全国大型灌区现代化建设的示范区。</w:t>
      </w:r>
    </w:p>
    <w:p>
      <w:pPr>
        <w:pStyle w:val="44"/>
        <w:wordWrap/>
        <w:spacing w:line="360" w:lineRule="auto"/>
        <w:ind w:firstLine="560"/>
        <w:jc w:val="both"/>
        <w:rPr>
          <w:rFonts w:eastAsia="仿宋"/>
        </w:rPr>
      </w:pPr>
      <w:r>
        <w:rPr>
          <w:rFonts w:hint="eastAsia" w:eastAsia="仿宋"/>
        </w:rPr>
        <w:t>为全面贯彻落实党中央、国务院关于推进乡村振兴、加快农业农村现代化的决策部署，自治区人民政府办公厅出台关于加快推进高效节水农业发展的实施意见，要求按照自治区党委和政府关于推进用水权、土地权、排污权、山林权“四权”改革工作部署，坚持“以水定城、以水定人、以水定地、以水定产”的原则，以促进农民增收为核心，以提高水资源利用效率为目标，充分利用现有供水工程和蓄水设施，综合应用农艺、农机、工程、生物等技术，北部节水挖潜、中部提质增效、南部开源扩面，大力发展高效节水农业，提高水土资源利用效率，推进农业转型升级，为促进农业现代化、乡村全面振兴提供有力支撑。大力实施高效节水灌溉工程，优化种植结构，转变用水方式，提高用水效益，建立以信息化管理为重点的现代节水农业产业、生产、经营体系，努力打造国家现代高效节水农业示范区。到2025年，全区力争新建和改造提升高效节水农业300万亩，灌溉水利用系数提高到0.6以上。其中，中部干旱带100万亩，灌溉水利用系数达到0.7以上。</w:t>
      </w:r>
    </w:p>
    <w:p>
      <w:pPr>
        <w:ind w:firstLine="560"/>
        <w:rPr>
          <w:rFonts w:cs="Times New Roman"/>
          <w:bCs/>
          <w:kern w:val="0"/>
          <w:szCs w:val="32"/>
        </w:rPr>
      </w:pPr>
      <w:r>
        <w:rPr>
          <w:rFonts w:hint="eastAsia" w:cs="Times New Roman"/>
          <w:bCs/>
          <w:kern w:val="0"/>
          <w:szCs w:val="32"/>
        </w:rPr>
        <w:t>同心县扬黄灌区地处宁夏中部干旱带的核心区，扬黄灌溉面积74.80万亩。扬黄工程有固海扬水、固海扩灌扬水、红寺堡扬水、盐环定扬水工程四大工程，灌区分为扬黄灌区和旱改水灌区。扬水工程涉及的扬黄灌区农业灌溉以大水漫灌为主，水资源利用效率相对较低，农业生产效益低而不稳；扬水工程辐射的旱改水灌区，通过中低产田改造、农业综合开发、高效节水等工程实施，基本实现高效节水灌溉全覆盖。多年来，为了解决水资源匮乏问题，同心县投入巨大的人力物力夯实扬黄灌区水利基础设施，取得了显著的成效，促进了同心县农业持续发展。但是，随着同心县经济社会的快速发展，水资源匮乏问题仍然存在，已建的水利基础设施不能较好的满足当前经济社会发展和农业现代化的需求，表现出用水量、用水时间与实际需求无法匹配等方面的矛盾，反映了水利基础设施不完善、设施布局不合理、水资源利用效率不高、农业节水模式推广不普及、田间工程未正常运行、信息化程度低、管理科技含量和管理素质低、社会化服务水平不高等问题。</w:t>
      </w:r>
    </w:p>
    <w:p>
      <w:pPr>
        <w:ind w:firstLine="560"/>
        <w:rPr>
          <w:rFonts w:cs="Times New Roman"/>
          <w:bCs/>
          <w:kern w:val="0"/>
          <w:szCs w:val="32"/>
        </w:rPr>
      </w:pPr>
      <w:r>
        <w:rPr>
          <w:rFonts w:cs="Times New Roman"/>
          <w:bCs/>
          <w:kern w:val="0"/>
          <w:szCs w:val="32"/>
        </w:rPr>
        <w:t>根据</w:t>
      </w:r>
      <w:r>
        <w:rPr>
          <w:rFonts w:hint="eastAsia" w:cs="Times New Roman"/>
          <w:bCs/>
          <w:kern w:val="0"/>
          <w:szCs w:val="32"/>
        </w:rPr>
        <w:t>《宁夏回族自治区国民经济和社会发展第十四个五年规划和2035年远景目标纲要》《宁夏水安全保障“十四五”规划》《关于加快推进高效节水农业发展的实施意见》《宁夏现代高效节水农业发展规划（2021-2025年）》等文件要求，宁夏将在全区全面实施深度节水控水行动，大力发展节水型农业，推动水资源节约高效利用，实施灌区量测水设施和滴灌、喷灌、沟灌等节水改造，以“节水高效、设施完善、管理科学、生态良好”为原则，以“投、建、管、维、服”一体化、市场化、社会化灌区供水管理服务体系为手段，以打造“水工程自动化、水调控精准化、水生态自然化、水安全标准化、水服务高效化”现代化灌区典范为目标。到2025年，全区实现三个“百万亩”高效节水灌溉工程。</w:t>
      </w:r>
    </w:p>
    <w:p>
      <w:pPr>
        <w:ind w:firstLine="560"/>
        <w:rPr>
          <w:rFonts w:cs="Times New Roman"/>
          <w:bCs/>
          <w:kern w:val="0"/>
          <w:szCs w:val="32"/>
        </w:rPr>
      </w:pPr>
      <w:r>
        <w:rPr>
          <w:rFonts w:hint="eastAsia" w:cs="Times New Roman"/>
          <w:bCs/>
          <w:kern w:val="0"/>
          <w:szCs w:val="32"/>
        </w:rPr>
        <w:t>同心县扬灌区作为</w:t>
      </w:r>
      <w:r>
        <w:rPr>
          <w:rFonts w:hint="eastAsia"/>
        </w:rPr>
        <w:t>中部干旱带100万亩高效节灌工程的重要组成部分，其建设</w:t>
      </w:r>
      <w:r>
        <w:t>关乎整个中部干旱地区高效节灌灌溉工程进度。为此，同心县在</w:t>
      </w:r>
      <w:r>
        <w:rPr>
          <w:rFonts w:hint="eastAsia"/>
        </w:rPr>
        <w:t>《同心县国民经济和社会发展第十四个五年规划和2035远景目标纲要》明确要求，实施节水革命，坚持以水定城、以水定地、以水定人、以水定产，以水资源、水环境承载能力为刚性约束，实施最严格的水资源保护利用制度。发展节水型生态农业，在西部灌区推广高效节水灌溉、水肥一体化、灌溉自动化管理等技术措施，建设西部绿色发展产业区，打造全区节水高效农业示范县。</w:t>
      </w:r>
      <w:r>
        <w:rPr>
          <w:rFonts w:hint="eastAsia" w:cs="Times New Roman"/>
          <w:bCs/>
          <w:kern w:val="0"/>
          <w:szCs w:val="32"/>
        </w:rPr>
        <w:t>本项目实施，使同心县高效节水灌溉</w:t>
      </w:r>
      <w:r>
        <w:rPr>
          <w:rFonts w:hint="eastAsia"/>
        </w:rPr>
        <w:t>发展</w:t>
      </w:r>
      <w:r>
        <w:rPr>
          <w:rFonts w:hint="eastAsia" w:cs="Times New Roman"/>
          <w:bCs/>
          <w:kern w:val="0"/>
          <w:szCs w:val="32"/>
        </w:rPr>
        <w:t>正在进入新的阶段，在坚持“四水四定”原则的同时，以促进农业增效、农民增收为核心，以提高水资源利用效率、效益为目标，落实最严格水资源管理制度，科学合理配置水资源，示范推广滴灌、喷灌、自动化灌溉等先进节水灌溉技术，优化农业产业结构，转变农业用水方式，完善农业节水机制，变“大水漫灌”为“精准滴灌”，实现县域高效节水农业全覆盖，推动农业规模化种植、标准化生产、集约化经营，实现粮食稳产增产，农民稳步增收，以水资源的可持续利用保障农业和经济社会的可持续发展。</w:t>
      </w:r>
    </w:p>
    <w:p>
      <w:pPr>
        <w:ind w:firstLine="560"/>
        <w:rPr>
          <w:rFonts w:cs="Times New Roman"/>
        </w:rPr>
      </w:pPr>
    </w:p>
    <w:p>
      <w:pPr>
        <w:ind w:firstLine="560"/>
        <w:rPr>
          <w:rFonts w:cs="Times New Roman"/>
        </w:rPr>
        <w:sectPr>
          <w:pgSz w:w="11906" w:h="16838"/>
          <w:pgMar w:top="1440" w:right="1418" w:bottom="1440" w:left="1418" w:header="567" w:footer="992" w:gutter="0"/>
          <w:cols w:space="425" w:num="1"/>
          <w:docGrid w:linePitch="381" w:charSpace="0"/>
        </w:sectPr>
      </w:pPr>
    </w:p>
    <w:p>
      <w:pPr>
        <w:pStyle w:val="2"/>
        <w:spacing w:after="400"/>
        <w:rPr>
          <w:rFonts w:cs="Times New Roman"/>
        </w:rPr>
      </w:pPr>
      <w:bookmarkStart w:id="4" w:name="_Toc148432337"/>
      <w:r>
        <w:rPr>
          <w:rFonts w:hint="eastAsia" w:cs="Times New Roman"/>
        </w:rPr>
        <w:t>第二章</w:t>
      </w:r>
      <w:r>
        <w:rPr>
          <w:rFonts w:cs="Times New Roman"/>
        </w:rPr>
        <w:t xml:space="preserve"> </w:t>
      </w:r>
      <w:r>
        <w:rPr>
          <w:rFonts w:hint="eastAsia" w:cs="Times New Roman"/>
        </w:rPr>
        <w:t>编制依据和原则</w:t>
      </w:r>
      <w:bookmarkEnd w:id="4"/>
    </w:p>
    <w:p>
      <w:pPr>
        <w:pStyle w:val="3"/>
        <w:ind w:firstLine="641"/>
        <w:rPr>
          <w:rFonts w:cs="Times New Roman"/>
        </w:rPr>
      </w:pPr>
      <w:bookmarkStart w:id="5" w:name="_Toc148432338"/>
      <w:r>
        <w:rPr>
          <w:rFonts w:hint="eastAsia" w:cs="Times New Roman"/>
        </w:rPr>
        <w:t>一、编制依据</w:t>
      </w:r>
      <w:bookmarkEnd w:id="5"/>
    </w:p>
    <w:p>
      <w:pPr>
        <w:pStyle w:val="4"/>
        <w:ind w:firstLine="562"/>
        <w:rPr>
          <w:rFonts w:cs="Times New Roman"/>
        </w:rPr>
      </w:pPr>
      <w:r>
        <w:rPr>
          <w:rFonts w:hint="eastAsia" w:cs="Times New Roman"/>
        </w:rPr>
        <w:t>（一）相关法律法规</w:t>
      </w:r>
    </w:p>
    <w:p>
      <w:pPr>
        <w:ind w:firstLine="560"/>
        <w:rPr>
          <w:rFonts w:cs="Times New Roman"/>
        </w:rPr>
      </w:pPr>
      <w:r>
        <w:rPr>
          <w:rFonts w:hint="eastAsia" w:cs="Times New Roman"/>
        </w:rPr>
        <w:t>（</w:t>
      </w:r>
      <w:r>
        <w:rPr>
          <w:rFonts w:cs="Times New Roman"/>
        </w:rPr>
        <w:t>1</w:t>
      </w:r>
      <w:r>
        <w:rPr>
          <w:rFonts w:hint="eastAsia" w:cs="Times New Roman"/>
        </w:rPr>
        <w:t>）《中华人民共和国民法典》（</w:t>
      </w:r>
      <w:r>
        <w:rPr>
          <w:rFonts w:cs="Times New Roman"/>
        </w:rPr>
        <w:t>2020</w:t>
      </w:r>
      <w:r>
        <w:rPr>
          <w:rFonts w:hint="eastAsia" w:cs="Times New Roman"/>
        </w:rPr>
        <w:t>年</w:t>
      </w:r>
      <w:r>
        <w:rPr>
          <w:rFonts w:cs="Times New Roman"/>
        </w:rPr>
        <w:t>5</w:t>
      </w:r>
      <w:r>
        <w:rPr>
          <w:rFonts w:hint="eastAsia" w:cs="Times New Roman"/>
        </w:rPr>
        <w:t>月）；</w:t>
      </w:r>
    </w:p>
    <w:p>
      <w:pPr>
        <w:ind w:firstLine="560"/>
        <w:rPr>
          <w:rFonts w:cs="Times New Roman"/>
        </w:rPr>
      </w:pPr>
      <w:r>
        <w:rPr>
          <w:rFonts w:hint="eastAsia" w:cs="Times New Roman"/>
        </w:rPr>
        <w:t>（</w:t>
      </w:r>
      <w:r>
        <w:rPr>
          <w:rFonts w:cs="Times New Roman"/>
        </w:rPr>
        <w:t>2</w:t>
      </w:r>
      <w:r>
        <w:rPr>
          <w:rFonts w:hint="eastAsia" w:cs="Times New Roman"/>
        </w:rPr>
        <w:t>）《中华人民共和国预算法》（</w:t>
      </w:r>
      <w:r>
        <w:rPr>
          <w:rFonts w:cs="Times New Roman"/>
        </w:rPr>
        <w:t>2018</w:t>
      </w:r>
      <w:r>
        <w:rPr>
          <w:rFonts w:hint="eastAsia" w:cs="Times New Roman"/>
        </w:rPr>
        <w:t>年</w:t>
      </w:r>
      <w:r>
        <w:rPr>
          <w:rFonts w:cs="Times New Roman"/>
        </w:rPr>
        <w:t>12</w:t>
      </w:r>
      <w:r>
        <w:rPr>
          <w:rFonts w:hint="eastAsia" w:cs="Times New Roman"/>
        </w:rPr>
        <w:t>月修订）；</w:t>
      </w:r>
    </w:p>
    <w:p>
      <w:pPr>
        <w:ind w:firstLine="560"/>
        <w:rPr>
          <w:rFonts w:cs="Times New Roman"/>
        </w:rPr>
      </w:pPr>
      <w:r>
        <w:rPr>
          <w:rFonts w:hint="eastAsia" w:cs="Times New Roman"/>
        </w:rPr>
        <w:t>（</w:t>
      </w:r>
      <w:r>
        <w:rPr>
          <w:rFonts w:cs="Times New Roman"/>
        </w:rPr>
        <w:t>3</w:t>
      </w:r>
      <w:r>
        <w:rPr>
          <w:rFonts w:hint="eastAsia" w:cs="Times New Roman"/>
        </w:rPr>
        <w:t>）《中华人民共和国公司法》（</w:t>
      </w:r>
      <w:r>
        <w:rPr>
          <w:rFonts w:cs="Times New Roman"/>
        </w:rPr>
        <w:t>2018</w:t>
      </w:r>
      <w:r>
        <w:rPr>
          <w:rFonts w:hint="eastAsia" w:cs="Times New Roman"/>
        </w:rPr>
        <w:t>年</w:t>
      </w:r>
      <w:r>
        <w:rPr>
          <w:rFonts w:cs="Times New Roman"/>
        </w:rPr>
        <w:t>10</w:t>
      </w:r>
      <w:r>
        <w:rPr>
          <w:rFonts w:hint="eastAsia" w:cs="Times New Roman"/>
        </w:rPr>
        <w:t>月修订）；</w:t>
      </w:r>
    </w:p>
    <w:p>
      <w:pPr>
        <w:ind w:firstLine="560"/>
        <w:rPr>
          <w:rFonts w:cs="Times New Roman"/>
        </w:rPr>
      </w:pPr>
      <w:r>
        <w:rPr>
          <w:rFonts w:hint="eastAsia" w:cs="Times New Roman"/>
        </w:rPr>
        <w:t>（</w:t>
      </w:r>
      <w:r>
        <w:rPr>
          <w:rFonts w:cs="Times New Roman"/>
        </w:rPr>
        <w:t>4</w:t>
      </w:r>
      <w:r>
        <w:rPr>
          <w:rFonts w:hint="eastAsia" w:cs="Times New Roman"/>
        </w:rPr>
        <w:t>）《中华人民共和国招标投标法》（</w:t>
      </w:r>
      <w:r>
        <w:rPr>
          <w:rFonts w:cs="Times New Roman"/>
        </w:rPr>
        <w:t>2017</w:t>
      </w:r>
      <w:r>
        <w:rPr>
          <w:rFonts w:hint="eastAsia" w:cs="Times New Roman"/>
        </w:rPr>
        <w:t>年</w:t>
      </w:r>
      <w:r>
        <w:rPr>
          <w:rFonts w:cs="Times New Roman"/>
        </w:rPr>
        <w:t>12</w:t>
      </w:r>
      <w:r>
        <w:rPr>
          <w:rFonts w:hint="eastAsia" w:cs="Times New Roman"/>
        </w:rPr>
        <w:t>月修订）；</w:t>
      </w:r>
    </w:p>
    <w:p>
      <w:pPr>
        <w:ind w:firstLine="560"/>
        <w:rPr>
          <w:rFonts w:cs="Times New Roman"/>
        </w:rPr>
      </w:pPr>
      <w:r>
        <w:rPr>
          <w:rFonts w:hint="eastAsia" w:cs="Times New Roman"/>
        </w:rPr>
        <w:t>（</w:t>
      </w:r>
      <w:r>
        <w:rPr>
          <w:rFonts w:cs="Times New Roman"/>
        </w:rPr>
        <w:t>5</w:t>
      </w:r>
      <w:r>
        <w:rPr>
          <w:rFonts w:hint="eastAsia" w:cs="Times New Roman"/>
        </w:rPr>
        <w:t>）《中华人民共和国政府采购法》（</w:t>
      </w:r>
      <w:r>
        <w:rPr>
          <w:rFonts w:cs="Times New Roman"/>
        </w:rPr>
        <w:t>2014</w:t>
      </w:r>
      <w:r>
        <w:rPr>
          <w:rFonts w:hint="eastAsia" w:cs="Times New Roman"/>
        </w:rPr>
        <w:t>年</w:t>
      </w:r>
      <w:r>
        <w:rPr>
          <w:rFonts w:cs="Times New Roman"/>
        </w:rPr>
        <w:t>12</w:t>
      </w:r>
      <w:r>
        <w:rPr>
          <w:rFonts w:hint="eastAsia" w:cs="Times New Roman"/>
        </w:rPr>
        <w:t>月修订）；</w:t>
      </w:r>
    </w:p>
    <w:p>
      <w:pPr>
        <w:ind w:firstLine="560"/>
        <w:rPr>
          <w:rFonts w:cs="Times New Roman"/>
        </w:rPr>
      </w:pPr>
      <w:r>
        <w:rPr>
          <w:rFonts w:hint="eastAsia" w:cs="Times New Roman"/>
        </w:rPr>
        <w:t>（</w:t>
      </w:r>
      <w:r>
        <w:rPr>
          <w:rFonts w:cs="Times New Roman"/>
        </w:rPr>
        <w:t>6</w:t>
      </w:r>
      <w:r>
        <w:rPr>
          <w:rFonts w:hint="eastAsia" w:cs="Times New Roman"/>
        </w:rPr>
        <w:t>）《中华人民共和国企业国有资产法》（</w:t>
      </w:r>
      <w:r>
        <w:rPr>
          <w:rFonts w:cs="Times New Roman"/>
        </w:rPr>
        <w:t>2008</w:t>
      </w:r>
      <w:r>
        <w:rPr>
          <w:rFonts w:hint="eastAsia" w:cs="Times New Roman"/>
        </w:rPr>
        <w:t>年</w:t>
      </w:r>
      <w:r>
        <w:rPr>
          <w:rFonts w:cs="Times New Roman"/>
        </w:rPr>
        <w:t>10</w:t>
      </w:r>
      <w:r>
        <w:rPr>
          <w:rFonts w:hint="eastAsia" w:cs="Times New Roman"/>
        </w:rPr>
        <w:t>月修订）；</w:t>
      </w:r>
    </w:p>
    <w:p>
      <w:pPr>
        <w:ind w:firstLine="560"/>
        <w:rPr>
          <w:rFonts w:cs="Times New Roman"/>
        </w:rPr>
      </w:pPr>
      <w:r>
        <w:rPr>
          <w:rFonts w:hint="eastAsia" w:cs="Times New Roman"/>
        </w:rPr>
        <w:t>（</w:t>
      </w:r>
      <w:r>
        <w:rPr>
          <w:rFonts w:cs="Times New Roman"/>
        </w:rPr>
        <w:t>7</w:t>
      </w:r>
      <w:r>
        <w:rPr>
          <w:rFonts w:hint="eastAsia" w:cs="Times New Roman"/>
        </w:rPr>
        <w:t>）《中华人民共和国企业所得税法实施条例》（</w:t>
      </w:r>
      <w:r>
        <w:rPr>
          <w:rFonts w:cs="Times New Roman"/>
        </w:rPr>
        <w:t>2007</w:t>
      </w:r>
      <w:r>
        <w:rPr>
          <w:rFonts w:hint="eastAsia" w:cs="Times New Roman"/>
        </w:rPr>
        <w:t>年</w:t>
      </w:r>
      <w:r>
        <w:rPr>
          <w:rFonts w:cs="Times New Roman"/>
        </w:rPr>
        <w:t>12</w:t>
      </w:r>
      <w:r>
        <w:rPr>
          <w:rFonts w:hint="eastAsia" w:cs="Times New Roman"/>
        </w:rPr>
        <w:t>月）；</w:t>
      </w:r>
    </w:p>
    <w:p>
      <w:pPr>
        <w:ind w:firstLine="560"/>
        <w:rPr>
          <w:rFonts w:cs="Times New Roman"/>
        </w:rPr>
      </w:pPr>
      <w:r>
        <w:rPr>
          <w:rFonts w:hint="eastAsia" w:cs="Times New Roman"/>
        </w:rPr>
        <w:t>（</w:t>
      </w:r>
      <w:r>
        <w:rPr>
          <w:rFonts w:cs="Times New Roman"/>
        </w:rPr>
        <w:t>8</w:t>
      </w:r>
      <w:r>
        <w:rPr>
          <w:rFonts w:hint="eastAsia" w:cs="Times New Roman"/>
        </w:rPr>
        <w:t>）《政府投资条例》（</w:t>
      </w:r>
      <w:r>
        <w:rPr>
          <w:rFonts w:cs="Times New Roman"/>
        </w:rPr>
        <w:t>2019</w:t>
      </w:r>
      <w:r>
        <w:rPr>
          <w:rFonts w:hint="eastAsia" w:cs="Times New Roman"/>
        </w:rPr>
        <w:t>年</w:t>
      </w:r>
      <w:r>
        <w:rPr>
          <w:rFonts w:cs="Times New Roman"/>
        </w:rPr>
        <w:t>5</w:t>
      </w:r>
      <w:r>
        <w:rPr>
          <w:rFonts w:hint="eastAsia" w:cs="Times New Roman"/>
        </w:rPr>
        <w:t>月国务院令第</w:t>
      </w:r>
      <w:r>
        <w:rPr>
          <w:rFonts w:cs="Times New Roman"/>
        </w:rPr>
        <w:t>712</w:t>
      </w:r>
      <w:r>
        <w:rPr>
          <w:rFonts w:hint="eastAsia" w:cs="Times New Roman"/>
        </w:rPr>
        <w:t>号）；</w:t>
      </w:r>
    </w:p>
    <w:p>
      <w:pPr>
        <w:ind w:firstLine="560"/>
        <w:rPr>
          <w:rFonts w:cs="Times New Roman"/>
        </w:rPr>
      </w:pPr>
      <w:r>
        <w:rPr>
          <w:rFonts w:hint="eastAsia" w:cs="Times New Roman"/>
        </w:rPr>
        <w:t>（</w:t>
      </w:r>
      <w:r>
        <w:rPr>
          <w:rFonts w:cs="Times New Roman"/>
        </w:rPr>
        <w:t>9</w:t>
      </w:r>
      <w:r>
        <w:rPr>
          <w:rFonts w:hint="eastAsia" w:cs="Times New Roman"/>
        </w:rPr>
        <w:t>）《中华人民共和国招标投标法实施条例》（</w:t>
      </w:r>
      <w:r>
        <w:rPr>
          <w:rFonts w:cs="Times New Roman"/>
        </w:rPr>
        <w:t>2019</w:t>
      </w:r>
      <w:r>
        <w:rPr>
          <w:rFonts w:hint="eastAsia" w:cs="Times New Roman"/>
        </w:rPr>
        <w:t>年</w:t>
      </w:r>
      <w:r>
        <w:rPr>
          <w:rFonts w:cs="Times New Roman"/>
        </w:rPr>
        <w:t>3</w:t>
      </w:r>
      <w:r>
        <w:rPr>
          <w:rFonts w:hint="eastAsia" w:cs="Times New Roman"/>
        </w:rPr>
        <w:t>月修订）；</w:t>
      </w:r>
    </w:p>
    <w:p>
      <w:pPr>
        <w:ind w:firstLine="560"/>
        <w:rPr>
          <w:rFonts w:cs="Times New Roman"/>
        </w:rPr>
      </w:pPr>
      <w:r>
        <w:rPr>
          <w:rFonts w:hint="eastAsia" w:cs="Times New Roman"/>
        </w:rPr>
        <w:t>（</w:t>
      </w:r>
      <w:r>
        <w:rPr>
          <w:rFonts w:cs="Times New Roman"/>
        </w:rPr>
        <w:t>10</w:t>
      </w:r>
      <w:r>
        <w:rPr>
          <w:rFonts w:hint="eastAsia" w:cs="Times New Roman"/>
        </w:rPr>
        <w:t>）《中华人民共和国政府采购法实施条例》（</w:t>
      </w:r>
      <w:r>
        <w:rPr>
          <w:rFonts w:cs="Times New Roman"/>
        </w:rPr>
        <w:t>2015</w:t>
      </w:r>
      <w:r>
        <w:rPr>
          <w:rFonts w:hint="eastAsia" w:cs="Times New Roman"/>
        </w:rPr>
        <w:t>年</w:t>
      </w:r>
      <w:r>
        <w:rPr>
          <w:rFonts w:cs="Times New Roman"/>
        </w:rPr>
        <w:t>1</w:t>
      </w:r>
      <w:r>
        <w:rPr>
          <w:rFonts w:hint="eastAsia" w:cs="Times New Roman"/>
        </w:rPr>
        <w:t>月）；</w:t>
      </w:r>
    </w:p>
    <w:p>
      <w:pPr>
        <w:ind w:firstLine="560"/>
        <w:rPr>
          <w:rFonts w:cs="Times New Roman"/>
        </w:rPr>
      </w:pPr>
      <w:r>
        <w:rPr>
          <w:rFonts w:hint="eastAsia" w:cs="Times New Roman"/>
        </w:rPr>
        <w:t>（</w:t>
      </w:r>
      <w:r>
        <w:rPr>
          <w:rFonts w:cs="Times New Roman"/>
        </w:rPr>
        <w:t>11</w:t>
      </w:r>
      <w:r>
        <w:rPr>
          <w:rFonts w:hint="eastAsia" w:cs="Times New Roman"/>
        </w:rPr>
        <w:t>）其他相关法律、法规。</w:t>
      </w:r>
    </w:p>
    <w:p>
      <w:pPr>
        <w:pStyle w:val="4"/>
        <w:ind w:firstLine="562"/>
        <w:rPr>
          <w:rFonts w:cs="Times New Roman"/>
        </w:rPr>
      </w:pPr>
      <w:r>
        <w:rPr>
          <w:rFonts w:hint="eastAsia" w:cs="Times New Roman"/>
        </w:rPr>
        <w:t>（二）</w:t>
      </w:r>
      <w:r>
        <w:rPr>
          <w:rFonts w:hint="eastAsia"/>
        </w:rPr>
        <w:t>特许经营相关政策</w:t>
      </w:r>
    </w:p>
    <w:p>
      <w:pPr>
        <w:ind w:firstLine="560"/>
        <w:rPr>
          <w:rFonts w:cs="Times New Roman"/>
        </w:rPr>
      </w:pPr>
      <w:r>
        <w:rPr>
          <w:rFonts w:hint="eastAsia" w:cs="Times New Roman"/>
        </w:rPr>
        <w:t>（1）《国务院关于创新重点领域投融资机制鼓励社会投资的指导意见》（国发〔2014〕60号）；</w:t>
      </w:r>
    </w:p>
    <w:p>
      <w:pPr>
        <w:ind w:firstLine="560"/>
        <w:rPr>
          <w:rFonts w:cs="Times New Roman"/>
        </w:rPr>
      </w:pPr>
      <w:r>
        <w:rPr>
          <w:rFonts w:hint="eastAsia" w:cs="Times New Roman"/>
        </w:rPr>
        <w:t>（2）《基础设施和公用事业特许经营管理办法》（中华人民共和国国家发展和改革委员会、中华人民共和国财政部、中华人民共和国住房和城乡建设部、中华人民共和国交通运输部、中华人民共和国水利部中国人民银行令〔2015〕第25号）；</w:t>
      </w:r>
    </w:p>
    <w:p>
      <w:pPr>
        <w:ind w:firstLine="560"/>
        <w:rPr>
          <w:rFonts w:cs="Times New Roman"/>
        </w:rPr>
      </w:pPr>
      <w:r>
        <w:rPr>
          <w:rFonts w:hint="eastAsia" w:cs="Times New Roman"/>
        </w:rPr>
        <w:t>（3）《国务院关于调整固定资产投资项目资本金比例的通知》（国发〔2009〕27号）；</w:t>
      </w:r>
    </w:p>
    <w:p>
      <w:pPr>
        <w:ind w:firstLine="560"/>
        <w:rPr>
          <w:rFonts w:cs="Times New Roman"/>
        </w:rPr>
      </w:pPr>
      <w:r>
        <w:rPr>
          <w:rFonts w:hint="eastAsia" w:cs="Times New Roman"/>
        </w:rPr>
        <w:t>（4）《国务院关于调整和完善固定资产投资项目资本金制度的通知》（国发〔2015〕51号文）；</w:t>
      </w:r>
    </w:p>
    <w:p>
      <w:pPr>
        <w:ind w:firstLine="560"/>
        <w:rPr>
          <w:rFonts w:cs="Times New Roman"/>
        </w:rPr>
      </w:pPr>
      <w:r>
        <w:rPr>
          <w:rFonts w:hint="eastAsia" w:cs="Times New Roman"/>
        </w:rPr>
        <w:t>（</w:t>
      </w:r>
      <w:r>
        <w:rPr>
          <w:rFonts w:cs="Times New Roman"/>
        </w:rPr>
        <w:t>5</w:t>
      </w:r>
      <w:r>
        <w:rPr>
          <w:rFonts w:hint="eastAsia" w:cs="Times New Roman"/>
        </w:rPr>
        <w:t>）《国务院关于加强固定资产投资项目资本金管理的通知》（国发〔2019〕26号）；</w:t>
      </w:r>
    </w:p>
    <w:p>
      <w:pPr>
        <w:ind w:firstLine="560"/>
        <w:rPr>
          <w:rFonts w:cs="Times New Roman"/>
        </w:rPr>
      </w:pPr>
      <w:r>
        <w:rPr>
          <w:rFonts w:hint="eastAsia" w:cs="Times New Roman"/>
        </w:rPr>
        <w:t>（6）《基本建设财务规则》（财政部令第81号）；</w:t>
      </w:r>
    </w:p>
    <w:p>
      <w:pPr>
        <w:ind w:firstLine="560"/>
        <w:rPr>
          <w:rFonts w:cs="Times New Roman"/>
        </w:rPr>
      </w:pPr>
      <w:r>
        <w:rPr>
          <w:rFonts w:hint="eastAsia" w:cs="Times New Roman"/>
        </w:rPr>
        <w:t>（7）《基本建设项目建设成本管理规定》（财建〔2016〕504号）；</w:t>
      </w:r>
    </w:p>
    <w:p>
      <w:pPr>
        <w:ind w:firstLine="560"/>
        <w:rPr>
          <w:rFonts w:cs="Times New Roman"/>
        </w:rPr>
      </w:pPr>
      <w:r>
        <w:rPr>
          <w:rFonts w:hint="eastAsia" w:cs="Times New Roman"/>
        </w:rPr>
        <w:t>（8）《关于进一步规范地方政府举债融资行为的通知》（财预〔2017〕50号）；</w:t>
      </w:r>
    </w:p>
    <w:p>
      <w:pPr>
        <w:ind w:firstLine="560"/>
        <w:rPr>
          <w:rFonts w:cs="Times New Roman"/>
        </w:rPr>
      </w:pPr>
      <w:r>
        <w:rPr>
          <w:rFonts w:hint="eastAsia" w:cs="Times New Roman"/>
        </w:rPr>
        <w:t>（9）《财政部关于坚决制止地方以政府购买服务名义违法违规融资的通知》（财预〔2017〕87号）；</w:t>
      </w:r>
    </w:p>
    <w:p>
      <w:pPr>
        <w:ind w:firstLine="560"/>
        <w:rPr>
          <w:rFonts w:cs="Times New Roman"/>
        </w:rPr>
      </w:pPr>
      <w:r>
        <w:rPr>
          <w:rFonts w:hint="eastAsia" w:cs="Times New Roman"/>
        </w:rPr>
        <w:t>（</w:t>
      </w:r>
      <w:r>
        <w:rPr>
          <w:rFonts w:cs="Times New Roman"/>
        </w:rPr>
        <w:t>10</w:t>
      </w:r>
      <w:r>
        <w:rPr>
          <w:rFonts w:hint="eastAsia" w:cs="Times New Roman"/>
        </w:rPr>
        <w:t>）《政府和社会资本合作建设重大水利工程操作指南（试行）》的通知（发改农经〔</w:t>
      </w:r>
      <w:r>
        <w:rPr>
          <w:rFonts w:cs="Times New Roman"/>
        </w:rPr>
        <w:t>2017</w:t>
      </w:r>
      <w:r>
        <w:rPr>
          <w:rFonts w:hint="eastAsia" w:cs="Times New Roman"/>
        </w:rPr>
        <w:t>〕</w:t>
      </w:r>
      <w:r>
        <w:rPr>
          <w:rFonts w:cs="Times New Roman"/>
        </w:rPr>
        <w:t>2119</w:t>
      </w:r>
      <w:r>
        <w:rPr>
          <w:rFonts w:hint="eastAsia" w:cs="Times New Roman"/>
        </w:rPr>
        <w:t>号）；</w:t>
      </w:r>
    </w:p>
    <w:p>
      <w:pPr>
        <w:ind w:firstLine="560"/>
        <w:rPr>
          <w:rFonts w:cs="Times New Roman"/>
        </w:rPr>
      </w:pPr>
      <w:r>
        <w:rPr>
          <w:rFonts w:hint="eastAsia" w:cs="Times New Roman"/>
        </w:rPr>
        <w:t>（1</w:t>
      </w:r>
      <w:r>
        <w:rPr>
          <w:rFonts w:cs="Times New Roman"/>
        </w:rPr>
        <w:t>1</w:t>
      </w:r>
      <w:r>
        <w:rPr>
          <w:rFonts w:hint="eastAsia" w:cs="Times New Roman"/>
        </w:rPr>
        <w:t>）《关于规范金融企业对地方政府和国有企业投融资行为有关问题的通知》（财金〔2018〕23号）；</w:t>
      </w:r>
    </w:p>
    <w:p>
      <w:pPr>
        <w:ind w:firstLine="560"/>
        <w:rPr>
          <w:rFonts w:cs="Times New Roman"/>
        </w:rPr>
      </w:pPr>
      <w:r>
        <w:rPr>
          <w:rFonts w:hint="eastAsia" w:cs="Times New Roman"/>
        </w:rPr>
        <w:t>（12）《财政部关于进一步推动政府和社会资本合作（PPP）规范发展、阳光运行的通知》（财金〔2022〕119号）；</w:t>
      </w:r>
    </w:p>
    <w:p>
      <w:pPr>
        <w:ind w:firstLine="560"/>
        <w:rPr>
          <w:rFonts w:hint="eastAsia" w:cs="Times New Roman"/>
        </w:rPr>
      </w:pPr>
      <w:r>
        <w:rPr>
          <w:rFonts w:cs="Times New Roman"/>
        </w:rPr>
        <w:t>（</w:t>
      </w:r>
      <w:r>
        <w:rPr>
          <w:rFonts w:hint="eastAsia" w:cs="Times New Roman"/>
        </w:rPr>
        <w:t>1</w:t>
      </w:r>
      <w:r>
        <w:rPr>
          <w:rFonts w:cs="Times New Roman"/>
        </w:rPr>
        <w:t>3）《</w:t>
      </w:r>
      <w:r>
        <w:rPr>
          <w:rFonts w:hint="eastAsia" w:cs="Times New Roman"/>
        </w:rPr>
        <w:t>农业农村部关于推进高标准农田改造提升的指导意见</w:t>
      </w:r>
      <w:r>
        <w:rPr>
          <w:rFonts w:cs="Times New Roman"/>
        </w:rPr>
        <w:t>》</w:t>
      </w:r>
      <w:r>
        <w:rPr>
          <w:rFonts w:hint="eastAsia"/>
        </w:rPr>
        <w:t>（农建发〔2022〕5号）。</w:t>
      </w:r>
    </w:p>
    <w:p>
      <w:pPr>
        <w:pStyle w:val="4"/>
        <w:ind w:firstLine="562"/>
        <w:rPr>
          <w:rFonts w:cs="Times New Roman"/>
        </w:rPr>
      </w:pPr>
      <w:r>
        <w:rPr>
          <w:rFonts w:hint="eastAsia" w:cs="Times New Roman"/>
        </w:rPr>
        <w:t>（三）水利行业的相关政策</w:t>
      </w:r>
    </w:p>
    <w:p>
      <w:pPr>
        <w:ind w:firstLine="560"/>
        <w:rPr>
          <w:rFonts w:cs="Times New Roman"/>
        </w:rPr>
      </w:pPr>
      <w:r>
        <w:rPr>
          <w:rFonts w:hint="eastAsia" w:cs="Times New Roman"/>
        </w:rPr>
        <w:t>（1）《水利工程建设项目管理规定（试行）》（2016年修正）；</w:t>
      </w:r>
    </w:p>
    <w:p>
      <w:pPr>
        <w:ind w:firstLine="560"/>
        <w:rPr>
          <w:rFonts w:cs="Times New Roman"/>
        </w:rPr>
      </w:pPr>
      <w:r>
        <w:rPr>
          <w:rFonts w:hint="eastAsia" w:cs="Times New Roman"/>
        </w:rPr>
        <w:t>（2）《水利工程供水价格管理办法》（国家发展和改革委员会、水利部4号令）；</w:t>
      </w:r>
    </w:p>
    <w:p>
      <w:pPr>
        <w:ind w:firstLine="560"/>
        <w:rPr>
          <w:rFonts w:cs="Times New Roman"/>
        </w:rPr>
      </w:pPr>
      <w:r>
        <w:rPr>
          <w:rFonts w:hint="eastAsia" w:cs="Times New Roman"/>
        </w:rPr>
        <w:t>（</w:t>
      </w:r>
      <w:r>
        <w:rPr>
          <w:rFonts w:cs="Times New Roman"/>
        </w:rPr>
        <w:t>3</w:t>
      </w:r>
      <w:r>
        <w:rPr>
          <w:rFonts w:hint="eastAsia" w:cs="Times New Roman"/>
        </w:rPr>
        <w:t>）《水利工程质量管理规定》（水利部7号令，2017年修正）；</w:t>
      </w:r>
    </w:p>
    <w:p>
      <w:pPr>
        <w:ind w:firstLine="560"/>
        <w:rPr>
          <w:rFonts w:cs="Times New Roman"/>
        </w:rPr>
      </w:pPr>
      <w:r>
        <w:rPr>
          <w:rFonts w:hint="eastAsia" w:cs="Times New Roman"/>
        </w:rPr>
        <w:t>（4）《水行政处罚实施办法》（水利部8号令）；</w:t>
      </w:r>
    </w:p>
    <w:p>
      <w:pPr>
        <w:ind w:firstLine="560"/>
        <w:rPr>
          <w:rFonts w:cs="Times New Roman"/>
        </w:rPr>
      </w:pPr>
      <w:r>
        <w:rPr>
          <w:rFonts w:hint="eastAsia" w:cs="Times New Roman"/>
        </w:rPr>
        <w:t>（5）《水利工程质量事故处理暂行规定》（水利部9号令）；</w:t>
      </w:r>
    </w:p>
    <w:p>
      <w:pPr>
        <w:ind w:firstLine="560"/>
        <w:rPr>
          <w:rFonts w:cs="Times New Roman"/>
        </w:rPr>
      </w:pPr>
      <w:r>
        <w:rPr>
          <w:rFonts w:hint="eastAsia" w:cs="Times New Roman"/>
        </w:rPr>
        <w:t>（6）《水利基本建设项目稽察暂行办法》（水利部11号令）；</w:t>
      </w:r>
    </w:p>
    <w:p>
      <w:pPr>
        <w:ind w:firstLine="560"/>
        <w:rPr>
          <w:rFonts w:cs="Times New Roman"/>
        </w:rPr>
      </w:pPr>
      <w:r>
        <w:rPr>
          <w:rFonts w:hint="eastAsia" w:cs="Times New Roman"/>
        </w:rPr>
        <w:t>（7）《水土保持生态环境监测网络管理办法》（水利部12号令，2014年修正）；</w:t>
      </w:r>
    </w:p>
    <w:p>
      <w:pPr>
        <w:ind w:firstLine="560"/>
        <w:rPr>
          <w:rFonts w:cs="Times New Roman"/>
        </w:rPr>
      </w:pPr>
      <w:r>
        <w:rPr>
          <w:rFonts w:hint="eastAsia" w:cs="Times New Roman"/>
        </w:rPr>
        <w:t>（8）《水政监察工作章程》（水利部13号令，2004年修正）；</w:t>
      </w:r>
    </w:p>
    <w:p>
      <w:pPr>
        <w:ind w:firstLine="560"/>
        <w:rPr>
          <w:rFonts w:cs="Times New Roman"/>
        </w:rPr>
      </w:pPr>
      <w:r>
        <w:rPr>
          <w:rFonts w:hint="eastAsia" w:cs="Times New Roman"/>
        </w:rPr>
        <w:t>（9）《水利工程建设项目招标投标管理规定》（水利部14号令）；</w:t>
      </w:r>
    </w:p>
    <w:p>
      <w:pPr>
        <w:ind w:firstLine="560"/>
        <w:rPr>
          <w:rFonts w:cs="Times New Roman"/>
        </w:rPr>
      </w:pPr>
      <w:r>
        <w:rPr>
          <w:rFonts w:hint="eastAsia" w:cs="Times New Roman"/>
        </w:rPr>
        <w:t>（1</w:t>
      </w:r>
      <w:r>
        <w:rPr>
          <w:rFonts w:cs="Times New Roman"/>
        </w:rPr>
        <w:t>0</w:t>
      </w:r>
      <w:r>
        <w:rPr>
          <w:rFonts w:hint="eastAsia" w:cs="Times New Roman"/>
        </w:rPr>
        <w:t>）《水行政许可实施办法》（水利部23号令）；</w:t>
      </w:r>
    </w:p>
    <w:p>
      <w:pPr>
        <w:ind w:firstLine="560"/>
        <w:rPr>
          <w:rFonts w:cs="Times New Roman"/>
        </w:rPr>
      </w:pPr>
      <w:r>
        <w:rPr>
          <w:rFonts w:hint="eastAsia" w:cs="Times New Roman"/>
        </w:rPr>
        <w:t>（1</w:t>
      </w:r>
      <w:r>
        <w:rPr>
          <w:rFonts w:cs="Times New Roman"/>
        </w:rPr>
        <w:t>1</w:t>
      </w:r>
      <w:r>
        <w:rPr>
          <w:rFonts w:hint="eastAsia" w:cs="Times New Roman"/>
        </w:rPr>
        <w:t>）《国家发展改革委、水利部关于印发&lt;水利工程供水定价成本监审办法（试行）&gt;的通知》（发改价格〔2006〕310号）；</w:t>
      </w:r>
    </w:p>
    <w:p>
      <w:pPr>
        <w:ind w:firstLine="560"/>
        <w:rPr>
          <w:rFonts w:cs="Times New Roman"/>
        </w:rPr>
      </w:pPr>
      <w:r>
        <w:rPr>
          <w:rFonts w:hint="eastAsia" w:cs="Times New Roman"/>
        </w:rPr>
        <w:t>（1</w:t>
      </w:r>
      <w:r>
        <w:rPr>
          <w:rFonts w:cs="Times New Roman"/>
        </w:rPr>
        <w:t>2</w:t>
      </w:r>
      <w:r>
        <w:rPr>
          <w:rFonts w:hint="eastAsia" w:cs="Times New Roman"/>
        </w:rPr>
        <w:t>）《水利工程建设安全生产管理规定》（水利部26号令，2017年修正）；</w:t>
      </w:r>
    </w:p>
    <w:p>
      <w:pPr>
        <w:ind w:firstLine="560"/>
        <w:rPr>
          <w:rFonts w:cs="Times New Roman"/>
        </w:rPr>
      </w:pPr>
      <w:r>
        <w:rPr>
          <w:rFonts w:hint="eastAsia" w:cs="Times New Roman"/>
        </w:rPr>
        <w:t>（1</w:t>
      </w:r>
      <w:r>
        <w:rPr>
          <w:rFonts w:cs="Times New Roman"/>
        </w:rPr>
        <w:t>3</w:t>
      </w:r>
      <w:r>
        <w:rPr>
          <w:rFonts w:hint="eastAsia" w:cs="Times New Roman"/>
        </w:rPr>
        <w:t>）《水利工程建设监理规定》（水利部28号令，2017年修正）；</w:t>
      </w:r>
    </w:p>
    <w:p>
      <w:pPr>
        <w:ind w:firstLine="560"/>
        <w:rPr>
          <w:rFonts w:cs="Times New Roman"/>
        </w:rPr>
      </w:pPr>
      <w:r>
        <w:rPr>
          <w:rFonts w:hint="eastAsia" w:cs="Times New Roman"/>
        </w:rPr>
        <w:t>（1</w:t>
      </w:r>
      <w:r>
        <w:rPr>
          <w:rFonts w:cs="Times New Roman"/>
        </w:rPr>
        <w:t>4</w:t>
      </w:r>
      <w:r>
        <w:rPr>
          <w:rFonts w:hint="eastAsia" w:cs="Times New Roman"/>
        </w:rPr>
        <w:t>）《水利工程建设项目验收管理规定》（水利部30号令，2017年修正）；</w:t>
      </w:r>
    </w:p>
    <w:p>
      <w:pPr>
        <w:ind w:firstLine="560"/>
        <w:rPr>
          <w:rFonts w:cs="Times New Roman"/>
        </w:rPr>
      </w:pPr>
      <w:r>
        <w:rPr>
          <w:rFonts w:hint="eastAsia" w:cs="Times New Roman"/>
        </w:rPr>
        <w:t>（1</w:t>
      </w:r>
      <w:r>
        <w:rPr>
          <w:rFonts w:cs="Times New Roman"/>
        </w:rPr>
        <w:t>5</w:t>
      </w:r>
      <w:r>
        <w:rPr>
          <w:rFonts w:hint="eastAsia" w:cs="Times New Roman"/>
        </w:rPr>
        <w:t>）《水利工程质量检测管理规定》（水利部36号令，2017年修正）；</w:t>
      </w:r>
    </w:p>
    <w:p>
      <w:pPr>
        <w:ind w:firstLine="560"/>
        <w:rPr>
          <w:rFonts w:cs="Times New Roman"/>
        </w:rPr>
      </w:pPr>
      <w:r>
        <w:rPr>
          <w:rFonts w:hint="eastAsia" w:cs="Times New Roman"/>
        </w:rPr>
        <w:t>（</w:t>
      </w:r>
      <w:r>
        <w:rPr>
          <w:rFonts w:cs="Times New Roman"/>
        </w:rPr>
        <w:t>16</w:t>
      </w:r>
      <w:r>
        <w:rPr>
          <w:rFonts w:hint="eastAsia" w:cs="Times New Roman"/>
        </w:rPr>
        <w:t>）《水利部关于印发</w:t>
      </w:r>
      <w:r>
        <w:rPr>
          <w:rFonts w:cs="Times New Roman"/>
        </w:rPr>
        <w:t>&lt;</w:t>
      </w:r>
      <w:r>
        <w:rPr>
          <w:rFonts w:hint="eastAsia" w:cs="Times New Roman"/>
        </w:rPr>
        <w:t>中央水利投资计划执行考核办法</w:t>
      </w:r>
      <w:r>
        <w:rPr>
          <w:rFonts w:cs="Times New Roman"/>
        </w:rPr>
        <w:t>&gt;</w:t>
      </w:r>
      <w:r>
        <w:rPr>
          <w:rFonts w:hint="eastAsia" w:cs="Times New Roman"/>
        </w:rPr>
        <w:t>的通知》（水规计〔</w:t>
      </w:r>
      <w:r>
        <w:rPr>
          <w:rFonts w:cs="Times New Roman"/>
        </w:rPr>
        <w:t>2017</w:t>
      </w:r>
      <w:r>
        <w:rPr>
          <w:rFonts w:hint="eastAsia" w:cs="Times New Roman"/>
        </w:rPr>
        <w:t>〕</w:t>
      </w:r>
      <w:r>
        <w:rPr>
          <w:rFonts w:cs="Times New Roman"/>
        </w:rPr>
        <w:t>402</w:t>
      </w:r>
      <w:r>
        <w:rPr>
          <w:rFonts w:hint="eastAsia" w:cs="Times New Roman"/>
        </w:rPr>
        <w:t>号）；</w:t>
      </w:r>
    </w:p>
    <w:p>
      <w:pPr>
        <w:ind w:firstLine="560"/>
        <w:rPr>
          <w:rFonts w:cs="Times New Roman"/>
        </w:rPr>
      </w:pPr>
      <w:r>
        <w:rPr>
          <w:rFonts w:hint="eastAsia" w:cs="Times New Roman"/>
        </w:rPr>
        <w:t>（1</w:t>
      </w:r>
      <w:r>
        <w:rPr>
          <w:rFonts w:cs="Times New Roman"/>
        </w:rPr>
        <w:t>7</w:t>
      </w:r>
      <w:r>
        <w:rPr>
          <w:rFonts w:hint="eastAsia" w:cs="Times New Roman"/>
        </w:rPr>
        <w:t>）《水利工程建设程序管理暂行规定》（2019修正）</w:t>
      </w:r>
    </w:p>
    <w:p>
      <w:pPr>
        <w:ind w:firstLine="560"/>
        <w:rPr>
          <w:rFonts w:cs="Times New Roman"/>
        </w:rPr>
      </w:pPr>
      <w:r>
        <w:rPr>
          <w:rFonts w:hint="eastAsia" w:cs="Times New Roman"/>
        </w:rPr>
        <w:t>（1</w:t>
      </w:r>
      <w:r>
        <w:rPr>
          <w:rFonts w:cs="Times New Roman"/>
        </w:rPr>
        <w:t>8</w:t>
      </w:r>
      <w:r>
        <w:rPr>
          <w:rFonts w:hint="eastAsia" w:cs="Times New Roman"/>
        </w:rPr>
        <w:t>）《关于印发水利发展资金管理办法的通知》（财农〔2019〕54号）；</w:t>
      </w:r>
    </w:p>
    <w:p>
      <w:pPr>
        <w:ind w:firstLine="560"/>
        <w:rPr>
          <w:rFonts w:cs="Times New Roman"/>
        </w:rPr>
      </w:pPr>
      <w:r>
        <w:rPr>
          <w:rFonts w:hint="eastAsia" w:cs="Times New Roman"/>
        </w:rPr>
        <w:t>（1</w:t>
      </w:r>
      <w:r>
        <w:rPr>
          <w:rFonts w:cs="Times New Roman"/>
        </w:rPr>
        <w:t>9</w:t>
      </w:r>
      <w:r>
        <w:rPr>
          <w:rFonts w:hint="eastAsia" w:cs="Times New Roman"/>
        </w:rPr>
        <w:t>）《关于印发国家节水行动方案的通知》（发改资环规〔2019〕754号）；</w:t>
      </w:r>
    </w:p>
    <w:p>
      <w:pPr>
        <w:ind w:firstLine="560"/>
        <w:rPr>
          <w:rFonts w:cs="Times New Roman"/>
        </w:rPr>
      </w:pPr>
      <w:r>
        <w:rPr>
          <w:rFonts w:hint="eastAsia" w:cs="Times New Roman"/>
        </w:rPr>
        <w:t>（2</w:t>
      </w:r>
      <w:r>
        <w:rPr>
          <w:rFonts w:cs="Times New Roman"/>
        </w:rPr>
        <w:t>0</w:t>
      </w:r>
      <w:r>
        <w:rPr>
          <w:rFonts w:hint="eastAsia" w:cs="Times New Roman"/>
        </w:rPr>
        <w:t>）《关于印发水利领域相关中央预算内投资专项管理办法的通知》（发改农经规〔2021〕1880号）；</w:t>
      </w:r>
    </w:p>
    <w:p>
      <w:pPr>
        <w:ind w:firstLine="560"/>
        <w:rPr>
          <w:rFonts w:cs="Times New Roman"/>
        </w:rPr>
      </w:pPr>
      <w:r>
        <w:rPr>
          <w:rFonts w:hint="eastAsia" w:cs="Times New Roman"/>
        </w:rPr>
        <w:t>（2</w:t>
      </w:r>
      <w:r>
        <w:rPr>
          <w:rFonts w:cs="Times New Roman"/>
        </w:rPr>
        <w:t>1</w:t>
      </w:r>
      <w:r>
        <w:rPr>
          <w:rFonts w:hint="eastAsia" w:cs="Times New Roman"/>
        </w:rPr>
        <w:t>）《关于印发“十四五”节水型社会建设规划的通知》（发改环资〔2021〕1516号）；</w:t>
      </w:r>
    </w:p>
    <w:p>
      <w:pPr>
        <w:ind w:firstLine="560"/>
        <w:rPr>
          <w:rFonts w:cs="Times New Roman"/>
        </w:rPr>
      </w:pPr>
      <w:r>
        <w:rPr>
          <w:rFonts w:hint="eastAsia" w:cs="Times New Roman"/>
        </w:rPr>
        <w:t>（2</w:t>
      </w:r>
      <w:r>
        <w:rPr>
          <w:rFonts w:cs="Times New Roman"/>
        </w:rPr>
        <w:t>2</w:t>
      </w:r>
      <w:r>
        <w:rPr>
          <w:rFonts w:hint="eastAsia" w:cs="Times New Roman"/>
        </w:rPr>
        <w:t>）《关于推进水利基础设施政府和社会资本合作（PPP）模式发展的指导意见》(水规计〔2022〕239号)；</w:t>
      </w:r>
    </w:p>
    <w:p>
      <w:pPr>
        <w:ind w:firstLine="560"/>
        <w:rPr>
          <w:rFonts w:cs="Times New Roman"/>
        </w:rPr>
      </w:pPr>
      <w:r>
        <w:rPr>
          <w:rFonts w:hint="eastAsia" w:cs="Times New Roman"/>
        </w:rPr>
        <w:t>（2</w:t>
      </w:r>
      <w:r>
        <w:rPr>
          <w:rFonts w:cs="Times New Roman"/>
        </w:rPr>
        <w:t>3</w:t>
      </w:r>
      <w:r>
        <w:rPr>
          <w:rFonts w:hint="eastAsia" w:cs="Times New Roman"/>
        </w:rPr>
        <w:t>）《大型灌区续建配套与现代化改造项目建设管理办法的通知》(办农水〔2022〕275号)；</w:t>
      </w:r>
    </w:p>
    <w:p>
      <w:pPr>
        <w:ind w:firstLine="560"/>
        <w:rPr>
          <w:rFonts w:cs="Times New Roman"/>
        </w:rPr>
      </w:pPr>
      <w:r>
        <w:rPr>
          <w:rFonts w:cs="Times New Roman"/>
        </w:rPr>
        <w:t>（24）《</w:t>
      </w:r>
      <w:r>
        <w:rPr>
          <w:rFonts w:hint="eastAsia" w:cs="Times New Roman"/>
        </w:rPr>
        <w:t>发展改革委、水利部、住房城乡建设部、工业和信息化部、农业农村部、自然资源部、生态环境部联合印发&lt;关于进一步加强水资源节约集约利用的意见&gt;（发改环资〔2023〕1193号）</w:t>
      </w:r>
      <w:r>
        <w:rPr>
          <w:rFonts w:cs="Times New Roman"/>
        </w:rPr>
        <w:t>；</w:t>
      </w:r>
    </w:p>
    <w:p>
      <w:pPr>
        <w:ind w:firstLine="560"/>
        <w:rPr>
          <w:rFonts w:hint="eastAsia" w:cs="Times New Roman"/>
        </w:rPr>
      </w:pPr>
      <w:r>
        <w:rPr>
          <w:rFonts w:cs="Times New Roman"/>
        </w:rPr>
        <w:t>（</w:t>
      </w:r>
      <w:r>
        <w:rPr>
          <w:rFonts w:hint="eastAsia" w:cs="Times New Roman"/>
        </w:rPr>
        <w:t>2</w:t>
      </w:r>
      <w:r>
        <w:rPr>
          <w:rFonts w:cs="Times New Roman"/>
        </w:rPr>
        <w:t>5）《</w:t>
      </w:r>
      <w:r>
        <w:rPr>
          <w:rFonts w:hint="eastAsia" w:cs="Times New Roman"/>
        </w:rPr>
        <w:t>农业农村部办公厅关于印发&lt;社会资本投资农业农村指引&gt;的通知</w:t>
      </w:r>
      <w:r>
        <w:rPr>
          <w:rFonts w:cs="Times New Roman"/>
        </w:rPr>
        <w:t>》</w:t>
      </w:r>
      <w:r>
        <w:rPr>
          <w:rFonts w:hint="eastAsia" w:cs="Times New Roman"/>
        </w:rPr>
        <w:t>（农办计财〔2020〕11号）。</w:t>
      </w:r>
    </w:p>
    <w:p>
      <w:pPr>
        <w:pStyle w:val="4"/>
        <w:ind w:firstLine="562"/>
        <w:rPr>
          <w:rFonts w:cs="Times New Roman"/>
        </w:rPr>
      </w:pPr>
      <w:r>
        <w:rPr>
          <w:rFonts w:hint="eastAsia" w:cs="Times New Roman"/>
        </w:rPr>
        <w:t>（四）地方政府规章、规范性文件</w:t>
      </w:r>
    </w:p>
    <w:p>
      <w:pPr>
        <w:ind w:firstLine="560"/>
        <w:rPr>
          <w:rFonts w:cs="Times New Roman"/>
        </w:rPr>
      </w:pPr>
      <w:r>
        <w:rPr>
          <w:rFonts w:hint="eastAsia" w:cs="Times New Roman"/>
        </w:rPr>
        <w:t>（</w:t>
      </w:r>
      <w:r>
        <w:rPr>
          <w:rFonts w:cs="Times New Roman"/>
        </w:rPr>
        <w:t>1</w:t>
      </w:r>
      <w:r>
        <w:rPr>
          <w:rFonts w:hint="eastAsia" w:cs="Times New Roman"/>
        </w:rPr>
        <w:t>）</w:t>
      </w:r>
      <w:r>
        <w:rPr>
          <w:rFonts w:hint="eastAsia"/>
        </w:rPr>
        <w:t>《宁夏回族自治区国民经济和社会发展第十四个五年规划和2035年远景目标纲要》；</w:t>
      </w:r>
    </w:p>
    <w:p>
      <w:pPr>
        <w:ind w:firstLine="560"/>
        <w:rPr>
          <w:rFonts w:cs="Times New Roman"/>
        </w:rPr>
      </w:pPr>
      <w:r>
        <w:rPr>
          <w:rFonts w:cs="Times New Roman"/>
        </w:rPr>
        <w:t>（</w:t>
      </w:r>
      <w:r>
        <w:rPr>
          <w:rFonts w:hint="eastAsia" w:cs="Times New Roman"/>
        </w:rPr>
        <w:t>2</w:t>
      </w:r>
      <w:r>
        <w:rPr>
          <w:rFonts w:cs="Times New Roman"/>
        </w:rPr>
        <w:t>）</w:t>
      </w:r>
      <w:r>
        <w:rPr>
          <w:rFonts w:hint="eastAsia" w:cs="Times New Roman"/>
        </w:rPr>
        <w:t>自治区水利厅审定上报自治区政府的《宁夏水安全保障“十四五”规划》；</w:t>
      </w:r>
    </w:p>
    <w:p>
      <w:pPr>
        <w:ind w:firstLine="560"/>
        <w:rPr>
          <w:rFonts w:cs="Times New Roman"/>
        </w:rPr>
      </w:pPr>
      <w:r>
        <w:rPr>
          <w:rFonts w:hint="eastAsia" w:cs="Times New Roman"/>
        </w:rPr>
        <w:t>（3）《关于加快规范推进政府和社会资本合作模式促进经济高质量发展的若干措施的通知》（宁政办规发〔</w:t>
      </w:r>
      <w:r>
        <w:rPr>
          <w:rFonts w:cs="Times New Roman"/>
        </w:rPr>
        <w:t>2020</w:t>
      </w:r>
      <w:r>
        <w:rPr>
          <w:rFonts w:hint="eastAsia" w:cs="Times New Roman"/>
        </w:rPr>
        <w:t>〕</w:t>
      </w:r>
      <w:r>
        <w:rPr>
          <w:rFonts w:cs="Times New Roman"/>
        </w:rPr>
        <w:t>17</w:t>
      </w:r>
      <w:r>
        <w:rPr>
          <w:rFonts w:hint="eastAsia" w:cs="Times New Roman"/>
        </w:rPr>
        <w:t>号）；</w:t>
      </w:r>
    </w:p>
    <w:p>
      <w:pPr>
        <w:ind w:firstLine="560"/>
        <w:rPr>
          <w:rFonts w:cs="Times New Roman"/>
        </w:rPr>
      </w:pPr>
      <w:r>
        <w:rPr>
          <w:rFonts w:hint="eastAsia" w:cs="Times New Roman"/>
        </w:rPr>
        <w:t>（</w:t>
      </w:r>
      <w:r>
        <w:rPr>
          <w:rFonts w:cs="Times New Roman"/>
        </w:rPr>
        <w:t>4</w:t>
      </w:r>
      <w:r>
        <w:rPr>
          <w:rFonts w:hint="eastAsia" w:cs="Times New Roman"/>
        </w:rPr>
        <w:t>）《关于印发&lt;宁夏回族自治区用水权市场交易规则&gt;的通知》（宁水规发〔2021〕1号）；</w:t>
      </w:r>
    </w:p>
    <w:p>
      <w:pPr>
        <w:ind w:firstLine="560"/>
        <w:rPr>
          <w:rFonts w:cs="Times New Roman"/>
        </w:rPr>
      </w:pPr>
      <w:r>
        <w:rPr>
          <w:rFonts w:hint="eastAsia" w:cs="Times New Roman"/>
        </w:rPr>
        <w:t>（</w:t>
      </w:r>
      <w:r>
        <w:rPr>
          <w:rFonts w:cs="Times New Roman"/>
        </w:rPr>
        <w:t>5</w:t>
      </w:r>
      <w:r>
        <w:rPr>
          <w:rFonts w:hint="eastAsia" w:cs="Times New Roman"/>
        </w:rPr>
        <w:t>）《关于加快推进高效节水农业发展的实施意见》（宁政办发〔2021〕95号）；</w:t>
      </w:r>
    </w:p>
    <w:p>
      <w:pPr>
        <w:ind w:firstLine="560"/>
        <w:rPr>
          <w:rFonts w:cs="Times New Roman"/>
        </w:rPr>
      </w:pPr>
      <w:r>
        <w:rPr>
          <w:rFonts w:hint="eastAsia" w:cs="Times New Roman"/>
        </w:rPr>
        <w:t>（</w:t>
      </w:r>
      <w:r>
        <w:rPr>
          <w:rFonts w:cs="Times New Roman"/>
        </w:rPr>
        <w:t>6</w:t>
      </w:r>
      <w:r>
        <w:rPr>
          <w:rFonts w:hint="eastAsia" w:cs="Times New Roman"/>
        </w:rPr>
        <w:t>）《关于开展高效节水农业项目竞争评审盖工作的通知》（宁农（建）发〔2022〕</w:t>
      </w:r>
      <w:r>
        <w:rPr>
          <w:rFonts w:cs="Times New Roman"/>
        </w:rPr>
        <w:t>4</w:t>
      </w:r>
      <w:r>
        <w:rPr>
          <w:rFonts w:hint="eastAsia" w:cs="Times New Roman"/>
        </w:rPr>
        <w:t>号）；</w:t>
      </w:r>
    </w:p>
    <w:p>
      <w:pPr>
        <w:ind w:firstLine="560"/>
        <w:rPr>
          <w:rFonts w:cs="Times New Roman"/>
        </w:rPr>
      </w:pPr>
      <w:r>
        <w:rPr>
          <w:rFonts w:hint="eastAsia" w:cs="Times New Roman"/>
        </w:rPr>
        <w:t>（</w:t>
      </w:r>
      <w:r>
        <w:rPr>
          <w:rFonts w:cs="Times New Roman"/>
        </w:rPr>
        <w:t>7</w:t>
      </w:r>
      <w:r>
        <w:rPr>
          <w:rFonts w:hint="eastAsia" w:cs="Times New Roman"/>
        </w:rPr>
        <w:t>）《关于印发&lt;宁夏回族自治区用水权收储交易管理办法&gt;的通知》（宁水规发〔2022〕6号）；</w:t>
      </w:r>
    </w:p>
    <w:p>
      <w:pPr>
        <w:ind w:firstLine="560"/>
        <w:rPr>
          <w:rFonts w:cs="Times New Roman"/>
        </w:rPr>
      </w:pPr>
      <w:r>
        <w:rPr>
          <w:rFonts w:hint="eastAsia" w:cs="Times New Roman"/>
        </w:rPr>
        <w:t>（</w:t>
      </w:r>
      <w:r>
        <w:rPr>
          <w:rFonts w:cs="Times New Roman"/>
        </w:rPr>
        <w:t>8</w:t>
      </w:r>
      <w:r>
        <w:rPr>
          <w:rFonts w:hint="eastAsia" w:cs="Times New Roman"/>
        </w:rPr>
        <w:t>）《关于印发&lt;支持高效节水农业财政政策措施的实施方案&gt;的通知》（宁财（农）发〔2022〕75号）。</w:t>
      </w:r>
    </w:p>
    <w:p>
      <w:pPr>
        <w:pStyle w:val="4"/>
        <w:ind w:firstLine="562"/>
        <w:rPr>
          <w:rFonts w:cs="Times New Roman"/>
        </w:rPr>
      </w:pPr>
      <w:r>
        <w:rPr>
          <w:rFonts w:hint="eastAsia" w:cs="Times New Roman"/>
        </w:rPr>
        <w:t>（五）其他项目文件</w:t>
      </w:r>
    </w:p>
    <w:p>
      <w:pPr>
        <w:ind w:firstLine="560"/>
        <w:rPr>
          <w:rFonts w:cs="Times New Roman"/>
        </w:rPr>
      </w:pPr>
      <w:r>
        <w:rPr>
          <w:rFonts w:hint="eastAsia" w:cs="Times New Roman"/>
        </w:rPr>
        <w:t>（</w:t>
      </w:r>
      <w:r>
        <w:rPr>
          <w:rFonts w:cs="Times New Roman"/>
        </w:rPr>
        <w:t>1</w:t>
      </w:r>
      <w:r>
        <w:rPr>
          <w:rFonts w:hint="eastAsia" w:cs="Times New Roman"/>
        </w:rPr>
        <w:t>）《同心县国民经济和社会发展第十四个五年规划和 2035 远景目标纲要》；</w:t>
      </w:r>
    </w:p>
    <w:p>
      <w:pPr>
        <w:ind w:firstLine="560"/>
        <w:rPr>
          <w:rFonts w:cs="Times New Roman"/>
        </w:rPr>
      </w:pPr>
      <w:r>
        <w:rPr>
          <w:rFonts w:hint="eastAsia" w:cs="Times New Roman"/>
        </w:rPr>
        <w:t>（2）同心县人民政府印发的《同心县水安全保障“十四五”规划》；</w:t>
      </w:r>
    </w:p>
    <w:p>
      <w:pPr>
        <w:ind w:firstLine="560"/>
        <w:rPr>
          <w:rFonts w:cs="Times New Roman"/>
        </w:rPr>
      </w:pPr>
      <w:r>
        <w:rPr>
          <w:rFonts w:hint="eastAsia" w:cs="Times New Roman"/>
        </w:rPr>
        <w:t>（3）同心县人民政府印发的《同心县高标准农田及高效节水灌溉规划》；</w:t>
      </w:r>
    </w:p>
    <w:p>
      <w:pPr>
        <w:ind w:firstLine="560"/>
        <w:rPr>
          <w:rFonts w:cs="Times New Roman"/>
        </w:rPr>
      </w:pPr>
      <w:r>
        <w:rPr>
          <w:rFonts w:cs="Times New Roman"/>
        </w:rPr>
        <w:t>（</w:t>
      </w:r>
      <w:r>
        <w:rPr>
          <w:rFonts w:hint="eastAsia" w:cs="Times New Roman"/>
        </w:rPr>
        <w:t>4</w:t>
      </w:r>
      <w:r>
        <w:rPr>
          <w:rFonts w:cs="Times New Roman"/>
        </w:rPr>
        <w:t>）《</w:t>
      </w:r>
      <w:r>
        <w:rPr>
          <w:rFonts w:hint="eastAsia" w:cs="Times New Roman"/>
        </w:rPr>
        <w:t>同心县高标准农田及现代化高效节水灌区建设建设可行性研究报告</w:t>
      </w:r>
      <w:r>
        <w:rPr>
          <w:rFonts w:cs="Times New Roman"/>
        </w:rPr>
        <w:t>》；</w:t>
      </w:r>
    </w:p>
    <w:p>
      <w:pPr>
        <w:ind w:firstLine="560"/>
        <w:rPr>
          <w:rFonts w:cs="Times New Roman"/>
        </w:rPr>
      </w:pPr>
      <w:r>
        <w:rPr>
          <w:rFonts w:hint="eastAsia" w:cs="Times New Roman"/>
        </w:rPr>
        <w:t>（</w:t>
      </w:r>
      <w:r>
        <w:rPr>
          <w:rFonts w:cs="Times New Roman"/>
        </w:rPr>
        <w:t>5</w:t>
      </w:r>
      <w:r>
        <w:rPr>
          <w:rFonts w:hint="eastAsia" w:cs="Times New Roman"/>
        </w:rPr>
        <w:t>）其他项目相关文件。</w:t>
      </w:r>
    </w:p>
    <w:p>
      <w:pPr>
        <w:pStyle w:val="3"/>
        <w:ind w:firstLine="643"/>
        <w:rPr>
          <w:rFonts w:cs="Times New Roman"/>
        </w:rPr>
      </w:pPr>
      <w:bookmarkStart w:id="6" w:name="_Toc148432339"/>
      <w:r>
        <w:rPr>
          <w:rFonts w:hint="eastAsia" w:cs="Times New Roman"/>
        </w:rPr>
        <w:t>二、编制原则</w:t>
      </w:r>
      <w:bookmarkEnd w:id="6"/>
    </w:p>
    <w:p>
      <w:pPr>
        <w:ind w:firstLine="560"/>
        <w:rPr>
          <w:rFonts w:cs="Times New Roman"/>
        </w:rPr>
      </w:pPr>
      <w:r>
        <w:rPr>
          <w:rFonts w:hint="eastAsia" w:cs="Times New Roman"/>
        </w:rPr>
        <w:t>为了确保本项目成功实施，顺利实现既定目标，实施方案的编制严格遵循以下原则：</w:t>
      </w:r>
    </w:p>
    <w:p>
      <w:pPr>
        <w:pStyle w:val="4"/>
        <w:ind w:firstLine="562"/>
        <w:rPr>
          <w:rFonts w:cs="Times New Roman"/>
        </w:rPr>
      </w:pPr>
      <w:r>
        <w:rPr>
          <w:rFonts w:hint="eastAsia" w:cs="Times New Roman"/>
        </w:rPr>
        <w:t>（一）坚持规范阳光运行</w:t>
      </w:r>
    </w:p>
    <w:p>
      <w:pPr>
        <w:ind w:firstLine="560"/>
        <w:rPr>
          <w:rFonts w:cs="Times New Roman"/>
        </w:rPr>
      </w:pPr>
      <w:r>
        <w:rPr>
          <w:rFonts w:hint="eastAsia" w:cs="Times New Roman"/>
        </w:rPr>
        <w:t>严格贯彻落实国家相关法律法规、部门规章和政策文件规定，保证项目依法合规地采用特许经营模式运作，坚决防范政府以固定回报承诺、回购安排、明股实债等方式进行变相融资，违规增加地方政府隐性债务。</w:t>
      </w:r>
    </w:p>
    <w:p>
      <w:pPr>
        <w:pStyle w:val="4"/>
        <w:ind w:firstLine="562"/>
        <w:rPr>
          <w:rFonts w:cs="Times New Roman"/>
        </w:rPr>
      </w:pPr>
      <w:r>
        <w:rPr>
          <w:rFonts w:hint="eastAsia" w:cs="Times New Roman"/>
        </w:rPr>
        <w:t>（二）坚持必要、可承受的财政投入原则</w:t>
      </w:r>
    </w:p>
    <w:p>
      <w:pPr>
        <w:ind w:firstLine="560"/>
        <w:rPr>
          <w:rFonts w:cs="Times New Roman"/>
        </w:rPr>
      </w:pPr>
      <w:r>
        <w:rPr>
          <w:rFonts w:hint="eastAsia" w:cs="Times New Roman"/>
        </w:rPr>
        <w:t>基于项目现有基础和实际需求，科学制定项目方案，在政府和社会资本方之间合理分配项目风险，明确双方的权责和义务，准确测算项目全生命周期政府支出责任并审慎决策，防止政府支出责任过多、过重，加大财政支出压力。</w:t>
      </w:r>
    </w:p>
    <w:p>
      <w:pPr>
        <w:pStyle w:val="4"/>
        <w:ind w:firstLine="562"/>
        <w:rPr>
          <w:rFonts w:cs="Times New Roman"/>
        </w:rPr>
      </w:pPr>
      <w:r>
        <w:rPr>
          <w:rFonts w:hint="eastAsia" w:cs="Times New Roman"/>
        </w:rPr>
        <w:t>（三）坚持公开透明、维护公益原则</w:t>
      </w:r>
    </w:p>
    <w:p>
      <w:pPr>
        <w:ind w:firstLine="560"/>
        <w:rPr>
          <w:rFonts w:cs="Times New Roman"/>
        </w:rPr>
      </w:pPr>
      <w:r>
        <w:rPr>
          <w:rFonts w:hint="eastAsia" w:cs="Times New Roman"/>
        </w:rPr>
        <w:t>项目实施过程坚持</w:t>
      </w:r>
      <w:r>
        <w:rPr>
          <w:rFonts w:cs="Times New Roman"/>
        </w:rPr>
        <w:t>“</w:t>
      </w:r>
      <w:r>
        <w:rPr>
          <w:rFonts w:hint="eastAsia" w:cs="Times New Roman"/>
        </w:rPr>
        <w:t>公平、公正、公开</w:t>
      </w:r>
      <w:r>
        <w:rPr>
          <w:rFonts w:cs="Times New Roman"/>
        </w:rPr>
        <w:t>”</w:t>
      </w:r>
      <w:r>
        <w:rPr>
          <w:rFonts w:hint="eastAsia" w:cs="Times New Roman"/>
        </w:rPr>
        <w:t>，依法通过竞争机制择优选择社会资本方；依法合规公开特许经营项目各阶段重要信息，建立健全及时有效的项目信息公开和公众监督机制。保证政府方合理的监督权和介入权，对参与各方形成有效监督和约束。</w:t>
      </w:r>
    </w:p>
    <w:p>
      <w:pPr>
        <w:pStyle w:val="4"/>
        <w:ind w:firstLine="562"/>
        <w:rPr>
          <w:rFonts w:cs="Times New Roman"/>
        </w:rPr>
      </w:pPr>
      <w:r>
        <w:rPr>
          <w:rFonts w:hint="eastAsia" w:cs="Times New Roman"/>
        </w:rPr>
        <w:t>（四）坚持平等合作、优势互补原则</w:t>
      </w:r>
    </w:p>
    <w:p>
      <w:pPr>
        <w:ind w:firstLine="560"/>
        <w:rPr>
          <w:rFonts w:cs="Times New Roman"/>
        </w:rPr>
      </w:pPr>
      <w:r>
        <w:rPr>
          <w:rFonts w:hint="eastAsia" w:cs="Times New Roman"/>
        </w:rPr>
        <w:t>建立法律地位平等、权利义务对等的政府和社会资本合作关系，兼顾平衡项目经营性和公益性的同时，保护社会资本合法权益，确保政企合作行稳致远；进一步转变政府职能，深入推进</w:t>
      </w:r>
      <w:r>
        <w:rPr>
          <w:rFonts w:cs="Times New Roman"/>
        </w:rPr>
        <w:t>“</w:t>
      </w:r>
      <w:r>
        <w:rPr>
          <w:rFonts w:hint="eastAsia" w:cs="Times New Roman"/>
        </w:rPr>
        <w:t>放管服</w:t>
      </w:r>
      <w:r>
        <w:rPr>
          <w:rFonts w:cs="Times New Roman"/>
        </w:rPr>
        <w:t>”</w:t>
      </w:r>
      <w:r>
        <w:rPr>
          <w:rFonts w:hint="eastAsia" w:cs="Times New Roman"/>
        </w:rPr>
        <w:t>改革工作，创新监管方式，优化服务能力，有效发挥社会资本的融资、技术和管理等专业优势，激发社会资本的经营活力，提高公共服务供给的质量与效率。</w:t>
      </w:r>
    </w:p>
    <w:p>
      <w:pPr>
        <w:pStyle w:val="4"/>
        <w:ind w:firstLine="562"/>
        <w:rPr>
          <w:rFonts w:cs="Times New Roman"/>
        </w:rPr>
      </w:pPr>
      <w:r>
        <w:rPr>
          <w:rFonts w:hint="eastAsia" w:cs="Times New Roman"/>
        </w:rPr>
        <w:t>（五）坚持因地制宜、灵活兼顾原则</w:t>
      </w:r>
    </w:p>
    <w:p>
      <w:pPr>
        <w:ind w:firstLine="560"/>
        <w:rPr>
          <w:rFonts w:cs="Times New Roman"/>
        </w:rPr>
      </w:pPr>
      <w:r>
        <w:rPr>
          <w:rFonts w:hint="eastAsia" w:cs="Times New Roman"/>
        </w:rPr>
        <w:t>结合项目实际情况和需求，广泛调研，充分吸收和借鉴类似项目的运作经验，依据国家最新政策导向，灵活运用行业前沿理论，因地制宜地制定项目实施方案和特许经营协议。兼顾考虑项目全生命周期内的长远需求，在保障项目持续性和稳定性的前提下，为未来可能长达</w:t>
      </w:r>
      <w:r>
        <w:rPr>
          <w:rFonts w:cs="Times New Roman"/>
        </w:rPr>
        <w:t>20-30</w:t>
      </w:r>
      <w:r>
        <w:rPr>
          <w:rFonts w:hint="eastAsia" w:cs="Times New Roman"/>
        </w:rPr>
        <w:t>年的项目执行期预留调整和变更空间。</w:t>
      </w:r>
    </w:p>
    <w:p>
      <w:pPr>
        <w:widowControl/>
        <w:spacing w:line="240" w:lineRule="auto"/>
        <w:ind w:firstLine="0" w:firstLineChars="0"/>
        <w:jc w:val="left"/>
        <w:rPr>
          <w:rFonts w:cs="Times New Roman"/>
        </w:rPr>
      </w:pPr>
      <w:r>
        <w:rPr>
          <w:rFonts w:cs="Times New Roman"/>
        </w:rPr>
        <w:br w:type="page"/>
      </w:r>
    </w:p>
    <w:p>
      <w:pPr>
        <w:pStyle w:val="2"/>
        <w:spacing w:after="400"/>
        <w:rPr>
          <w:rFonts w:cs="Times New Roman"/>
        </w:rPr>
      </w:pPr>
      <w:bookmarkStart w:id="7" w:name="_Toc148432340"/>
      <w:r>
        <w:rPr>
          <w:rFonts w:hint="eastAsia" w:cs="Times New Roman"/>
        </w:rPr>
        <w:t>第三章</w:t>
      </w:r>
      <w:r>
        <w:rPr>
          <w:rFonts w:cs="Times New Roman"/>
        </w:rPr>
        <w:t xml:space="preserve"> </w:t>
      </w:r>
      <w:r>
        <w:rPr>
          <w:rFonts w:hint="eastAsia" w:cs="Times New Roman"/>
        </w:rPr>
        <w:t>项目概况</w:t>
      </w:r>
      <w:bookmarkEnd w:id="7"/>
    </w:p>
    <w:p>
      <w:pPr>
        <w:pStyle w:val="3"/>
        <w:ind w:firstLine="643"/>
        <w:rPr>
          <w:rFonts w:cs="Times New Roman"/>
        </w:rPr>
      </w:pPr>
      <w:bookmarkStart w:id="8" w:name="_Toc148432341"/>
      <w:r>
        <w:rPr>
          <w:rFonts w:hint="eastAsia" w:cs="Times New Roman"/>
        </w:rPr>
        <w:t>一、项目名称</w:t>
      </w:r>
      <w:bookmarkEnd w:id="8"/>
    </w:p>
    <w:p>
      <w:pPr>
        <w:ind w:firstLine="560"/>
        <w:rPr>
          <w:b/>
          <w:bCs/>
        </w:rPr>
      </w:pPr>
      <w:r>
        <w:rPr>
          <w:rFonts w:hint="eastAsia"/>
        </w:rPr>
        <w:t>同心县高标准农田及现代化高效节水灌区建设特许经营项目</w:t>
      </w:r>
    </w:p>
    <w:p>
      <w:pPr>
        <w:pStyle w:val="3"/>
        <w:ind w:firstLine="643"/>
        <w:rPr>
          <w:rFonts w:cs="Times New Roman"/>
        </w:rPr>
      </w:pPr>
      <w:bookmarkStart w:id="9" w:name="_Toc148432342"/>
      <w:r>
        <w:rPr>
          <w:rFonts w:hint="eastAsia" w:cs="Times New Roman"/>
        </w:rPr>
        <w:t>二、项目类型</w:t>
      </w:r>
      <w:bookmarkEnd w:id="9"/>
    </w:p>
    <w:p>
      <w:pPr>
        <w:ind w:firstLine="560"/>
        <w:rPr>
          <w:rFonts w:cs="Times New Roman"/>
        </w:rPr>
      </w:pPr>
      <w:bookmarkStart w:id="10" w:name="_Hlk99548320"/>
      <w:r>
        <w:rPr>
          <w:rFonts w:hint="eastAsia" w:cs="Times New Roman"/>
        </w:rPr>
        <w:t>本项目性质为新建</w:t>
      </w:r>
      <w:r>
        <w:rPr>
          <w:rFonts w:cs="Times New Roman"/>
        </w:rPr>
        <w:t>+存量</w:t>
      </w:r>
      <w:r>
        <w:rPr>
          <w:rFonts w:hint="eastAsia" w:cs="Times New Roman"/>
        </w:rPr>
        <w:t>项目。</w:t>
      </w:r>
    </w:p>
    <w:bookmarkEnd w:id="10"/>
    <w:p>
      <w:pPr>
        <w:ind w:firstLine="643"/>
        <w:outlineLvl w:val="1"/>
        <w:rPr>
          <w:rFonts w:cs="Times New Roman"/>
          <w:b/>
          <w:bCs/>
          <w:sz w:val="32"/>
          <w:szCs w:val="32"/>
        </w:rPr>
      </w:pPr>
      <w:bookmarkStart w:id="11" w:name="_Toc148432343"/>
      <w:r>
        <w:rPr>
          <w:rFonts w:hint="eastAsia" w:cs="Times New Roman"/>
          <w:b/>
          <w:bCs/>
          <w:sz w:val="32"/>
          <w:szCs w:val="32"/>
        </w:rPr>
        <w:t>三、项目所属行业</w:t>
      </w:r>
      <w:bookmarkEnd w:id="11"/>
    </w:p>
    <w:p>
      <w:pPr>
        <w:ind w:firstLine="560"/>
        <w:rPr>
          <w:rFonts w:cs="Times New Roman"/>
        </w:rPr>
      </w:pPr>
      <w:bookmarkStart w:id="12" w:name="_Hlk99548332"/>
      <w:r>
        <w:rPr>
          <w:rFonts w:hint="eastAsia" w:cs="Times New Roman"/>
        </w:rPr>
        <w:t>本项目属于农田水利工程类。</w:t>
      </w:r>
      <w:bookmarkEnd w:id="12"/>
    </w:p>
    <w:p>
      <w:pPr>
        <w:pStyle w:val="3"/>
        <w:ind w:firstLine="643"/>
        <w:rPr>
          <w:rFonts w:cs="Times New Roman"/>
        </w:rPr>
      </w:pPr>
      <w:bookmarkStart w:id="13" w:name="_Toc148432344"/>
      <w:r>
        <w:rPr>
          <w:rFonts w:hint="eastAsia" w:cs="Times New Roman"/>
        </w:rPr>
        <w:t>四、项目实施机构</w:t>
      </w:r>
      <w:bookmarkEnd w:id="13"/>
    </w:p>
    <w:p>
      <w:pPr>
        <w:snapToGrid w:val="0"/>
        <w:ind w:firstLine="560"/>
        <w:rPr>
          <w:rFonts w:cs="Times New Roman"/>
        </w:rPr>
      </w:pPr>
      <w:bookmarkStart w:id="14" w:name="_Hlk99547722"/>
      <w:r>
        <w:rPr>
          <w:rFonts w:hint="eastAsia" w:cs="Times New Roman"/>
        </w:rPr>
        <w:t>同心县人民政府（以下简称</w:t>
      </w:r>
      <w:r>
        <w:rPr>
          <w:rFonts w:cs="Times New Roman"/>
        </w:rPr>
        <w:t>“</w:t>
      </w:r>
      <w:r>
        <w:rPr>
          <w:rFonts w:hint="eastAsia" w:cs="Times New Roman"/>
        </w:rPr>
        <w:t>县政府</w:t>
      </w:r>
      <w:r>
        <w:rPr>
          <w:rFonts w:cs="Times New Roman"/>
        </w:rPr>
        <w:t>”</w:t>
      </w:r>
      <w:r>
        <w:rPr>
          <w:rFonts w:hint="eastAsia" w:cs="Times New Roman"/>
        </w:rPr>
        <w:t>）授权同心县农业农村局（以下简称</w:t>
      </w:r>
      <w:r>
        <w:rPr>
          <w:rFonts w:cs="Times New Roman"/>
        </w:rPr>
        <w:t>“</w:t>
      </w:r>
      <w:r>
        <w:rPr>
          <w:rFonts w:hint="eastAsia" w:cs="Times New Roman"/>
        </w:rPr>
        <w:t>实施机构</w:t>
      </w:r>
      <w:r>
        <w:rPr>
          <w:rFonts w:cs="Times New Roman"/>
        </w:rPr>
        <w:t>”</w:t>
      </w:r>
      <w:r>
        <w:rPr>
          <w:rFonts w:hint="eastAsia" w:cs="Times New Roman"/>
        </w:rPr>
        <w:t>）作为项目实施机构，负责本项目准备、采购、执行和移交阶段等全生命周期内各项工作。</w:t>
      </w:r>
      <w:bookmarkEnd w:id="14"/>
    </w:p>
    <w:p>
      <w:pPr>
        <w:pStyle w:val="3"/>
        <w:ind w:firstLine="643"/>
        <w:rPr>
          <w:rFonts w:cs="Times New Roman"/>
        </w:rPr>
      </w:pPr>
      <w:bookmarkStart w:id="15" w:name="_Toc148432345"/>
      <w:r>
        <w:rPr>
          <w:rFonts w:cs="Times New Roman"/>
        </w:rPr>
        <w:t>五、项目实施进度</w:t>
      </w:r>
      <w:bookmarkEnd w:id="15"/>
    </w:p>
    <w:p>
      <w:pPr>
        <w:snapToGrid w:val="0"/>
        <w:ind w:firstLine="560"/>
        <w:rPr>
          <w:rFonts w:cs="Times New Roman"/>
        </w:rPr>
      </w:pPr>
      <w:r>
        <w:rPr>
          <w:rFonts w:hint="eastAsia" w:cs="Times New Roman"/>
        </w:rPr>
        <w:t>本项目分3个年度完成上述建设内容，即2023年到2026年，分年度实施计划如下。</w:t>
      </w:r>
    </w:p>
    <w:p>
      <w:pPr>
        <w:snapToGrid w:val="0"/>
        <w:ind w:firstLine="560"/>
        <w:rPr>
          <w:rFonts w:hint="eastAsia" w:cs="Times New Roman"/>
        </w:rPr>
      </w:pPr>
      <w:r>
        <w:rPr>
          <w:rFonts w:hint="eastAsia" w:cs="Times New Roman"/>
        </w:rPr>
        <w:t>2024年：配套实施小洪沟水库配水工程、杨河套子水库配水工程、马家塘水库配水工程、白府都水库补水工程；配套实施灌区调蓄水池8座；配套实施改造提升高标准农田（渠改滴）工程15.36万亩；新建总调中心1处及分调中心9处；灌区信息化建设。计划完成投资58228万元。</w:t>
      </w:r>
    </w:p>
    <w:p>
      <w:pPr>
        <w:snapToGrid w:val="0"/>
        <w:ind w:firstLine="560"/>
        <w:rPr>
          <w:rFonts w:cs="Times New Roman"/>
        </w:rPr>
      </w:pPr>
      <w:r>
        <w:rPr>
          <w:rFonts w:hint="eastAsia" w:cs="Times New Roman"/>
        </w:rPr>
        <w:t>2025年：配套实施灌区调蓄水池12座；配套实施改造提升高标准农田（渠改滴）工程10.49万亩。计划完成投资40731万元。</w:t>
      </w:r>
    </w:p>
    <w:p>
      <w:pPr>
        <w:snapToGrid w:val="0"/>
        <w:ind w:firstLine="560"/>
        <w:rPr>
          <w:rFonts w:cs="Times New Roman"/>
        </w:rPr>
      </w:pPr>
      <w:r>
        <w:rPr>
          <w:rFonts w:hint="eastAsia" w:cs="Times New Roman"/>
        </w:rPr>
        <w:t>2026年：改造提升已建高效节水灌溉工程3.62万亩。计划完成投资5830万元。</w:t>
      </w:r>
    </w:p>
    <w:p>
      <w:pPr>
        <w:snapToGrid w:val="0"/>
        <w:ind w:firstLine="560"/>
        <w:rPr>
          <w:rFonts w:cs="Times New Roman"/>
        </w:rPr>
      </w:pPr>
      <w:r>
        <w:rPr>
          <w:rFonts w:hint="eastAsia" w:cs="Times New Roman"/>
        </w:rPr>
        <w:t>具体年度建设规模和进度需根据政府方研究决策，经政府同意后实施。</w:t>
      </w:r>
    </w:p>
    <w:p>
      <w:pPr>
        <w:pStyle w:val="3"/>
        <w:ind w:firstLine="643"/>
        <w:rPr>
          <w:rFonts w:cs="Times New Roman"/>
        </w:rPr>
      </w:pPr>
      <w:bookmarkStart w:id="16" w:name="_Toc148432346"/>
      <w:r>
        <w:rPr>
          <w:rFonts w:hint="eastAsia" w:cs="Times New Roman"/>
        </w:rPr>
        <w:t>六、项目建设规模和内容</w:t>
      </w:r>
      <w:bookmarkEnd w:id="16"/>
    </w:p>
    <w:p>
      <w:pPr>
        <w:pStyle w:val="4"/>
        <w:ind w:firstLine="562"/>
        <w:rPr>
          <w:rFonts w:cs="Times New Roman"/>
        </w:rPr>
      </w:pPr>
      <w:r>
        <w:rPr>
          <w:rFonts w:cs="Times New Roman"/>
        </w:rPr>
        <w:t>（一）</w:t>
      </w:r>
      <w:r>
        <w:rPr>
          <w:rFonts w:hint="eastAsia" w:cs="Times New Roman"/>
        </w:rPr>
        <w:t>骨干灌溉工程升级改造</w:t>
      </w:r>
    </w:p>
    <w:p>
      <w:pPr>
        <w:ind w:firstLine="560"/>
        <w:rPr>
          <w:rFonts w:hint="eastAsia"/>
        </w:rPr>
      </w:pPr>
      <w:r>
        <w:rPr>
          <w:rFonts w:hint="eastAsia"/>
        </w:rPr>
        <w:t>骨干灌溉工程指灌区内用于灌溉输配水的干支渠道、骨干调蓄水库、田间调蓄水池及配套建筑物等，由骨干输水工程和配水工程组成。其中骨干输水工程由干支渠道及骨干调蓄水库组成，配水工程由骨干调蓄水库至田间的配水工程和田间调蓄水池组成。</w:t>
      </w:r>
    </w:p>
    <w:p>
      <w:pPr>
        <w:ind w:firstLine="560"/>
        <w:rPr>
          <w:rFonts w:hint="eastAsia"/>
        </w:rPr>
      </w:pPr>
      <w:r>
        <w:rPr>
          <w:rFonts w:hint="eastAsia"/>
        </w:rPr>
        <w:t>其中灌区骨干输水工程近些年通过大中型灌区续建配套建设等已完成了灌区扬水泵站、干支渠等更新改造及砌护，干渠砌护率100%，支渠衬砌率94%，干渠直开口用水计量设施改安装率100%；通过抗旱应急水库建设等在灌区配套了一批骨干调蓄水库，为后续实施高效节灌提供了水源保障。</w:t>
      </w:r>
    </w:p>
    <w:p>
      <w:pPr>
        <w:ind w:firstLine="560"/>
        <w:rPr>
          <w:rFonts w:hint="eastAsia"/>
        </w:rPr>
      </w:pPr>
      <w:r>
        <w:rPr>
          <w:rFonts w:hint="eastAsia"/>
        </w:rPr>
        <w:t>考虑到灌区灌溉骨干工程已改造完成，因此，同心县扬黄灌区的骨干灌溉工程升级改造主要是在现有骨干输水工程及配水工程的基础上，进行灌区配水工程的配套完善，建成从水源到田间完整的高标准灌溉工程体系，主要包括：①配套建设骨干调蓄水库至田间的配水工程；②在灌区内未实施高效节灌区域配套实施调蓄设施。</w:t>
      </w:r>
    </w:p>
    <w:p>
      <w:pPr>
        <w:keepNext/>
        <w:keepLines/>
        <w:spacing w:before="120" w:after="120"/>
        <w:ind w:firstLine="562"/>
        <w:outlineLvl w:val="3"/>
        <w:rPr>
          <w:rFonts w:cs="Times New Roman"/>
          <w:b/>
        </w:rPr>
      </w:pPr>
      <w:r>
        <w:rPr>
          <w:rFonts w:hint="eastAsia" w:cs="Times New Roman"/>
          <w:b/>
        </w:rPr>
        <w:t>1.骨干水源配水工程</w:t>
      </w:r>
    </w:p>
    <w:p>
      <w:pPr>
        <w:ind w:firstLine="560"/>
        <w:rPr>
          <w:rFonts w:hint="eastAsia" w:cs="Times New Roman"/>
        </w:rPr>
      </w:pPr>
      <w:r>
        <w:rPr>
          <w:rFonts w:hint="eastAsia" w:cs="Times New Roman"/>
        </w:rPr>
        <w:t>①小洪沟水库配水工程自小洪沟水库重力流输水管线末端取水，新建配水管线总长5.588km，设计流量0.136～0.359m</w:t>
      </w:r>
      <w:r>
        <w:rPr>
          <w:rFonts w:ascii="Calibri" w:hAnsi="Calibri" w:cs="Times New Roman"/>
        </w:rPr>
        <w:t>³</w:t>
      </w:r>
      <w:r>
        <w:rPr>
          <w:rFonts w:hint="eastAsia" w:cs="Times New Roman"/>
        </w:rPr>
        <w:t>/s，管径DN400～600，管压1.6～2.0Mpa，管材采用球磨铸铁管，布置管线附属建筑物45座。</w:t>
      </w:r>
    </w:p>
    <w:p>
      <w:pPr>
        <w:ind w:firstLine="560"/>
        <w:rPr>
          <w:rFonts w:hint="eastAsia" w:cs="Times New Roman"/>
        </w:rPr>
      </w:pPr>
      <w:r>
        <w:rPr>
          <w:rFonts w:hint="eastAsia" w:cs="Times New Roman"/>
        </w:rPr>
        <w:t>②杨河套子水库配水工程自杨河套子水库出水泵站取水，新建配水管线总长10.49km，设计流量0.139～0.858m</w:t>
      </w:r>
      <w:r>
        <w:rPr>
          <w:rFonts w:ascii="Calibri" w:hAnsi="Calibri" w:cs="Times New Roman"/>
        </w:rPr>
        <w:t>³</w:t>
      </w:r>
      <w:r>
        <w:rPr>
          <w:rFonts w:hint="eastAsia" w:cs="Times New Roman"/>
        </w:rPr>
        <w:t>/s，管径DN450～1000，管压0.4～0.8Mpa，管材采用PCP管和钢丝网骨架PE管，布置管线附属建筑物64座。</w:t>
      </w:r>
    </w:p>
    <w:p>
      <w:pPr>
        <w:ind w:firstLine="560"/>
        <w:rPr>
          <w:rFonts w:cs="Times New Roman"/>
        </w:rPr>
      </w:pPr>
      <w:r>
        <w:rPr>
          <w:rFonts w:hint="eastAsia" w:cs="Times New Roman"/>
        </w:rPr>
        <w:t>③马家塘水库配水工程自马家塘水库出水泵站取水，新建配水管线总长9.05km（河西镇配水管线长6.73km，丁塘镇配水管线长2.32km），设计流量0.137～1.443m</w:t>
      </w:r>
      <w:r>
        <w:rPr>
          <w:rFonts w:ascii="Calibri" w:hAnsi="Calibri" w:cs="Times New Roman"/>
        </w:rPr>
        <w:t>³</w:t>
      </w:r>
      <w:r>
        <w:rPr>
          <w:rFonts w:hint="eastAsia" w:cs="Times New Roman"/>
        </w:rPr>
        <w:t>/s，管径DN400～1200，管压0.6Mpa，管材采用PCP管、钢丝网骨架PE管和球墨铸铁管，布置管线附属建筑物72座。</w:t>
      </w:r>
    </w:p>
    <w:p>
      <w:pPr>
        <w:keepNext/>
        <w:keepLines/>
        <w:spacing w:before="120" w:after="120"/>
        <w:ind w:firstLine="562"/>
        <w:outlineLvl w:val="3"/>
        <w:rPr>
          <w:rFonts w:cs="Times New Roman"/>
          <w:b/>
        </w:rPr>
      </w:pPr>
      <w:r>
        <w:rPr>
          <w:rFonts w:hint="eastAsia" w:cs="Times New Roman"/>
          <w:b/>
        </w:rPr>
        <w:t>2</w:t>
      </w:r>
      <w:r>
        <w:rPr>
          <w:rFonts w:cs="Times New Roman"/>
          <w:b/>
        </w:rPr>
        <w:t>.</w:t>
      </w:r>
      <w:r>
        <w:rPr>
          <w:rFonts w:hint="eastAsia" w:cs="Times New Roman"/>
          <w:b/>
        </w:rPr>
        <w:t>调蓄水池工程</w:t>
      </w:r>
    </w:p>
    <w:p>
      <w:pPr>
        <w:ind w:firstLine="560"/>
        <w:rPr>
          <w:rFonts w:cs="Times New Roman"/>
        </w:rPr>
      </w:pPr>
      <w:r>
        <w:rPr>
          <w:rFonts w:hint="eastAsia" w:cs="Times New Roman"/>
        </w:rPr>
        <w:t>扬黄灌区规划新增高效节水面积26.35万亩，其中利用已建调蓄水池为水源实施高效节水面积为14.36万亩，利用新建调蓄水池为水源实施高效节水面积为11.99万亩。扬黄灌区新建调蓄水池20座，单座调蓄水池容积3.5～24.0万m</w:t>
      </w:r>
      <w:r>
        <w:rPr>
          <w:rFonts w:ascii="Calibri" w:hAnsi="Calibri" w:cs="Calibri"/>
        </w:rPr>
        <w:t>³</w:t>
      </w:r>
      <w:r>
        <w:rPr>
          <w:rFonts w:hint="eastAsia" w:ascii="仿宋" w:hAnsi="仿宋" w:cs="仿宋"/>
        </w:rPr>
        <w:t>，总容积</w:t>
      </w:r>
      <w:r>
        <w:rPr>
          <w:rFonts w:hint="eastAsia" w:cs="Times New Roman"/>
        </w:rPr>
        <w:t>210.30万m</w:t>
      </w:r>
      <w:r>
        <w:rPr>
          <w:rFonts w:ascii="Calibri" w:hAnsi="Calibri" w:cs="Calibri"/>
        </w:rPr>
        <w:t>³</w:t>
      </w:r>
      <w:r>
        <w:rPr>
          <w:rFonts w:hint="eastAsia" w:cs="Times New Roman"/>
        </w:rPr>
        <w:t>。</w:t>
      </w:r>
    </w:p>
    <w:p>
      <w:pPr>
        <w:pStyle w:val="4"/>
        <w:ind w:firstLine="562"/>
        <w:rPr>
          <w:rFonts w:cs="Times New Roman"/>
        </w:rPr>
      </w:pPr>
      <w:r>
        <w:rPr>
          <w:rFonts w:hint="eastAsia" w:cs="Times New Roman"/>
        </w:rPr>
        <w:t>（二）高标准农田工程</w:t>
      </w:r>
    </w:p>
    <w:p>
      <w:pPr>
        <w:ind w:firstLine="560"/>
        <w:rPr>
          <w:rFonts w:cs="Times New Roman"/>
        </w:rPr>
      </w:pPr>
      <w:r>
        <w:rPr>
          <w:rFonts w:hint="eastAsia" w:cs="Times New Roman"/>
        </w:rPr>
        <w:t>（1）改造提升高标准农田（渠改滴）</w:t>
      </w:r>
    </w:p>
    <w:p>
      <w:pPr>
        <w:ind w:firstLine="560"/>
        <w:rPr>
          <w:rFonts w:hint="eastAsia" w:cs="Times New Roman"/>
        </w:rPr>
      </w:pPr>
      <w:r>
        <w:rPr>
          <w:rFonts w:hint="eastAsia" w:cs="Times New Roman"/>
        </w:rPr>
        <w:t>规划改造提升高标准农田（渠改滴）26.36万亩（见表3</w:t>
      </w:r>
      <w:r>
        <w:rPr>
          <w:rFonts w:cs="Times New Roman"/>
        </w:rPr>
        <w:t>-1</w:t>
      </w:r>
      <w:r>
        <w:rPr>
          <w:rFonts w:hint="eastAsia" w:cs="Times New Roman"/>
        </w:rPr>
        <w:t>），全部采用高效节灌方式，至十四五末2025年高效节灌覆盖率达到100%。</w:t>
      </w:r>
    </w:p>
    <w:p>
      <w:pPr>
        <w:ind w:firstLine="560"/>
        <w:rPr>
          <w:rFonts w:cs="Times New Roman"/>
        </w:rPr>
      </w:pPr>
      <w:r>
        <w:rPr>
          <w:rFonts w:hint="eastAsia" w:cs="Times New Roman"/>
        </w:rPr>
        <w:t>改造提升高标准农田（渠改滴）采用“黄河水＋蓄水池调蓄＋微灌（粮食作物或经济作物）＋农艺节水措施＋节水管理技术”的发展模式。主要建设内容包括：土地平整、土壤改良、灌溉和排水、田间道路、农田防护和生态环境保护、农田输配电、科技服务、管护利用；其中灌溉和排水主要包括蓄水池、田间供水系统首部、田间管网以及自动化和信息化设施。</w:t>
      </w:r>
    </w:p>
    <w:p>
      <w:pPr>
        <w:ind w:firstLine="560"/>
        <w:rPr>
          <w:rFonts w:cs="Times New Roman"/>
        </w:rPr>
      </w:pPr>
      <w:r>
        <w:rPr>
          <w:rFonts w:hint="eastAsia" w:cs="Times New Roman"/>
        </w:rPr>
        <w:t>（2）改造提升已建高效节灌</w:t>
      </w:r>
    </w:p>
    <w:p>
      <w:pPr>
        <w:ind w:firstLine="560"/>
        <w:rPr>
          <w:rFonts w:hint="eastAsia" w:cs="Times New Roman"/>
        </w:rPr>
      </w:pPr>
      <w:r>
        <w:rPr>
          <w:rFonts w:hint="eastAsia" w:cs="Times New Roman"/>
        </w:rPr>
        <w:t>改造提升已建高效节灌工程主要针对2012～2018年度实施的部分未充分发挥效益的项目，改造提升项目9个，提升改造面积3.62万亩（见表3</w:t>
      </w:r>
      <w:r>
        <w:rPr>
          <w:rFonts w:cs="Times New Roman"/>
        </w:rPr>
        <w:t>-2</w:t>
      </w:r>
      <w:r>
        <w:rPr>
          <w:rFonts w:hint="eastAsia" w:cs="Times New Roman"/>
        </w:rPr>
        <w:t>）。</w:t>
      </w:r>
    </w:p>
    <w:p>
      <w:pPr>
        <w:ind w:firstLine="560"/>
        <w:rPr>
          <w:rFonts w:cs="Times New Roman"/>
        </w:rPr>
      </w:pPr>
      <w:r>
        <w:rPr>
          <w:rFonts w:hint="eastAsia" w:cs="Times New Roman"/>
        </w:rPr>
        <w:t>已建高效节水灌溉工程全部采用“黄河水＋蓄水池调蓄＋微灌（粮食作物或经济作物）＋农艺节水措施＋节水管理技术”的发展模式。改造提升根据《高标准农田建设通则》等标准，针对已实施高效节水农业项目区农田设施不配套、工程老化、工程建设标准低等问题，按照“缺什么、补什么”的原则开展有针对性的改造提升，结合农艺农艺措施，并对田间工程配套实施自动化控制、信息化管理。</w:t>
      </w:r>
    </w:p>
    <w:p>
      <w:pPr>
        <w:pStyle w:val="4"/>
        <w:ind w:firstLine="562"/>
        <w:rPr>
          <w:rFonts w:cs="Times New Roman"/>
        </w:rPr>
      </w:pPr>
      <w:r>
        <w:rPr>
          <w:rFonts w:hint="eastAsia" w:cs="Times New Roman"/>
        </w:rPr>
        <w:t>（三）灌区信息化建设</w:t>
      </w:r>
    </w:p>
    <w:p>
      <w:pPr>
        <w:ind w:firstLine="560"/>
        <w:rPr>
          <w:rFonts w:hint="eastAsia" w:cs="Times New Roman"/>
        </w:rPr>
      </w:pPr>
      <w:r>
        <w:rPr>
          <w:rFonts w:hint="eastAsia" w:cs="Times New Roman"/>
        </w:rPr>
        <w:t>建设内容包括：</w:t>
      </w:r>
    </w:p>
    <w:p>
      <w:pPr>
        <w:ind w:firstLine="560"/>
        <w:rPr>
          <w:rFonts w:hint="eastAsia" w:cs="Times New Roman"/>
        </w:rPr>
      </w:pPr>
      <w:r>
        <w:rPr>
          <w:rFonts w:hint="eastAsia" w:cs="Times New Roman"/>
        </w:rPr>
        <w:t>1、物联网感知体系建设</w:t>
      </w:r>
    </w:p>
    <w:p>
      <w:pPr>
        <w:ind w:firstLine="560"/>
        <w:rPr>
          <w:rFonts w:hint="eastAsia" w:cs="Times New Roman"/>
        </w:rPr>
      </w:pPr>
      <w:r>
        <w:rPr>
          <w:rFonts w:hint="eastAsia" w:cs="Times New Roman"/>
        </w:rPr>
        <w:t>对灌区内的13座水库、53座已建蓄水池、20座新建蓄水池进行安全监测，监测内容包括：已建水库进行变形监测、渗流监测、环境量监测以及监测自动化系统；已建蓄水池和新建蓄水池进行渗流监测、环境量监测以及监测自动化系统。</w:t>
      </w:r>
    </w:p>
    <w:p>
      <w:pPr>
        <w:ind w:firstLine="560"/>
        <w:rPr>
          <w:rFonts w:hint="eastAsia" w:cs="Times New Roman"/>
        </w:rPr>
      </w:pPr>
      <w:r>
        <w:rPr>
          <w:rFonts w:hint="eastAsia" w:cs="Times New Roman"/>
        </w:rPr>
        <w:t>2、网络通信及运行环境建设</w:t>
      </w:r>
    </w:p>
    <w:p>
      <w:pPr>
        <w:ind w:firstLine="560"/>
        <w:rPr>
          <w:rFonts w:hint="eastAsia" w:cs="Times New Roman"/>
        </w:rPr>
      </w:pPr>
      <w:r>
        <w:rPr>
          <w:rFonts w:hint="eastAsia" w:cs="Times New Roman"/>
        </w:rPr>
        <w:t>本次工程信息化项目结合县水务局总调中心、乡镇分调中心二级分级应用情况，整体通过政务云部署搭建，可节省信创操作系统、中间件、数据库实施费用。本次工程信息化计划申请1套负载、2套应用服务实例、1套数据库实例、1套文件存储用于本项目部署搭建。</w:t>
      </w:r>
    </w:p>
    <w:p>
      <w:pPr>
        <w:ind w:firstLine="560"/>
        <w:rPr>
          <w:rFonts w:hint="eastAsia" w:cs="Times New Roman"/>
        </w:rPr>
      </w:pPr>
      <w:r>
        <w:rPr>
          <w:rFonts w:hint="eastAsia" w:cs="Times New Roman"/>
        </w:rPr>
        <w:t>根据同心县水务局调度中心实际使用环境设计1套LED大屏显示系统及会议扩声系统，主要用于现代化灌区信息化数据展示、视频会商。分调中心设计9套控制电脑及9套会议一体机，用于分调中心系统综合控制展示及远程视频会商。</w:t>
      </w:r>
    </w:p>
    <w:p>
      <w:pPr>
        <w:ind w:firstLine="560"/>
        <w:rPr>
          <w:rFonts w:hint="eastAsia" w:cs="Times New Roman"/>
        </w:rPr>
      </w:pPr>
      <w:r>
        <w:rPr>
          <w:rFonts w:hint="eastAsia" w:cs="Times New Roman"/>
        </w:rPr>
        <w:t>3、数据资源体系建设</w:t>
      </w:r>
    </w:p>
    <w:p>
      <w:pPr>
        <w:ind w:firstLine="560"/>
        <w:rPr>
          <w:rFonts w:hint="eastAsia" w:cs="Times New Roman"/>
        </w:rPr>
      </w:pPr>
      <w:r>
        <w:rPr>
          <w:rFonts w:hint="eastAsia" w:cs="Times New Roman"/>
        </w:rPr>
        <w:t>搭建标准化数据资源存储共享体系，打破信息壁垒，实现各类基本信息、监测数据、业务报表等数据统一存储与共享。汇聚整合同心县基础空间数据、三维数据、专题数据、监测数据、外部共享数据等，保证数据统一出口，各类数据完整统一，为业务系统提供数据资源支撑保障，为灌区信息化管理系统建设提供支撑。</w:t>
      </w:r>
    </w:p>
    <w:p>
      <w:pPr>
        <w:ind w:firstLine="560"/>
        <w:rPr>
          <w:rFonts w:hint="eastAsia" w:cs="Times New Roman"/>
        </w:rPr>
      </w:pPr>
      <w:r>
        <w:rPr>
          <w:rFonts w:hint="eastAsia" w:cs="Times New Roman"/>
        </w:rPr>
        <w:t>4、业务应用支撑平台建设</w:t>
      </w:r>
    </w:p>
    <w:p>
      <w:pPr>
        <w:ind w:firstLine="560"/>
        <w:rPr>
          <w:rFonts w:hint="eastAsia" w:cs="Times New Roman"/>
        </w:rPr>
      </w:pPr>
      <w:r>
        <w:rPr>
          <w:rFonts w:hint="eastAsia" w:cs="Times New Roman"/>
        </w:rPr>
        <w:t>（1）构建数据融合平台</w:t>
      </w:r>
    </w:p>
    <w:p>
      <w:pPr>
        <w:ind w:firstLine="560"/>
        <w:rPr>
          <w:rFonts w:hint="eastAsia" w:cs="Times New Roman"/>
        </w:rPr>
      </w:pPr>
      <w:r>
        <w:rPr>
          <w:rFonts w:hint="eastAsia" w:cs="Times New Roman"/>
        </w:rPr>
        <w:t>以倾斜摄影GIS地图为底图，融合业务监测数据，按照L1、L2、L3级数据的标准要求，打造同心数据底板，以数据引擎为驱动，构建数据模型，从而建设数据融合平台。</w:t>
      </w:r>
    </w:p>
    <w:p>
      <w:pPr>
        <w:ind w:firstLine="560"/>
        <w:rPr>
          <w:rFonts w:hint="eastAsia" w:cs="Times New Roman"/>
        </w:rPr>
      </w:pPr>
      <w:r>
        <w:rPr>
          <w:rFonts w:hint="eastAsia" w:cs="Times New Roman"/>
        </w:rPr>
        <w:t>（2）构建模型平台</w:t>
      </w:r>
    </w:p>
    <w:p>
      <w:pPr>
        <w:ind w:firstLine="560"/>
        <w:rPr>
          <w:rFonts w:hint="eastAsia" w:cs="Times New Roman"/>
        </w:rPr>
      </w:pPr>
      <w:r>
        <w:rPr>
          <w:rFonts w:hint="eastAsia" w:cs="Times New Roman"/>
        </w:rPr>
        <w:t>构建模型平台，涵盖水利专业模型，可视化模型，以及模型管理，实现模型、场景的动态配置，以发布服务的方式，供业务应用调用。</w:t>
      </w:r>
    </w:p>
    <w:p>
      <w:pPr>
        <w:ind w:firstLine="560"/>
        <w:rPr>
          <w:rFonts w:hint="eastAsia" w:cs="Times New Roman"/>
        </w:rPr>
      </w:pPr>
      <w:r>
        <w:rPr>
          <w:rFonts w:hint="eastAsia" w:cs="Times New Roman"/>
        </w:rPr>
        <w:t>（3）构建知识平台</w:t>
      </w:r>
    </w:p>
    <w:p>
      <w:pPr>
        <w:ind w:firstLine="560"/>
        <w:rPr>
          <w:rFonts w:hint="eastAsia" w:cs="Times New Roman"/>
        </w:rPr>
      </w:pPr>
      <w:r>
        <w:rPr>
          <w:rFonts w:hint="eastAsia" w:cs="Times New Roman"/>
        </w:rPr>
        <w:t>构建知识平台，实现从知识获取、知识融合、知识存储、知识推理以及知识可视化等方面的智能化管理。</w:t>
      </w:r>
    </w:p>
    <w:p>
      <w:pPr>
        <w:ind w:firstLine="560"/>
        <w:rPr>
          <w:rFonts w:hint="eastAsia" w:cs="Times New Roman"/>
        </w:rPr>
      </w:pPr>
      <w:r>
        <w:rPr>
          <w:rFonts w:hint="eastAsia" w:cs="Times New Roman"/>
        </w:rPr>
        <w:t>5、灌区管理业务应用建设</w:t>
      </w:r>
    </w:p>
    <w:p>
      <w:pPr>
        <w:ind w:firstLine="560"/>
        <w:rPr>
          <w:rFonts w:hint="eastAsia" w:cs="Times New Roman"/>
        </w:rPr>
      </w:pPr>
      <w:r>
        <w:rPr>
          <w:rFonts w:hint="eastAsia" w:cs="Times New Roman"/>
        </w:rPr>
        <w:t>建设灌区信息化管理系统，其主要包括灌区一张图、综合展示与信息服务系统、水资源调度、智能灌溉系统、水费计量系统、工程建设过程管理、工程运行维护、移动应用等功能模块。</w:t>
      </w:r>
    </w:p>
    <w:p>
      <w:pPr>
        <w:ind w:firstLine="560"/>
        <w:rPr>
          <w:rFonts w:hint="eastAsia" w:cs="Times New Roman"/>
        </w:rPr>
      </w:pPr>
      <w:r>
        <w:rPr>
          <w:rFonts w:hint="eastAsia" w:cs="Times New Roman"/>
        </w:rPr>
        <w:t>6、网络安全与密码应用</w:t>
      </w:r>
    </w:p>
    <w:p>
      <w:pPr>
        <w:ind w:firstLine="560"/>
        <w:rPr>
          <w:rFonts w:hint="eastAsia" w:cs="Times New Roman"/>
        </w:rPr>
      </w:pPr>
      <w:r>
        <w:rPr>
          <w:rFonts w:hint="eastAsia" w:cs="Times New Roman"/>
        </w:rPr>
        <w:t>根据自治区推进“数字政府”建设领导小组办公室关于加强自治区电子政务外网和公共云平台建设及管理工作的通知（宁数办发</w:t>
      </w:r>
      <w:r>
        <w:rPr>
          <w:rFonts w:hint="eastAsia" w:ascii="仿宋" w:hAnsi="仿宋" w:cs="Times New Roman"/>
        </w:rPr>
        <w:t>﹝</w:t>
      </w:r>
      <w:r>
        <w:rPr>
          <w:rFonts w:hint="eastAsia" w:cs="Times New Roman"/>
        </w:rPr>
        <w:t>2020</w:t>
      </w:r>
      <w:r>
        <w:rPr>
          <w:rFonts w:hint="eastAsia" w:ascii="仿宋" w:hAnsi="仿宋" w:cs="Times New Roman"/>
        </w:rPr>
        <w:t>﹞</w:t>
      </w:r>
      <w:r>
        <w:rPr>
          <w:rFonts w:hint="eastAsia" w:cs="Times New Roman"/>
        </w:rPr>
        <w:t>9号）,本项目建设的平台系统部署在宁夏政务云，结合自治区政务云的网络现状和安全需求，从云平台边界安全防护、宿主机及虚拟化安全、云管理平台安全入手，保障云平台自身安全。网络安全按照等保2.0二级等保标准建设。</w:t>
      </w:r>
    </w:p>
    <w:p>
      <w:pPr>
        <w:ind w:firstLine="560"/>
        <w:rPr>
          <w:rFonts w:hint="eastAsia" w:cs="Times New Roman"/>
        </w:rPr>
      </w:pPr>
      <w:r>
        <w:rPr>
          <w:rFonts w:hint="eastAsia" w:cs="Times New Roman"/>
        </w:rPr>
        <w:t>从物理和环境安全、网络和通信安全、设备和计算安全、应用和数据安全等四个层面采用密码技术措施，建立安全的密钥管理方案，并采取有效的安全管理措施，对灌区信息化管理系统进行保护。</w:t>
      </w:r>
    </w:p>
    <w:p>
      <w:pPr>
        <w:ind w:firstLine="560"/>
        <w:rPr>
          <w:rFonts w:hint="eastAsia" w:cs="Times New Roman"/>
        </w:rPr>
      </w:pPr>
      <w:r>
        <w:rPr>
          <w:rFonts w:hint="eastAsia" w:cs="Times New Roman"/>
        </w:rPr>
        <w:t>7、与现有相关系统平台对接</w:t>
      </w:r>
    </w:p>
    <w:p>
      <w:pPr>
        <w:ind w:firstLine="560"/>
        <w:rPr>
          <w:rFonts w:hint="eastAsia" w:cs="Times New Roman"/>
        </w:rPr>
      </w:pPr>
      <w:r>
        <w:rPr>
          <w:rFonts w:hint="eastAsia" w:cs="Times New Roman"/>
        </w:rPr>
        <w:t>灌区信息化管理系统需从固海扬水管理处的固海扬水管理业务系统、固扩扬水管理业务系统和红寺堡扬水管理处的红寺堡扬水管理业务系统中调用相关业务数据，本次灌区信息化管理系统和三大扬水管理系统对接，实现数据交换。</w:t>
      </w:r>
    </w:p>
    <w:p>
      <w:pPr>
        <w:ind w:firstLine="560"/>
        <w:rPr>
          <w:rFonts w:cs="Times New Roman"/>
        </w:rPr>
      </w:pPr>
      <w:r>
        <w:rPr>
          <w:rFonts w:hint="eastAsia" w:cs="Times New Roman"/>
        </w:rPr>
        <w:t>宁夏“互联网+高效节水农业”管理服务平台主要包含采集系统、高效节灌一张图、工程建设管理、智能灌溉、专家决策、实时监控、病虫情监测、水费计收、系统日志等。灌区信息化管理系统通过和互联网+高效节水平台对接，获取已建工程相关数据信息。</w:t>
      </w:r>
    </w:p>
    <w:p>
      <w:pPr>
        <w:pStyle w:val="4"/>
        <w:ind w:firstLine="562"/>
        <w:rPr>
          <w:rFonts w:cs="Times New Roman"/>
        </w:rPr>
      </w:pPr>
      <w:r>
        <w:rPr>
          <w:rFonts w:hint="eastAsia" w:cs="Times New Roman"/>
        </w:rPr>
        <w:t>（四）调度中心建设</w:t>
      </w:r>
    </w:p>
    <w:p>
      <w:pPr>
        <w:ind w:firstLine="560"/>
        <w:rPr>
          <w:rFonts w:cs="Times New Roman"/>
        </w:rPr>
      </w:pPr>
      <w:r>
        <w:rPr>
          <w:rFonts w:hint="eastAsia" w:cs="Times New Roman"/>
        </w:rPr>
        <w:t>便于水资源的统一调配，本工程拟采用全县域统一调度、各乡镇分散调度的方案，在同心县城新建总调中心，统一调度管理整个扬黄灌区，在灌区涉及的9个乡镇新建分调中心，调度管理所辖乡镇范围内扬黄灌区。</w:t>
      </w:r>
    </w:p>
    <w:p>
      <w:pPr>
        <w:snapToGrid w:val="0"/>
        <w:ind w:firstLine="560"/>
        <w:rPr>
          <w:rFonts w:cs="Times New Roman"/>
        </w:rPr>
        <w:sectPr>
          <w:pgSz w:w="11906" w:h="16838"/>
          <w:pgMar w:top="1440" w:right="1418" w:bottom="1440" w:left="1418" w:header="567" w:footer="992" w:gutter="0"/>
          <w:cols w:space="425" w:num="1"/>
          <w:docGrid w:linePitch="381" w:charSpace="0"/>
        </w:sectPr>
      </w:pPr>
    </w:p>
    <w:p>
      <w:pPr>
        <w:pStyle w:val="11"/>
        <w:keepNext/>
        <w:ind w:firstLine="0" w:firstLineChars="0"/>
        <w:jc w:val="center"/>
        <w:rPr>
          <w:rFonts w:ascii="仿宋" w:hAnsi="仿宋" w:eastAsia="仿宋"/>
          <w:b/>
          <w:sz w:val="24"/>
          <w:szCs w:val="24"/>
        </w:rPr>
      </w:pPr>
      <w:r>
        <w:rPr>
          <w:rFonts w:hint="eastAsia" w:ascii="仿宋" w:hAnsi="仿宋" w:eastAsia="仿宋"/>
          <w:b/>
          <w:sz w:val="24"/>
          <w:szCs w:val="24"/>
        </w:rPr>
        <w:t>表</w:t>
      </w:r>
      <w:r>
        <w:rPr>
          <w:rFonts w:ascii="仿宋" w:hAnsi="仿宋" w:eastAsia="仿宋"/>
          <w:b/>
          <w:sz w:val="24"/>
          <w:szCs w:val="24"/>
        </w:rPr>
        <w:t>3-1</w:t>
      </w:r>
      <w:r>
        <w:rPr>
          <w:rFonts w:hint="eastAsia" w:ascii="仿宋" w:hAnsi="仿宋" w:eastAsia="仿宋"/>
          <w:b/>
          <w:sz w:val="24"/>
          <w:szCs w:val="24"/>
        </w:rPr>
        <w:t>同心县规划实施改造提升高标准农田（渠改滴）统计表（按建设年度划分）</w:t>
      </w:r>
    </w:p>
    <w:tbl>
      <w:tblPr>
        <w:tblStyle w:val="30"/>
        <w:tblW w:w="4998" w:type="pct"/>
        <w:tblInd w:w="0" w:type="dxa"/>
        <w:tblLayout w:type="autofit"/>
        <w:tblCellMar>
          <w:top w:w="0" w:type="dxa"/>
          <w:left w:w="108" w:type="dxa"/>
          <w:bottom w:w="0" w:type="dxa"/>
          <w:right w:w="108" w:type="dxa"/>
        </w:tblCellMar>
      </w:tblPr>
      <w:tblGrid>
        <w:gridCol w:w="946"/>
        <w:gridCol w:w="966"/>
        <w:gridCol w:w="6584"/>
        <w:gridCol w:w="1307"/>
        <w:gridCol w:w="1233"/>
        <w:gridCol w:w="1984"/>
        <w:gridCol w:w="1148"/>
      </w:tblGrid>
      <w:tr>
        <w:tblPrEx>
          <w:tblCellMar>
            <w:top w:w="0" w:type="dxa"/>
            <w:left w:w="108" w:type="dxa"/>
            <w:bottom w:w="0" w:type="dxa"/>
            <w:right w:w="108" w:type="dxa"/>
          </w:tblCellMar>
        </w:tblPrEx>
        <w:trPr>
          <w:trHeight w:val="340" w:hRule="atLeast"/>
        </w:trPr>
        <w:tc>
          <w:tcPr>
            <w:tcW w:w="334" w:type="pct"/>
            <w:vMerge w:val="restart"/>
            <w:tcBorders>
              <w:top w:val="single" w:color="000000" w:sz="12"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textAlignment w:val="center"/>
              <w:rPr>
                <w:rFonts w:cs="Times New Roman"/>
                <w:b/>
                <w:bCs/>
                <w:color w:val="000000" w:themeColor="text1"/>
                <w:kern w:val="0"/>
                <w:sz w:val="21"/>
                <w:szCs w:val="20"/>
                <w:lang w:bidi="ar"/>
                <w14:textFill>
                  <w14:solidFill>
                    <w14:schemeClr w14:val="tx1"/>
                  </w14:solidFill>
                </w14:textFill>
              </w:rPr>
            </w:pPr>
            <w:r>
              <w:rPr>
                <w:rFonts w:cs="Times New Roman"/>
                <w:b/>
                <w:bCs/>
                <w:color w:val="000000" w:themeColor="text1"/>
                <w:kern w:val="0"/>
                <w:sz w:val="21"/>
                <w:szCs w:val="20"/>
                <w:lang w:bidi="ar"/>
                <w14:textFill>
                  <w14:solidFill>
                    <w14:schemeClr w14:val="tx1"/>
                  </w14:solidFill>
                </w14:textFill>
              </w:rPr>
              <w:t>建设</w:t>
            </w:r>
          </w:p>
          <w:p>
            <w:pPr>
              <w:widowControl/>
              <w:spacing w:line="240" w:lineRule="auto"/>
              <w:ind w:firstLine="0" w:firstLineChars="0"/>
              <w:jc w:val="center"/>
              <w:textAlignment w:val="center"/>
              <w:rPr>
                <w:rFonts w:cs="Times New Roman"/>
                <w:b/>
                <w:bCs/>
                <w:color w:val="000000" w:themeColor="text1"/>
                <w:sz w:val="21"/>
                <w:szCs w:val="20"/>
                <w14:textFill>
                  <w14:solidFill>
                    <w14:schemeClr w14:val="tx1"/>
                  </w14:solidFill>
                </w14:textFill>
              </w:rPr>
            </w:pPr>
            <w:r>
              <w:rPr>
                <w:rFonts w:cs="Times New Roman"/>
                <w:b/>
                <w:bCs/>
                <w:color w:val="000000" w:themeColor="text1"/>
                <w:kern w:val="0"/>
                <w:sz w:val="21"/>
                <w:szCs w:val="20"/>
                <w:lang w:bidi="ar"/>
                <w14:textFill>
                  <w14:solidFill>
                    <w14:schemeClr w14:val="tx1"/>
                  </w14:solidFill>
                </w14:textFill>
              </w:rPr>
              <w:t>年度</w:t>
            </w:r>
          </w:p>
        </w:tc>
        <w:tc>
          <w:tcPr>
            <w:tcW w:w="341" w:type="pct"/>
            <w:vMerge w:val="restart"/>
            <w:tcBorders>
              <w:top w:val="single" w:color="000000" w:sz="12"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b/>
                <w:bCs/>
                <w:color w:val="000000" w:themeColor="text1"/>
                <w:sz w:val="21"/>
                <w:szCs w:val="20"/>
                <w14:textFill>
                  <w14:solidFill>
                    <w14:schemeClr w14:val="tx1"/>
                  </w14:solidFill>
                </w14:textFill>
              </w:rPr>
            </w:pPr>
            <w:r>
              <w:rPr>
                <w:rFonts w:cs="Times New Roman"/>
                <w:b/>
                <w:bCs/>
                <w:color w:val="000000" w:themeColor="text1"/>
                <w:kern w:val="0"/>
                <w:sz w:val="21"/>
                <w:szCs w:val="20"/>
                <w:lang w:bidi="ar"/>
                <w14:textFill>
                  <w14:solidFill>
                    <w14:schemeClr w14:val="tx1"/>
                  </w14:solidFill>
                </w14:textFill>
              </w:rPr>
              <w:t>序号</w:t>
            </w:r>
          </w:p>
        </w:tc>
        <w:tc>
          <w:tcPr>
            <w:tcW w:w="2323" w:type="pct"/>
            <w:vMerge w:val="restart"/>
            <w:tcBorders>
              <w:top w:val="single" w:color="000000" w:sz="12"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b/>
                <w:bCs/>
                <w:color w:val="000000" w:themeColor="text1"/>
                <w:sz w:val="21"/>
                <w:szCs w:val="20"/>
                <w14:textFill>
                  <w14:solidFill>
                    <w14:schemeClr w14:val="tx1"/>
                  </w14:solidFill>
                </w14:textFill>
              </w:rPr>
            </w:pPr>
            <w:r>
              <w:rPr>
                <w:rFonts w:cs="Times New Roman"/>
                <w:b/>
                <w:bCs/>
                <w:color w:val="000000" w:themeColor="text1"/>
                <w:kern w:val="0"/>
                <w:sz w:val="21"/>
                <w:szCs w:val="20"/>
                <w:lang w:bidi="ar"/>
                <w14:textFill>
                  <w14:solidFill>
                    <w14:schemeClr w14:val="tx1"/>
                  </w14:solidFill>
                </w14:textFill>
              </w:rPr>
              <w:t>项目名称</w:t>
            </w:r>
          </w:p>
        </w:tc>
        <w:tc>
          <w:tcPr>
            <w:tcW w:w="461" w:type="pct"/>
            <w:vMerge w:val="restart"/>
            <w:tcBorders>
              <w:top w:val="single" w:color="000000" w:sz="12" w:space="0"/>
              <w:left w:val="single" w:color="000000" w:sz="4" w:space="0"/>
              <w:bottom w:val="single" w:color="000000" w:sz="4" w:space="0"/>
              <w:right w:val="single" w:color="000000" w:sz="4" w:space="0"/>
            </w:tcBorders>
            <w:vAlign w:val="center"/>
          </w:tcPr>
          <w:p>
            <w:pPr>
              <w:widowControl/>
              <w:spacing w:line="240" w:lineRule="auto"/>
              <w:ind w:firstLine="0" w:firstLineChars="0"/>
              <w:jc w:val="center"/>
              <w:textAlignment w:val="center"/>
              <w:rPr>
                <w:rFonts w:cs="Times New Roman"/>
                <w:b/>
                <w:bCs/>
                <w:color w:val="000000" w:themeColor="text1"/>
                <w:sz w:val="21"/>
                <w:szCs w:val="20"/>
                <w14:textFill>
                  <w14:solidFill>
                    <w14:schemeClr w14:val="tx1"/>
                  </w14:solidFill>
                </w14:textFill>
              </w:rPr>
            </w:pPr>
            <w:r>
              <w:rPr>
                <w:rFonts w:cs="Times New Roman"/>
                <w:b/>
                <w:bCs/>
                <w:color w:val="000000" w:themeColor="text1"/>
                <w:kern w:val="0"/>
                <w:sz w:val="21"/>
                <w:szCs w:val="20"/>
                <w:lang w:bidi="ar"/>
                <w14:textFill>
                  <w14:solidFill>
                    <w14:schemeClr w14:val="tx1"/>
                  </w14:solidFill>
                </w14:textFill>
              </w:rPr>
              <w:t>规划面积（万亩）</w:t>
            </w:r>
          </w:p>
        </w:tc>
        <w:tc>
          <w:tcPr>
            <w:tcW w:w="435" w:type="pct"/>
            <w:vMerge w:val="restart"/>
            <w:tcBorders>
              <w:top w:val="single" w:color="000000" w:sz="12"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b/>
                <w:bCs/>
                <w:color w:val="000000" w:themeColor="text1"/>
                <w:sz w:val="21"/>
                <w:szCs w:val="20"/>
                <w14:textFill>
                  <w14:solidFill>
                    <w14:schemeClr w14:val="tx1"/>
                  </w14:solidFill>
                </w14:textFill>
              </w:rPr>
            </w:pPr>
            <w:r>
              <w:rPr>
                <w:rFonts w:cs="Times New Roman"/>
                <w:b/>
                <w:bCs/>
                <w:color w:val="000000" w:themeColor="text1"/>
                <w:kern w:val="0"/>
                <w:sz w:val="21"/>
                <w:szCs w:val="20"/>
                <w:lang w:bidi="ar"/>
                <w14:textFill>
                  <w14:solidFill>
                    <w14:schemeClr w14:val="tx1"/>
                  </w14:solidFill>
                </w14:textFill>
              </w:rPr>
              <w:t>所属灌区</w:t>
            </w:r>
          </w:p>
        </w:tc>
        <w:tc>
          <w:tcPr>
            <w:tcW w:w="700" w:type="pct"/>
            <w:vMerge w:val="restart"/>
            <w:tcBorders>
              <w:top w:val="single" w:color="000000" w:sz="12"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b/>
                <w:bCs/>
                <w:color w:val="000000" w:themeColor="text1"/>
                <w:sz w:val="21"/>
                <w:szCs w:val="20"/>
                <w14:textFill>
                  <w14:solidFill>
                    <w14:schemeClr w14:val="tx1"/>
                  </w14:solidFill>
                </w14:textFill>
              </w:rPr>
            </w:pPr>
            <w:r>
              <w:rPr>
                <w:rFonts w:cs="Times New Roman"/>
                <w:b/>
                <w:bCs/>
                <w:color w:val="000000" w:themeColor="text1"/>
                <w:kern w:val="0"/>
                <w:sz w:val="21"/>
                <w:szCs w:val="20"/>
                <w:lang w:bidi="ar"/>
                <w14:textFill>
                  <w14:solidFill>
                    <w14:schemeClr w14:val="tx1"/>
                  </w14:solidFill>
                </w14:textFill>
              </w:rPr>
              <w:t>调蓄设施</w:t>
            </w:r>
          </w:p>
        </w:tc>
        <w:tc>
          <w:tcPr>
            <w:tcW w:w="405" w:type="pct"/>
            <w:vMerge w:val="restart"/>
            <w:tcBorders>
              <w:top w:val="single" w:color="000000" w:sz="12"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b/>
                <w:bCs/>
                <w:color w:val="000000" w:themeColor="text1"/>
                <w:sz w:val="21"/>
                <w:szCs w:val="20"/>
                <w14:textFill>
                  <w14:solidFill>
                    <w14:schemeClr w14:val="tx1"/>
                  </w14:solidFill>
                </w14:textFill>
              </w:rPr>
            </w:pPr>
            <w:r>
              <w:rPr>
                <w:rFonts w:cs="Times New Roman"/>
                <w:b/>
                <w:bCs/>
                <w:color w:val="000000" w:themeColor="text1"/>
                <w:kern w:val="0"/>
                <w:sz w:val="21"/>
                <w:szCs w:val="20"/>
                <w:lang w:bidi="ar"/>
                <w14:textFill>
                  <w14:solidFill>
                    <w14:schemeClr w14:val="tx1"/>
                  </w14:solidFill>
                </w14:textFill>
              </w:rPr>
              <w:t>备注</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b/>
                <w:bCs/>
                <w:color w:val="000000" w:themeColor="text1"/>
                <w:sz w:val="21"/>
                <w:szCs w:val="20"/>
                <w14:textFill>
                  <w14:solidFill>
                    <w14:schemeClr w14:val="tx1"/>
                  </w14:solidFill>
                </w14:textFill>
              </w:rPr>
            </w:pPr>
          </w:p>
        </w:tc>
        <w:tc>
          <w:tcPr>
            <w:tcW w:w="341" w:type="pct"/>
            <w:vMerge w:val="continue"/>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rPr>
                <w:rFonts w:cs="Times New Roman"/>
                <w:b/>
                <w:bCs/>
                <w:color w:val="000000" w:themeColor="text1"/>
                <w:sz w:val="21"/>
                <w:szCs w:val="20"/>
                <w14:textFill>
                  <w14:solidFill>
                    <w14:schemeClr w14:val="tx1"/>
                  </w14:solidFill>
                </w14:textFill>
              </w:rPr>
            </w:pPr>
          </w:p>
        </w:tc>
        <w:tc>
          <w:tcPr>
            <w:tcW w:w="2323" w:type="pct"/>
            <w:vMerge w:val="continue"/>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rPr>
                <w:rFonts w:cs="Times New Roman"/>
                <w:b/>
                <w:bCs/>
                <w:color w:val="000000" w:themeColor="text1"/>
                <w:sz w:val="21"/>
                <w:szCs w:val="20"/>
                <w14:textFill>
                  <w14:solidFill>
                    <w14:schemeClr w14:val="tx1"/>
                  </w14:solidFill>
                </w14:textFill>
              </w:rPr>
            </w:pPr>
          </w:p>
        </w:tc>
        <w:tc>
          <w:tcPr>
            <w:tcW w:w="461"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auto"/>
              <w:ind w:firstLine="0" w:firstLineChars="0"/>
              <w:jc w:val="center"/>
              <w:rPr>
                <w:rFonts w:cs="Times New Roman"/>
                <w:b/>
                <w:bCs/>
                <w:color w:val="000000" w:themeColor="text1"/>
                <w:sz w:val="21"/>
                <w:szCs w:val="20"/>
                <w14:textFill>
                  <w14:solidFill>
                    <w14:schemeClr w14:val="tx1"/>
                  </w14:solidFill>
                </w14:textFill>
              </w:rPr>
            </w:pPr>
          </w:p>
        </w:tc>
        <w:tc>
          <w:tcPr>
            <w:tcW w:w="435" w:type="pct"/>
            <w:vMerge w:val="continue"/>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rPr>
                <w:rFonts w:cs="Times New Roman"/>
                <w:b/>
                <w:bCs/>
                <w:color w:val="000000" w:themeColor="text1"/>
                <w:sz w:val="21"/>
                <w:szCs w:val="20"/>
                <w14:textFill>
                  <w14:solidFill>
                    <w14:schemeClr w14:val="tx1"/>
                  </w14:solidFill>
                </w14:textFill>
              </w:rPr>
            </w:pPr>
          </w:p>
        </w:tc>
        <w:tc>
          <w:tcPr>
            <w:tcW w:w="700" w:type="pct"/>
            <w:vMerge w:val="continue"/>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rPr>
                <w:rFonts w:cs="Times New Roman"/>
                <w:b/>
                <w:bCs/>
                <w:color w:val="000000" w:themeColor="text1"/>
                <w:sz w:val="21"/>
                <w:szCs w:val="20"/>
                <w14:textFill>
                  <w14:solidFill>
                    <w14:schemeClr w14:val="tx1"/>
                  </w14:solidFill>
                </w14:textFill>
              </w:rPr>
            </w:pPr>
          </w:p>
        </w:tc>
        <w:tc>
          <w:tcPr>
            <w:tcW w:w="405" w:type="pct"/>
            <w:vMerge w:val="continue"/>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rPr>
                <w:rFonts w:cs="Times New Roman"/>
                <w:b/>
                <w:bCs/>
                <w:color w:val="000000" w:themeColor="text1"/>
                <w:sz w:val="21"/>
                <w:szCs w:val="20"/>
                <w14:textFill>
                  <w14:solidFill>
                    <w14:schemeClr w14:val="tx1"/>
                  </w14:solidFill>
                </w14:textFill>
              </w:rPr>
            </w:pPr>
          </w:p>
        </w:tc>
      </w:tr>
      <w:tr>
        <w:tblPrEx>
          <w:tblCellMar>
            <w:top w:w="0" w:type="dxa"/>
            <w:left w:w="108" w:type="dxa"/>
            <w:bottom w:w="0" w:type="dxa"/>
            <w:right w:w="108" w:type="dxa"/>
          </w:tblCellMar>
        </w:tblPrEx>
        <w:trPr>
          <w:trHeight w:val="340" w:hRule="atLeast"/>
        </w:trPr>
        <w:tc>
          <w:tcPr>
            <w:tcW w:w="334" w:type="pct"/>
            <w:vMerge w:val="restart"/>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textAlignment w:val="center"/>
              <w:rPr>
                <w:rFonts w:cs="Times New Roman"/>
                <w:color w:val="000000" w:themeColor="text1"/>
                <w:kern w:val="0"/>
                <w:sz w:val="21"/>
                <w:szCs w:val="20"/>
                <w:lang w:bidi="ar"/>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2024</w:t>
            </w:r>
          </w:p>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年度</w:t>
            </w: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1</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同心县2024年河西镇桃山等村现代高效节水农业项目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1.50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小洪沟水库</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已建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2</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同心县2024年河西镇大洪沟村现代高效节水农业项目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0.93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大洪沟蓄水池</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新建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3</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同心县2024年河西镇艾家湾村现代高效节水农业项目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0.82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艾家湾蓄水池</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新建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4</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同心县2024年河西镇塘坊村等村现代高效节水农业项目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0.89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塘坊村蓄水池</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新建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5</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同心县2024年河西镇建新等村现代高效节水农业项目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0.64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杨河套子水库</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已建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6</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同心县2024年河西镇杨河套子等村现代高效节水农业项目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1.74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杨河套子水库</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已建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7</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同心县2024年河西镇石坝等村现代高效节水农业项目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1.45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马家塘水库</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已建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8</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同心县2024年河西镇下周家河湾等村现代高效节水农业项目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1.86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固扩</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白石头沟水库</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已建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9</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同心县2024年丁塘镇丁家塘等村现代高效节水农业项目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0.39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马家塘水库</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已建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10</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同心县2024年丁塘镇杨家塘等村现代高效节水农业项目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0.88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马家塘水库</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已建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11</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同心县2024年丁塘镇李家岗子村东片区现代高效节水农业项目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0.49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李家岗子西蓄水池</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新建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12</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同心县2024年丁塘镇李家岗子村西片区现代高效节水农业项目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0.47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李家岗子东蓄水池</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新建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13</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同心县2024年丁塘镇杨家河湾村西片区现代高效节水农业项目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0.32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杨家河湾西蓄水池</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新建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14</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同心县2024年丁塘镇杨家河湾村东片区现代高效节水农业项目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0.29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700" w:type="pct"/>
            <w:tcBorders>
              <w:top w:val="single" w:color="000000" w:sz="4" w:space="0"/>
              <w:left w:val="single" w:color="000000" w:sz="4" w:space="0"/>
              <w:bottom w:val="single" w:color="000000" w:sz="4" w:space="0"/>
              <w:right w:val="single" w:color="000000" w:sz="4" w:space="0"/>
            </w:tcBorders>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杨家河湾东蓄水池</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新建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15</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同心县2024年丁塘镇窑家岗子等村现代高效节水农业项目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0.35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700" w:type="pct"/>
            <w:tcBorders>
              <w:top w:val="single" w:color="000000" w:sz="4" w:space="0"/>
              <w:left w:val="single" w:color="000000" w:sz="4" w:space="0"/>
              <w:bottom w:val="single" w:color="000000" w:sz="4" w:space="0"/>
              <w:right w:val="single" w:color="000000" w:sz="4" w:space="0"/>
            </w:tcBorders>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窑家岗子蓄水池</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新建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16</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同心县2024年丁塘镇南阳等村现代高效节水农业项目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2.39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固海+固扩</w:t>
            </w:r>
          </w:p>
        </w:tc>
        <w:tc>
          <w:tcPr>
            <w:tcW w:w="700" w:type="pct"/>
            <w:tcBorders>
              <w:top w:val="single" w:color="000000" w:sz="4" w:space="0"/>
              <w:left w:val="single" w:color="000000" w:sz="4" w:space="0"/>
              <w:bottom w:val="single" w:color="000000" w:sz="4" w:space="0"/>
              <w:right w:val="single" w:color="000000" w:sz="4" w:space="0"/>
            </w:tcBorders>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白府都水库</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已建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2664" w:type="pct"/>
            <w:gridSpan w:val="2"/>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b/>
                <w:bCs/>
                <w:color w:val="000000" w:themeColor="text1"/>
                <w:sz w:val="21"/>
                <w:szCs w:val="20"/>
                <w14:textFill>
                  <w14:solidFill>
                    <w14:schemeClr w14:val="tx1"/>
                  </w14:solidFill>
                </w14:textFill>
              </w:rPr>
            </w:pPr>
            <w:r>
              <w:rPr>
                <w:rFonts w:cs="Times New Roman"/>
                <w:b/>
                <w:bCs/>
                <w:color w:val="000000" w:themeColor="text1"/>
                <w:kern w:val="0"/>
                <w:sz w:val="21"/>
                <w:szCs w:val="20"/>
                <w:lang w:bidi="ar"/>
                <w14:textFill>
                  <w14:solidFill>
                    <w14:schemeClr w14:val="tx1"/>
                  </w14:solidFill>
                </w14:textFill>
              </w:rPr>
              <w:t>小计</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b/>
                <w:bCs/>
                <w:color w:val="000000" w:themeColor="text1"/>
                <w:sz w:val="21"/>
                <w:szCs w:val="20"/>
                <w14:textFill>
                  <w14:solidFill>
                    <w14:schemeClr w14:val="tx1"/>
                  </w14:solidFill>
                </w14:textFill>
              </w:rPr>
            </w:pPr>
            <w:r>
              <w:rPr>
                <w:rFonts w:cs="Times New Roman"/>
                <w:b/>
                <w:bCs/>
                <w:color w:val="000000" w:themeColor="text1"/>
                <w:kern w:val="0"/>
                <w:sz w:val="21"/>
                <w:szCs w:val="20"/>
                <w:lang w:bidi="ar"/>
                <w14:textFill>
                  <w14:solidFill>
                    <w14:schemeClr w14:val="tx1"/>
                  </w14:solidFill>
                </w14:textFill>
              </w:rPr>
              <w:t xml:space="preserve">15.41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rPr>
                <w:rFonts w:cs="Times New Roman"/>
                <w:b/>
                <w:bCs/>
                <w:color w:val="000000" w:themeColor="text1"/>
                <w:sz w:val="21"/>
                <w:szCs w:val="20"/>
                <w14:textFill>
                  <w14:solidFill>
                    <w14:schemeClr w14:val="tx1"/>
                  </w14:solidFill>
                </w14:textFill>
              </w:rPr>
            </w:pP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r>
      <w:tr>
        <w:tblPrEx>
          <w:tblCellMar>
            <w:top w:w="0" w:type="dxa"/>
            <w:left w:w="108" w:type="dxa"/>
            <w:bottom w:w="0" w:type="dxa"/>
            <w:right w:w="108" w:type="dxa"/>
          </w:tblCellMar>
        </w:tblPrEx>
        <w:trPr>
          <w:trHeight w:val="340" w:hRule="atLeast"/>
        </w:trPr>
        <w:tc>
          <w:tcPr>
            <w:tcW w:w="334" w:type="pct"/>
            <w:vMerge w:val="restart"/>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textAlignment w:val="center"/>
              <w:rPr>
                <w:rFonts w:cs="Times New Roman"/>
                <w:color w:val="000000" w:themeColor="text1"/>
                <w:kern w:val="0"/>
                <w:sz w:val="21"/>
                <w:szCs w:val="20"/>
                <w:lang w:bidi="ar"/>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2025</w:t>
            </w:r>
          </w:p>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年度</w:t>
            </w: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17</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同心县2025年兴隆乡李堡等村现代高效节水农业项目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1.35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700" w:type="pct"/>
            <w:tcBorders>
              <w:top w:val="single" w:color="000000" w:sz="4" w:space="0"/>
              <w:left w:val="single" w:color="000000" w:sz="4" w:space="0"/>
              <w:bottom w:val="single" w:color="000000" w:sz="4" w:space="0"/>
              <w:right w:val="single" w:color="000000" w:sz="4" w:space="0"/>
            </w:tcBorders>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兴隆抗旱蓄水池</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已建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18</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同心县2025年兴隆乡王大套村现代高效节水农业项目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0.46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700" w:type="pct"/>
            <w:tcBorders>
              <w:top w:val="single" w:color="000000" w:sz="4" w:space="0"/>
              <w:left w:val="single" w:color="000000" w:sz="4" w:space="0"/>
              <w:bottom w:val="single" w:color="000000" w:sz="4" w:space="0"/>
              <w:right w:val="single" w:color="000000" w:sz="4" w:space="0"/>
            </w:tcBorders>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王大套3#蓄水池</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新建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19</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同心县2025年兴隆乡新生西塘村现代高效节水农业项目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0.58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新生1#蓄水池</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已建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20</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同心县2025年兴隆乡王团等村现代高效节水农业项目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0.60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田家沟蓄水池</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新建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21</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同心县2025年兴隆乡新生村现代高效节水农业项目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0.57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西山洼蓄水池</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新建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22</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同心县2025年豫海镇沙沿等村现代高效节水农业项目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0.42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沙沿蓄水池</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新建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23</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同心县2025年豫海镇城北现代高效节水农业项目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0.20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700" w:type="pct"/>
            <w:tcBorders>
              <w:top w:val="single" w:color="000000" w:sz="4" w:space="0"/>
              <w:left w:val="single" w:color="000000" w:sz="4" w:space="0"/>
              <w:bottom w:val="single" w:color="000000" w:sz="4" w:space="0"/>
              <w:right w:val="single" w:color="000000" w:sz="4" w:space="0"/>
            </w:tcBorders>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白府都水库</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已建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24</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同心县2025年豫海镇兴隆村现代高效节水农业项目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0.27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兴隆2#蓄水池</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已建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25</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同心县2025年豫海镇黑家套子等村现代高效节水农业项目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0.54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固扩</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黑家套子蓄水池</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新建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26</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同心县2025年豫海镇庙儿岭村现代高效节水农业项目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0.39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固扩</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庙儿岭蓄水池</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已建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27</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同心县2025年王团镇倒墩子等村现代高效节水农业项目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0.83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固扩</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倒墩子蓄水池</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新建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28</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同心县2025年王团镇联合等村现代高效节水农业项目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1.11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联合蓄水池</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新建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29</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同心县2025年王团镇前红等村现代高效节水农业项目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1.60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固扩</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前红蓄水池</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新建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30</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同心县2025年王团镇张家湾等村现代高效节水农业项目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0.71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固扩</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王团扩建蓄水池</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已建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31</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同心县2025年王团镇蔡家滩村现代高效节水农业项目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0.52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固扩</w:t>
            </w:r>
          </w:p>
        </w:tc>
        <w:tc>
          <w:tcPr>
            <w:tcW w:w="700" w:type="pct"/>
            <w:tcBorders>
              <w:top w:val="single" w:color="000000" w:sz="4" w:space="0"/>
              <w:left w:val="single" w:color="000000" w:sz="4" w:space="0"/>
              <w:bottom w:val="single" w:color="000000" w:sz="4" w:space="0"/>
              <w:right w:val="single" w:color="000000" w:sz="4" w:space="0"/>
            </w:tcBorders>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蔡家滩蓄水池</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新建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32</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同心县2025年王团镇新堡子村现代高效节水农业项目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0.24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固扩</w:t>
            </w:r>
          </w:p>
        </w:tc>
        <w:tc>
          <w:tcPr>
            <w:tcW w:w="700" w:type="pct"/>
            <w:tcBorders>
              <w:top w:val="single" w:color="000000" w:sz="4" w:space="0"/>
              <w:left w:val="single" w:color="000000" w:sz="4" w:space="0"/>
              <w:bottom w:val="single" w:color="000000" w:sz="4" w:space="0"/>
              <w:right w:val="single" w:color="000000" w:sz="4" w:space="0"/>
            </w:tcBorders>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新堡子蓄水池</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新建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34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33</w:t>
            </w:r>
          </w:p>
        </w:tc>
        <w:tc>
          <w:tcPr>
            <w:tcW w:w="2323"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同心县2025年王团镇羊路等村现代高效节水农业项目</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0.53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固扩</w:t>
            </w: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羊路蓄水池</w:t>
            </w: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新建</w:t>
            </w:r>
          </w:p>
        </w:tc>
      </w:tr>
      <w:tr>
        <w:tblPrEx>
          <w:tblCellMar>
            <w:top w:w="0" w:type="dxa"/>
            <w:left w:w="108" w:type="dxa"/>
            <w:bottom w:w="0" w:type="dxa"/>
            <w:right w:w="108" w:type="dxa"/>
          </w:tblCellMar>
        </w:tblPrEx>
        <w:trPr>
          <w:trHeight w:val="340" w:hRule="atLeast"/>
        </w:trPr>
        <w:tc>
          <w:tcPr>
            <w:tcW w:w="334"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2664" w:type="pct"/>
            <w:gridSpan w:val="2"/>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b/>
                <w:bCs/>
                <w:color w:val="000000" w:themeColor="text1"/>
                <w:sz w:val="21"/>
                <w:szCs w:val="20"/>
                <w14:textFill>
                  <w14:solidFill>
                    <w14:schemeClr w14:val="tx1"/>
                  </w14:solidFill>
                </w14:textFill>
              </w:rPr>
            </w:pPr>
            <w:r>
              <w:rPr>
                <w:rFonts w:cs="Times New Roman"/>
                <w:b/>
                <w:bCs/>
                <w:color w:val="000000" w:themeColor="text1"/>
                <w:kern w:val="0"/>
                <w:sz w:val="21"/>
                <w:szCs w:val="20"/>
                <w:lang w:bidi="ar"/>
                <w14:textFill>
                  <w14:solidFill>
                    <w14:schemeClr w14:val="tx1"/>
                  </w14:solidFill>
                </w14:textFill>
              </w:rPr>
              <w:t>小计</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b/>
                <w:bCs/>
                <w:color w:val="000000" w:themeColor="text1"/>
                <w:sz w:val="21"/>
                <w:szCs w:val="20"/>
                <w14:textFill>
                  <w14:solidFill>
                    <w14:schemeClr w14:val="tx1"/>
                  </w14:solidFill>
                </w14:textFill>
              </w:rPr>
            </w:pPr>
            <w:r>
              <w:rPr>
                <w:rFonts w:cs="Times New Roman"/>
                <w:b/>
                <w:bCs/>
                <w:color w:val="000000" w:themeColor="text1"/>
                <w:kern w:val="0"/>
                <w:sz w:val="21"/>
                <w:szCs w:val="20"/>
                <w:lang w:bidi="ar"/>
                <w14:textFill>
                  <w14:solidFill>
                    <w14:schemeClr w14:val="tx1"/>
                  </w14:solidFill>
                </w14:textFill>
              </w:rPr>
              <w:t xml:space="preserve">10.94 </w:t>
            </w:r>
          </w:p>
        </w:tc>
        <w:tc>
          <w:tcPr>
            <w:tcW w:w="435"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70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405"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r>
      <w:tr>
        <w:tblPrEx>
          <w:tblCellMar>
            <w:top w:w="0" w:type="dxa"/>
            <w:left w:w="108" w:type="dxa"/>
            <w:bottom w:w="0" w:type="dxa"/>
            <w:right w:w="108" w:type="dxa"/>
          </w:tblCellMar>
        </w:tblPrEx>
        <w:trPr>
          <w:trHeight w:val="340" w:hRule="atLeast"/>
        </w:trPr>
        <w:tc>
          <w:tcPr>
            <w:tcW w:w="2998" w:type="pct"/>
            <w:gridSpan w:val="3"/>
            <w:tcBorders>
              <w:top w:val="single" w:color="000000" w:sz="4" w:space="0"/>
              <w:left w:val="single" w:color="000000" w:sz="12" w:space="0"/>
              <w:bottom w:val="single" w:color="000000" w:sz="12" w:space="0"/>
              <w:right w:val="single" w:color="000000" w:sz="4" w:space="0"/>
            </w:tcBorders>
            <w:vAlign w:val="center"/>
          </w:tcPr>
          <w:p>
            <w:pPr>
              <w:widowControl/>
              <w:spacing w:line="240" w:lineRule="auto"/>
              <w:ind w:firstLine="0" w:firstLineChars="0"/>
              <w:jc w:val="center"/>
              <w:textAlignment w:val="center"/>
              <w:rPr>
                <w:rFonts w:cs="Times New Roman"/>
                <w:b/>
                <w:bCs/>
                <w:color w:val="000000" w:themeColor="text1"/>
                <w:sz w:val="21"/>
                <w:szCs w:val="20"/>
                <w14:textFill>
                  <w14:solidFill>
                    <w14:schemeClr w14:val="tx1"/>
                  </w14:solidFill>
                </w14:textFill>
              </w:rPr>
            </w:pPr>
            <w:r>
              <w:rPr>
                <w:rFonts w:cs="Times New Roman"/>
                <w:b/>
                <w:bCs/>
                <w:color w:val="000000" w:themeColor="text1"/>
                <w:kern w:val="0"/>
                <w:sz w:val="21"/>
                <w:szCs w:val="20"/>
                <w:lang w:bidi="ar"/>
                <w14:textFill>
                  <w14:solidFill>
                    <w14:schemeClr w14:val="tx1"/>
                  </w14:solidFill>
                </w14:textFill>
              </w:rPr>
              <w:t>总计</w:t>
            </w:r>
          </w:p>
        </w:tc>
        <w:tc>
          <w:tcPr>
            <w:tcW w:w="461" w:type="pct"/>
            <w:tcBorders>
              <w:top w:val="single" w:color="000000" w:sz="4" w:space="0"/>
              <w:left w:val="single" w:color="000000" w:sz="4" w:space="0"/>
              <w:bottom w:val="single" w:color="000000" w:sz="12" w:space="0"/>
              <w:right w:val="single" w:color="000000" w:sz="4" w:space="0"/>
            </w:tcBorders>
            <w:noWrap/>
            <w:vAlign w:val="center"/>
          </w:tcPr>
          <w:p>
            <w:pPr>
              <w:widowControl/>
              <w:spacing w:line="240" w:lineRule="auto"/>
              <w:ind w:firstLine="0" w:firstLineChars="0"/>
              <w:jc w:val="center"/>
              <w:textAlignment w:val="center"/>
              <w:rPr>
                <w:rFonts w:cs="Times New Roman"/>
                <w:b/>
                <w:bCs/>
                <w:color w:val="000000" w:themeColor="text1"/>
                <w:sz w:val="21"/>
                <w:szCs w:val="20"/>
                <w14:textFill>
                  <w14:solidFill>
                    <w14:schemeClr w14:val="tx1"/>
                  </w14:solidFill>
                </w14:textFill>
              </w:rPr>
            </w:pPr>
            <w:r>
              <w:rPr>
                <w:rFonts w:cs="Times New Roman"/>
                <w:b/>
                <w:bCs/>
                <w:color w:val="000000" w:themeColor="text1"/>
                <w:kern w:val="0"/>
                <w:sz w:val="21"/>
                <w:szCs w:val="20"/>
                <w:lang w:bidi="ar"/>
                <w14:textFill>
                  <w14:solidFill>
                    <w14:schemeClr w14:val="tx1"/>
                  </w14:solidFill>
                </w14:textFill>
              </w:rPr>
              <w:t xml:space="preserve">26.35 </w:t>
            </w:r>
          </w:p>
        </w:tc>
        <w:tc>
          <w:tcPr>
            <w:tcW w:w="435" w:type="pct"/>
            <w:tcBorders>
              <w:top w:val="single" w:color="000000" w:sz="4" w:space="0"/>
              <w:left w:val="single" w:color="000000" w:sz="4" w:space="0"/>
              <w:bottom w:val="single" w:color="000000" w:sz="12" w:space="0"/>
              <w:right w:val="single" w:color="000000" w:sz="4" w:space="0"/>
            </w:tcBorders>
            <w:noWrap/>
            <w:vAlign w:val="center"/>
          </w:tcPr>
          <w:p>
            <w:pPr>
              <w:widowControl/>
              <w:spacing w:line="240" w:lineRule="auto"/>
              <w:ind w:firstLine="0" w:firstLineChars="0"/>
              <w:jc w:val="center"/>
              <w:rPr>
                <w:rFonts w:cs="Times New Roman"/>
                <w:b/>
                <w:bCs/>
                <w:color w:val="000000" w:themeColor="text1"/>
                <w:sz w:val="21"/>
                <w:szCs w:val="20"/>
                <w14:textFill>
                  <w14:solidFill>
                    <w14:schemeClr w14:val="tx1"/>
                  </w14:solidFill>
                </w14:textFill>
              </w:rPr>
            </w:pPr>
          </w:p>
        </w:tc>
        <w:tc>
          <w:tcPr>
            <w:tcW w:w="700" w:type="pct"/>
            <w:tcBorders>
              <w:top w:val="single" w:color="000000" w:sz="4" w:space="0"/>
              <w:left w:val="single" w:color="000000" w:sz="4" w:space="0"/>
              <w:bottom w:val="single" w:color="000000" w:sz="12" w:space="0"/>
              <w:right w:val="single" w:color="000000" w:sz="4" w:space="0"/>
            </w:tcBorders>
            <w:noWrap/>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405" w:type="pct"/>
            <w:tcBorders>
              <w:top w:val="single" w:color="000000" w:sz="4" w:space="0"/>
              <w:left w:val="single" w:color="000000" w:sz="4" w:space="0"/>
              <w:bottom w:val="single" w:color="000000" w:sz="12" w:space="0"/>
              <w:right w:val="single" w:color="000000" w:sz="12" w:space="0"/>
            </w:tcBorders>
            <w:noWrap/>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r>
    </w:tbl>
    <w:p>
      <w:pPr>
        <w:snapToGrid w:val="0"/>
        <w:ind w:firstLine="0" w:firstLineChars="0"/>
        <w:rPr>
          <w:rFonts w:cs="Times New Roman"/>
        </w:rPr>
      </w:pPr>
    </w:p>
    <w:p>
      <w:pPr>
        <w:snapToGrid w:val="0"/>
        <w:spacing w:line="240" w:lineRule="auto"/>
        <w:ind w:firstLine="480"/>
        <w:jc w:val="center"/>
        <w:rPr>
          <w:rFonts w:eastAsia="黑体" w:cs="Times New Roman"/>
          <w:color w:val="000000" w:themeColor="text1"/>
          <w:sz w:val="24"/>
          <w14:textFill>
            <w14:solidFill>
              <w14:schemeClr w14:val="tx1"/>
            </w14:solidFill>
          </w14:textFill>
        </w:rPr>
      </w:pPr>
      <w:r>
        <w:rPr>
          <w:rFonts w:hint="eastAsia" w:eastAsia="黑体" w:cs="Times New Roman"/>
          <w:color w:val="000000" w:themeColor="text1"/>
          <w:sz w:val="24"/>
          <w14:textFill>
            <w14:solidFill>
              <w14:schemeClr w14:val="tx1"/>
            </w14:solidFill>
          </w14:textFill>
        </w:rPr>
        <w:t>表</w:t>
      </w:r>
      <w:r>
        <w:rPr>
          <w:rFonts w:eastAsia="黑体" w:cs="Times New Roman"/>
          <w:color w:val="000000" w:themeColor="text1"/>
          <w:sz w:val="24"/>
          <w14:textFill>
            <w14:solidFill>
              <w14:schemeClr w14:val="tx1"/>
            </w14:solidFill>
          </w14:textFill>
        </w:rPr>
        <w:t>3-2</w:t>
      </w:r>
      <w:r>
        <w:rPr>
          <w:rFonts w:hint="eastAsia" w:eastAsia="黑体" w:cs="Times New Roman"/>
          <w:color w:val="000000" w:themeColor="text1"/>
          <w:sz w:val="24"/>
          <w14:textFill>
            <w14:solidFill>
              <w14:schemeClr w14:val="tx1"/>
            </w14:solidFill>
          </w14:textFill>
        </w:rPr>
        <w:t>同心县规划提升改造高效节灌统计表</w:t>
      </w:r>
    </w:p>
    <w:tbl>
      <w:tblPr>
        <w:tblStyle w:val="30"/>
        <w:tblW w:w="4998" w:type="pct"/>
        <w:tblInd w:w="0" w:type="dxa"/>
        <w:tblLayout w:type="autofit"/>
        <w:tblCellMar>
          <w:top w:w="0" w:type="dxa"/>
          <w:left w:w="108" w:type="dxa"/>
          <w:bottom w:w="0" w:type="dxa"/>
          <w:right w:w="108" w:type="dxa"/>
        </w:tblCellMar>
      </w:tblPr>
      <w:tblGrid>
        <w:gridCol w:w="1188"/>
        <w:gridCol w:w="720"/>
        <w:gridCol w:w="6466"/>
        <w:gridCol w:w="2126"/>
        <w:gridCol w:w="1307"/>
        <w:gridCol w:w="2361"/>
      </w:tblGrid>
      <w:tr>
        <w:tblPrEx>
          <w:tblCellMar>
            <w:top w:w="0" w:type="dxa"/>
            <w:left w:w="108" w:type="dxa"/>
            <w:bottom w:w="0" w:type="dxa"/>
            <w:right w:w="108" w:type="dxa"/>
          </w:tblCellMar>
        </w:tblPrEx>
        <w:trPr>
          <w:trHeight w:val="319" w:hRule="atLeast"/>
          <w:tblHeader/>
        </w:trPr>
        <w:tc>
          <w:tcPr>
            <w:tcW w:w="419" w:type="pct"/>
            <w:vMerge w:val="restart"/>
            <w:tcBorders>
              <w:top w:val="single" w:color="000000" w:sz="12"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textAlignment w:val="center"/>
              <w:rPr>
                <w:rFonts w:cs="Times New Roman"/>
                <w:b/>
                <w:color w:val="000000" w:themeColor="text1"/>
                <w:sz w:val="21"/>
                <w:szCs w:val="20"/>
                <w14:textFill>
                  <w14:solidFill>
                    <w14:schemeClr w14:val="tx1"/>
                  </w14:solidFill>
                </w14:textFill>
              </w:rPr>
            </w:pPr>
            <w:r>
              <w:rPr>
                <w:rFonts w:cs="Times New Roman"/>
                <w:b/>
                <w:color w:val="000000" w:themeColor="text1"/>
                <w:kern w:val="0"/>
                <w:sz w:val="21"/>
                <w:szCs w:val="20"/>
                <w:lang w:bidi="ar"/>
                <w14:textFill>
                  <w14:solidFill>
                    <w14:schemeClr w14:val="tx1"/>
                  </w14:solidFill>
                </w14:textFill>
              </w:rPr>
              <w:t>建设年度</w:t>
            </w:r>
          </w:p>
        </w:tc>
        <w:tc>
          <w:tcPr>
            <w:tcW w:w="254" w:type="pct"/>
            <w:vMerge w:val="restart"/>
            <w:tcBorders>
              <w:top w:val="single" w:color="000000" w:sz="12" w:space="0"/>
              <w:left w:val="single" w:color="000000" w:sz="4" w:space="0"/>
              <w:bottom w:val="single" w:color="000000" w:sz="4" w:space="0"/>
              <w:right w:val="single" w:color="000000" w:sz="4" w:space="0"/>
            </w:tcBorders>
            <w:vAlign w:val="center"/>
          </w:tcPr>
          <w:p>
            <w:pPr>
              <w:widowControl/>
              <w:spacing w:line="240" w:lineRule="auto"/>
              <w:ind w:firstLine="0" w:firstLineChars="0"/>
              <w:jc w:val="center"/>
              <w:textAlignment w:val="center"/>
              <w:rPr>
                <w:rFonts w:cs="Times New Roman"/>
                <w:b/>
                <w:color w:val="000000" w:themeColor="text1"/>
                <w:sz w:val="21"/>
                <w:szCs w:val="20"/>
                <w14:textFill>
                  <w14:solidFill>
                    <w14:schemeClr w14:val="tx1"/>
                  </w14:solidFill>
                </w14:textFill>
              </w:rPr>
            </w:pPr>
            <w:r>
              <w:rPr>
                <w:rFonts w:cs="Times New Roman"/>
                <w:b/>
                <w:color w:val="000000" w:themeColor="text1"/>
                <w:kern w:val="0"/>
                <w:sz w:val="21"/>
                <w:szCs w:val="20"/>
                <w:lang w:bidi="ar"/>
                <w14:textFill>
                  <w14:solidFill>
                    <w14:schemeClr w14:val="tx1"/>
                  </w14:solidFill>
                </w14:textFill>
              </w:rPr>
              <w:t>序号</w:t>
            </w:r>
          </w:p>
        </w:tc>
        <w:tc>
          <w:tcPr>
            <w:tcW w:w="2280" w:type="pct"/>
            <w:vMerge w:val="restart"/>
            <w:tcBorders>
              <w:top w:val="single" w:color="000000" w:sz="12" w:space="0"/>
              <w:left w:val="single" w:color="000000" w:sz="4" w:space="0"/>
              <w:bottom w:val="single" w:color="000000" w:sz="4" w:space="0"/>
              <w:right w:val="single" w:color="000000" w:sz="4" w:space="0"/>
            </w:tcBorders>
            <w:vAlign w:val="center"/>
          </w:tcPr>
          <w:p>
            <w:pPr>
              <w:widowControl/>
              <w:spacing w:line="240" w:lineRule="auto"/>
              <w:ind w:firstLine="0" w:firstLineChars="0"/>
              <w:jc w:val="center"/>
              <w:textAlignment w:val="center"/>
              <w:rPr>
                <w:rFonts w:cs="Times New Roman"/>
                <w:b/>
                <w:color w:val="000000" w:themeColor="text1"/>
                <w:sz w:val="21"/>
                <w:szCs w:val="20"/>
                <w14:textFill>
                  <w14:solidFill>
                    <w14:schemeClr w14:val="tx1"/>
                  </w14:solidFill>
                </w14:textFill>
              </w:rPr>
            </w:pPr>
            <w:r>
              <w:rPr>
                <w:rFonts w:cs="Times New Roman"/>
                <w:b/>
                <w:color w:val="000000" w:themeColor="text1"/>
                <w:kern w:val="0"/>
                <w:sz w:val="21"/>
                <w:szCs w:val="20"/>
                <w:lang w:bidi="ar"/>
                <w14:textFill>
                  <w14:solidFill>
                    <w14:schemeClr w14:val="tx1"/>
                  </w14:solidFill>
                </w14:textFill>
              </w:rPr>
              <w:t>项目名称</w:t>
            </w:r>
          </w:p>
        </w:tc>
        <w:tc>
          <w:tcPr>
            <w:tcW w:w="750" w:type="pct"/>
            <w:vMerge w:val="restart"/>
            <w:tcBorders>
              <w:top w:val="single" w:color="000000" w:sz="12" w:space="0"/>
              <w:left w:val="single" w:color="000000" w:sz="4" w:space="0"/>
              <w:bottom w:val="single" w:color="000000" w:sz="4" w:space="0"/>
              <w:right w:val="single" w:color="000000" w:sz="4" w:space="0"/>
            </w:tcBorders>
            <w:vAlign w:val="center"/>
          </w:tcPr>
          <w:p>
            <w:pPr>
              <w:widowControl/>
              <w:spacing w:line="240" w:lineRule="auto"/>
              <w:ind w:firstLine="0" w:firstLineChars="0"/>
              <w:jc w:val="left"/>
              <w:textAlignment w:val="center"/>
              <w:rPr>
                <w:rFonts w:cs="Times New Roman"/>
                <w:b/>
                <w:color w:val="000000" w:themeColor="text1"/>
                <w:sz w:val="21"/>
                <w:szCs w:val="20"/>
                <w14:textFill>
                  <w14:solidFill>
                    <w14:schemeClr w14:val="tx1"/>
                  </w14:solidFill>
                </w14:textFill>
              </w:rPr>
            </w:pPr>
            <w:r>
              <w:rPr>
                <w:rFonts w:cs="Times New Roman"/>
                <w:b/>
                <w:color w:val="000000" w:themeColor="text1"/>
                <w:kern w:val="0"/>
                <w:sz w:val="21"/>
                <w:szCs w:val="20"/>
                <w:lang w:bidi="ar"/>
                <w14:textFill>
                  <w14:solidFill>
                    <w14:schemeClr w14:val="tx1"/>
                  </w14:solidFill>
                </w14:textFill>
              </w:rPr>
              <w:t>建成面积（万亩）</w:t>
            </w:r>
          </w:p>
        </w:tc>
        <w:tc>
          <w:tcPr>
            <w:tcW w:w="461" w:type="pct"/>
            <w:vMerge w:val="restart"/>
            <w:tcBorders>
              <w:top w:val="single" w:color="000000" w:sz="12"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b/>
                <w:color w:val="000000" w:themeColor="text1"/>
                <w:sz w:val="21"/>
                <w:szCs w:val="20"/>
                <w14:textFill>
                  <w14:solidFill>
                    <w14:schemeClr w14:val="tx1"/>
                  </w14:solidFill>
                </w14:textFill>
              </w:rPr>
            </w:pPr>
            <w:r>
              <w:rPr>
                <w:rFonts w:cs="Times New Roman"/>
                <w:b/>
                <w:color w:val="000000" w:themeColor="text1"/>
                <w:kern w:val="0"/>
                <w:sz w:val="21"/>
                <w:szCs w:val="20"/>
                <w:lang w:bidi="ar"/>
                <w14:textFill>
                  <w14:solidFill>
                    <w14:schemeClr w14:val="tx1"/>
                  </w14:solidFill>
                </w14:textFill>
              </w:rPr>
              <w:t>所属灌区</w:t>
            </w:r>
          </w:p>
        </w:tc>
        <w:tc>
          <w:tcPr>
            <w:tcW w:w="833" w:type="pct"/>
            <w:vMerge w:val="restart"/>
            <w:tcBorders>
              <w:top w:val="single" w:color="000000" w:sz="12"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b/>
                <w:color w:val="000000" w:themeColor="text1"/>
                <w:sz w:val="21"/>
                <w:szCs w:val="20"/>
                <w14:textFill>
                  <w14:solidFill>
                    <w14:schemeClr w14:val="tx1"/>
                  </w14:solidFill>
                </w14:textFill>
              </w:rPr>
            </w:pPr>
            <w:r>
              <w:rPr>
                <w:rFonts w:cs="Times New Roman"/>
                <w:b/>
                <w:color w:val="000000" w:themeColor="text1"/>
                <w:kern w:val="0"/>
                <w:sz w:val="21"/>
                <w:szCs w:val="20"/>
                <w:lang w:bidi="ar"/>
                <w14:textFill>
                  <w14:solidFill>
                    <w14:schemeClr w14:val="tx1"/>
                  </w14:solidFill>
                </w14:textFill>
              </w:rPr>
              <w:t>调蓄设施</w:t>
            </w:r>
          </w:p>
        </w:tc>
      </w:tr>
      <w:tr>
        <w:tblPrEx>
          <w:tblCellMar>
            <w:top w:w="0" w:type="dxa"/>
            <w:left w:w="108" w:type="dxa"/>
            <w:bottom w:w="0" w:type="dxa"/>
            <w:right w:w="108" w:type="dxa"/>
          </w:tblCellMar>
        </w:tblPrEx>
        <w:trPr>
          <w:trHeight w:val="319" w:hRule="atLeast"/>
          <w:tblHeader/>
        </w:trPr>
        <w:tc>
          <w:tcPr>
            <w:tcW w:w="419"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254"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2280"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750"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auto"/>
              <w:ind w:firstLine="0" w:firstLineChars="0"/>
              <w:rPr>
                <w:rFonts w:cs="Times New Roman"/>
                <w:color w:val="000000" w:themeColor="text1"/>
                <w:sz w:val="21"/>
                <w:szCs w:val="20"/>
                <w14:textFill>
                  <w14:solidFill>
                    <w14:schemeClr w14:val="tx1"/>
                  </w14:solidFill>
                </w14:textFill>
              </w:rPr>
            </w:pPr>
          </w:p>
        </w:tc>
        <w:tc>
          <w:tcPr>
            <w:tcW w:w="461" w:type="pct"/>
            <w:vMerge w:val="continue"/>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r>
      <w:tr>
        <w:tblPrEx>
          <w:tblCellMar>
            <w:top w:w="0" w:type="dxa"/>
            <w:left w:w="108" w:type="dxa"/>
            <w:bottom w:w="0" w:type="dxa"/>
            <w:right w:w="108" w:type="dxa"/>
          </w:tblCellMar>
        </w:tblPrEx>
        <w:trPr>
          <w:trHeight w:val="319" w:hRule="atLeast"/>
        </w:trPr>
        <w:tc>
          <w:tcPr>
            <w:tcW w:w="419" w:type="pct"/>
            <w:vMerge w:val="restart"/>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2026年</w:t>
            </w:r>
          </w:p>
        </w:tc>
        <w:tc>
          <w:tcPr>
            <w:tcW w:w="254"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1</w:t>
            </w:r>
          </w:p>
        </w:tc>
        <w:tc>
          <w:tcPr>
            <w:tcW w:w="228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同心县2015年河西镇马家河湾高效节水灌溉工程</w:t>
            </w:r>
          </w:p>
        </w:tc>
        <w:tc>
          <w:tcPr>
            <w:tcW w:w="2048" w:type="dxa"/>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0.50 </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833"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马家河湾蓄水池</w:t>
            </w:r>
          </w:p>
        </w:tc>
      </w:tr>
      <w:tr>
        <w:tblPrEx>
          <w:tblCellMar>
            <w:top w:w="0" w:type="dxa"/>
            <w:left w:w="108" w:type="dxa"/>
            <w:bottom w:w="0" w:type="dxa"/>
            <w:right w:w="108" w:type="dxa"/>
          </w:tblCellMar>
        </w:tblPrEx>
        <w:trPr>
          <w:trHeight w:val="319" w:hRule="atLeast"/>
        </w:trPr>
        <w:tc>
          <w:tcPr>
            <w:tcW w:w="419"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254"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2</w:t>
            </w:r>
          </w:p>
        </w:tc>
        <w:tc>
          <w:tcPr>
            <w:tcW w:w="228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同心县2015年丁塘镇新华村高效节水灌溉工程</w:t>
            </w:r>
          </w:p>
        </w:tc>
        <w:tc>
          <w:tcPr>
            <w:tcW w:w="2048" w:type="dxa"/>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0.32 </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833"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新华蓄水池</w:t>
            </w:r>
          </w:p>
        </w:tc>
      </w:tr>
      <w:tr>
        <w:tblPrEx>
          <w:tblCellMar>
            <w:top w:w="0" w:type="dxa"/>
            <w:left w:w="108" w:type="dxa"/>
            <w:bottom w:w="0" w:type="dxa"/>
            <w:right w:w="108" w:type="dxa"/>
          </w:tblCellMar>
        </w:tblPrEx>
        <w:trPr>
          <w:trHeight w:val="319" w:hRule="atLeast"/>
        </w:trPr>
        <w:tc>
          <w:tcPr>
            <w:tcW w:w="419"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254"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3</w:t>
            </w:r>
          </w:p>
        </w:tc>
        <w:tc>
          <w:tcPr>
            <w:tcW w:w="228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同心县2015年丁塘镇吴家河湾村（一期）高效节水灌溉工程</w:t>
            </w:r>
          </w:p>
        </w:tc>
        <w:tc>
          <w:tcPr>
            <w:tcW w:w="2048" w:type="dxa"/>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0.30 </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833"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吴河一期蓄水池</w:t>
            </w:r>
          </w:p>
        </w:tc>
      </w:tr>
      <w:tr>
        <w:tblPrEx>
          <w:tblCellMar>
            <w:top w:w="0" w:type="dxa"/>
            <w:left w:w="108" w:type="dxa"/>
            <w:bottom w:w="0" w:type="dxa"/>
            <w:right w:w="108" w:type="dxa"/>
          </w:tblCellMar>
        </w:tblPrEx>
        <w:trPr>
          <w:trHeight w:val="319" w:hRule="atLeast"/>
        </w:trPr>
        <w:tc>
          <w:tcPr>
            <w:tcW w:w="419"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254"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4</w:t>
            </w:r>
          </w:p>
        </w:tc>
        <w:tc>
          <w:tcPr>
            <w:tcW w:w="228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同心县2015年丁塘镇吴家河湾村（二期）高效节水灌溉工程</w:t>
            </w:r>
          </w:p>
        </w:tc>
        <w:tc>
          <w:tcPr>
            <w:tcW w:w="2048" w:type="dxa"/>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0.68 </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固扩+固海</w:t>
            </w:r>
          </w:p>
        </w:tc>
        <w:tc>
          <w:tcPr>
            <w:tcW w:w="833"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吴河二期蓄水池</w:t>
            </w:r>
          </w:p>
        </w:tc>
      </w:tr>
      <w:tr>
        <w:tblPrEx>
          <w:tblCellMar>
            <w:top w:w="0" w:type="dxa"/>
            <w:left w:w="108" w:type="dxa"/>
            <w:bottom w:w="0" w:type="dxa"/>
            <w:right w:w="108" w:type="dxa"/>
          </w:tblCellMar>
        </w:tblPrEx>
        <w:trPr>
          <w:trHeight w:val="319" w:hRule="atLeast"/>
        </w:trPr>
        <w:tc>
          <w:tcPr>
            <w:tcW w:w="419"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254"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5</w:t>
            </w:r>
          </w:p>
        </w:tc>
        <w:tc>
          <w:tcPr>
            <w:tcW w:w="228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同心县2016年丁塘镇团结村高效节水灌溉工程</w:t>
            </w:r>
          </w:p>
        </w:tc>
        <w:tc>
          <w:tcPr>
            <w:tcW w:w="2048" w:type="dxa"/>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0.23 </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833"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团结蓄水池</w:t>
            </w:r>
          </w:p>
        </w:tc>
      </w:tr>
      <w:tr>
        <w:tblPrEx>
          <w:tblCellMar>
            <w:top w:w="0" w:type="dxa"/>
            <w:left w:w="108" w:type="dxa"/>
            <w:bottom w:w="0" w:type="dxa"/>
            <w:right w:w="108" w:type="dxa"/>
          </w:tblCellMar>
        </w:tblPrEx>
        <w:trPr>
          <w:trHeight w:val="319" w:hRule="atLeast"/>
        </w:trPr>
        <w:tc>
          <w:tcPr>
            <w:tcW w:w="419"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254"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6</w:t>
            </w:r>
          </w:p>
        </w:tc>
        <w:tc>
          <w:tcPr>
            <w:tcW w:w="228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同心县2017年丁塘镇河草沟村高效节水灌溉项目</w:t>
            </w:r>
          </w:p>
        </w:tc>
        <w:tc>
          <w:tcPr>
            <w:tcW w:w="2048" w:type="dxa"/>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0.53 </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833"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河草沟蓄水池</w:t>
            </w:r>
          </w:p>
        </w:tc>
      </w:tr>
      <w:tr>
        <w:tblPrEx>
          <w:tblCellMar>
            <w:top w:w="0" w:type="dxa"/>
            <w:left w:w="108" w:type="dxa"/>
            <w:bottom w:w="0" w:type="dxa"/>
            <w:right w:w="108" w:type="dxa"/>
          </w:tblCellMar>
        </w:tblPrEx>
        <w:trPr>
          <w:trHeight w:val="319" w:hRule="atLeast"/>
        </w:trPr>
        <w:tc>
          <w:tcPr>
            <w:tcW w:w="419"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254"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7</w:t>
            </w:r>
          </w:p>
        </w:tc>
        <w:tc>
          <w:tcPr>
            <w:tcW w:w="228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同心县2017年豫海镇园艺高效节水灌溉工程</w:t>
            </w:r>
          </w:p>
        </w:tc>
        <w:tc>
          <w:tcPr>
            <w:tcW w:w="2048" w:type="dxa"/>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0.65 </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833"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园艺蓄水池</w:t>
            </w:r>
          </w:p>
        </w:tc>
      </w:tr>
      <w:tr>
        <w:tblPrEx>
          <w:tblCellMar>
            <w:top w:w="0" w:type="dxa"/>
            <w:left w:w="108" w:type="dxa"/>
            <w:bottom w:w="0" w:type="dxa"/>
            <w:right w:w="108" w:type="dxa"/>
          </w:tblCellMar>
        </w:tblPrEx>
        <w:trPr>
          <w:trHeight w:val="319" w:hRule="atLeast"/>
        </w:trPr>
        <w:tc>
          <w:tcPr>
            <w:tcW w:w="419"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254"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8</w:t>
            </w:r>
          </w:p>
        </w:tc>
        <w:tc>
          <w:tcPr>
            <w:tcW w:w="228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同心县2015年兴隆乡新生村高效节水灌溉工程</w:t>
            </w:r>
          </w:p>
        </w:tc>
        <w:tc>
          <w:tcPr>
            <w:tcW w:w="2048" w:type="dxa"/>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0.26 </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833"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新生2#蓄水池</w:t>
            </w:r>
          </w:p>
        </w:tc>
      </w:tr>
      <w:tr>
        <w:tblPrEx>
          <w:tblCellMar>
            <w:top w:w="0" w:type="dxa"/>
            <w:left w:w="108" w:type="dxa"/>
            <w:bottom w:w="0" w:type="dxa"/>
            <w:right w:w="108" w:type="dxa"/>
          </w:tblCellMar>
        </w:tblPrEx>
        <w:trPr>
          <w:trHeight w:val="288" w:hRule="atLeast"/>
        </w:trPr>
        <w:tc>
          <w:tcPr>
            <w:tcW w:w="419" w:type="pct"/>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auto"/>
              <w:ind w:firstLine="0" w:firstLineChars="0"/>
              <w:jc w:val="center"/>
              <w:rPr>
                <w:rFonts w:cs="Times New Roman"/>
                <w:color w:val="000000" w:themeColor="text1"/>
                <w:sz w:val="21"/>
                <w:szCs w:val="20"/>
                <w14:textFill>
                  <w14:solidFill>
                    <w14:schemeClr w14:val="tx1"/>
                  </w14:solidFill>
                </w14:textFill>
              </w:rPr>
            </w:pPr>
          </w:p>
        </w:tc>
        <w:tc>
          <w:tcPr>
            <w:tcW w:w="254"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9</w:t>
            </w:r>
          </w:p>
        </w:tc>
        <w:tc>
          <w:tcPr>
            <w:tcW w:w="2280"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left"/>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同心县2015年兴隆乡李堡村高效节水灌溉工程</w:t>
            </w:r>
          </w:p>
        </w:tc>
        <w:tc>
          <w:tcPr>
            <w:tcW w:w="2048" w:type="dxa"/>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 xml:space="preserve">0.14 </w:t>
            </w:r>
          </w:p>
        </w:tc>
        <w:tc>
          <w:tcPr>
            <w:tcW w:w="461" w:type="pct"/>
            <w:tcBorders>
              <w:top w:val="single" w:color="000000" w:sz="4" w:space="0"/>
              <w:left w:val="single" w:color="000000" w:sz="4" w:space="0"/>
              <w:bottom w:val="single" w:color="000000" w:sz="4" w:space="0"/>
              <w:right w:val="single" w:color="000000" w:sz="4"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固海</w:t>
            </w:r>
          </w:p>
        </w:tc>
        <w:tc>
          <w:tcPr>
            <w:tcW w:w="833" w:type="pct"/>
            <w:tcBorders>
              <w:top w:val="single" w:color="000000" w:sz="4" w:space="0"/>
              <w:left w:val="single" w:color="000000" w:sz="4" w:space="0"/>
              <w:bottom w:val="single" w:color="000000" w:sz="4" w:space="0"/>
              <w:right w:val="single" w:color="000000" w:sz="12" w:space="0"/>
            </w:tcBorders>
            <w:noWrap/>
            <w:vAlign w:val="center"/>
          </w:tcPr>
          <w:p>
            <w:pPr>
              <w:widowControl/>
              <w:spacing w:line="240" w:lineRule="auto"/>
              <w:ind w:firstLine="0" w:firstLineChars="0"/>
              <w:jc w:val="center"/>
              <w:textAlignment w:val="center"/>
              <w:rPr>
                <w:rFonts w:cs="Times New Roman"/>
                <w:color w:val="000000" w:themeColor="text1"/>
                <w:sz w:val="21"/>
                <w:szCs w:val="20"/>
                <w14:textFill>
                  <w14:solidFill>
                    <w14:schemeClr w14:val="tx1"/>
                  </w14:solidFill>
                </w14:textFill>
              </w:rPr>
            </w:pPr>
            <w:r>
              <w:rPr>
                <w:rFonts w:cs="Times New Roman"/>
                <w:color w:val="000000" w:themeColor="text1"/>
                <w:kern w:val="0"/>
                <w:sz w:val="21"/>
                <w:szCs w:val="20"/>
                <w:lang w:bidi="ar"/>
                <w14:textFill>
                  <w14:solidFill>
                    <w14:schemeClr w14:val="tx1"/>
                  </w14:solidFill>
                </w14:textFill>
              </w:rPr>
              <w:t>兴隆抗旱应急蓄水池</w:t>
            </w:r>
          </w:p>
        </w:tc>
      </w:tr>
      <w:tr>
        <w:tblPrEx>
          <w:tblCellMar>
            <w:top w:w="0" w:type="dxa"/>
            <w:left w:w="108" w:type="dxa"/>
            <w:bottom w:w="0" w:type="dxa"/>
            <w:right w:w="108" w:type="dxa"/>
          </w:tblCellMar>
        </w:tblPrEx>
        <w:trPr>
          <w:trHeight w:val="319" w:hRule="atLeast"/>
        </w:trPr>
        <w:tc>
          <w:tcPr>
            <w:tcW w:w="2954" w:type="pct"/>
            <w:gridSpan w:val="3"/>
            <w:tcBorders>
              <w:top w:val="single" w:color="000000" w:sz="4" w:space="0"/>
              <w:left w:val="single" w:color="000000" w:sz="12" w:space="0"/>
              <w:bottom w:val="single" w:color="000000" w:sz="12" w:space="0"/>
              <w:right w:val="single" w:color="000000" w:sz="4" w:space="0"/>
            </w:tcBorders>
            <w:noWrap/>
            <w:vAlign w:val="center"/>
          </w:tcPr>
          <w:p>
            <w:pPr>
              <w:widowControl/>
              <w:spacing w:line="240" w:lineRule="auto"/>
              <w:ind w:firstLine="0" w:firstLineChars="0"/>
              <w:jc w:val="center"/>
              <w:textAlignment w:val="center"/>
              <w:rPr>
                <w:rFonts w:cs="Times New Roman"/>
                <w:b/>
                <w:bCs/>
                <w:color w:val="000000" w:themeColor="text1"/>
                <w:sz w:val="21"/>
                <w:szCs w:val="20"/>
                <w14:textFill>
                  <w14:solidFill>
                    <w14:schemeClr w14:val="tx1"/>
                  </w14:solidFill>
                </w14:textFill>
              </w:rPr>
            </w:pPr>
            <w:r>
              <w:rPr>
                <w:rFonts w:cs="Times New Roman"/>
                <w:b/>
                <w:bCs/>
                <w:color w:val="000000" w:themeColor="text1"/>
                <w:kern w:val="0"/>
                <w:sz w:val="21"/>
                <w:szCs w:val="20"/>
                <w:lang w:bidi="ar"/>
                <w14:textFill>
                  <w14:solidFill>
                    <w14:schemeClr w14:val="tx1"/>
                  </w14:solidFill>
                </w14:textFill>
              </w:rPr>
              <w:t>合计</w:t>
            </w:r>
          </w:p>
        </w:tc>
        <w:tc>
          <w:tcPr>
            <w:tcW w:w="750" w:type="pct"/>
            <w:tcBorders>
              <w:top w:val="single" w:color="000000" w:sz="4" w:space="0"/>
              <w:left w:val="single" w:color="000000" w:sz="4" w:space="0"/>
              <w:bottom w:val="single" w:color="000000" w:sz="12" w:space="0"/>
              <w:right w:val="single" w:color="000000" w:sz="4" w:space="0"/>
            </w:tcBorders>
            <w:noWrap/>
            <w:vAlign w:val="center"/>
          </w:tcPr>
          <w:p>
            <w:pPr>
              <w:widowControl/>
              <w:spacing w:line="240" w:lineRule="auto"/>
              <w:ind w:firstLine="0" w:firstLineChars="0"/>
              <w:jc w:val="center"/>
              <w:textAlignment w:val="center"/>
              <w:rPr>
                <w:rFonts w:cs="Times New Roman"/>
                <w:b/>
                <w:bCs/>
                <w:color w:val="000000" w:themeColor="text1"/>
                <w:sz w:val="21"/>
                <w:szCs w:val="20"/>
                <w14:textFill>
                  <w14:solidFill>
                    <w14:schemeClr w14:val="tx1"/>
                  </w14:solidFill>
                </w14:textFill>
              </w:rPr>
            </w:pPr>
            <w:r>
              <w:rPr>
                <w:rFonts w:cs="Times New Roman"/>
                <w:b/>
                <w:bCs/>
                <w:color w:val="000000" w:themeColor="text1"/>
                <w:kern w:val="0"/>
                <w:sz w:val="21"/>
                <w:szCs w:val="20"/>
                <w:lang w:bidi="ar"/>
                <w14:textFill>
                  <w14:solidFill>
                    <w14:schemeClr w14:val="tx1"/>
                  </w14:solidFill>
                </w14:textFill>
              </w:rPr>
              <w:t xml:space="preserve">3.62 </w:t>
            </w:r>
          </w:p>
        </w:tc>
        <w:tc>
          <w:tcPr>
            <w:tcW w:w="461" w:type="pct"/>
            <w:tcBorders>
              <w:top w:val="single" w:color="000000" w:sz="4" w:space="0"/>
              <w:left w:val="single" w:color="000000" w:sz="4" w:space="0"/>
              <w:bottom w:val="single" w:color="000000" w:sz="12" w:space="0"/>
              <w:right w:val="single" w:color="000000" w:sz="4" w:space="0"/>
            </w:tcBorders>
            <w:noWrap/>
            <w:vAlign w:val="center"/>
          </w:tcPr>
          <w:p>
            <w:pPr>
              <w:widowControl/>
              <w:spacing w:line="240" w:lineRule="auto"/>
              <w:ind w:firstLine="0" w:firstLineChars="0"/>
              <w:jc w:val="center"/>
              <w:rPr>
                <w:rFonts w:cs="Times New Roman"/>
                <w:b/>
                <w:bCs/>
                <w:color w:val="000000" w:themeColor="text1"/>
                <w:sz w:val="21"/>
                <w:szCs w:val="20"/>
                <w14:textFill>
                  <w14:solidFill>
                    <w14:schemeClr w14:val="tx1"/>
                  </w14:solidFill>
                </w14:textFill>
              </w:rPr>
            </w:pPr>
          </w:p>
        </w:tc>
        <w:tc>
          <w:tcPr>
            <w:tcW w:w="833" w:type="pct"/>
            <w:tcBorders>
              <w:top w:val="single" w:color="000000" w:sz="4" w:space="0"/>
              <w:left w:val="single" w:color="000000" w:sz="4" w:space="0"/>
              <w:bottom w:val="single" w:color="000000" w:sz="12" w:space="0"/>
              <w:right w:val="single" w:color="000000" w:sz="12" w:space="0"/>
            </w:tcBorders>
            <w:noWrap/>
            <w:vAlign w:val="center"/>
          </w:tcPr>
          <w:p>
            <w:pPr>
              <w:widowControl/>
              <w:spacing w:line="240" w:lineRule="auto"/>
              <w:ind w:firstLine="0" w:firstLineChars="0"/>
              <w:rPr>
                <w:rFonts w:cs="Times New Roman"/>
                <w:color w:val="000000" w:themeColor="text1"/>
                <w:sz w:val="21"/>
                <w:szCs w:val="20"/>
                <w14:textFill>
                  <w14:solidFill>
                    <w14:schemeClr w14:val="tx1"/>
                  </w14:solidFill>
                </w14:textFill>
              </w:rPr>
            </w:pPr>
          </w:p>
        </w:tc>
      </w:tr>
    </w:tbl>
    <w:p>
      <w:pPr>
        <w:pStyle w:val="19"/>
        <w:ind w:left="3360" w:firstLine="480"/>
        <w:rPr>
          <w:rFonts w:eastAsia="黑体"/>
          <w:sz w:val="24"/>
        </w:rPr>
      </w:pPr>
    </w:p>
    <w:p>
      <w:pPr>
        <w:pStyle w:val="19"/>
        <w:ind w:left="3360" w:firstLine="480"/>
        <w:rPr>
          <w:rFonts w:eastAsia="黑体"/>
          <w:sz w:val="24"/>
        </w:rPr>
      </w:pPr>
    </w:p>
    <w:p>
      <w:pPr>
        <w:snapToGrid w:val="0"/>
        <w:ind w:firstLine="0" w:firstLineChars="0"/>
        <w:rPr>
          <w:rFonts w:cs="Times New Roman"/>
        </w:rPr>
      </w:pPr>
    </w:p>
    <w:p>
      <w:pPr>
        <w:snapToGrid w:val="0"/>
        <w:ind w:firstLine="0" w:firstLineChars="0"/>
        <w:rPr>
          <w:rFonts w:cs="Times New Roman"/>
        </w:rPr>
      </w:pPr>
    </w:p>
    <w:p>
      <w:pPr>
        <w:snapToGrid w:val="0"/>
        <w:ind w:firstLine="560"/>
        <w:rPr>
          <w:rFonts w:cs="Times New Roman"/>
        </w:rPr>
        <w:sectPr>
          <w:pgSz w:w="16838" w:h="11906" w:orient="landscape"/>
          <w:pgMar w:top="1418" w:right="1440" w:bottom="1418" w:left="1440" w:header="851" w:footer="992" w:gutter="0"/>
          <w:cols w:space="425" w:num="1"/>
          <w:docGrid w:linePitch="381" w:charSpace="0"/>
        </w:sectPr>
      </w:pPr>
    </w:p>
    <w:p>
      <w:pPr>
        <w:pStyle w:val="3"/>
        <w:ind w:firstLine="643"/>
        <w:rPr>
          <w:rFonts w:cs="Times New Roman"/>
        </w:rPr>
      </w:pPr>
      <w:r>
        <w:rPr>
          <w:rFonts w:hint="eastAsia" w:cs="Times New Roman"/>
        </w:rPr>
        <w:t>七</w:t>
      </w:r>
      <w:r>
        <w:rPr>
          <w:rFonts w:cs="Times New Roman"/>
        </w:rPr>
        <w:t>、存量项目运营内容</w:t>
      </w:r>
    </w:p>
    <w:p>
      <w:pPr>
        <w:ind w:firstLine="560"/>
        <w:rPr>
          <w:rFonts w:cs="Times New Roman"/>
        </w:rPr>
      </w:pPr>
      <w:r>
        <w:rPr>
          <w:rFonts w:hint="eastAsia" w:cs="Times New Roman"/>
        </w:rPr>
        <w:t>本项目的存量运营内容主要为同心县2</w:t>
      </w:r>
      <w:r>
        <w:rPr>
          <w:rFonts w:cs="Times New Roman"/>
        </w:rPr>
        <w:t>023年及以前</w:t>
      </w:r>
      <w:r>
        <w:rPr>
          <w:rFonts w:hint="eastAsia" w:cs="Times New Roman"/>
        </w:rPr>
        <w:t>建成</w:t>
      </w:r>
      <w:r>
        <w:rPr>
          <w:rFonts w:cs="Times New Roman"/>
        </w:rPr>
        <w:t>的高效节水灌溉项目，</w:t>
      </w:r>
      <w:r>
        <w:rPr>
          <w:rFonts w:hint="eastAsia" w:cs="Times New Roman"/>
        </w:rPr>
        <w:t>根据</w:t>
      </w:r>
      <w:r>
        <w:rPr>
          <w:rFonts w:cs="Times New Roman"/>
        </w:rPr>
        <w:t>可行性研究报告，同心县已建成的高效节灌面积为43.65万亩</w:t>
      </w:r>
      <w:r>
        <w:rPr>
          <w:rFonts w:hint="eastAsia" w:cs="Times New Roman"/>
        </w:rPr>
        <w:t>。已建高标准农田工程提升改造主要针对2012～2018年度实施的部分未充分发挥效益的项目，提升改造项目9个，提升改造面积3.62万亩。</w:t>
      </w:r>
      <w:r>
        <w:rPr>
          <w:rFonts w:cs="Times New Roman"/>
        </w:rPr>
        <w:t>则存量</w:t>
      </w:r>
      <w:r>
        <w:rPr>
          <w:rFonts w:hint="eastAsia" w:cs="Times New Roman"/>
        </w:rPr>
        <w:t>部分委托运营</w:t>
      </w:r>
      <w:r>
        <w:rPr>
          <w:rFonts w:cs="Times New Roman"/>
        </w:rPr>
        <w:t>灌溉面积为40.03万亩。</w:t>
      </w:r>
    </w:p>
    <w:p>
      <w:pPr>
        <w:pStyle w:val="3"/>
        <w:ind w:firstLine="643"/>
        <w:rPr>
          <w:rFonts w:cs="Times New Roman"/>
        </w:rPr>
      </w:pPr>
      <w:bookmarkStart w:id="17" w:name="_Toc148432347"/>
      <w:r>
        <w:rPr>
          <w:rFonts w:hint="eastAsia" w:cs="Times New Roman"/>
        </w:rPr>
        <w:t>八、项目投资规模及构成</w:t>
      </w:r>
      <w:bookmarkEnd w:id="17"/>
    </w:p>
    <w:p>
      <w:pPr>
        <w:ind w:firstLine="560"/>
        <w:rPr>
          <w:rFonts w:cs="Times New Roman"/>
        </w:rPr>
      </w:pPr>
      <w:bookmarkStart w:id="18" w:name="_Hlk99548688"/>
      <w:bookmarkStart w:id="19" w:name="_Hlk99548853"/>
      <w:r>
        <w:rPr>
          <w:rFonts w:hint="eastAsia" w:cs="Times New Roman"/>
        </w:rPr>
        <w:t>根据项目可研及其批复，本项目估算的静态总投资合计为104,789.30万元。其中，土建工程72,692.20</w:t>
      </w:r>
      <w:r>
        <w:rPr>
          <w:rFonts w:hint="eastAsia" w:cs="Times New Roman"/>
          <w:lang w:eastAsia="zh-Hans"/>
        </w:rPr>
        <w:t>万元</w:t>
      </w:r>
      <w:r>
        <w:rPr>
          <w:rFonts w:cs="Times New Roman"/>
          <w:lang w:eastAsia="zh-Hans"/>
        </w:rPr>
        <w:t>，</w:t>
      </w:r>
      <w:r>
        <w:rPr>
          <w:rFonts w:hint="eastAsia" w:cs="Times New Roman"/>
        </w:rPr>
        <w:t>设备购置及安装工程13,804.34</w:t>
      </w:r>
      <w:r>
        <w:rPr>
          <w:rFonts w:hint="eastAsia" w:cs="Times New Roman"/>
          <w:lang w:eastAsia="zh-Hans"/>
        </w:rPr>
        <w:t>万元</w:t>
      </w:r>
      <w:r>
        <w:rPr>
          <w:rFonts w:cs="Times New Roman"/>
          <w:lang w:eastAsia="zh-Hans"/>
        </w:rPr>
        <w:t>，</w:t>
      </w:r>
      <w:r>
        <w:rPr>
          <w:rFonts w:hint="eastAsia" w:cs="Times New Roman"/>
        </w:rPr>
        <w:t>金属结构及安装工程569.77</w:t>
      </w:r>
      <w:r>
        <w:rPr>
          <w:rFonts w:hint="eastAsia" w:cs="Times New Roman"/>
          <w:lang w:eastAsia="zh-Hans"/>
        </w:rPr>
        <w:t>万元</w:t>
      </w:r>
      <w:r>
        <w:rPr>
          <w:rFonts w:cs="Times New Roman"/>
          <w:lang w:eastAsia="zh-Hans"/>
        </w:rPr>
        <w:t>，</w:t>
      </w:r>
      <w:r>
        <w:rPr>
          <w:rFonts w:hint="eastAsia" w:cs="Times New Roman"/>
        </w:rPr>
        <w:t>临时</w:t>
      </w:r>
      <w:r>
        <w:rPr>
          <w:rFonts w:hint="eastAsia" w:cs="Times New Roman"/>
          <w:lang w:eastAsia="zh-Hans"/>
        </w:rPr>
        <w:t>工程</w:t>
      </w:r>
      <w:r>
        <w:rPr>
          <w:rFonts w:hint="eastAsia" w:cs="Times New Roman"/>
        </w:rPr>
        <w:t>1,173.31</w:t>
      </w:r>
      <w:r>
        <w:rPr>
          <w:rFonts w:hint="eastAsia" w:cs="Times New Roman"/>
          <w:lang w:eastAsia="zh-Hans"/>
        </w:rPr>
        <w:t>万元</w:t>
      </w:r>
      <w:r>
        <w:rPr>
          <w:rFonts w:cs="Times New Roman"/>
          <w:lang w:eastAsia="zh-Hans"/>
        </w:rPr>
        <w:t>，</w:t>
      </w:r>
      <w:r>
        <w:rPr>
          <w:rFonts w:hint="eastAsia" w:cs="Times New Roman"/>
        </w:rPr>
        <w:t>独立费6,162.31</w:t>
      </w:r>
      <w:r>
        <w:rPr>
          <w:rFonts w:hint="eastAsia" w:cs="Times New Roman"/>
          <w:lang w:eastAsia="zh-Hans"/>
        </w:rPr>
        <w:t>万元</w:t>
      </w:r>
      <w:r>
        <w:rPr>
          <w:rFonts w:cs="Times New Roman"/>
          <w:lang w:eastAsia="zh-Hans"/>
        </w:rPr>
        <w:t>，</w:t>
      </w:r>
      <w:r>
        <w:rPr>
          <w:rFonts w:hint="eastAsia" w:cs="Times New Roman"/>
        </w:rPr>
        <w:t>水土保持</w:t>
      </w:r>
      <w:r>
        <w:rPr>
          <w:rFonts w:hint="eastAsia" w:cs="Times New Roman"/>
          <w:lang w:eastAsia="zh-Hans"/>
        </w:rPr>
        <w:t>投资</w:t>
      </w:r>
      <w:r>
        <w:rPr>
          <w:rFonts w:hint="eastAsia" w:cs="Times New Roman"/>
        </w:rPr>
        <w:t>131.77</w:t>
      </w:r>
      <w:r>
        <w:rPr>
          <w:rFonts w:hint="eastAsia" w:cs="Times New Roman"/>
          <w:lang w:eastAsia="zh-Hans"/>
        </w:rPr>
        <w:t>万元</w:t>
      </w:r>
      <w:r>
        <w:rPr>
          <w:rFonts w:cs="Times New Roman"/>
          <w:lang w:eastAsia="zh-Hans"/>
        </w:rPr>
        <w:t>，</w:t>
      </w:r>
      <w:r>
        <w:rPr>
          <w:rFonts w:hint="eastAsia" w:cs="Times New Roman"/>
        </w:rPr>
        <w:t>工程占地补偿投资2,703.45</w:t>
      </w:r>
      <w:r>
        <w:rPr>
          <w:rFonts w:hint="eastAsia" w:cs="Times New Roman"/>
          <w:lang w:eastAsia="zh-Hans"/>
        </w:rPr>
        <w:t>万元</w:t>
      </w:r>
      <w:r>
        <w:rPr>
          <w:rFonts w:cs="Times New Roman"/>
          <w:lang w:eastAsia="zh-Hans"/>
        </w:rPr>
        <w:t>，</w:t>
      </w:r>
      <w:r>
        <w:rPr>
          <w:rFonts w:hint="eastAsia" w:cs="Times New Roman"/>
        </w:rPr>
        <w:t>基本预备费7,552.15</w:t>
      </w:r>
      <w:r>
        <w:rPr>
          <w:rFonts w:hint="eastAsia" w:cs="Times New Roman"/>
          <w:lang w:eastAsia="zh-Hans"/>
        </w:rPr>
        <w:t>万元</w:t>
      </w:r>
      <w:r>
        <w:rPr>
          <w:rFonts w:cs="Times New Roman"/>
          <w:lang w:eastAsia="zh-Hans"/>
        </w:rPr>
        <w:t>。</w:t>
      </w:r>
    </w:p>
    <w:p>
      <w:pPr>
        <w:ind w:firstLine="560"/>
        <w:rPr>
          <w:rFonts w:cs="Times New Roman"/>
        </w:rPr>
      </w:pPr>
      <w:r>
        <w:rPr>
          <w:rFonts w:hint="eastAsia" w:cs="Times New Roman"/>
        </w:rPr>
        <w:t>因本项目采取特许经营模式推进，由社会资本承担融资责任，需后续在初设概算批复时对建设期利息予以考虑。</w:t>
      </w:r>
    </w:p>
    <w:p>
      <w:pPr>
        <w:ind w:firstLine="560"/>
        <w:rPr>
          <w:rFonts w:cs="Times New Roman"/>
        </w:rPr>
      </w:pPr>
      <w:r>
        <w:rPr>
          <w:rFonts w:hint="eastAsia" w:cs="Times New Roman"/>
        </w:rPr>
        <w:t>投资构成如下表所示：</w:t>
      </w:r>
      <w:bookmarkEnd w:id="18"/>
    </w:p>
    <w:p>
      <w:pPr>
        <w:keepNext/>
        <w:spacing w:before="120" w:beforeLines="50"/>
        <w:ind w:firstLine="0" w:firstLineChars="0"/>
        <w:jc w:val="center"/>
        <w:rPr>
          <w:rFonts w:cs="Times New Roman"/>
          <w:b/>
          <w:bCs/>
          <w:sz w:val="24"/>
          <w:szCs w:val="24"/>
        </w:rPr>
      </w:pPr>
      <w:r>
        <w:rPr>
          <w:rFonts w:hint="eastAsia" w:cs="Times New Roman"/>
          <w:b/>
          <w:bCs/>
          <w:sz w:val="24"/>
          <w:szCs w:val="24"/>
        </w:rPr>
        <w:t>表</w:t>
      </w:r>
      <w:r>
        <w:rPr>
          <w:rFonts w:cs="Times New Roman"/>
          <w:b/>
          <w:bCs/>
          <w:sz w:val="24"/>
          <w:szCs w:val="24"/>
        </w:rPr>
        <w:t>3-4</w:t>
      </w:r>
      <w:r>
        <w:rPr>
          <w:rFonts w:hint="eastAsia" w:cs="Times New Roman"/>
          <w:b/>
          <w:bCs/>
          <w:sz w:val="24"/>
          <w:szCs w:val="24"/>
        </w:rPr>
        <w:t>项目静态总投资</w:t>
      </w:r>
    </w:p>
    <w:tbl>
      <w:tblPr>
        <w:tblStyle w:val="31"/>
        <w:tblW w:w="5000" w:type="pct"/>
        <w:jc w:val="center"/>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Layout w:type="autofit"/>
        <w:tblCellMar>
          <w:top w:w="0" w:type="dxa"/>
          <w:left w:w="108" w:type="dxa"/>
          <w:bottom w:w="0" w:type="dxa"/>
          <w:right w:w="108" w:type="dxa"/>
        </w:tblCellMar>
      </w:tblPr>
      <w:tblGrid>
        <w:gridCol w:w="1887"/>
        <w:gridCol w:w="4208"/>
        <w:gridCol w:w="3191"/>
      </w:tblGrid>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1016" w:type="pct"/>
            <w:tcBorders>
              <w:top w:val="single" w:color="auto" w:sz="18" w:space="0"/>
              <w:bottom w:val="single" w:color="auto" w:sz="4" w:space="0"/>
            </w:tcBorders>
            <w:shd w:val="clear" w:color="auto" w:fill="D8D8D8" w:themeFill="background1" w:themeFillShade="D9"/>
            <w:vAlign w:val="center"/>
          </w:tcPr>
          <w:p>
            <w:pPr>
              <w:spacing w:line="240" w:lineRule="auto"/>
              <w:ind w:firstLine="0" w:firstLineChars="0"/>
              <w:jc w:val="center"/>
              <w:rPr>
                <w:rFonts w:cs="Times New Roman"/>
                <w:b/>
                <w:bCs/>
                <w:sz w:val="24"/>
                <w:szCs w:val="24"/>
              </w:rPr>
            </w:pPr>
            <w:r>
              <w:rPr>
                <w:rFonts w:hint="eastAsia" w:cs="Times New Roman"/>
                <w:b/>
                <w:bCs/>
                <w:sz w:val="24"/>
                <w:szCs w:val="24"/>
              </w:rPr>
              <w:t>序号</w:t>
            </w:r>
          </w:p>
        </w:tc>
        <w:tc>
          <w:tcPr>
            <w:tcW w:w="2266" w:type="pct"/>
            <w:tcBorders>
              <w:top w:val="single" w:color="auto" w:sz="18" w:space="0"/>
              <w:bottom w:val="single" w:color="auto" w:sz="4" w:space="0"/>
            </w:tcBorders>
            <w:shd w:val="clear" w:color="auto" w:fill="D8D8D8" w:themeFill="background1" w:themeFillShade="D9"/>
            <w:vAlign w:val="center"/>
          </w:tcPr>
          <w:p>
            <w:pPr>
              <w:spacing w:line="240" w:lineRule="auto"/>
              <w:ind w:firstLine="0" w:firstLineChars="0"/>
              <w:jc w:val="center"/>
              <w:rPr>
                <w:rFonts w:cs="Times New Roman"/>
                <w:b/>
                <w:bCs/>
                <w:sz w:val="24"/>
                <w:szCs w:val="24"/>
              </w:rPr>
            </w:pPr>
            <w:r>
              <w:rPr>
                <w:rFonts w:hint="eastAsia" w:cs="Times New Roman"/>
                <w:b/>
                <w:bCs/>
                <w:sz w:val="24"/>
                <w:szCs w:val="24"/>
              </w:rPr>
              <w:t>费用名称</w:t>
            </w:r>
          </w:p>
        </w:tc>
        <w:tc>
          <w:tcPr>
            <w:tcW w:w="1718" w:type="pct"/>
            <w:tcBorders>
              <w:top w:val="single" w:color="auto" w:sz="18" w:space="0"/>
              <w:bottom w:val="single" w:color="auto" w:sz="4" w:space="0"/>
            </w:tcBorders>
            <w:shd w:val="clear" w:color="auto" w:fill="D8D8D8" w:themeFill="background1" w:themeFillShade="D9"/>
            <w:vAlign w:val="center"/>
          </w:tcPr>
          <w:p>
            <w:pPr>
              <w:spacing w:line="240" w:lineRule="auto"/>
              <w:ind w:firstLine="0" w:firstLineChars="0"/>
              <w:jc w:val="center"/>
              <w:rPr>
                <w:rFonts w:cs="Times New Roman"/>
                <w:b/>
                <w:bCs/>
                <w:sz w:val="24"/>
                <w:szCs w:val="24"/>
              </w:rPr>
            </w:pPr>
            <w:r>
              <w:rPr>
                <w:rFonts w:hint="eastAsia" w:cs="Times New Roman"/>
                <w:b/>
                <w:bCs/>
                <w:sz w:val="24"/>
                <w:szCs w:val="24"/>
              </w:rPr>
              <w:t>金额（万元）</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1016" w:type="pct"/>
            <w:tcBorders>
              <w:top w:val="single" w:color="auto" w:sz="4" w:space="0"/>
            </w:tcBorders>
            <w:vAlign w:val="center"/>
          </w:tcPr>
          <w:p>
            <w:pPr>
              <w:spacing w:line="240" w:lineRule="auto"/>
              <w:ind w:firstLine="0" w:firstLineChars="0"/>
              <w:jc w:val="center"/>
              <w:rPr>
                <w:rFonts w:cs="Times New Roman"/>
                <w:b/>
                <w:sz w:val="24"/>
                <w:szCs w:val="24"/>
              </w:rPr>
            </w:pPr>
            <w:r>
              <w:rPr>
                <w:rFonts w:hint="eastAsia" w:cs="Times New Roman"/>
                <w:b/>
                <w:sz w:val="24"/>
                <w:szCs w:val="24"/>
              </w:rPr>
              <w:t>一</w:t>
            </w:r>
          </w:p>
        </w:tc>
        <w:tc>
          <w:tcPr>
            <w:tcW w:w="2266" w:type="pct"/>
            <w:tcBorders>
              <w:top w:val="single" w:color="auto" w:sz="4" w:space="0"/>
            </w:tcBorders>
            <w:vAlign w:val="center"/>
          </w:tcPr>
          <w:p>
            <w:pPr>
              <w:spacing w:line="240" w:lineRule="auto"/>
              <w:ind w:firstLine="0" w:firstLineChars="0"/>
              <w:jc w:val="center"/>
              <w:rPr>
                <w:rFonts w:cs="Times New Roman"/>
                <w:b/>
                <w:sz w:val="24"/>
                <w:szCs w:val="24"/>
              </w:rPr>
            </w:pPr>
            <w:r>
              <w:rPr>
                <w:rFonts w:hint="eastAsia" w:cs="Times New Roman"/>
                <w:b/>
                <w:sz w:val="24"/>
                <w:szCs w:val="24"/>
              </w:rPr>
              <w:t>项目建设投资</w:t>
            </w:r>
          </w:p>
        </w:tc>
        <w:tc>
          <w:tcPr>
            <w:tcW w:w="1718" w:type="pct"/>
            <w:tcBorders>
              <w:top w:val="single" w:color="auto" w:sz="4" w:space="0"/>
            </w:tcBorders>
            <w:vAlign w:val="center"/>
          </w:tcPr>
          <w:p>
            <w:pPr>
              <w:spacing w:line="240" w:lineRule="auto"/>
              <w:ind w:firstLine="0" w:firstLineChars="0"/>
              <w:jc w:val="center"/>
              <w:rPr>
                <w:rFonts w:cs="Times New Roman"/>
                <w:b/>
                <w:sz w:val="24"/>
                <w:szCs w:val="24"/>
              </w:rPr>
            </w:pPr>
            <w:r>
              <w:rPr>
                <w:rFonts w:hint="eastAsia" w:cs="Times New Roman"/>
                <w:b/>
                <w:sz w:val="24"/>
                <w:szCs w:val="24"/>
              </w:rPr>
              <w:t>104,789.30</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1016" w:type="pct"/>
            <w:vAlign w:val="center"/>
          </w:tcPr>
          <w:p>
            <w:pPr>
              <w:spacing w:line="240" w:lineRule="auto"/>
              <w:ind w:firstLine="0" w:firstLineChars="0"/>
              <w:jc w:val="center"/>
              <w:rPr>
                <w:rFonts w:cs="Times New Roman"/>
                <w:sz w:val="24"/>
                <w:szCs w:val="24"/>
              </w:rPr>
            </w:pPr>
            <w:r>
              <w:rPr>
                <w:rFonts w:hint="eastAsia" w:cs="Times New Roman"/>
                <w:sz w:val="24"/>
                <w:szCs w:val="24"/>
              </w:rPr>
              <w:t>1</w:t>
            </w:r>
          </w:p>
        </w:tc>
        <w:tc>
          <w:tcPr>
            <w:tcW w:w="2266" w:type="pct"/>
            <w:vAlign w:val="center"/>
          </w:tcPr>
          <w:p>
            <w:pPr>
              <w:spacing w:line="240" w:lineRule="auto"/>
              <w:ind w:firstLine="0" w:firstLineChars="0"/>
              <w:jc w:val="center"/>
              <w:rPr>
                <w:rFonts w:cs="Times New Roman"/>
                <w:sz w:val="24"/>
                <w:szCs w:val="24"/>
              </w:rPr>
            </w:pPr>
            <w:r>
              <w:rPr>
                <w:rFonts w:hint="eastAsia" w:cs="Times New Roman"/>
                <w:sz w:val="24"/>
                <w:szCs w:val="24"/>
              </w:rPr>
              <w:t>土建工程费</w:t>
            </w:r>
          </w:p>
        </w:tc>
        <w:tc>
          <w:tcPr>
            <w:tcW w:w="1718" w:type="pct"/>
            <w:vAlign w:val="center"/>
          </w:tcPr>
          <w:p>
            <w:pPr>
              <w:spacing w:line="240" w:lineRule="auto"/>
              <w:ind w:firstLine="0" w:firstLineChars="0"/>
              <w:jc w:val="center"/>
              <w:rPr>
                <w:rFonts w:cs="Times New Roman"/>
                <w:sz w:val="24"/>
                <w:szCs w:val="24"/>
              </w:rPr>
            </w:pPr>
            <w:r>
              <w:rPr>
                <w:rFonts w:hint="eastAsia" w:cs="Times New Roman"/>
                <w:sz w:val="24"/>
                <w:szCs w:val="24"/>
              </w:rPr>
              <w:t>72,692.2</w:t>
            </w:r>
            <w:r>
              <w:rPr>
                <w:rFonts w:cs="Times New Roman"/>
                <w:sz w:val="24"/>
                <w:szCs w:val="24"/>
              </w:rPr>
              <w:t>0</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1016" w:type="pct"/>
            <w:vAlign w:val="center"/>
          </w:tcPr>
          <w:p>
            <w:pPr>
              <w:spacing w:line="240" w:lineRule="auto"/>
              <w:ind w:firstLine="0" w:firstLineChars="0"/>
              <w:jc w:val="center"/>
              <w:rPr>
                <w:rFonts w:cs="Times New Roman"/>
                <w:sz w:val="24"/>
                <w:szCs w:val="24"/>
              </w:rPr>
            </w:pPr>
            <w:r>
              <w:rPr>
                <w:rFonts w:cs="Times New Roman"/>
                <w:sz w:val="24"/>
                <w:szCs w:val="24"/>
              </w:rPr>
              <w:t>2</w:t>
            </w:r>
          </w:p>
        </w:tc>
        <w:tc>
          <w:tcPr>
            <w:tcW w:w="2266" w:type="pct"/>
            <w:vAlign w:val="center"/>
          </w:tcPr>
          <w:p>
            <w:pPr>
              <w:spacing w:line="240" w:lineRule="auto"/>
              <w:ind w:firstLine="0" w:firstLineChars="0"/>
              <w:jc w:val="center"/>
              <w:rPr>
                <w:rFonts w:cs="Times New Roman"/>
                <w:sz w:val="24"/>
                <w:szCs w:val="24"/>
                <w:lang w:eastAsia="zh-Hans"/>
              </w:rPr>
            </w:pPr>
            <w:r>
              <w:rPr>
                <w:rFonts w:hint="eastAsia" w:cs="Times New Roman"/>
                <w:sz w:val="24"/>
                <w:szCs w:val="24"/>
              </w:rPr>
              <w:t>设备购置及安装工程</w:t>
            </w:r>
            <w:r>
              <w:rPr>
                <w:rFonts w:hint="eastAsia" w:cs="Times New Roman"/>
                <w:sz w:val="24"/>
                <w:szCs w:val="24"/>
                <w:lang w:eastAsia="zh-Hans"/>
              </w:rPr>
              <w:t>费</w:t>
            </w:r>
          </w:p>
        </w:tc>
        <w:tc>
          <w:tcPr>
            <w:tcW w:w="1718" w:type="pct"/>
            <w:vAlign w:val="center"/>
          </w:tcPr>
          <w:p>
            <w:pPr>
              <w:spacing w:line="240" w:lineRule="auto"/>
              <w:ind w:firstLine="0" w:firstLineChars="0"/>
              <w:jc w:val="center"/>
              <w:rPr>
                <w:rFonts w:cs="Times New Roman"/>
                <w:sz w:val="24"/>
                <w:szCs w:val="24"/>
              </w:rPr>
            </w:pPr>
            <w:r>
              <w:rPr>
                <w:rFonts w:hint="eastAsia" w:cs="Times New Roman"/>
                <w:sz w:val="24"/>
                <w:szCs w:val="24"/>
              </w:rPr>
              <w:t>13,804.34</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1016" w:type="pct"/>
            <w:vAlign w:val="center"/>
          </w:tcPr>
          <w:p>
            <w:pPr>
              <w:spacing w:line="240" w:lineRule="auto"/>
              <w:ind w:firstLine="0" w:firstLineChars="0"/>
              <w:jc w:val="center"/>
              <w:rPr>
                <w:rFonts w:cs="Times New Roman"/>
                <w:sz w:val="24"/>
                <w:szCs w:val="24"/>
              </w:rPr>
            </w:pPr>
            <w:r>
              <w:rPr>
                <w:rFonts w:cs="Times New Roman"/>
                <w:sz w:val="24"/>
                <w:szCs w:val="24"/>
              </w:rPr>
              <w:t>3</w:t>
            </w:r>
          </w:p>
        </w:tc>
        <w:tc>
          <w:tcPr>
            <w:tcW w:w="2266" w:type="pct"/>
            <w:vAlign w:val="center"/>
          </w:tcPr>
          <w:p>
            <w:pPr>
              <w:spacing w:line="240" w:lineRule="auto"/>
              <w:ind w:firstLine="0" w:firstLineChars="0"/>
              <w:jc w:val="center"/>
              <w:rPr>
                <w:rFonts w:cs="Times New Roman"/>
                <w:sz w:val="24"/>
                <w:szCs w:val="24"/>
              </w:rPr>
            </w:pPr>
            <w:r>
              <w:rPr>
                <w:rFonts w:hint="eastAsia" w:cs="Times New Roman"/>
                <w:sz w:val="24"/>
                <w:szCs w:val="24"/>
              </w:rPr>
              <w:t>金属结构及安装工程费</w:t>
            </w:r>
          </w:p>
        </w:tc>
        <w:tc>
          <w:tcPr>
            <w:tcW w:w="1718" w:type="pct"/>
            <w:vAlign w:val="center"/>
          </w:tcPr>
          <w:p>
            <w:pPr>
              <w:spacing w:line="240" w:lineRule="auto"/>
              <w:ind w:firstLine="0" w:firstLineChars="0"/>
              <w:jc w:val="center"/>
              <w:rPr>
                <w:rFonts w:cs="Times New Roman"/>
                <w:sz w:val="24"/>
                <w:szCs w:val="24"/>
              </w:rPr>
            </w:pPr>
            <w:r>
              <w:rPr>
                <w:rFonts w:hint="eastAsia" w:cs="Times New Roman"/>
                <w:sz w:val="24"/>
                <w:szCs w:val="24"/>
              </w:rPr>
              <w:t>569.77</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1016" w:type="pct"/>
            <w:vAlign w:val="center"/>
          </w:tcPr>
          <w:p>
            <w:pPr>
              <w:spacing w:line="240" w:lineRule="auto"/>
              <w:ind w:firstLine="0" w:firstLineChars="0"/>
              <w:jc w:val="center"/>
              <w:rPr>
                <w:rFonts w:cs="Times New Roman"/>
                <w:sz w:val="24"/>
                <w:szCs w:val="24"/>
              </w:rPr>
            </w:pPr>
            <w:r>
              <w:rPr>
                <w:rFonts w:cs="Times New Roman"/>
                <w:sz w:val="24"/>
                <w:szCs w:val="24"/>
              </w:rPr>
              <w:t>4</w:t>
            </w:r>
          </w:p>
        </w:tc>
        <w:tc>
          <w:tcPr>
            <w:tcW w:w="2266" w:type="pct"/>
            <w:vAlign w:val="center"/>
          </w:tcPr>
          <w:p>
            <w:pPr>
              <w:spacing w:line="240" w:lineRule="auto"/>
              <w:ind w:firstLine="0" w:firstLineChars="0"/>
              <w:jc w:val="center"/>
              <w:rPr>
                <w:rFonts w:cs="Times New Roman"/>
                <w:sz w:val="24"/>
                <w:szCs w:val="24"/>
              </w:rPr>
            </w:pPr>
            <w:r>
              <w:rPr>
                <w:rFonts w:hint="eastAsia" w:cs="Times New Roman"/>
                <w:sz w:val="24"/>
                <w:szCs w:val="24"/>
              </w:rPr>
              <w:t>临时工程</w:t>
            </w:r>
          </w:p>
        </w:tc>
        <w:tc>
          <w:tcPr>
            <w:tcW w:w="1718" w:type="pct"/>
            <w:vAlign w:val="center"/>
          </w:tcPr>
          <w:p>
            <w:pPr>
              <w:spacing w:line="240" w:lineRule="auto"/>
              <w:ind w:firstLine="0" w:firstLineChars="0"/>
              <w:jc w:val="center"/>
              <w:rPr>
                <w:rFonts w:cs="Times New Roman"/>
                <w:sz w:val="24"/>
                <w:szCs w:val="24"/>
              </w:rPr>
            </w:pPr>
            <w:r>
              <w:rPr>
                <w:rFonts w:hint="eastAsia" w:cs="Times New Roman"/>
                <w:sz w:val="24"/>
                <w:szCs w:val="24"/>
              </w:rPr>
              <w:t>1,173.31</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1016" w:type="pct"/>
            <w:vAlign w:val="center"/>
          </w:tcPr>
          <w:p>
            <w:pPr>
              <w:spacing w:line="240" w:lineRule="auto"/>
              <w:ind w:firstLine="0" w:firstLineChars="0"/>
              <w:jc w:val="center"/>
              <w:rPr>
                <w:rFonts w:cs="Times New Roman"/>
                <w:sz w:val="24"/>
                <w:szCs w:val="24"/>
              </w:rPr>
            </w:pPr>
            <w:r>
              <w:rPr>
                <w:rFonts w:cs="Times New Roman"/>
                <w:sz w:val="24"/>
                <w:szCs w:val="24"/>
              </w:rPr>
              <w:t>5</w:t>
            </w:r>
          </w:p>
        </w:tc>
        <w:tc>
          <w:tcPr>
            <w:tcW w:w="2266" w:type="pct"/>
            <w:vAlign w:val="center"/>
          </w:tcPr>
          <w:p>
            <w:pPr>
              <w:spacing w:line="240" w:lineRule="auto"/>
              <w:ind w:firstLine="0" w:firstLineChars="0"/>
              <w:jc w:val="center"/>
              <w:rPr>
                <w:rFonts w:cs="Times New Roman"/>
                <w:sz w:val="24"/>
                <w:szCs w:val="24"/>
              </w:rPr>
            </w:pPr>
            <w:r>
              <w:rPr>
                <w:rFonts w:hint="eastAsia" w:cs="Times New Roman"/>
                <w:sz w:val="24"/>
                <w:szCs w:val="24"/>
              </w:rPr>
              <w:t>独立费</w:t>
            </w:r>
          </w:p>
        </w:tc>
        <w:tc>
          <w:tcPr>
            <w:tcW w:w="1718" w:type="pct"/>
            <w:vAlign w:val="center"/>
          </w:tcPr>
          <w:p>
            <w:pPr>
              <w:spacing w:line="240" w:lineRule="auto"/>
              <w:ind w:firstLine="0" w:firstLineChars="0"/>
              <w:jc w:val="center"/>
              <w:rPr>
                <w:rFonts w:cs="Times New Roman"/>
                <w:sz w:val="24"/>
                <w:szCs w:val="24"/>
              </w:rPr>
            </w:pPr>
            <w:r>
              <w:rPr>
                <w:rFonts w:hint="eastAsia" w:cs="Times New Roman"/>
                <w:sz w:val="24"/>
                <w:szCs w:val="24"/>
              </w:rPr>
              <w:t>6,162.31</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1016" w:type="pct"/>
            <w:vAlign w:val="center"/>
          </w:tcPr>
          <w:p>
            <w:pPr>
              <w:spacing w:line="240" w:lineRule="auto"/>
              <w:ind w:firstLine="0" w:firstLineChars="0"/>
              <w:jc w:val="center"/>
              <w:rPr>
                <w:rFonts w:cs="Times New Roman"/>
                <w:sz w:val="24"/>
                <w:szCs w:val="24"/>
              </w:rPr>
            </w:pPr>
            <w:r>
              <w:rPr>
                <w:rFonts w:hint="eastAsia" w:cs="Times New Roman"/>
                <w:sz w:val="24"/>
                <w:szCs w:val="24"/>
              </w:rPr>
              <w:t>6</w:t>
            </w:r>
          </w:p>
        </w:tc>
        <w:tc>
          <w:tcPr>
            <w:tcW w:w="2266" w:type="pct"/>
            <w:vAlign w:val="center"/>
          </w:tcPr>
          <w:p>
            <w:pPr>
              <w:spacing w:line="240" w:lineRule="auto"/>
              <w:ind w:firstLine="0" w:firstLineChars="0"/>
              <w:jc w:val="center"/>
              <w:rPr>
                <w:rFonts w:cs="Times New Roman"/>
                <w:sz w:val="24"/>
                <w:szCs w:val="24"/>
              </w:rPr>
            </w:pPr>
            <w:r>
              <w:rPr>
                <w:rFonts w:hint="eastAsia" w:cs="Times New Roman"/>
                <w:sz w:val="24"/>
                <w:szCs w:val="24"/>
              </w:rPr>
              <w:t>水土保持工程投资</w:t>
            </w:r>
          </w:p>
        </w:tc>
        <w:tc>
          <w:tcPr>
            <w:tcW w:w="1718" w:type="pct"/>
            <w:vAlign w:val="center"/>
          </w:tcPr>
          <w:p>
            <w:pPr>
              <w:spacing w:line="240" w:lineRule="auto"/>
              <w:ind w:firstLine="0" w:firstLineChars="0"/>
              <w:jc w:val="center"/>
              <w:rPr>
                <w:rFonts w:cs="Times New Roman"/>
                <w:sz w:val="24"/>
                <w:szCs w:val="24"/>
              </w:rPr>
            </w:pPr>
            <w:r>
              <w:rPr>
                <w:rFonts w:hint="eastAsia" w:cs="Times New Roman"/>
                <w:sz w:val="24"/>
                <w:szCs w:val="24"/>
              </w:rPr>
              <w:t>131.77</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1016" w:type="pct"/>
            <w:vAlign w:val="center"/>
          </w:tcPr>
          <w:p>
            <w:pPr>
              <w:spacing w:line="240" w:lineRule="auto"/>
              <w:ind w:firstLine="0" w:firstLineChars="0"/>
              <w:jc w:val="center"/>
              <w:rPr>
                <w:rFonts w:cs="Times New Roman"/>
                <w:sz w:val="24"/>
                <w:szCs w:val="24"/>
              </w:rPr>
            </w:pPr>
            <w:r>
              <w:rPr>
                <w:rFonts w:hint="eastAsia" w:cs="Times New Roman"/>
                <w:sz w:val="24"/>
                <w:szCs w:val="24"/>
              </w:rPr>
              <w:t>7</w:t>
            </w:r>
          </w:p>
        </w:tc>
        <w:tc>
          <w:tcPr>
            <w:tcW w:w="2266" w:type="pct"/>
            <w:vAlign w:val="center"/>
          </w:tcPr>
          <w:p>
            <w:pPr>
              <w:spacing w:line="240" w:lineRule="auto"/>
              <w:ind w:firstLine="0" w:firstLineChars="0"/>
              <w:jc w:val="center"/>
              <w:rPr>
                <w:rFonts w:cs="Times New Roman"/>
                <w:sz w:val="24"/>
                <w:szCs w:val="24"/>
              </w:rPr>
            </w:pPr>
            <w:r>
              <w:rPr>
                <w:rFonts w:hint="eastAsia" w:cs="Times New Roman"/>
                <w:sz w:val="24"/>
                <w:szCs w:val="24"/>
              </w:rPr>
              <w:t>工程占地补偿投资</w:t>
            </w:r>
          </w:p>
        </w:tc>
        <w:tc>
          <w:tcPr>
            <w:tcW w:w="1718" w:type="pct"/>
            <w:vAlign w:val="center"/>
          </w:tcPr>
          <w:p>
            <w:pPr>
              <w:spacing w:line="240" w:lineRule="auto"/>
              <w:ind w:firstLine="0" w:firstLineChars="0"/>
              <w:jc w:val="center"/>
              <w:rPr>
                <w:rFonts w:cs="Times New Roman"/>
                <w:sz w:val="24"/>
                <w:szCs w:val="24"/>
              </w:rPr>
            </w:pPr>
            <w:r>
              <w:rPr>
                <w:rFonts w:hint="eastAsia" w:cs="Times New Roman"/>
                <w:sz w:val="24"/>
                <w:szCs w:val="24"/>
              </w:rPr>
              <w:t>2,703.45</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1016" w:type="pct"/>
            <w:vAlign w:val="center"/>
          </w:tcPr>
          <w:p>
            <w:pPr>
              <w:spacing w:line="240" w:lineRule="auto"/>
              <w:ind w:firstLine="0" w:firstLineChars="0"/>
              <w:jc w:val="center"/>
              <w:rPr>
                <w:rFonts w:cs="Times New Roman"/>
                <w:sz w:val="24"/>
                <w:szCs w:val="24"/>
              </w:rPr>
            </w:pPr>
            <w:r>
              <w:rPr>
                <w:rFonts w:cs="Times New Roman"/>
                <w:sz w:val="24"/>
                <w:szCs w:val="24"/>
              </w:rPr>
              <w:t>8</w:t>
            </w:r>
          </w:p>
        </w:tc>
        <w:tc>
          <w:tcPr>
            <w:tcW w:w="2266" w:type="pct"/>
            <w:vAlign w:val="center"/>
          </w:tcPr>
          <w:p>
            <w:pPr>
              <w:spacing w:line="240" w:lineRule="auto"/>
              <w:ind w:firstLine="0" w:firstLineChars="0"/>
              <w:jc w:val="center"/>
              <w:rPr>
                <w:rFonts w:cs="Times New Roman"/>
                <w:sz w:val="24"/>
                <w:szCs w:val="24"/>
              </w:rPr>
            </w:pPr>
            <w:r>
              <w:rPr>
                <w:rFonts w:hint="eastAsia" w:cs="Times New Roman"/>
                <w:sz w:val="24"/>
                <w:szCs w:val="24"/>
              </w:rPr>
              <w:t>基本预备费</w:t>
            </w:r>
          </w:p>
        </w:tc>
        <w:tc>
          <w:tcPr>
            <w:tcW w:w="1718" w:type="pct"/>
            <w:vAlign w:val="center"/>
          </w:tcPr>
          <w:p>
            <w:pPr>
              <w:spacing w:line="240" w:lineRule="auto"/>
              <w:ind w:firstLine="0" w:firstLineChars="0"/>
              <w:jc w:val="center"/>
              <w:rPr>
                <w:rFonts w:cs="Times New Roman"/>
                <w:sz w:val="24"/>
                <w:szCs w:val="24"/>
              </w:rPr>
            </w:pPr>
            <w:r>
              <w:rPr>
                <w:rFonts w:hint="eastAsia" w:cs="Times New Roman"/>
                <w:sz w:val="24"/>
                <w:szCs w:val="24"/>
              </w:rPr>
              <w:t>7,552.15</w:t>
            </w:r>
          </w:p>
        </w:tc>
      </w:tr>
      <w:bookmarkEnd w:id="19"/>
    </w:tbl>
    <w:p>
      <w:pPr>
        <w:keepNext/>
        <w:spacing w:before="120" w:beforeLines="50"/>
        <w:ind w:firstLine="0" w:firstLineChars="0"/>
        <w:jc w:val="center"/>
        <w:rPr>
          <w:rFonts w:cs="Times New Roman"/>
          <w:b/>
          <w:bCs/>
          <w:sz w:val="24"/>
          <w:szCs w:val="24"/>
        </w:rPr>
      </w:pPr>
      <w:r>
        <w:rPr>
          <w:rFonts w:hint="eastAsia" w:cs="Times New Roman"/>
          <w:b/>
          <w:bCs/>
          <w:sz w:val="24"/>
          <w:szCs w:val="24"/>
        </w:rPr>
        <w:t>表</w:t>
      </w:r>
      <w:r>
        <w:rPr>
          <w:rFonts w:cs="Times New Roman"/>
          <w:b/>
          <w:bCs/>
          <w:sz w:val="24"/>
          <w:szCs w:val="24"/>
        </w:rPr>
        <w:t>3-5</w:t>
      </w:r>
      <w:r>
        <w:rPr>
          <w:rFonts w:hint="eastAsia" w:cs="Times New Roman"/>
          <w:b/>
          <w:bCs/>
          <w:sz w:val="24"/>
          <w:szCs w:val="24"/>
        </w:rPr>
        <w:t>项目动态总投资</w:t>
      </w:r>
    </w:p>
    <w:tbl>
      <w:tblPr>
        <w:tblStyle w:val="31"/>
        <w:tblW w:w="5000" w:type="pct"/>
        <w:jc w:val="center"/>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Layout w:type="autofit"/>
        <w:tblCellMar>
          <w:top w:w="0" w:type="dxa"/>
          <w:left w:w="108" w:type="dxa"/>
          <w:bottom w:w="0" w:type="dxa"/>
          <w:right w:w="108" w:type="dxa"/>
        </w:tblCellMar>
      </w:tblPr>
      <w:tblGrid>
        <w:gridCol w:w="1887"/>
        <w:gridCol w:w="4208"/>
        <w:gridCol w:w="3191"/>
      </w:tblGrid>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1016" w:type="pct"/>
            <w:tcBorders>
              <w:top w:val="single" w:color="auto" w:sz="18" w:space="0"/>
              <w:bottom w:val="single" w:color="auto" w:sz="4" w:space="0"/>
            </w:tcBorders>
            <w:shd w:val="clear" w:color="auto" w:fill="D8D8D8" w:themeFill="background1" w:themeFillShade="D9"/>
            <w:vAlign w:val="center"/>
          </w:tcPr>
          <w:p>
            <w:pPr>
              <w:spacing w:line="240" w:lineRule="auto"/>
              <w:ind w:firstLine="0" w:firstLineChars="0"/>
              <w:jc w:val="center"/>
              <w:rPr>
                <w:rFonts w:cs="Times New Roman"/>
                <w:b/>
                <w:bCs/>
                <w:sz w:val="24"/>
                <w:szCs w:val="24"/>
              </w:rPr>
            </w:pPr>
            <w:r>
              <w:rPr>
                <w:rFonts w:hint="eastAsia" w:cs="Times New Roman"/>
                <w:b/>
                <w:bCs/>
                <w:sz w:val="24"/>
                <w:szCs w:val="24"/>
              </w:rPr>
              <w:t>序号</w:t>
            </w:r>
          </w:p>
        </w:tc>
        <w:tc>
          <w:tcPr>
            <w:tcW w:w="2266" w:type="pct"/>
            <w:tcBorders>
              <w:top w:val="single" w:color="auto" w:sz="18" w:space="0"/>
              <w:bottom w:val="single" w:color="auto" w:sz="4" w:space="0"/>
            </w:tcBorders>
            <w:shd w:val="clear" w:color="auto" w:fill="D8D8D8" w:themeFill="background1" w:themeFillShade="D9"/>
            <w:vAlign w:val="center"/>
          </w:tcPr>
          <w:p>
            <w:pPr>
              <w:spacing w:line="240" w:lineRule="auto"/>
              <w:ind w:firstLine="0" w:firstLineChars="0"/>
              <w:jc w:val="center"/>
              <w:rPr>
                <w:rFonts w:cs="Times New Roman"/>
                <w:b/>
                <w:bCs/>
                <w:sz w:val="24"/>
                <w:szCs w:val="24"/>
              </w:rPr>
            </w:pPr>
            <w:r>
              <w:rPr>
                <w:rFonts w:hint="eastAsia" w:cs="Times New Roman"/>
                <w:b/>
                <w:bCs/>
                <w:sz w:val="24"/>
                <w:szCs w:val="24"/>
              </w:rPr>
              <w:t>费用名称</w:t>
            </w:r>
          </w:p>
        </w:tc>
        <w:tc>
          <w:tcPr>
            <w:tcW w:w="1718" w:type="pct"/>
            <w:tcBorders>
              <w:top w:val="single" w:color="auto" w:sz="18" w:space="0"/>
              <w:bottom w:val="single" w:color="auto" w:sz="4" w:space="0"/>
            </w:tcBorders>
            <w:shd w:val="clear" w:color="auto" w:fill="D8D8D8" w:themeFill="background1" w:themeFillShade="D9"/>
            <w:vAlign w:val="center"/>
          </w:tcPr>
          <w:p>
            <w:pPr>
              <w:spacing w:line="240" w:lineRule="auto"/>
              <w:ind w:firstLine="0" w:firstLineChars="0"/>
              <w:jc w:val="center"/>
              <w:rPr>
                <w:rFonts w:cs="Times New Roman"/>
                <w:b/>
                <w:bCs/>
                <w:sz w:val="24"/>
                <w:szCs w:val="24"/>
              </w:rPr>
            </w:pPr>
            <w:r>
              <w:rPr>
                <w:rFonts w:hint="eastAsia" w:cs="Times New Roman"/>
                <w:b/>
                <w:bCs/>
                <w:sz w:val="24"/>
                <w:szCs w:val="24"/>
              </w:rPr>
              <w:t>金额（万元）</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1016" w:type="pct"/>
            <w:tcBorders>
              <w:top w:val="single" w:color="auto" w:sz="4" w:space="0"/>
            </w:tcBorders>
            <w:vAlign w:val="center"/>
          </w:tcPr>
          <w:p>
            <w:pPr>
              <w:spacing w:line="240" w:lineRule="auto"/>
              <w:ind w:firstLine="0" w:firstLineChars="0"/>
              <w:jc w:val="center"/>
              <w:rPr>
                <w:rFonts w:cs="Times New Roman"/>
                <w:b/>
                <w:sz w:val="24"/>
                <w:szCs w:val="24"/>
              </w:rPr>
            </w:pPr>
            <w:r>
              <w:rPr>
                <w:rFonts w:hint="eastAsia" w:cs="Times New Roman"/>
                <w:b/>
                <w:sz w:val="24"/>
                <w:szCs w:val="24"/>
              </w:rPr>
              <w:t>一</w:t>
            </w:r>
          </w:p>
        </w:tc>
        <w:tc>
          <w:tcPr>
            <w:tcW w:w="2266" w:type="pct"/>
            <w:tcBorders>
              <w:top w:val="single" w:color="auto" w:sz="4" w:space="0"/>
            </w:tcBorders>
            <w:vAlign w:val="center"/>
          </w:tcPr>
          <w:p>
            <w:pPr>
              <w:spacing w:line="240" w:lineRule="auto"/>
              <w:ind w:firstLine="0" w:firstLineChars="0"/>
              <w:jc w:val="center"/>
              <w:rPr>
                <w:rFonts w:cs="Times New Roman"/>
                <w:b/>
                <w:sz w:val="24"/>
                <w:szCs w:val="24"/>
              </w:rPr>
            </w:pPr>
            <w:r>
              <w:rPr>
                <w:rFonts w:hint="eastAsia" w:cs="Times New Roman"/>
                <w:b/>
                <w:sz w:val="24"/>
                <w:szCs w:val="24"/>
              </w:rPr>
              <w:t>项目建设投资</w:t>
            </w:r>
          </w:p>
        </w:tc>
        <w:tc>
          <w:tcPr>
            <w:tcW w:w="1718" w:type="pct"/>
            <w:tcBorders>
              <w:top w:val="single" w:color="auto" w:sz="4" w:space="0"/>
            </w:tcBorders>
            <w:vAlign w:val="center"/>
          </w:tcPr>
          <w:p>
            <w:pPr>
              <w:spacing w:line="240" w:lineRule="auto"/>
              <w:ind w:firstLine="0" w:firstLineChars="0"/>
              <w:jc w:val="center"/>
              <w:rPr>
                <w:rFonts w:cs="Times New Roman"/>
                <w:b/>
                <w:sz w:val="24"/>
                <w:szCs w:val="24"/>
              </w:rPr>
            </w:pPr>
            <w:r>
              <w:rPr>
                <w:rFonts w:hint="eastAsia" w:cs="Times New Roman"/>
                <w:b/>
                <w:sz w:val="24"/>
                <w:szCs w:val="24"/>
              </w:rPr>
              <w:t>104,789.30</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1016" w:type="pct"/>
            <w:vAlign w:val="center"/>
          </w:tcPr>
          <w:p>
            <w:pPr>
              <w:spacing w:line="240" w:lineRule="auto"/>
              <w:ind w:firstLine="0" w:firstLineChars="0"/>
              <w:jc w:val="center"/>
              <w:rPr>
                <w:rFonts w:cs="Times New Roman"/>
                <w:sz w:val="24"/>
                <w:szCs w:val="24"/>
              </w:rPr>
            </w:pPr>
            <w:r>
              <w:rPr>
                <w:rFonts w:hint="eastAsia" w:cs="Times New Roman"/>
                <w:sz w:val="24"/>
                <w:szCs w:val="24"/>
              </w:rPr>
              <w:t>1</w:t>
            </w:r>
          </w:p>
        </w:tc>
        <w:tc>
          <w:tcPr>
            <w:tcW w:w="2266" w:type="pct"/>
            <w:vAlign w:val="center"/>
          </w:tcPr>
          <w:p>
            <w:pPr>
              <w:spacing w:line="240" w:lineRule="auto"/>
              <w:ind w:firstLine="0" w:firstLineChars="0"/>
              <w:jc w:val="center"/>
              <w:rPr>
                <w:rFonts w:cs="Times New Roman"/>
                <w:sz w:val="24"/>
                <w:szCs w:val="24"/>
              </w:rPr>
            </w:pPr>
            <w:r>
              <w:rPr>
                <w:rFonts w:hint="eastAsia" w:cs="Times New Roman"/>
                <w:sz w:val="24"/>
                <w:szCs w:val="24"/>
              </w:rPr>
              <w:t>土建工程费</w:t>
            </w:r>
          </w:p>
        </w:tc>
        <w:tc>
          <w:tcPr>
            <w:tcW w:w="1718" w:type="pct"/>
            <w:vAlign w:val="center"/>
          </w:tcPr>
          <w:p>
            <w:pPr>
              <w:spacing w:line="240" w:lineRule="auto"/>
              <w:ind w:firstLine="0" w:firstLineChars="0"/>
              <w:jc w:val="center"/>
              <w:rPr>
                <w:rFonts w:cs="Times New Roman"/>
                <w:sz w:val="24"/>
                <w:szCs w:val="24"/>
              </w:rPr>
            </w:pPr>
            <w:r>
              <w:rPr>
                <w:rFonts w:hint="eastAsia" w:cs="Times New Roman"/>
                <w:sz w:val="24"/>
                <w:szCs w:val="24"/>
              </w:rPr>
              <w:t>72,692.2</w:t>
            </w:r>
            <w:r>
              <w:rPr>
                <w:rFonts w:cs="Times New Roman"/>
                <w:sz w:val="24"/>
                <w:szCs w:val="24"/>
              </w:rPr>
              <w:t>0</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1016" w:type="pct"/>
            <w:vAlign w:val="center"/>
          </w:tcPr>
          <w:p>
            <w:pPr>
              <w:spacing w:line="240" w:lineRule="auto"/>
              <w:ind w:firstLine="0" w:firstLineChars="0"/>
              <w:jc w:val="center"/>
              <w:rPr>
                <w:rFonts w:cs="Times New Roman"/>
                <w:sz w:val="24"/>
                <w:szCs w:val="24"/>
              </w:rPr>
            </w:pPr>
            <w:r>
              <w:rPr>
                <w:rFonts w:cs="Times New Roman"/>
                <w:sz w:val="24"/>
                <w:szCs w:val="24"/>
              </w:rPr>
              <w:t>2</w:t>
            </w:r>
          </w:p>
        </w:tc>
        <w:tc>
          <w:tcPr>
            <w:tcW w:w="2266" w:type="pct"/>
            <w:vAlign w:val="center"/>
          </w:tcPr>
          <w:p>
            <w:pPr>
              <w:spacing w:line="240" w:lineRule="auto"/>
              <w:ind w:firstLine="0" w:firstLineChars="0"/>
              <w:jc w:val="center"/>
              <w:rPr>
                <w:rFonts w:cs="Times New Roman"/>
                <w:sz w:val="24"/>
                <w:szCs w:val="24"/>
                <w:lang w:eastAsia="zh-Hans"/>
              </w:rPr>
            </w:pPr>
            <w:r>
              <w:rPr>
                <w:rFonts w:hint="eastAsia" w:cs="Times New Roman"/>
                <w:sz w:val="24"/>
                <w:szCs w:val="24"/>
              </w:rPr>
              <w:t>设备购置及安装工程</w:t>
            </w:r>
            <w:r>
              <w:rPr>
                <w:rFonts w:hint="eastAsia" w:cs="Times New Roman"/>
                <w:sz w:val="24"/>
                <w:szCs w:val="24"/>
                <w:lang w:eastAsia="zh-Hans"/>
              </w:rPr>
              <w:t>费</w:t>
            </w:r>
          </w:p>
        </w:tc>
        <w:tc>
          <w:tcPr>
            <w:tcW w:w="1718" w:type="pct"/>
            <w:vAlign w:val="center"/>
          </w:tcPr>
          <w:p>
            <w:pPr>
              <w:spacing w:line="240" w:lineRule="auto"/>
              <w:ind w:firstLine="0" w:firstLineChars="0"/>
              <w:jc w:val="center"/>
              <w:rPr>
                <w:rFonts w:cs="Times New Roman"/>
                <w:sz w:val="24"/>
                <w:szCs w:val="24"/>
              </w:rPr>
            </w:pPr>
            <w:r>
              <w:rPr>
                <w:rFonts w:hint="eastAsia" w:cs="Times New Roman"/>
                <w:sz w:val="24"/>
                <w:szCs w:val="24"/>
              </w:rPr>
              <w:t>13,804.34</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1016" w:type="pct"/>
            <w:vAlign w:val="center"/>
          </w:tcPr>
          <w:p>
            <w:pPr>
              <w:spacing w:line="240" w:lineRule="auto"/>
              <w:ind w:firstLine="0" w:firstLineChars="0"/>
              <w:jc w:val="center"/>
              <w:rPr>
                <w:rFonts w:cs="Times New Roman"/>
                <w:sz w:val="24"/>
                <w:szCs w:val="24"/>
              </w:rPr>
            </w:pPr>
            <w:r>
              <w:rPr>
                <w:rFonts w:cs="Times New Roman"/>
                <w:sz w:val="24"/>
                <w:szCs w:val="24"/>
              </w:rPr>
              <w:t>3</w:t>
            </w:r>
          </w:p>
        </w:tc>
        <w:tc>
          <w:tcPr>
            <w:tcW w:w="2266" w:type="pct"/>
            <w:vAlign w:val="center"/>
          </w:tcPr>
          <w:p>
            <w:pPr>
              <w:spacing w:line="240" w:lineRule="auto"/>
              <w:ind w:firstLine="0" w:firstLineChars="0"/>
              <w:jc w:val="center"/>
              <w:rPr>
                <w:rFonts w:cs="Times New Roman"/>
                <w:sz w:val="24"/>
                <w:szCs w:val="24"/>
              </w:rPr>
            </w:pPr>
            <w:r>
              <w:rPr>
                <w:rFonts w:hint="eastAsia" w:cs="Times New Roman"/>
                <w:sz w:val="24"/>
                <w:szCs w:val="24"/>
              </w:rPr>
              <w:t>金属结构及安装工程费</w:t>
            </w:r>
          </w:p>
        </w:tc>
        <w:tc>
          <w:tcPr>
            <w:tcW w:w="1718" w:type="pct"/>
            <w:vAlign w:val="center"/>
          </w:tcPr>
          <w:p>
            <w:pPr>
              <w:spacing w:line="240" w:lineRule="auto"/>
              <w:ind w:firstLine="0" w:firstLineChars="0"/>
              <w:jc w:val="center"/>
              <w:rPr>
                <w:rFonts w:cs="Times New Roman"/>
                <w:sz w:val="24"/>
                <w:szCs w:val="24"/>
              </w:rPr>
            </w:pPr>
            <w:r>
              <w:rPr>
                <w:rFonts w:hint="eastAsia" w:cs="Times New Roman"/>
                <w:sz w:val="24"/>
                <w:szCs w:val="24"/>
              </w:rPr>
              <w:t>569.77</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1016" w:type="pct"/>
            <w:vAlign w:val="center"/>
          </w:tcPr>
          <w:p>
            <w:pPr>
              <w:spacing w:line="240" w:lineRule="auto"/>
              <w:ind w:firstLine="0" w:firstLineChars="0"/>
              <w:jc w:val="center"/>
              <w:rPr>
                <w:rFonts w:cs="Times New Roman"/>
                <w:sz w:val="24"/>
                <w:szCs w:val="24"/>
              </w:rPr>
            </w:pPr>
            <w:r>
              <w:rPr>
                <w:rFonts w:cs="Times New Roman"/>
                <w:sz w:val="24"/>
                <w:szCs w:val="24"/>
              </w:rPr>
              <w:t>4</w:t>
            </w:r>
          </w:p>
        </w:tc>
        <w:tc>
          <w:tcPr>
            <w:tcW w:w="2266" w:type="pct"/>
            <w:vAlign w:val="center"/>
          </w:tcPr>
          <w:p>
            <w:pPr>
              <w:spacing w:line="240" w:lineRule="auto"/>
              <w:ind w:firstLine="0" w:firstLineChars="0"/>
              <w:jc w:val="center"/>
              <w:rPr>
                <w:rFonts w:cs="Times New Roman"/>
                <w:sz w:val="24"/>
                <w:szCs w:val="24"/>
              </w:rPr>
            </w:pPr>
            <w:r>
              <w:rPr>
                <w:rFonts w:hint="eastAsia" w:cs="Times New Roman"/>
                <w:sz w:val="24"/>
                <w:szCs w:val="24"/>
              </w:rPr>
              <w:t>临时工程</w:t>
            </w:r>
          </w:p>
        </w:tc>
        <w:tc>
          <w:tcPr>
            <w:tcW w:w="1718" w:type="pct"/>
            <w:vAlign w:val="center"/>
          </w:tcPr>
          <w:p>
            <w:pPr>
              <w:spacing w:line="240" w:lineRule="auto"/>
              <w:ind w:firstLine="0" w:firstLineChars="0"/>
              <w:jc w:val="center"/>
              <w:rPr>
                <w:rFonts w:cs="Times New Roman"/>
                <w:sz w:val="24"/>
                <w:szCs w:val="24"/>
              </w:rPr>
            </w:pPr>
            <w:r>
              <w:rPr>
                <w:rFonts w:hint="eastAsia" w:cs="Times New Roman"/>
                <w:sz w:val="24"/>
                <w:szCs w:val="24"/>
              </w:rPr>
              <w:t>1,173.31</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1016" w:type="pct"/>
            <w:vAlign w:val="center"/>
          </w:tcPr>
          <w:p>
            <w:pPr>
              <w:spacing w:line="240" w:lineRule="auto"/>
              <w:ind w:firstLine="0" w:firstLineChars="0"/>
              <w:jc w:val="center"/>
              <w:rPr>
                <w:rFonts w:cs="Times New Roman"/>
                <w:sz w:val="24"/>
                <w:szCs w:val="24"/>
              </w:rPr>
            </w:pPr>
            <w:r>
              <w:rPr>
                <w:rFonts w:cs="Times New Roman"/>
                <w:sz w:val="24"/>
                <w:szCs w:val="24"/>
              </w:rPr>
              <w:t>5</w:t>
            </w:r>
          </w:p>
        </w:tc>
        <w:tc>
          <w:tcPr>
            <w:tcW w:w="2266" w:type="pct"/>
            <w:vAlign w:val="center"/>
          </w:tcPr>
          <w:p>
            <w:pPr>
              <w:spacing w:line="240" w:lineRule="auto"/>
              <w:ind w:firstLine="0" w:firstLineChars="0"/>
              <w:jc w:val="center"/>
              <w:rPr>
                <w:rFonts w:cs="Times New Roman"/>
                <w:sz w:val="24"/>
                <w:szCs w:val="24"/>
              </w:rPr>
            </w:pPr>
            <w:r>
              <w:rPr>
                <w:rFonts w:hint="eastAsia" w:cs="Times New Roman"/>
                <w:sz w:val="24"/>
                <w:szCs w:val="24"/>
              </w:rPr>
              <w:t>独立费</w:t>
            </w:r>
          </w:p>
        </w:tc>
        <w:tc>
          <w:tcPr>
            <w:tcW w:w="1718" w:type="pct"/>
            <w:vAlign w:val="center"/>
          </w:tcPr>
          <w:p>
            <w:pPr>
              <w:spacing w:line="240" w:lineRule="auto"/>
              <w:ind w:firstLine="0" w:firstLineChars="0"/>
              <w:jc w:val="center"/>
              <w:rPr>
                <w:rFonts w:cs="Times New Roman"/>
                <w:sz w:val="24"/>
                <w:szCs w:val="24"/>
              </w:rPr>
            </w:pPr>
            <w:r>
              <w:rPr>
                <w:rFonts w:hint="eastAsia" w:cs="Times New Roman"/>
                <w:sz w:val="24"/>
                <w:szCs w:val="24"/>
              </w:rPr>
              <w:t>6,162.31</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1016" w:type="pct"/>
            <w:vAlign w:val="center"/>
          </w:tcPr>
          <w:p>
            <w:pPr>
              <w:spacing w:line="240" w:lineRule="auto"/>
              <w:ind w:firstLine="0" w:firstLineChars="0"/>
              <w:jc w:val="center"/>
              <w:rPr>
                <w:rFonts w:cs="Times New Roman"/>
                <w:sz w:val="24"/>
                <w:szCs w:val="24"/>
              </w:rPr>
            </w:pPr>
            <w:r>
              <w:rPr>
                <w:rFonts w:hint="eastAsia" w:cs="Times New Roman"/>
                <w:sz w:val="24"/>
                <w:szCs w:val="24"/>
              </w:rPr>
              <w:t>6</w:t>
            </w:r>
          </w:p>
        </w:tc>
        <w:tc>
          <w:tcPr>
            <w:tcW w:w="2266" w:type="pct"/>
            <w:vAlign w:val="center"/>
          </w:tcPr>
          <w:p>
            <w:pPr>
              <w:spacing w:line="240" w:lineRule="auto"/>
              <w:ind w:firstLine="0" w:firstLineChars="0"/>
              <w:jc w:val="center"/>
              <w:rPr>
                <w:rFonts w:cs="Times New Roman"/>
                <w:sz w:val="24"/>
                <w:szCs w:val="24"/>
              </w:rPr>
            </w:pPr>
            <w:r>
              <w:rPr>
                <w:rFonts w:hint="eastAsia" w:cs="Times New Roman"/>
                <w:sz w:val="24"/>
                <w:szCs w:val="24"/>
              </w:rPr>
              <w:t>水土保持工程投资</w:t>
            </w:r>
          </w:p>
        </w:tc>
        <w:tc>
          <w:tcPr>
            <w:tcW w:w="1718" w:type="pct"/>
            <w:vAlign w:val="center"/>
          </w:tcPr>
          <w:p>
            <w:pPr>
              <w:spacing w:line="240" w:lineRule="auto"/>
              <w:ind w:firstLine="0" w:firstLineChars="0"/>
              <w:jc w:val="center"/>
              <w:rPr>
                <w:rFonts w:cs="Times New Roman"/>
                <w:sz w:val="24"/>
                <w:szCs w:val="24"/>
              </w:rPr>
            </w:pPr>
            <w:r>
              <w:rPr>
                <w:rFonts w:hint="eastAsia" w:cs="Times New Roman"/>
                <w:sz w:val="24"/>
                <w:szCs w:val="24"/>
              </w:rPr>
              <w:t>131.77</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1016" w:type="pct"/>
            <w:vAlign w:val="center"/>
          </w:tcPr>
          <w:p>
            <w:pPr>
              <w:spacing w:line="240" w:lineRule="auto"/>
              <w:ind w:firstLine="0" w:firstLineChars="0"/>
              <w:jc w:val="center"/>
              <w:rPr>
                <w:rFonts w:cs="Times New Roman"/>
                <w:sz w:val="24"/>
                <w:szCs w:val="24"/>
              </w:rPr>
            </w:pPr>
            <w:r>
              <w:rPr>
                <w:rFonts w:hint="eastAsia" w:cs="Times New Roman"/>
                <w:sz w:val="24"/>
                <w:szCs w:val="24"/>
              </w:rPr>
              <w:t>7</w:t>
            </w:r>
          </w:p>
        </w:tc>
        <w:tc>
          <w:tcPr>
            <w:tcW w:w="2266" w:type="pct"/>
            <w:vAlign w:val="center"/>
          </w:tcPr>
          <w:p>
            <w:pPr>
              <w:spacing w:line="240" w:lineRule="auto"/>
              <w:ind w:firstLine="0" w:firstLineChars="0"/>
              <w:jc w:val="center"/>
              <w:rPr>
                <w:rFonts w:cs="Times New Roman"/>
                <w:sz w:val="24"/>
                <w:szCs w:val="24"/>
              </w:rPr>
            </w:pPr>
            <w:r>
              <w:rPr>
                <w:rFonts w:hint="eastAsia" w:cs="Times New Roman"/>
                <w:sz w:val="24"/>
                <w:szCs w:val="24"/>
              </w:rPr>
              <w:t>工程占地补偿投资</w:t>
            </w:r>
          </w:p>
        </w:tc>
        <w:tc>
          <w:tcPr>
            <w:tcW w:w="1718" w:type="pct"/>
            <w:vAlign w:val="center"/>
          </w:tcPr>
          <w:p>
            <w:pPr>
              <w:spacing w:line="240" w:lineRule="auto"/>
              <w:ind w:firstLine="0" w:firstLineChars="0"/>
              <w:jc w:val="center"/>
              <w:rPr>
                <w:rFonts w:cs="Times New Roman"/>
                <w:sz w:val="24"/>
                <w:szCs w:val="24"/>
              </w:rPr>
            </w:pPr>
            <w:r>
              <w:rPr>
                <w:rFonts w:hint="eastAsia" w:cs="Times New Roman"/>
                <w:sz w:val="24"/>
                <w:szCs w:val="24"/>
              </w:rPr>
              <w:t>2,703.45</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1016" w:type="pct"/>
            <w:vAlign w:val="center"/>
          </w:tcPr>
          <w:p>
            <w:pPr>
              <w:spacing w:line="240" w:lineRule="auto"/>
              <w:ind w:firstLine="0" w:firstLineChars="0"/>
              <w:jc w:val="center"/>
              <w:rPr>
                <w:rFonts w:cs="Times New Roman"/>
                <w:sz w:val="24"/>
                <w:szCs w:val="24"/>
              </w:rPr>
            </w:pPr>
            <w:r>
              <w:rPr>
                <w:rFonts w:cs="Times New Roman"/>
                <w:sz w:val="24"/>
                <w:szCs w:val="24"/>
              </w:rPr>
              <w:t>8</w:t>
            </w:r>
          </w:p>
        </w:tc>
        <w:tc>
          <w:tcPr>
            <w:tcW w:w="2266" w:type="pct"/>
            <w:vAlign w:val="center"/>
          </w:tcPr>
          <w:p>
            <w:pPr>
              <w:spacing w:line="240" w:lineRule="auto"/>
              <w:ind w:firstLine="0" w:firstLineChars="0"/>
              <w:jc w:val="center"/>
              <w:rPr>
                <w:rFonts w:cs="Times New Roman"/>
                <w:sz w:val="24"/>
                <w:szCs w:val="24"/>
              </w:rPr>
            </w:pPr>
            <w:r>
              <w:rPr>
                <w:rFonts w:hint="eastAsia" w:cs="Times New Roman"/>
                <w:sz w:val="24"/>
                <w:szCs w:val="24"/>
              </w:rPr>
              <w:t>基本预备费</w:t>
            </w:r>
          </w:p>
        </w:tc>
        <w:tc>
          <w:tcPr>
            <w:tcW w:w="1718" w:type="pct"/>
            <w:vAlign w:val="center"/>
          </w:tcPr>
          <w:p>
            <w:pPr>
              <w:spacing w:line="240" w:lineRule="auto"/>
              <w:ind w:firstLine="0" w:firstLineChars="0"/>
              <w:jc w:val="center"/>
              <w:rPr>
                <w:rFonts w:cs="Times New Roman"/>
                <w:sz w:val="24"/>
                <w:szCs w:val="24"/>
              </w:rPr>
            </w:pPr>
            <w:r>
              <w:rPr>
                <w:rFonts w:hint="eastAsia" w:cs="Times New Roman"/>
                <w:sz w:val="24"/>
                <w:szCs w:val="24"/>
              </w:rPr>
              <w:t>7,552.15</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1732" w:type="dxa"/>
            <w:vAlign w:val="center"/>
          </w:tcPr>
          <w:p>
            <w:pPr>
              <w:spacing w:line="240" w:lineRule="auto"/>
              <w:ind w:firstLine="0" w:firstLineChars="0"/>
              <w:jc w:val="center"/>
              <w:rPr>
                <w:rFonts w:cs="Times New Roman"/>
                <w:sz w:val="24"/>
                <w:szCs w:val="24"/>
              </w:rPr>
            </w:pPr>
            <w:r>
              <w:rPr>
                <w:rFonts w:hint="eastAsia" w:cs="Times New Roman"/>
                <w:b/>
                <w:bCs/>
                <w:sz w:val="24"/>
                <w:szCs w:val="24"/>
              </w:rPr>
              <w:t>二</w:t>
            </w:r>
          </w:p>
        </w:tc>
        <w:tc>
          <w:tcPr>
            <w:tcW w:w="3862" w:type="dxa"/>
            <w:vAlign w:val="center"/>
          </w:tcPr>
          <w:p>
            <w:pPr>
              <w:spacing w:line="240" w:lineRule="auto"/>
              <w:ind w:firstLine="0" w:firstLineChars="0"/>
              <w:jc w:val="center"/>
              <w:rPr>
                <w:rFonts w:cs="Times New Roman"/>
                <w:sz w:val="24"/>
                <w:szCs w:val="24"/>
              </w:rPr>
            </w:pPr>
            <w:r>
              <w:rPr>
                <w:rFonts w:hint="eastAsia" w:cs="Times New Roman"/>
                <w:b/>
                <w:bCs/>
                <w:sz w:val="24"/>
                <w:szCs w:val="24"/>
              </w:rPr>
              <w:t>建设期利息</w:t>
            </w:r>
          </w:p>
        </w:tc>
        <w:tc>
          <w:tcPr>
            <w:tcW w:w="1718" w:type="pct"/>
            <w:vAlign w:val="center"/>
          </w:tcPr>
          <w:p>
            <w:pPr>
              <w:spacing w:line="240" w:lineRule="auto"/>
              <w:ind w:firstLine="0" w:firstLineChars="0"/>
              <w:jc w:val="center"/>
              <w:rPr>
                <w:rFonts w:cs="Times New Roman"/>
                <w:sz w:val="24"/>
                <w:szCs w:val="24"/>
              </w:rPr>
            </w:pPr>
            <w:r>
              <w:rPr>
                <w:rFonts w:hint="eastAsia" w:cs="Times New Roman"/>
                <w:sz w:val="24"/>
                <w:szCs w:val="24"/>
              </w:rPr>
              <w:t>3,144.55</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1732" w:type="dxa"/>
            <w:vAlign w:val="center"/>
          </w:tcPr>
          <w:p>
            <w:pPr>
              <w:spacing w:line="240" w:lineRule="auto"/>
              <w:ind w:firstLine="0" w:firstLineChars="0"/>
              <w:jc w:val="center"/>
              <w:rPr>
                <w:rFonts w:cs="Times New Roman"/>
                <w:sz w:val="24"/>
                <w:szCs w:val="24"/>
              </w:rPr>
            </w:pPr>
            <w:r>
              <w:rPr>
                <w:rFonts w:hint="eastAsia" w:cs="Times New Roman"/>
                <w:b/>
                <w:bCs/>
                <w:sz w:val="24"/>
                <w:szCs w:val="24"/>
              </w:rPr>
              <w:t>三</w:t>
            </w:r>
          </w:p>
        </w:tc>
        <w:tc>
          <w:tcPr>
            <w:tcW w:w="3862" w:type="dxa"/>
            <w:vAlign w:val="center"/>
          </w:tcPr>
          <w:p>
            <w:pPr>
              <w:spacing w:line="240" w:lineRule="auto"/>
              <w:ind w:firstLine="0" w:firstLineChars="0"/>
              <w:jc w:val="center"/>
              <w:rPr>
                <w:rFonts w:cs="Times New Roman"/>
                <w:sz w:val="24"/>
                <w:szCs w:val="24"/>
              </w:rPr>
            </w:pPr>
            <w:r>
              <w:rPr>
                <w:rFonts w:hint="eastAsia" w:cs="Times New Roman"/>
                <w:b/>
                <w:bCs/>
                <w:sz w:val="24"/>
                <w:szCs w:val="24"/>
              </w:rPr>
              <w:t>项目总投资</w:t>
            </w:r>
          </w:p>
        </w:tc>
        <w:tc>
          <w:tcPr>
            <w:tcW w:w="1718" w:type="pct"/>
            <w:vAlign w:val="center"/>
          </w:tcPr>
          <w:p>
            <w:pPr>
              <w:spacing w:line="240" w:lineRule="auto"/>
              <w:ind w:firstLine="0" w:firstLineChars="0"/>
              <w:jc w:val="center"/>
              <w:rPr>
                <w:rFonts w:cs="Times New Roman"/>
                <w:sz w:val="24"/>
                <w:szCs w:val="24"/>
              </w:rPr>
            </w:pPr>
            <w:r>
              <w:rPr>
                <w:rFonts w:hint="eastAsia" w:cs="Times New Roman"/>
                <w:sz w:val="24"/>
                <w:szCs w:val="24"/>
              </w:rPr>
              <w:t>107,933.85</w:t>
            </w:r>
          </w:p>
        </w:tc>
      </w:tr>
    </w:tbl>
    <w:p>
      <w:pPr>
        <w:spacing w:before="120" w:beforeLines="50"/>
        <w:ind w:firstLine="0" w:firstLineChars="0"/>
        <w:rPr>
          <w:rFonts w:cs="Times New Roman"/>
          <w:b/>
          <w:bCs/>
          <w:sz w:val="24"/>
          <w:szCs w:val="24"/>
        </w:rPr>
      </w:pPr>
    </w:p>
    <w:p>
      <w:pPr>
        <w:pStyle w:val="3"/>
        <w:ind w:firstLine="643"/>
        <w:rPr>
          <w:rFonts w:cs="Times New Roman"/>
        </w:rPr>
      </w:pPr>
      <w:bookmarkStart w:id="20" w:name="_Toc148432348"/>
      <w:r>
        <w:rPr>
          <w:rFonts w:hint="eastAsia" w:cs="Times New Roman"/>
        </w:rPr>
        <w:t>九、项目产出说明</w:t>
      </w:r>
      <w:bookmarkEnd w:id="20"/>
    </w:p>
    <w:p>
      <w:pPr>
        <w:keepNext/>
        <w:keepLines/>
        <w:spacing w:before="120" w:after="120"/>
        <w:ind w:firstLine="562"/>
        <w:outlineLvl w:val="2"/>
        <w:rPr>
          <w:rFonts w:cs="Times New Roman"/>
          <w:b/>
          <w:bCs/>
          <w:szCs w:val="32"/>
        </w:rPr>
      </w:pPr>
      <w:r>
        <w:rPr>
          <w:rFonts w:hint="eastAsia" w:cs="Times New Roman"/>
          <w:b/>
          <w:bCs/>
          <w:szCs w:val="32"/>
        </w:rPr>
        <w:t>（一）项目建设产出</w:t>
      </w:r>
    </w:p>
    <w:p>
      <w:pPr>
        <w:keepNext/>
        <w:keepLines/>
        <w:spacing w:before="120" w:after="120"/>
        <w:ind w:firstLine="562"/>
        <w:outlineLvl w:val="3"/>
        <w:rPr>
          <w:rFonts w:cs="Times New Roman"/>
          <w:b/>
        </w:rPr>
      </w:pPr>
      <w:r>
        <w:rPr>
          <w:rFonts w:hint="eastAsia" w:cs="Times New Roman"/>
          <w:b/>
        </w:rPr>
        <w:t>1</w:t>
      </w:r>
      <w:r>
        <w:rPr>
          <w:rFonts w:cs="Times New Roman"/>
          <w:b/>
        </w:rPr>
        <w:t>.</w:t>
      </w:r>
      <w:r>
        <w:rPr>
          <w:rFonts w:hint="eastAsia" w:cs="Times New Roman"/>
          <w:b/>
        </w:rPr>
        <w:t>骨干灌溉工程升级改造</w:t>
      </w:r>
    </w:p>
    <w:p>
      <w:pPr>
        <w:ind w:firstLine="560"/>
        <w:rPr>
          <w:rFonts w:cs="Times New Roman"/>
        </w:rPr>
      </w:pPr>
      <w:r>
        <w:rPr>
          <w:rFonts w:hint="eastAsia" w:cs="Times New Roman"/>
        </w:rPr>
        <w:t>（1）骨干水源配水工程</w:t>
      </w:r>
    </w:p>
    <w:p>
      <w:pPr>
        <w:ind w:firstLine="560"/>
        <w:rPr>
          <w:rFonts w:hint="eastAsia" w:cs="Times New Roman"/>
        </w:rPr>
      </w:pPr>
      <w:r>
        <w:rPr>
          <w:rFonts w:hint="eastAsia" w:cs="Times New Roman"/>
        </w:rPr>
        <w:t>①小洪沟水库配水工程自小洪沟水库重力流输水管线末端取水，新建配水管线总长5.588km，设计流量0.136～0.359m</w:t>
      </w:r>
      <w:r>
        <w:rPr>
          <w:rFonts w:ascii="Calibri" w:hAnsi="Calibri" w:cs="Times New Roman"/>
        </w:rPr>
        <w:t>³</w:t>
      </w:r>
      <w:r>
        <w:rPr>
          <w:rFonts w:hint="eastAsia" w:cs="Times New Roman"/>
        </w:rPr>
        <w:t>/s，管径DN400～600，管压1.6～2.0Mpa，管材采用球磨铸铁管，布置管线附属建筑物45座。</w:t>
      </w:r>
    </w:p>
    <w:p>
      <w:pPr>
        <w:ind w:firstLine="560"/>
        <w:rPr>
          <w:rFonts w:hint="eastAsia" w:cs="Times New Roman"/>
        </w:rPr>
      </w:pPr>
      <w:r>
        <w:rPr>
          <w:rFonts w:hint="eastAsia" w:cs="Times New Roman"/>
        </w:rPr>
        <w:t>②杨河套子水库配水工程自杨河套子水库出水泵站取水，新建配水管线总长10.49km，设计流量0.139～0.858m</w:t>
      </w:r>
      <w:r>
        <w:rPr>
          <w:rFonts w:ascii="Calibri" w:hAnsi="Calibri" w:cs="Times New Roman"/>
        </w:rPr>
        <w:t>³</w:t>
      </w:r>
      <w:r>
        <w:rPr>
          <w:rFonts w:hint="eastAsia" w:cs="Times New Roman"/>
        </w:rPr>
        <w:t>/s，管径DN450～1000，管压0.4～0.8Mpa，管材采用PCP管和钢丝网骨架PE管，布置管线附属建筑物64座。</w:t>
      </w:r>
    </w:p>
    <w:p>
      <w:pPr>
        <w:ind w:firstLine="560"/>
        <w:rPr>
          <w:rFonts w:cs="Times New Roman"/>
        </w:rPr>
      </w:pPr>
      <w:r>
        <w:rPr>
          <w:rFonts w:hint="eastAsia" w:cs="Times New Roman"/>
        </w:rPr>
        <w:t>③马家塘水库配水工程自马家塘水库出水泵站取水，新建配水管线总长9.05km（河西镇配水管线长6.73km，丁塘镇配水管线长2.32km），设计流量0.137～1.443m</w:t>
      </w:r>
      <w:r>
        <w:rPr>
          <w:rFonts w:ascii="Calibri" w:hAnsi="Calibri" w:cs="Times New Roman"/>
        </w:rPr>
        <w:t>³</w:t>
      </w:r>
      <w:r>
        <w:rPr>
          <w:rFonts w:hint="eastAsia" w:cs="Times New Roman"/>
        </w:rPr>
        <w:t>/s，管径DN400～1200，管压0.6Mpa，管材采用PCP管、钢丝网骨架PE管和球墨铸铁管，布置管线附属建筑物72座。</w:t>
      </w:r>
    </w:p>
    <w:p>
      <w:pPr>
        <w:ind w:firstLine="560"/>
        <w:rPr>
          <w:rFonts w:cs="Times New Roman"/>
        </w:rPr>
      </w:pPr>
      <w:r>
        <w:rPr>
          <w:rFonts w:hint="eastAsia" w:cs="Times New Roman"/>
        </w:rPr>
        <w:t>（2）调蓄水池工程</w:t>
      </w:r>
    </w:p>
    <w:p>
      <w:pPr>
        <w:ind w:firstLine="560"/>
        <w:rPr>
          <w:rFonts w:cs="Times New Roman"/>
        </w:rPr>
      </w:pPr>
      <w:r>
        <w:rPr>
          <w:rFonts w:hint="eastAsia" w:cs="Times New Roman"/>
        </w:rPr>
        <w:t>扬黄灌区规划新增高效节水面积26.35万亩，其中利用已建调蓄水池为水源实施高效节水面积为14.36万亩，利用新建调蓄水池为水源实施高效节水面积为11.99万亩。扬黄灌区新建调蓄水池20座，单座调蓄水池容积3.5～24.0万m</w:t>
      </w:r>
      <w:r>
        <w:rPr>
          <w:rFonts w:ascii="Calibri" w:hAnsi="Calibri" w:cs="Calibri"/>
        </w:rPr>
        <w:t>³</w:t>
      </w:r>
      <w:r>
        <w:rPr>
          <w:rFonts w:hint="eastAsia" w:ascii="仿宋" w:hAnsi="仿宋" w:cs="仿宋"/>
        </w:rPr>
        <w:t>，总容积</w:t>
      </w:r>
      <w:r>
        <w:rPr>
          <w:rFonts w:hint="eastAsia" w:cs="Times New Roman"/>
        </w:rPr>
        <w:t>210.30万m</w:t>
      </w:r>
      <w:r>
        <w:rPr>
          <w:rFonts w:ascii="Calibri" w:hAnsi="Calibri" w:cs="Calibri"/>
        </w:rPr>
        <w:t>³</w:t>
      </w:r>
      <w:r>
        <w:rPr>
          <w:rFonts w:hint="eastAsia" w:cs="Times New Roman"/>
        </w:rPr>
        <w:t>。</w:t>
      </w:r>
    </w:p>
    <w:p>
      <w:pPr>
        <w:keepNext/>
        <w:keepLines/>
        <w:spacing w:before="120" w:after="120"/>
        <w:ind w:firstLine="562"/>
        <w:outlineLvl w:val="3"/>
        <w:rPr>
          <w:rFonts w:cs="Times New Roman"/>
          <w:b/>
        </w:rPr>
      </w:pPr>
      <w:r>
        <w:rPr>
          <w:rFonts w:hint="eastAsia" w:cs="Times New Roman"/>
          <w:b/>
        </w:rPr>
        <w:t>2</w:t>
      </w:r>
      <w:r>
        <w:rPr>
          <w:rFonts w:cs="Times New Roman"/>
          <w:b/>
        </w:rPr>
        <w:t>.</w:t>
      </w:r>
      <w:r>
        <w:rPr>
          <w:rFonts w:hint="eastAsia" w:cs="Times New Roman"/>
          <w:b/>
        </w:rPr>
        <w:t>高标准农田工程</w:t>
      </w:r>
    </w:p>
    <w:p>
      <w:pPr>
        <w:ind w:firstLine="560"/>
        <w:rPr>
          <w:rFonts w:cs="Times New Roman"/>
        </w:rPr>
      </w:pPr>
      <w:r>
        <w:rPr>
          <w:rFonts w:hint="eastAsia" w:cs="Times New Roman"/>
        </w:rPr>
        <w:t>（1）改造提升高标准农田（渠改滴）</w:t>
      </w:r>
    </w:p>
    <w:p>
      <w:pPr>
        <w:ind w:firstLine="560"/>
        <w:rPr>
          <w:rFonts w:hint="eastAsia" w:cs="Times New Roman"/>
        </w:rPr>
      </w:pPr>
      <w:r>
        <w:rPr>
          <w:rFonts w:hint="eastAsia" w:cs="Times New Roman"/>
        </w:rPr>
        <w:t>规划改造提升高标准农田（渠改滴）26.36万亩，全部采用高效节灌方式，至十四五末2025年高效节灌覆盖率达到100%。</w:t>
      </w:r>
    </w:p>
    <w:p>
      <w:pPr>
        <w:ind w:firstLine="560"/>
        <w:rPr>
          <w:rFonts w:cs="Times New Roman"/>
        </w:rPr>
      </w:pPr>
      <w:r>
        <w:rPr>
          <w:rFonts w:hint="eastAsia" w:cs="Times New Roman"/>
        </w:rPr>
        <w:t>改造提升高标准农田（渠改滴）采用“黄河水＋蓄水池调蓄＋微灌（粮食作物或经济作物）＋农艺节水措施＋节水管理技术”的发展模式。主要建设内容包括：土地平整、土壤改良、灌溉和排水、田间道路、农田防护和生态环境保护、农田输配电、科技服务、管护利用；其中灌溉和排水主要包括蓄水池、田间供水系统首部、田间管网以及自动化和信息化设施。</w:t>
      </w:r>
    </w:p>
    <w:p>
      <w:pPr>
        <w:ind w:firstLine="560"/>
        <w:rPr>
          <w:rFonts w:cs="Times New Roman"/>
        </w:rPr>
      </w:pPr>
      <w:r>
        <w:rPr>
          <w:rFonts w:hint="eastAsia" w:cs="Times New Roman"/>
        </w:rPr>
        <w:t>（2）改造提升已建高效节灌</w:t>
      </w:r>
    </w:p>
    <w:p>
      <w:pPr>
        <w:ind w:firstLine="560"/>
        <w:rPr>
          <w:rFonts w:hint="eastAsia" w:cs="Times New Roman"/>
        </w:rPr>
      </w:pPr>
      <w:r>
        <w:rPr>
          <w:rFonts w:hint="eastAsia" w:cs="Times New Roman"/>
        </w:rPr>
        <w:t>改造提升已建高效节灌工程主要针对2012～2018年度实施的部分未充分发挥效益的项目，改造提升项目9个，提升改造面积3.62万亩。</w:t>
      </w:r>
    </w:p>
    <w:p>
      <w:pPr>
        <w:ind w:firstLine="560"/>
        <w:rPr>
          <w:rFonts w:cs="Times New Roman"/>
        </w:rPr>
      </w:pPr>
      <w:r>
        <w:rPr>
          <w:rFonts w:hint="eastAsia" w:cs="Times New Roman"/>
        </w:rPr>
        <w:t>已建高效节水灌溉工程全部采用“黄河水＋蓄水池调蓄＋微灌（粮食作物或经济作物）＋农艺节水措施＋节水管理技术”的发展模式。改造提升根据《高标准农田建设通则》等标准，针对已实施高效节水农业项目区农田设施不配套、工程老化、工程建设标准低等问题，按照“缺什么、补什么”的原则开展有针对性的改造提升，结合农艺农艺措施，并对田间工程配套实施自动化控制、信息化管理。</w:t>
      </w:r>
    </w:p>
    <w:p>
      <w:pPr>
        <w:keepNext/>
        <w:keepLines/>
        <w:spacing w:before="120" w:after="120"/>
        <w:ind w:firstLine="562"/>
        <w:outlineLvl w:val="3"/>
        <w:rPr>
          <w:rFonts w:cs="Times New Roman"/>
          <w:b/>
        </w:rPr>
      </w:pPr>
      <w:r>
        <w:rPr>
          <w:rFonts w:hint="eastAsia" w:cs="Times New Roman"/>
          <w:b/>
        </w:rPr>
        <w:t>3</w:t>
      </w:r>
      <w:r>
        <w:rPr>
          <w:rFonts w:cs="Times New Roman"/>
          <w:b/>
        </w:rPr>
        <w:t>.</w:t>
      </w:r>
      <w:r>
        <w:rPr>
          <w:rFonts w:hint="eastAsia" w:cs="Times New Roman"/>
          <w:b/>
        </w:rPr>
        <w:t>灌区信息化建设</w:t>
      </w:r>
    </w:p>
    <w:p>
      <w:pPr>
        <w:ind w:firstLine="560"/>
        <w:rPr>
          <w:rFonts w:hint="eastAsia" w:cs="Times New Roman"/>
        </w:rPr>
      </w:pPr>
      <w:r>
        <w:rPr>
          <w:rFonts w:hint="eastAsia" w:cs="Times New Roman"/>
        </w:rPr>
        <w:t>建设内容包括：</w:t>
      </w:r>
    </w:p>
    <w:p>
      <w:pPr>
        <w:ind w:firstLine="560"/>
        <w:rPr>
          <w:rFonts w:hint="eastAsia" w:cs="Times New Roman"/>
        </w:rPr>
      </w:pPr>
      <w:r>
        <w:rPr>
          <w:rFonts w:hint="eastAsia" w:cs="Times New Roman"/>
        </w:rPr>
        <w:t>1、物联网感知体系建设</w:t>
      </w:r>
    </w:p>
    <w:p>
      <w:pPr>
        <w:ind w:firstLine="560"/>
        <w:rPr>
          <w:rFonts w:hint="eastAsia" w:cs="Times New Roman"/>
        </w:rPr>
      </w:pPr>
      <w:r>
        <w:rPr>
          <w:rFonts w:hint="eastAsia" w:cs="Times New Roman"/>
        </w:rPr>
        <w:t>对灌区内的13座水库、53座已建蓄水池、20座新建蓄水池进行安全监测，监测内容包括：已建水库进行变形监测、渗流监测、环境量监测以及监测自动化系统；已建蓄水池和新建蓄水池进行渗流监测、环境量监测以及监测自动化系统。</w:t>
      </w:r>
    </w:p>
    <w:p>
      <w:pPr>
        <w:ind w:firstLine="560"/>
        <w:rPr>
          <w:rFonts w:hint="eastAsia" w:cs="Times New Roman"/>
        </w:rPr>
      </w:pPr>
      <w:r>
        <w:rPr>
          <w:rFonts w:hint="eastAsia" w:cs="Times New Roman"/>
        </w:rPr>
        <w:t>2、网络通信及运行环境建设</w:t>
      </w:r>
    </w:p>
    <w:p>
      <w:pPr>
        <w:ind w:firstLine="560"/>
        <w:rPr>
          <w:rFonts w:hint="eastAsia" w:cs="Times New Roman"/>
        </w:rPr>
      </w:pPr>
      <w:r>
        <w:rPr>
          <w:rFonts w:hint="eastAsia" w:cs="Times New Roman"/>
        </w:rPr>
        <w:t>本次工程信息化项目结合县水务局总调中心、乡镇分调中心二级分级应用情况，整体通过政务云部署搭建，可节省信创操作系统、中间件、数据库实施费用。本次工程信息化计划申请1套负载、2套应用服务实例、1套数据库实例、1套文件存储用于本项目部署搭建。</w:t>
      </w:r>
    </w:p>
    <w:p>
      <w:pPr>
        <w:ind w:firstLine="560"/>
        <w:rPr>
          <w:rFonts w:hint="eastAsia" w:cs="Times New Roman"/>
        </w:rPr>
      </w:pPr>
      <w:r>
        <w:rPr>
          <w:rFonts w:hint="eastAsia" w:cs="Times New Roman"/>
        </w:rPr>
        <w:t>根据同心县水务局调度中心实际使用环境设计1套LED大屏显示系统及会议扩声系统，主要用于现代化灌区信息化数据展示、视频会商。分调中心设计9套控制电脑及9套会议一体机，用于分调中心系统综合控制展示及远程视频会商。</w:t>
      </w:r>
    </w:p>
    <w:p>
      <w:pPr>
        <w:ind w:firstLine="560"/>
        <w:rPr>
          <w:rFonts w:hint="eastAsia" w:cs="Times New Roman"/>
        </w:rPr>
      </w:pPr>
      <w:r>
        <w:rPr>
          <w:rFonts w:hint="eastAsia" w:cs="Times New Roman"/>
        </w:rPr>
        <w:t>3、数据资源体系建设</w:t>
      </w:r>
    </w:p>
    <w:p>
      <w:pPr>
        <w:ind w:firstLine="560"/>
        <w:rPr>
          <w:rFonts w:hint="eastAsia" w:cs="Times New Roman"/>
        </w:rPr>
      </w:pPr>
      <w:r>
        <w:rPr>
          <w:rFonts w:hint="eastAsia" w:cs="Times New Roman"/>
        </w:rPr>
        <w:t>搭建标准化数据资源存储共享体系，打破信息壁垒，实现各类基本信息、监测数据、业务报表等数据统一存储与共享。汇聚整合同心县基础空间数据、三维数据、专题数据、监测数据、外部共享数据等，保证数据统一出口，各类数据完整统一，为业务系统提供数据资源支撑保障，为灌区信息化管理系统建设提供支撑。</w:t>
      </w:r>
    </w:p>
    <w:p>
      <w:pPr>
        <w:ind w:firstLine="560"/>
        <w:rPr>
          <w:rFonts w:hint="eastAsia" w:cs="Times New Roman"/>
        </w:rPr>
      </w:pPr>
      <w:r>
        <w:rPr>
          <w:rFonts w:hint="eastAsia" w:cs="Times New Roman"/>
        </w:rPr>
        <w:t>4、业务应用支撑平台建设</w:t>
      </w:r>
    </w:p>
    <w:p>
      <w:pPr>
        <w:ind w:firstLine="560"/>
        <w:rPr>
          <w:rFonts w:hint="eastAsia" w:cs="Times New Roman"/>
        </w:rPr>
      </w:pPr>
      <w:r>
        <w:rPr>
          <w:rFonts w:hint="eastAsia" w:cs="Times New Roman"/>
        </w:rPr>
        <w:t>（1）构建数据融合平台</w:t>
      </w:r>
    </w:p>
    <w:p>
      <w:pPr>
        <w:ind w:firstLine="560"/>
        <w:rPr>
          <w:rFonts w:hint="eastAsia" w:cs="Times New Roman"/>
        </w:rPr>
      </w:pPr>
      <w:r>
        <w:rPr>
          <w:rFonts w:hint="eastAsia" w:cs="Times New Roman"/>
        </w:rPr>
        <w:t>以倾斜摄影GIS地图为底图，融合业务监测数据，按照L1、L2、L3级数据的标准要求，打造同心数据底板，以数据引擎为驱动，构建数据模型，从而建设数据融合平台。</w:t>
      </w:r>
    </w:p>
    <w:p>
      <w:pPr>
        <w:ind w:firstLine="560"/>
        <w:rPr>
          <w:rFonts w:hint="eastAsia" w:cs="Times New Roman"/>
        </w:rPr>
      </w:pPr>
      <w:r>
        <w:rPr>
          <w:rFonts w:hint="eastAsia" w:cs="Times New Roman"/>
        </w:rPr>
        <w:t>（2）构建模型平台</w:t>
      </w:r>
    </w:p>
    <w:p>
      <w:pPr>
        <w:ind w:firstLine="560"/>
        <w:rPr>
          <w:rFonts w:hint="eastAsia" w:cs="Times New Roman"/>
        </w:rPr>
      </w:pPr>
      <w:r>
        <w:rPr>
          <w:rFonts w:hint="eastAsia" w:cs="Times New Roman"/>
        </w:rPr>
        <w:t>构建模型平台，涵盖水利专业模型，可视化模型，以及模型管理，实现模型、场景的动态配置，以发布服务的方式，供业务应用调用。</w:t>
      </w:r>
    </w:p>
    <w:p>
      <w:pPr>
        <w:ind w:firstLine="560"/>
        <w:rPr>
          <w:rFonts w:hint="eastAsia" w:cs="Times New Roman"/>
        </w:rPr>
      </w:pPr>
      <w:r>
        <w:rPr>
          <w:rFonts w:hint="eastAsia" w:cs="Times New Roman"/>
        </w:rPr>
        <w:t>（3）构建知识平台</w:t>
      </w:r>
    </w:p>
    <w:p>
      <w:pPr>
        <w:ind w:firstLine="560"/>
        <w:rPr>
          <w:rFonts w:hint="eastAsia" w:cs="Times New Roman"/>
        </w:rPr>
      </w:pPr>
      <w:r>
        <w:rPr>
          <w:rFonts w:hint="eastAsia" w:cs="Times New Roman"/>
        </w:rPr>
        <w:t>构建知识平台，实现从知识获取、知识融合、知识存储、知识推理以及知识可视化等方面的智能化管理。</w:t>
      </w:r>
    </w:p>
    <w:p>
      <w:pPr>
        <w:ind w:firstLine="560"/>
        <w:rPr>
          <w:rFonts w:hint="eastAsia" w:cs="Times New Roman"/>
        </w:rPr>
      </w:pPr>
      <w:r>
        <w:rPr>
          <w:rFonts w:hint="eastAsia" w:cs="Times New Roman"/>
        </w:rPr>
        <w:t>5、灌区管理业务应用建设</w:t>
      </w:r>
    </w:p>
    <w:p>
      <w:pPr>
        <w:ind w:firstLine="560"/>
        <w:rPr>
          <w:rFonts w:hint="eastAsia" w:cs="Times New Roman"/>
        </w:rPr>
      </w:pPr>
      <w:r>
        <w:rPr>
          <w:rFonts w:hint="eastAsia" w:cs="Times New Roman"/>
        </w:rPr>
        <w:t>建设灌区信息化管理系统，其主要包括灌区一张图、综合展示与信息服务系统、水资源调度、智能灌溉系统、水费计量系统、工程建设过程管理、工程运行维护、移动应用等功能模块。</w:t>
      </w:r>
    </w:p>
    <w:p>
      <w:pPr>
        <w:ind w:firstLine="560"/>
        <w:rPr>
          <w:rFonts w:hint="eastAsia" w:cs="Times New Roman"/>
        </w:rPr>
      </w:pPr>
      <w:r>
        <w:rPr>
          <w:rFonts w:hint="eastAsia" w:cs="Times New Roman"/>
        </w:rPr>
        <w:t>6、网络安全与密码应用</w:t>
      </w:r>
    </w:p>
    <w:p>
      <w:pPr>
        <w:ind w:firstLine="560"/>
        <w:rPr>
          <w:rFonts w:hint="eastAsia" w:cs="Times New Roman"/>
        </w:rPr>
      </w:pPr>
      <w:r>
        <w:rPr>
          <w:rFonts w:hint="eastAsia" w:cs="Times New Roman"/>
        </w:rPr>
        <w:t>根据自治区推进“数字政府”建设领导小组办公室关于加强自治区电子政务外网和公共云平台建设及管理工作的通知（宁数办发</w:t>
      </w:r>
      <w:r>
        <w:rPr>
          <w:rFonts w:hint="eastAsia" w:ascii="仿宋" w:hAnsi="仿宋" w:cs="Times New Roman"/>
        </w:rPr>
        <w:t>﹝</w:t>
      </w:r>
      <w:r>
        <w:rPr>
          <w:rFonts w:hint="eastAsia" w:cs="Times New Roman"/>
        </w:rPr>
        <w:t>2020</w:t>
      </w:r>
      <w:r>
        <w:rPr>
          <w:rFonts w:hint="eastAsia" w:ascii="仿宋" w:hAnsi="仿宋" w:cs="Times New Roman"/>
        </w:rPr>
        <w:t>﹞</w:t>
      </w:r>
      <w:r>
        <w:rPr>
          <w:rFonts w:hint="eastAsia" w:cs="Times New Roman"/>
        </w:rPr>
        <w:t>9号）,本项目建设的平台系统部署在宁夏政务云，结合自治区政务云的网络现状和安全需求，从云平台边界安全防护、宿主机及虚拟化安全、云管理平台安全入手，保障云平台自身安全。网络安全按照等保2.0二级等保标准建设。</w:t>
      </w:r>
    </w:p>
    <w:p>
      <w:pPr>
        <w:ind w:firstLine="560"/>
        <w:rPr>
          <w:rFonts w:hint="eastAsia" w:cs="Times New Roman"/>
        </w:rPr>
      </w:pPr>
      <w:r>
        <w:rPr>
          <w:rFonts w:hint="eastAsia" w:cs="Times New Roman"/>
        </w:rPr>
        <w:t>从物理和环境安全、网络和通信安全、设备和计算安全、应用和数据安全等四个层面采用密码技术措施，建立安全的密钥管理方案，并采取有效的安全管理措施，对灌区信息化管理系统进行保护。</w:t>
      </w:r>
    </w:p>
    <w:p>
      <w:pPr>
        <w:ind w:firstLine="560"/>
        <w:rPr>
          <w:rFonts w:hint="eastAsia" w:cs="Times New Roman"/>
        </w:rPr>
      </w:pPr>
      <w:r>
        <w:rPr>
          <w:rFonts w:hint="eastAsia" w:cs="Times New Roman"/>
        </w:rPr>
        <w:t>7、与现有相关系统平台对接</w:t>
      </w:r>
    </w:p>
    <w:p>
      <w:pPr>
        <w:ind w:firstLine="560"/>
        <w:rPr>
          <w:rFonts w:hint="eastAsia" w:cs="Times New Roman"/>
        </w:rPr>
      </w:pPr>
      <w:r>
        <w:rPr>
          <w:rFonts w:hint="eastAsia" w:cs="Times New Roman"/>
        </w:rPr>
        <w:t>灌区信息化管理系统需从固海扬水管理处的固海扬水管理业务系统、固扩扬水管理业务系统和红寺堡扬水管理处的红寺堡扬水管理业务系统中调用相关业务数据，本次灌区信息化管理系统和三大扬水管理系统对接，实现数据交换。</w:t>
      </w:r>
    </w:p>
    <w:p>
      <w:pPr>
        <w:ind w:firstLine="560"/>
        <w:rPr>
          <w:rFonts w:cs="Times New Roman"/>
        </w:rPr>
      </w:pPr>
      <w:r>
        <w:rPr>
          <w:rFonts w:hint="eastAsia" w:cs="Times New Roman"/>
        </w:rPr>
        <w:t>宁夏“互联网+高效节水农业”管理服务平台主要包含采集系统、高效节灌一张图、工程建设管理、智能灌溉、专家决策、实时监控、病虫情监测、水费计收、系统日志等。灌区信息化管理系统通过和互联网+高效节水平台对接，获取已建工程相关数据信息。</w:t>
      </w:r>
    </w:p>
    <w:p>
      <w:pPr>
        <w:keepNext/>
        <w:keepLines/>
        <w:spacing w:before="120" w:after="120"/>
        <w:ind w:firstLine="562"/>
        <w:outlineLvl w:val="3"/>
        <w:rPr>
          <w:rFonts w:cs="Times New Roman"/>
          <w:b/>
        </w:rPr>
      </w:pPr>
      <w:r>
        <w:rPr>
          <w:rFonts w:hint="eastAsia" w:cs="Times New Roman"/>
          <w:b/>
        </w:rPr>
        <w:t>4</w:t>
      </w:r>
      <w:r>
        <w:rPr>
          <w:rFonts w:cs="Times New Roman"/>
          <w:b/>
        </w:rPr>
        <w:t>.</w:t>
      </w:r>
      <w:r>
        <w:rPr>
          <w:rFonts w:hint="eastAsia" w:cs="Times New Roman"/>
          <w:b/>
        </w:rPr>
        <w:t>调度中心建设</w:t>
      </w:r>
    </w:p>
    <w:p>
      <w:pPr>
        <w:ind w:firstLine="560"/>
        <w:rPr>
          <w:rFonts w:cs="Times New Roman"/>
        </w:rPr>
      </w:pPr>
      <w:r>
        <w:rPr>
          <w:rFonts w:hint="eastAsia" w:cs="Times New Roman"/>
        </w:rPr>
        <w:t>便于水资源的统一调配，本工程拟采用全县域统一调度、各乡镇分散调度的方案，在同心县城新建总调中心，统一调度管理整个扬黄灌区，在灌区涉及的9个乡镇新建分调中心，调度管理所辖乡镇范围内扬黄灌区。</w:t>
      </w:r>
    </w:p>
    <w:p>
      <w:pPr>
        <w:keepNext/>
        <w:keepLines/>
        <w:spacing w:before="120" w:after="120"/>
        <w:ind w:firstLine="562"/>
        <w:outlineLvl w:val="2"/>
        <w:rPr>
          <w:rFonts w:cs="Times New Roman"/>
          <w:b/>
          <w:bCs/>
          <w:szCs w:val="32"/>
        </w:rPr>
      </w:pPr>
      <w:r>
        <w:rPr>
          <w:rFonts w:hint="eastAsia" w:cs="Times New Roman"/>
          <w:b/>
          <w:bCs/>
          <w:szCs w:val="32"/>
        </w:rPr>
        <w:t>（二）经济效益产出</w:t>
      </w:r>
    </w:p>
    <w:p>
      <w:pPr>
        <w:ind w:firstLine="562"/>
        <w:rPr>
          <w:rFonts w:cs="Times New Roman"/>
          <w:b/>
        </w:rPr>
      </w:pPr>
      <w:r>
        <w:rPr>
          <w:rFonts w:hint="eastAsia" w:cs="Times New Roman"/>
          <w:b/>
        </w:rPr>
        <w:t>1</w:t>
      </w:r>
      <w:r>
        <w:rPr>
          <w:rFonts w:cs="Times New Roman"/>
          <w:b/>
        </w:rPr>
        <w:t>.</w:t>
      </w:r>
      <w:r>
        <w:rPr>
          <w:rFonts w:hint="eastAsia" w:cs="Times New Roman"/>
          <w:b/>
        </w:rPr>
        <w:t>灌溉保证率提高亩均产量</w:t>
      </w:r>
    </w:p>
    <w:p>
      <w:pPr>
        <w:ind w:firstLine="560"/>
        <w:rPr>
          <w:rFonts w:cs="Times New Roman"/>
        </w:rPr>
      </w:pPr>
      <w:r>
        <w:rPr>
          <w:rFonts w:hint="eastAsia" w:cs="Times New Roman"/>
        </w:rPr>
        <w:t>现状供水工程建设标准较低、供水能力不足，本项目以高效节水技术为核心的现代化升级改造，利用现代信息化等先进技术，优化农业产业结构，转变农业用水方式，加快补齐农田基础设施短板，进一步提高农业灌溉用水效率，提高水土资源的利用率，实施田间水肥一体化，保障灌区供水安全。项目区新增灌溉面积38.14万亩（新建+改造提升），能有效保障项目区农作物需水，使亩均产量增加。据统计，实施高效节灌可以使玉米亩均产量增加3</w:t>
      </w:r>
      <w:r>
        <w:rPr>
          <w:rFonts w:cs="Times New Roman"/>
        </w:rPr>
        <w:t>0kg，蔬菜亩均产量增加</w:t>
      </w:r>
      <w:r>
        <w:rPr>
          <w:rFonts w:hint="eastAsia" w:cs="Times New Roman"/>
        </w:rPr>
        <w:t>2</w:t>
      </w:r>
      <w:r>
        <w:rPr>
          <w:rFonts w:cs="Times New Roman"/>
        </w:rPr>
        <w:t>00kg，枸杞亩均增加</w:t>
      </w:r>
      <w:r>
        <w:rPr>
          <w:rFonts w:hint="eastAsia" w:cs="Times New Roman"/>
        </w:rPr>
        <w:t>2</w:t>
      </w:r>
      <w:r>
        <w:rPr>
          <w:rFonts w:cs="Times New Roman"/>
        </w:rPr>
        <w:t>0kg，葡萄亩均增产</w:t>
      </w:r>
      <w:r>
        <w:rPr>
          <w:rFonts w:hint="eastAsia" w:cs="Times New Roman"/>
        </w:rPr>
        <w:t>1</w:t>
      </w:r>
      <w:r>
        <w:rPr>
          <w:rFonts w:cs="Times New Roman"/>
        </w:rPr>
        <w:t>0kg</w:t>
      </w:r>
      <w:r>
        <w:rPr>
          <w:rFonts w:hint="eastAsia" w:cs="Times New Roman"/>
        </w:rPr>
        <w:t>等</w:t>
      </w:r>
      <w:r>
        <w:rPr>
          <w:rFonts w:cs="Times New Roman"/>
        </w:rPr>
        <w:t>。</w:t>
      </w:r>
      <w:r>
        <w:rPr>
          <w:rFonts w:hint="eastAsia" w:cs="Times New Roman"/>
        </w:rPr>
        <w:t>经分析计算，本项目实施后，年增加灌溉效益7535万元。</w:t>
      </w:r>
    </w:p>
    <w:p>
      <w:pPr>
        <w:ind w:firstLine="562"/>
        <w:rPr>
          <w:rFonts w:cs="Times New Roman"/>
          <w:b/>
        </w:rPr>
      </w:pPr>
      <w:r>
        <w:rPr>
          <w:rFonts w:hint="eastAsia" w:cs="Times New Roman"/>
          <w:b/>
        </w:rPr>
        <w:t>2</w:t>
      </w:r>
      <w:r>
        <w:rPr>
          <w:rFonts w:cs="Times New Roman"/>
          <w:b/>
        </w:rPr>
        <w:t>.</w:t>
      </w:r>
      <w:r>
        <w:rPr>
          <w:rFonts w:hint="eastAsia"/>
          <w:b/>
        </w:rPr>
        <w:t>实现节水增效</w:t>
      </w:r>
    </w:p>
    <w:p>
      <w:pPr>
        <w:ind w:firstLine="560"/>
        <w:rPr>
          <w:rFonts w:cs="Times New Roman"/>
        </w:rPr>
      </w:pPr>
      <w:r>
        <w:rPr>
          <w:rFonts w:hint="eastAsia" w:cs="Times New Roman"/>
        </w:rPr>
        <w:t>本项目规划新增高效节水灌溉面积26.35万亩，干渠直开口节水量5004万m</w:t>
      </w:r>
      <w:r>
        <w:rPr>
          <w:rFonts w:cs="Times New Roman"/>
          <w:vertAlign w:val="superscript"/>
        </w:rPr>
        <w:t>3</w:t>
      </w:r>
      <w:r>
        <w:rPr>
          <w:rFonts w:hint="eastAsia" w:cs="Times New Roman"/>
        </w:rPr>
        <w:t>，亩均节水190m</w:t>
      </w:r>
      <w:r>
        <w:rPr>
          <w:rFonts w:cs="Times New Roman"/>
          <w:vertAlign w:val="superscript"/>
        </w:rPr>
        <w:t>3</w:t>
      </w:r>
      <w:r>
        <w:rPr>
          <w:rFonts w:hint="eastAsia" w:cs="Times New Roman"/>
        </w:rPr>
        <w:t>/亩。其中固海灌区新增高效节水灌溉面积18.42万亩，现状亩均用水量470m</w:t>
      </w:r>
      <w:r>
        <w:rPr>
          <w:rFonts w:cs="Times New Roman"/>
          <w:vertAlign w:val="superscript"/>
        </w:rPr>
        <w:t>3</w:t>
      </w:r>
      <w:r>
        <w:rPr>
          <w:rFonts w:hint="eastAsia" w:cs="Times New Roman"/>
        </w:rPr>
        <w:t>/亩，规划用水量258m</w:t>
      </w:r>
      <w:r>
        <w:rPr>
          <w:rFonts w:cs="Times New Roman"/>
          <w:vertAlign w:val="superscript"/>
        </w:rPr>
        <w:t>3</w:t>
      </w:r>
      <w:r>
        <w:rPr>
          <w:rFonts w:hint="eastAsia" w:cs="Times New Roman"/>
        </w:rPr>
        <w:t>/亩，亩均节水量212m</w:t>
      </w:r>
      <w:r>
        <w:rPr>
          <w:rFonts w:cs="Times New Roman"/>
          <w:vertAlign w:val="superscript"/>
        </w:rPr>
        <w:t>3</w:t>
      </w:r>
      <w:r>
        <w:rPr>
          <w:rFonts w:hint="eastAsia" w:cs="Times New Roman"/>
        </w:rPr>
        <w:t>/亩，干渠直开口节水量3899万m</w:t>
      </w:r>
      <w:r>
        <w:rPr>
          <w:rFonts w:cs="Times New Roman"/>
          <w:vertAlign w:val="superscript"/>
        </w:rPr>
        <w:t>3</w:t>
      </w:r>
      <w:r>
        <w:rPr>
          <w:rFonts w:hint="eastAsia" w:cs="Times New Roman"/>
        </w:rPr>
        <w:t>；固扩灌区新增高效节水灌溉面积7.93万亩，现状亩均用水量397m</w:t>
      </w:r>
      <w:r>
        <w:rPr>
          <w:rFonts w:cs="Times New Roman"/>
          <w:vertAlign w:val="superscript"/>
        </w:rPr>
        <w:t>3</w:t>
      </w:r>
      <w:r>
        <w:rPr>
          <w:rFonts w:hint="eastAsia" w:cs="Times New Roman"/>
        </w:rPr>
        <w:t>/亩，规划用水量258m</w:t>
      </w:r>
      <w:r>
        <w:rPr>
          <w:rFonts w:cs="Times New Roman"/>
          <w:vertAlign w:val="superscript"/>
        </w:rPr>
        <w:t>3</w:t>
      </w:r>
      <w:r>
        <w:rPr>
          <w:rFonts w:hint="eastAsia" w:cs="Times New Roman"/>
        </w:rPr>
        <w:t>/亩，亩均节水量139m</w:t>
      </w:r>
      <w:r>
        <w:rPr>
          <w:rFonts w:cs="Times New Roman"/>
          <w:vertAlign w:val="superscript"/>
        </w:rPr>
        <w:t>3</w:t>
      </w:r>
      <w:r>
        <w:rPr>
          <w:rFonts w:hint="eastAsia" w:cs="Times New Roman"/>
        </w:rPr>
        <w:t>/亩，干渠直开口节水量1105万m</w:t>
      </w:r>
      <w:r>
        <w:rPr>
          <w:rFonts w:cs="Times New Roman"/>
          <w:vertAlign w:val="superscript"/>
        </w:rPr>
        <w:t>3</w:t>
      </w:r>
      <w:r>
        <w:rPr>
          <w:rFonts w:hint="eastAsia" w:cs="Times New Roman"/>
        </w:rPr>
        <w:t>。</w:t>
      </w:r>
    </w:p>
    <w:p>
      <w:pPr>
        <w:ind w:firstLine="560"/>
        <w:rPr>
          <w:rFonts w:cs="Times New Roman"/>
        </w:rPr>
      </w:pPr>
      <w:r>
        <w:rPr>
          <w:rFonts w:cs="Times New Roman"/>
        </w:rPr>
        <w:t>同时，</w:t>
      </w:r>
      <w:r>
        <w:rPr>
          <w:rFonts w:hint="eastAsia" w:cs="Times New Roman"/>
        </w:rPr>
        <w:t>项目实施后，通过回填农渠土地平整可新增耕地面积约7500亩。</w:t>
      </w:r>
    </w:p>
    <w:p>
      <w:pPr>
        <w:ind w:firstLine="562"/>
        <w:outlineLvl w:val="2"/>
        <w:rPr>
          <w:rFonts w:cs="Times New Roman"/>
        </w:rPr>
      </w:pPr>
      <w:r>
        <w:rPr>
          <w:rFonts w:hint="eastAsia" w:cs="Times New Roman"/>
          <w:b/>
          <w:bCs/>
          <w:szCs w:val="32"/>
        </w:rPr>
        <w:t>（三）社会效益产出</w:t>
      </w:r>
    </w:p>
    <w:p>
      <w:pPr>
        <w:ind w:firstLine="560"/>
        <w:rPr>
          <w:rFonts w:cs="Times New Roman"/>
        </w:rPr>
      </w:pPr>
      <w:r>
        <w:rPr>
          <w:rFonts w:hint="eastAsia" w:cs="Times New Roman"/>
        </w:rPr>
        <w:t>项目实施后，将带动当地农业生产方式的变革，进一步提高当地群众的科技意识和节水意识，提高农业生产效益和农民的增产增收，减轻农业劳动强度。可实现以有限的水资源保障农业稳产、增产，提高项目区的抗旱减灾能力。同时，对促进地方经济发展、建设社会主义新农村具有重要的意义。</w:t>
      </w:r>
    </w:p>
    <w:p>
      <w:pPr>
        <w:ind w:firstLine="560"/>
        <w:rPr>
          <w:rFonts w:cs="Times New Roman"/>
        </w:rPr>
      </w:pPr>
      <w:r>
        <w:rPr>
          <w:rFonts w:hint="eastAsia" w:cs="Times New Roman"/>
        </w:rPr>
        <w:t>①该工程的建设，将促进农村经济进一步发展，提高了人民群众的生产水平，促进了当地现代高效节水农业的发展。</w:t>
      </w:r>
    </w:p>
    <w:p>
      <w:pPr>
        <w:ind w:firstLine="560"/>
        <w:rPr>
          <w:rFonts w:cs="Times New Roman"/>
        </w:rPr>
      </w:pPr>
      <w:r>
        <w:rPr>
          <w:rFonts w:hint="eastAsia" w:cs="Times New Roman"/>
        </w:rPr>
        <w:t>②项目节水灌溉的实施有效地解决当地用水占比大的问题，大幅度地提高了单位土地的生产能力，作物产量得到提高。同时，高效节水灌溉工程的实施使农民改变了传统旱作农业的落后观念和种植模式，对优势产业的发展和增加农民收入发挥了重要作用。</w:t>
      </w:r>
    </w:p>
    <w:p>
      <w:pPr>
        <w:ind w:firstLine="560"/>
        <w:rPr>
          <w:rFonts w:cs="Times New Roman"/>
        </w:rPr>
      </w:pPr>
      <w:r>
        <w:rPr>
          <w:rFonts w:hint="eastAsia" w:cs="Times New Roman"/>
        </w:rPr>
        <w:t>③提供了一个促进农业生产技术集成的方式。在高效节水工程发展农业生产中，实现了节水灌溉技术与特色作物高产技术的集成，提高了水资源的利用效率，增加了农业生产能力。高效节水技术促使了旱作农业技术向着工程化与现代农业科技相结合的方式转变，即将微灌、肥料、耐旱作物栽培等一系列先进技术优化组合、集成，大幅度提高了经济效益，实现了农业由粗放经营向集约经营的转变。</w:t>
      </w:r>
    </w:p>
    <w:p>
      <w:pPr>
        <w:ind w:firstLine="560"/>
        <w:rPr>
          <w:rFonts w:cs="Times New Roman"/>
        </w:rPr>
      </w:pPr>
      <w:r>
        <w:rPr>
          <w:rFonts w:hint="eastAsia" w:cs="Times New Roman"/>
        </w:rPr>
        <w:t>④增强了农业生态经济系统抵抗外界风险的能力。高效节水工程的实施，对项目区水资源的利用统一配置和调度，使水资源的供给能力相对稳定，增强了农业生态经济系统的稳定性和抵抗外界风险的能力。水资源是示范区十分有限而非常宝贵的自然资源，对其进行高效、集约的永续利用，也是实现经济效益、生态效益和社会效益同步持续发展的重要途径。</w:t>
      </w:r>
    </w:p>
    <w:p>
      <w:pPr>
        <w:ind w:firstLine="560"/>
        <w:rPr>
          <w:rFonts w:cs="Times New Roman"/>
        </w:rPr>
      </w:pPr>
      <w:r>
        <w:rPr>
          <w:rFonts w:hint="eastAsia" w:cs="Times New Roman"/>
        </w:rPr>
        <w:t>⑤项目的实施可培养一批高效节水技术人才。随着项目的实施，将开展包括管灌、喷灌、微灌在内的高效节水灌溉工程规划、设计、施工与运行管理工作，这些工作的相继开展，必将培养一大批高效节水灌溉技术规划设计人才和运行管理人才，为后续项目的开展奠定强有力人才基础。</w:t>
      </w:r>
    </w:p>
    <w:p>
      <w:pPr>
        <w:ind w:firstLine="560"/>
        <w:rPr>
          <w:rFonts w:cs="Times New Roman"/>
        </w:rPr>
      </w:pPr>
      <w:r>
        <w:rPr>
          <w:rFonts w:cs="Times New Roman"/>
        </w:rPr>
        <w:t>乡村振兴</w:t>
      </w:r>
    </w:p>
    <w:p>
      <w:pPr>
        <w:ind w:firstLine="562"/>
        <w:outlineLvl w:val="2"/>
        <w:rPr>
          <w:rFonts w:cs="Times New Roman"/>
        </w:rPr>
      </w:pPr>
      <w:r>
        <w:rPr>
          <w:rFonts w:hint="eastAsia" w:cs="Times New Roman"/>
          <w:b/>
          <w:bCs/>
          <w:szCs w:val="32"/>
        </w:rPr>
        <w:t>（四）生态效益产出</w:t>
      </w:r>
    </w:p>
    <w:p>
      <w:pPr>
        <w:ind w:firstLine="560"/>
        <w:rPr>
          <w:rFonts w:cs="Times New Roman"/>
        </w:rPr>
      </w:pPr>
      <w:r>
        <w:rPr>
          <w:rFonts w:hint="eastAsia" w:cs="Times New Roman"/>
        </w:rPr>
        <w:t>本项目以推广节水技术为手段，以构建中部干旱带生态屏障为目的，其生态效益主要通过高效节水灌溉工程的建设，优化配置水资源，提高了植被的生长成活率，从而减少水土流失，改善生态环境，有效促进当地水土环境及生态环境健康发展，这对改善区域气候，构建重要生态屏障具有十分重要的意义。</w:t>
      </w:r>
    </w:p>
    <w:p>
      <w:pPr>
        <w:ind w:firstLine="560"/>
        <w:rPr>
          <w:rFonts w:cs="Times New Roman"/>
        </w:rPr>
        <w:sectPr>
          <w:pgSz w:w="11906" w:h="16838"/>
          <w:pgMar w:top="1440" w:right="1418" w:bottom="1440" w:left="1418" w:header="567" w:footer="992" w:gutter="0"/>
          <w:cols w:space="425" w:num="1"/>
          <w:docGrid w:linePitch="381" w:charSpace="0"/>
        </w:sectPr>
      </w:pPr>
    </w:p>
    <w:p>
      <w:pPr>
        <w:pStyle w:val="2"/>
        <w:spacing w:after="400"/>
        <w:rPr>
          <w:rFonts w:cs="Times New Roman"/>
        </w:rPr>
      </w:pPr>
      <w:bookmarkStart w:id="21" w:name="_Toc148432349"/>
      <w:r>
        <w:rPr>
          <w:rFonts w:hint="eastAsia" w:cs="Times New Roman"/>
        </w:rPr>
        <w:t>第四章 特许经营模式必要性和可行性</w:t>
      </w:r>
      <w:bookmarkEnd w:id="21"/>
    </w:p>
    <w:p>
      <w:pPr>
        <w:pStyle w:val="3"/>
        <w:ind w:firstLine="643"/>
        <w:rPr>
          <w:rFonts w:cs="Times New Roman"/>
        </w:rPr>
      </w:pPr>
      <w:bookmarkStart w:id="22" w:name="_Toc148432350"/>
      <w:r>
        <w:rPr>
          <w:rFonts w:hint="eastAsia" w:cs="Times New Roman"/>
        </w:rPr>
        <w:t>一、项目采用特许经营模式的必要性</w:t>
      </w:r>
      <w:bookmarkEnd w:id="22"/>
    </w:p>
    <w:p>
      <w:pPr>
        <w:keepNext/>
        <w:keepLines/>
        <w:spacing w:before="120" w:after="120"/>
        <w:ind w:firstLine="562"/>
        <w:outlineLvl w:val="2"/>
        <w:rPr>
          <w:rFonts w:cs="Times New Roman"/>
          <w:b/>
          <w:bCs/>
          <w:szCs w:val="32"/>
        </w:rPr>
      </w:pPr>
      <w:r>
        <w:rPr>
          <w:rFonts w:cs="Times New Roman"/>
          <w:b/>
          <w:bCs/>
          <w:szCs w:val="32"/>
        </w:rPr>
        <w:t>（一）</w:t>
      </w:r>
      <w:r>
        <w:rPr>
          <w:rFonts w:hint="eastAsia" w:cs="Times New Roman"/>
          <w:b/>
          <w:bCs/>
          <w:szCs w:val="32"/>
        </w:rPr>
        <w:t>中央和地方</w:t>
      </w:r>
      <w:r>
        <w:rPr>
          <w:rFonts w:cs="Times New Roman"/>
          <w:b/>
          <w:bCs/>
          <w:szCs w:val="32"/>
        </w:rPr>
        <w:t>政策指引的需要</w:t>
      </w:r>
    </w:p>
    <w:p>
      <w:pPr>
        <w:ind w:firstLine="560"/>
        <w:rPr>
          <w:rFonts w:cs="Times New Roman"/>
        </w:rPr>
      </w:pPr>
      <w:r>
        <w:rPr>
          <w:rFonts w:cs="Times New Roman"/>
        </w:rPr>
        <w:t>党的二十大报告提出“加快建设农业强国”这一战略目标，把农业强国建设正式纳入了我国社会主义现代化强国建设战略体系。2023年中央一号文对抓好粮食和重要农产品稳产保供做出全面部署。为贯彻落实党的二十大精神，全面推进农业强国战略，有效提高农业支撑保障服务能力，确保国家粮食生产安全保障。本项目的建成，将解决多年来该区域农业灌溉水源保障能力不足的现状，创造良好的灌溉条件，使经济不发达和欠发达地区借助本项目的实施，得到快速发展的机遇，进一步巩固脱贫成果，促进乡村振兴，为全面建成小康社会奠定基础。自治区第十三次党代会将高标准农田和高效节水农业建设列为自治区今后5年大力推进的20个重大建设项目，在规划、政策、资金等方面给予全力支持。自治区政府办公厅印发《关于切实加强高标准农田建设提升国家粮食安全保障能力的实施意见》《关于加快推进高效节水农业发展的实施意见》，明确建管目标，压实工作责任，系统一体推进。自治区财政厅全力保障项目建设资金，发改、自然资源、水利、林草等部门全力配合支持。各县（市、区）高度重视，坚决履行主体责任，千方百计推动高标准农田和高效节水农业高质量建设。</w:t>
      </w:r>
    </w:p>
    <w:p>
      <w:pPr>
        <w:keepNext/>
        <w:keepLines/>
        <w:spacing w:before="120" w:after="120"/>
        <w:ind w:firstLine="562"/>
        <w:outlineLvl w:val="2"/>
        <w:rPr>
          <w:rFonts w:cs="Times New Roman"/>
          <w:b/>
          <w:bCs/>
          <w:szCs w:val="32"/>
        </w:rPr>
      </w:pPr>
      <w:r>
        <w:rPr>
          <w:rFonts w:hint="eastAsia" w:cs="Times New Roman"/>
          <w:b/>
          <w:bCs/>
          <w:szCs w:val="32"/>
        </w:rPr>
        <w:t>（二）创新基础设施建设投融资机制的所需</w:t>
      </w:r>
    </w:p>
    <w:p>
      <w:pPr>
        <w:ind w:firstLine="560"/>
        <w:rPr>
          <w:rFonts w:cs="Times New Roman"/>
        </w:rPr>
      </w:pPr>
      <w:r>
        <w:rPr>
          <w:rFonts w:hint="eastAsia" w:cs="Times New Roman"/>
        </w:rPr>
        <w:t>2014年10月国务院发布了《关于加强地方政府性债务管理的意见》（国发</w:t>
      </w:r>
      <w:r>
        <w:rPr>
          <w:rFonts w:hint="eastAsia" w:ascii="仿宋" w:hAnsi="仿宋" w:cs="Times New Roman"/>
        </w:rPr>
        <w:t>﹝</w:t>
      </w:r>
      <w:r>
        <w:rPr>
          <w:rFonts w:hint="eastAsia" w:cs="Times New Roman"/>
        </w:rPr>
        <w:t>2014</w:t>
      </w:r>
      <w:r>
        <w:rPr>
          <w:rFonts w:hint="eastAsia" w:ascii="仿宋" w:hAnsi="仿宋" w:cs="Times New Roman"/>
        </w:rPr>
        <w:t>﹞</w:t>
      </w:r>
      <w:r>
        <w:rPr>
          <w:rFonts w:hint="eastAsia" w:cs="Times New Roman"/>
        </w:rPr>
        <w:t>43号文）（简称“4</w:t>
      </w:r>
      <w:r>
        <w:rPr>
          <w:rFonts w:cs="Times New Roman"/>
        </w:rPr>
        <w:t>3</w:t>
      </w:r>
      <w:r>
        <w:rPr>
          <w:rFonts w:hint="eastAsia" w:cs="Times New Roman"/>
        </w:rPr>
        <w:t>”号文），强调“剥离融资平台公司政府融资职能”，并且首次提出“融资平台公司不得新增政府债务”。面对地方经济发展对基础设施建设的需要与国家收紧地方政府债务规模之间的矛盾，4</w:t>
      </w:r>
      <w:r>
        <w:rPr>
          <w:rFonts w:cs="Times New Roman"/>
        </w:rPr>
        <w:t>3号文</w:t>
      </w:r>
      <w:r>
        <w:rPr>
          <w:rFonts w:hint="eastAsia" w:cs="Times New Roman"/>
        </w:rPr>
        <w:t>给出解决办法是</w:t>
      </w:r>
      <w:r>
        <w:rPr>
          <w:rFonts w:hint="eastAsia" w:cs="Times New Roman"/>
          <w:b/>
        </w:rPr>
        <w:t>推广使用政府与社会资本合作模式，鼓励社会资本通过特许经营等方式，参与城市、乡镇基础设施等有一定收益的公益性事业投资和运营</w:t>
      </w:r>
      <w:r>
        <w:rPr>
          <w:rFonts w:hint="eastAsia" w:cs="Times New Roman"/>
        </w:rPr>
        <w:t>。国务院《关于创新重点领域投融资机制鼓励社会投资的指导意见》(国发</w:t>
      </w:r>
      <w:r>
        <w:rPr>
          <w:rFonts w:hint="eastAsia" w:ascii="仿宋" w:hAnsi="仿宋" w:cs="Times New Roman"/>
        </w:rPr>
        <w:t>﹝</w:t>
      </w:r>
      <w:r>
        <w:rPr>
          <w:rFonts w:hint="eastAsia" w:cs="Times New Roman"/>
        </w:rPr>
        <w:t>2014</w:t>
      </w:r>
      <w:r>
        <w:rPr>
          <w:rFonts w:hint="eastAsia" w:ascii="仿宋" w:hAnsi="仿宋" w:cs="Times New Roman"/>
        </w:rPr>
        <w:t>﹞</w:t>
      </w:r>
      <w:r>
        <w:rPr>
          <w:rFonts w:hint="eastAsia" w:cs="Times New Roman"/>
        </w:rPr>
        <w:t>60号文)提出:“为推进经济结构战略性调整，加强薄弱环节建设，促进经济持续健康发展，迫切需要在公共服务、资源环境、生态建设、基础设施等重点领域进一步创新投融资机制，充分发挥社会资本特别是民间资本的积极作用”。本项目采用特许经营模式，符合国家政策要求。</w:t>
      </w:r>
    </w:p>
    <w:p>
      <w:pPr>
        <w:keepNext/>
        <w:keepLines/>
        <w:spacing w:before="120" w:after="120"/>
        <w:ind w:firstLine="562"/>
        <w:outlineLvl w:val="2"/>
        <w:rPr>
          <w:rFonts w:cs="Times New Roman"/>
          <w:b/>
          <w:bCs/>
          <w:szCs w:val="32"/>
        </w:rPr>
      </w:pPr>
      <w:r>
        <w:rPr>
          <w:rFonts w:cs="Times New Roman"/>
          <w:b/>
          <w:bCs/>
          <w:szCs w:val="32"/>
        </w:rPr>
        <w:t>（三）</w:t>
      </w:r>
      <w:r>
        <w:rPr>
          <w:rFonts w:hint="eastAsia" w:cs="Times New Roman"/>
          <w:b/>
          <w:bCs/>
          <w:szCs w:val="32"/>
        </w:rPr>
        <w:t>有利于缓解政府当前财政支出压力，提高政府自有资金的使用效率</w:t>
      </w:r>
    </w:p>
    <w:p>
      <w:pPr>
        <w:ind w:firstLine="560"/>
        <w:rPr>
          <w:rFonts w:cs="Times New Roman"/>
        </w:rPr>
      </w:pPr>
      <w:r>
        <w:rPr>
          <w:rFonts w:hint="eastAsia" w:cs="Times New Roman"/>
        </w:rPr>
        <w:t>本项目属于农业基础设施补短板领域，具有很强的公益性。若采用政府传统模式投资，政府需一次性全部投入建设资金，会进一步增加同心县财政负担，对政府财政形成较大的压力。采用特许经营模式，政府通过项目未来营运收入和财政补贴（若有），撬动社会资本参与项目全生命周期工作，快速提升基础设施融资能力，减轻当期财政支出压力缓解引水灌溉的需要和地方政府债务的矛盾，化解财政风险，形成多元化、可持续的公共服务资金投入渠道，打造新的经济增长点。同时引进竞争机制，选择最适合的社会资本参与同心县“高效节水灌溉工程”的投资建设和运营，能够提高运营效率，促进创新与竞争。</w:t>
      </w:r>
    </w:p>
    <w:p>
      <w:pPr>
        <w:keepNext/>
        <w:keepLines/>
        <w:spacing w:before="120" w:after="120"/>
        <w:ind w:firstLine="562"/>
        <w:outlineLvl w:val="2"/>
        <w:rPr>
          <w:rFonts w:cs="Times New Roman"/>
          <w:b/>
          <w:bCs/>
          <w:szCs w:val="32"/>
        </w:rPr>
      </w:pPr>
      <w:r>
        <w:rPr>
          <w:rFonts w:hint="eastAsia" w:cs="Times New Roman"/>
          <w:b/>
          <w:bCs/>
          <w:szCs w:val="32"/>
        </w:rPr>
        <w:t>（四）优化政府职能范围，促进政府职能转变及效率提升</w:t>
      </w:r>
    </w:p>
    <w:p>
      <w:pPr>
        <w:ind w:firstLine="560"/>
        <w:rPr>
          <w:rFonts w:cs="Times New Roman"/>
        </w:rPr>
      </w:pPr>
      <w:r>
        <w:rPr>
          <w:rFonts w:hint="eastAsia" w:cs="Times New Roman"/>
        </w:rPr>
        <w:t>在特许经营模式下，政府职能转变，不再是项目的直接投资和建设者。政府依法特许社会资本主导项目的投资、建设、运营、维护，在运营期内，政府是服务的购买方。并履行监督、考核职能，为项目创建良好的运营环境。规范的政府和社会资本合作模式能够将政府的发展规划、市场监管、公共服务职能，与社会资本的管理效率、技术创新动力有机结合，实现项目全生命周期成本控制，减少政府对微观事务的过度参与，提高公共服务的效率与质量。</w:t>
      </w:r>
    </w:p>
    <w:p>
      <w:pPr>
        <w:pStyle w:val="3"/>
        <w:ind w:firstLine="643"/>
        <w:rPr>
          <w:rFonts w:cs="Times New Roman"/>
        </w:rPr>
      </w:pPr>
      <w:bookmarkStart w:id="23" w:name="_Toc148432351"/>
      <w:r>
        <w:rPr>
          <w:rFonts w:cs="Times New Roman"/>
        </w:rPr>
        <w:t>二、项目采用特许经营模式的可行性</w:t>
      </w:r>
      <w:bookmarkEnd w:id="23"/>
    </w:p>
    <w:p>
      <w:pPr>
        <w:keepNext/>
        <w:keepLines/>
        <w:spacing w:before="120" w:after="120"/>
        <w:ind w:firstLine="562"/>
        <w:outlineLvl w:val="2"/>
        <w:rPr>
          <w:rFonts w:cs="Times New Roman"/>
          <w:b/>
          <w:bCs/>
          <w:szCs w:val="32"/>
        </w:rPr>
      </w:pPr>
      <w:r>
        <w:rPr>
          <w:rFonts w:hint="eastAsia" w:cs="Times New Roman"/>
          <w:b/>
          <w:bCs/>
          <w:szCs w:val="32"/>
        </w:rPr>
        <w:t>（一）具备成熟稳定的宏观政策环境</w:t>
      </w:r>
    </w:p>
    <w:p>
      <w:pPr>
        <w:ind w:firstLine="560"/>
        <w:rPr>
          <w:rFonts w:cs="Times New Roman"/>
        </w:rPr>
      </w:pPr>
      <w:r>
        <w:rPr>
          <w:rFonts w:hint="eastAsia" w:cs="Times New Roman"/>
        </w:rPr>
        <w:t>从中央到各部委相继出台了有关鼓励和允许社会资本参与基础设施建设和经营的政策，如《基础设施和公用事业特许经营管理办法》（国家发改委等</w:t>
      </w:r>
      <w:r>
        <w:rPr>
          <w:rFonts w:cs="Times New Roman"/>
        </w:rPr>
        <w:t>6</w:t>
      </w:r>
      <w:r>
        <w:rPr>
          <w:rFonts w:hint="eastAsia" w:cs="Times New Roman"/>
        </w:rPr>
        <w:t>部委第</w:t>
      </w:r>
      <w:r>
        <w:rPr>
          <w:rFonts w:cs="Times New Roman"/>
        </w:rPr>
        <w:t>25</w:t>
      </w:r>
      <w:r>
        <w:rPr>
          <w:rFonts w:hint="eastAsia" w:cs="Times New Roman"/>
        </w:rPr>
        <w:t>号令）《国家发展和改革委员会、财政部、水利部关于鼓励和引导社会资本参与重大水利工程建设运营的实施意见》（发改农经〔</w:t>
      </w:r>
      <w:r>
        <w:rPr>
          <w:rFonts w:cs="Times New Roman"/>
        </w:rPr>
        <w:t>2015</w:t>
      </w:r>
      <w:r>
        <w:rPr>
          <w:rFonts w:hint="eastAsia" w:cs="Times New Roman"/>
        </w:rPr>
        <w:t>〕</w:t>
      </w:r>
      <w:r>
        <w:rPr>
          <w:rFonts w:cs="Times New Roman"/>
        </w:rPr>
        <w:t>488</w:t>
      </w:r>
      <w:r>
        <w:rPr>
          <w:rFonts w:hint="eastAsia" w:cs="Times New Roman"/>
        </w:rPr>
        <w:t>号）《水利部国家发改委关于&lt;大型灌区续建配套与现代化改造项目建设管理办法&gt;的通知》（办农水〔2022〕275号）《农业农村部办公厅关于印发&lt;社会资本投资农业农村指引&gt;的通知》（农办计财〔2020〕11号）等文件，为公用事业的改革和未来的监管提供了较为成熟的政策环境。这些文件的出台，为推动高效节水灌溉行业的发展，提供了有力的政策支持。</w:t>
      </w:r>
    </w:p>
    <w:p>
      <w:pPr>
        <w:keepNext/>
        <w:keepLines/>
        <w:spacing w:before="120" w:after="120"/>
        <w:ind w:firstLine="562"/>
        <w:outlineLvl w:val="2"/>
        <w:rPr>
          <w:rFonts w:cs="Times New Roman"/>
          <w:b/>
          <w:bCs/>
          <w:szCs w:val="32"/>
        </w:rPr>
      </w:pPr>
      <w:r>
        <w:rPr>
          <w:rFonts w:hint="eastAsia" w:cs="Times New Roman"/>
          <w:b/>
          <w:bCs/>
          <w:szCs w:val="32"/>
        </w:rPr>
        <w:t>（二）具备自治区党委及政府的高度支持</w:t>
      </w:r>
    </w:p>
    <w:p>
      <w:pPr>
        <w:ind w:firstLine="560"/>
        <w:rPr>
          <w:rFonts w:cs="Times New Roman"/>
        </w:rPr>
      </w:pPr>
      <w:r>
        <w:rPr>
          <w:rFonts w:hint="eastAsia" w:cs="Times New Roman"/>
        </w:rPr>
        <w:t>从自治区水利厅到吴忠市再到同心县政府高度重视项目实施工作，2</w:t>
      </w:r>
      <w:r>
        <w:rPr>
          <w:rFonts w:cs="Times New Roman"/>
        </w:rPr>
        <w:t>021年</w:t>
      </w:r>
      <w:r>
        <w:rPr>
          <w:rFonts w:hint="eastAsia" w:cs="Times New Roman"/>
        </w:rPr>
        <w:t>自治区人民政府办公厅印发《关于加快推进高效节水农业发展的实施意见》（宁政办发〔2021〕95号）提出，为推进“四权改革”“四水四定”总体部署和工作要求，强化水资源集约节约利用，提高农业综合生产能力，促进现代农业发展，助推黄河流域生态保护和高质量发展先行区、国家农业绿色发展先行区建设，鼓励大力发展高效节水农业，提高水土资源利用效率，推进农业转型升级，促进农业现代化。并要求建立健全投入保障机制，加快形成财政保障、金融支持、社会积极参与的多元投入格局。自治区农业农村厅 财政厅印发《关于开展高效节水农业项目竞争评审盖工作的通知》（宁农（建）发〔2022〕</w:t>
      </w:r>
      <w:r>
        <w:rPr>
          <w:rFonts w:cs="Times New Roman"/>
        </w:rPr>
        <w:t>4</w:t>
      </w:r>
      <w:r>
        <w:rPr>
          <w:rFonts w:hint="eastAsia" w:cs="Times New Roman"/>
        </w:rPr>
        <w:t>号）提到，自治区财政补助资金重点围绕粮食作物和葡萄、枸杞等重点产业新建高效节水农业项目，鼓励各地创新投资模式，引导社会资本投入，提高建设标准。</w:t>
      </w:r>
    </w:p>
    <w:p>
      <w:pPr>
        <w:keepNext/>
        <w:keepLines/>
        <w:spacing w:before="120" w:after="120"/>
        <w:ind w:firstLine="562"/>
        <w:outlineLvl w:val="2"/>
        <w:rPr>
          <w:rFonts w:cs="Times New Roman"/>
          <w:b/>
          <w:bCs/>
          <w:szCs w:val="32"/>
        </w:rPr>
      </w:pPr>
      <w:r>
        <w:rPr>
          <w:rFonts w:hint="eastAsia" w:cs="Times New Roman"/>
          <w:b/>
          <w:bCs/>
          <w:szCs w:val="32"/>
        </w:rPr>
        <w:t>（三）具备竞争充分、市场化程度高的行业环境</w:t>
      </w:r>
    </w:p>
    <w:p>
      <w:pPr>
        <w:ind w:firstLine="560"/>
        <w:rPr>
          <w:rFonts w:cs="Times New Roman"/>
        </w:rPr>
      </w:pPr>
      <w:r>
        <w:rPr>
          <w:rFonts w:hint="eastAsia" w:cs="Times New Roman"/>
        </w:rPr>
        <w:t>水利行业是我国较早开展特许经营的行业之一，经过多年的市场化运作，已经形成竞争充分、模式成熟、市场成熟的社会资本专业化市场环境。水利行业建设一直是社会资本高度关注的基础设施领域，国内市场也具有一批行业知识结构完善和建设经验丰富的投资人，其经验可以继续在水利类特许经营项目中被借鉴。通过向水利行业潜在社会资本方推介，社会资本对本项目态度积极，参与投资、建设、运营意愿强烈，从竞争和市场角度看，本项目采用特许经营模式是可行的。</w:t>
      </w:r>
    </w:p>
    <w:p>
      <w:pPr>
        <w:keepNext/>
        <w:keepLines/>
        <w:spacing w:before="120" w:after="120"/>
        <w:ind w:firstLine="562"/>
        <w:outlineLvl w:val="2"/>
        <w:rPr>
          <w:rFonts w:cs="Times New Roman"/>
          <w:b/>
          <w:bCs/>
          <w:szCs w:val="32"/>
        </w:rPr>
      </w:pPr>
      <w:r>
        <w:rPr>
          <w:rFonts w:hint="eastAsia" w:cs="Times New Roman"/>
          <w:b/>
          <w:bCs/>
          <w:szCs w:val="32"/>
        </w:rPr>
        <w:t>（四）具备多元化、可行性强的融资环境</w:t>
      </w:r>
    </w:p>
    <w:p>
      <w:pPr>
        <w:ind w:firstLine="560"/>
        <w:rPr>
          <w:rFonts w:cs="Times New Roman"/>
        </w:rPr>
      </w:pPr>
      <w:r>
        <w:rPr>
          <w:rFonts w:hint="eastAsia" w:cs="Times New Roman"/>
        </w:rPr>
        <w:t>在投融资方面，若采用传统政府采购模式，政府需要在当期举借大量债务，导致债务增加、再融资资源缩减、信用透支，进而造成融资成本上升、难以长期持续发展。若采用特许经营模式，能够较好解决传统采购模式的问题。通过市场化运作引入社会资本，不仅有助于解决政府在项目全生命周期中面临的诸多投资、建设、管理等方面的问题，缓解政府当期投资压力，平滑财政支出，降低金融风险，而且促进投资主体的多元化，发挥政府和社会资本各自优势，形成互利合作关系，以最有效的成本为公众提供高质量服务。另外，特许经营项目涉及银行贷款、股权融资、基金等外部投融资行为，各资金方将采取有效途径约束社会资本方的行为，提高运营效率。</w:t>
      </w:r>
    </w:p>
    <w:p>
      <w:pPr>
        <w:keepNext/>
        <w:keepLines/>
        <w:spacing w:before="120" w:after="120"/>
        <w:ind w:firstLine="562"/>
        <w:outlineLvl w:val="2"/>
        <w:rPr>
          <w:rFonts w:cs="Times New Roman"/>
          <w:b/>
          <w:bCs/>
          <w:szCs w:val="32"/>
        </w:rPr>
      </w:pPr>
      <w:r>
        <w:rPr>
          <w:rFonts w:hint="eastAsia" w:cs="Times New Roman"/>
          <w:b/>
          <w:bCs/>
          <w:szCs w:val="32"/>
        </w:rPr>
        <w:t>（五）满足长期、可持续经营的条件</w:t>
      </w:r>
    </w:p>
    <w:p>
      <w:pPr>
        <w:ind w:firstLine="560"/>
        <w:rPr>
          <w:rFonts w:cs="Times New Roman"/>
        </w:rPr>
      </w:pPr>
      <w:r>
        <w:rPr>
          <w:rFonts w:hint="eastAsia" w:cs="Times New Roman"/>
        </w:rPr>
        <w:t>本项目建设方案明确，技术路线清晰，全生命周期及其回报机制合理，符合特许经营的基本要求。本项目属于水利行业基础设施项目，具备公益性特征，同时可以获得使用者付费收入，自身能够产生现金流，具备准经营性。经财务测算，在政府采取少量补贴的形式下，项目便具备一定程度的盈利性，满足特许经营盈利而不暴利的要求，同时项目具备财务偿债能力和可持续性，能够长期运营。</w:t>
      </w:r>
    </w:p>
    <w:p>
      <w:pPr>
        <w:keepNext/>
        <w:keepLines/>
        <w:spacing w:before="120" w:after="120"/>
        <w:ind w:firstLine="562"/>
        <w:outlineLvl w:val="2"/>
        <w:rPr>
          <w:rFonts w:cs="Times New Roman"/>
          <w:b/>
          <w:bCs/>
          <w:szCs w:val="32"/>
        </w:rPr>
      </w:pPr>
      <w:r>
        <w:rPr>
          <w:rFonts w:hint="eastAsia" w:cs="Times New Roman"/>
          <w:b/>
          <w:bCs/>
          <w:szCs w:val="32"/>
        </w:rPr>
        <w:t>（六）建立农业灌溉收费机制</w:t>
      </w:r>
    </w:p>
    <w:p>
      <w:pPr>
        <w:ind w:firstLine="560"/>
        <w:rPr>
          <w:rFonts w:cs="Times New Roman"/>
        </w:rPr>
      </w:pPr>
      <w:r>
        <w:rPr>
          <w:rFonts w:hint="eastAsia" w:cs="Times New Roman"/>
        </w:rPr>
        <w:t>水价是水资源管理的重要经济手段之一。科学合理的水价是促进水资源优化配置和节约用水的重要手段，保障了供水单位良性运行。在尊重农户支付意愿、提高农业供水服务水平基础上，建立以促进水资源节约和可持续利用为核心的水价形成机制，是充分发挥价格杠杆在水资源配置、节约用水等方面作用的客观要求。本项目正常的收入来源为使用者付费。项目区主要有玉米、枸杞、蔬菜、葡萄种植以及经果林，农作物生长均需水资源</w:t>
      </w:r>
      <w:r>
        <w:rPr>
          <w:rFonts w:cs="Times New Roman"/>
        </w:rPr>
        <w:t>。根据</w:t>
      </w:r>
      <w:r>
        <w:rPr>
          <w:rFonts w:hint="eastAsia" w:cs="Times New Roman"/>
        </w:rPr>
        <w:t>《自治区人民政府办公厅关于印发宁夏农业水价综合改革实施方案的通知》根据农业用水定额、投入产出比，在终端用水环节完善分类水价。本项目可建立农业灌溉收费机制，满足使用者付费条件</w:t>
      </w:r>
      <w:r>
        <w:rPr>
          <w:rFonts w:cs="Times New Roman"/>
        </w:rPr>
        <w:t>。</w:t>
      </w:r>
    </w:p>
    <w:p>
      <w:pPr>
        <w:pStyle w:val="3"/>
        <w:ind w:firstLine="643"/>
        <w:rPr>
          <w:rFonts w:cs="Times New Roman"/>
        </w:rPr>
      </w:pPr>
      <w:bookmarkStart w:id="24" w:name="_Toc148432352"/>
      <w:r>
        <w:rPr>
          <w:rFonts w:hint="eastAsia" w:cs="Times New Roman"/>
        </w:rPr>
        <w:t>三、满足使用者付费的条件</w:t>
      </w:r>
      <w:bookmarkEnd w:id="24"/>
    </w:p>
    <w:p>
      <w:pPr>
        <w:ind w:firstLine="560"/>
        <w:rPr>
          <w:rFonts w:cs="Times New Roman"/>
        </w:rPr>
      </w:pPr>
      <w:r>
        <w:rPr>
          <w:rFonts w:hint="eastAsia" w:cs="Times New Roman"/>
        </w:rPr>
        <w:t>按照同心县高效节灌整体规划，本项目回报机制暂定为使用者付费模式。社会资本方完成新建项目投融资、建设并提供“新建+存量”项目的运营维护服务，通过收取灌溉水费的方式以补偿经营成本、回收投资并获取合理回报。</w:t>
      </w:r>
    </w:p>
    <w:p>
      <w:pPr>
        <w:pStyle w:val="3"/>
        <w:ind w:firstLine="643"/>
        <w:rPr>
          <w:rFonts w:cs="Times New Roman"/>
        </w:rPr>
      </w:pPr>
      <w:bookmarkStart w:id="25" w:name="_Toc148432353"/>
      <w:r>
        <w:rPr>
          <w:rFonts w:hint="eastAsia" w:cs="Times New Roman"/>
        </w:rPr>
        <w:t>四</w:t>
      </w:r>
      <w:r>
        <w:rPr>
          <w:rFonts w:cs="Times New Roman"/>
        </w:rPr>
        <w:t>、</w:t>
      </w:r>
      <w:r>
        <w:rPr>
          <w:rFonts w:hint="eastAsia" w:cs="Times New Roman"/>
        </w:rPr>
        <w:t>有大量实施经验可供借鉴</w:t>
      </w:r>
      <w:bookmarkEnd w:id="25"/>
    </w:p>
    <w:p>
      <w:pPr>
        <w:ind w:firstLine="560"/>
        <w:rPr>
          <w:rFonts w:cs="Times New Roman"/>
        </w:rPr>
      </w:pPr>
      <w:r>
        <w:rPr>
          <w:rFonts w:hint="eastAsia" w:cs="Times New Roman"/>
        </w:rPr>
        <w:t>近几年，越来越多的水利项目均采用了特许经营模式，有大量可供参考案例，如</w:t>
      </w:r>
      <w:bookmarkStart w:id="168" w:name="_GoBack"/>
      <w:bookmarkEnd w:id="168"/>
      <w:r>
        <w:rPr>
          <w:rFonts w:hint="eastAsia" w:cs="Times New Roman"/>
        </w:rPr>
        <w:t>贺兰县、原州区、灵武市、利通区等地区高效节灌项目均采用特许经营模式实施。加之区内22个县区“互联网+城乡供水”均采用特许经营模式，且取得良好效果，为本项目的落地积累了丰富经验。因此，本项目采用特许经营模式实施拥有丰富的经验，具备良好的市场环境，有众多优质的社会资本可供选择。</w:t>
      </w:r>
      <w:r>
        <w:rPr>
          <w:rFonts w:cs="Times New Roman"/>
        </w:rPr>
        <w:br w:type="page"/>
      </w:r>
    </w:p>
    <w:p>
      <w:pPr>
        <w:pStyle w:val="2"/>
        <w:spacing w:after="400"/>
        <w:rPr>
          <w:rFonts w:cs="Times New Roman"/>
        </w:rPr>
      </w:pPr>
      <w:bookmarkStart w:id="26" w:name="_Toc148432354"/>
      <w:r>
        <w:rPr>
          <w:rFonts w:hint="eastAsia" w:cs="Times New Roman"/>
        </w:rPr>
        <w:t>第五章 特许经营模式研究</w:t>
      </w:r>
      <w:bookmarkEnd w:id="26"/>
    </w:p>
    <w:p>
      <w:pPr>
        <w:pStyle w:val="3"/>
        <w:ind w:firstLine="643"/>
        <w:rPr>
          <w:rFonts w:cs="Times New Roman"/>
        </w:rPr>
      </w:pPr>
      <w:bookmarkStart w:id="27" w:name="_Toc148432355"/>
      <w:r>
        <w:rPr>
          <w:rFonts w:cs="Times New Roman"/>
        </w:rPr>
        <w:t>一、实施主体</w:t>
      </w:r>
      <w:bookmarkEnd w:id="27"/>
    </w:p>
    <w:p>
      <w:pPr>
        <w:ind w:firstLine="560"/>
        <w:rPr>
          <w:rFonts w:cs="Times New Roman"/>
        </w:rPr>
      </w:pPr>
      <w:r>
        <w:rPr>
          <w:rFonts w:hint="eastAsia" w:cs="Times New Roman"/>
        </w:rPr>
        <w:t>为确保项目推进落实，按照《基础设施和公用事业特许经营管理办法》《农业农村部办公厅关于印发&lt;社会资本投资农业农村指引&gt;的通知》（农办计财〔2020〕11号）《农业农村部关于推进高标准农田改造提升的指导意见》（农建发〔2022〕5号）相关政策精神和要求，由同心县人民政府牵头，农业农村局、水务局、发改局、财政局、审计局等主要部门参与，成立该项目特许经营模式工作领导小组。由领导小组按照特许经营相关政策及工作流程要求，指导、协调、推进本项目前期工作，使得项目相关工作顺利开展。</w:t>
      </w:r>
      <w:r>
        <w:rPr>
          <w:rFonts w:hint="eastAsia" w:cs="Times New Roman"/>
          <w:b/>
        </w:rPr>
        <w:t>并授权同心县农业农村局作为项目实施机构，负责项目准备、采购、执行和移交各阶段相关工作，其他部门配合。</w:t>
      </w:r>
    </w:p>
    <w:p>
      <w:pPr>
        <w:pStyle w:val="3"/>
        <w:ind w:firstLine="643"/>
        <w:rPr>
          <w:rFonts w:cs="Times New Roman"/>
        </w:rPr>
      </w:pPr>
      <w:bookmarkStart w:id="28" w:name="_Toc148432356"/>
      <w:r>
        <w:rPr>
          <w:rFonts w:hint="eastAsia" w:cs="Times New Roman"/>
        </w:rPr>
        <w:t>二、运作方式</w:t>
      </w:r>
      <w:bookmarkEnd w:id="28"/>
    </w:p>
    <w:p>
      <w:pPr>
        <w:keepNext/>
        <w:keepLines/>
        <w:spacing w:before="120" w:after="120"/>
        <w:ind w:firstLine="562"/>
        <w:outlineLvl w:val="2"/>
        <w:rPr>
          <w:rFonts w:cs="Times New Roman"/>
          <w:b/>
          <w:bCs/>
          <w:szCs w:val="32"/>
        </w:rPr>
      </w:pPr>
      <w:r>
        <w:rPr>
          <w:rFonts w:hint="eastAsia" w:cs="Times New Roman"/>
          <w:b/>
          <w:bCs/>
          <w:szCs w:val="32"/>
        </w:rPr>
        <w:t>（</w:t>
      </w:r>
      <w:bookmarkStart w:id="29" w:name="_Hlk99549826"/>
      <w:r>
        <w:rPr>
          <w:rFonts w:hint="eastAsia" w:cs="Times New Roman"/>
          <w:b/>
          <w:bCs/>
          <w:szCs w:val="32"/>
        </w:rPr>
        <w:t>一）可供选择的运作方式</w:t>
      </w:r>
    </w:p>
    <w:p>
      <w:pPr>
        <w:ind w:firstLine="560"/>
        <w:rPr>
          <w:rFonts w:cs="Times New Roman"/>
        </w:rPr>
      </w:pPr>
      <w:r>
        <w:rPr>
          <w:rFonts w:hint="eastAsia" w:cs="Times New Roman"/>
        </w:rPr>
        <w:t>依据《基础设施和公用事业特许经营管理办法》（国家发改委等</w:t>
      </w:r>
      <w:r>
        <w:rPr>
          <w:rFonts w:cs="Times New Roman"/>
        </w:rPr>
        <w:t>6</w:t>
      </w:r>
      <w:r>
        <w:rPr>
          <w:rFonts w:hint="eastAsia" w:cs="Times New Roman"/>
        </w:rPr>
        <w:t>部委</w:t>
      </w:r>
      <w:r>
        <w:rPr>
          <w:rFonts w:cs="Times New Roman"/>
        </w:rPr>
        <w:t>25</w:t>
      </w:r>
      <w:r>
        <w:rPr>
          <w:rFonts w:hint="eastAsia" w:cs="Times New Roman"/>
        </w:rPr>
        <w:t>号令）第五条规定，基础设施和公用事业特许经营可以采取以下方式：</w:t>
      </w:r>
    </w:p>
    <w:p>
      <w:pPr>
        <w:ind w:firstLine="560"/>
        <w:rPr>
          <w:rFonts w:cs="Times New Roman"/>
        </w:rPr>
      </w:pPr>
      <w:r>
        <w:rPr>
          <w:rFonts w:hint="eastAsia" w:cs="Times New Roman"/>
        </w:rPr>
        <w:t>（1）在一定期限内，政府授予特许经营者投资新建或改扩建、运营基础设施和公用事业，期限届满移交政府；</w:t>
      </w:r>
    </w:p>
    <w:p>
      <w:pPr>
        <w:ind w:firstLine="560"/>
        <w:rPr>
          <w:rFonts w:cs="Times New Roman"/>
        </w:rPr>
      </w:pPr>
      <w:r>
        <w:rPr>
          <w:rFonts w:hint="eastAsia" w:cs="Times New Roman"/>
        </w:rPr>
        <w:t>（2）在一定期限内，政府授予特许经营者投资新建或改扩建、拥有并运营基础设施和公用事业，期限届满移交政府；</w:t>
      </w:r>
    </w:p>
    <w:p>
      <w:pPr>
        <w:ind w:firstLine="560"/>
        <w:rPr>
          <w:rFonts w:cs="Times New Roman"/>
        </w:rPr>
      </w:pPr>
      <w:r>
        <w:rPr>
          <w:rFonts w:hint="eastAsia" w:cs="Times New Roman"/>
        </w:rPr>
        <w:t>（3）特许经营者投资新建或改扩建基础设施和公用事业并移交政府后，由政府授予其在一定期限内运营；</w:t>
      </w:r>
    </w:p>
    <w:p>
      <w:pPr>
        <w:ind w:firstLine="560"/>
        <w:rPr>
          <w:rFonts w:cs="Times New Roman"/>
        </w:rPr>
      </w:pPr>
      <w:r>
        <w:rPr>
          <w:rFonts w:hint="eastAsia" w:cs="Times New Roman"/>
        </w:rPr>
        <w:t>（4）国家规定的其他方式。</w:t>
      </w:r>
    </w:p>
    <w:p>
      <w:pPr>
        <w:ind w:firstLine="560"/>
        <w:rPr>
          <w:rFonts w:cs="Times New Roman"/>
        </w:rPr>
      </w:pPr>
      <w:r>
        <w:rPr>
          <w:rFonts w:hint="eastAsia" w:cs="Times New Roman"/>
        </w:rPr>
        <w:t>发改投资〔</w:t>
      </w:r>
      <w:r>
        <w:rPr>
          <w:rFonts w:cs="Times New Roman"/>
        </w:rPr>
        <w:t>2016</w:t>
      </w:r>
      <w:r>
        <w:rPr>
          <w:rFonts w:hint="eastAsia" w:cs="Times New Roman"/>
        </w:rPr>
        <w:t>〕</w:t>
      </w:r>
      <w:r>
        <w:rPr>
          <w:rFonts w:cs="Times New Roman"/>
        </w:rPr>
        <w:t>2231</w:t>
      </w:r>
      <w:r>
        <w:rPr>
          <w:rFonts w:hint="eastAsia" w:cs="Times New Roman"/>
        </w:rPr>
        <w:t>号文提出：各地区可根据当地实际情况及项目特点，积极探索、大胆创新，灵活运用多种方式，切实提高项目运作效率，根据（〔</w:t>
      </w:r>
      <w:r>
        <w:rPr>
          <w:rFonts w:cs="Times New Roman"/>
        </w:rPr>
        <w:t>2016</w:t>
      </w:r>
      <w:r>
        <w:rPr>
          <w:rFonts w:hint="eastAsia" w:cs="Times New Roman"/>
        </w:rPr>
        <w:t>〕</w:t>
      </w:r>
      <w:r>
        <w:rPr>
          <w:rFonts w:cs="Times New Roman"/>
        </w:rPr>
        <w:t>2231</w:t>
      </w:r>
      <w:r>
        <w:rPr>
          <w:rFonts w:hint="eastAsia" w:cs="Times New Roman"/>
        </w:rPr>
        <w:t>号）文第三条，政府和社会资本合作模式主要包括特许经营和政府购买服务两类。新建项目优先采用建设</w:t>
      </w:r>
      <w:r>
        <w:rPr>
          <w:rFonts w:cs="Times New Roman"/>
        </w:rPr>
        <w:t>-</w:t>
      </w:r>
      <w:r>
        <w:rPr>
          <w:rFonts w:hint="eastAsia" w:cs="Times New Roman"/>
        </w:rPr>
        <w:t>运营</w:t>
      </w:r>
      <w:r>
        <w:rPr>
          <w:rFonts w:cs="Times New Roman"/>
        </w:rPr>
        <w:t>-</w:t>
      </w:r>
      <w:r>
        <w:rPr>
          <w:rFonts w:hint="eastAsia" w:cs="Times New Roman"/>
        </w:rPr>
        <w:t>移交（</w:t>
      </w:r>
      <w:r>
        <w:rPr>
          <w:rFonts w:cs="Times New Roman"/>
        </w:rPr>
        <w:t>BOT</w:t>
      </w:r>
      <w:r>
        <w:rPr>
          <w:rFonts w:hint="eastAsia" w:cs="Times New Roman"/>
        </w:rPr>
        <w:t>）、建设</w:t>
      </w:r>
      <w:r>
        <w:rPr>
          <w:rFonts w:cs="Times New Roman"/>
        </w:rPr>
        <w:t>-</w:t>
      </w:r>
      <w:r>
        <w:rPr>
          <w:rFonts w:hint="eastAsia" w:cs="Times New Roman"/>
        </w:rPr>
        <w:t>拥有</w:t>
      </w:r>
      <w:r>
        <w:rPr>
          <w:rFonts w:cs="Times New Roman"/>
        </w:rPr>
        <w:t>-</w:t>
      </w:r>
      <w:r>
        <w:rPr>
          <w:rFonts w:hint="eastAsia" w:cs="Times New Roman"/>
        </w:rPr>
        <w:t>运营</w:t>
      </w:r>
      <w:r>
        <w:rPr>
          <w:rFonts w:cs="Times New Roman"/>
        </w:rPr>
        <w:t>-</w:t>
      </w:r>
      <w:r>
        <w:rPr>
          <w:rFonts w:hint="eastAsia" w:cs="Times New Roman"/>
        </w:rPr>
        <w:t>移交（</w:t>
      </w:r>
      <w:r>
        <w:rPr>
          <w:rFonts w:cs="Times New Roman"/>
        </w:rPr>
        <w:t>BOOT</w:t>
      </w:r>
      <w:r>
        <w:rPr>
          <w:rFonts w:hint="eastAsia" w:cs="Times New Roman"/>
        </w:rPr>
        <w:t>）、设计</w:t>
      </w:r>
      <w:r>
        <w:rPr>
          <w:rFonts w:cs="Times New Roman"/>
        </w:rPr>
        <w:t>-</w:t>
      </w:r>
      <w:r>
        <w:rPr>
          <w:rFonts w:hint="eastAsia" w:cs="Times New Roman"/>
        </w:rPr>
        <w:t>建设</w:t>
      </w:r>
      <w:r>
        <w:rPr>
          <w:rFonts w:cs="Times New Roman"/>
        </w:rPr>
        <w:t>-</w:t>
      </w:r>
      <w:r>
        <w:rPr>
          <w:rFonts w:hint="eastAsia" w:cs="Times New Roman"/>
        </w:rPr>
        <w:t>融资</w:t>
      </w:r>
      <w:r>
        <w:rPr>
          <w:rFonts w:cs="Times New Roman"/>
        </w:rPr>
        <w:t>-</w:t>
      </w:r>
      <w:r>
        <w:rPr>
          <w:rFonts w:hint="eastAsia" w:cs="Times New Roman"/>
        </w:rPr>
        <w:t>运营维护</w:t>
      </w:r>
      <w:r>
        <w:rPr>
          <w:rFonts w:cs="Times New Roman"/>
        </w:rPr>
        <w:t>-</w:t>
      </w:r>
      <w:r>
        <w:rPr>
          <w:rFonts w:hint="eastAsia" w:cs="Times New Roman"/>
        </w:rPr>
        <w:t>移交（</w:t>
      </w:r>
      <w:r>
        <w:rPr>
          <w:rFonts w:cs="Times New Roman"/>
        </w:rPr>
        <w:t>DBFOT</w:t>
      </w:r>
      <w:r>
        <w:rPr>
          <w:rFonts w:hint="eastAsia" w:cs="Times New Roman"/>
        </w:rPr>
        <w:t>）、建设</w:t>
      </w:r>
      <w:r>
        <w:rPr>
          <w:rFonts w:cs="Times New Roman"/>
        </w:rPr>
        <w:t>-</w:t>
      </w:r>
      <w:r>
        <w:rPr>
          <w:rFonts w:hint="eastAsia" w:cs="Times New Roman"/>
        </w:rPr>
        <w:t>拥有</w:t>
      </w:r>
      <w:r>
        <w:rPr>
          <w:rFonts w:cs="Times New Roman"/>
        </w:rPr>
        <w:t>-</w:t>
      </w:r>
      <w:r>
        <w:rPr>
          <w:rFonts w:hint="eastAsia" w:cs="Times New Roman"/>
        </w:rPr>
        <w:t>运营（</w:t>
      </w:r>
      <w:r>
        <w:rPr>
          <w:rFonts w:cs="Times New Roman"/>
        </w:rPr>
        <w:t>BOO</w:t>
      </w:r>
      <w:r>
        <w:rPr>
          <w:rFonts w:hint="eastAsia" w:cs="Times New Roman"/>
        </w:rPr>
        <w:t>）等方式。存量项目优先采用改建</w:t>
      </w:r>
      <w:r>
        <w:rPr>
          <w:rFonts w:cs="Times New Roman"/>
        </w:rPr>
        <w:t>-</w:t>
      </w:r>
      <w:r>
        <w:rPr>
          <w:rFonts w:hint="eastAsia" w:cs="Times New Roman"/>
        </w:rPr>
        <w:t>运营</w:t>
      </w:r>
      <w:r>
        <w:rPr>
          <w:rFonts w:cs="Times New Roman"/>
        </w:rPr>
        <w:t>-</w:t>
      </w:r>
      <w:r>
        <w:rPr>
          <w:rFonts w:hint="eastAsia" w:cs="Times New Roman"/>
        </w:rPr>
        <w:t>移交（</w:t>
      </w:r>
      <w:r>
        <w:rPr>
          <w:rFonts w:cs="Times New Roman"/>
        </w:rPr>
        <w:t>ROT</w:t>
      </w:r>
      <w:r>
        <w:rPr>
          <w:rFonts w:hint="eastAsia" w:cs="Times New Roman"/>
        </w:rPr>
        <w:t>）方式。结合项目实际情况及特点，可灵活运用多种方式，切实提高项目运作效率。</w:t>
      </w:r>
    </w:p>
    <w:p>
      <w:pPr>
        <w:ind w:firstLine="560"/>
        <w:rPr>
          <w:rFonts w:cs="Times New Roman"/>
        </w:rPr>
      </w:pPr>
      <w:r>
        <w:rPr>
          <w:rFonts w:hint="eastAsia" w:cs="Times New Roman"/>
        </w:rPr>
        <w:t>实际操作中，特许经营项目应该根据自身的特点和参与者的管理、技术、资金实力，选择合适的模式并对其优化调整。特许经营项目运作方式的选择通常借助于决策树分析工具，决策树如下图所示：</w:t>
      </w:r>
    </w:p>
    <w:p>
      <w:pPr>
        <w:spacing w:line="240" w:lineRule="auto"/>
        <w:ind w:firstLine="0" w:firstLineChars="0"/>
        <w:jc w:val="center"/>
        <w:rPr>
          <w:rFonts w:cs="Times New Roman"/>
        </w:rPr>
      </w:pPr>
      <w:r>
        <w:drawing>
          <wp:inline distT="0" distB="0" distL="0" distR="0">
            <wp:extent cx="5612765" cy="2513965"/>
            <wp:effectExtent l="0" t="0" r="6985" b="635"/>
            <wp:docPr id="7" name="图片 7" descr="图示&#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图示&#10;&#10;描述已自动生成"/>
                    <pic:cNvPicPr>
                      <a:picLocks noChangeAspect="1"/>
                    </pic:cNvPicPr>
                  </pic:nvPicPr>
                  <pic:blipFill>
                    <a:blip r:embed="rId15"/>
                    <a:stretch>
                      <a:fillRect/>
                    </a:stretch>
                  </pic:blipFill>
                  <pic:spPr>
                    <a:xfrm>
                      <a:off x="0" y="0"/>
                      <a:ext cx="5618478" cy="2516414"/>
                    </a:xfrm>
                    <a:prstGeom prst="rect">
                      <a:avLst/>
                    </a:prstGeom>
                  </pic:spPr>
                </pic:pic>
              </a:graphicData>
            </a:graphic>
          </wp:inline>
        </w:drawing>
      </w:r>
    </w:p>
    <w:p>
      <w:pPr>
        <w:widowControl/>
        <w:wordWrap w:val="0"/>
        <w:spacing w:line="500" w:lineRule="exact"/>
        <w:ind w:firstLine="0" w:firstLineChars="0"/>
        <w:jc w:val="center"/>
        <w:rPr>
          <w:rFonts w:cs="Times New Roman"/>
          <w:b/>
          <w:bCs/>
          <w:kern w:val="0"/>
          <w:sz w:val="24"/>
          <w:szCs w:val="32"/>
        </w:rPr>
      </w:pPr>
      <w:r>
        <w:rPr>
          <w:rFonts w:hint="eastAsia" w:cs="Times New Roman"/>
          <w:b/>
          <w:bCs/>
          <w:kern w:val="0"/>
          <w:sz w:val="24"/>
          <w:szCs w:val="32"/>
        </w:rPr>
        <w:t>图</w:t>
      </w:r>
      <w:r>
        <w:rPr>
          <w:rFonts w:cs="Times New Roman"/>
          <w:b/>
          <w:bCs/>
          <w:kern w:val="0"/>
          <w:sz w:val="24"/>
          <w:szCs w:val="32"/>
        </w:rPr>
        <w:t xml:space="preserve">5-1 </w:t>
      </w:r>
      <w:r>
        <w:rPr>
          <w:rFonts w:hint="eastAsia" w:cs="Times New Roman"/>
          <w:b/>
          <w:bCs/>
          <w:kern w:val="0"/>
          <w:sz w:val="24"/>
          <w:szCs w:val="32"/>
        </w:rPr>
        <w:t>项目运作方式决策树</w:t>
      </w:r>
    </w:p>
    <w:p>
      <w:pPr>
        <w:keepNext/>
        <w:keepLines/>
        <w:spacing w:before="120" w:after="120"/>
        <w:ind w:firstLine="562"/>
        <w:outlineLvl w:val="2"/>
        <w:rPr>
          <w:rFonts w:cs="Times New Roman"/>
          <w:b/>
          <w:bCs/>
          <w:szCs w:val="32"/>
        </w:rPr>
      </w:pPr>
      <w:r>
        <w:rPr>
          <w:rFonts w:hint="eastAsia" w:cs="Times New Roman"/>
          <w:b/>
          <w:bCs/>
          <w:szCs w:val="32"/>
        </w:rPr>
        <w:t>（二）运作方式初步比选方案</w:t>
      </w:r>
    </w:p>
    <w:p>
      <w:pPr>
        <w:ind w:firstLine="562"/>
        <w:outlineLvl w:val="3"/>
        <w:rPr>
          <w:rFonts w:cs="Times New Roman"/>
          <w:b/>
        </w:rPr>
      </w:pPr>
      <w:r>
        <w:rPr>
          <w:rFonts w:cs="Times New Roman"/>
          <w:b/>
        </w:rPr>
        <w:t>1.</w:t>
      </w:r>
      <w:r>
        <w:rPr>
          <w:rFonts w:hint="eastAsia" w:cs="Times New Roman"/>
          <w:b/>
        </w:rPr>
        <w:t>存量部分</w:t>
      </w:r>
    </w:p>
    <w:p>
      <w:pPr>
        <w:ind w:firstLine="560"/>
        <w:rPr>
          <w:rFonts w:cs="Times New Roman"/>
        </w:rPr>
      </w:pPr>
      <w:r>
        <w:rPr>
          <w:rFonts w:hint="eastAsia" w:cs="Times New Roman"/>
        </w:rPr>
        <w:t>根据该决策树图进行分析，可选择的运作方式范围包括：委托运营（</w:t>
      </w:r>
      <w:r>
        <w:rPr>
          <w:rFonts w:cs="Times New Roman"/>
        </w:rPr>
        <w:t>O&amp;M</w:t>
      </w:r>
      <w:r>
        <w:rPr>
          <w:rFonts w:hint="eastAsia" w:cs="Times New Roman"/>
        </w:rPr>
        <w:t>）、管理合同（</w:t>
      </w:r>
      <w:r>
        <w:rPr>
          <w:rFonts w:cs="Times New Roman"/>
        </w:rPr>
        <w:t>MC</w:t>
      </w:r>
      <w:r>
        <w:rPr>
          <w:rFonts w:hint="eastAsia" w:cs="Times New Roman"/>
        </w:rPr>
        <w:t>）、转让</w:t>
      </w:r>
      <w:r>
        <w:rPr>
          <w:rFonts w:cs="Times New Roman"/>
        </w:rPr>
        <w:t>-</w:t>
      </w:r>
      <w:r>
        <w:rPr>
          <w:rFonts w:hint="eastAsia" w:cs="Times New Roman"/>
        </w:rPr>
        <w:t>运营</w:t>
      </w:r>
      <w:r>
        <w:rPr>
          <w:rFonts w:cs="Times New Roman"/>
        </w:rPr>
        <w:t>-</w:t>
      </w:r>
      <w:r>
        <w:rPr>
          <w:rFonts w:hint="eastAsia" w:cs="Times New Roman"/>
        </w:rPr>
        <w:t>移交（</w:t>
      </w:r>
      <w:r>
        <w:rPr>
          <w:rFonts w:cs="Times New Roman"/>
        </w:rPr>
        <w:t>TOT</w:t>
      </w:r>
      <w:r>
        <w:rPr>
          <w:rFonts w:hint="eastAsia" w:cs="Times New Roman"/>
        </w:rPr>
        <w:t>）和改建</w:t>
      </w:r>
      <w:r>
        <w:rPr>
          <w:rFonts w:cs="Times New Roman"/>
        </w:rPr>
        <w:t>-</w:t>
      </w:r>
      <w:r>
        <w:rPr>
          <w:rFonts w:hint="eastAsia" w:cs="Times New Roman"/>
        </w:rPr>
        <w:t>运营</w:t>
      </w:r>
      <w:r>
        <w:rPr>
          <w:rFonts w:cs="Times New Roman"/>
        </w:rPr>
        <w:t>-</w:t>
      </w:r>
      <w:r>
        <w:rPr>
          <w:rFonts w:hint="eastAsia" w:cs="Times New Roman"/>
        </w:rPr>
        <w:t>移交（</w:t>
      </w:r>
      <w:r>
        <w:rPr>
          <w:rFonts w:cs="Times New Roman"/>
        </w:rPr>
        <w:t>ROT</w:t>
      </w:r>
      <w:r>
        <w:rPr>
          <w:rFonts w:hint="eastAsia" w:cs="Times New Roman"/>
        </w:rPr>
        <w:t>），这</w:t>
      </w:r>
      <w:r>
        <w:rPr>
          <w:rFonts w:cs="Times New Roman"/>
        </w:rPr>
        <w:t>4</w:t>
      </w:r>
      <w:r>
        <w:rPr>
          <w:rFonts w:hint="eastAsia" w:cs="Times New Roman"/>
        </w:rPr>
        <w:t>种运作方式的主要特点如下：</w:t>
      </w:r>
    </w:p>
    <w:p>
      <w:pPr>
        <w:ind w:firstLine="560"/>
        <w:rPr>
          <w:rFonts w:cs="Times New Roman"/>
        </w:rPr>
      </w:pPr>
      <w:r>
        <w:rPr>
          <w:rFonts w:hint="eastAsia" w:eastAsia="宋体" w:cs="Times New Roman"/>
        </w:rPr>
        <w:t>（</w:t>
      </w:r>
      <w:r>
        <w:rPr>
          <w:rFonts w:eastAsia="宋体" w:cs="Times New Roman"/>
        </w:rPr>
        <w:t>1</w:t>
      </w:r>
      <w:r>
        <w:rPr>
          <w:rFonts w:hint="eastAsia" w:eastAsia="宋体" w:cs="Times New Roman"/>
        </w:rPr>
        <w:t>）</w:t>
      </w:r>
      <w:r>
        <w:rPr>
          <w:rFonts w:hint="eastAsia" w:cs="Times New Roman"/>
        </w:rPr>
        <w:t>委托运营（</w:t>
      </w:r>
      <w:r>
        <w:rPr>
          <w:rFonts w:cs="Times New Roman"/>
        </w:rPr>
        <w:t>Operations &amp; Maintenance</w:t>
      </w:r>
      <w:r>
        <w:rPr>
          <w:rFonts w:hint="eastAsia" w:cs="Times New Roman"/>
        </w:rPr>
        <w:t>，简称</w:t>
      </w:r>
      <w:r>
        <w:rPr>
          <w:rFonts w:cs="Times New Roman"/>
        </w:rPr>
        <w:t>O&amp;M</w:t>
      </w:r>
      <w:r>
        <w:rPr>
          <w:rFonts w:hint="eastAsia" w:cs="Times New Roman"/>
        </w:rPr>
        <w:t>），是指政府将存量公共资产的运营维护职责委托给社会资本或项目公司，社会资本或项目公司不负责用户服务的政府和社会资本合作项目运作方式。政府保留资产所有权，只向社会资本或项目公司支付委托运营费。合同期限一般不超过</w:t>
      </w:r>
      <w:r>
        <w:rPr>
          <w:rFonts w:cs="Times New Roman"/>
        </w:rPr>
        <w:t>8</w:t>
      </w:r>
      <w:r>
        <w:rPr>
          <w:rFonts w:hint="eastAsia" w:cs="Times New Roman"/>
        </w:rPr>
        <w:t>年。</w:t>
      </w:r>
    </w:p>
    <w:p>
      <w:pPr>
        <w:ind w:firstLine="560"/>
        <w:rPr>
          <w:rFonts w:cs="Times New Roman"/>
        </w:rPr>
      </w:pPr>
      <w:r>
        <w:rPr>
          <w:rFonts w:hint="eastAsia" w:eastAsia="宋体" w:cs="Times New Roman"/>
        </w:rPr>
        <w:t>（</w:t>
      </w:r>
      <w:r>
        <w:rPr>
          <w:rFonts w:eastAsia="宋体" w:cs="Times New Roman"/>
        </w:rPr>
        <w:t>2</w:t>
      </w:r>
      <w:r>
        <w:rPr>
          <w:rFonts w:hint="eastAsia" w:eastAsia="宋体" w:cs="Times New Roman"/>
        </w:rPr>
        <w:t>）</w:t>
      </w:r>
      <w:r>
        <w:rPr>
          <w:rFonts w:hint="eastAsia" w:cs="Times New Roman"/>
        </w:rPr>
        <w:t>管理合同（</w:t>
      </w:r>
      <w:r>
        <w:rPr>
          <w:rFonts w:cs="Times New Roman"/>
        </w:rPr>
        <w:t>Management Contract</w:t>
      </w:r>
      <w:r>
        <w:rPr>
          <w:rFonts w:hint="eastAsia" w:cs="Times New Roman"/>
        </w:rPr>
        <w:t>，简称</w:t>
      </w:r>
      <w:r>
        <w:rPr>
          <w:rFonts w:cs="Times New Roman"/>
        </w:rPr>
        <w:t>MC</w:t>
      </w:r>
      <w:r>
        <w:rPr>
          <w:rFonts w:hint="eastAsia" w:cs="Times New Roman"/>
        </w:rPr>
        <w:t>），是指政府将存量公共资产的运营、维护及用户服务职责授权给社会资本或项目公司的项目运作方式。政府保留资产所有权，只向社会资本或项目公司支付管理费。管理合同通常作为转让</w:t>
      </w:r>
      <w:r>
        <w:rPr>
          <w:rFonts w:cs="Times New Roman"/>
        </w:rPr>
        <w:t>-</w:t>
      </w:r>
      <w:r>
        <w:rPr>
          <w:rFonts w:hint="eastAsia" w:cs="Times New Roman"/>
        </w:rPr>
        <w:t>运营</w:t>
      </w:r>
      <w:r>
        <w:rPr>
          <w:rFonts w:cs="Times New Roman"/>
        </w:rPr>
        <w:t>-</w:t>
      </w:r>
      <w:r>
        <w:rPr>
          <w:rFonts w:hint="eastAsia" w:cs="Times New Roman"/>
        </w:rPr>
        <w:t>移交的过渡方式。合同期限一般不超过</w:t>
      </w:r>
      <w:r>
        <w:rPr>
          <w:rFonts w:cs="Times New Roman"/>
        </w:rPr>
        <w:t>3</w:t>
      </w:r>
      <w:r>
        <w:rPr>
          <w:rFonts w:hint="eastAsia" w:cs="Times New Roman"/>
        </w:rPr>
        <w:t>年。</w:t>
      </w:r>
    </w:p>
    <w:p>
      <w:pPr>
        <w:ind w:firstLine="560"/>
        <w:rPr>
          <w:rFonts w:cs="Times New Roman"/>
        </w:rPr>
      </w:pPr>
      <w:r>
        <w:rPr>
          <w:rFonts w:hint="eastAsia" w:eastAsia="宋体" w:cs="Times New Roman"/>
        </w:rPr>
        <w:t>（</w:t>
      </w:r>
      <w:r>
        <w:rPr>
          <w:rFonts w:eastAsia="宋体" w:cs="Times New Roman"/>
        </w:rPr>
        <w:t>3</w:t>
      </w:r>
      <w:r>
        <w:rPr>
          <w:rFonts w:hint="eastAsia" w:eastAsia="宋体" w:cs="Times New Roman"/>
        </w:rPr>
        <w:t>）</w:t>
      </w:r>
      <w:r>
        <w:rPr>
          <w:rFonts w:hint="eastAsia" w:cs="Times New Roman"/>
        </w:rPr>
        <w:t>转让</w:t>
      </w:r>
      <w:r>
        <w:rPr>
          <w:rFonts w:cs="Times New Roman"/>
        </w:rPr>
        <w:t>-</w:t>
      </w:r>
      <w:r>
        <w:rPr>
          <w:rFonts w:hint="eastAsia" w:cs="Times New Roman"/>
        </w:rPr>
        <w:t>运营</w:t>
      </w:r>
      <w:r>
        <w:rPr>
          <w:rFonts w:cs="Times New Roman"/>
        </w:rPr>
        <w:t>-</w:t>
      </w:r>
      <w:r>
        <w:rPr>
          <w:rFonts w:hint="eastAsia" w:cs="Times New Roman"/>
        </w:rPr>
        <w:t>移交（</w:t>
      </w:r>
      <w:r>
        <w:rPr>
          <w:rFonts w:cs="Times New Roman"/>
        </w:rPr>
        <w:t>Transfer-Operate-Transfer</w:t>
      </w:r>
      <w:r>
        <w:rPr>
          <w:rFonts w:hint="eastAsia" w:cs="Times New Roman"/>
        </w:rPr>
        <w:t>，简称</w:t>
      </w:r>
      <w:r>
        <w:rPr>
          <w:rFonts w:cs="Times New Roman"/>
        </w:rPr>
        <w:t>TOT</w:t>
      </w:r>
      <w:r>
        <w:rPr>
          <w:rFonts w:hint="eastAsia" w:cs="Times New Roman"/>
        </w:rPr>
        <w:t>），是指政府将存量资产所有权有偿转让给社会资本或项目公司，并由其负责运营、维护和用户服务，合同期满后资产及其所有权等移交给政府的项目运作方式。合同期限一般为</w:t>
      </w:r>
      <w:r>
        <w:rPr>
          <w:rFonts w:cs="Times New Roman"/>
        </w:rPr>
        <w:t>20-30</w:t>
      </w:r>
      <w:r>
        <w:rPr>
          <w:rFonts w:hint="eastAsia" w:cs="Times New Roman"/>
        </w:rPr>
        <w:t>年。</w:t>
      </w:r>
    </w:p>
    <w:p>
      <w:pPr>
        <w:ind w:firstLine="560"/>
        <w:rPr>
          <w:rFonts w:cs="Times New Roman"/>
        </w:rPr>
      </w:pPr>
      <w:r>
        <w:rPr>
          <w:rFonts w:hint="eastAsia" w:eastAsia="宋体" w:cs="Times New Roman"/>
        </w:rPr>
        <w:t>（</w:t>
      </w:r>
      <w:r>
        <w:rPr>
          <w:rFonts w:eastAsia="宋体" w:cs="Times New Roman"/>
        </w:rPr>
        <w:t>4</w:t>
      </w:r>
      <w:r>
        <w:rPr>
          <w:rFonts w:hint="eastAsia" w:eastAsia="宋体" w:cs="Times New Roman"/>
        </w:rPr>
        <w:t>）</w:t>
      </w:r>
      <w:r>
        <w:rPr>
          <w:rFonts w:hint="eastAsia" w:cs="Times New Roman"/>
        </w:rPr>
        <w:t>改建</w:t>
      </w:r>
      <w:r>
        <w:rPr>
          <w:rFonts w:cs="Times New Roman"/>
        </w:rPr>
        <w:t>-</w:t>
      </w:r>
      <w:r>
        <w:rPr>
          <w:rFonts w:hint="eastAsia" w:cs="Times New Roman"/>
        </w:rPr>
        <w:t>运营</w:t>
      </w:r>
      <w:r>
        <w:rPr>
          <w:rFonts w:cs="Times New Roman"/>
        </w:rPr>
        <w:t>-</w:t>
      </w:r>
      <w:r>
        <w:rPr>
          <w:rFonts w:hint="eastAsia" w:cs="Times New Roman"/>
        </w:rPr>
        <w:t>移交（</w:t>
      </w:r>
      <w:r>
        <w:rPr>
          <w:rFonts w:cs="Times New Roman"/>
        </w:rPr>
        <w:t>Rehabilitate-Operate-Transfer</w:t>
      </w:r>
      <w:r>
        <w:rPr>
          <w:rFonts w:hint="eastAsia" w:cs="Times New Roman"/>
        </w:rPr>
        <w:t>，简称</w:t>
      </w:r>
      <w:r>
        <w:rPr>
          <w:rFonts w:cs="Times New Roman"/>
        </w:rPr>
        <w:t>ROT</w:t>
      </w:r>
      <w:r>
        <w:rPr>
          <w:rFonts w:hint="eastAsia" w:cs="Times New Roman"/>
        </w:rPr>
        <w:t>），是指由社会资本或项目公司承担改建项目设计、融资、建造、运营、维护和用户服务职责，合同期满后项目资产及相关权利等移交给政府的项目运作方式。合同期限一般为</w:t>
      </w:r>
      <w:r>
        <w:rPr>
          <w:rFonts w:cs="Times New Roman"/>
        </w:rPr>
        <w:t>20-30</w:t>
      </w:r>
      <w:r>
        <w:rPr>
          <w:rFonts w:hint="eastAsia" w:cs="Times New Roman"/>
        </w:rPr>
        <w:t>年。</w:t>
      </w:r>
    </w:p>
    <w:p>
      <w:pPr>
        <w:ind w:firstLine="562"/>
        <w:rPr>
          <w:rFonts w:cs="Times New Roman"/>
          <w:b/>
        </w:rPr>
      </w:pPr>
      <w:r>
        <w:rPr>
          <w:rFonts w:hint="eastAsia" w:cs="Times New Roman"/>
          <w:b/>
        </w:rPr>
        <w:t>根据上述</w:t>
      </w:r>
      <w:r>
        <w:rPr>
          <w:rFonts w:cs="Times New Roman"/>
          <w:b/>
        </w:rPr>
        <w:t>4</w:t>
      </w:r>
      <w:r>
        <w:rPr>
          <w:rFonts w:hint="eastAsia" w:cs="Times New Roman"/>
          <w:b/>
        </w:rPr>
        <w:t>种运作方式特点，结合本项目存量部分需委托社会资本运营，资产所有权属于政府方，故存量部分选择委托运营（简称O&amp;M）。</w:t>
      </w:r>
    </w:p>
    <w:p>
      <w:pPr>
        <w:ind w:firstLine="562"/>
        <w:outlineLvl w:val="3"/>
        <w:rPr>
          <w:rFonts w:cs="Times New Roman"/>
          <w:b/>
        </w:rPr>
      </w:pPr>
      <w:r>
        <w:rPr>
          <w:rFonts w:cs="Times New Roman"/>
          <w:b/>
        </w:rPr>
        <w:t>2.</w:t>
      </w:r>
      <w:r>
        <w:rPr>
          <w:rFonts w:hint="eastAsia" w:cs="Times New Roman"/>
          <w:b/>
        </w:rPr>
        <w:t>新建部分</w:t>
      </w:r>
    </w:p>
    <w:p>
      <w:pPr>
        <w:ind w:firstLine="560"/>
        <w:rPr>
          <w:rFonts w:cs="Times New Roman"/>
        </w:rPr>
      </w:pPr>
      <w:r>
        <w:rPr>
          <w:rFonts w:hint="eastAsia" w:cs="Times New Roman"/>
        </w:rPr>
        <w:t>根据该决策树图进行分析，新建部分可选择的运作方式包括：建设</w:t>
      </w:r>
      <w:r>
        <w:rPr>
          <w:rFonts w:cs="Times New Roman"/>
        </w:rPr>
        <w:t>-</w:t>
      </w:r>
      <w:r>
        <w:rPr>
          <w:rFonts w:hint="eastAsia" w:cs="Times New Roman"/>
        </w:rPr>
        <w:t>拥有</w:t>
      </w:r>
      <w:r>
        <w:rPr>
          <w:rFonts w:cs="Times New Roman"/>
        </w:rPr>
        <w:t>-</w:t>
      </w:r>
      <w:r>
        <w:rPr>
          <w:rFonts w:hint="eastAsia" w:cs="Times New Roman"/>
        </w:rPr>
        <w:t>移交（</w:t>
      </w:r>
      <w:r>
        <w:rPr>
          <w:rFonts w:cs="Times New Roman"/>
        </w:rPr>
        <w:t>BOT</w:t>
      </w:r>
      <w:r>
        <w:rPr>
          <w:rFonts w:hint="eastAsia" w:cs="Times New Roman"/>
        </w:rPr>
        <w:t>）、建设</w:t>
      </w:r>
      <w:r>
        <w:rPr>
          <w:rFonts w:cs="Times New Roman"/>
        </w:rPr>
        <w:t>-</w:t>
      </w:r>
      <w:r>
        <w:rPr>
          <w:rFonts w:hint="eastAsia" w:cs="Times New Roman"/>
        </w:rPr>
        <w:t>拥有</w:t>
      </w:r>
      <w:r>
        <w:rPr>
          <w:rFonts w:cs="Times New Roman"/>
        </w:rPr>
        <w:t>-</w:t>
      </w:r>
      <w:r>
        <w:rPr>
          <w:rFonts w:hint="eastAsia" w:cs="Times New Roman"/>
        </w:rPr>
        <w:t>运营（</w:t>
      </w:r>
      <w:r>
        <w:rPr>
          <w:rFonts w:cs="Times New Roman"/>
        </w:rPr>
        <w:t>BOO</w:t>
      </w:r>
      <w:r>
        <w:rPr>
          <w:rFonts w:hint="eastAsia" w:cs="Times New Roman"/>
        </w:rPr>
        <w:t>）</w:t>
      </w:r>
      <w:bookmarkStart w:id="30" w:name="_Hlk100530541"/>
      <w:r>
        <w:rPr>
          <w:rFonts w:hint="eastAsia" w:cs="Times New Roman"/>
        </w:rPr>
        <w:t>和建设</w:t>
      </w:r>
      <w:r>
        <w:rPr>
          <w:rFonts w:cs="Times New Roman"/>
        </w:rPr>
        <w:t>-</w:t>
      </w:r>
      <w:r>
        <w:rPr>
          <w:rFonts w:hint="eastAsia" w:cs="Times New Roman"/>
        </w:rPr>
        <w:t>拥有</w:t>
      </w:r>
      <w:r>
        <w:rPr>
          <w:rFonts w:cs="Times New Roman"/>
        </w:rPr>
        <w:t>-</w:t>
      </w:r>
      <w:r>
        <w:rPr>
          <w:rFonts w:hint="eastAsia" w:cs="Times New Roman"/>
        </w:rPr>
        <w:t>运营</w:t>
      </w:r>
      <w:r>
        <w:rPr>
          <w:rFonts w:cs="Times New Roman"/>
        </w:rPr>
        <w:t>-</w:t>
      </w:r>
      <w:r>
        <w:rPr>
          <w:rFonts w:hint="eastAsia" w:cs="Times New Roman"/>
        </w:rPr>
        <w:t>移交（</w:t>
      </w:r>
      <w:r>
        <w:rPr>
          <w:rFonts w:cs="Times New Roman"/>
        </w:rPr>
        <w:t>BOOT</w:t>
      </w:r>
      <w:r>
        <w:rPr>
          <w:rFonts w:hint="eastAsia" w:cs="Times New Roman"/>
        </w:rPr>
        <w:t>）</w:t>
      </w:r>
      <w:bookmarkEnd w:id="30"/>
      <w:r>
        <w:rPr>
          <w:rFonts w:hint="eastAsia" w:cs="Times New Roman"/>
        </w:rPr>
        <w:t>。这</w:t>
      </w:r>
      <w:r>
        <w:rPr>
          <w:rFonts w:cs="Times New Roman"/>
        </w:rPr>
        <w:t>3</w:t>
      </w:r>
      <w:r>
        <w:rPr>
          <w:rFonts w:hint="eastAsia" w:cs="Times New Roman"/>
        </w:rPr>
        <w:t>种运作方式的主要特点如下：</w:t>
      </w:r>
    </w:p>
    <w:p>
      <w:pPr>
        <w:ind w:firstLine="560"/>
        <w:rPr>
          <w:rFonts w:cs="Times New Roman"/>
        </w:rPr>
      </w:pPr>
      <w:r>
        <w:rPr>
          <w:rFonts w:hint="eastAsia" w:eastAsia="宋体" w:cs="Times New Roman"/>
        </w:rPr>
        <w:t>（</w:t>
      </w:r>
      <w:r>
        <w:rPr>
          <w:rFonts w:eastAsia="宋体" w:cs="Times New Roman"/>
        </w:rPr>
        <w:t>1</w:t>
      </w:r>
      <w:r>
        <w:rPr>
          <w:rFonts w:hint="eastAsia" w:eastAsia="宋体" w:cs="Times New Roman"/>
        </w:rPr>
        <w:t>）</w:t>
      </w:r>
      <w:r>
        <w:rPr>
          <w:rFonts w:hint="eastAsia" w:cs="Times New Roman"/>
        </w:rPr>
        <w:t>建设</w:t>
      </w:r>
      <w:r>
        <w:rPr>
          <w:rFonts w:cs="Times New Roman"/>
        </w:rPr>
        <w:t>-</w:t>
      </w:r>
      <w:r>
        <w:rPr>
          <w:rFonts w:hint="eastAsia" w:cs="Times New Roman"/>
        </w:rPr>
        <w:t>运营</w:t>
      </w:r>
      <w:r>
        <w:rPr>
          <w:rFonts w:cs="Times New Roman"/>
        </w:rPr>
        <w:t>-</w:t>
      </w:r>
      <w:r>
        <w:rPr>
          <w:rFonts w:hint="eastAsia" w:cs="Times New Roman"/>
        </w:rPr>
        <w:t>移交（</w:t>
      </w:r>
      <w:r>
        <w:rPr>
          <w:rFonts w:cs="Times New Roman"/>
        </w:rPr>
        <w:t>Build-Operate-Transfer</w:t>
      </w:r>
      <w:r>
        <w:rPr>
          <w:rFonts w:hint="eastAsia" w:cs="Times New Roman"/>
        </w:rPr>
        <w:t>，</w:t>
      </w:r>
      <w:r>
        <w:rPr>
          <w:rFonts w:cs="Times New Roman"/>
        </w:rPr>
        <w:t>BOT</w:t>
      </w:r>
      <w:r>
        <w:rPr>
          <w:rFonts w:hint="eastAsia" w:cs="Times New Roman"/>
        </w:rPr>
        <w:t>），是指由社会资本或项目公司承担新建项目设计、融资、建造、运营、维护和用户服务职责，合同期满后项目资产及相关权利等移交给政府的项目运作方式。</w:t>
      </w:r>
    </w:p>
    <w:p>
      <w:pPr>
        <w:ind w:firstLine="560"/>
        <w:rPr>
          <w:rFonts w:cs="Times New Roman"/>
        </w:rPr>
      </w:pPr>
      <w:r>
        <w:rPr>
          <w:rFonts w:hint="eastAsia" w:eastAsia="宋体" w:cs="Times New Roman"/>
        </w:rPr>
        <w:t>（</w:t>
      </w:r>
      <w:r>
        <w:rPr>
          <w:rFonts w:eastAsia="宋体" w:cs="Times New Roman"/>
        </w:rPr>
        <w:t>2</w:t>
      </w:r>
      <w:r>
        <w:rPr>
          <w:rFonts w:hint="eastAsia" w:eastAsia="宋体" w:cs="Times New Roman"/>
        </w:rPr>
        <w:t>）</w:t>
      </w:r>
      <w:r>
        <w:rPr>
          <w:rFonts w:hint="eastAsia" w:cs="Times New Roman"/>
        </w:rPr>
        <w:t>建设</w:t>
      </w:r>
      <w:r>
        <w:rPr>
          <w:rFonts w:cs="Times New Roman"/>
        </w:rPr>
        <w:t>-</w:t>
      </w:r>
      <w:r>
        <w:rPr>
          <w:rFonts w:hint="eastAsia" w:cs="Times New Roman"/>
        </w:rPr>
        <w:t>拥有</w:t>
      </w:r>
      <w:r>
        <w:rPr>
          <w:rFonts w:cs="Times New Roman"/>
        </w:rPr>
        <w:t>-</w:t>
      </w:r>
      <w:r>
        <w:rPr>
          <w:rFonts w:hint="eastAsia" w:cs="Times New Roman"/>
        </w:rPr>
        <w:t>运营（</w:t>
      </w:r>
      <w:r>
        <w:rPr>
          <w:rFonts w:cs="Times New Roman"/>
        </w:rPr>
        <w:t>Build-Own-Operate</w:t>
      </w:r>
      <w:r>
        <w:rPr>
          <w:rFonts w:hint="eastAsia" w:cs="Times New Roman"/>
        </w:rPr>
        <w:t>，</w:t>
      </w:r>
      <w:r>
        <w:rPr>
          <w:rFonts w:cs="Times New Roman"/>
        </w:rPr>
        <w:t>BOO</w:t>
      </w:r>
      <w:r>
        <w:rPr>
          <w:rFonts w:hint="eastAsia" w:cs="Times New Roman"/>
        </w:rPr>
        <w:t>），由</w:t>
      </w:r>
      <w:r>
        <w:rPr>
          <w:rFonts w:cs="Times New Roman"/>
        </w:rPr>
        <w:t>BOT</w:t>
      </w:r>
      <w:r>
        <w:rPr>
          <w:rFonts w:hint="eastAsia" w:cs="Times New Roman"/>
        </w:rPr>
        <w:t>方式演变而来，二者区别主要是</w:t>
      </w:r>
      <w:r>
        <w:rPr>
          <w:rFonts w:cs="Times New Roman"/>
        </w:rPr>
        <w:t>BOO</w:t>
      </w:r>
      <w:r>
        <w:rPr>
          <w:rFonts w:hint="eastAsia" w:cs="Times New Roman"/>
        </w:rPr>
        <w:t>方式下社会资本或项目公司拥有项目所有权，但必须在合同中注明保证公益性的约束条款，一般不涉及项目期满移交。</w:t>
      </w:r>
    </w:p>
    <w:p>
      <w:pPr>
        <w:ind w:firstLine="560"/>
        <w:rPr>
          <w:rFonts w:cs="Times New Roman"/>
        </w:rPr>
      </w:pPr>
      <w:r>
        <w:rPr>
          <w:rFonts w:hint="eastAsia" w:eastAsia="宋体" w:cs="Times New Roman"/>
        </w:rPr>
        <w:t>（</w:t>
      </w:r>
      <w:r>
        <w:rPr>
          <w:rFonts w:eastAsia="宋体" w:cs="Times New Roman"/>
        </w:rPr>
        <w:t>3</w:t>
      </w:r>
      <w:r>
        <w:rPr>
          <w:rFonts w:hint="eastAsia" w:eastAsia="宋体" w:cs="Times New Roman"/>
        </w:rPr>
        <w:t>）</w:t>
      </w:r>
      <w:r>
        <w:rPr>
          <w:rFonts w:hint="eastAsia" w:cs="Times New Roman"/>
        </w:rPr>
        <w:t>建设-拥有</w:t>
      </w:r>
      <w:r>
        <w:rPr>
          <w:rFonts w:cs="Times New Roman"/>
        </w:rPr>
        <w:t>-</w:t>
      </w:r>
      <w:r>
        <w:rPr>
          <w:rFonts w:hint="eastAsia" w:cs="Times New Roman"/>
        </w:rPr>
        <w:t>运营</w:t>
      </w:r>
      <w:r>
        <w:rPr>
          <w:rFonts w:cs="Times New Roman"/>
        </w:rPr>
        <w:t>-</w:t>
      </w:r>
      <w:r>
        <w:rPr>
          <w:rFonts w:hint="eastAsia" w:cs="Times New Roman"/>
        </w:rPr>
        <w:t>移交（</w:t>
      </w:r>
      <w:r>
        <w:rPr>
          <w:rFonts w:cs="Times New Roman"/>
        </w:rPr>
        <w:t>Build-Own-Operate-Transfer</w:t>
      </w:r>
      <w:r>
        <w:rPr>
          <w:rFonts w:hint="eastAsia" w:cs="Times New Roman"/>
        </w:rPr>
        <w:t>，</w:t>
      </w:r>
      <w:r>
        <w:rPr>
          <w:rFonts w:cs="Times New Roman"/>
        </w:rPr>
        <w:t>BOOT</w:t>
      </w:r>
      <w:r>
        <w:rPr>
          <w:rFonts w:hint="eastAsia" w:cs="Times New Roman"/>
        </w:rPr>
        <w:t>），属于</w:t>
      </w:r>
      <w:r>
        <w:rPr>
          <w:rFonts w:cs="Times New Roman"/>
        </w:rPr>
        <w:t>BOT</w:t>
      </w:r>
      <w:r>
        <w:rPr>
          <w:rFonts w:hint="eastAsia" w:cs="Times New Roman"/>
        </w:rPr>
        <w:t>的一种基本形式，但是存在着区别。一是所有权的区别，</w:t>
      </w:r>
      <w:r>
        <w:rPr>
          <w:rFonts w:cs="Times New Roman"/>
        </w:rPr>
        <w:t>BOT</w:t>
      </w:r>
      <w:r>
        <w:rPr>
          <w:rFonts w:hint="eastAsia" w:cs="Times New Roman"/>
        </w:rPr>
        <w:t>方式，项目建成后，社会资本只拥有所建成项目的经营权；而</w:t>
      </w:r>
      <w:r>
        <w:rPr>
          <w:rFonts w:cs="Times New Roman"/>
        </w:rPr>
        <w:t>BOOT</w:t>
      </w:r>
      <w:r>
        <w:rPr>
          <w:rFonts w:hint="eastAsia" w:cs="Times New Roman"/>
        </w:rPr>
        <w:t>方式，在项目建成后，在规定的期限内，社会资本既有经营权，也有所有权。二是时间上的差别，采取</w:t>
      </w:r>
      <w:r>
        <w:rPr>
          <w:rFonts w:cs="Times New Roman"/>
        </w:rPr>
        <w:t>BOT</w:t>
      </w:r>
      <w:r>
        <w:rPr>
          <w:rFonts w:hint="eastAsia" w:cs="Times New Roman"/>
        </w:rPr>
        <w:t>方式，从项目建成到移交给政府这一段时间一般比采取</w:t>
      </w:r>
      <w:r>
        <w:rPr>
          <w:rFonts w:cs="Times New Roman"/>
        </w:rPr>
        <w:t>BOOT</w:t>
      </w:r>
      <w:r>
        <w:rPr>
          <w:rFonts w:hint="eastAsia" w:cs="Times New Roman"/>
        </w:rPr>
        <w:t>方式短一些。</w:t>
      </w:r>
    </w:p>
    <w:p>
      <w:pPr>
        <w:ind w:firstLine="560"/>
        <w:rPr>
          <w:rFonts w:cs="Times New Roman"/>
        </w:rPr>
      </w:pPr>
      <w:r>
        <w:rPr>
          <w:rFonts w:hint="eastAsia" w:cs="Times New Roman"/>
        </w:rPr>
        <w:t>根据上述</w:t>
      </w:r>
      <w:r>
        <w:rPr>
          <w:rFonts w:cs="Times New Roman"/>
        </w:rPr>
        <w:t>3</w:t>
      </w:r>
      <w:r>
        <w:rPr>
          <w:rFonts w:hint="eastAsia" w:cs="Times New Roman"/>
        </w:rPr>
        <w:t>种运作方式特点，对于新建项目的所有权是否属于社会资本方是进一步确定本项目新建部分运作方式的关键。本项目新建部分合作范围涵盖项目全生命周期的投融资、建设、运营维护和移交等内容，且与农业供水保障密切相关。为保证公共性和公益性的实现，避免政府投入形成的资产与社会资本投入形成的资产界限不清造成纠纷，确保项目运作依法合规，实现中央和自治区级投资补助资金形成的资产权属清晰，项目整体协调推进平稳，项目资产权属应归于政府，项目运作期满后项目资产无偿移交给项目的实施机构或其指定机构。因此，新建部分由社会资本方负责投融资、建设、运营维护和移交工作，应选择的运作方式为建设</w:t>
      </w:r>
      <w:r>
        <w:rPr>
          <w:rFonts w:cs="Times New Roman"/>
        </w:rPr>
        <w:t>-</w:t>
      </w:r>
      <w:r>
        <w:rPr>
          <w:rFonts w:hint="eastAsia" w:cs="Times New Roman"/>
        </w:rPr>
        <w:t>运营</w:t>
      </w:r>
      <w:r>
        <w:rPr>
          <w:rFonts w:cs="Times New Roman"/>
        </w:rPr>
        <w:t>-</w:t>
      </w:r>
      <w:r>
        <w:rPr>
          <w:rFonts w:hint="eastAsia" w:cs="Times New Roman"/>
        </w:rPr>
        <w:t>移交（</w:t>
      </w:r>
      <w:r>
        <w:rPr>
          <w:rFonts w:cs="Times New Roman"/>
        </w:rPr>
        <w:t>BOT</w:t>
      </w:r>
      <w:r>
        <w:rPr>
          <w:rFonts w:hint="eastAsia" w:cs="Times New Roman"/>
        </w:rPr>
        <w:t>）。</w:t>
      </w:r>
    </w:p>
    <w:p>
      <w:pPr>
        <w:ind w:firstLine="560"/>
        <w:rPr>
          <w:rFonts w:cs="Times New Roman"/>
        </w:rPr>
      </w:pPr>
      <w:r>
        <w:rPr>
          <w:rFonts w:hint="eastAsia" w:cs="Times New Roman"/>
        </w:rPr>
        <w:t>综上所述，综合考虑项目合作范围、资产权属等情况，本阶段项目运作方式暂推荐采用</w:t>
      </w:r>
      <w:r>
        <w:rPr>
          <w:rFonts w:hint="eastAsia" w:cs="Times New Roman"/>
          <w:b/>
          <w:bCs/>
        </w:rPr>
        <w:t>“委托运营（O&amp;M）+建设-运营-移交（BOT）”（</w:t>
      </w:r>
      <w:r>
        <w:rPr>
          <w:rFonts w:cs="Times New Roman"/>
          <w:b/>
          <w:bCs/>
        </w:rPr>
        <w:t>以下简称“项目模式”</w:t>
      </w:r>
      <w:r>
        <w:rPr>
          <w:rFonts w:cs="Times New Roman"/>
        </w:rPr>
        <w:t>）</w:t>
      </w:r>
      <w:r>
        <w:rPr>
          <w:rFonts w:hint="eastAsia" w:cs="Times New Roman"/>
        </w:rPr>
        <w:t>。即社会资本负责本项目新建项目的投融资和建设，以及存量项目和新建项目的运营，运营期内社会资本方通过使用者付费（主要为农作物灌溉水费收入）来收回投资、建设以及运营成本并获取合理回报。经营期届满时，社会资本方将本项目所有设施无偿、完好地、无负债、不设定担保地移交给政府方或其指定机构。</w:t>
      </w:r>
    </w:p>
    <w:bookmarkEnd w:id="29"/>
    <w:p>
      <w:pPr>
        <w:keepNext/>
        <w:keepLines/>
        <w:spacing w:before="120" w:after="120"/>
        <w:ind w:firstLine="643" w:firstLineChars="0"/>
        <w:outlineLvl w:val="1"/>
        <w:rPr>
          <w:rFonts w:cs="Times New Roman"/>
          <w:b/>
          <w:bCs/>
          <w:sz w:val="32"/>
          <w:szCs w:val="32"/>
        </w:rPr>
      </w:pPr>
      <w:bookmarkStart w:id="31" w:name="_Toc148432357"/>
      <w:bookmarkStart w:id="32" w:name="_Hlk99549867"/>
      <w:r>
        <w:rPr>
          <w:rFonts w:hint="eastAsia" w:cs="Times New Roman"/>
          <w:b/>
          <w:bCs/>
          <w:sz w:val="32"/>
          <w:szCs w:val="32"/>
        </w:rPr>
        <w:t>三、项目交易结构</w:t>
      </w:r>
      <w:bookmarkEnd w:id="31"/>
    </w:p>
    <w:p>
      <w:pPr>
        <w:keepNext/>
        <w:keepLines/>
        <w:spacing w:before="120" w:after="120"/>
        <w:ind w:firstLine="562"/>
        <w:outlineLvl w:val="2"/>
        <w:rPr>
          <w:rFonts w:cs="Times New Roman"/>
          <w:b/>
          <w:bCs/>
          <w:szCs w:val="32"/>
        </w:rPr>
      </w:pPr>
      <w:r>
        <w:rPr>
          <w:rFonts w:hint="eastAsia" w:cs="Times New Roman"/>
          <w:b/>
          <w:bCs/>
          <w:szCs w:val="32"/>
        </w:rPr>
        <w:t>（一）交易结构图及论述</w:t>
      </w:r>
    </w:p>
    <w:p>
      <w:pPr>
        <w:spacing w:line="240" w:lineRule="auto"/>
        <w:ind w:firstLine="0" w:firstLineChars="0"/>
        <w:jc w:val="center"/>
        <w:rPr>
          <w:rFonts w:cs="Times New Roman"/>
        </w:rPr>
      </w:pPr>
      <w:r>
        <w:rPr>
          <w:rFonts w:hint="eastAsia"/>
          <w:kern w:val="0"/>
        </w:rPr>
        <mc:AlternateContent>
          <mc:Choice Requires="wpc">
            <w:drawing>
              <wp:inline distT="0" distB="0" distL="0" distR="0">
                <wp:extent cx="5605780" cy="3790950"/>
                <wp:effectExtent l="0" t="0" r="0" b="0"/>
                <wp:docPr id="67" name="画布 67"/>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wps:wsp>
                        <wps:cNvPr id="58" name="文本框 6"/>
                        <wps:cNvSpPr txBox="1"/>
                        <wps:spPr>
                          <a:xfrm>
                            <a:off x="1948774" y="1009270"/>
                            <a:ext cx="638810" cy="221662"/>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27"/>
                                <w:spacing w:before="0" w:beforeAutospacing="0" w:after="0" w:afterAutospacing="0"/>
                                <w:ind w:firstLine="0" w:firstLineChars="0"/>
                                <w:rPr>
                                  <w:sz w:val="24"/>
                                  <w:szCs w:val="24"/>
                                </w:rPr>
                              </w:pPr>
                              <w:r>
                                <w:rPr>
                                  <w:rFonts w:hint="eastAsia" w:ascii="Times New Roman" w:hAnsi="仿宋"/>
                                  <w:sz w:val="20"/>
                                  <w:szCs w:val="20"/>
                                </w:rPr>
                                <w:t>采购</w:t>
                              </w:r>
                            </w:p>
                          </w:txbxContent>
                        </wps:txbx>
                        <wps:bodyPr rot="0" spcFirstLastPara="0" vert="horz" wrap="square" lIns="0" tIns="0" rIns="0" bIns="0" numCol="1" spcCol="0" rtlCol="0" fromWordArt="0" anchor="ctr" anchorCtr="0" forceAA="0" compatLnSpc="1">
                          <a:noAutofit/>
                        </wps:bodyPr>
                      </wps:wsp>
                      <wps:wsp>
                        <wps:cNvPr id="14" name="文本框 6"/>
                        <wps:cNvSpPr txBox="1"/>
                        <wps:spPr>
                          <a:xfrm>
                            <a:off x="1633990" y="2601632"/>
                            <a:ext cx="1760645" cy="367782"/>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27"/>
                                <w:spacing w:before="0" w:beforeAutospacing="0" w:after="0" w:afterAutospacing="0" w:line="200" w:lineRule="exact"/>
                                <w:ind w:firstLine="0" w:firstLineChars="0"/>
                                <w:rPr>
                                  <w:rFonts w:hAnsi="仿宋"/>
                                  <w:sz w:val="20"/>
                                  <w:szCs w:val="20"/>
                                </w:rPr>
                              </w:pPr>
                              <w:r>
                                <w:rPr>
                                  <w:rFonts w:hint="eastAsia" w:hAnsi="仿宋"/>
                                  <w:sz w:val="20"/>
                                  <w:szCs w:val="20"/>
                                </w:rPr>
                                <w:t>存量</w:t>
                              </w:r>
                              <w:r>
                                <w:rPr>
                                  <w:rFonts w:hAnsi="仿宋"/>
                                  <w:sz w:val="20"/>
                                  <w:szCs w:val="20"/>
                                </w:rPr>
                                <w:t>部分：委托运营</w:t>
                              </w:r>
                              <w:r>
                                <w:rPr>
                                  <w:rFonts w:hint="eastAsia" w:hAnsi="仿宋"/>
                                  <w:sz w:val="20"/>
                                  <w:szCs w:val="20"/>
                                </w:rPr>
                                <w:t>、</w:t>
                              </w:r>
                              <w:r>
                                <w:rPr>
                                  <w:rFonts w:hAnsi="仿宋"/>
                                  <w:sz w:val="20"/>
                                  <w:szCs w:val="20"/>
                                </w:rPr>
                                <w:t>移交</w:t>
                              </w:r>
                            </w:p>
                            <w:p>
                              <w:pPr>
                                <w:pStyle w:val="27"/>
                                <w:spacing w:before="0" w:beforeAutospacing="0" w:after="0" w:afterAutospacing="0" w:line="200" w:lineRule="exact"/>
                                <w:ind w:firstLine="0" w:firstLineChars="0"/>
                                <w:rPr>
                                  <w:sz w:val="24"/>
                                  <w:szCs w:val="24"/>
                                </w:rPr>
                              </w:pPr>
                              <w:r>
                                <w:rPr>
                                  <w:rFonts w:hint="eastAsia" w:hAnsi="仿宋"/>
                                  <w:sz w:val="20"/>
                                  <w:szCs w:val="20"/>
                                </w:rPr>
                                <w:t>新建部分</w:t>
                              </w:r>
                              <w:r>
                                <w:rPr>
                                  <w:rFonts w:hAnsi="仿宋"/>
                                  <w:sz w:val="20"/>
                                  <w:szCs w:val="20"/>
                                </w:rPr>
                                <w:t>：</w:t>
                              </w:r>
                              <w:r>
                                <w:rPr>
                                  <w:rFonts w:hint="eastAsia" w:hAnsi="仿宋"/>
                                  <w:sz w:val="20"/>
                                  <w:szCs w:val="20"/>
                                </w:rPr>
                                <w:t>投资</w:t>
                              </w:r>
                              <w:r>
                                <w:rPr>
                                  <w:rFonts w:hAnsi="仿宋"/>
                                  <w:sz w:val="20"/>
                                  <w:szCs w:val="20"/>
                                </w:rPr>
                                <w:t>建设运营移交</w:t>
                              </w:r>
                            </w:p>
                          </w:txbxContent>
                        </wps:txbx>
                        <wps:bodyPr rot="0" spcFirstLastPara="0" vert="horz" wrap="square" lIns="0" tIns="0" rIns="0" bIns="0" numCol="1" spcCol="0" rtlCol="0" fromWordArt="0" anchor="ctr" anchorCtr="0" forceAA="0" compatLnSpc="1">
                          <a:noAutofit/>
                        </wps:bodyPr>
                      </wps:wsp>
                      <wps:wsp>
                        <wps:cNvPr id="26" name="文本框 6"/>
                        <wps:cNvSpPr txBox="1"/>
                        <wps:spPr>
                          <a:xfrm>
                            <a:off x="2809874" y="2084513"/>
                            <a:ext cx="771525" cy="42007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27"/>
                                <w:spacing w:before="0" w:beforeAutospacing="0" w:after="0" w:afterAutospacing="0" w:line="200" w:lineRule="exact"/>
                                <w:ind w:firstLine="0" w:firstLineChars="0"/>
                                <w:rPr>
                                  <w:sz w:val="24"/>
                                  <w:szCs w:val="24"/>
                                </w:rPr>
                              </w:pPr>
                              <w:r>
                                <w:rPr>
                                  <w:rFonts w:hint="eastAsia" w:hAnsi="仿宋"/>
                                  <w:sz w:val="20"/>
                                  <w:szCs w:val="20"/>
                                </w:rPr>
                                <w:t>根据绩效</w:t>
                              </w:r>
                              <w:r>
                                <w:rPr>
                                  <w:rFonts w:hAnsi="仿宋"/>
                                  <w:sz w:val="20"/>
                                  <w:szCs w:val="20"/>
                                </w:rPr>
                                <w:t>考核结果按效付费</w:t>
                              </w:r>
                              <w:r>
                                <w:rPr>
                                  <w:rFonts w:hint="eastAsia" w:hAnsi="仿宋"/>
                                  <w:sz w:val="20"/>
                                  <w:szCs w:val="20"/>
                                </w:rPr>
                                <w:t>（若有）</w:t>
                              </w:r>
                            </w:p>
                          </w:txbxContent>
                        </wps:txbx>
                        <wps:bodyPr rot="0" spcFirstLastPara="0" vert="horz" wrap="square" lIns="0" tIns="0" rIns="0" bIns="0" numCol="1" spcCol="0" rtlCol="0" fromWordArt="0" anchor="ctr" anchorCtr="0" forceAA="0" compatLnSpc="1">
                          <a:noAutofit/>
                        </wps:bodyPr>
                      </wps:wsp>
                      <wps:wsp>
                        <wps:cNvPr id="27" name="文本框 27"/>
                        <wps:cNvSpPr txBox="1"/>
                        <wps:spPr>
                          <a:xfrm>
                            <a:off x="1144761" y="1422988"/>
                            <a:ext cx="1026801" cy="260253"/>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27"/>
                                <w:spacing w:before="0" w:beforeAutospacing="0" w:after="0" w:afterAutospacing="0" w:line="200" w:lineRule="exact"/>
                                <w:ind w:firstLine="0" w:firstLineChars="0"/>
                                <w:rPr>
                                  <w:sz w:val="24"/>
                                  <w:szCs w:val="24"/>
                                </w:rPr>
                              </w:pPr>
                              <w:r>
                                <w:rPr>
                                  <w:rFonts w:hint="eastAsia" w:hAnsi="仿宋"/>
                                  <w:sz w:val="20"/>
                                  <w:szCs w:val="20"/>
                                </w:rPr>
                                <w:t>签订特许</w:t>
                              </w:r>
                              <w:r>
                                <w:rPr>
                                  <w:rFonts w:hAnsi="仿宋"/>
                                  <w:sz w:val="20"/>
                                  <w:szCs w:val="20"/>
                                </w:rPr>
                                <w:t>经营</w:t>
                              </w:r>
                              <w:r>
                                <w:rPr>
                                  <w:rFonts w:hint="eastAsia" w:hAnsi="仿宋"/>
                                  <w:sz w:val="20"/>
                                  <w:szCs w:val="20"/>
                                </w:rPr>
                                <w:t>协议</w:t>
                              </w:r>
                            </w:p>
                          </w:txbxContent>
                        </wps:txbx>
                        <wps:bodyPr rot="0" spcFirstLastPara="0" vert="horz" wrap="square" lIns="0" tIns="0" rIns="0" bIns="0" numCol="1" spcCol="0" rtlCol="0" fromWordArt="0" anchor="ctr" anchorCtr="0" forceAA="0" compatLnSpc="1">
                          <a:noAutofit/>
                        </wps:bodyPr>
                      </wps:wsp>
                      <wps:wsp>
                        <wps:cNvPr id="28" name="文本框 6"/>
                        <wps:cNvSpPr txBox="1"/>
                        <wps:spPr>
                          <a:xfrm>
                            <a:off x="1789285" y="584237"/>
                            <a:ext cx="647702" cy="2962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27"/>
                                <w:spacing w:before="0" w:beforeAutospacing="0" w:after="0" w:afterAutospacing="0" w:line="200" w:lineRule="exact"/>
                                <w:ind w:firstLine="0" w:firstLineChars="0"/>
                                <w:rPr>
                                  <w:sz w:val="20"/>
                                  <w:szCs w:val="20"/>
                                </w:rPr>
                              </w:pPr>
                              <w:r>
                                <w:rPr>
                                  <w:rFonts w:hint="eastAsia"/>
                                  <w:sz w:val="20"/>
                                  <w:szCs w:val="20"/>
                                </w:rPr>
                                <w:t>签订特许经营</w:t>
                              </w:r>
                              <w:r>
                                <w:rPr>
                                  <w:sz w:val="20"/>
                                  <w:szCs w:val="20"/>
                                </w:rPr>
                                <w:t>投资合同</w:t>
                              </w:r>
                            </w:p>
                          </w:txbxContent>
                        </wps:txbx>
                        <wps:bodyPr rot="0" spcFirstLastPara="0" vert="horz" wrap="square" lIns="0" tIns="0" rIns="0" bIns="0" numCol="1" spcCol="0" rtlCol="0" fromWordArt="0" anchor="ctr" anchorCtr="0" forceAA="0" compatLnSpc="1">
                          <a:noAutofit/>
                        </wps:bodyPr>
                      </wps:wsp>
                      <wps:wsp>
                        <wps:cNvPr id="29" name="文本框 6"/>
                        <wps:cNvSpPr txBox="1"/>
                        <wps:spPr>
                          <a:xfrm>
                            <a:off x="1049510" y="523803"/>
                            <a:ext cx="639150" cy="212259"/>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27"/>
                                <w:spacing w:before="0" w:beforeAutospacing="0" w:after="0" w:afterAutospacing="0"/>
                                <w:ind w:firstLine="0" w:firstLineChars="0"/>
                                <w:rPr>
                                  <w:sz w:val="20"/>
                                  <w:szCs w:val="20"/>
                                </w:rPr>
                              </w:pPr>
                              <w:r>
                                <w:rPr>
                                  <w:rFonts w:hint="eastAsia" w:ascii="Times New Roman" w:hAnsi="仿宋"/>
                                  <w:sz w:val="20"/>
                                  <w:szCs w:val="20"/>
                                </w:rPr>
                                <w:t>授权</w:t>
                              </w:r>
                            </w:p>
                          </w:txbxContent>
                        </wps:txbx>
                        <wps:bodyPr rot="0" spcFirstLastPara="0" vert="horz" wrap="square" lIns="0" tIns="0" rIns="0" bIns="0" numCol="1" spcCol="0" rtlCol="0" fromWordArt="0" anchor="ctr" anchorCtr="0" forceAA="0" compatLnSpc="1">
                          <a:noAutofit/>
                        </wps:bodyPr>
                      </wps:wsp>
                      <wps:wsp>
                        <wps:cNvPr id="30" name="文本框 30"/>
                        <wps:cNvSpPr txBox="1"/>
                        <wps:spPr>
                          <a:xfrm>
                            <a:off x="602809" y="190499"/>
                            <a:ext cx="847725" cy="3333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ind w:firstLine="0" w:firstLineChars="0"/>
                                <w:rPr>
                                  <w:rFonts w:ascii="仿宋" w:hAnsi="仿宋"/>
                                  <w:sz w:val="24"/>
                                  <w:szCs w:val="21"/>
                                </w:rPr>
                              </w:pPr>
                              <w:r>
                                <w:rPr>
                                  <w:rFonts w:hint="eastAsia" w:ascii="仿宋" w:hAnsi="仿宋"/>
                                  <w:sz w:val="24"/>
                                  <w:szCs w:val="21"/>
                                </w:rPr>
                                <w:t>县人民政府</w:t>
                              </w:r>
                            </w:p>
                          </w:txbxContent>
                        </wps:txbx>
                        <wps:bodyPr rot="0" spcFirstLastPara="0" vertOverflow="overflow" horzOverflow="overflow" vert="horz" wrap="square" lIns="0" tIns="0" rIns="0" bIns="0" numCol="1" spcCol="0" rtlCol="0" fromWordArt="0" anchor="ctr" anchorCtr="0" forceAA="0" compatLnSpc="1">
                          <a:noAutofit/>
                        </wps:bodyPr>
                      </wps:wsp>
                      <wps:wsp>
                        <wps:cNvPr id="31" name="文本框 6"/>
                        <wps:cNvSpPr txBox="1"/>
                        <wps:spPr>
                          <a:xfrm>
                            <a:off x="326586" y="761026"/>
                            <a:ext cx="1503982" cy="3294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pStyle w:val="27"/>
                                <w:spacing w:before="0" w:beforeAutospacing="0" w:after="0" w:afterAutospacing="0"/>
                                <w:ind w:firstLine="0" w:firstLineChars="0"/>
                                <w:jc w:val="center"/>
                                <w:rPr>
                                  <w:sz w:val="24"/>
                                  <w:szCs w:val="24"/>
                                </w:rPr>
                              </w:pPr>
                              <w:r>
                                <w:rPr>
                                  <w:rFonts w:hint="eastAsia" w:ascii="Times New Roman" w:hAnsi="仿宋"/>
                                  <w:kern w:val="2"/>
                                  <w:sz w:val="21"/>
                                  <w:szCs w:val="21"/>
                                </w:rPr>
                                <w:t>实施机构（农业</w:t>
                              </w:r>
                              <w:r>
                                <w:rPr>
                                  <w:rFonts w:ascii="Times New Roman" w:hAnsi="仿宋"/>
                                  <w:kern w:val="2"/>
                                  <w:sz w:val="21"/>
                                  <w:szCs w:val="21"/>
                                </w:rPr>
                                <w:t>农村局</w:t>
                              </w:r>
                              <w:r>
                                <w:rPr>
                                  <w:rFonts w:hint="eastAsia" w:ascii="Times New Roman" w:hAnsi="仿宋"/>
                                  <w:kern w:val="2"/>
                                  <w:sz w:val="21"/>
                                  <w:szCs w:val="21"/>
                                </w:rPr>
                                <w:t>）</w:t>
                              </w:r>
                            </w:p>
                          </w:txbxContent>
                        </wps:txbx>
                        <wps:bodyPr rot="0" spcFirstLastPara="0" vert="horz" wrap="square" lIns="0" tIns="0" rIns="0" bIns="0" numCol="1" spcCol="0" rtlCol="0" fromWordArt="0" anchor="ctr" anchorCtr="0" forceAA="0" compatLnSpc="1">
                          <a:noAutofit/>
                        </wps:bodyPr>
                      </wps:wsp>
                      <wps:wsp>
                        <wps:cNvPr id="32" name="文本框 6"/>
                        <wps:cNvSpPr txBox="1"/>
                        <wps:spPr>
                          <a:xfrm>
                            <a:off x="2478247" y="757070"/>
                            <a:ext cx="982050" cy="3333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pStyle w:val="27"/>
                                <w:spacing w:before="0" w:beforeAutospacing="0" w:after="0" w:afterAutospacing="0"/>
                                <w:ind w:firstLine="0" w:firstLineChars="0"/>
                                <w:jc w:val="center"/>
                                <w:rPr>
                                  <w:sz w:val="24"/>
                                  <w:szCs w:val="24"/>
                                </w:rPr>
                              </w:pPr>
                              <w:r>
                                <w:rPr>
                                  <w:rFonts w:hint="eastAsia" w:ascii="Times New Roman" w:hAnsi="仿宋"/>
                                  <w:kern w:val="2"/>
                                  <w:sz w:val="21"/>
                                  <w:szCs w:val="21"/>
                                </w:rPr>
                                <w:t>中标社会</w:t>
                              </w:r>
                              <w:r>
                                <w:rPr>
                                  <w:rFonts w:ascii="Times New Roman" w:hAnsi="仿宋"/>
                                  <w:kern w:val="2"/>
                                  <w:sz w:val="21"/>
                                  <w:szCs w:val="21"/>
                                </w:rPr>
                                <w:t>资本方</w:t>
                              </w:r>
                            </w:p>
                          </w:txbxContent>
                        </wps:txbx>
                        <wps:bodyPr rot="0" spcFirstLastPara="0" vert="horz" wrap="square" lIns="0" tIns="0" rIns="0" bIns="0" numCol="1" spcCol="0" rtlCol="0" fromWordArt="0" anchor="ctr" anchorCtr="0" forceAA="0" compatLnSpc="1">
                          <a:noAutofit/>
                        </wps:bodyPr>
                      </wps:wsp>
                      <wps:wsp>
                        <wps:cNvPr id="34" name="文本框 6"/>
                        <wps:cNvSpPr txBox="1"/>
                        <wps:spPr>
                          <a:xfrm>
                            <a:off x="4660460" y="1494450"/>
                            <a:ext cx="713400" cy="3333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pStyle w:val="27"/>
                                <w:spacing w:before="0" w:beforeAutospacing="0" w:after="0" w:afterAutospacing="0"/>
                                <w:ind w:firstLine="0" w:firstLineChars="0"/>
                                <w:jc w:val="center"/>
                                <w:rPr>
                                  <w:sz w:val="24"/>
                                  <w:szCs w:val="24"/>
                                </w:rPr>
                              </w:pPr>
                              <w:r>
                                <w:rPr>
                                  <w:rFonts w:hint="eastAsia" w:ascii="Times New Roman" w:hAnsi="仿宋"/>
                                  <w:kern w:val="2"/>
                                  <w:sz w:val="21"/>
                                  <w:szCs w:val="21"/>
                                </w:rPr>
                                <w:t>指定机构</w:t>
                              </w:r>
                            </w:p>
                          </w:txbxContent>
                        </wps:txbx>
                        <wps:bodyPr rot="0" spcFirstLastPara="0" vert="horz" wrap="square" lIns="0" tIns="0" rIns="0" bIns="0" numCol="1" spcCol="0" rtlCol="0" fromWordArt="0" anchor="ctr" anchorCtr="0" forceAA="0" compatLnSpc="1">
                          <a:noAutofit/>
                        </wps:bodyPr>
                      </wps:wsp>
                      <wps:wsp>
                        <wps:cNvPr id="35" name="文本框 6"/>
                        <wps:cNvSpPr txBox="1"/>
                        <wps:spPr>
                          <a:xfrm>
                            <a:off x="1725785" y="2161200"/>
                            <a:ext cx="1019175" cy="4105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pStyle w:val="27"/>
                                <w:spacing w:before="0" w:beforeAutospacing="0" w:after="0" w:afterAutospacing="0"/>
                                <w:ind w:firstLine="0" w:firstLineChars="0"/>
                                <w:jc w:val="center"/>
                                <w:rPr>
                                  <w:sz w:val="24"/>
                                </w:rPr>
                              </w:pPr>
                              <w:r>
                                <w:rPr>
                                  <w:rFonts w:hint="eastAsia" w:ascii="Times New Roman" w:hAnsi="仿宋"/>
                                  <w:kern w:val="2"/>
                                  <w:sz w:val="24"/>
                                </w:rPr>
                                <w:t>项目公司</w:t>
                              </w:r>
                            </w:p>
                          </w:txbxContent>
                        </wps:txbx>
                        <wps:bodyPr rot="0" spcFirstLastPara="0" vert="horz" wrap="square" lIns="0" tIns="0" rIns="0" bIns="0" numCol="1" spcCol="0" rtlCol="0" fromWordArt="0" anchor="ctr" anchorCtr="0" forceAA="0" compatLnSpc="1">
                          <a:noAutofit/>
                        </wps:bodyPr>
                      </wps:wsp>
                      <wps:wsp>
                        <wps:cNvPr id="36" name="文本框 6"/>
                        <wps:cNvSpPr txBox="1"/>
                        <wps:spPr>
                          <a:xfrm>
                            <a:off x="3621261" y="2113576"/>
                            <a:ext cx="810600" cy="2581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pStyle w:val="27"/>
                                <w:spacing w:before="0" w:beforeAutospacing="0" w:after="0" w:afterAutospacing="0"/>
                                <w:ind w:firstLine="0" w:firstLineChars="0"/>
                                <w:jc w:val="center"/>
                                <w:rPr>
                                  <w:sz w:val="24"/>
                                  <w:szCs w:val="24"/>
                                </w:rPr>
                              </w:pPr>
                              <w:r>
                                <w:rPr>
                                  <w:rFonts w:hint="eastAsia" w:ascii="Times New Roman" w:hAnsi="仿宋"/>
                                  <w:kern w:val="2"/>
                                  <w:sz w:val="21"/>
                                  <w:szCs w:val="21"/>
                                </w:rPr>
                                <w:t>财政局</w:t>
                              </w:r>
                            </w:p>
                          </w:txbxContent>
                        </wps:txbx>
                        <wps:bodyPr rot="0" spcFirstLastPara="0" vert="horz" wrap="square" lIns="0" tIns="0" rIns="0" bIns="0" numCol="1" spcCol="0" rtlCol="0" fromWordArt="0" anchor="ctr" anchorCtr="0" forceAA="0" compatLnSpc="1">
                          <a:noAutofit/>
                        </wps:bodyPr>
                      </wps:wsp>
                      <wps:wsp>
                        <wps:cNvPr id="38" name="文本框 6"/>
                        <wps:cNvSpPr txBox="1"/>
                        <wps:spPr>
                          <a:xfrm>
                            <a:off x="1658993" y="2999400"/>
                            <a:ext cx="1221665" cy="6582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pStyle w:val="27"/>
                                <w:spacing w:before="0" w:beforeAutospacing="0" w:after="0" w:afterAutospacing="0" w:line="240" w:lineRule="exact"/>
                                <w:ind w:firstLine="0" w:firstLineChars="0"/>
                                <w:jc w:val="center"/>
                                <w:rPr>
                                  <w:sz w:val="24"/>
                                  <w:szCs w:val="24"/>
                                </w:rPr>
                              </w:pPr>
                              <w:r>
                                <w:rPr>
                                  <w:rFonts w:hint="eastAsia"/>
                                  <w:sz w:val="20"/>
                                  <w:szCs w:val="20"/>
                                </w:rPr>
                                <w:t>同心县高标准农田及现代化高效节水灌区</w:t>
                              </w:r>
                              <w:r>
                                <w:rPr>
                                  <w:sz w:val="20"/>
                                  <w:szCs w:val="20"/>
                                </w:rPr>
                                <w:t>建设</w:t>
                              </w:r>
                              <w:r>
                                <w:rPr>
                                  <w:rFonts w:hint="eastAsia"/>
                                  <w:sz w:val="20"/>
                                  <w:szCs w:val="20"/>
                                </w:rPr>
                                <w:t>特许经营项目</w:t>
                              </w:r>
                            </w:p>
                          </w:txbxContent>
                        </wps:txbx>
                        <wps:bodyPr rot="0" spcFirstLastPara="0" vert="horz" wrap="square" lIns="0" tIns="0" rIns="0" bIns="0" numCol="1" spcCol="0" rtlCol="0" fromWordArt="0" anchor="ctr" anchorCtr="0" forceAA="0" compatLnSpc="1">
                          <a:noAutofit/>
                        </wps:bodyPr>
                      </wps:wsp>
                      <wps:wsp>
                        <wps:cNvPr id="39" name="文本框 6"/>
                        <wps:cNvSpPr txBox="1"/>
                        <wps:spPr>
                          <a:xfrm>
                            <a:off x="326585" y="3132750"/>
                            <a:ext cx="752476" cy="3333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pStyle w:val="27"/>
                                <w:spacing w:before="0" w:beforeAutospacing="0" w:after="0" w:afterAutospacing="0"/>
                                <w:ind w:firstLine="0" w:firstLineChars="0"/>
                                <w:jc w:val="center"/>
                                <w:rPr>
                                  <w:sz w:val="24"/>
                                  <w:szCs w:val="24"/>
                                </w:rPr>
                              </w:pPr>
                              <w:r>
                                <w:rPr>
                                  <w:rFonts w:hint="eastAsia" w:ascii="Times New Roman" w:hAnsi="仿宋"/>
                                  <w:kern w:val="2"/>
                                  <w:sz w:val="21"/>
                                  <w:szCs w:val="21"/>
                                </w:rPr>
                                <w:t>社会公众</w:t>
                              </w:r>
                            </w:p>
                          </w:txbxContent>
                        </wps:txbx>
                        <wps:bodyPr rot="0" spcFirstLastPara="0" vert="horz" wrap="square" lIns="0" tIns="0" rIns="0" bIns="0" numCol="1" spcCol="0" rtlCol="0" fromWordArt="0" anchor="ctr" anchorCtr="0" forceAA="0" compatLnSpc="1">
                          <a:noAutofit/>
                        </wps:bodyPr>
                      </wps:wsp>
                      <wps:wsp>
                        <wps:cNvPr id="40" name="文本框 6"/>
                        <wps:cNvSpPr txBox="1"/>
                        <wps:spPr>
                          <a:xfrm>
                            <a:off x="3964160" y="3168606"/>
                            <a:ext cx="1019175" cy="3333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pStyle w:val="27"/>
                                <w:spacing w:before="0" w:beforeAutospacing="0" w:after="0" w:afterAutospacing="0"/>
                                <w:ind w:firstLine="0" w:firstLineChars="0"/>
                                <w:jc w:val="center"/>
                                <w:rPr>
                                  <w:sz w:val="24"/>
                                  <w:szCs w:val="24"/>
                                </w:rPr>
                              </w:pPr>
                              <w:r>
                                <w:rPr>
                                  <w:rFonts w:hint="eastAsia" w:ascii="Times New Roman" w:hAnsi="仿宋"/>
                                  <w:kern w:val="2"/>
                                  <w:sz w:val="21"/>
                                  <w:szCs w:val="21"/>
                                </w:rPr>
                                <w:t>相关政府</w:t>
                              </w:r>
                              <w:r>
                                <w:rPr>
                                  <w:rFonts w:ascii="Times New Roman" w:hAnsi="仿宋"/>
                                  <w:kern w:val="2"/>
                                  <w:sz w:val="21"/>
                                  <w:szCs w:val="21"/>
                                </w:rPr>
                                <w:t>部门</w:t>
                              </w:r>
                            </w:p>
                          </w:txbxContent>
                        </wps:txbx>
                        <wps:bodyPr rot="0" spcFirstLastPara="0" vert="horz" wrap="square" lIns="0" tIns="0" rIns="0" bIns="0" numCol="1" spcCol="0" rtlCol="0" fromWordArt="0" anchor="ctr" anchorCtr="0" forceAA="0" compatLnSpc="1">
                          <a:noAutofit/>
                        </wps:bodyPr>
                      </wps:wsp>
                      <wps:wsp>
                        <wps:cNvPr id="41" name="直接箭头连接符 41"/>
                        <wps:cNvCnPr/>
                        <wps:spPr>
                          <a:xfrm>
                            <a:off x="1026672" y="523874"/>
                            <a:ext cx="1" cy="237151"/>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43" name="肘形连接符 43"/>
                        <wps:cNvCnPr/>
                        <wps:spPr>
                          <a:xfrm>
                            <a:off x="1450534" y="228600"/>
                            <a:ext cx="3566626" cy="1265850"/>
                          </a:xfrm>
                          <a:prstGeom prst="bentConnector2">
                            <a:avLst/>
                          </a:prstGeom>
                          <a:ln>
                            <a:tailEnd type="triangle"/>
                          </a:ln>
                        </wps:spPr>
                        <wps:style>
                          <a:lnRef idx="1">
                            <a:schemeClr val="dk1"/>
                          </a:lnRef>
                          <a:fillRef idx="0">
                            <a:schemeClr val="dk1"/>
                          </a:fillRef>
                          <a:effectRef idx="0">
                            <a:schemeClr val="dk1"/>
                          </a:effectRef>
                          <a:fontRef idx="minor">
                            <a:schemeClr val="tx1"/>
                          </a:fontRef>
                        </wps:style>
                        <wps:bodyPr/>
                      </wps:wsp>
                      <wps:wsp>
                        <wps:cNvPr id="44" name="肘形连接符 44"/>
                        <wps:cNvCnPr>
                          <a:stCxn id="36" idx="3"/>
                        </wps:cNvCnPr>
                        <wps:spPr>
                          <a:xfrm flipH="1" flipV="1">
                            <a:off x="1450534" y="357159"/>
                            <a:ext cx="2981327" cy="1885318"/>
                          </a:xfrm>
                          <a:prstGeom prst="bentConnector3">
                            <a:avLst>
                              <a:gd name="adj1" fmla="val -5751"/>
                            </a:avLst>
                          </a:prstGeom>
                          <a:ln>
                            <a:tailEnd type="triangle"/>
                          </a:ln>
                        </wps:spPr>
                        <wps:style>
                          <a:lnRef idx="1">
                            <a:schemeClr val="dk1"/>
                          </a:lnRef>
                          <a:fillRef idx="0">
                            <a:schemeClr val="dk1"/>
                          </a:fillRef>
                          <a:effectRef idx="0">
                            <a:schemeClr val="dk1"/>
                          </a:effectRef>
                          <a:fontRef idx="minor">
                            <a:schemeClr val="tx1"/>
                          </a:fontRef>
                        </wps:style>
                        <wps:bodyPr/>
                      </wps:wsp>
                      <wps:wsp>
                        <wps:cNvPr id="46" name="直接箭头连接符 46"/>
                        <wps:cNvCnPr/>
                        <wps:spPr>
                          <a:xfrm flipH="1">
                            <a:off x="1806292" y="911382"/>
                            <a:ext cx="655555" cy="0"/>
                          </a:xfrm>
                          <a:prstGeom prst="straightConnector1">
                            <a:avLst/>
                          </a:prstGeom>
                          <a:ln>
                            <a:headEnd type="triangle"/>
                            <a:tailEnd type="triangle"/>
                          </a:ln>
                        </wps:spPr>
                        <wps:style>
                          <a:lnRef idx="1">
                            <a:schemeClr val="dk1"/>
                          </a:lnRef>
                          <a:fillRef idx="0">
                            <a:schemeClr val="dk1"/>
                          </a:fillRef>
                          <a:effectRef idx="0">
                            <a:schemeClr val="dk1"/>
                          </a:effectRef>
                          <a:fontRef idx="minor">
                            <a:schemeClr val="tx1"/>
                          </a:fontRef>
                        </wps:style>
                        <wps:bodyPr/>
                      </wps:wsp>
                      <wps:wsp>
                        <wps:cNvPr id="47" name="直接箭头连接符 47"/>
                        <wps:cNvCnPr/>
                        <wps:spPr>
                          <a:xfrm flipH="1">
                            <a:off x="2744960" y="2242651"/>
                            <a:ext cx="771526"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48" name="肘形连接符 48"/>
                        <wps:cNvCnPr>
                          <a:stCxn id="32" idx="2"/>
                        </wps:cNvCnPr>
                        <wps:spPr>
                          <a:xfrm rot="5400000">
                            <a:off x="2129529" y="1331323"/>
                            <a:ext cx="1080522" cy="598766"/>
                          </a:xfrm>
                          <a:prstGeom prst="bentConnector3">
                            <a:avLst>
                              <a:gd name="adj1" fmla="val 50000"/>
                            </a:avLst>
                          </a:prstGeom>
                          <a:ln>
                            <a:tailEnd type="triangle"/>
                          </a:ln>
                        </wps:spPr>
                        <wps:style>
                          <a:lnRef idx="1">
                            <a:schemeClr val="dk1"/>
                          </a:lnRef>
                          <a:fillRef idx="0">
                            <a:schemeClr val="dk1"/>
                          </a:fillRef>
                          <a:effectRef idx="0">
                            <a:schemeClr val="dk1"/>
                          </a:effectRef>
                          <a:fontRef idx="minor">
                            <a:schemeClr val="tx1"/>
                          </a:fontRef>
                        </wps:style>
                        <wps:bodyPr/>
                      </wps:wsp>
                      <wps:wsp>
                        <wps:cNvPr id="50" name="肘形连接符 50"/>
                        <wps:cNvCnPr>
                          <a:stCxn id="31" idx="1"/>
                          <a:endCxn id="35" idx="1"/>
                        </wps:cNvCnPr>
                        <wps:spPr>
                          <a:xfrm rot="10800000" flipH="1" flipV="1">
                            <a:off x="326585" y="925735"/>
                            <a:ext cx="1399199" cy="1440739"/>
                          </a:xfrm>
                          <a:prstGeom prst="bentConnector3">
                            <a:avLst>
                              <a:gd name="adj1" fmla="val -16338"/>
                            </a:avLst>
                          </a:prstGeom>
                          <a:ln>
                            <a:tailEnd type="triangle"/>
                          </a:ln>
                        </wps:spPr>
                        <wps:style>
                          <a:lnRef idx="1">
                            <a:schemeClr val="dk1"/>
                          </a:lnRef>
                          <a:fillRef idx="0">
                            <a:schemeClr val="dk1"/>
                          </a:fillRef>
                          <a:effectRef idx="0">
                            <a:schemeClr val="dk1"/>
                          </a:effectRef>
                          <a:fontRef idx="minor">
                            <a:schemeClr val="tx1"/>
                          </a:fontRef>
                        </wps:style>
                        <wps:bodyPr/>
                      </wps:wsp>
                      <wps:wsp>
                        <wps:cNvPr id="51" name="肘形连接符 51"/>
                        <wps:cNvCnPr>
                          <a:stCxn id="35" idx="0"/>
                          <a:endCxn id="31" idx="2"/>
                        </wps:cNvCnPr>
                        <wps:spPr>
                          <a:xfrm rot="16200000" flipV="1">
                            <a:off x="1121598" y="1047425"/>
                            <a:ext cx="1070754" cy="1156796"/>
                          </a:xfrm>
                          <a:prstGeom prst="bentConnector3">
                            <a:avLst>
                              <a:gd name="adj1" fmla="val 50000"/>
                            </a:avLst>
                          </a:prstGeom>
                          <a:ln>
                            <a:headEnd type="triangle"/>
                            <a:tailEnd type="triangle"/>
                          </a:ln>
                        </wps:spPr>
                        <wps:style>
                          <a:lnRef idx="1">
                            <a:schemeClr val="dk1"/>
                          </a:lnRef>
                          <a:fillRef idx="0">
                            <a:schemeClr val="dk1"/>
                          </a:fillRef>
                          <a:effectRef idx="0">
                            <a:schemeClr val="dk1"/>
                          </a:effectRef>
                          <a:fontRef idx="minor">
                            <a:schemeClr val="tx1"/>
                          </a:fontRef>
                        </wps:style>
                        <wps:bodyPr/>
                      </wps:wsp>
                      <wps:wsp>
                        <wps:cNvPr id="52" name="肘形连接符 52"/>
                        <wps:cNvCnPr/>
                        <wps:spPr>
                          <a:xfrm flipV="1">
                            <a:off x="2755460" y="1827825"/>
                            <a:ext cx="2261700" cy="724875"/>
                          </a:xfrm>
                          <a:prstGeom prst="bentConnector2">
                            <a:avLst/>
                          </a:prstGeom>
                          <a:ln>
                            <a:tailEnd type="triangle"/>
                          </a:ln>
                        </wps:spPr>
                        <wps:style>
                          <a:lnRef idx="1">
                            <a:schemeClr val="dk1"/>
                          </a:lnRef>
                          <a:fillRef idx="0">
                            <a:schemeClr val="dk1"/>
                          </a:fillRef>
                          <a:effectRef idx="0">
                            <a:schemeClr val="dk1"/>
                          </a:effectRef>
                          <a:fontRef idx="minor">
                            <a:schemeClr val="tx1"/>
                          </a:fontRef>
                        </wps:style>
                        <wps:bodyPr/>
                      </wps:wsp>
                      <wps:wsp>
                        <wps:cNvPr id="53" name="直接箭头连接符 53"/>
                        <wps:cNvCnPr/>
                        <wps:spPr>
                          <a:xfrm>
                            <a:off x="2235373" y="2571750"/>
                            <a:ext cx="487" cy="4276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54" name="直接箭头连接符 54"/>
                        <wps:cNvCnPr/>
                        <wps:spPr>
                          <a:xfrm flipV="1">
                            <a:off x="1079061" y="3295163"/>
                            <a:ext cx="580049" cy="42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55" name="直接箭头连接符 55"/>
                        <wps:cNvCnPr>
                          <a:stCxn id="40" idx="1"/>
                          <a:endCxn id="38" idx="3"/>
                        </wps:cNvCnPr>
                        <wps:spPr>
                          <a:xfrm flipH="1" flipV="1">
                            <a:off x="2880557" y="3328500"/>
                            <a:ext cx="1083464" cy="6794"/>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57" name="直接箭头连接符 57"/>
                        <wps:cNvCnPr/>
                        <wps:spPr>
                          <a:xfrm>
                            <a:off x="1830567" y="1009270"/>
                            <a:ext cx="659418"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61" name="文本框 6"/>
                        <wps:cNvSpPr txBox="1"/>
                        <wps:spPr>
                          <a:xfrm>
                            <a:off x="556701" y="2378475"/>
                            <a:ext cx="781685" cy="20066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27"/>
                                <w:spacing w:before="0" w:beforeAutospacing="0" w:after="0" w:afterAutospacing="0" w:line="200" w:lineRule="exact"/>
                                <w:ind w:firstLine="0" w:firstLineChars="0"/>
                                <w:rPr>
                                  <w:sz w:val="24"/>
                                  <w:szCs w:val="24"/>
                                </w:rPr>
                              </w:pPr>
                              <w:r>
                                <w:rPr>
                                  <w:rFonts w:hint="eastAsia" w:hAnsi="仿宋"/>
                                  <w:sz w:val="20"/>
                                  <w:szCs w:val="20"/>
                                </w:rPr>
                                <w:t>绩效考核</w:t>
                              </w:r>
                            </w:p>
                          </w:txbxContent>
                        </wps:txbx>
                        <wps:bodyPr rot="0" spcFirstLastPara="0" vert="horz" wrap="square" lIns="0" tIns="0" rIns="0" bIns="0" numCol="1" spcCol="0" rtlCol="0" fromWordArt="0" anchor="ctr" anchorCtr="0" forceAA="0" compatLnSpc="1">
                          <a:noAutofit/>
                        </wps:bodyPr>
                      </wps:wsp>
                      <wps:wsp>
                        <wps:cNvPr id="62" name="文本框 6"/>
                        <wps:cNvSpPr txBox="1"/>
                        <wps:spPr>
                          <a:xfrm>
                            <a:off x="4279460" y="428625"/>
                            <a:ext cx="276225" cy="9610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27"/>
                                <w:spacing w:before="0" w:beforeAutospacing="0" w:after="0" w:afterAutospacing="0" w:line="200" w:lineRule="exact"/>
                                <w:ind w:firstLine="0" w:firstLineChars="0"/>
                                <w:rPr>
                                  <w:sz w:val="24"/>
                                  <w:szCs w:val="24"/>
                                </w:rPr>
                              </w:pPr>
                              <w:r>
                                <w:rPr>
                                  <w:rFonts w:hint="eastAsia" w:hAnsi="仿宋"/>
                                  <w:sz w:val="20"/>
                                  <w:szCs w:val="20"/>
                                </w:rPr>
                                <w:t>审核项目</w:t>
                              </w:r>
                              <w:r>
                                <w:rPr>
                                  <w:rFonts w:hAnsi="仿宋"/>
                                  <w:sz w:val="20"/>
                                  <w:szCs w:val="20"/>
                                </w:rPr>
                                <w:t>支出预算并报政府同意</w:t>
                              </w:r>
                            </w:p>
                          </w:txbxContent>
                        </wps:txbx>
                        <wps:bodyPr rot="0" spcFirstLastPara="0" vert="horz" wrap="square" lIns="0" tIns="0" rIns="0" bIns="0" numCol="1" spcCol="0" rtlCol="0" fromWordArt="0" anchor="ctr" anchorCtr="0" forceAA="0" compatLnSpc="1">
                          <a:noAutofit/>
                        </wps:bodyPr>
                      </wps:wsp>
                      <wps:wsp>
                        <wps:cNvPr id="63" name="文本框 6"/>
                        <wps:cNvSpPr txBox="1"/>
                        <wps:spPr>
                          <a:xfrm>
                            <a:off x="4849984" y="630488"/>
                            <a:ext cx="133351" cy="2962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27"/>
                                <w:spacing w:before="0" w:beforeAutospacing="0" w:after="0" w:afterAutospacing="0" w:line="200" w:lineRule="exact"/>
                                <w:ind w:firstLine="0" w:firstLineChars="0"/>
                                <w:rPr>
                                  <w:sz w:val="24"/>
                                  <w:szCs w:val="24"/>
                                </w:rPr>
                              </w:pPr>
                              <w:r>
                                <w:rPr>
                                  <w:rFonts w:hAnsi="仿宋"/>
                                  <w:sz w:val="20"/>
                                  <w:szCs w:val="20"/>
                                </w:rPr>
                                <w:t>指定</w:t>
                              </w:r>
                            </w:p>
                          </w:txbxContent>
                        </wps:txbx>
                        <wps:bodyPr rot="0" spcFirstLastPara="0" vert="horz" wrap="square" lIns="0" tIns="0" rIns="0" bIns="0" numCol="1" spcCol="0" rtlCol="0" fromWordArt="0" anchor="ctr" anchorCtr="0" forceAA="0" compatLnSpc="1">
                          <a:noAutofit/>
                        </wps:bodyPr>
                      </wps:wsp>
                      <wps:wsp>
                        <wps:cNvPr id="64" name="文本框 6"/>
                        <wps:cNvSpPr txBox="1"/>
                        <wps:spPr>
                          <a:xfrm>
                            <a:off x="3487910" y="2571750"/>
                            <a:ext cx="1458300" cy="1428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27"/>
                                <w:spacing w:before="0" w:beforeAutospacing="0" w:after="0" w:afterAutospacing="0" w:line="200" w:lineRule="exact"/>
                                <w:ind w:firstLine="0" w:firstLineChars="0"/>
                                <w:rPr>
                                  <w:sz w:val="24"/>
                                  <w:szCs w:val="24"/>
                                </w:rPr>
                              </w:pPr>
                              <w:r>
                                <w:rPr>
                                  <w:rFonts w:hint="eastAsia" w:hAnsi="仿宋"/>
                                  <w:sz w:val="20"/>
                                  <w:szCs w:val="20"/>
                                </w:rPr>
                                <w:t>无偿移交</w:t>
                              </w:r>
                              <w:r>
                                <w:rPr>
                                  <w:rFonts w:hAnsi="仿宋"/>
                                  <w:sz w:val="20"/>
                                  <w:szCs w:val="20"/>
                                </w:rPr>
                                <w:t>项目设施及资料</w:t>
                              </w:r>
                            </w:p>
                          </w:txbxContent>
                        </wps:txbx>
                        <wps:bodyPr rot="0" spcFirstLastPara="0" vert="horz" wrap="square" lIns="0" tIns="0" rIns="0" bIns="0" numCol="1" spcCol="0" rtlCol="0" fromWordArt="0" anchor="ctr" anchorCtr="0" forceAA="0" compatLnSpc="1">
                          <a:noAutofit/>
                        </wps:bodyPr>
                      </wps:wsp>
                      <wps:wsp>
                        <wps:cNvPr id="65" name="文本框 6"/>
                        <wps:cNvSpPr txBox="1"/>
                        <wps:spPr>
                          <a:xfrm>
                            <a:off x="1144761" y="3342300"/>
                            <a:ext cx="448649" cy="2581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27"/>
                                <w:spacing w:before="0" w:beforeAutospacing="0" w:after="0" w:afterAutospacing="0" w:line="200" w:lineRule="exact"/>
                                <w:ind w:firstLine="0" w:firstLineChars="0"/>
                                <w:rPr>
                                  <w:rFonts w:hAnsi="仿宋"/>
                                  <w:sz w:val="20"/>
                                  <w:szCs w:val="20"/>
                                </w:rPr>
                              </w:pPr>
                              <w:r>
                                <w:rPr>
                                  <w:rFonts w:hint="eastAsia" w:hAnsi="仿宋"/>
                                  <w:sz w:val="20"/>
                                  <w:szCs w:val="20"/>
                                </w:rPr>
                                <w:t>使用者</w:t>
                              </w:r>
                            </w:p>
                            <w:p>
                              <w:pPr>
                                <w:pStyle w:val="27"/>
                                <w:spacing w:before="0" w:beforeAutospacing="0" w:after="0" w:afterAutospacing="0" w:line="200" w:lineRule="exact"/>
                                <w:ind w:firstLine="0" w:firstLineChars="0"/>
                                <w:rPr>
                                  <w:sz w:val="24"/>
                                  <w:szCs w:val="24"/>
                                </w:rPr>
                              </w:pPr>
                              <w:r>
                                <w:rPr>
                                  <w:rFonts w:hint="eastAsia" w:hAnsi="仿宋"/>
                                  <w:sz w:val="20"/>
                                  <w:szCs w:val="20"/>
                                </w:rPr>
                                <w:t>付费</w:t>
                              </w:r>
                            </w:p>
                          </w:txbxContent>
                        </wps:txbx>
                        <wps:bodyPr rot="0" spcFirstLastPara="0" vert="horz" wrap="square" lIns="0" tIns="0" rIns="0" bIns="0" numCol="1" spcCol="0" rtlCol="0" fromWordArt="0" anchor="ctr" anchorCtr="0" forceAA="0" compatLnSpc="1">
                          <a:noAutofit/>
                        </wps:bodyPr>
                      </wps:wsp>
                      <wps:wsp>
                        <wps:cNvPr id="66" name="文本框 6"/>
                        <wps:cNvSpPr txBox="1"/>
                        <wps:spPr>
                          <a:xfrm>
                            <a:off x="3178254" y="3374610"/>
                            <a:ext cx="667725" cy="2486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27"/>
                                <w:spacing w:before="0" w:beforeAutospacing="0" w:after="0" w:afterAutospacing="0" w:line="200" w:lineRule="exact"/>
                                <w:ind w:firstLine="0" w:firstLineChars="0"/>
                                <w:rPr>
                                  <w:sz w:val="24"/>
                                  <w:szCs w:val="24"/>
                                </w:rPr>
                              </w:pPr>
                              <w:r>
                                <w:rPr>
                                  <w:rFonts w:hint="eastAsia" w:hAnsi="仿宋"/>
                                  <w:sz w:val="20"/>
                                  <w:szCs w:val="20"/>
                                </w:rPr>
                                <w:t>全程监管</w:t>
                              </w:r>
                            </w:p>
                          </w:txbxContent>
                        </wps:txbx>
                        <wps:bodyPr rot="0" spcFirstLastPara="0" vert="horz" wrap="square" lIns="0" tIns="0" rIns="0" bIns="0" numCol="1" spcCol="0" rtlCol="0" fromWordArt="0" anchor="ctr" anchorCtr="0" forceAA="0" compatLnSpc="1">
                          <a:noAutofit/>
                        </wps:bodyPr>
                      </wps:wsp>
                      <wps:wsp>
                        <wps:cNvPr id="69" name="文本框 6"/>
                        <wps:cNvSpPr txBox="1"/>
                        <wps:spPr>
                          <a:xfrm>
                            <a:off x="2978952" y="1094400"/>
                            <a:ext cx="207277" cy="45773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27"/>
                                <w:spacing w:before="0" w:beforeAutospacing="0" w:after="0" w:afterAutospacing="0" w:line="240" w:lineRule="exact"/>
                                <w:ind w:firstLine="0" w:firstLineChars="0"/>
                                <w:rPr>
                                  <w:sz w:val="24"/>
                                  <w:szCs w:val="24"/>
                                </w:rPr>
                              </w:pPr>
                              <w:r>
                                <w:rPr>
                                  <w:rFonts w:hint="eastAsia" w:ascii="Times New Roman" w:hAnsi="仿宋"/>
                                  <w:sz w:val="20"/>
                                  <w:szCs w:val="20"/>
                                </w:rPr>
                                <w:t>成立</w:t>
                              </w:r>
                            </w:p>
                          </w:txbxContent>
                        </wps:txbx>
                        <wps:bodyPr rot="0" spcFirstLastPara="0" vert="horz" wrap="square" lIns="0" tIns="0" rIns="0" bIns="0" numCol="1" spcCol="0" rtlCol="0" fromWordArt="0" anchor="ctr" anchorCtr="0" forceAA="0" compatLnSpc="1">
                          <a:noAutofit/>
                        </wps:bodyPr>
                      </wps:wsp>
                    </wpc:wpc>
                  </a:graphicData>
                </a:graphic>
              </wp:inline>
            </w:drawing>
          </mc:Choice>
          <mc:Fallback>
            <w:pict>
              <v:group id="_x0000_s1026" o:spid="_x0000_s1026" o:spt="203" style="height:298.5pt;width:441.4pt;" coordsize="5605780,3790950" editas="canvas" o:gfxdata="UEsDBAoAAAAAAIdO4kAAAAAAAAAAAAAAAAAEAAAAZHJzL1BLAwQUAAAACACHTuJADwPfjdcAAAAF&#10;AQAADwAAAGRycy9kb3ducmV2LnhtbE2PQUvDQBCF70L/wzIFL2J3W1BjzKaHglhEKKba8zY7TUKz&#10;s2l2m9R/7+hFLw+GN7z3vWx5ca0YsA+NJw3zmQKBVHrbUKXhY/t8m4AI0ZA1rSfU8IUBlvnkKjOp&#10;9SO941DESnAIhdRoqGPsUilDWaMzYeY7JPYOvncm8tlX0vZm5HDXyoVS99KZhrihNh2uaiyPxdlp&#10;GMvNsNu+vcjNzW7t6bQ+rYrPV62vp3P1BCLiJf49ww8+o0POTHt/JhtEq4GHxF9lL0kWPGOv4e7x&#10;QYHMM/mfPv8GUEsDBBQAAAAIAIdO4kAWwq+NGQoAAB9aAAAOAAAAZHJzL2Uyb0RvYy54bWztXEuP&#10;3EoZ3SPxHyzvb8ZV5Srbo0yuwuQmIEXcSOGx9rjd3Qa3bWxPZnKXIMGOFUJIICQQsLqwugskhPg1&#10;Se7P4NTDj3Z3p2cmnedUL2bcttuP8vH5zvfVqbr7+eUqd56ldZOVxYlL7niukxZJOcuKxYn74x89&#10;/Cx0naaNi1mcl0V64j5PG/fze9/9zt2L6jil5bLMZ2nt4CBFc3xRnbjLtq2Oj46aZJmu4uZOWaUF&#10;Ns7LehW3+FovjmZ1fIGjr/Ij6nni6KKsZ1VdJmnTYO0DvdE1R6yvcsByPs+S9EGZnK/SotVHrdM8&#10;bnFLzTKrGveeutr5PE3aL+fzJm2d/MTFnbbqL06C5TP59+je3fh4UcfVMkvMJcRXuYTJPa3irMBJ&#10;+0M9iNvYOa+zjUOtsqQum3Le3knK1ZG+EdUiuAviTdrmUV2eV+peFscXi6pvdDyoSavf+LDJD589&#10;qZ1sduKKwHWKeIUn/up3/3nx7185WIHWuagWx9jpUV09rZ7UZsVCf5M3fDmvV/I/bsW5VO36vG/X&#10;9LJ1EqzkwuNBiCZPsI0FkRdx0/LJEo9n43fJ8os9vzzqTnwkr6+/nIsKmGyGhmrerKGeLuMqVe3f&#10;yDYwDcXxguiGevn737z809cv//JrR+imUrvJdnLay++VuHPSrW+wcktzkcgPg8B3HTQM8byIBqZh&#10;uqYTLAyJaTlKiRBUHrG//fi4qpv2UVquHLlw4tZAvAJi/Oxx0+pdu13k+Zsyz2YPszxXX+rF2Wle&#10;O89ivB0P1cccfW23vHAugA+GhyZ/VZTy9/rQeSHXpOpFM+eTz0DfrVxqL88uFWia47Ny9hwtU5f6&#10;JWyq5GGGa34cN+2TuMZbh9sEL2Hrsqy/cp0LvJUnbvOL87hOXSf/QYGniV3abqHuFs66heJ8dVri&#10;VggYrErUIn5Qt3m3OK/L1U9BP/flWbApLhKc68RN2rr7ctpqdgCBJen9+2o3vKpV3D4unlaJPLhu&#10;hPvnbTnPVBPLG9V3h0djMCjfnHcARgLsHAyMgrEoQrMAjFR4RDAFNjxf8zaSQHjC5+Y9FkEQWjR2&#10;2LNonEnUHA6NNPSi0FAj9UKfEybJaUBjEBBODRh9KItAkbClRkl5HSpvMzXSXtAMcRrrTDRCPL9W&#10;oCa+HwgEFhmofUqjMFxHI/GoCD3sIDUO2JNyBVcLRwtHra/pIWVjEEY0BPcBazz0KVOwHqhR+EHg&#10;UYPFSFAtty0WLRYNFqPDxWni+RGXKYrEImWhNwnTgkUE+NO8SCjlkckxusyxS09sBoOHcvsyGAZs&#10;TDMYrLtZmEbchWzUUToCMBXWBl4MwYudZGT4BPy9Y3Et05avQp+Qn+Vx8nNzfaO9wOJvI+v+Eqn3&#10;PC+R6JdmyXVkHr5tvc3Sd5bstpeMGHThFOM3LRkxKniIPAt0C0EK1SkhMkAcXMsi5OW61kYjZEYW&#10;46AYi9nrYhYYOhRmqY9SkY98TIKWB960ygnAep1GsLxsq6H7u0Z28OwBq6G+EJ4vtK4lfuT7Ooka&#10;mDYgzPeMsLWgtaC9MWiRxx+KaAnkbWAKA+gtIiiLTuSBRyIC2avkgU88/gGUBkbiVvdnvScJbDue&#10;Ztt6oXdQ7QFL/UxQQk1xlRLCuC7lD1SLLlDRUS3loawnQPS+13qWBa3sOv3IekvZIWuwSMOiiClN&#10;S6MoklpgPRNT/fWGarGz4WKLWtvHLy1Q16DaA1ZrVfVAdxwwwmiwIWo58jRQu3Lq2AqZ9aXsNalt&#10;lwf+lqrujStekfCJycQYESFMKBOmHYtam4rZVOymqZjf12lf/fGbl7/9+6t//fPF37759n9/lstf&#10;/8PB9qFf4rQwfsjO79Z5EnszpKzOigB1NNM1BjfLukIwvWIMThZ15N3aoGnrOFss29OyKGDxK2tt&#10;Q9vh8usterKvoDfvOYk01M3hk8V5VxX8Ok2xgO8tX8AInMACJ+vIa7q2uZpBUHZbPIibpTYSqiPo&#10;G11lLbzCebY6cUNPfvTqNs7yL4qZ0z6vYDdt6ywuFnkqt5nODWWiG0yE2lsnN79bc50Pdacz829/&#10;+YcX//3rCAiqk1NeDXwkVwACikecaZsnpSCwiVRkXMDZacIuUiEe7stwzmB87rFAX+f4tFho7lzL&#10;Hr0joPWlxQ0sqLd6hAX1GrWnl4XyVTM81mwGL7D2A63tJ7+MncHOPM+q7ysDq1z6Sec2NeZqMoIR&#10;kmSiu9KHNBmuJKnpNKuQMOSMKJfSblpZgxEbYCRvYTEz4I9nPwMvzlc5PLqwCjuf8aCnK0VA6r3t&#10;uvHlTy3mDoO5vsayIxyNFdUOFhogJR9MB6TQEzTSgSlCwUX7eAcgCS4/Gkd7Si2fVGBapvFse2CK&#10;jz+aoNXbHneAZmyBvA5oaOD7kZHhlPqIUkqzDKhRhlwTxG4Taj4aZPTVr40QpsLEWmiCEhxCGJhC&#10;hTBt91/bbyOEqfEdHNUwKfdGnIMSb8Sp8eYwWXyYGMWIF3qc4lSy9sDh/RaK3g4cvLi6Li01bfDS&#10;g/jezjCpvgIwRZvWtmsoWkMbxIZCW0cvxazXUohJwyaVDRj9rYfbrGkpBUQJKvXEhziolqbSalQX&#10;i9CFxpQxbKA2goExBG4yhU1Ywb2A7bEx3kxZYcwNatQWnW9/EF+f6W+gc5rjSw4bcWEHwS6FG6Gz&#10;A+6VaZIIdArgA3W9Te4TCokP0gYfwmUb+LAuAhojVMJIE3AkJpIxCeEiiCxlbqk3fAqyjiMwbq9F&#10;YAtQMaJT822NDLfhC9V/3jtcQgqL1gRfFJ2ygUSnxFdAMVRV7XDFiGyrEu9gLHJfodou9vUgpNdj&#10;Y6zRKOMsMH2aKDBsdA8BAhoNPg3EvhrVJ5UafiwiX4YDzRM7EDGtVl2VLYiHgfvGpMEg5SFV1qMR&#10;h9LyjUQCPPZQhQVHjZZ/xwVtWdN5LTjUQxvRxbr2kZ16g/yGDhlpH8gUtenNq5w0RB7IwTMIOoxh&#10;mNu0Wg5Nz3xhZA80j0L07qBkkfY+kLanCoXnu1e0jAITCZkHeWuk8LZ5Mnjko9itlIqtPcm2xQsh&#10;xwl9IF1pMnBo5hkGY4+r10+vMWkKBxLkSGvwA0a+YkzXRLYGIUwCpnqN/Ao+btMedsShnRgAvd6Y&#10;Q+dgWITQibocykfP7kYKFQgMedW8FGG41j7NbOfvuV3z90BEHw6LIQa8htBFIEbBPH9jigpYo9Bn&#10;o2IktbMCQMzauaTGE5tJSX2oGM1QKYjMrACop29WEuBlgKYztSXMqLK3tmSZ8ZYxY5+rvrliJKPZ&#10;exjDfCnTlNL3Q9HVLj6QASa9h8YIeaTbdpq99zXNHrqiD0eNRFbadZjGFBQ+VKHMT4ZuHXhG+1kq&#10;UHQ3mnJ3gcMy4y1jxgOOB6ERppKSfUvQjMTDKOcpM1IvoEFX9OeB6Rm3YIRy+dCTaZR+1LzBqhZk&#10;5jiWExOPv6sC0TCv873/A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kMAABbQ29udGVudF9UeXBlc10ueG1sUEsBAhQACgAAAAAAh07iQAAAAAAA&#10;AAAAAAAAAAYAAAAAAAAAAAAQAAAAawsAAF9yZWxzL1BLAQIUABQAAAAIAIdO4kCKFGY80QAAAJQB&#10;AAALAAAAAAAAAAEAIAAAAI8LAABfcmVscy8ucmVsc1BLAQIUAAoAAAAAAIdO4kAAAAAAAAAAAAAA&#10;AAAEAAAAAAAAAAAAEAAAAAAAAABkcnMvUEsBAhQAFAAAAAgAh07iQA8D343XAAAABQEAAA8AAAAA&#10;AAAAAQAgAAAAIgAAAGRycy9kb3ducmV2LnhtbFBLAQIUABQAAAAIAIdO4kAWwq+NGQoAAB9aAAAO&#10;AAAAAAAAAAEAIAAAACYBAABkcnMvZTJvRG9jLnhtbFBLBQYAAAAABgAGAFkBAACxDQAAAAA=&#10;">
                <o:lock v:ext="edit" aspectratio="f"/>
                <v:shape id="_x0000_s1026" o:spid="_x0000_s1026" style="position:absolute;left:0;top:0;height:3790950;width:5605780;" filled="f" stroked="f" coordsize="21600,21600" o:gfxdata="UEsDBAoAAAAAAIdO4kAAAAAAAAAAAAAAAAAEAAAAZHJzL1BLAwQUAAAACACHTuJADwPfjdcAAAAF&#10;AQAADwAAAGRycy9kb3ducmV2LnhtbE2PQUvDQBCF70L/wzIFL2J3W1BjzKaHglhEKKba8zY7TUKz&#10;s2l2m9R/7+hFLw+GN7z3vWx5ca0YsA+NJw3zmQKBVHrbUKXhY/t8m4AI0ZA1rSfU8IUBlvnkKjOp&#10;9SO941DESnAIhdRoqGPsUilDWaMzYeY7JPYOvncm8tlX0vZm5HDXyoVS99KZhrihNh2uaiyPxdlp&#10;GMvNsNu+vcjNzW7t6bQ+rYrPV62vp3P1BCLiJf49ww8+o0POTHt/JhtEq4GHxF9lL0kWPGOv4e7x&#10;QYHMM/mfPv8GUEsDBBQAAAAIAIdO4kAk4PQmtAkAAGRZAAAOAAAAZHJzL2Uyb0RvYy54bWztXEuP&#10;3FgZ3SPxHyzvJ+37tN1KZRQ6BJAiJlJ4rN0uV5XBZRe2O92ZJQvYsURIICQQsBpYzRbxayYzP4Nz&#10;H37UK9XpVNLp9K1F4iq7rx/3+HznO/e79+HnV8vCe5nVTV6VE588CHwvK9Nqmpfzif/znz39LPK9&#10;pk3KaVJUZTbxX2WN//mj73/v4eXqNKPVoiqmWe2hkbI5vVxN/EXbrk5PTpp0kS2T5kG1ykrsnFX1&#10;MmnxtZ6fTOvkEq0vixMaBPLksqqnq7pKs6bBr0/MTt+2WF+nwWo2y9PsSZVeLLOyNa3WWZG0uKVm&#10;ka8a/5G+2tksS9svZrMma71i4uNOW/0vToLtc/XvyaOHyem8TlaLPLWXkFznEjbuaZnkJU7aN/Uk&#10;aRPvos63mlrmaV011ax9kFbLE3Mj+ongLkiw8WzOkvJlYm4mxbPuLhBbR2z3fI5ngCZPL9G1md5G&#10;xzarvoubdzvZi0WyynSHNKfpT18+r718OvEFUFYmS+Dr9R9///ovX73+2+88qXrjcqUPe7HCge3V&#10;D6orYLT7vcGP6iFfzeql+h+Pz1P7Yx6FIfe9V9gOgpiGtl+zq9ZLcYBkUUTQ4ykOoJRISVWLJ0ND&#10;q7ppf5RVS09tTPwasNG9mbx81rTm0O4Qdd6mKvLp07wo9Jd6fn5W1N7LBBB7qj+29bXDitK7VFci&#10;At1yWam/N00XpWon02i151NPwdyt2mqvzq/sozmvpq/wZOrKILlZpU9zXPOzpGmfJzWgi9vEy429&#10;i6r+0vcuAe2J3/zmIqkz3yt+UqI31XvQbdTdxnm3UV4szyrcCgENrFK9iT+o26LbnNXV8pd4hx+r&#10;s2BXUqY418RP27r7ctaaVwwskGaPH+vDgPdV0j4rXyj0EvsQHl+01SzXj1jdqLk7dI36AgwaOLx3&#10;MBJg52hglIzFMR6LwpoMiGQabOhfC0YSykByYdDIZBhGDo0d9hwapwo1x0MjjYI4stRIg4gLwhQ5&#10;DWgMQyKoBSNHeA41CTtqVJTXofI+UyMNt8GI32w0Qjx/q0BNOA8lAosK1JzSOIrW0UgCKqMAB+hI&#10;LQMqNFwdHB0cjWykx5SNYRTTCNwHNIqIU6ZhPVCj5GEYUIvFWFIoN6PXOvnZSUKnGsER90810nib&#10;Gm+cwgQ8FipFUVikLAo2wrRkMQH+DC8SSkXssGhTGRemoRkZsLGZweC3m4VpxF3IRhOlYwBTY23g&#10;xQi82ElGhk8obh2La5m2ouU+IT8vkvTX9vpGR0FRvI+s+wuk3rOiQqJf2S3fU3n4rt9dlr7X99pt&#10;GTHowk2M35RvGZUiQp4FuoUghepUEBkgDq5lMfJyzbeMxsiMHMZBMQ6zb4tZYOhYmKUcVhFHPqZA&#10;K8Jg0+UEYINOIzhedm7o4fGFPTx7RDeUSxlwaXQt4THnJokamDYkjAdW2DrQOtDeGLTI449FtATy&#10;NrTGAEaLCGzRDXkQkJhA9mp5wEkgPgJrYCRuk9NblMBu4Gm6ayh3D9Ue0epnkhJqzVVKCBPGyh+o&#10;FkOgsqNaKiLlJ9y2n+VAq4ZO79hoKTumB4s0LI6Z1rQ0jmOlBdYzMT1eb6kWB1suvtURAYfau4ja&#10;I7q12j0wAweMMBpuiVqBPA3UrkaxnKh1ovamopbvcHVv7HjFkhObiTEiIxShbDDtWNQ61DrU3hi1&#10;vU/77Z+/fv2Hf377n39/84+vv/vfX9X2V//yeF/Ph/KBs/J5bUcp9lX3wZ2VIXw0OzSGapZ1hWBH&#10;xRgqWXTL+7VB09ZJPl+0Z1VZosSvqk0Z2p4qv75ET40V9MV7XqoK6mYoNsV5lyuMvTTlHHVvxRzV&#10;tClK4HRN4A0KBFXO9iRpFqaQUGsMc6PLvEXBbZEvJ34UqI/5uU3y4ofl1GtfrVBF2dZ5Us6LTO2z&#10;gxu6iG4oIjS1dWr3hy2u41B3JjP/7rd/+ua/fx8BQQ9yqqu5HhBgHglmyjwpBYFtSEUmJCo7bdhF&#10;KiSiQxnOOaqHeyzQN1V8Oiw0D96qdHl3vst7a3ELC/qtHmFBv0bt2VWpy4UZujWfopTX1AOtHae+&#10;jLnDmxX56se6gFVt/aKrNu2qhUcwQpJMzFD6kCajKklpOsMqJIoEI7pKaT+trMGIDTBStzCfWvAn&#10;01+BF2fLAjW6KBX2PhNhT1eagPR725WUqD91mDsO5nqPZU84GiuqPeFogJTqmA5IUSBpbAJTDMPF&#10;1PEOQJJCfQyODlgtn1RgWmTJdHdgSk7vTNDqyx73gGZcAvk2oKEh57GV4ZRyRCmtWQbU6IJcG8Tu&#10;E2ruDDJ692srhOkwsRaaMFVkCGFgCh3CTLn/2nFbIUzP7xBww5TcG3EOLN5YqMIziGHClPmwUShG&#10;gigQFKdS3oNA7bfU9Hbk4CX0dRmp6YKXmQn3fqZJ9Q7AJtqMtl1D0RraIDY02jp6Kae9lkJMGnbp&#10;bMDqbzPdZk1LaSAqUOkeH+Kg3tqUViNfLMYQGtOFYQO1EUyMIagm09hEKXgQsgNljDdTVphzA4/a&#10;ofO9z5tC7NqT2pmoth+dHQS7FG6Ezg6416ZJIjEogA/U9S65TygkPkhbMWbAQ47SRUBjhEoU0oQC&#10;iYliTEKEDGNHmTv8hk9B1gkExt1eBPYAFSPA2m9rZLgLX3D/RV/hElGUaG3gi2JQNlToVPgKKaaq&#10;6gOuGZGdK/EB5iL3DtVusW8mIb0ZG2ONRplgoR3ThMGwNTwECBg0cBrKQx7VJ5Ua3hWRr8KB4Yk9&#10;iNh0q67LFiQI48AWaaCuWECqrEcjAaXFrUQCPA5QhQNHjSf/gQ1t5em8ERy600Z0obhhyAPVoN4g&#10;v6FDRtoHMkXveneXk0bIAwV4BkGHMUxz23TLoekZl1b2QPNoRO8PSg5pt4G0Ay4U+vegaBkFJhKx&#10;APLWSuFd62SImMPs1krFeU/q2eKFUPOEPpKhNBU4DPO8+6IpAkhQM63BD5j5ijldG7I1jFAkYN1r&#10;5Feo47bPw81+dTMOMeqNNXSOhkUInbjLoThGdrdSqFBiyqvhpRjTtQ5pZrd+z/1avwci+nhYjDDh&#10;NYIuAjFKFvCtJSpQGqV8L5XNU7cqAMSsW0tqvLCZktTHitEMTkFsVwWAn77tJBAuoOmst4QVVQ56&#10;S44Z7xkz9rnquytGMlq9hzGsl7KZUnIeyc67+EgmmPQ1NFbII912y+zd1jJ7GIo+HjUS5bSbMI0l&#10;KDhUocpPhmEd1Iz2q1TAdLeacr/B4ZjxnjHjEeeD0BhLSamxJWhCEmCW8yYz0iCkYWf6i9COjDsw&#10;Qrl87Mk0rB+99q72guxCwWp13/F3bRANiyM/+j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kDAAAW0NvbnRlbnRfVHlwZXNdLnhtbFBLAQIUAAoA&#10;AAAAAIdO4kAAAAAAAAAAAAAAAAAGAAAAAAAAAAAAEAAAAAYLAABfcmVscy9QSwECFAAUAAAACACH&#10;TuJAihRmPNEAAACUAQAACwAAAAAAAAABACAAAAAqCwAAX3JlbHMvLnJlbHNQSwECFAAKAAAAAACH&#10;TuJAAAAAAAAAAAAAAAAABAAAAAAAAAAAABAAAAAAAAAAZHJzL1BLAQIUABQAAAAIAIdO4kAPA9+N&#10;1wAAAAUBAAAPAAAAAAAAAAEAIAAAACIAAABkcnMvZG93bnJldi54bWxQSwECFAAUAAAACACHTuJA&#10;JOD0JrQJAABkWQAADgAAAAAAAAABACAAAAAmAQAAZHJzL2Uyb0RvYy54bWxQSwUGAAAAAAYABgBZ&#10;AQAATA0AAAAA&#10;">
                  <v:fill on="f" focussize="0,0"/>
                  <v:stroke on="f"/>
                  <v:imagedata o:title=""/>
                  <o:lock v:ext="edit" aspectratio="t"/>
                </v:shape>
                <v:shape id="文本框 6" o:spid="_x0000_s1026" o:spt="202" type="#_x0000_t202" style="position:absolute;left:1948774;top:1009270;height:221662;width:638810;v-text-anchor:middle;" fillcolor="#FFFFFF [3201]" filled="t" stroked="f" coordsize="21600,21600" o:gfxdata="UEsDBAoAAAAAAIdO4kAAAAAAAAAAAAAAAAAEAAAAZHJzL1BLAwQUAAAACACHTuJACnGYotUAAAAF&#10;AQAADwAAAGRycy9kb3ducmV2LnhtbE2PwU7DMBBE70j9B2sr9YKo3QJpCHGqCokD3EgicXXjJYmI&#10;11HspuXvWbjAZaTVrGbe5PuLG8SMU+g9adisFQikxtueWg119XyTggjRkDWDJ9TwhQH2xeIqN5n1&#10;Z3rDuYyt4BAKmdHQxThmUoamQ2fC2o9I7H34yZnI59RKO5kzh7tBbpVKpDM9cUNnRnzqsPksT05D&#10;/56k1F7L8uU1qXd3VTXXh9tZ69Vyox5BRLzEv2f4wWd0KJjp6E9kgxg08JD4q+yl6ZZnHDXcP+wU&#10;yCKX/+mLb1BLAwQUAAAACACHTuJAeVfOOEcCAABrBAAADgAAAGRycy9lMm9Eb2MueG1srVTNbtNA&#10;EL4j8Q6rvRM7oU3SqE4VWgUhRVApIM6b9Tpeaf+Y3cQODwBv0BMX7jxXn4PZtd1CufRADs7M7vib&#10;+b6Z8eVVqxU5CvDSmoKORzklwnBbSrMv6KeP61dzSnxgpmTKGlHQk/D0avnyxWXjFmJia6tKAQRB&#10;jF80rqB1CG6RZZ7XQjM/sk4YvKwsaBbQhX1WAmsQXatskufTrLFQOrBceI+nN90l7RHhOYC2qiQX&#10;N5YftDChQwWhWEBKvpbO02WqtqoEDx+qyotAVEGRaUhPTIL2Lj6z5SVb7IG5WvK+BPacEp5w0kwa&#10;TPoAdcMCIweQ/0BpycF6W4URtzrriCRFkMU4f6LNtmZOJC4otXcPovv/B8vfH2+ByLKg59h3wzR2&#10;/P7u+/2PX/c/v5Fp1KdxfoFhW4eBoX1jW5ya4dzjYaTdVqDjPxIi8f7ibD6bnVFyQjvPLyazXmnR&#10;BsIxYPp6Ph9jDzgGTCbj6XQSEbNHIAc+vBVWk2gUFLCRSV923PjQhQ4hMa+3SpZrqVRyYL+7VkCO&#10;DJu+Tr8e/a8wZUgTKznPE7Kx8f0OWpmII9L89PmiCh3baIV21/bS7Gx5QmXAdrPlHV9LrHnDfLhl&#10;gMOENHHd8La28JWSBoetoP7LgYGgRL0z2M04mYMBg7EbDHPQ1xapjHExHU8mvgBBDWYFVn/GrVrF&#10;LHjFDMdcBeUBBuc6dEOPe8nFapXCcAIdCxuzdTyCR8rGrg7BVjJJHIl27LA10cEZTE3q9yUO+Z9+&#10;inr8Rix/A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AAAAABkcnMvUEsBAhQAFAAAAAgAh07iQApxmKLVAAAABQEAAA8AAAAAAAAAAQAgAAAA&#10;IgAAAGRycy9kb3ducmV2LnhtbFBLAQIUABQAAAAIAIdO4kB5V844RwIAAGsEAAAOAAAAAAAAAAEA&#10;IAAAACQBAABkcnMvZTJvRG9jLnhtbFBLBQYAAAAABgAGAFkBAADdBQAAAAA=&#10;">
                  <v:fill on="t" focussize="0,0"/>
                  <v:stroke on="f" weight="0.5pt"/>
                  <v:imagedata o:title=""/>
                  <o:lock v:ext="edit" aspectratio="f"/>
                  <v:textbox inset="0mm,0mm,0mm,0mm">
                    <w:txbxContent>
                      <w:p>
                        <w:pPr>
                          <w:pStyle w:val="27"/>
                          <w:spacing w:before="0" w:beforeAutospacing="0" w:after="0" w:afterAutospacing="0"/>
                          <w:ind w:firstLine="0" w:firstLineChars="0"/>
                          <w:rPr>
                            <w:sz w:val="24"/>
                            <w:szCs w:val="24"/>
                          </w:rPr>
                        </w:pPr>
                        <w:r>
                          <w:rPr>
                            <w:rFonts w:hint="eastAsia" w:ascii="Times New Roman" w:hAnsi="仿宋"/>
                            <w:sz w:val="20"/>
                            <w:szCs w:val="20"/>
                          </w:rPr>
                          <w:t>采购</w:t>
                        </w:r>
                      </w:p>
                    </w:txbxContent>
                  </v:textbox>
                </v:shape>
                <v:shape id="文本框 6" o:spid="_x0000_s1026" o:spt="202" type="#_x0000_t202" style="position:absolute;left:1633990;top:2601632;height:367782;width:1760645;v-text-anchor:middle;" fillcolor="#FFFFFF [3201]" filled="t" stroked="f" coordsize="21600,21600" o:gfxdata="UEsDBAoAAAAAAIdO4kAAAAAAAAAAAAAAAAAEAAAAZHJzL1BLAwQUAAAACACHTuJACnGYotUAAAAF&#10;AQAADwAAAGRycy9kb3ducmV2LnhtbE2PwU7DMBBE70j9B2sr9YKo3QJpCHGqCokD3EgicXXjJYmI&#10;11HspuXvWbjAZaTVrGbe5PuLG8SMU+g9adisFQikxtueWg119XyTggjRkDWDJ9TwhQH2xeIqN5n1&#10;Z3rDuYyt4BAKmdHQxThmUoamQ2fC2o9I7H34yZnI59RKO5kzh7tBbpVKpDM9cUNnRnzqsPksT05D&#10;/56k1F7L8uU1qXd3VTXXh9tZ69Vyox5BRLzEv2f4wWd0KJjp6E9kgxg08JD4q+yl6ZZnHDXcP+wU&#10;yCKX/+mLb1BLAwQUAAAACACHTuJAbcPkLUoCAABsBAAADgAAAGRycy9lMm9Eb2MueG1srVRLbtsw&#10;EN0X6B0I7mvJdqIkhuXAteGiQNAGSIuuaYqyCPDXIW3JPUB7g6666b7nyjk6pKykTTdZVAtphnx8&#10;w/c41Py604ocBHhpTUnHo5wSYbitpNmV9OOHzatLSnxgpmLKGlHSo/D0evHyxbx1MzGxjVWVAIIk&#10;xs9aV9ImBDfLMs8boZkfWScMTtYWNAuYwi6rgLXIrlU2yfMiay1UDiwX3uPoup+kJ0Z4DqGta8nF&#10;2vK9Fib0rCAUCyjJN9J5uki7rWvBw/u69iIQVVJUGtIbi2C8je9sMWezHTDXSH7aAnvOFp5o0kwa&#10;LPpAtWaBkT3If6i05GC9rcOIW531QpIjqGKcP/HmrmFOJC1otXcPpvv/R8vfHW6ByAo74YwSwzSe&#10;+P33b/c/ft3//EqK6E/r/Axhdw6BoXttO8QO4x4Ho+yuBh2/KIjE+WI6vbpCj48lnRQ5ppPeadEF&#10;wiPgosiLs3NKOCKmxcXFZQJkj0wOfHgjrCYxKCngSSaD2eHGB9wVQgdILOytktVGKpUS2G1XCsiB&#10;4alv0hPL45K/YMqQtqTF9DxPzMbG9T1OmcgjUgOd6kUberkxCt22O3mztdURrQHbN5d3fCNxzzfM&#10;h1sG2E3oA943nG0sfKGkxW4rqf+8ZyAoUW8NHmdszSGAIdgOgdnrlUUpY7yZjqcQF0BQQ1iD1Z/w&#10;Wi1jFZxihmOtkvIAQ7IKfdfjxeRiuUwwbEHHwo25czySR8nGLvfB1jJZHIX26tC8mGATJhtPFyZ2&#10;+Z95Qj3+JBa/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ApxmKLVAAAABQEAAA8AAAAAAAAAAQAg&#10;AAAAIgAAAGRycy9kb3ducmV2LnhtbFBLAQIUABQAAAAIAIdO4kBtw+QtSgIAAGwEAAAOAAAAAAAA&#10;AAEAIAAAACQBAABkcnMvZTJvRG9jLnhtbFBLBQYAAAAABgAGAFkBAADgBQAAAAA=&#10;">
                  <v:fill on="t" focussize="0,0"/>
                  <v:stroke on="f" weight="0.5pt"/>
                  <v:imagedata o:title=""/>
                  <o:lock v:ext="edit" aspectratio="f"/>
                  <v:textbox inset="0mm,0mm,0mm,0mm">
                    <w:txbxContent>
                      <w:p>
                        <w:pPr>
                          <w:pStyle w:val="27"/>
                          <w:spacing w:before="0" w:beforeAutospacing="0" w:after="0" w:afterAutospacing="0" w:line="200" w:lineRule="exact"/>
                          <w:ind w:firstLine="0" w:firstLineChars="0"/>
                          <w:rPr>
                            <w:rFonts w:hAnsi="仿宋"/>
                            <w:sz w:val="20"/>
                            <w:szCs w:val="20"/>
                          </w:rPr>
                        </w:pPr>
                        <w:r>
                          <w:rPr>
                            <w:rFonts w:hint="eastAsia" w:hAnsi="仿宋"/>
                            <w:sz w:val="20"/>
                            <w:szCs w:val="20"/>
                          </w:rPr>
                          <w:t>存量</w:t>
                        </w:r>
                        <w:r>
                          <w:rPr>
                            <w:rFonts w:hAnsi="仿宋"/>
                            <w:sz w:val="20"/>
                            <w:szCs w:val="20"/>
                          </w:rPr>
                          <w:t>部分：委托运营</w:t>
                        </w:r>
                        <w:r>
                          <w:rPr>
                            <w:rFonts w:hint="eastAsia" w:hAnsi="仿宋"/>
                            <w:sz w:val="20"/>
                            <w:szCs w:val="20"/>
                          </w:rPr>
                          <w:t>、</w:t>
                        </w:r>
                        <w:r>
                          <w:rPr>
                            <w:rFonts w:hAnsi="仿宋"/>
                            <w:sz w:val="20"/>
                            <w:szCs w:val="20"/>
                          </w:rPr>
                          <w:t>移交</w:t>
                        </w:r>
                      </w:p>
                      <w:p>
                        <w:pPr>
                          <w:pStyle w:val="27"/>
                          <w:spacing w:before="0" w:beforeAutospacing="0" w:after="0" w:afterAutospacing="0" w:line="200" w:lineRule="exact"/>
                          <w:ind w:firstLine="0" w:firstLineChars="0"/>
                          <w:rPr>
                            <w:sz w:val="24"/>
                            <w:szCs w:val="24"/>
                          </w:rPr>
                        </w:pPr>
                        <w:r>
                          <w:rPr>
                            <w:rFonts w:hint="eastAsia" w:hAnsi="仿宋"/>
                            <w:sz w:val="20"/>
                            <w:szCs w:val="20"/>
                          </w:rPr>
                          <w:t>新建部分</w:t>
                        </w:r>
                        <w:r>
                          <w:rPr>
                            <w:rFonts w:hAnsi="仿宋"/>
                            <w:sz w:val="20"/>
                            <w:szCs w:val="20"/>
                          </w:rPr>
                          <w:t>：</w:t>
                        </w:r>
                        <w:r>
                          <w:rPr>
                            <w:rFonts w:hint="eastAsia" w:hAnsi="仿宋"/>
                            <w:sz w:val="20"/>
                            <w:szCs w:val="20"/>
                          </w:rPr>
                          <w:t>投资</w:t>
                        </w:r>
                        <w:r>
                          <w:rPr>
                            <w:rFonts w:hAnsi="仿宋"/>
                            <w:sz w:val="20"/>
                            <w:szCs w:val="20"/>
                          </w:rPr>
                          <w:t>建设运营移交</w:t>
                        </w:r>
                      </w:p>
                    </w:txbxContent>
                  </v:textbox>
                </v:shape>
                <v:shape id="文本框 6" o:spid="_x0000_s1026" o:spt="202" type="#_x0000_t202" style="position:absolute;left:2809874;top:2084513;height:420076;width:771525;v-text-anchor:middle;" fillcolor="#FFFFFF [3201]" filled="t" stroked="f" coordsize="21600,21600" o:gfxdata="UEsDBAoAAAAAAIdO4kAAAAAAAAAAAAAAAAAEAAAAZHJzL1BLAwQUAAAACACHTuJACnGYotUAAAAF&#10;AQAADwAAAGRycy9kb3ducmV2LnhtbE2PwU7DMBBE70j9B2sr9YKo3QJpCHGqCokD3EgicXXjJYmI&#10;11HspuXvWbjAZaTVrGbe5PuLG8SMU+g9adisFQikxtueWg119XyTggjRkDWDJ9TwhQH2xeIqN5n1&#10;Z3rDuYyt4BAKmdHQxThmUoamQ2fC2o9I7H34yZnI59RKO5kzh7tBbpVKpDM9cUNnRnzqsPksT05D&#10;/56k1F7L8uU1qXd3VTXXh9tZ69Vyox5BRLzEv2f4wWd0KJjp6E9kgxg08JD4q+yl6ZZnHDXcP+wU&#10;yCKX/+mLb1BLAwQUAAAACACHTuJAfi6Cp0sCAABrBAAADgAAAGRycy9lMm9Eb2MueG1srVTLjtMw&#10;FN0j8Q+W9zRpZ/qgmnRUpipCqmCkAbF2Haex5BfXbpPyAfAHs2LDnu/qd3DtNDMwbGZBFsm1fX2u&#10;z/G5ubputSIHAV5aU9DhIKdEGG5LaXYF/fRx/WpGiQ/MlExZIwp6FJ5eL16+uGrcXIxsbVUpgCCI&#10;8fPGFbQOwc2zzPNaaOYH1gmDi5UFzQIOYZeVwBpE1yob5fkkayyUDiwX3uPsqlukZ0R4DqCtKsnF&#10;yvK9FiZ0qCAUC0jJ19J5ukinrSrBw4eq8iIQVVBkGtIbi2C8je9sccXmO2Culvx8BPacIzzhpJk0&#10;WPQBasUCI3uQ/0BpycF6W4UBtzrriCRFkMUwf6LNXc2cSFxQau8eRPf/D5a/P9wCkWVBRxNKDNN4&#10;46f776cfv04/v5FJ1Kdxfo5pdw4TQ/vGtuiaft7jZKTdVqDjFwkRXB/N8tez6SUlR4zz2eV4eNEp&#10;LdpAOCZMp8PxaEwJx4RLdMU0VcoegRz48FZYTWJQUMCLTPqyw8YHPBSm9imxrrdKlmupVBrAbnuj&#10;gBwYXvo6PbE6bvkrTRnSFHRyMc4TsrFxf5enTMQRyT/nelGFjm2MQrttz9JsbXlEZcB23vKOryWe&#10;ecN8uGWAZkKrYbvham3hKyUNmq2g/suegaBEvTN4m9GZfQB9sO0Ds9c3FqkMsTEdTyFugKD6sAKr&#10;P2NXLWMVXGKGY62C8gD94CZ0pse+5GK5TGnoQMfCxtw5HsEjZWOX+2ArmSSORDt2KF4coAeTjOd+&#10;iSb/c5yyHv8Ri9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AKcZii1QAAAAUBAAAPAAAAAAAAAAEA&#10;IAAAACIAAABkcnMvZG93bnJldi54bWxQSwECFAAUAAAACACHTuJAfi6Cp0sCAABrBAAADgAAAAAA&#10;AAABACAAAAAkAQAAZHJzL2Uyb0RvYy54bWxQSwUGAAAAAAYABgBZAQAA4QUAAAAA&#10;">
                  <v:fill on="t" focussize="0,0"/>
                  <v:stroke on="f" weight="0.5pt"/>
                  <v:imagedata o:title=""/>
                  <o:lock v:ext="edit" aspectratio="f"/>
                  <v:textbox inset="0mm,0mm,0mm,0mm">
                    <w:txbxContent>
                      <w:p>
                        <w:pPr>
                          <w:pStyle w:val="27"/>
                          <w:spacing w:before="0" w:beforeAutospacing="0" w:after="0" w:afterAutospacing="0" w:line="200" w:lineRule="exact"/>
                          <w:ind w:firstLine="0" w:firstLineChars="0"/>
                          <w:rPr>
                            <w:sz w:val="24"/>
                            <w:szCs w:val="24"/>
                          </w:rPr>
                        </w:pPr>
                        <w:r>
                          <w:rPr>
                            <w:rFonts w:hint="eastAsia" w:hAnsi="仿宋"/>
                            <w:sz w:val="20"/>
                            <w:szCs w:val="20"/>
                          </w:rPr>
                          <w:t>根据绩效</w:t>
                        </w:r>
                        <w:r>
                          <w:rPr>
                            <w:rFonts w:hAnsi="仿宋"/>
                            <w:sz w:val="20"/>
                            <w:szCs w:val="20"/>
                          </w:rPr>
                          <w:t>考核结果按效付费</w:t>
                        </w:r>
                        <w:r>
                          <w:rPr>
                            <w:rFonts w:hint="eastAsia" w:hAnsi="仿宋"/>
                            <w:sz w:val="20"/>
                            <w:szCs w:val="20"/>
                          </w:rPr>
                          <w:t>（若有）</w:t>
                        </w:r>
                      </w:p>
                    </w:txbxContent>
                  </v:textbox>
                </v:shape>
                <v:shape id="_x0000_s1026" o:spid="_x0000_s1026" o:spt="202" type="#_x0000_t202" style="position:absolute;left:1144761;top:1422988;height:260253;width:1026801;v-text-anchor:middle;" fillcolor="#FFFFFF [3201]" filled="t" stroked="f" coordsize="21600,21600" o:gfxdata="UEsDBAoAAAAAAIdO4kAAAAAAAAAAAAAAAAAEAAAAZHJzL1BLAwQUAAAACACHTuJACnGYotUAAAAF&#10;AQAADwAAAGRycy9kb3ducmV2LnhtbE2PwU7DMBBE70j9B2sr9YKo3QJpCHGqCokD3EgicXXjJYmI&#10;11HspuXvWbjAZaTVrGbe5PuLG8SMU+g9adisFQikxtueWg119XyTggjRkDWDJ9TwhQH2xeIqN5n1&#10;Z3rDuYyt4BAKmdHQxThmUoamQ2fC2o9I7H34yZnI59RKO5kzh7tBbpVKpDM9cUNnRnzqsPksT05D&#10;/56k1F7L8uU1qXd3VTXXh9tZ69Vyox5BRLzEv2f4wWd0KJjp6E9kgxg08JD4q+yl6ZZnHDXcP+wU&#10;yCKX/+mLb1BLAwQUAAAACACHTuJAlQnul0gCAABtBAAADgAAAGRycy9lMm9Eb2MueG1srVRLbtsw&#10;EN0X6B0I7mvJSuK4RuTAjeGigNEGcIuuaYqyCPDXIW3JPUB7g6y66b7nyjk6pKykTTdZ1At5hhy9&#10;4XvzqKvrTityEOClNSUdj3JKhOG2kmZX0k8fV6+mlPjATMWUNaKkR+Hp9fzli6vWzURhG6sqAQRB&#10;jJ+1rqRNCG6WZZ43QjM/sk4Y3KwtaBYwhV1WAWsRXausyPNJ1lqoHFguvMfVZb9JT4jwHEBb15KL&#10;peV7LUzoUUEoFpCSb6TzdJ5OW9eChw917UUgqqTINKQnNsF4G5/Z/IrNdsBcI/npCOw5R3jCSTNp&#10;sOkD1JIFRvYg/4HSkoP1tg4jbnXWE0mKIItx/kSbTcOcSFxQau8eRPf/D5a/P9wCkVVJi0tKDNM4&#10;8fu77/c/ft3//EZwDQVqnZ9h3cZhZeje2A5tM6x7XIy8uxp0/EdGJO6Pz88vJ2NKjhifF8Xr6bSX&#10;WnSB8FiQF5NpjgUcK4pJXlycxYLsEcmBD2+F1SQGJQUcZVKYHdY+9KVDSWzsrZLVSiqVEthtbxSQ&#10;A8Oxr9LvhP5XmTKkLenk7CJPyMbG93toZSKOSA469Ysy9HRjFLptd9Jma6sjSgO2d5d3fCXxzGvm&#10;wy0DtBOaDS8c7jYWvlLSot1K6r/sGQhK1DuD84zeHAIYgu0QmL2+sUgF9UL0FOILENQQ1mD1Z7xX&#10;i9gFt5jh2KukPMCQ3ITe9ngzuVgsUhl60LGwNhvHI3ikbOxiH2wtk8SRaM8ORxMTdGEa0unGRJv/&#10;maeqx6/E/D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2BAAAW0NvbnRlbnRfVHlwZXNdLnhtbFBLAQIUAAoAAAAAAIdO4kAAAAAAAAAAAAAAAAAG&#10;AAAAAAAAAAAAEAAAAJgDAABfcmVscy9QSwECFAAUAAAACACHTuJAihRmPNEAAACUAQAACwAAAAAA&#10;AAABACAAAAC8AwAAX3JlbHMvLnJlbHNQSwECFAAKAAAAAACHTuJAAAAAAAAAAAAAAAAABAAAAAAA&#10;AAAAABAAAAAAAAAAZHJzL1BLAQIUABQAAAAIAIdO4kAKcZii1QAAAAUBAAAPAAAAAAAAAAEAIAAA&#10;ACIAAABkcnMvZG93bnJldi54bWxQSwECFAAUAAAACACHTuJAlQnul0gCAABtBAAADgAAAAAAAAAB&#10;ACAAAAAkAQAAZHJzL2Uyb0RvYy54bWxQSwUGAAAAAAYABgBZAQAA3gUAAAAA&#10;">
                  <v:fill on="t" focussize="0,0"/>
                  <v:stroke on="f" weight="0.5pt"/>
                  <v:imagedata o:title=""/>
                  <o:lock v:ext="edit" aspectratio="f"/>
                  <v:textbox inset="0mm,0mm,0mm,0mm">
                    <w:txbxContent>
                      <w:p>
                        <w:pPr>
                          <w:pStyle w:val="27"/>
                          <w:spacing w:before="0" w:beforeAutospacing="0" w:after="0" w:afterAutospacing="0" w:line="200" w:lineRule="exact"/>
                          <w:ind w:firstLine="0" w:firstLineChars="0"/>
                          <w:rPr>
                            <w:sz w:val="24"/>
                            <w:szCs w:val="24"/>
                          </w:rPr>
                        </w:pPr>
                        <w:r>
                          <w:rPr>
                            <w:rFonts w:hint="eastAsia" w:hAnsi="仿宋"/>
                            <w:sz w:val="20"/>
                            <w:szCs w:val="20"/>
                          </w:rPr>
                          <w:t>签订特许</w:t>
                        </w:r>
                        <w:r>
                          <w:rPr>
                            <w:rFonts w:hAnsi="仿宋"/>
                            <w:sz w:val="20"/>
                            <w:szCs w:val="20"/>
                          </w:rPr>
                          <w:t>经营</w:t>
                        </w:r>
                        <w:r>
                          <w:rPr>
                            <w:rFonts w:hint="eastAsia" w:hAnsi="仿宋"/>
                            <w:sz w:val="20"/>
                            <w:szCs w:val="20"/>
                          </w:rPr>
                          <w:t>协议</w:t>
                        </w:r>
                      </w:p>
                    </w:txbxContent>
                  </v:textbox>
                </v:shape>
                <v:shape id="文本框 6" o:spid="_x0000_s1026" o:spt="202" type="#_x0000_t202" style="position:absolute;left:1789285;top:584237;height:296250;width:647702;v-text-anchor:middle;" fillcolor="#FFFFFF [3201]" filled="t" stroked="f" coordsize="21600,21600" o:gfxdata="UEsDBAoAAAAAAIdO4kAAAAAAAAAAAAAAAAAEAAAAZHJzL1BLAwQUAAAACACHTuJACnGYotUAAAAF&#10;AQAADwAAAGRycy9kb3ducmV2LnhtbE2PwU7DMBBE70j9B2sr9YKo3QJpCHGqCokD3EgicXXjJYmI&#10;11HspuXvWbjAZaTVrGbe5PuLG8SMU+g9adisFQikxtueWg119XyTggjRkDWDJ9TwhQH2xeIqN5n1&#10;Z3rDuYyt4BAKmdHQxThmUoamQ2fC2o9I7H34yZnI59RKO5kzh7tBbpVKpDM9cUNnRnzqsPksT05D&#10;/56k1F7L8uU1qXd3VTXXh9tZ69Vyox5BRLzEv2f4wWd0KJjp6E9kgxg08JD4q+yl6ZZnHDXcP+wU&#10;yCKX/+mLb1BLAwQUAAAACACHTuJAsm0gB0oCAABqBAAADgAAAGRycy9lMm9Eb2MueG1srVTNjtMw&#10;EL4j8Q6W7zRtdrftVk1XpasipBWsVBBn13EaS/5j7DYpDwBvwIkLd56rz8HYaXZhueyBHJKxZzwz&#10;3zefM79ptSIHAV5aU9DRYEiJMNyW0uwK+vHD+tWUEh+YKZmyRhT0KDy9Wbx8MW/cTOS2tqoUQDCJ&#10;8bPGFbQOwc2yzPNaaOYH1gmDzsqCZgGXsMtKYA1m1yrLh8Nx1lgoHVguvMfd285JzxnhOQltVUku&#10;bi3fa2FClxWEYgEh+Vo6Txep26oSPLyvKi8CUQVFpCG9sQja2/jOFnM22wFzteTnFthzWniCSTNp&#10;sOhDqlsWGNmD/CeVlhyst1UYcKuzDkhiBFGMhk+42dTMiYQFqfbugXT//9Lyd4d7ILIsaI5zN0zj&#10;xE/fv51+/Dr9/ErGkZ/G+RmGbRwGhva1bVE1/b7HzQi7rUDHLwIi0T+ZXufTK0qOBb2aXuYXk45o&#10;0QbC0T++nEyGOSUc/fn1OL9Kg8ge8zjw4Y2wmkSjoIBzTPSyw50P2BOG9iGxrLdKlmupVFrAbrtS&#10;QA4MZ75OT6yOR/4KU4Y02MkF1o6njI3nuzhl4o5I8jnXiyR0YKMV2m17ZmZryyMSA7aTlnd8LbHn&#10;O+bDPQPUEioNbxt6awtfKGlQawX1n/cMBCXqrcFhRmH2BvTGtjfMXq8sQhnhvXQ8mXgAgurNCqz+&#10;hJdqGaugixmOtQrKA/SLVeg0j9eSi+UyhaEAHQt3ZuN4TN6RsNwHW8lEcQTaoUPy4gIlmGg8X5eo&#10;8T/XKerxF7H4D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ApxmKLVAAAABQEAAA8AAAAAAAAAAQAg&#10;AAAAIgAAAGRycy9kb3ducmV2LnhtbFBLAQIUABQAAAAIAIdO4kCybSAHSgIAAGoEAAAOAAAAAAAA&#10;AAEAIAAAACQBAABkcnMvZTJvRG9jLnhtbFBLBQYAAAAABgAGAFkBAADgBQAAAAA=&#10;">
                  <v:fill on="t" focussize="0,0"/>
                  <v:stroke on="f" weight="0.5pt"/>
                  <v:imagedata o:title=""/>
                  <o:lock v:ext="edit" aspectratio="f"/>
                  <v:textbox inset="0mm,0mm,0mm,0mm">
                    <w:txbxContent>
                      <w:p>
                        <w:pPr>
                          <w:pStyle w:val="27"/>
                          <w:spacing w:before="0" w:beforeAutospacing="0" w:after="0" w:afterAutospacing="0" w:line="200" w:lineRule="exact"/>
                          <w:ind w:firstLine="0" w:firstLineChars="0"/>
                          <w:rPr>
                            <w:sz w:val="20"/>
                            <w:szCs w:val="20"/>
                          </w:rPr>
                        </w:pPr>
                        <w:r>
                          <w:rPr>
                            <w:rFonts w:hint="eastAsia"/>
                            <w:sz w:val="20"/>
                            <w:szCs w:val="20"/>
                          </w:rPr>
                          <w:t>签订特许经营</w:t>
                        </w:r>
                        <w:r>
                          <w:rPr>
                            <w:sz w:val="20"/>
                            <w:szCs w:val="20"/>
                          </w:rPr>
                          <w:t>投资合同</w:t>
                        </w:r>
                      </w:p>
                    </w:txbxContent>
                  </v:textbox>
                </v:shape>
                <v:shape id="文本框 6" o:spid="_x0000_s1026" o:spt="202" type="#_x0000_t202" style="position:absolute;left:1049510;top:523803;height:212259;width:639150;v-text-anchor:middle;" fillcolor="#FFFFFF [3201]" filled="t" stroked="f" coordsize="21600,21600" o:gfxdata="UEsDBAoAAAAAAIdO4kAAAAAAAAAAAAAAAAAEAAAAZHJzL1BLAwQUAAAACACHTuJACnGYotUAAAAF&#10;AQAADwAAAGRycy9kb3ducmV2LnhtbE2PwU7DMBBE70j9B2sr9YKo3QJpCHGqCokD3EgicXXjJYmI&#10;11HspuXvWbjAZaTVrGbe5PuLG8SMU+g9adisFQikxtueWg119XyTggjRkDWDJ9TwhQH2xeIqN5n1&#10;Z3rDuYyt4BAKmdHQxThmUoamQ2fC2o9I7H34yZnI59RKO5kzh7tBbpVKpDM9cUNnRnzqsPksT05D&#10;/56k1F7L8uU1qXd3VTXXh9tZ69Vyox5BRLzEv2f4wWd0KJjp6E9kgxg08JD4q+yl6ZZnHDXcP+wU&#10;yCKX/+mLb1BLAwQUAAAACACHTuJAZ2VfiEUCAABqBAAADgAAAGRycy9lMm9Eb2MueG1srVTNbtQw&#10;EL4j8Q6W72x+ylbdVbPV0tUipAoqFcTZ6zgbS/5j7N2kPAC8AadeuPNcfQ7GTtJCufRADsnYM/5m&#10;vm/GOb/otSJHAV5aU9FillMiDLe1NPuKfvq4fXVGiQ/M1ExZIyp6Kzy9WL18cd65pShta1UtgCCI&#10;8cvOVbQNwS2zzPNWaOZn1gmDzsaCZgGXsM9qYB2ia5WVeX6adRZqB5YL73F3MzjpiAjPAbRNI7nY&#10;WH7QwoQBFYRiASn5VjpPV6naphE8fGgaLwJRFUWmIb0xCdq7+M5W52y5B+ZayccS2HNKeMJJM2kw&#10;6QPUhgVGDiD/gdKSg/W2CTNudTYQSYogiyJ/os1Ny5xIXFBq7x5E9/8Plr8/XgORdUXLBSWGaez4&#10;/Y/v93e/7n9+I6dRn875JYbdOAwM/Rvb49RM+x43I+2+AR2/SIhEf/56MS9Q49uKzsuTs/xkEFr0&#10;gXD0n54sijm6OfrLoizni+jPHnEc+PBWWE2iUVHAPiZ52fHKhyF0ColpvVWy3kql0gL2u0sF5Miw&#10;59v0jOh/hSlDulgJ1hFPGRvPD9DKxB2RxmfMF0UYyEYr9Lt+VGZn61sUBuwwWt7xrcSar5gP1wxw&#10;lpAm3jb0tha+UtLhrFXUfzkwEJSodwabiSFhMmAydpNhDvrSIpUC76XjycQDENRkNmD1Z7xU65gF&#10;XcxwzFVRHmBaXIZh5vFacrFepzAcQMfClblxPIIPIqwPwTYySRyJDuywNXGBI5iaNF6XOON/rlPU&#10;4y9i9Rt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AKcZii1QAAAAUBAAAPAAAAAAAAAAEAIAAAACIA&#10;AABkcnMvZG93bnJldi54bWxQSwECFAAUAAAACACHTuJAZ2VfiEUCAABqBAAADgAAAAAAAAABACAA&#10;AAAkAQAAZHJzL2Uyb0RvYy54bWxQSwUGAAAAAAYABgBZAQAA2wUAAAAA&#10;">
                  <v:fill on="t" focussize="0,0"/>
                  <v:stroke on="f" weight="0.5pt"/>
                  <v:imagedata o:title=""/>
                  <o:lock v:ext="edit" aspectratio="f"/>
                  <v:textbox inset="0mm,0mm,0mm,0mm">
                    <w:txbxContent>
                      <w:p>
                        <w:pPr>
                          <w:pStyle w:val="27"/>
                          <w:spacing w:before="0" w:beforeAutospacing="0" w:after="0" w:afterAutospacing="0"/>
                          <w:ind w:firstLine="0" w:firstLineChars="0"/>
                          <w:rPr>
                            <w:sz w:val="20"/>
                            <w:szCs w:val="20"/>
                          </w:rPr>
                        </w:pPr>
                        <w:r>
                          <w:rPr>
                            <w:rFonts w:hint="eastAsia" w:ascii="Times New Roman" w:hAnsi="仿宋"/>
                            <w:sz w:val="20"/>
                            <w:szCs w:val="20"/>
                          </w:rPr>
                          <w:t>授权</w:t>
                        </w:r>
                      </w:p>
                    </w:txbxContent>
                  </v:textbox>
                </v:shape>
                <v:shape id="_x0000_s1026" o:spid="_x0000_s1026" o:spt="202" type="#_x0000_t202" style="position:absolute;left:602809;top:190499;height:333375;width:847725;v-text-anchor:middle;" fillcolor="#FFFFFF [3201]" filled="t" stroked="t" coordsize="21600,21600" o:gfxdata="UEsDBAoAAAAAAIdO4kAAAAAAAAAAAAAAAAAEAAAAZHJzL1BLAwQUAAAACACHTuJAnSW+xtMAAAAF&#10;AQAADwAAAGRycy9kb3ducmV2LnhtbE2PwU7DMBBE70j8g7WVuFGnlaAhxOmhiAMSEqLlAxx7iaPa&#10;6yh2kvL3LFzgMtJqVjNv6v0leDHjmPpICjbrAgSSibanTsHH6fm2BJGyJqt9JFTwhQn2zfVVrSsb&#10;F3rH+Zg7wSGUKq3A5TxUUibjMOi0jgMSe59xDDrzOXbSjnrh8ODltijuZdA9cYPTAx4cmvNxCgp2&#10;h5f0Oi/p5GKgJ99KM70Fo9TNalM8gsh4yX/P8IPP6NAwUxsnskl4BTwk/yp7ZbnlGa2Cu4ddAbKp&#10;5X/65htQSwMEFAAAAAgAh07iQCP/m8NgAgAAwgQAAA4AAABkcnMvZTJvRG9jLnhtbK1UzW7bMAy+&#10;D9g7CLqvdtPfBHWKrEWGAcVaoBt2VmQ5NiaJGqXE7h5gfYOddtl9z9XnGCXb7dru0MN8kEmR/kh+&#10;JH1y2hnNtgp9A7bguzs5Z8pKKBu7Lvinj8s3x5z5IGwpNFhV8Bvl+en89auT1s3UBGrQpUJGINbP&#10;WlfwOgQ3yzIva2WE3wGnLBkrQCMCqbjOShQtoRudTfL8MGsBS4cglfd0e94b+YCILwGEqmqkOge5&#10;McqGHhWVFoFK8nXjPJ+nbKtKyXBZVV4FpgtOlYZ0UhCSV/HM5iditkbh6kYOKYiXpPCkJiMaS0Hv&#10;oc5FEGyDzTMo00gED1XYkWCyvpDECFWxmz/h5roWTqVaiGrv7kn3/w9WftheIWvKgu8RJVYY6vjd&#10;j9u7n7/vfn1ndEcEtc7PyO/akWfo3kJHYzPee7qMdXcVmvimihjZD/PJcT7l7IZcp/n+dNoTrbrA&#10;JJmP94+OJgecSbLv0XN0EO3ZA4xDH94pMCwKBUfqY6JXbC986F1HlxjVg27KZaN1UnC9OtPItoJ6&#10;vkzPgP7ITVvWUqJ7B3lCfmSL2PcQKy3kl+cIlK22MZ5KYzbkFbnqOYlS6FbdQOAKyhviD6EfQe/k&#10;sqEoF8KHK4E0c0Q/bWW4pKPSQKnBIHFWA3771330p1EgK2ctzXDB/deNQMWZfm9pSOLAjwKOwmoU&#10;7MacAVG0S/vuZBLpAwx6FCsE85mWdRGjkElYSbEKLgOOylnod4nWXarFIrnRYDsRLuy1kxE8UmRh&#10;sQlQNal1kZieDWp5VGi0U/OHNYy787eevB5+PfM/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zAQAAFtDb250ZW50X1R5cGVzXS54bWxQSwECFAAK&#10;AAAAAACHTuJAAAAAAAAAAAAAAAAABgAAAAAAAAAAABAAAACuAwAAX3JlbHMvUEsBAhQAFAAAAAgA&#10;h07iQIoUZjzRAAAAlAEAAAsAAAAAAAAAAQAgAAAA0gMAAF9yZWxzLy5yZWxzUEsBAhQACgAAAAAA&#10;h07iQAAAAAAAAAAAAAAAAAQAAAAAAAAAAAAQAAAAAAAAAGRycy9QSwECFAAUAAAACACHTuJAnSW+&#10;xtMAAAAFAQAADwAAAAAAAAABACAAAAAiAAAAZHJzL2Rvd25yZXYueG1sUEsBAhQAFAAAAAgAh07i&#10;QCP/m8NgAgAAwgQAAA4AAAAAAAAAAQAgAAAAIgEAAGRycy9lMm9Eb2MueG1sUEsFBgAAAAAGAAYA&#10;WQEAAPQFAAAAAA==&#10;">
                  <v:fill on="t" focussize="0,0"/>
                  <v:stroke weight="0.5pt" color="#000000 [3204]" joinstyle="round"/>
                  <v:imagedata o:title=""/>
                  <o:lock v:ext="edit" aspectratio="f"/>
                  <v:textbox inset="0mm,0mm,0mm,0mm">
                    <w:txbxContent>
                      <w:p>
                        <w:pPr>
                          <w:ind w:firstLine="0" w:firstLineChars="0"/>
                          <w:rPr>
                            <w:rFonts w:ascii="仿宋" w:hAnsi="仿宋"/>
                            <w:sz w:val="24"/>
                            <w:szCs w:val="21"/>
                          </w:rPr>
                        </w:pPr>
                        <w:r>
                          <w:rPr>
                            <w:rFonts w:hint="eastAsia" w:ascii="仿宋" w:hAnsi="仿宋"/>
                            <w:sz w:val="24"/>
                            <w:szCs w:val="21"/>
                          </w:rPr>
                          <w:t>县人民政府</w:t>
                        </w:r>
                      </w:p>
                    </w:txbxContent>
                  </v:textbox>
                </v:shape>
                <v:shape id="文本框 6" o:spid="_x0000_s1026" o:spt="202" type="#_x0000_t202" style="position:absolute;left:326586;top:761026;height:329420;width:1503982;v-text-anchor:middle;" fillcolor="#FFFFFF [3201]" filled="t" stroked="t" coordsize="21600,21600" o:gfxdata="UEsDBAoAAAAAAIdO4kAAAAAAAAAAAAAAAAAEAAAAZHJzL1BLAwQUAAAACACHTuJAnSW+xtMAAAAF&#10;AQAADwAAAGRycy9kb3ducmV2LnhtbE2PwU7DMBBE70j8g7WVuFGnlaAhxOmhiAMSEqLlAxx7iaPa&#10;6yh2kvL3LFzgMtJqVjNv6v0leDHjmPpICjbrAgSSibanTsHH6fm2BJGyJqt9JFTwhQn2zfVVrSsb&#10;F3rH+Zg7wSGUKq3A5TxUUibjMOi0jgMSe59xDDrzOXbSjnrh8ODltijuZdA9cYPTAx4cmvNxCgp2&#10;h5f0Oi/p5GKgJ99KM70Fo9TNalM8gsh4yX/P8IPP6NAwUxsnskl4BTwk/yp7ZbnlGa2Cu4ddAbKp&#10;5X/65htQSwMEFAAAAAgAh07iQIWiSjlVAgAAkgQAAA4AAABkcnMvZTJvRG9jLnhtbK1UzW7TQBC+&#10;I/EOq71TOw4NaVSnCq2CkCKoVBDnzXodr9g/ZjexwwPQN+DEhTvPledgdh23tL30QA7OrGf2m/m+&#10;mfH5RacV2Qnw0pqSjk5ySoThtpJmU9LPn5avppT4wEzFlDWipHvh6cX85Yvz1s1EYRurKgEEQYyf&#10;ta6kTQhulmWeN0Izf2KdMOisLWgW8AibrALWIrpWWZHnk6y1UDmwXHiPb696Jz0iwnMAbV1LLq4s&#10;32phQo8KQrGAlHwjnafzVG1dCx4+1rUXgaiSItOQnpgE7XV8ZvNzNtsAc43kxxLYc0p4xEkzaTDp&#10;HdQVC4xsQT6B0pKD9bYOJ9zqrCeSFEEWo/yRNjcNcyJxQam9uxPd/z9Y/mF3DURWJR2PKDFMY8cP&#10;P28Pv/4cfv8gk6hP6/wMw24cBobure1waob3Hl9G2l0NOv4jIYL+cTE5nU4o2Zf0zWSUFwmHzUQX&#10;CI/XT/Px2bSghGPAuDh7XaRGZPc4Dnx4J6wm0SgpYB+TvGy38gFrwtAhJKb1VslqKZVKB9isLxWQ&#10;HcOeL9MvlotXHoQpQ9qSTsaneUJ+4IvYdxBrxfjXpwiIp0zMJ9KYHeuKYvWiRCt06+6o4NpWexQQ&#10;bD+C3vGlxCwr5sM1A5w5nEjcSvQ2Fr5T0uJMltR/2zIQlKj3BpseB3gwYDDWg2G2+tIiZewjoicT&#10;L0BQg1mD1V9w+RYxC7qY4ZirpDzAcLgM/W7g+nKxWKQwHFTHwsrcOB7BI2VjF9tga5laEYn27FDk&#10;eMBRTXIf1yruwr/nFHX/KZn/B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MEEAABbQ29udGVudF9UeXBlc10ueG1sUEsBAhQACgAAAAAAh07iQAAA&#10;AAAAAAAAAAAAAAYAAAAAAAAAAAAQAAAAowMAAF9yZWxzL1BLAQIUABQAAAAIAIdO4kCKFGY80QAA&#10;AJQBAAALAAAAAAAAAAEAIAAAAMcDAABfcmVscy8ucmVsc1BLAQIUAAoAAAAAAIdO4kAAAAAAAAAA&#10;AAAAAAAEAAAAAAAAAAAAEAAAAAAAAABkcnMvUEsBAhQAFAAAAAgAh07iQJ0lvsbTAAAABQEAAA8A&#10;AAAAAAAAAQAgAAAAIgAAAGRycy9kb3ducmV2LnhtbFBLAQIUABQAAAAIAIdO4kCFoko5VQIAAJIE&#10;AAAOAAAAAAAAAAEAIAAAACIBAABkcnMvZTJvRG9jLnhtbFBLBQYAAAAABgAGAFkBAADpBQAAAAA=&#10;">
                  <v:fill on="t" focussize="0,0"/>
                  <v:stroke weight="0.5pt" color="#000000 [3204]" joinstyle="round"/>
                  <v:imagedata o:title=""/>
                  <o:lock v:ext="edit" aspectratio="f"/>
                  <v:textbox inset="0mm,0mm,0mm,0mm">
                    <w:txbxContent>
                      <w:p>
                        <w:pPr>
                          <w:pStyle w:val="27"/>
                          <w:spacing w:before="0" w:beforeAutospacing="0" w:after="0" w:afterAutospacing="0"/>
                          <w:ind w:firstLine="0" w:firstLineChars="0"/>
                          <w:jc w:val="center"/>
                          <w:rPr>
                            <w:sz w:val="24"/>
                            <w:szCs w:val="24"/>
                          </w:rPr>
                        </w:pPr>
                        <w:r>
                          <w:rPr>
                            <w:rFonts w:hint="eastAsia" w:ascii="Times New Roman" w:hAnsi="仿宋"/>
                            <w:kern w:val="2"/>
                            <w:sz w:val="21"/>
                            <w:szCs w:val="21"/>
                          </w:rPr>
                          <w:t>实施机构（农业</w:t>
                        </w:r>
                        <w:r>
                          <w:rPr>
                            <w:rFonts w:ascii="Times New Roman" w:hAnsi="仿宋"/>
                            <w:kern w:val="2"/>
                            <w:sz w:val="21"/>
                            <w:szCs w:val="21"/>
                          </w:rPr>
                          <w:t>农村局</w:t>
                        </w:r>
                        <w:r>
                          <w:rPr>
                            <w:rFonts w:hint="eastAsia" w:ascii="Times New Roman" w:hAnsi="仿宋"/>
                            <w:kern w:val="2"/>
                            <w:sz w:val="21"/>
                            <w:szCs w:val="21"/>
                          </w:rPr>
                          <w:t>）</w:t>
                        </w:r>
                      </w:p>
                    </w:txbxContent>
                  </v:textbox>
                </v:shape>
                <v:shape id="文本框 6" o:spid="_x0000_s1026" o:spt="202" type="#_x0000_t202" style="position:absolute;left:2478247;top:757070;height:333375;width:982050;v-text-anchor:middle;" fillcolor="#FFFFFF [3201]" filled="t" stroked="t" coordsize="21600,21600" o:gfxdata="UEsDBAoAAAAAAIdO4kAAAAAAAAAAAAAAAAAEAAAAZHJzL1BLAwQUAAAACACHTuJAnSW+xtMAAAAF&#10;AQAADwAAAGRycy9kb3ducmV2LnhtbE2PwU7DMBBE70j8g7WVuFGnlaAhxOmhiAMSEqLlAxx7iaPa&#10;6yh2kvL3LFzgMtJqVjNv6v0leDHjmPpICjbrAgSSibanTsHH6fm2BJGyJqt9JFTwhQn2zfVVrSsb&#10;F3rH+Zg7wSGUKq3A5TxUUibjMOi0jgMSe59xDDrzOXbSjnrh8ODltijuZdA9cYPTAx4cmvNxCgp2&#10;h5f0Oi/p5GKgJ99KM70Fo9TNalM8gsh4yX/P8IPP6NAwUxsnskl4BTwk/yp7ZbnlGa2Cu4ddAbKp&#10;5X/65htQSwMEFAAAAAgAh07iQJJ5GNtOAgAAkgQAAA4AAABkcnMvZTJvRG9jLnhtbK1UzY7TMBC+&#10;I/EOlu803ZZtS9V0VXZVhFTBSgVxdh2nsfAfY7dJeQB4A05cuPNcfQ7GTrILu5c9EKnpODP5Zr5v&#10;ZrK4arQiRwFeWpPTi8GQEmG4LaTZ5/Tjh/WLGSU+MFMwZY3I6Ul4erV8/mxRu7kY2cqqQgBBEOPn&#10;tctpFYKbZ5nnldDMD6wTBp2lBc0CHmGfFcBqRNcqGw2Hk6y2UDiwXHiPT29aJ+0Q4SmAtiwlFzeW&#10;H7QwoUUFoVhASr6SztNlqrYsBQ/vy9KLQFROkWlId0yC9i7es+WCzffAXCV5VwJ7SgkPOGkmDSa9&#10;g7phgZEDyEdQWnKw3pZhwK3OWiJJEWRxMXygzbZiTiQuKLV3d6L7/wfL3x1vgcgip+MRJYZp7Pj5&#10;x/fzz9/nX9/IJOpTOz/HsK3DwNC8tg1OTf/c48NIuylBx38kRNA/ejmd4Y+SU06nl9PhtBNaNIFw&#10;9L+ajYaX2AKO/jFe08sImN3jOPDhjbCaRCOngH1M8rLjxoc2tA+Jab1VslhLpdIB9rtrBeTIsOfr&#10;dHXo/4QpQ+qcTsZYxyOIiH0HsVOMf36MgNUqE98Uacy6uqJYrSjRCs2u6RTc2eKEAoJtR9A7vpaY&#10;ZcN8uGWAM4dy4Fait7LwlZIaZzKn/suBgaBEvTXY9DjAvQG9sesNc9DXFilf4P46nkx8AYLqzRKs&#10;/oTLt4pZ0MUMx1w55QH6w3VodwPXl4vVKoXhoDoWNmbreASPlI1dHYItZWpFJNqywxbGA45qama3&#10;VnEX/j6nqPtPyfI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nSW+xtMAAAAFAQAADwAAAAAAAAAB&#10;ACAAAAAiAAAAZHJzL2Rvd25yZXYueG1sUEsBAhQAFAAAAAgAh07iQJJ5GNtOAgAAkgQAAA4AAAAA&#10;AAAAAQAgAAAAIgEAAGRycy9lMm9Eb2MueG1sUEsFBgAAAAAGAAYAWQEAAOIFAAAAAA==&#10;">
                  <v:fill on="t" focussize="0,0"/>
                  <v:stroke weight="0.5pt" color="#000000 [3204]" joinstyle="round"/>
                  <v:imagedata o:title=""/>
                  <o:lock v:ext="edit" aspectratio="f"/>
                  <v:textbox inset="0mm,0mm,0mm,0mm">
                    <w:txbxContent>
                      <w:p>
                        <w:pPr>
                          <w:pStyle w:val="27"/>
                          <w:spacing w:before="0" w:beforeAutospacing="0" w:after="0" w:afterAutospacing="0"/>
                          <w:ind w:firstLine="0" w:firstLineChars="0"/>
                          <w:jc w:val="center"/>
                          <w:rPr>
                            <w:sz w:val="24"/>
                            <w:szCs w:val="24"/>
                          </w:rPr>
                        </w:pPr>
                        <w:r>
                          <w:rPr>
                            <w:rFonts w:hint="eastAsia" w:ascii="Times New Roman" w:hAnsi="仿宋"/>
                            <w:kern w:val="2"/>
                            <w:sz w:val="21"/>
                            <w:szCs w:val="21"/>
                          </w:rPr>
                          <w:t>中标社会</w:t>
                        </w:r>
                        <w:r>
                          <w:rPr>
                            <w:rFonts w:ascii="Times New Roman" w:hAnsi="仿宋"/>
                            <w:kern w:val="2"/>
                            <w:sz w:val="21"/>
                            <w:szCs w:val="21"/>
                          </w:rPr>
                          <w:t>资本方</w:t>
                        </w:r>
                      </w:p>
                    </w:txbxContent>
                  </v:textbox>
                </v:shape>
                <v:shape id="文本框 6" o:spid="_x0000_s1026" o:spt="202" type="#_x0000_t202" style="position:absolute;left:4660460;top:1494450;height:333375;width:713400;v-text-anchor:middle;" fillcolor="#FFFFFF [3201]" filled="t" stroked="t" coordsize="21600,21600" o:gfxdata="UEsDBAoAAAAAAIdO4kAAAAAAAAAAAAAAAAAEAAAAZHJzL1BLAwQUAAAACACHTuJAnSW+xtMAAAAF&#10;AQAADwAAAGRycy9kb3ducmV2LnhtbE2PwU7DMBBE70j8g7WVuFGnlaAhxOmhiAMSEqLlAxx7iaPa&#10;6yh2kvL3LFzgMtJqVjNv6v0leDHjmPpICjbrAgSSibanTsHH6fm2BJGyJqt9JFTwhQn2zfVVrSsb&#10;F3rH+Zg7wSGUKq3A5TxUUibjMOi0jgMSe59xDDrzOXbSjnrh8ODltijuZdA9cYPTAx4cmvNxCgp2&#10;h5f0Oi/p5GKgJ99KM70Fo9TNalM8gsh4yX/P8IPP6NAwUxsnskl4BTwk/yp7ZbnlGa2Cu4ddAbKp&#10;5X/65htQSwMEFAAAAAgAh07iQE67L4tOAgAAkwQAAA4AAABkcnMvZTJvRG9jLnhtbK1UzY7TMBC+&#10;I/EOlu807TbbhWrTVdmqCGkFKy2Is+s4jYX/GLtNygPAG3Diwp3n6nMwdpJd2F72QA7p2DP5Zr5v&#10;Znp51WpF9gK8tKagk9GYEmG4LaXZFvTjh/WLl5T4wEzJlDWioAfh6dXi+bPLxs3Fma2tKgUQBDF+&#10;3riC1iG4eZZ5XgvN/Mg6YdBZWdAs4BG2WQmsQXStsrPxeJY1FkoHlgvv8XbVOWmPCE8BtFUluVhZ&#10;vtPChA4VhGIBKflaOk8XqdqqEjy8ryovAlEFRaYhvTEJ2pv4zhaXbL4F5mrJ+xLYU0p4xEkzaTDp&#10;PdSKBUZ2IE+gtORgva3CiFuddUSSIshiMn6kzV3NnEhcUGrv7kX3/w+Wv9vfApFlQac5JYZp7Pjx&#10;x/fjz9/HX9/ILOrTOD/HsDuHgaF9bVucmuHe42Wk3Vag4y8SIujPZ7NxPkONDxibv8rz815p0QbC&#10;MeBiMs3H6OcYMMXn4jwiZg9ADnx4I6wm0SgoYCOTvmx/40MXOoTEvN4qWa6lUukA2821ArJn2PR1&#10;enr0f8KUIU1BZ1Os7QQiYt9DbBTjn08RsFpl4pcizVlfV1SrUyVaod20vYQbWx5QQbDdDHrH1xKz&#10;3DAfbhng0KEcuJborS18paTBoSyo/7JjIChRbw12HUPCYMBgbAbD7PS1RcoTXGDHk4kfQFCDWYHV&#10;n3D7ljELupjhmKugPMBwuA7dcuD+crFcpjCcVMfCjblzPIJHysYud8FWMrUiEu3YYQvjAWc1NbPf&#10;q7gMf59T1MN/yeI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nSW+xtMAAAAFAQAADwAAAAAAAAAB&#10;ACAAAAAiAAAAZHJzL2Rvd25yZXYueG1sUEsBAhQAFAAAAAgAh07iQE67L4tOAgAAkwQAAA4AAAAA&#10;AAAAAQAgAAAAIgEAAGRycy9lMm9Eb2MueG1sUEsFBgAAAAAGAAYAWQEAAOIFAAAAAA==&#10;">
                  <v:fill on="t" focussize="0,0"/>
                  <v:stroke weight="0.5pt" color="#000000 [3204]" joinstyle="round"/>
                  <v:imagedata o:title=""/>
                  <o:lock v:ext="edit" aspectratio="f"/>
                  <v:textbox inset="0mm,0mm,0mm,0mm">
                    <w:txbxContent>
                      <w:p>
                        <w:pPr>
                          <w:pStyle w:val="27"/>
                          <w:spacing w:before="0" w:beforeAutospacing="0" w:after="0" w:afterAutospacing="0"/>
                          <w:ind w:firstLine="0" w:firstLineChars="0"/>
                          <w:jc w:val="center"/>
                          <w:rPr>
                            <w:sz w:val="24"/>
                            <w:szCs w:val="24"/>
                          </w:rPr>
                        </w:pPr>
                        <w:r>
                          <w:rPr>
                            <w:rFonts w:hint="eastAsia" w:ascii="Times New Roman" w:hAnsi="仿宋"/>
                            <w:kern w:val="2"/>
                            <w:sz w:val="21"/>
                            <w:szCs w:val="21"/>
                          </w:rPr>
                          <w:t>指定机构</w:t>
                        </w:r>
                      </w:p>
                    </w:txbxContent>
                  </v:textbox>
                </v:shape>
                <v:shape id="文本框 6" o:spid="_x0000_s1026" o:spt="202" type="#_x0000_t202" style="position:absolute;left:1725785;top:2161200;height:410550;width:1019175;v-text-anchor:middle;" fillcolor="#FFFFFF [3201]" filled="t" stroked="t" coordsize="21600,21600" o:gfxdata="UEsDBAoAAAAAAIdO4kAAAAAAAAAAAAAAAAAEAAAAZHJzL1BLAwQUAAAACACHTuJAnSW+xtMAAAAF&#10;AQAADwAAAGRycy9kb3ducmV2LnhtbE2PwU7DMBBE70j8g7WVuFGnlaAhxOmhiAMSEqLlAxx7iaPa&#10;6yh2kvL3LFzgMtJqVjNv6v0leDHjmPpICjbrAgSSibanTsHH6fm2BJGyJqt9JFTwhQn2zfVVrSsb&#10;F3rH+Zg7wSGUKq3A5TxUUibjMOi0jgMSe59xDDrzOXbSjnrh8ODltijuZdA9cYPTAx4cmvNxCgp2&#10;h5f0Oi/p5GKgJ99KM70Fo9TNalM8gsh4yX/P8IPP6NAwUxsnskl4BTwk/yp7ZbnlGa2Cu4ddAbKp&#10;5X/65htQSwMEFAAAAAgAh07iQP5uGopRAgAAlAQAAA4AAABkcnMvZTJvRG9jLnhtbK1UzY7TMBC+&#10;I/EOlu80TZe2S9V0VXZVhFTBSgVxdh2nsfAfY7dJeQB4A05cuPNc+xyMnWYXtpc90EM6jj9/4++b&#10;mcyvWq3IQYCX1hQ0HwwpEYbbUppdQT9+WL24pMQHZkqmrBEFPQpPrxbPn80bNxMjW1tVCiBIYvys&#10;cQWtQ3CzLPO8Fpr5gXXC4GZlQbOAS9hlJbAG2bXKRsPhJGsslA4sF97j25tuk54Y4SmEtqokFzeW&#10;77UwoWMFoVhASb6WztNFum1VCR7eV5UXgaiCotKQnpgE4218Zos5m+2AuVry0xXYU67wSJNm0mDS&#10;e6obFhjZgzyj0pKD9bYKA2511glJjqCKfPjIm03NnEha0Grv7k33/4+WvzvcApFlQS/GlBimseJ3&#10;P77f/fx99+sbmUR/GudnCNs4BIb2tW2xa/r3Hl9G2W0FOv6jIBL3p6Px9BIJjwUd5ZMc6945LdpA&#10;eAQM81f5FAEcES/z4XicANkDkwMf3girSQwKCljJZDA7rH3AWyG0h8TE3ipZrqRSaQG77bUCcmBY&#10;9VX6xfR45B+YMqQp6OQCc59RRO57iq1i/PM5A/IpE0+K1Gine0W7OltiFNpte/Jwa8sjWgi2a0Lv&#10;+EpiljXz4ZYBdh32JM4l7tYWvlLSYFcW1H/ZMxCUqLcGyx5buA+gD7Z9YPb62qLkHCfY8RTiAQiq&#10;Dyuw+hOO3zJmwS1mOOYqKA/QL65DNx04wFwslwmGrepYWJuN45E8SjZ2uQ+2kqkUUWinDk2OC2zW&#10;ZPdpsOI0/L1OqIePyeIP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nSW+xtMAAAAFAQAADwAAAAAA&#10;AAABACAAAAAiAAAAZHJzL2Rvd25yZXYueG1sUEsBAhQAFAAAAAgAh07iQP5uGopRAgAAlAQAAA4A&#10;AAAAAAAAAQAgAAAAIgEAAGRycy9lMm9Eb2MueG1sUEsFBgAAAAAGAAYAWQEAAOUFAAAAAA==&#10;">
                  <v:fill on="t" focussize="0,0"/>
                  <v:stroke weight="0.5pt" color="#000000 [3204]" joinstyle="round"/>
                  <v:imagedata o:title=""/>
                  <o:lock v:ext="edit" aspectratio="f"/>
                  <v:textbox inset="0mm,0mm,0mm,0mm">
                    <w:txbxContent>
                      <w:p>
                        <w:pPr>
                          <w:pStyle w:val="27"/>
                          <w:spacing w:before="0" w:beforeAutospacing="0" w:after="0" w:afterAutospacing="0"/>
                          <w:ind w:firstLine="0" w:firstLineChars="0"/>
                          <w:jc w:val="center"/>
                          <w:rPr>
                            <w:sz w:val="24"/>
                          </w:rPr>
                        </w:pPr>
                        <w:r>
                          <w:rPr>
                            <w:rFonts w:hint="eastAsia" w:ascii="Times New Roman" w:hAnsi="仿宋"/>
                            <w:kern w:val="2"/>
                            <w:sz w:val="24"/>
                          </w:rPr>
                          <w:t>项目公司</w:t>
                        </w:r>
                      </w:p>
                    </w:txbxContent>
                  </v:textbox>
                </v:shape>
                <v:shape id="文本框 6" o:spid="_x0000_s1026" o:spt="202" type="#_x0000_t202" style="position:absolute;left:3621261;top:2113576;height:258150;width:810600;v-text-anchor:middle;" fillcolor="#FFFFFF [3201]" filled="t" stroked="t" coordsize="21600,21600" o:gfxdata="UEsDBAoAAAAAAIdO4kAAAAAAAAAAAAAAAAAEAAAAZHJzL1BLAwQUAAAACACHTuJAnSW+xtMAAAAF&#10;AQAADwAAAGRycy9kb3ducmV2LnhtbE2PwU7DMBBE70j8g7WVuFGnlaAhxOmhiAMSEqLlAxx7iaPa&#10;6yh2kvL3LFzgMtJqVjNv6v0leDHjmPpICjbrAgSSibanTsHH6fm2BJGyJqt9JFTwhQn2zfVVrSsb&#10;F3rH+Zg7wSGUKq3A5TxUUibjMOi0jgMSe59xDDrzOXbSjnrh8ODltijuZdA9cYPTAx4cmvNxCgp2&#10;h5f0Oi/p5GKgJ99KM70Fo9TNalM8gsh4yX/P8IPP6NAwUxsnskl4BTwk/yp7ZbnlGa2Cu4ddAbKp&#10;5X/65htQSwMEFAAAAAgAh07iQEXhx2xSAgAAkwQAAA4AAABkcnMvZTJvRG9jLnhtbK1UzY7TMBC+&#10;I/EOlu9smlYbqmrTVWlVhFTBSgvi7DpOY+E/xm6T8gDwBpz2wp3n2udg7DS7sL3sgRySsT3+Zr5v&#10;ZnJ13WlFDgK8tKak+cWIEmG4raTZlfTTx/WrKSU+MFMxZY0o6VF4ej1/+eKqdTMxto1VlQCCIMbP&#10;WlfSJgQ3yzLPG6GZv7BOGDysLWgWcAm7rALWIrpW2Xg0KrLWQuXAcuE97q76Q3pChOcA2rqWXKws&#10;32thQo8KQrGAlHwjnafzlG1dCx4+1LUXgaiSItOQ3hgE7W18Z/MrNtsBc43kpxTYc1J4wkkzaTDo&#10;A9SKBUb2IM+gtORgva3DBbc664kkRZBFPnqizW3DnEhcUGrvHkT3/w+Wvz/cAJFVSScFJYZprPj9&#10;zx/3d7/vf30nRdSndX6GbrcOHUP3xnbYNcO+x81Iu6tBxy8SIng+Kcb5uMgpOZZ0nOeTy9cJic1E&#10;FwhHh2k+KkZYAx4dLqf5ZapE9gjkwIe3wmoSjZICFjLpyw4bHzApdB1cYlxvlazWUqm0gN12qYAc&#10;GBZ9nZ6YL175x00Z0pa0mGDsM4iI/QCxVYx/OUdAPGXiTZH67JRXVKtXJVqh23YnCbe2OqKCYPse&#10;9I6vJUbZMB9uGGDToRw4lnjaWPhGSYtNWVL/dc9AUKLeGax67ODBgMHYDobZ66VFyqg7oicTL0BQ&#10;g1mD1Z9x+hYxCh4xwzFWSXmAYbEM/XDg/HKxWCQ37FTHwsbcOh7BI2VjF/tga5lKEYn27FDkuMBe&#10;TXKf5ioOw9/r5PX4L5n/A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L4EAABbQ29udGVudF9UeXBlc10ueG1sUEsBAhQACgAAAAAAh07iQAAAAAAA&#10;AAAAAAAAAAYAAAAAAAAAAAAQAAAAoAMAAF9yZWxzL1BLAQIUABQAAAAIAIdO4kCKFGY80QAAAJQB&#10;AAALAAAAAAAAAAEAIAAAAMQDAABfcmVscy8ucmVsc1BLAQIUAAoAAAAAAIdO4kAAAAAAAAAAAAAA&#10;AAAEAAAAAAAAAAAAEAAAAAAAAABkcnMvUEsBAhQAFAAAAAgAh07iQJ0lvsbTAAAABQEAAA8AAAAA&#10;AAAAAQAgAAAAIgAAAGRycy9kb3ducmV2LnhtbFBLAQIUABQAAAAIAIdO4kBF4cdsUgIAAJMEAAAO&#10;AAAAAAAAAAEAIAAAACIBAABkcnMvZTJvRG9jLnhtbFBLBQYAAAAABgAGAFkBAADmBQAAAAA=&#10;">
                  <v:fill on="t" focussize="0,0"/>
                  <v:stroke weight="0.5pt" color="#000000 [3204]" joinstyle="round"/>
                  <v:imagedata o:title=""/>
                  <o:lock v:ext="edit" aspectratio="f"/>
                  <v:textbox inset="0mm,0mm,0mm,0mm">
                    <w:txbxContent>
                      <w:p>
                        <w:pPr>
                          <w:pStyle w:val="27"/>
                          <w:spacing w:before="0" w:beforeAutospacing="0" w:after="0" w:afterAutospacing="0"/>
                          <w:ind w:firstLine="0" w:firstLineChars="0"/>
                          <w:jc w:val="center"/>
                          <w:rPr>
                            <w:sz w:val="24"/>
                            <w:szCs w:val="24"/>
                          </w:rPr>
                        </w:pPr>
                        <w:r>
                          <w:rPr>
                            <w:rFonts w:hint="eastAsia" w:ascii="Times New Roman" w:hAnsi="仿宋"/>
                            <w:kern w:val="2"/>
                            <w:sz w:val="21"/>
                            <w:szCs w:val="21"/>
                          </w:rPr>
                          <w:t>财政局</w:t>
                        </w:r>
                      </w:p>
                    </w:txbxContent>
                  </v:textbox>
                </v:shape>
                <v:shape id="文本框 6" o:spid="_x0000_s1026" o:spt="202" type="#_x0000_t202" style="position:absolute;left:1658993;top:2999400;height:658200;width:1221665;v-text-anchor:middle;" fillcolor="#FFFFFF [3201]" filled="t" stroked="t" coordsize="21600,21600" o:gfxdata="UEsDBAoAAAAAAIdO4kAAAAAAAAAAAAAAAAAEAAAAZHJzL1BLAwQUAAAACACHTuJAnSW+xtMAAAAF&#10;AQAADwAAAGRycy9kb3ducmV2LnhtbE2PwU7DMBBE70j8g7WVuFGnlaAhxOmhiAMSEqLlAxx7iaPa&#10;6yh2kvL3LFzgMtJqVjNv6v0leDHjmPpICjbrAgSSibanTsHH6fm2BJGyJqt9JFTwhQn2zfVVrSsb&#10;F3rH+Zg7wSGUKq3A5TxUUibjMOi0jgMSe59xDDrzOXbSjnrh8ODltijuZdA9cYPTAx4cmvNxCgp2&#10;h5f0Oi/p5GKgJ99KM70Fo9TNalM8gsh4yX/P8IPP6NAwUxsnskl4BTwk/yp7ZbnlGa2Cu4ddAbKp&#10;5X/65htQSwMEFAAAAAgAh07iQMlPMApQAgAAlAQAAA4AAABkcnMvZTJvRG9jLnhtbK1UzY7TMBC+&#10;I/EOlu80/aHVtmq6KrsqQqpgpYI4u47TWPiPsdukPAC8AScu3HmufQ7GTrLL7l72QA7JjGf6jb9v&#10;Zrq8bLQiJwFeWpPT0WBIiTDcFtIccvrp4+bVBSU+MFMwZY3I6Vl4erl6+WJZu4UY28qqQgBBEOMX&#10;tctpFYJbZJnnldDMD6wTBoOlBc0CunDICmA1omuVjYfDWVZbKBxYLrzH0+s2SDtEeA6gLUvJxbXl&#10;Ry1MaFFBKBaQkq+k83SVbluWgocPZelFICqnyDSkNxZBex/f2WrJFgdgrpK8uwJ7zhUecdJMGix6&#10;B3XNAiNHkE+gtORgvS3DgFudtUSSIshiNHykza5iTiQuKLV3d6L7/wfL359ugMgipxPsu2EaO377&#10;88ftrz+3v7+TWdSndn6BaTuHiaF5Yxucmv7c42Gk3ZSg4xcJkRifTS/m8wkl55yO5/P562GntGgC&#10;4TFhPB7NZlNKOGZgMg5GhMzukRz48FZYTaKRU8BOJoHZaetDm9qnxMLeKllspFLJgcP+SgE5Mez6&#10;Jj0d+oM0ZUiN1SfTYUJ+EIvYdxB7xfiXpwh4W2ViPZEGrbtXlKuVJVqh2TedhntbnFFCsO0Qesc3&#10;EqtsmQ83DHDqcCZxLzFaWfhGSY1TmVP/9chAUKLeGWx7HOHegN7Y94Y56iuLlEe4wY4nE38AQfVm&#10;CVZ/xvVbxyoYYoZjrZzyAL1zFdrtwAXmYr1OaTiqjoWt2TkewSNlY9fHYEuZWhGJtuywhdHBYU3N&#10;7BYrbsO/fsq6/zNZ/QV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CdJb7G0wAAAAUBAAAPAAAAAAAA&#10;AAEAIAAAACIAAABkcnMvZG93bnJldi54bWxQSwECFAAUAAAACACHTuJAyU8wClACAACUBAAADgAA&#10;AAAAAAABACAAAAAiAQAAZHJzL2Uyb0RvYy54bWxQSwUGAAAAAAYABgBZAQAA5AUAAAAA&#10;">
                  <v:fill on="t" focussize="0,0"/>
                  <v:stroke weight="0.5pt" color="#000000 [3204]" joinstyle="round"/>
                  <v:imagedata o:title=""/>
                  <o:lock v:ext="edit" aspectratio="f"/>
                  <v:textbox inset="0mm,0mm,0mm,0mm">
                    <w:txbxContent>
                      <w:p>
                        <w:pPr>
                          <w:pStyle w:val="27"/>
                          <w:spacing w:before="0" w:beforeAutospacing="0" w:after="0" w:afterAutospacing="0" w:line="240" w:lineRule="exact"/>
                          <w:ind w:firstLine="0" w:firstLineChars="0"/>
                          <w:jc w:val="center"/>
                          <w:rPr>
                            <w:sz w:val="24"/>
                            <w:szCs w:val="24"/>
                          </w:rPr>
                        </w:pPr>
                        <w:r>
                          <w:rPr>
                            <w:rFonts w:hint="eastAsia"/>
                            <w:sz w:val="20"/>
                            <w:szCs w:val="20"/>
                          </w:rPr>
                          <w:t>同心县高标准农田及现代化高效节水灌区</w:t>
                        </w:r>
                        <w:r>
                          <w:rPr>
                            <w:sz w:val="20"/>
                            <w:szCs w:val="20"/>
                          </w:rPr>
                          <w:t>建设</w:t>
                        </w:r>
                        <w:r>
                          <w:rPr>
                            <w:rFonts w:hint="eastAsia"/>
                            <w:sz w:val="20"/>
                            <w:szCs w:val="20"/>
                          </w:rPr>
                          <w:t>特许经营项目</w:t>
                        </w:r>
                      </w:p>
                    </w:txbxContent>
                  </v:textbox>
                </v:shape>
                <v:shape id="文本框 6" o:spid="_x0000_s1026" o:spt="202" type="#_x0000_t202" style="position:absolute;left:326585;top:3132750;height:333375;width:752476;v-text-anchor:middle;" fillcolor="#FFFFFF [3201]" filled="t" stroked="t" coordsize="21600,21600" o:gfxdata="UEsDBAoAAAAAAIdO4kAAAAAAAAAAAAAAAAAEAAAAZHJzL1BLAwQUAAAACACHTuJAnSW+xtMAAAAF&#10;AQAADwAAAGRycy9kb3ducmV2LnhtbE2PwU7DMBBE70j8g7WVuFGnlaAhxOmhiAMSEqLlAxx7iaPa&#10;6yh2kvL3LFzgMtJqVjNv6v0leDHjmPpICjbrAgSSibanTsHH6fm2BJGyJqt9JFTwhQn2zfVVrSsb&#10;F3rH+Zg7wSGUKq3A5TxUUibjMOi0jgMSe59xDDrzOXbSjnrh8ODltijuZdA9cYPTAx4cmvNxCgp2&#10;h5f0Oi/p5GKgJ99KM70Fo9TNalM8gsh4yX/P8IPP6NAwUxsnskl4BTwk/yp7ZbnlGa2Cu4ddAbKp&#10;5X/65htQSwMEFAAAAAgAh07iQBj1PwhOAgAAkgQAAA4AAABkcnMvZTJvRG9jLnhtbK1UzY7TMBC+&#10;I/EOlu80/aHtUm26KrsqQlrBSgVxdh2nsfAfY7dJeQB4A05cuPNcfQ7GTtKF3cseyCEdeybfzPfN&#10;TC+vGq3IQYCX1uR0NBhSIgy3hTS7nH78sH5xQYkPzBRMWSNyehSeXi2fP7us3UKMbWVVIYAgiPGL&#10;2uW0CsEtsszzSmjmB9YJg87SgmYBj7DLCmA1omuVjYfDWVZbKBxYLrzH25vWSTtEeAqgLUvJxY3l&#10;ey1MaFFBKBaQkq+k83SZqi1LwcP7svQiEJVTZBrSG5OgvY3vbHnJFjtgrpK8K4E9pYQHnDSTBpOe&#10;oW5YYGQP8hGUlhyst2UYcKuzlkhSBFmMhg+02VTMicQFpfbuLLr/f7D83eEOiCxyOnlFiWEaO376&#10;8f308/fp1zcyi/rUzi8wbOMwMDSvbYNT0997vIy0mxJ0/EVCBP2T8Wx6MaXkiOZoMp5PO6FFEwhH&#10;/3w6fjmfUcJjAD7zaQTM7nEc+PBGWE2ikVPAPiZ52eHWhza0D4lpvVWyWEul0gF222sF5MCw5+v0&#10;dOj/hClD6pzOJljbI4iIfYbYKsY/P0bAapWJX4o0Zl1dUaxWlGiFZtt0Cm5tcUQBwbYj6B1fS8xy&#10;y3y4Y4AzhxOJW4neysJXSmqcyZz6L3sGghL11mDT4wD3BvTGtjfMXl9bpDzC/XU8mfgBBNWbJVj9&#10;CZdvFbOgixmOuXLKA/SH69DuBq4vF6tVCsNBdSzcmo3jETxSNna1D7aUqRWRaMsOWxgPOKqpmd1a&#10;xV34+5yi7v9Kln8A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nSW+xtMAAAAFAQAADwAAAAAAAAAB&#10;ACAAAAAiAAAAZHJzL2Rvd25yZXYueG1sUEsBAhQAFAAAAAgAh07iQBj1PwhOAgAAkgQAAA4AAAAA&#10;AAAAAQAgAAAAIgEAAGRycy9lMm9Eb2MueG1sUEsFBgAAAAAGAAYAWQEAAOIFAAAAAA==&#10;">
                  <v:fill on="t" focussize="0,0"/>
                  <v:stroke weight="0.5pt" color="#000000 [3204]" joinstyle="round"/>
                  <v:imagedata o:title=""/>
                  <o:lock v:ext="edit" aspectratio="f"/>
                  <v:textbox inset="0mm,0mm,0mm,0mm">
                    <w:txbxContent>
                      <w:p>
                        <w:pPr>
                          <w:pStyle w:val="27"/>
                          <w:spacing w:before="0" w:beforeAutospacing="0" w:after="0" w:afterAutospacing="0"/>
                          <w:ind w:firstLine="0" w:firstLineChars="0"/>
                          <w:jc w:val="center"/>
                          <w:rPr>
                            <w:sz w:val="24"/>
                            <w:szCs w:val="24"/>
                          </w:rPr>
                        </w:pPr>
                        <w:r>
                          <w:rPr>
                            <w:rFonts w:hint="eastAsia" w:ascii="Times New Roman" w:hAnsi="仿宋"/>
                            <w:kern w:val="2"/>
                            <w:sz w:val="21"/>
                            <w:szCs w:val="21"/>
                          </w:rPr>
                          <w:t>社会公众</w:t>
                        </w:r>
                      </w:p>
                    </w:txbxContent>
                  </v:textbox>
                </v:shape>
                <v:shape id="文本框 6" o:spid="_x0000_s1026" o:spt="202" type="#_x0000_t202" style="position:absolute;left:3964160;top:3168606;height:333375;width:1019175;v-text-anchor:middle;" fillcolor="#FFFFFF [3201]" filled="t" stroked="t" coordsize="21600,21600" o:gfxdata="UEsDBAoAAAAAAIdO4kAAAAAAAAAAAAAAAAAEAAAAZHJzL1BLAwQUAAAACACHTuJAnSW+xtMAAAAF&#10;AQAADwAAAGRycy9kb3ducmV2LnhtbE2PwU7DMBBE70j8g7WVuFGnlaAhxOmhiAMSEqLlAxx7iaPa&#10;6yh2kvL3LFzgMtJqVjNv6v0leDHjmPpICjbrAgSSibanTsHH6fm2BJGyJqt9JFTwhQn2zfVVrSsb&#10;F3rH+Zg7wSGUKq3A5TxUUibjMOi0jgMSe59xDDrzOXbSjnrh8ODltijuZdA9cYPTAx4cmvNxCgp2&#10;h5f0Oi/p5GKgJ99KM70Fo9TNalM8gsh4yX/P8IPP6NAwUxsnskl4BTwk/yp7ZbnlGa2Cu4ddAbKp&#10;5X/65htQSwMEFAAAAAgAh07iQEd6tf5PAgAAlAQAAA4AAABkcnMvZTJvRG9jLnhtbK1UzW7TQBC+&#10;I/EOq70T2/0xbVSnCo2CkCqoVBDnzXodr9g/ZjexywPAG3Diwp3nynMwu45T2l56wAdnZmfyzX7f&#10;zPjisteKbAV4aU1Fi0lOiTDc1tKsK/rp4/LVGSU+MFMzZY2o6J3w9HL28sVF56biyLZW1QIIghg/&#10;7VxF2xDcNMs8b4VmfmKdMBhsLGgW0IV1VgPrEF2r7CjPy6yzUDuwXHiPp4shSPeI8BxA2zSSi4Xl&#10;Gy1MGFBBKBaQkm+l83SWbts0gocPTeNFIKqiyDSkNxZBexXf2eyCTdfAXCv5/grsOVd4xEkzabDo&#10;AWrBAiMbkE+gtORgvW3ChFudDUSSIsiiyB9pc9syJxIXlNq7g+j+/8Hy99sbILKu6AlKYpjGju9+&#10;/tj9+rP7/Z2UUZ/O+Smm3TpMDP0b2+PUjOceDyPtvgEdf5EQwfjxeXlSlAh4h3ZRnpV5QmJT0QfC&#10;I0BenBevTynhMQMftLFUdo/kwIe3wmoSjYoCdjIJzLbXPgypY0os7K2S9VIqlRxYr64UkC3Dri/T&#10;s0d/kKYM6SpaHp/mCflBLGIfIFaK8S9PEfC2ysR6Ig3a/l5RrkGWaIV+1e81XNn6DiUEOwyhd3wp&#10;sco18+GGAU4d6oV7idHWwjdKOpzKivqvGwaCEvXOYNsxJYwGjMZqNMxGX1mkXOAGO55M/AMENZoN&#10;WP0Z128eq2CIGY61KsoDjM5VGLYDF5iL+Tyl4ag6Fq7NreMRPFI2dr4JtpGpFZHowA5bGB0c1tTM&#10;/WLFbfjXT1n3H5PZX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J0lvsbTAAAABQEAAA8AAAAAAAAA&#10;AQAgAAAAIgAAAGRycy9kb3ducmV2LnhtbFBLAQIUABQAAAAIAIdO4kBHerX+TwIAAJQEAAAOAAAA&#10;AAAAAAEAIAAAACIBAABkcnMvZTJvRG9jLnhtbFBLBQYAAAAABgAGAFkBAADjBQAAAAA=&#10;">
                  <v:fill on="t" focussize="0,0"/>
                  <v:stroke weight="0.5pt" color="#000000 [3204]" joinstyle="round"/>
                  <v:imagedata o:title=""/>
                  <o:lock v:ext="edit" aspectratio="f"/>
                  <v:textbox inset="0mm,0mm,0mm,0mm">
                    <w:txbxContent>
                      <w:p>
                        <w:pPr>
                          <w:pStyle w:val="27"/>
                          <w:spacing w:before="0" w:beforeAutospacing="0" w:after="0" w:afterAutospacing="0"/>
                          <w:ind w:firstLine="0" w:firstLineChars="0"/>
                          <w:jc w:val="center"/>
                          <w:rPr>
                            <w:sz w:val="24"/>
                            <w:szCs w:val="24"/>
                          </w:rPr>
                        </w:pPr>
                        <w:r>
                          <w:rPr>
                            <w:rFonts w:hint="eastAsia" w:ascii="Times New Roman" w:hAnsi="仿宋"/>
                            <w:kern w:val="2"/>
                            <w:sz w:val="21"/>
                            <w:szCs w:val="21"/>
                          </w:rPr>
                          <w:t>相关政府</w:t>
                        </w:r>
                        <w:r>
                          <w:rPr>
                            <w:rFonts w:ascii="Times New Roman" w:hAnsi="仿宋"/>
                            <w:kern w:val="2"/>
                            <w:sz w:val="21"/>
                            <w:szCs w:val="21"/>
                          </w:rPr>
                          <w:t>部门</w:t>
                        </w:r>
                      </w:p>
                    </w:txbxContent>
                  </v:textbox>
                </v:shape>
                <v:shape id="_x0000_s1026" o:spid="_x0000_s1026" o:spt="32" type="#_x0000_t32" style="position:absolute;left:1026672;top:523874;height:237151;width:1;" filled="f" stroked="t" coordsize="21600,21600" o:gfxdata="UEsDBAoAAAAAAIdO4kAAAAAAAAAAAAAAAAAEAAAAZHJzL1BLAwQUAAAACACHTuJAZDr8f9MAAAAF&#10;AQAADwAAAGRycy9kb3ducmV2LnhtbE2PwU7DMBBE70j8g7VI3KidVkAa4vSAlBtCohTO23hJQuN1&#10;FLtp+XsWLnAZaTWrmTfl5uwHNdMU+8AWsoUBRdwE13NrYfda3+SgYkJ2OAQmC18UYVNdXpRYuHDi&#10;F5q3qVUSwrFAC11KY6F1bDryGBdhJBbvI0wek5xTq92EJwn3g14ac6c99iwNHY702FFz2B69hafn&#10;db47ZPNc183752riGlf6zdrrq8w8gEp0Tn/P8IMv6FAJ0z4c2UU1WJAh6VfFy/OlzNhbuF3fG9BV&#10;qf/TV99QSwMEFAAAAAgAh07iQG6PNekTAgAA7QMAAA4AAABkcnMvZTJvRG9jLnhtbK1TzY7TMBC+&#10;I/EOlu80bbr9UdR0Dy3LBUEl4AFcx0ks+U9jb9O+BC+AxAk4Aae98zSwPAZjJ3RhueyBHJyxx/PN&#10;fN+MV5dHrchBgJfWlHQyGlMiDLeVNE1J37y+erKkxAdmKqasESU9CU8v148frTpXiNy2VlUCCIIY&#10;X3SupG0Irsgyz1uhmR9ZJww6awuaBdxCk1XAOkTXKsvH43nWWagcWC68x9Nt76QDIjwE0Na15GJr&#10;+bUWJvSoIBQLSMm30nm6TtXWteDhZV17EYgqKTINacUkaO/jmq1XrGiAuVbyoQT2kBLucdJMGkx6&#10;htqywMg1yH+gtORgva3DiFud9USSIshiMr6nzauWOZG4oNTenUX3/w+WvzjsgMiqpBcTSgzT2PHb&#10;dzc/3n68/frl+4ebn9/eR/vzJ4J+FKtzvsCYjdnBsPNuB5H5sQYd/8iJHHGwxvl8vsgpOZV0lk+X&#10;i4tea3EMhEc/JRxd+XQxmSXk7A7CgQ/PhNUkGiX1AZhs2rCxxmBDLUyS1Ozw3AcsAgN/B8T8xl5J&#10;pVJflSFdSefTGXabM5zVGmcETe2QrzcNJUw1+Ah4gITorZJVjI44Hpr9RgE5sDg66YsMMNtf12Lq&#10;LfNtfy+5eqJaBnwnSuqSLs/RrAhMqqemIuHkUOoAkplGiQFZGUwQJe5FjdbeVqekdTrHKUglDBMb&#10;x+zPfYq+e6XrX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GQ6/H/TAAAABQEAAA8AAAAAAAAAAQAg&#10;AAAAIgAAAGRycy9kb3ducmV2LnhtbFBLAQIUABQAAAAIAIdO4kBujzXpEwIAAO0DAAAOAAAAAAAA&#10;AAEAIAAAACIBAABkcnMvZTJvRG9jLnhtbFBLBQYAAAAABgAGAFkBAACnBQAAAAA=&#10;">
                  <v:fill on="f" focussize="0,0"/>
                  <v:stroke weight="0.5pt" color="#000000 [3200]" miterlimit="8" joinstyle="miter" endarrow="block"/>
                  <v:imagedata o:title=""/>
                  <o:lock v:ext="edit" aspectratio="f"/>
                </v:shape>
                <v:shape id="_x0000_s1026" o:spid="_x0000_s1026" o:spt="33" type="#_x0000_t33" style="position:absolute;left:1450534;top:228600;height:1265850;width:3566626;" filled="f" stroked="t" coordsize="21600,21600" o:gfxdata="UEsDBAoAAAAAAIdO4kAAAAAAAAAAAAAAAAAEAAAAZHJzL1BLAwQUAAAACACHTuJAZDKlzNQAAAAF&#10;AQAADwAAAGRycy9kb3ducmV2LnhtbE2PS0/DMBCE70j8B2uRuFE74dE0xKlEJY4c2iLB0Y2XOCVe&#10;R7b74N+zcIHLSKtZzXzTLM9+FEeMaQikoZgpEEhdsAP1Gl63zzcViJQNWTMGQg1fmGDZXl40prbh&#10;RGs8bnIvOIRSbTS4nKdaytQ59CbNwoTE3keI3mQ+Yy9tNCcO96MslXqQ3gzEDc5MuHLYfW4OXsO7&#10;VPuXYN/u9qvCyfJWTev4NGl9fVWoRxAZz/nvGX7wGR1aZtqFA9kkRg08JP8qe1VV8oydhvvFXIFs&#10;G/mfvv0GUEsDBBQAAAAIAIdO4kAfBKfkEwIAAOoDAAAOAAAAZHJzL2Uyb0RvYy54bWytU82O0zAQ&#10;viPxDpbvNGnaRlXUdA8tywVBJeABXMdJLPlPHm9/rjwAZ04ckODEKyCeBtjHYOyELiyXPZCDM/bM&#10;fDPf5/Hq6qQVOQgP0pqaTic5JcJw20jT1fTN6+snS0ogMNMwZY2o6VkAvVo/frQ6ukoUtreqEZ4g&#10;iIHq6Grah+CqLAPeC81gYp0w6Gyt1yzg1ndZ49kR0bXKijwvs6P1jfOWCwA83Q5OOiL6hwDatpVc&#10;bC2/0cKEAdULxQJSgl46oOvUbdsKHl62LYhAVE2RaUgrFkF7H9dsvWJV55nrJR9bYA9p4R4nzaTB&#10;oheoLQuM3Hj5D5SW3FuwbZhwq7OBSFIEWUzze9q86pkTiQtKDe4iOvw/WP7isPNENjWdzygxTOON&#10;3759//3rx9tvH368+/Tzy2eCHpTp6KDC6I3Z+XEHbucj51PrdfwjG3LCkZov8sVsTsm5pkWxLPNR&#10;ZXEKhKN/tijLsigp4RgwLcrFcpEisjsk5yE8E1aTaNR0j7e8scbgbVpfJJ3Z4TkE7AOTfgfHFoy9&#10;lkqlS1WGHGtazhCccIaD2uKAoKkdkgXTUcJUhy+AB58QwSrZxOyIA77bb5QnBxbnJn1RA6z2V1gs&#10;vWXQD3HJNUyUlgEfiZK6pstLNqsCk+qpaUg4O9Q5eMlMp8SIrAwWiCoPukZrb5tzkjud4wikFsZx&#10;jTP25z5l3z3R9S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BkMqXM1AAAAAUBAAAPAAAAAAAAAAEA&#10;IAAAACIAAABkcnMvZG93bnJldi54bWxQSwECFAAUAAAACACHTuJAHwSn5BMCAADqAwAADgAAAAAA&#10;AAABACAAAAAjAQAAZHJzL2Uyb0RvYy54bWxQSwUGAAAAAAYABgBZAQAAqAUAAAAA&#10;">
                  <v:fill on="f" focussize="0,0"/>
                  <v:stroke weight="0.5pt" color="#000000 [3200]" miterlimit="8" joinstyle="miter" endarrow="block"/>
                  <v:imagedata o:title=""/>
                  <o:lock v:ext="edit" aspectratio="f"/>
                </v:shape>
                <v:shape id="_x0000_s1026" o:spid="_x0000_s1026" o:spt="34" type="#_x0000_t34" style="position:absolute;left:1450534;top:357159;flip:x y;height:1885318;width:2981327;" filled="f" stroked="t" coordsize="21600,21600" o:gfxdata="UEsDBAoAAAAAAIdO4kAAAAAAAAAAAAAAAAAEAAAAZHJzL1BLAwQUAAAACACHTuJAdcQfh9YAAAAF&#10;AQAADwAAAGRycy9kb3ducmV2LnhtbE2PwU7DMBBE70j8g7VIXBC1UwlIQ5weiuCAkBChF25uvCQR&#10;9jqK3Sb9e7a9wGWk1axm3pTr2TtxwDH2gTRkCwUCqQm2p1bD9vP5NgcRkyFrXCDUcMQI6+ryojSF&#10;DRN94KFOreAQioXR0KU0FFLGpkNv4iIMSOx9h9GbxOfYSjuaicO9k0ul7qU3PXFDZwbcdNj81Huv&#10;YXZPry/Tqn5/2+TZlpQ91jdfvdbXV5l6BJFwTn/PcMJndKiYaRf2ZKNwGnhIOit7eb7kGTsNd6sH&#10;BbIq5X/66hdQSwMEFAAAAAgAh07iQAcS2jhFAgAAUgQAAA4AAABkcnMvZTJvRG9jLnhtbK1Uu5LT&#10;MBTtmeEfNOo3juM46/XE2SJhoWAgMzx6RZZtMXqNpM2j5QOoqSh2Bip+geFrgP0MrmSTJUuzBSmc&#10;K997z32cI88v91KgLbOOa1XhdDTGiCmqa67aCr95fXVWYOQ8UTURWrEKH5jDl4vHj+Y7U7KJ7rSo&#10;mUUAoly5MxXuvDdlkjjaMUncSBumwNloK4mHo22T2pIdoEuRTMbjWbLTtjZWU+YcvF31Tjwg2ocA&#10;6qbhlK00vZZM+R7VMkE8jOQ6bhxexG6bhlH/smkc80hUGCb18QlFwN6EZ7KYk7K1xHScDi2Qh7Rw&#10;byZJuIKiR6gV8QRdW/4PlOTUaqcbP6JaJv0gcSMwRTq+t5tXHTEszgKrdua4dPf/YOmL7doiXld4&#10;OsVIEQmM377/+OPbze33Tz8/fP719QsCD6xpZ1wJ0Uu1tmFQ55d7FROzGYb/fYWzEJacxIWDM33G&#10;vrESNYKbZyA7HK23wQposAgECOk0H+cZNHIAtPw8zS96gtjeIwr+yUWRZpNzjCgEpEWRZ2kRi5Iy&#10;oAckY51/yrREwajwBgSy1EqBELTNYi2yfe585KoeBib1u9CQFED9lgh0lp/n6YA7RCd3yCFV6Ssu&#10;RBSPUGhX4VmWg6QogQvRgBDBlAaW6lSLEREt3DTqbSzvtOB1yA44zrabpbAIqoIa42+oexIWZlkR&#10;1/Vx0dUvRnIPl1FwWeHimE1KT7h4omrkDwb49JYT1Qo2IAs1sNQTEyja6Pqwtn/YA6lBxImW/z7H&#10;7LtPweI3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tAQAAFtDb250ZW50X1R5cGVzXS54bWxQSwECFAAKAAAAAACHTuJAAAAAAAAAAAAAAAAABgAA&#10;AAAAAAAAABAAAACWAwAAX3JlbHMvUEsBAhQAFAAAAAgAh07iQIoUZjzRAAAAlAEAAAsAAAAAAAAA&#10;AQAgAAAAugMAAF9yZWxzLy5yZWxzUEsBAhQACgAAAAAAh07iQAAAAAAAAAAAAAAAAAQAAAAAAAAA&#10;AAAQAAAAAAAAAGRycy9QSwECFAAUAAAACACHTuJAdcQfh9YAAAAFAQAADwAAAAAAAAABACAAAAAi&#10;AAAAZHJzL2Rvd25yZXYueG1sUEsBAhQAFAAAAAgAh07iQAcS2jhFAgAAUgQAAA4AAAAAAAAAAQAg&#10;AAAAJQEAAGRycy9lMm9Eb2MueG1sUEsFBgAAAAAGAAYAWQEAANwFAAAAAA==&#10;" adj="-1242">
                  <v:fill on="f" focussize="0,0"/>
                  <v:stroke weight="0.5pt" color="#000000 [3200]" miterlimit="8" joinstyle="miter" endarrow="block"/>
                  <v:imagedata o:title=""/>
                  <o:lock v:ext="edit" aspectratio="f"/>
                </v:shape>
                <v:shape id="_x0000_s1026" o:spid="_x0000_s1026" o:spt="32" type="#_x0000_t32" style="position:absolute;left:1806292;top:911382;flip:x;height:0;width:655555;" filled="f" stroked="t" coordsize="21600,21600" o:gfxdata="UEsDBAoAAAAAAIdO4kAAAAAAAAAAAAAAAAAEAAAAZHJzL1BLAwQUAAAACACHTuJA3E+VHNMAAAAF&#10;AQAADwAAAGRycy9kb3ducmV2LnhtbE2PzU7DMBCE70h9B2uRuFG7lSghxKlUBOqxv9zdeJsE7HUU&#10;u0379ixc6GWk1axmvinmF+/EGfvYBtIwGSsQSFWwLdUa9ruPxwxETIascYFQwxUjzMvRXWFyGwba&#10;4HmbasEhFHOjoUmpy6WMVYPexHHokNg7ht6bxGdfS9ubgcO9k1OlZtKblrihMR2+NVh9b09ewxJn&#10;uD6+XzfUhs+VW9TD13K11vrhfqJeQSS8pP9n+MVndCiZ6RBOZKNwGnhI+lP2smzKMw4anl6eFciy&#10;kLf05Q9QSwMEFAAAAAgAh07iQEeV7jsfAgAAEwQAAA4AAABkcnMvZTJvRG9jLnhtbK1TvY4TMRDu&#10;kXgHyz3ZJMdFuVU2VyQcFAhOAh5g4vXuWvKfPL5s8hK8ABIVUAHV9TwNHI/B2BsCHBRX4MIaezzf&#10;zPfNeHG+M5ptZUDlbMUnozFn0gpXK9tW/NXLiwdzzjCCrUE7Kyu+l8jPl/fvLXpfyqnrnK5lYARi&#10;sex9xbsYfVkUKDppAEfOS0vOxgUDkY6hLeoAPaEbXUzH41nRu1D74IREpNv14OQHxHAXQNc0Ssi1&#10;E1dG2jigBqkhEiXslEe+zNU2jRTxedOgjExXnJjGvFMSsjdpL5YLKNsAvlPiUALcpYRbnAwoS0mP&#10;UGuIwK6C+gvKKBEcuiaOhDPFQCQrQiwm41vavOjAy8yFpEZ/FB3/H6x4tr0MTNUVfzjjzIKhjt+8&#10;uf72+v3N509f311///I22R8/MPKTWL3HkmJW9jIcTugvQ2K+a4JhjVb+CU1V1oLYsR0d5uPZ9GzK&#10;2b7iZ5PJyXw6qC53kQnyz07T4kyQPzekGMASqA8YH0tnWDIqjjGAaru4ctZSa10YEsH2KUYqhwJ/&#10;BqRg6y6U1rnD2rKeMp2cUt8F0NQ2NC1kGk/M0bacgW7pO4gYcunotKpTdMLB0G5WOrAtpCHKKzGg&#10;bH88S6nXgN3wLrsGokZF+jFamYrPj9FQdhLqR7Zmce9J9BgU2FbLISSC0v/2UVZtKXlqxCB9sjau&#10;3ueO5HualVzeYa7TMP5+ztG//vLyB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NxPlRzTAAAABQEA&#10;AA8AAAAAAAAAAQAgAAAAIgAAAGRycy9kb3ducmV2LnhtbFBLAQIUABQAAAAIAIdO4kBHle47HwIA&#10;ABMEAAAOAAAAAAAAAAEAIAAAACIBAABkcnMvZTJvRG9jLnhtbFBLBQYAAAAABgAGAFkBAACzBQAA&#10;AAA=&#10;">
                  <v:fill on="f" focussize="0,0"/>
                  <v:stroke weight="0.5pt" color="#000000 [3200]" miterlimit="8" joinstyle="miter" startarrow="block" endarrow="block"/>
                  <v:imagedata o:title=""/>
                  <o:lock v:ext="edit" aspectratio="f"/>
                </v:shape>
                <v:shape id="_x0000_s1026" o:spid="_x0000_s1026" o:spt="32" type="#_x0000_t32" style="position:absolute;left:2744960;top:2242651;flip:x;height:0;width:771526;" filled="f" stroked="t" coordsize="21600,21600" o:gfxdata="UEsDBAoAAAAAAIdO4kAAAAAAAAAAAAAAAAAEAAAAZHJzL1BLAwQUAAAACACHTuJAct4lZNUAAAAF&#10;AQAADwAAAGRycy9kb3ducmV2LnhtbE2PQUvEMBCF74L/IYzgZXGTLajd2nQPq6IgiK7+gGwytsVk&#10;Uprstv57Ry96eTC84b3v1Zs5eHHEMfWRNKyWCgSSja6nVsP72/1FCSJlQ874SKjhCxNsmtOT2lQu&#10;TvSKx11uBYdQqoyGLuehkjLZDoNJyzggsfcRx2Ayn2Mr3WgmDg9eFkpdyWB64obODLjt0H7uDkHD&#10;LO/Wj2phH27paSqc9c8v22mh9fnZSt2AyDjnv2f4wWd0aJhpHw/kkvAaeEj+VfbKsuAZew2X62sF&#10;sqnlf/rmG1BLAwQUAAAACACHTuJA42swQRwCAAD4AwAADgAAAGRycy9lMm9Eb2MueG1srVNLjhMx&#10;EN0jcQfLe9JJk8/QSmcWCQMLBCMBB3Dcdrcl/+TypJNLcAEkVsAKWM2e08BwDMruEGDYzIJetMqu&#10;qlf1XpWX53ujyU4EUM7WdDIaUyIsd42ybU1fv7p4cEYJRGYbpp0VNT0IoOer+/eWva9E6TqnGxEI&#10;glioel/TLkZfFQXwThgGI+eFRad0wbCIx9AWTWA9ohtdlOPxvOhdaHxwXADg7WZw0iNiuAugk1Jx&#10;sXH8yggbB9QgNItICTrlga5yt1IKHl9ICSISXVNkGvMfi6C9Tf9itWRVG5jvFD+2wO7Swi1OhimL&#10;RU9QGxYZuQrqHyijeHDgZBxxZ4qBSFYEWUzGt7R52TEvMheUGvxJdPh/sPz57jIQ1dR0uqDEMoMT&#10;v3l7/f3Nh5svn7+9v/7x9V2yP30k6Eexeg8V5qztZTiewF+GxHwvgyFSK/8UtyprgezIvqblYjp9&#10;NEfBD2iX03I+mwyyi30kHAMWi8msnFPCMSBPpBjQEqoPEJ8IZ0gyagoxMNV2ce2sxdm6MFRiu2cQ&#10;sR9M/JWQkq27UFrnEWtL+prOH86wD85wbSWuC5rGI3WwLSVMt/geeAy5d3BaNSk74UBot2sdyI6l&#10;LcpfYoDV/gpLpTcMuiEuuwaiRkV8MlqZmp6dslkVmdKPbUPiwaPqMShmWy2OyNpigaT2oG+ytq45&#10;ZNnzPS5EbuG4vGnj/jzn7N8PdvUT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ct4lZNUAAAAFAQAA&#10;DwAAAAAAAAABACAAAAAiAAAAZHJzL2Rvd25yZXYueG1sUEsBAhQAFAAAAAgAh07iQONrMEEcAgAA&#10;+AMAAA4AAAAAAAAAAQAgAAAAJAEAAGRycy9lMm9Eb2MueG1sUEsFBgAAAAAGAAYAWQEAALIFAAAA&#10;AA==&#10;">
                  <v:fill on="f" focussize="0,0"/>
                  <v:stroke weight="0.5pt" color="#000000 [3200]" miterlimit="8" joinstyle="miter" endarrow="block"/>
                  <v:imagedata o:title=""/>
                  <o:lock v:ext="edit" aspectratio="f"/>
                </v:shape>
                <v:shape id="_x0000_s1026" o:spid="_x0000_s1026" o:spt="34" type="#_x0000_t34" style="position:absolute;left:2129529;top:1331323;height:598766;width:1080522;rotation:5898240f;" filled="f" stroked="t" coordsize="21600,21600" o:gfxdata="UEsDBAoAAAAAAIdO4kAAAAAAAAAAAAAAAAAEAAAAZHJzL1BLAwQUAAAACACHTuJAcIeWi9MAAAAF&#10;AQAADwAAAGRycy9kb3ducmV2LnhtbE2PzU7DMBCE70i8g7VI3KhTC0pI4/SACjcOaSvO23hxosbr&#10;yHZ/4OkxXOAy0mpWM9/Uq4sbxYlCHDxrmM8KEMSdNwNbDbvty10JIiZkg6Nn0vBJEVbN9VWNlfFn&#10;bum0SVbkEI4VauhTmiopY9eTwzjzE3H2PnxwmPIZrDQBzzncjVIVxUI6HDg39DjRc0/dYXN0GtRi&#10;9/aFrXVBvdJ9O61Vsut3rW9v5sUSRKJL+nuGH/yMDk1m2vsjmyhGDXlI+tXslaXKM/YaHp4eC5BN&#10;Lf/TN99QSwMEFAAAAAgAh07iQG/kKmZFAgAATAQAAA4AAABkcnMvZTJvRG9jLnhtbK1UzXLTMBC+&#10;M8M7aHQnduwmpJ44PSSUCwOdAR5gI8u2GP2NpObnygNw5sSBGXriFRieBuhjsJLdQsulB3xwpGj3&#10;2/2+b+Xl2UFJsuPOC6NrOp3klHDNTCN0V9O3b86fLCjxAXQD0mhe0yP39Gz1+NFybytemN7IhjuC&#10;INpXe1vTPgRbZZlnPVfgJ8ZyjYetcQoCbl2XNQ72iK5kVuT5PNsb11hnGPce/90Mh3REdA8BNG0r&#10;GN8Ydqm4DgOq4xICUvK9sJ6uUrdty1l41baeByJrikxDemMRXG/jO1stoeoc2F6wsQV4SAv3OCkQ&#10;GoveQm0gALl04h8oJZgz3rRhwozKBiJJEWQxze9p87oHyxMXlNrbW9H9/4NlL3cXjoimpifouwaF&#10;jl+///jj2+fr759+fvjy6+sVwROUaW99hdFrfeEiUR/WB50Sy4Li76GmRQzL7sTFjbdDxqF1ijiD&#10;FsxO8vgkwVACEnOnxemsOKXkiDNZltOyKAdv+CEQhgHTfJHPCizFMGJ2ung6n6dyUEXc2JF1Pjzn&#10;RpG4qOkWR2NttMYRMK5MtWD3wofkUjNShebdlJJWSTR9B5LMUl+RBlRjNK5ukGOqNudCyjQ2UpN9&#10;TeflDIeJAV6FFkcQl8qinF53lIDs8I6x4FJ5b6RoYnbSz3XbtXQEq+Icpmfkcycslt6A74e4dDTo&#10;okTAayiFquniNhuqAEI+0w0JR4tOBidAd5KPyFKP/gyWRHO2pjleuBvfcMgS9fFCxCn+e5+y/3wE&#10;Vr8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cIeWi9MAAAAFAQAADwAAAAAAAAABACAAAAAiAAAA&#10;ZHJzL2Rvd25yZXYueG1sUEsBAhQAFAAAAAgAh07iQG/kKmZFAgAATAQAAA4AAAAAAAAAAQAgAAAA&#10;IgEAAGRycy9lMm9Eb2MueG1sUEsFBgAAAAAGAAYAWQEAANkFAAAAAA==&#10;" adj="10800">
                  <v:fill on="f" focussize="0,0"/>
                  <v:stroke weight="0.5pt" color="#000000 [3200]" miterlimit="8" joinstyle="miter" endarrow="block"/>
                  <v:imagedata o:title=""/>
                  <o:lock v:ext="edit" aspectratio="f"/>
                </v:shape>
                <v:shape id="_x0000_s1026" o:spid="_x0000_s1026" o:spt="34" type="#_x0000_t34" style="position:absolute;left:326585;top:925735;flip:x y;height:1440739;width:1399199;rotation:11796480f;" filled="f" stroked="t" coordsize="21600,21600" o:gfxdata="UEsDBAoAAAAAAIdO4kAAAAAAAAAAAAAAAAAEAAAAZHJzL1BLAwQUAAAACACHTuJAZuKbe9QAAAAF&#10;AQAADwAAAGRycy9kb3ducmV2LnhtbE2PQUvEMBCF74L/IYzgzU22oNbadMGK6ElxV/CabWabYjIp&#10;Tba7/ntHL+7lwfCG975Xr47BixmnNETSsFwoEEhdtAP1Gj42T1cliJQNWeMjoYZvTLBqzs9qU9l4&#10;oHec17kXHEKpMhpczmMlZeocBpMWcURibxenYDKfUy/tZA4cHrwslLqRwQzEDc6M2Drsvtb7oAEf&#10;Cufd7NoX9fac2t3rplWfj1pfXizVPYiMx/z/DL/4jA4NM23jnmwSXgMPyX/KXlkWPGOr4fruVoFs&#10;anlK3/wAUEsDBBQAAAAIAIdO4kD/2xBXVwIAAHwEAAAOAAAAZHJzL2Uyb0RvYy54bWytVL2S0zAQ&#10;7pnhHTTqL7bjSy72xLki4aBg4Gb46RVZtsXobyRdnLQ8ADUVBTNQ8QoMTwPcY7CSTe6H5gpcyCvv&#10;6vt2v115eb6XAu2YdVyrCmeTFCOmqK65aiv85vXFyQIj54mqidCKVfjAHD5fPX607E3JprrTomYW&#10;AYhyZW8q3HlvyiRxtGOSuIk2TIGz0VYSD1vbJrUlPaBLkUzTdJ702tbGasqcg6+bwYlHRPsQQN00&#10;nLKNpleSKT+gWiaIh5Jcx43Dq5ht0zDqXzaNYx6JCkOlPq5AAvY2rMlqScrWEtNxOqZAHpLCvZok&#10;4QpIj1Ab4gm6svwfKMmp1U43fkK1TIZCoiJQRZbe0+ZVRwyLtYDUzhxFd/8Plr7YXVrE6wrPQBJF&#10;JHT8+v3Hn98/X//49OvDl9/fviLwgEy9cSVEr9WlDYU6v96reDDPMLz3MEuDmkzVR9fstiu5AxE2&#10;zgxg+8ZKZDV0J0sXaXgwagQ3zwJotN4GK/CCZAi48ul8tgD0Q4WL6ewsn43ce49oSCUviqwoMKIQ&#10;kJ2epmd5ESISUgauAGSs80+ZligYFd7CJK21UjAx2uaRiuyeOx+bWo/KkPpdyEcKmJEdEegkm+f5&#10;YgQew4HiL3Q4q/QFFyKOmVCor/A8D0pTAlengZEFUxqQ36kWIyJauJPU28jvtOB1OB1wnG23a2ER&#10;0MLcDhoNBd0JC9Qb4rohLroGZST3cG0FlxUeFY45ecLFE1UjfzDQeW85Ua1gY0VCgWI3fQrWVteH&#10;SxuIww6GMmo6XqAw9bf3Mermp7H6A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Gbim3vUAAAABQEA&#10;AA8AAAAAAAAAAQAgAAAAIgAAAGRycy9kb3ducmV2LnhtbFBLAQIUABQAAAAIAIdO4kD/2xBXVwIA&#10;AHwEAAAOAAAAAAAAAAEAIAAAACMBAABkcnMvZTJvRG9jLnhtbFBLBQYAAAAABgAGAFkBAADsBQAA&#10;AAA=&#10;" adj="-3529">
                  <v:fill on="f" focussize="0,0"/>
                  <v:stroke weight="0.5pt" color="#000000 [3200]" miterlimit="8" joinstyle="miter" endarrow="block"/>
                  <v:imagedata o:title=""/>
                  <o:lock v:ext="edit" aspectratio="f"/>
                </v:shape>
                <v:shape id="_x0000_s1026" o:spid="_x0000_s1026" o:spt="34" type="#_x0000_t34" style="position:absolute;left:1121598;top:1047425;flip:y;height:1156796;width:1070754;rotation:5898240f;" filled="f" stroked="t" coordsize="21600,21600" o:gfxdata="UEsDBAoAAAAAAIdO4kAAAAAAAAAAAAAAAAAEAAAAZHJzL1BLAwQUAAAACACHTuJAtiuLg9cAAAAF&#10;AQAADwAAAGRycy9kb3ducmV2LnhtbE2PwU7DMBBE75X6D9YicWvtVoWGEKeHSghV4lAKFVc3XuJA&#10;vI5itw18PUsvcBlpNauZN8Vq8K04YR+bQBpmUwUCqQq2oVrD68vDJAMRkyFr2kCo4QsjrMrxqDC5&#10;DWd6xtMu1YJDKOZGg0upy6WMlUNv4jR0SOy9h96bxGdfS9ubM4f7Vs6VupXeNMQNznS4dlh97o5e&#10;w6PchO/9frvMknvbbJtFGD6eFlpfX83UPYiEQ/p7hl98RoeSmQ7hSDaKVgMPSRdlL8vmPOOg4eZu&#10;qUCWhfxPX/4AUEsDBBQAAAAIAIdO4kCRayHBWwIAAI8EAAAOAAAAZHJzL2Uyb0RvYy54bWytVL1y&#10;1DAQ7pnhHTTqie1LfJd4zpfijtAwkBl++j1ZtsXobyTlfloegJqKghmoeAWGpwHyGKxk5yCBIgUu&#10;fCvv7rf6vt29+flOSbLhzguja1oc5ZRwzUwjdFfTVy8vHp1S4gPoBqTRvKZ77un54uGD+dZWfGJ6&#10;IxvuCIJoX21tTfsQbJVlnvVcgT8ylmt0tsYpCHh0XdY42CK6ktkkz6fZ1rjGOsO49/h1NTjpiOju&#10;A2jaVjC+MuxKcR0GVMclBKTke2E9XaTbti1n4Xnbeh6IrCkyDemNRdBex3e2mEPVObC9YOMV4D5X&#10;uMNJgdBY9AC1ggDkyom/oJRgznjThiNmVDYQSYogiyK/o82LHixPXFBqbw+i+/8Hy55tLh0RTU3L&#10;ghINCjt+/fb9968fr799+PHu088vnwl6UKat9RVGL/Wli0R9WO50SjwuKf7uDmpy3RxciJlck4iQ&#10;3YKIB28HsF3rFHEGu1NMcUbwoaSVwr7GD0lWFIpghaKYFOUZDuge7fxkdjIphw7yXSAsBuSzfFae&#10;UMJiRFFOZ2fTVBqqWCNe3DofnnCjSDRqusYJWhqtcVKMO07FYPPUh9TMZlQEmjfIpFUSZ2MDkpTp&#10;ipESVGM0WjfIMVWbCyFlmi6pybam0+MSSTHAjWlxUtFUFlX3uqMEZIeryIJL5b2RoonZSWbXrZfS&#10;EayKAqdn5HMrLJZege+HuOQahFEi4LZKoWp6esiGqufQPNYNCXuLDQ9OgO4kH1ICCPlvH3KUeuzj&#10;0LrYxLVp9pfupr84p0mWcafiIvx5Ttm//0cWvwB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LBAAAW0NvbnRlbnRfVHlwZXNdLnhtbFBLAQIUAAoA&#10;AAAAAIdO4kAAAAAAAAAAAAAAAAAGAAAAAAAAAAAAEAAAAK0DAABfcmVscy9QSwECFAAUAAAACACH&#10;TuJAihRmPNEAAACUAQAACwAAAAAAAAABACAAAADRAwAAX3JlbHMvLnJlbHNQSwECFAAKAAAAAACH&#10;TuJAAAAAAAAAAAAAAAAABAAAAAAAAAAAABAAAAAAAAAAZHJzL1BLAQIUABQAAAAIAIdO4kC2K4uD&#10;1wAAAAUBAAAPAAAAAAAAAAEAIAAAACIAAABkcnMvZG93bnJldi54bWxQSwECFAAUAAAACACHTuJA&#10;kWshwVsCAACPBAAADgAAAAAAAAABACAAAAAmAQAAZHJzL2Uyb0RvYy54bWxQSwUGAAAAAAYABgBZ&#10;AQAA8wUAAAAA&#10;" adj="10800">
                  <v:fill on="f" focussize="0,0"/>
                  <v:stroke weight="0.5pt" color="#000000 [3200]" miterlimit="8" joinstyle="miter" startarrow="block" endarrow="block"/>
                  <v:imagedata o:title=""/>
                  <o:lock v:ext="edit" aspectratio="f"/>
                </v:shape>
                <v:shape id="_x0000_s1026" o:spid="_x0000_s1026" o:spt="33" type="#_x0000_t33" style="position:absolute;left:2755460;top:1827825;flip:y;height:724875;width:2261700;" filled="f" stroked="t" coordsize="21600,21600" o:gfxdata="UEsDBAoAAAAAAIdO4kAAAAAAAAAAAAAAAAAEAAAAZHJzL1BLAwQUAAAACACHTuJARXo0B9cAAAAF&#10;AQAADwAAAGRycy9kb3ducmV2LnhtbE2PQUvDQBCF74L/YRnBm91NsZqm2RQRcxOKsSLettkxCc3O&#10;huy2jf31jl708mB4w3vfy9eT68URx9B50pDMFAik2tuOGg3b1/ImBRGiIWt6T6jhCwOsi8uL3GTW&#10;n+gFj1VsBIdQyIyGNsYhkzLULToTZn5AYu/Tj85EPsdG2tGcONz1cq7UnXSmI25ozYCPLdb76uA0&#10;2M27O5fPD2+b9Paj2u6fymlxTrS+vkrUCkTEKf49ww8+o0PBTDt/IBtEr4GHxF9lL03nPGOnYbG8&#10;VyCLXP6nL74BUEsDBBQAAAAIAIdO4kBwMobkGQIAAPQDAAAOAAAAZHJzL2Uyb0RvYy54bWytU72O&#10;EzEQ7pF4B8s92WS5/GiVzRUJR4MgEj+947V3LflPHl82aXkAaioKJKjuFRBPA9xjMPaGAEdzBVus&#10;xp6Zb+b7Zry8PBhN9iKAcramk9GYEmG5a5Rta/r61dWjBSUQmW2YdlbU9CiAXq4ePlj2vhKl65xu&#10;RCAIYqHqfU27GH1VFMA7YRiMnBcWndIFwyIeQ1s0gfWIbnRRjsezoneh8cFxAYC3m8FJT4jhPoBO&#10;SsXFxvFrI2wcUIPQLCIl6JQHusrdSil4fCEliEh0TZFpzH8sgvYu/YvVklVtYL5T/NQCu08LdzgZ&#10;piwWPUNtWGTkOqh/oIziwYGTccSdKQYiWRFkMRnf0eZlx7zIXFBq8GfR4f/B8uf7bSCqqem0pMQy&#10;gxO/ffv+25ePt18/fH/36cfNZ4IelKn3UGH02m7D6QR+GxLngwyGSK38G9ynrALyIoealvPp9GKG&#10;Uh/RsSjni3I6CC4OkfAUUM4m8zEGcIyYlxeLeQ4oBsyE7QPEp8IZkoya7nDea2ctztWFMtdi+2cQ&#10;sSNM+hWcEq27Ulrn8WpL+prOHk9TIYYrK3FV0DQeaYNtKWG6xbfAY8iI4LRqUnbCgdDu1jqQPUsb&#10;lL/EAav9FZZKbxh0Q1x2DVSNivhctDI1XZyzWRWZ0k9sQ+LRo+IxKGZbLU7I2mKBpPegcLJ2rjlm&#10;4fM9LkNu4bS4adv+POfs34919R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FejQH1wAAAAUBAAAP&#10;AAAAAAAAAAEAIAAAACIAAABkcnMvZG93bnJldi54bWxQSwECFAAUAAAACACHTuJAcDKG5BkCAAD0&#10;AwAADgAAAAAAAAABACAAAAAmAQAAZHJzL2Uyb0RvYy54bWxQSwUGAAAAAAYABgBZAQAAsQUAAAAA&#10;">
                  <v:fill on="f" focussize="0,0"/>
                  <v:stroke weight="0.5pt" color="#000000 [3200]" miterlimit="8" joinstyle="miter" endarrow="block"/>
                  <v:imagedata o:title=""/>
                  <o:lock v:ext="edit" aspectratio="f"/>
                </v:shape>
                <v:shape id="_x0000_s1026" o:spid="_x0000_s1026" o:spt="32" type="#_x0000_t32" style="position:absolute;left:2235373;top:2571750;height:427650;width:487;" filled="f" stroked="t" coordsize="21600,21600" o:gfxdata="UEsDBAoAAAAAAIdO4kAAAAAAAAAAAAAAAAAEAAAAZHJzL1BLAwQUAAAACACHTuJAZDr8f9MAAAAF&#10;AQAADwAAAGRycy9kb3ducmV2LnhtbE2PwU7DMBBE70j8g7VI3KidVkAa4vSAlBtCohTO23hJQuN1&#10;FLtp+XsWLnAZaTWrmTfl5uwHNdMU+8AWsoUBRdwE13NrYfda3+SgYkJ2OAQmC18UYVNdXpRYuHDi&#10;F5q3qVUSwrFAC11KY6F1bDryGBdhJBbvI0wek5xTq92EJwn3g14ac6c99iwNHY702FFz2B69hafn&#10;db47ZPNc183752riGlf6zdrrq8w8gEp0Tn/P8IMv6FAJ0z4c2UU1WJAh6VfFy/OlzNhbuF3fG9BV&#10;qf/TV99QSwMEFAAAAAgAh07iQBGb1s0UAgAA8AMAAA4AAABkcnMvZTJvRG9jLnhtbK1TzY7TMBC+&#10;I/EOlu80bbr9UdR0Dy3LBUEl4AFcx0ks+U9jb9O+BC+AxAk4Aae98zSwPAZjJ3RhueyBHJyxx/PN&#10;fJ9nVpdHrchBgJfWlHQyGlMiDLeVNE1J37y+erKkxAdmKqasESU9CU8v148frTpXiNy2VlUCCIIY&#10;X3SupG0Irsgyz1uhmR9ZJww6awuaBdxCk1XAOkTXKsvH43nWWagcWC68x9Nt76QDIjwE0Na15GJr&#10;+bUWJvSoIBQLSMm30nm6TtXWteDhZV17EYgqKTINacUkaO/jmq1XrGiAuVbyoQT2kBLucdJMGkx6&#10;htqywMg1yH+gtORgva3DiFud9USSIshiMr6nzauWOZG4oNTenUX3/w+WvzjsgMiqpLMpJYZpfPHb&#10;dzc/3n68/frl+4ebn9/eR/vzJ4J+FKtzvsCYjdnBsPNuB5H5sQYd/8iJHEua59PZdIGYJ7Rni8li&#10;NogtjoFwvHCxXFDC0XuRL+a9M7tDceDDM2E1iUZJfQAmmzZsrDH4phYmSW12eO4D1oGBvwNiCcZe&#10;SaXS0ypDupLOp5iAcIbtWmOboKkdUvamoYSpBueAB0iI3ipZxeiI46HZbxSQA4vdk76oAWb761pM&#10;vWW+7e8lV99XWgYcFSV1SZfnaFYEJtVTU5Fwcqh2AMlMo8SArAwmiCr3ukZrb6tTkjudYyOkEoam&#10;jZ325z5F3w3q+h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BkOvx/0wAAAAUBAAAPAAAAAAAAAAEA&#10;IAAAACIAAABkcnMvZG93bnJldi54bWxQSwECFAAUAAAACACHTuJAEZvWzRQCAADwAwAADgAAAAAA&#10;AAABACAAAAAiAQAAZHJzL2Uyb0RvYy54bWxQSwUGAAAAAAYABgBZAQAAqAUAAAAA&#10;">
                  <v:fill on="f" focussize="0,0"/>
                  <v:stroke weight="0.5pt" color="#000000 [3200]" miterlimit="8" joinstyle="miter" endarrow="block"/>
                  <v:imagedata o:title=""/>
                  <o:lock v:ext="edit" aspectratio="f"/>
                </v:shape>
                <v:shape id="_x0000_s1026" o:spid="_x0000_s1026" o:spt="32" type="#_x0000_t32" style="position:absolute;left:1079061;top:3295163;flip:y;height:4275;width:580049;" filled="f" stroked="t" coordsize="21600,21600" o:gfxdata="UEsDBAoAAAAAAIdO4kAAAAAAAAAAAAAAAAAEAAAAZHJzL1BLAwQUAAAACACHTuJAct4lZNUAAAAF&#10;AQAADwAAAGRycy9kb3ducmV2LnhtbE2PQUvEMBCF74L/IYzgZXGTLajd2nQPq6IgiK7+gGwytsVk&#10;Uprstv57Ry96eTC84b3v1Zs5eHHEMfWRNKyWCgSSja6nVsP72/1FCSJlQ874SKjhCxNsmtOT2lQu&#10;TvSKx11uBYdQqoyGLuehkjLZDoNJyzggsfcRx2Ayn2Mr3WgmDg9eFkpdyWB64obODLjt0H7uDkHD&#10;LO/Wj2phH27paSqc9c8v22mh9fnZSt2AyDjnv2f4wWd0aJhpHw/kkvAaeEj+VfbKsuAZew2X62sF&#10;sqnlf/rmG1BLAwQUAAAACACHTuJAqudcbB0CAAD7AwAADgAAAGRycy9lMm9Eb2MueG1srVO7jhMx&#10;FO2R+AfLPZnJczejTLZIWBoEkXj0jsczY8kvXXszyU/wA0hUQAVU2/M1sHwG155hgaXZAhfW9X0c&#10;33N8vbo4akUOAry0pqTjUU6JMNxW0jQlffXy8tE5JT4wUzFljSjpSXh6sX74YNW5Qkxsa1UlgCCI&#10;8UXnStqG4Ios87wVmvmRdcJgsLagWcAjNFkFrEN0rbJJni+yzkLlwHLhPXq3fZAOiHAfQFvXkout&#10;5VdamNCjglAsICXfSufpOnVb14KH53XtRSCqpMg0pB0vQXsf92y9YkUDzLWSDy2w+7Rwh5Nm0uCl&#10;t1BbFhi5AvkPlJYcrLd1GHGrs55IUgRZjPM72rxomROJC0rt3a3o/v/B8meHHRBZlXQ+o8QwjS9+&#10;8/b6+5sPN18+f3t//ePru2h/+kgwjmJ1zhdYszE7GE7e7SAyP9agSa2ke41TlbRAduSIh/xsmS/G&#10;lJxKOp0s5+PFtJddHAPhmDA/z/PZkhKOCbPJ2TxGsx4wAjvw4YmwmkSjpD4Ak00bNtYYfF4L/WXs&#10;8NSHvvBXQSw29lIqhX5WKEO6ki6mc3x7znBya5wYNLVD9t40lDDV4JfgAVL73ipZxepY7KHZbxSQ&#10;A4uDlNbQ5l9p8eot822fl0I9Vy0D/holdUmRLa7eHZhUj01Fwsmh8AEkM40SA7IyqEMUvJc4Wntb&#10;nZLyyY8zkZQa5jcO3Z/nVP37z65/Al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HLeJWTVAAAABQEA&#10;AA8AAAAAAAAAAQAgAAAAIgAAAGRycy9kb3ducmV2LnhtbFBLAQIUABQAAAAIAIdO4kCq51xsHQIA&#10;APsDAAAOAAAAAAAAAAEAIAAAACQBAABkcnMvZTJvRG9jLnhtbFBLBQYAAAAABgAGAFkBAACzBQAA&#10;AAA=&#10;">
                  <v:fill on="f" focussize="0,0"/>
                  <v:stroke weight="0.5pt" color="#000000 [3200]" miterlimit="8" joinstyle="miter" endarrow="block"/>
                  <v:imagedata o:title=""/>
                  <o:lock v:ext="edit" aspectratio="f"/>
                </v:shape>
                <v:shape id="_x0000_s1026" o:spid="_x0000_s1026" o:spt="32" type="#_x0000_t32" style="position:absolute;left:2880557;top:3328500;flip:x y;height:6794;width:1083464;" filled="f" stroked="t" coordsize="21600,21600" o:gfxdata="UEsDBAoAAAAAAIdO4kAAAAAAAAAAAAAAAAAEAAAAZHJzL1BLAwQUAAAACACHTuJAI4uTktUAAAAF&#10;AQAADwAAAGRycy9kb3ducmV2LnhtbE2PzU7DMBCE70i8g7VI3KjdVBQ3xKlafm5IiILE1bWXJCJe&#10;R7Gblrdn4QKXkVazmvmmWp9CLyYcUxfJwHymQCC56DtqDLy9Pl5pEClb8raPhAa+MMG6Pj+rbOnj&#10;kV5w2uVGcAil0hpocx5KKZNrMdg0iwMSex9xDDbzOTbSj/bI4aGXhVJLGWxH3NDaAe9adJ+7QzDw&#10;3K3ut08bvZiCK/TmwS22avluzOXFXN2CyHjKf8/wg8/oUDPTPh7IJ9Eb4CH5V9nTuuAZewPXqxsF&#10;sq7kf/r6G1BLAwQUAAAACACHTuJA4FCsbj4CAABIBAAADgAAAGRycy9lMm9Eb2MueG1srVTNjtMw&#10;EL4j8Q6W7zTZpumGqOkeWhYOCCrxc3cdJ7HkP9nepn0JXgCJE+wJOO2dp4HlMRg72S67XPZADtE4&#10;4/lmvm9msjjbS4F2zDquVYVPJilGTFFdc9VW+N3b8ycFRs4TVROhFavwgTl8tnz8aNGbkk11p0XN&#10;LAIQ5creVLjz3pRJ4mjHJHETbZgCZ6OtJB6Otk1qS3pAlyKZpuk86bWtjdWUOQdf14MTj4j2IYC6&#10;aThla00vJFN+QLVMEA+UXMeNw8tYbdMw6l83jWMeiQoDUx/fkATsbXgnywUpW0tMx+lYAnlICfc4&#10;ScIVJD1CrYkn6MLyf6Akp1Y73fgJ1TIZiERFgMVJek+bNx0xLHIBqZ05iu7+Hyx9tdtYxOsK5zlG&#10;ikjo+PXHq18fvlx///bz89XvH5+C/fUSgR/E6o0rIWalNjbQdX61VzF8Boryeg8TNWjKVH3jymCi&#10;oisLruQORDg4M4DtGytRI7h5EVCi9T5YIREohQB8WhRpnp9idKhwlk2LPB1byPYe0ZA9LbLZfIYR&#10;hRvz06ezmJKUATvgGOv8c6YlCkaFnbeEt51faaVgVrQdspHdS+dDrbcBIVjpcy5EHBmhUA8Jshxo&#10;UwJr0MD4gSkNSOlUixERLewX9TbW77TgdYiOqtl2uxIW7UiYyviMZd65FkpcE9cN96Jr0FZyDyso&#10;uKxwcYwmpSdcPFM18gcDXfSWE9UKNiILNUo/qB103+r6sLE3LYEBi4THZQgT/Pc5Rt/+AJZ/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COLk5LVAAAABQEAAA8AAAAAAAAAAQAgAAAAIgAAAGRycy9k&#10;b3ducmV2LnhtbFBLAQIUABQAAAAIAIdO4kDgUKxuPgIAAEgEAAAOAAAAAAAAAAEAIAAAACQBAABk&#10;cnMvZTJvRG9jLnhtbFBLBQYAAAAABgAGAFkBAADUBQAAAAA=&#10;">
                  <v:fill on="f" focussize="0,0"/>
                  <v:stroke weight="0.5pt" color="#000000 [3200]" miterlimit="8" joinstyle="miter" endarrow="block"/>
                  <v:imagedata o:title=""/>
                  <o:lock v:ext="edit" aspectratio="f"/>
                </v:shape>
                <v:shape id="_x0000_s1026" o:spid="_x0000_s1026" o:spt="32" type="#_x0000_t32" style="position:absolute;left:1830567;top:1009270;height:0;width:659418;" filled="f" stroked="t" coordsize="21600,21600" o:gfxdata="UEsDBAoAAAAAAIdO4kAAAAAAAAAAAAAAAAAEAAAAZHJzL1BLAwQUAAAACACHTuJAZDr8f9MAAAAF&#10;AQAADwAAAGRycy9kb3ducmV2LnhtbE2PwU7DMBBE70j8g7VI3KidVkAa4vSAlBtCohTO23hJQuN1&#10;FLtp+XsWLnAZaTWrmTfl5uwHNdMU+8AWsoUBRdwE13NrYfda3+SgYkJ2OAQmC18UYVNdXpRYuHDi&#10;F5q3qVUSwrFAC11KY6F1bDryGBdhJBbvI0wek5xTq92EJwn3g14ac6c99iwNHY702FFz2B69hafn&#10;db47ZPNc183752riGlf6zdrrq8w8gEp0Tn/P8IMv6FAJ0z4c2UU1WJAh6VfFy/OlzNhbuF3fG9BV&#10;qf/TV99QSwMEFAAAAAgAh07iQJym67QUAgAA7gMAAA4AAABkcnMvZTJvRG9jLnhtbK1TzXLTMBC+&#10;M8M7aHQndlKSpp44PSSUCwOZgT6AIsu2ZvQ3KzVOXoIXYIYTcKKceudpoH0MVrJJoVx6wAd75dV+&#10;u9+nT4vzvVZkJ8BLa0o6HuWUCMNtJU1T0st3F8/mlPjATMWUNaKkB+Hp+fLpk0XnCjGxrVWVAIIg&#10;xhedK2kbgiuyzPNWaOZH1gmDydqCZgGX0GQVsA7RtcomeT7LOguVA8uF9/h33SfpgAiPAbR1LblY&#10;W36lhQk9KgjFAlLyrXSeLtO0dS14eFPXXgSiSopMQ3pjE4y38Z0tF6xogLlW8mEE9pgRHnDSTBps&#10;eoRas8DIFch/oLTkYL2tw4hbnfVEkiLIYpw/0OZty5xIXFBq746i+/8Hy1/vNkBkVdLpKSWGaTzx&#10;2w83P99/vv12/ePTzd33jzH++oVgHsXqnC+wZmU2MKy820Bkvq9Bxy9yIns01vwkn84Q84Bxnp9N&#10;TgexxT4Qjhtm07PnY/Qaxw0pld1jOPDhpbCaxKCkPgCTTRtW1hg8UQvjpDXbvfIBp8DC3wVxAGMv&#10;pFLpYJUhHXY6meJxc4ZmrdEkGGqHhL1pKGGqwVvAAyREb5WsYnXE8dBsVwrIjkXvpCcqgN3+2hZb&#10;r5lv+30p1btKy4AXRUld0vmxmhWBSfXCVCQcHGodQDLTKDEgK4MNosa9qjHa2uqQxE7/0QZphMGy&#10;0Wd/rlP1/TVd/gJ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BkOvx/0wAAAAUBAAAPAAAAAAAAAAEA&#10;IAAAACIAAABkcnMvZG93bnJldi54bWxQSwECFAAUAAAACACHTuJAnKbrtBQCAADuAwAADgAAAAAA&#10;AAABACAAAAAiAQAAZHJzL2Uyb0RvYy54bWxQSwUGAAAAAAYABgBZAQAAqAUAAAAA&#10;">
                  <v:fill on="f" focussize="0,0"/>
                  <v:stroke weight="0.5pt" color="#000000 [3200]" miterlimit="8" joinstyle="miter" endarrow="block"/>
                  <v:imagedata o:title=""/>
                  <o:lock v:ext="edit" aspectratio="f"/>
                </v:shape>
                <v:shape id="文本框 6" o:spid="_x0000_s1026" o:spt="202" type="#_x0000_t202" style="position:absolute;left:556701;top:2378475;height:200660;width:781685;v-text-anchor:middle;" fillcolor="#FFFFFF [3201]" filled="t" stroked="f" coordsize="21600,21600" o:gfxdata="UEsDBAoAAAAAAIdO4kAAAAAAAAAAAAAAAAAEAAAAZHJzL1BLAwQUAAAACACHTuJACnGYotUAAAAF&#10;AQAADwAAAGRycy9kb3ducmV2LnhtbE2PwU7DMBBE70j9B2sr9YKo3QJpCHGqCokD3EgicXXjJYmI&#10;11HspuXvWbjAZaTVrGbe5PuLG8SMU+g9adisFQikxtueWg119XyTggjRkDWDJ9TwhQH2xeIqN5n1&#10;Z3rDuYyt4BAKmdHQxThmUoamQ2fC2o9I7H34yZnI59RKO5kzh7tBbpVKpDM9cUNnRnzqsPksT05D&#10;/56k1F7L8uU1qXd3VTXXh9tZ69Vyox5BRLzEv2f4wWd0KJjp6E9kgxg08JD4q+yl6ZZnHDXcP+wU&#10;yCKX/+mLb1BLAwQUAAAACACHTuJARVh3AEkCAABqBAAADgAAAGRycy9lMm9Eb2MueG1srVTNbtQw&#10;EL4j8Q6W7zS7LfujVbPV0moRUgWVCuLsdZyNJdtjxt5NygPAG3DqhTvPtc/B2Nm0UC49kEMy9oy/&#10;8ff5c84vOmvYXmHQ4Eo+PhlxppyESrttyT99XL+acxaicJUw4FTJ71TgF8uXL85bv1Cn0ICpFDIC&#10;cWHR+pI3MfpFUQTZKCvCCXjlKFkDWhFpiNuiQtESujXF6Wg0LVrAyiNIFQLNXvVJfkTE5wBCXWup&#10;rkDurHKxR0VlRCRKodE+8GXebV0rGT/UdVCRmZIT05jf1ITiTXoXy3Ox2KLwjZbHLYjnbOEJJyu0&#10;o6YPUFciCrZD/Q+U1RIhQB1PJNiiJ5IVIRbj0RNtbhvhVeZCUgf/IHr4f7Dy/f4Gma5KPh1z5oSl&#10;Ez/8+H64/3X4+Y1Nkz6tDwsqu/VUGLs30JFrhvlAk4l2V6NNXyLEKD+ZTGcjwrsr+enZbP56NumF&#10;Vl1kkvKz+Xg6n3AmUwF5YpoPonjE8RjiWwWWpaDkSOeY5RX76xBpT1Q6lKS2AYyu1tqYPMDt5tIg&#10;2ws683V+Unda8leZcawl1meTUUZ2kNb3dcYlHJXtc+yXROjJpih2m+6ozAaqOxIGobdW8HKtac/X&#10;IsQbgeQlchrdNso2gF85a8lrJQ9fdgIVZ+ado8NMxhwCHILNELidvQSiQnoSeg5pAUYzhDWC/UyX&#10;apW6UEo4Sb1KLiMOg8vYe56upVSrVS4jA3oRr92tlwk8UXaw2kWodZY4Ee3ZkXhpQBbMMh6vS/L4&#10;n+Nc9fiLWP4G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CnGYotUAAAAFAQAADwAAAAAAAAABACAA&#10;AAAiAAAAZHJzL2Rvd25yZXYueG1sUEsBAhQAFAAAAAgAh07iQEVYdwBJAgAAagQAAA4AAAAAAAAA&#10;AQAgAAAAJAEAAGRycy9lMm9Eb2MueG1sUEsFBgAAAAAGAAYAWQEAAN8FAAAAAA==&#10;">
                  <v:fill on="t" focussize="0,0"/>
                  <v:stroke on="f" weight="0.5pt"/>
                  <v:imagedata o:title=""/>
                  <o:lock v:ext="edit" aspectratio="f"/>
                  <v:textbox inset="0mm,0mm,0mm,0mm">
                    <w:txbxContent>
                      <w:p>
                        <w:pPr>
                          <w:pStyle w:val="27"/>
                          <w:spacing w:before="0" w:beforeAutospacing="0" w:after="0" w:afterAutospacing="0" w:line="200" w:lineRule="exact"/>
                          <w:ind w:firstLine="0" w:firstLineChars="0"/>
                          <w:rPr>
                            <w:sz w:val="24"/>
                            <w:szCs w:val="24"/>
                          </w:rPr>
                        </w:pPr>
                        <w:r>
                          <w:rPr>
                            <w:rFonts w:hint="eastAsia" w:hAnsi="仿宋"/>
                            <w:sz w:val="20"/>
                            <w:szCs w:val="20"/>
                          </w:rPr>
                          <w:t>绩效考核</w:t>
                        </w:r>
                      </w:p>
                    </w:txbxContent>
                  </v:textbox>
                </v:shape>
                <v:shape id="文本框 6" o:spid="_x0000_s1026" o:spt="202" type="#_x0000_t202" style="position:absolute;left:4279460;top:428625;height:961050;width:276225;v-text-anchor:middle;" fillcolor="#FFFFFF [3201]" filled="t" stroked="f" coordsize="21600,21600" o:gfxdata="UEsDBAoAAAAAAIdO4kAAAAAAAAAAAAAAAAAEAAAAZHJzL1BLAwQUAAAACACHTuJACnGYotUAAAAF&#10;AQAADwAAAGRycy9kb3ducmV2LnhtbE2PwU7DMBBE70j9B2sr9YKo3QJpCHGqCokD3EgicXXjJYmI&#10;11HspuXvWbjAZaTVrGbe5PuLG8SMU+g9adisFQikxtueWg119XyTggjRkDWDJ9TwhQH2xeIqN5n1&#10;Z3rDuYyt4BAKmdHQxThmUoamQ2fC2o9I7H34yZnI59RKO5kzh7tBbpVKpDM9cUNnRnzqsPksT05D&#10;/56k1F7L8uU1qXd3VTXXh9tZ69Vyox5BRLzEv2f4wWd0KJjp6E9kgxg08JD4q+yl6ZZnHDXcP+wU&#10;yCKX/+mLb1BLAwQUAAAACACHTuJArGJEZ0YCAABqBAAADgAAAGRycy9lMm9Eb2MueG1srVTNbtNA&#10;EL4j8Q6rvRMnpnXbKE4VEgUhRVCpIM6b9Tpeaf+Y3cQODwBv0BMX7jxXn4PZddxCufSAD/b87cx8&#10;3854dt1pRQ4CvLSmpJPRmBJhuK2k2ZX008f1q0tKfGCmYsoaUdKj8PR6/vLFrHVTkdvGqkoAwSTG&#10;T1tX0iYEN80yzxuhmR9ZJww6awuaBVRhl1XAWsyuVZaPx0XWWqgcWC68R+uqd9JTRnhOQlvXkouV&#10;5XstTOizglAsICTfSOfpPHVb14KHD3XtRSCqpIg0pDcWQXkb39l8xqY7YK6R/NQCe04LTzBpJg0W&#10;fUi1YoGRPch/UmnJwXpbhxG3OuuBJEYQxWT8hJvbhjmRsCDV3j2Q7v9fWv7+cANEViUtckoM03jj&#10;93ff73/8uv/5jRSRn9b5KYbdOgwM3Rvb4dQMdo/GCLurQccvAiLoP8svrs4K5PgY5csiP++JFl0g&#10;HP35RZGjjXD0XxWT8Xm6iOwxjwMf3gqrSRRKCniPiV522PiAPWHoEBLLeqtktZZKJQV226UCcmB4&#10;5+v0xOp45K8wZUiLqF9j7XjK2Hi+j1MmWkQan1O9SEIPNkqh23YnZra2OiIxYPvR8o6vJfa8YT7c&#10;MMBZQhZw29DbWPhKSYuzVlL/Zc9AUKLeGbzMOJiDAIOwHQSz10uLUCa4l44nEQ9AUINYg9WfcakW&#10;sQq6mOFYq6Q8wKAsQz/zuJZcLBYpDAfQsbAxt47H5D0Ji32wtUwUR6A9OiQvKjiCicbTusQZ/1NP&#10;UY+/iPlv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tAQAAFtDb250ZW50X1R5cGVzXS54bWxQSwECFAAKAAAAAACHTuJAAAAAAAAAAAAAAAAABgAA&#10;AAAAAAAAABAAAACWAwAAX3JlbHMvUEsBAhQAFAAAAAgAh07iQIoUZjzRAAAAlAEAAAsAAAAAAAAA&#10;AQAgAAAAugMAAF9yZWxzLy5yZWxzUEsBAhQACgAAAAAAh07iQAAAAAAAAAAAAAAAAAQAAAAAAAAA&#10;AAAQAAAAAAAAAGRycy9QSwECFAAUAAAACACHTuJACnGYotUAAAAFAQAADwAAAAAAAAABACAAAAAi&#10;AAAAZHJzL2Rvd25yZXYueG1sUEsBAhQAFAAAAAgAh07iQKxiRGdGAgAAagQAAA4AAAAAAAAAAQAg&#10;AAAAJAEAAGRycy9lMm9Eb2MueG1sUEsFBgAAAAAGAAYAWQEAANwFAAAAAA==&#10;">
                  <v:fill on="t" focussize="0,0"/>
                  <v:stroke on="f" weight="0.5pt"/>
                  <v:imagedata o:title=""/>
                  <o:lock v:ext="edit" aspectratio="f"/>
                  <v:textbox inset="0mm,0mm,0mm,0mm">
                    <w:txbxContent>
                      <w:p>
                        <w:pPr>
                          <w:pStyle w:val="27"/>
                          <w:spacing w:before="0" w:beforeAutospacing="0" w:after="0" w:afterAutospacing="0" w:line="200" w:lineRule="exact"/>
                          <w:ind w:firstLine="0" w:firstLineChars="0"/>
                          <w:rPr>
                            <w:sz w:val="24"/>
                            <w:szCs w:val="24"/>
                          </w:rPr>
                        </w:pPr>
                        <w:r>
                          <w:rPr>
                            <w:rFonts w:hint="eastAsia" w:hAnsi="仿宋"/>
                            <w:sz w:val="20"/>
                            <w:szCs w:val="20"/>
                          </w:rPr>
                          <w:t>审核项目</w:t>
                        </w:r>
                        <w:r>
                          <w:rPr>
                            <w:rFonts w:hAnsi="仿宋"/>
                            <w:sz w:val="20"/>
                            <w:szCs w:val="20"/>
                          </w:rPr>
                          <w:t>支出预算并报政府同意</w:t>
                        </w:r>
                      </w:p>
                    </w:txbxContent>
                  </v:textbox>
                </v:shape>
                <v:shape id="文本框 6" o:spid="_x0000_s1026" o:spt="202" type="#_x0000_t202" style="position:absolute;left:4849984;top:630488;height:296250;width:133351;v-text-anchor:middle;" fillcolor="#FFFFFF [3201]" filled="t" stroked="f" coordsize="21600,21600" o:gfxdata="UEsDBAoAAAAAAIdO4kAAAAAAAAAAAAAAAAAEAAAAZHJzL1BLAwQUAAAACACHTuJACnGYotUAAAAF&#10;AQAADwAAAGRycy9kb3ducmV2LnhtbE2PwU7DMBBE70j9B2sr9YKo3QJpCHGqCokD3EgicXXjJYmI&#10;11HspuXvWbjAZaTVrGbe5PuLG8SMU+g9adisFQikxtueWg119XyTggjRkDWDJ9TwhQH2xeIqN5n1&#10;Z3rDuYyt4BAKmdHQxThmUoamQ2fC2o9I7H34yZnI59RKO5kzh7tBbpVKpDM9cUNnRnzqsPksT05D&#10;/56k1F7L8uU1qXd3VTXXh9tZ69Vyox5BRLzEv2f4wWd0KJjp6E9kgxg08JD4q+yl6ZZnHDXcP+wU&#10;yCKX/+mLb1BLAwQUAAAACACHTuJAioVjjUYCAABqBAAADgAAAGRycy9lMm9Eb2MueG1srVRLjhMx&#10;EN0jcQfLe9L5TZRE6YxCoiCkCEYaEGvH7U5b8o+yk+5wALgBKzbsOVfOQdmdnoFhMwuySMqu8qt6&#10;z89Z3DZakZMAL63J6aDXp0QYbgtpDjn9+GH7akqJD8wUTFkjcnoWnt4uX75Y1G4uhrayqhBAEMT4&#10;ee1yWoXg5lnmeSU08z3rhMFkaUGzgEs4ZAWwGtG1yob9/iSrLRQOLBfe4+6mTdIrIjwH0Jal5GJj&#10;+VELE1pUEIoFpOQr6TxdpmnLUvDwviy9CETlFJmG9I1NMN7H72y5YPMDMFdJfh2BPWeEJ5w0kwab&#10;PkBtWGDkCPIfKC05WG/L0ONWZy2RpAiyGPSfaHNfMScSF5TauwfR/f+D5e9Od0BkkdPJiBLDNN74&#10;5fu3y49fl59fySTqUzs/x7J7h4WheW0bdE2373Ez0m5K0PEXCRHMj6fj2Ww6puQccfvj6bQVWjSB&#10;8Hh+NBrdDCjhmB/OJsObdBHZI44DH94Iq0kMcgp4j0ledtr5gDNhaVcS23qrZLGVSqUFHPZrBeTE&#10;8M636RO745G/ypQhdZwOe8dTxsbzbZ0ycUck+1z7RRFasjEKzb65KrO3xRmFAdtayzu+lTjzjvlw&#10;xwC9hE7D14bZysIXSmr0Wk795yMDQYl6a/AyozG7ALpg3wXmqNcWqaBeiJ5CPABBdWEJVn/CR7WK&#10;XTDFDMdeOeUBusU6tJ7HZ8nFapXK0ICOhZ25dzyCtyKsjsGWMkkcibbsULy4QAsmGa/PJXr8z3Wq&#10;evyLWP4G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tAQAAFtDb250ZW50X1R5cGVzXS54bWxQSwECFAAKAAAAAACHTuJAAAAAAAAAAAAAAAAABgAA&#10;AAAAAAAAABAAAACWAwAAX3JlbHMvUEsBAhQAFAAAAAgAh07iQIoUZjzRAAAAlAEAAAsAAAAAAAAA&#10;AQAgAAAAugMAAF9yZWxzLy5yZWxzUEsBAhQACgAAAAAAh07iQAAAAAAAAAAAAAAAAAQAAAAAAAAA&#10;AAAQAAAAAAAAAGRycy9QSwECFAAUAAAACACHTuJACnGYotUAAAAFAQAADwAAAAAAAAABACAAAAAi&#10;AAAAZHJzL2Rvd25yZXYueG1sUEsBAhQAFAAAAAgAh07iQIqFY41GAgAAagQAAA4AAAAAAAAAAQAg&#10;AAAAJAEAAGRycy9lMm9Eb2MueG1sUEsFBgAAAAAGAAYAWQEAANwFAAAAAA==&#10;">
                  <v:fill on="t" focussize="0,0"/>
                  <v:stroke on="f" weight="0.5pt"/>
                  <v:imagedata o:title=""/>
                  <o:lock v:ext="edit" aspectratio="f"/>
                  <v:textbox inset="0mm,0mm,0mm,0mm">
                    <w:txbxContent>
                      <w:p>
                        <w:pPr>
                          <w:pStyle w:val="27"/>
                          <w:spacing w:before="0" w:beforeAutospacing="0" w:after="0" w:afterAutospacing="0" w:line="200" w:lineRule="exact"/>
                          <w:ind w:firstLine="0" w:firstLineChars="0"/>
                          <w:rPr>
                            <w:sz w:val="24"/>
                            <w:szCs w:val="24"/>
                          </w:rPr>
                        </w:pPr>
                        <w:r>
                          <w:rPr>
                            <w:rFonts w:hAnsi="仿宋"/>
                            <w:sz w:val="20"/>
                            <w:szCs w:val="20"/>
                          </w:rPr>
                          <w:t>指定</w:t>
                        </w:r>
                      </w:p>
                    </w:txbxContent>
                  </v:textbox>
                </v:shape>
                <v:shape id="文本框 6" o:spid="_x0000_s1026" o:spt="202" type="#_x0000_t202" style="position:absolute;left:3487910;top:2571750;height:142875;width:1458300;v-text-anchor:middle;" fillcolor="#FFFFFF [3201]" filled="t" stroked="f" coordsize="21600,21600" o:gfxdata="UEsDBAoAAAAAAIdO4kAAAAAAAAAAAAAAAAAEAAAAZHJzL1BLAwQUAAAACACHTuJACnGYotUAAAAF&#10;AQAADwAAAGRycy9kb3ducmV2LnhtbE2PwU7DMBBE70j9B2sr9YKo3QJpCHGqCokD3EgicXXjJYmI&#10;11HspuXvWbjAZaTVrGbe5PuLG8SMU+g9adisFQikxtueWg119XyTggjRkDWDJ9TwhQH2xeIqN5n1&#10;Z3rDuYyt4BAKmdHQxThmUoamQ2fC2o9I7H34yZnI59RKO5kzh7tBbpVKpDM9cUNnRnzqsPksT05D&#10;/56k1F7L8uU1qXd3VTXXh9tZ69Vyox5BRLzEv2f4wWd0KJjp6E9kgxg08JD4q+yl6ZZnHDXcP+wU&#10;yCKX/+mLb1BLAwQUAAAACACHTuJAOTwjp0gCAABsBAAADgAAAGRycy9lMm9Eb2MueG1srVTNjtMw&#10;EL4j8Q6W7zRtt39Um67KVkVIK1hpQZxdx2ks+Y+x26Q8ALzBnrhw57n6HIydZBeWyx7IIRl7xt/M&#10;9804l1eNVuQowEtrcjoaDCkRhttCmn1OP33cvlpQ4gMzBVPWiJyehKdXq5cvLmu3FGNbWVUIIAhi&#10;/LJ2Oa1CcMss87wSmvmBdcKgs7SgWcAl7LMCWI3oWmXj4XCW1RYKB5YL73F30zpphwjPAbRlKbnY&#10;WH7QwoQWFYRiASn5SjpPV6nashQ8fChLLwJROUWmIb0xCdq7+M5Wl2y5B+YqybsS2HNKeMJJM2kw&#10;6QPUhgVGDiD/gdKSg/W2DANuddYSSYogi9HwiTZ3FXMicUGpvXsQ3f8/WP7+eAtEFjmdTSgxTGPH&#10;z/ffzz9+nX9+I7OoT+38EsPuHAaG5o1tcGr6fY+bkXZTgo5fJETQfzFZzF+PUONTTsfT+Wg+7ZQW&#10;TSA8Akymi4shBnCMGE3Gi/k0QmaPSA58eCusJtHIKWAnk8DseONDG9qHxMTeKllspVJpAfvdtQJy&#10;ZNj1bXo69L/ClCE18r7A4uIpY+P5FlqZuCPSAHX5ogwt3WiFZtd02uxscUJpwLbD5R3fSqz5hvlw&#10;ywCnCWnifUNvZeErJTVOW079lwMDQYl6Z7CdGBJ6A3pj1xvmoK8tUhnhzXQ8mXgAgurNEqz+jNdq&#10;HbOgixmOuXLKA/SL69BOPV5MLtbrFIYj6Fi4MXeOR/BWhPUh2FImiSPRlh22Ji5wCFOTugsTp/zP&#10;dYp6/Emsfg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2BAAAW0NvbnRlbnRfVHlwZXNdLnhtbFBLAQIUAAoAAAAAAIdO4kAAAAAAAAAAAAAAAAAG&#10;AAAAAAAAAAAAEAAAAJgDAABfcmVscy9QSwECFAAUAAAACACHTuJAihRmPNEAAACUAQAACwAAAAAA&#10;AAABACAAAAC8AwAAX3JlbHMvLnJlbHNQSwECFAAKAAAAAACHTuJAAAAAAAAAAAAAAAAABAAAAAAA&#10;AAAAABAAAAAAAAAAZHJzL1BLAQIUABQAAAAIAIdO4kAKcZii1QAAAAUBAAAPAAAAAAAAAAEAIAAA&#10;ACIAAABkcnMvZG93bnJldi54bWxQSwECFAAUAAAACACHTuJAOTwjp0gCAABsBAAADgAAAAAAAAAB&#10;ACAAAAAkAQAAZHJzL2Uyb0RvYy54bWxQSwUGAAAAAAYABgBZAQAA3gUAAAAA&#10;">
                  <v:fill on="t" focussize="0,0"/>
                  <v:stroke on="f" weight="0.5pt"/>
                  <v:imagedata o:title=""/>
                  <o:lock v:ext="edit" aspectratio="f"/>
                  <v:textbox inset="0mm,0mm,0mm,0mm">
                    <w:txbxContent>
                      <w:p>
                        <w:pPr>
                          <w:pStyle w:val="27"/>
                          <w:spacing w:before="0" w:beforeAutospacing="0" w:after="0" w:afterAutospacing="0" w:line="200" w:lineRule="exact"/>
                          <w:ind w:firstLine="0" w:firstLineChars="0"/>
                          <w:rPr>
                            <w:sz w:val="24"/>
                            <w:szCs w:val="24"/>
                          </w:rPr>
                        </w:pPr>
                        <w:r>
                          <w:rPr>
                            <w:rFonts w:hint="eastAsia" w:hAnsi="仿宋"/>
                            <w:sz w:val="20"/>
                            <w:szCs w:val="20"/>
                          </w:rPr>
                          <w:t>无偿移交</w:t>
                        </w:r>
                        <w:r>
                          <w:rPr>
                            <w:rFonts w:hAnsi="仿宋"/>
                            <w:sz w:val="20"/>
                            <w:szCs w:val="20"/>
                          </w:rPr>
                          <w:t>项目设施及资料</w:t>
                        </w:r>
                      </w:p>
                    </w:txbxContent>
                  </v:textbox>
                </v:shape>
                <v:shape id="文本框 6" o:spid="_x0000_s1026" o:spt="202" type="#_x0000_t202" style="position:absolute;left:1144761;top:3342300;height:258150;width:448649;v-text-anchor:middle;" fillcolor="#FFFFFF [3201]" filled="t" stroked="f" coordsize="21600,21600" o:gfxdata="UEsDBAoAAAAAAIdO4kAAAAAAAAAAAAAAAAAEAAAAZHJzL1BLAwQUAAAACACHTuJACnGYotUAAAAF&#10;AQAADwAAAGRycy9kb3ducmV2LnhtbE2PwU7DMBBE70j9B2sr9YKo3QJpCHGqCokD3EgicXXjJYmI&#10;11HspuXvWbjAZaTVrGbe5PuLG8SMU+g9adisFQikxtueWg119XyTggjRkDWDJ9TwhQH2xeIqN5n1&#10;Z3rDuYyt4BAKmdHQxThmUoamQ2fC2o9I7H34yZnI59RKO5kzh7tBbpVKpDM9cUNnRnzqsPksT05D&#10;/56k1F7L8uU1qXd3VTXXh9tZ69Vyox5BRLzEv2f4wWd0KJjp6E9kgxg08JD4q+yl6ZZnHDXcP+wU&#10;yCKX/+mLb1BLAwQUAAAACACHTuJA5/Gkx0cCAABrBAAADgAAAGRycy9lMm9Eb2MueG1srVRLjhMx&#10;EN0jcQfLe9L5M0TpjEKiIKQIRgqIteN2py35R9lJdzgA3IAVG/acK+eg7E7PwLCZBVkkZVf5Vb3n&#10;58xvG63ISYCX1uR00OtTIgy3hTSHnH78sHlxQ4kPzBRMWSNyehae3i6eP5vXbiaGtrKqEEAQxPhZ&#10;7XJaheBmWeZ5JTTzPeuEwWRpQbOASzhkBbAa0bXKhv3+NKstFA4sF97j7rpN0isiPAXQlqXkYm35&#10;UQsTWlQQigWk5CvpPF2kactS8PC+LL0IROUUmYb0jU0w3sfvbDFnswMwV0l+HYE9ZYRHnDSTBpve&#10;Q61ZYOQI8h8oLTlYb8vQ41ZnLZGkCLIY9B9ps6uYE4kLSu3dvej+/8Hyd6c7ILLI6XRCiWEab/zy&#10;/dvlx6/Lz69kGvWpnZ9h2c5hYWhe2wZd0+173Iy0mxJ0/EVCJOYH4/HL6YCSc05Ho/Fw1L8qLZpA&#10;OBaMxzfT8StKOBYMJzeDScpnD0AOfHgjrCYxyCngRSZ92WnrAw6FpV1J7OutksVGKpUWcNivFJAT&#10;w0vfpE+cF4/8VaYMqZH2CHvHU8bG822dMnFHJP9c+0UVWrYxCs2+uUqzt8UZlQHbess7vpE485b5&#10;cMcAzYRWw+eG2crCF0pqNFtO/ecjA0GJemvwNqMzuwC6YN8F5qhXFqmgnoieQjwAQXVhCVZ/wle1&#10;jF0wxQzHXjnlAbrFKrSmx3fJxXKZytCBjoWt2TkewVsRlsdgS5kkjkRbdiheXKAHk4zX9xJN/uc6&#10;VT38Ryx+A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AAAAABkcnMvUEsBAhQAFAAAAAgAh07iQApxmKLVAAAABQEAAA8AAAAAAAAAAQAgAAAA&#10;IgAAAGRycy9kb3ducmV2LnhtbFBLAQIUABQAAAAIAIdO4kDn8aTHRwIAAGsEAAAOAAAAAAAAAAEA&#10;IAAAACQBAABkcnMvZTJvRG9jLnhtbFBLBQYAAAAABgAGAFkBAADdBQAAAAA=&#10;">
                  <v:fill on="t" focussize="0,0"/>
                  <v:stroke on="f" weight="0.5pt"/>
                  <v:imagedata o:title=""/>
                  <o:lock v:ext="edit" aspectratio="f"/>
                  <v:textbox inset="0mm,0mm,0mm,0mm">
                    <w:txbxContent>
                      <w:p>
                        <w:pPr>
                          <w:pStyle w:val="27"/>
                          <w:spacing w:before="0" w:beforeAutospacing="0" w:after="0" w:afterAutospacing="0" w:line="200" w:lineRule="exact"/>
                          <w:ind w:firstLine="0" w:firstLineChars="0"/>
                          <w:rPr>
                            <w:rFonts w:hAnsi="仿宋"/>
                            <w:sz w:val="20"/>
                            <w:szCs w:val="20"/>
                          </w:rPr>
                        </w:pPr>
                        <w:r>
                          <w:rPr>
                            <w:rFonts w:hint="eastAsia" w:hAnsi="仿宋"/>
                            <w:sz w:val="20"/>
                            <w:szCs w:val="20"/>
                          </w:rPr>
                          <w:t>使用者</w:t>
                        </w:r>
                      </w:p>
                      <w:p>
                        <w:pPr>
                          <w:pStyle w:val="27"/>
                          <w:spacing w:before="0" w:beforeAutospacing="0" w:after="0" w:afterAutospacing="0" w:line="200" w:lineRule="exact"/>
                          <w:ind w:firstLine="0" w:firstLineChars="0"/>
                          <w:rPr>
                            <w:sz w:val="24"/>
                            <w:szCs w:val="24"/>
                          </w:rPr>
                        </w:pPr>
                        <w:r>
                          <w:rPr>
                            <w:rFonts w:hint="eastAsia" w:hAnsi="仿宋"/>
                            <w:sz w:val="20"/>
                            <w:szCs w:val="20"/>
                          </w:rPr>
                          <w:t>付费</w:t>
                        </w:r>
                      </w:p>
                    </w:txbxContent>
                  </v:textbox>
                </v:shape>
                <v:shape id="文本框 6" o:spid="_x0000_s1026" o:spt="202" type="#_x0000_t202" style="position:absolute;left:3178254;top:3374610;height:248625;width:667725;v-text-anchor:middle;" fillcolor="#FFFFFF [3201]" filled="t" stroked="f" coordsize="21600,21600" o:gfxdata="UEsDBAoAAAAAAIdO4kAAAAAAAAAAAAAAAAAEAAAAZHJzL1BLAwQUAAAACACHTuJACnGYotUAAAAF&#10;AQAADwAAAGRycy9kb3ducmV2LnhtbE2PwU7DMBBE70j9B2sr9YKo3QJpCHGqCokD3EgicXXjJYmI&#10;11HspuXvWbjAZaTVrGbe5PuLG8SMU+g9adisFQikxtueWg119XyTggjRkDWDJ9TwhQH2xeIqN5n1&#10;Z3rDuYyt4BAKmdHQxThmUoamQ2fC2o9I7H34yZnI59RKO5kzh7tBbpVKpDM9cUNnRnzqsPksT05D&#10;/56k1F7L8uU1qXd3VTXXh9tZ69Vyox5BRLzEv2f4wWd0KJjp6E9kgxg08JD4q+yl6ZZnHDXcP+wU&#10;yCKX/+mLb1BLAwQUAAAACACHTuJAjIK6dEgCAABrBAAADgAAAGRycy9lMm9Eb2MueG1srVTNjtMw&#10;EL4j8Q6W7zT92aaratNV6aoIqYKVFsTZdZzGkv8Yu03KA8AbcOLCnefa52DsJLuwXPZAD+nYnnzj&#10;75tvcnXdakVOAry0pqCT0ZgSYbgtpTkU9OOH7atLSnxgpmTKGlHQs/D0evXyxVXjlmJqa6tKAQRB&#10;jF82rqB1CG6ZZZ7XQjM/sk4YPKwsaBZwCYesBNYgulbZdDzOs8ZC6cBy4T3u3nSHtEeE5wDaqpJc&#10;3Fh+1MKEDhWEYgEp+Vo6T1fptlUleHhfVV4EogqKTEN6YhGM9/GZra7Y8gDM1ZL3V2DPucITTppJ&#10;g0UfoG5YYOQI8h8oLTlYb6sw4lZnHZGkCLKYjJ9oc1czJxIXlNq7B9H9/4Pl7063QGRZ0DynxDCN&#10;Hb///u3+x6/7n19JHvVpnF9i2p3DxNC+ti26Ztj3uBlptxXo+I+ECJ7PJovL6fyCkjPGs8VFPumV&#10;Fm0gHBPyfLGYzinhmDC9uMwxxkrZI5ADH94Iq0kMCgrYyKQvO+186FKHlFjXWyXLrVQqLeCw3ygg&#10;J4ZN36Zfj/5XmjKkwZvM5uOEbGx8v4NWJuKI5J++XlShYxuj0O7bXpq9Lc+oDNjOW97xrcQ775gP&#10;twzQTGg1HDc8rS18oaRBsxXUfz4yEJSotwa7GZ05BDAE+yEwR72xSGWCg+l4CvEFCGoIK7D6E07V&#10;OlbBI2Y41iooDzAsNqEzPc4lF+t1SkMHOhZ25s7xCB4pG7s+BlvJJHEk2rHD1sQFejA1qZ+XaPI/&#10;1ynr8Rux+g1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2BAAAW0NvbnRlbnRfVHlwZXNdLnhtbFBLAQIUAAoAAAAAAIdO4kAAAAAAAAAAAAAAAAAG&#10;AAAAAAAAAAAAEAAAAJgDAABfcmVscy9QSwECFAAUAAAACACHTuJAihRmPNEAAACUAQAACwAAAAAA&#10;AAABACAAAAC8AwAAX3JlbHMvLnJlbHNQSwECFAAKAAAAAACHTuJAAAAAAAAAAAAAAAAABAAAAAAA&#10;AAAAABAAAAAAAAAAZHJzL1BLAQIUABQAAAAIAIdO4kAKcZii1QAAAAUBAAAPAAAAAAAAAAEAIAAA&#10;ACIAAABkcnMvZG93bnJldi54bWxQSwECFAAUAAAACACHTuJAjIK6dEgCAABrBAAADgAAAAAAAAAB&#10;ACAAAAAkAQAAZHJzL2Uyb0RvYy54bWxQSwUGAAAAAAYABgBZAQAA3gUAAAAA&#10;">
                  <v:fill on="t" focussize="0,0"/>
                  <v:stroke on="f" weight="0.5pt"/>
                  <v:imagedata o:title=""/>
                  <o:lock v:ext="edit" aspectratio="f"/>
                  <v:textbox inset="0mm,0mm,0mm,0mm">
                    <w:txbxContent>
                      <w:p>
                        <w:pPr>
                          <w:pStyle w:val="27"/>
                          <w:spacing w:before="0" w:beforeAutospacing="0" w:after="0" w:afterAutospacing="0" w:line="200" w:lineRule="exact"/>
                          <w:ind w:firstLine="0" w:firstLineChars="0"/>
                          <w:rPr>
                            <w:sz w:val="24"/>
                            <w:szCs w:val="24"/>
                          </w:rPr>
                        </w:pPr>
                        <w:r>
                          <w:rPr>
                            <w:rFonts w:hint="eastAsia" w:hAnsi="仿宋"/>
                            <w:sz w:val="20"/>
                            <w:szCs w:val="20"/>
                          </w:rPr>
                          <w:t>全程监管</w:t>
                        </w:r>
                      </w:p>
                    </w:txbxContent>
                  </v:textbox>
                </v:shape>
                <v:shape id="文本框 6" o:spid="_x0000_s1026" o:spt="202" type="#_x0000_t202" style="position:absolute;left:2978952;top:1094400;height:457735;width:207277;v-text-anchor:middle;" fillcolor="#FFFFFF [3201]" filled="t" stroked="f" coordsize="21600,21600" o:gfxdata="UEsDBAoAAAAAAIdO4kAAAAAAAAAAAAAAAAAEAAAAZHJzL1BLAwQUAAAACACHTuJACnGYotUAAAAF&#10;AQAADwAAAGRycy9kb3ducmV2LnhtbE2PwU7DMBBE70j9B2sr9YKo3QJpCHGqCokD3EgicXXjJYmI&#10;11HspuXvWbjAZaTVrGbe5PuLG8SMU+g9adisFQikxtueWg119XyTggjRkDWDJ9TwhQH2xeIqN5n1&#10;Z3rDuYyt4BAKmdHQxThmUoamQ2fC2o9I7H34yZnI59RKO5kzh7tBbpVKpDM9cUNnRnzqsPksT05D&#10;/56k1F7L8uU1qXd3VTXXh9tZ69Vyox5BRLzEv2f4wWd0KJjp6E9kgxg08JD4q+yl6ZZnHDXcP+wU&#10;yCKX/+mLb1BLAwQUAAAACACHTuJAilcdh0kCAABrBAAADgAAAGRycy9lMm9Eb2MueG1srVRLbtsw&#10;EN0X6B0I7mspTmzHRuTAteGiQNAGSIuuaYqyCPDXIW0pPUB7g6666b7n8jk6pKSkTTdZ1At5SI7e&#10;8L15o6vrVityFOClNQU9G+WUCMNtKc2+oB8/bF9dUuIDMyVT1oiC3gtPr5cvX1w1biHGtraqFEAQ&#10;xPhF4wpah+AWWeZ5LTTzI+uEwcPKgmYBl7DPSmANomuVjfN8mjUWSgeWC+9xd9Md0h4RngNoq0py&#10;sbH8oIUJHSoIxQJS8rV0ni7TbatK8PC+qrwIRBUUmYb0xCIY7+IzW16xxR6YqyXvr8Cec4UnnDST&#10;Bos+QG1YYOQA8h8oLTlYb6sw4lZnHZGkCLI4y59oc1czJxIXlNq7B9H9/4Pl7463QGRZ0OmcEsM0&#10;dvz0/dvpx6/Tz69kGvVpnF9g2p3DxNC+ti26Ztj3uBlptxXo+I+ECJ6P57PL+WRMyT3m5vOLi7xX&#10;WrSB8JiQz8azGSUcEy4ms9n5JCJmj0AOfHgjrCYxKChgI5O+7HjjQ5c6pMS63ipZbqVSaQH73VoB&#10;OTJs+jb9evS/0pQhDdI+n+QJ2dj4fgetTMQRyT99vahCxzZGod21vTQ7W96jMmA7b3nHtxLvfMN8&#10;uGWAZkKr4bjhaW3hCyUNmq2g/vOBgaBEvTXYzejMIYAh2A2BOei1RSpnOJiOpxBfgKCGsAKrP+FU&#10;rWIVPGKGY62C8gDDYh060+NccrFapTR0oGPhxtw5HsEjZWNXh2ArmSSORDt22Jq4QA+mJvXzEk3+&#10;5zplPX4jlr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CnGYotUAAAAFAQAADwAAAAAAAAABACAA&#10;AAAiAAAAZHJzL2Rvd25yZXYueG1sUEsBAhQAFAAAAAgAh07iQIpXHYdJAgAAawQAAA4AAAAAAAAA&#10;AQAgAAAAJAEAAGRycy9lMm9Eb2MueG1sUEsFBgAAAAAGAAYAWQEAAN8FAAAAAA==&#10;">
                  <v:fill on="t" focussize="0,0"/>
                  <v:stroke on="f" weight="0.5pt"/>
                  <v:imagedata o:title=""/>
                  <o:lock v:ext="edit" aspectratio="f"/>
                  <v:textbox inset="0mm,0mm,0mm,0mm">
                    <w:txbxContent>
                      <w:p>
                        <w:pPr>
                          <w:pStyle w:val="27"/>
                          <w:spacing w:before="0" w:beforeAutospacing="0" w:after="0" w:afterAutospacing="0" w:line="240" w:lineRule="exact"/>
                          <w:ind w:firstLine="0" w:firstLineChars="0"/>
                          <w:rPr>
                            <w:sz w:val="24"/>
                            <w:szCs w:val="24"/>
                          </w:rPr>
                        </w:pPr>
                        <w:r>
                          <w:rPr>
                            <w:rFonts w:hint="eastAsia" w:ascii="Times New Roman" w:hAnsi="仿宋"/>
                            <w:sz w:val="20"/>
                            <w:szCs w:val="20"/>
                          </w:rPr>
                          <w:t>成立</w:t>
                        </w:r>
                      </w:p>
                    </w:txbxContent>
                  </v:textbox>
                </v:shape>
                <w10:wrap type="none"/>
                <w10:anchorlock/>
              </v:group>
            </w:pict>
          </mc:Fallback>
        </mc:AlternateContent>
      </w:r>
    </w:p>
    <w:p>
      <w:pPr>
        <w:widowControl/>
        <w:wordWrap w:val="0"/>
        <w:spacing w:line="500" w:lineRule="exact"/>
        <w:ind w:firstLine="0" w:firstLineChars="0"/>
        <w:jc w:val="center"/>
        <w:rPr>
          <w:rFonts w:cs="Times New Roman"/>
          <w:b/>
          <w:bCs/>
          <w:kern w:val="0"/>
          <w:sz w:val="24"/>
          <w:szCs w:val="32"/>
        </w:rPr>
      </w:pPr>
      <w:r>
        <w:rPr>
          <w:rFonts w:hint="eastAsia" w:cs="Times New Roman"/>
          <w:b/>
          <w:bCs/>
          <w:kern w:val="0"/>
          <w:sz w:val="24"/>
          <w:szCs w:val="32"/>
        </w:rPr>
        <w:t>图</w:t>
      </w:r>
      <w:r>
        <w:rPr>
          <w:rFonts w:cs="Times New Roman"/>
          <w:b/>
          <w:bCs/>
          <w:kern w:val="0"/>
          <w:sz w:val="24"/>
          <w:szCs w:val="32"/>
        </w:rPr>
        <w:t xml:space="preserve">5-2 </w:t>
      </w:r>
      <w:r>
        <w:rPr>
          <w:rFonts w:hint="eastAsia" w:cs="Times New Roman"/>
          <w:b/>
          <w:bCs/>
          <w:kern w:val="0"/>
          <w:sz w:val="24"/>
          <w:szCs w:val="32"/>
        </w:rPr>
        <w:t>项目交易结构图</w:t>
      </w:r>
    </w:p>
    <w:p>
      <w:pPr>
        <w:ind w:firstLine="560"/>
        <w:rPr>
          <w:rFonts w:cs="Times New Roman"/>
        </w:rPr>
      </w:pPr>
      <w:r>
        <w:rPr>
          <w:rFonts w:hint="eastAsia" w:cs="Times New Roman"/>
        </w:rPr>
        <w:t>交易结构图说明：</w:t>
      </w:r>
    </w:p>
    <w:bookmarkEnd w:id="32"/>
    <w:p>
      <w:pPr>
        <w:ind w:firstLine="560"/>
        <w:rPr>
          <w:rFonts w:cs="Times New Roman"/>
        </w:rPr>
      </w:pPr>
      <w:bookmarkStart w:id="33" w:name="_Hlk130120674"/>
      <w:r>
        <w:rPr>
          <w:rFonts w:hint="eastAsia" w:cs="Times New Roman"/>
        </w:rPr>
        <w:t>（</w:t>
      </w:r>
      <w:r>
        <w:rPr>
          <w:rFonts w:cs="Times New Roman"/>
        </w:rPr>
        <w:t>1</w:t>
      </w:r>
      <w:r>
        <w:rPr>
          <w:rFonts w:hint="eastAsia" w:cs="Times New Roman"/>
        </w:rPr>
        <w:t>）本项目由同心县人民政府授权同心县农业农村局作为实施机构，负责本项目的组织实施。同心县农业农村局通过公平、公正、公开的原则，以公开招标、竞争性磋商等的方式选择社会资本。</w:t>
      </w:r>
    </w:p>
    <w:p>
      <w:pPr>
        <w:ind w:firstLine="560"/>
        <w:rPr>
          <w:rFonts w:cs="Times New Roman"/>
        </w:rPr>
      </w:pPr>
      <w:r>
        <w:rPr>
          <w:rFonts w:hint="eastAsia" w:cs="Times New Roman"/>
        </w:rPr>
        <w:t>（2）依法选定的社会资本与政府或其指定机构组建成立项目公司。</w:t>
      </w:r>
    </w:p>
    <w:p>
      <w:pPr>
        <w:ind w:firstLine="560"/>
        <w:rPr>
          <w:rFonts w:cs="Times New Roman"/>
        </w:rPr>
      </w:pPr>
      <w:r>
        <w:rPr>
          <w:rFonts w:hint="eastAsia" w:cs="Times New Roman"/>
        </w:rPr>
        <w:t>（</w:t>
      </w:r>
      <w:r>
        <w:rPr>
          <w:rFonts w:cs="Times New Roman"/>
        </w:rPr>
        <w:t>3</w:t>
      </w:r>
      <w:r>
        <w:rPr>
          <w:rFonts w:hint="eastAsia" w:cs="Times New Roman"/>
        </w:rPr>
        <w:t>）项目公司成立后，由同心县农业农村局与项目公司正式签订《特许经营协议》，同心县农业农村局授予项目公司特许经营权。</w:t>
      </w:r>
    </w:p>
    <w:p>
      <w:pPr>
        <w:ind w:firstLine="560"/>
        <w:rPr>
          <w:rFonts w:cs="Times New Roman"/>
        </w:rPr>
      </w:pPr>
      <w:r>
        <w:rPr>
          <w:rFonts w:hint="eastAsia" w:cs="Times New Roman"/>
        </w:rPr>
        <w:t>（</w:t>
      </w:r>
      <w:r>
        <w:rPr>
          <w:rFonts w:cs="Times New Roman"/>
        </w:rPr>
        <w:t>4</w:t>
      </w:r>
      <w:r>
        <w:rPr>
          <w:rFonts w:hint="eastAsia" w:cs="Times New Roman"/>
        </w:rPr>
        <w:t>）项目公司在合作期间负责项目范围内新建项目的投融资、建设、运营维护工作，负责存量项目运营维护。</w:t>
      </w:r>
    </w:p>
    <w:p>
      <w:pPr>
        <w:ind w:firstLine="560"/>
        <w:rPr>
          <w:rFonts w:cs="Times New Roman"/>
        </w:rPr>
      </w:pPr>
      <w:r>
        <w:rPr>
          <w:rFonts w:hint="eastAsia" w:cs="Times New Roman"/>
        </w:rPr>
        <w:t>（</w:t>
      </w:r>
      <w:r>
        <w:rPr>
          <w:rFonts w:cs="Times New Roman"/>
        </w:rPr>
        <w:t>5</w:t>
      </w:r>
      <w:r>
        <w:rPr>
          <w:rFonts w:hint="eastAsia" w:cs="Times New Roman"/>
        </w:rPr>
        <w:t>）同心县农业农村局和水务局负责协调存量资产产权单位完成存量资产委托运营工作。</w:t>
      </w:r>
    </w:p>
    <w:p>
      <w:pPr>
        <w:ind w:firstLine="560"/>
        <w:rPr>
          <w:rFonts w:cs="Times New Roman"/>
        </w:rPr>
      </w:pPr>
      <w:r>
        <w:rPr>
          <w:rFonts w:hint="eastAsia" w:cs="Times New Roman"/>
        </w:rPr>
        <w:t>（</w:t>
      </w:r>
      <w:r>
        <w:rPr>
          <w:rFonts w:cs="Times New Roman"/>
        </w:rPr>
        <w:t>6</w:t>
      </w:r>
      <w:r>
        <w:rPr>
          <w:rFonts w:hint="eastAsia" w:cs="Times New Roman"/>
        </w:rPr>
        <w:t>）项目公司可根据《特许经营协议》，通过向灌区内用户收取供水费来弥补其投资、建设、运营成本以及合理的回报，为了确保项目回报机制为使用者付费，政府方要根据实施方案调整特许经营范围内灌溉水价，以满足社会资本基于本项目的投资、建设、运营以及合理的回报。同心县农业农村局根据绩效考核体系对项目公司进行考核，以确保社会资本给灌区供水服务质量和效率。</w:t>
      </w:r>
    </w:p>
    <w:p>
      <w:pPr>
        <w:ind w:firstLine="560"/>
        <w:rPr>
          <w:rFonts w:cs="Times New Roman"/>
        </w:rPr>
      </w:pPr>
      <w:r>
        <w:rPr>
          <w:rFonts w:hint="eastAsia" w:cs="Times New Roman"/>
        </w:rPr>
        <w:t>（</w:t>
      </w:r>
      <w:r>
        <w:rPr>
          <w:rFonts w:cs="Times New Roman"/>
        </w:rPr>
        <w:t>7</w:t>
      </w:r>
      <w:r>
        <w:rPr>
          <w:rFonts w:hint="eastAsia" w:cs="Times New Roman"/>
        </w:rPr>
        <w:t>）运营期结束后，社会资本应将本项目设施无偿、完好、无债务、不设定担保地移交给同心县农业农村局或其指定机构。</w:t>
      </w:r>
    </w:p>
    <w:bookmarkEnd w:id="33"/>
    <w:p>
      <w:pPr>
        <w:keepNext/>
        <w:keepLines/>
        <w:spacing w:before="120" w:after="120"/>
        <w:ind w:firstLine="562"/>
        <w:outlineLvl w:val="2"/>
        <w:rPr>
          <w:rFonts w:cs="Times New Roman"/>
          <w:b/>
          <w:bCs/>
          <w:szCs w:val="32"/>
        </w:rPr>
      </w:pPr>
      <w:r>
        <w:rPr>
          <w:rFonts w:cs="Times New Roman"/>
          <w:b/>
          <w:bCs/>
          <w:szCs w:val="32"/>
        </w:rPr>
        <w:t>（二）</w:t>
      </w:r>
      <w:r>
        <w:rPr>
          <w:rFonts w:hint="eastAsia" w:cs="Times New Roman"/>
          <w:b/>
          <w:bCs/>
          <w:szCs w:val="32"/>
        </w:rPr>
        <w:t>投融资结构</w:t>
      </w:r>
    </w:p>
    <w:p>
      <w:pPr>
        <w:ind w:firstLine="562"/>
        <w:outlineLvl w:val="3"/>
        <w:rPr>
          <w:rFonts w:cs="Times New Roman"/>
          <w:b/>
          <w:bCs/>
        </w:rPr>
      </w:pPr>
      <w:r>
        <w:rPr>
          <w:rFonts w:hint="eastAsia" w:cs="Times New Roman"/>
          <w:b/>
          <w:bCs/>
        </w:rPr>
        <w:t>1</w:t>
      </w:r>
      <w:r>
        <w:rPr>
          <w:rFonts w:cs="Times New Roman"/>
          <w:b/>
          <w:bCs/>
        </w:rPr>
        <w:t>.</w:t>
      </w:r>
      <w:r>
        <w:rPr>
          <w:rFonts w:hint="eastAsia" w:cs="Times New Roman"/>
          <w:b/>
          <w:bCs/>
        </w:rPr>
        <w:t>项目资本金</w:t>
      </w:r>
    </w:p>
    <w:p>
      <w:pPr>
        <w:widowControl/>
        <w:wordWrap w:val="0"/>
        <w:spacing w:line="500" w:lineRule="exact"/>
        <w:ind w:firstLine="560"/>
        <w:rPr>
          <w:rFonts w:cs="Times New Roman"/>
          <w:bCs/>
          <w:sz w:val="24"/>
          <w:szCs w:val="24"/>
        </w:rPr>
      </w:pPr>
      <w:bookmarkStart w:id="34" w:name="_Hlk130124710"/>
      <w:r>
        <w:rPr>
          <w:rFonts w:cs="Times New Roman"/>
        </w:rPr>
        <w:t>根据《国务院关于加强固定资产投资项目资本金管理的通知》（国发〔2019〕26号）规定，设定本项目资本金不低于总投资的20%，</w:t>
      </w:r>
      <w:r>
        <w:rPr>
          <w:rFonts w:hint="eastAsia" w:cs="Times New Roman"/>
          <w:bCs/>
          <w:kern w:val="0"/>
          <w:szCs w:val="32"/>
        </w:rPr>
        <w:t>依据</w:t>
      </w:r>
      <w:r>
        <w:rPr>
          <w:rFonts w:cs="Times New Roman"/>
          <w:bCs/>
          <w:kern w:val="0"/>
          <w:szCs w:val="32"/>
        </w:rPr>
        <w:t>本项目可行性研究报告及批复，本项目静态总投资为</w:t>
      </w:r>
      <w:r>
        <w:rPr>
          <w:rFonts w:hint="eastAsia" w:cs="Times New Roman"/>
          <w:bCs/>
          <w:kern w:val="0"/>
          <w:szCs w:val="32"/>
        </w:rPr>
        <w:t>104,789.30</w:t>
      </w:r>
      <w:r>
        <w:rPr>
          <w:rFonts w:cs="Times New Roman"/>
          <w:bCs/>
          <w:kern w:val="0"/>
          <w:szCs w:val="32"/>
        </w:rPr>
        <w:t>万元，结合本项目的实际投融资需求，</w:t>
      </w:r>
      <w:r>
        <w:rPr>
          <w:rFonts w:cs="Times New Roman"/>
          <w:bCs/>
          <w:color w:val="000000" w:themeColor="text1"/>
          <w:kern w:val="0"/>
          <w:szCs w:val="32"/>
          <w14:textFill>
            <w14:solidFill>
              <w14:schemeClr w14:val="tx1"/>
            </w14:solidFill>
          </w14:textFill>
        </w:rPr>
        <w:t>考虑建设期利息后本项目总投资为</w:t>
      </w:r>
      <w:r>
        <w:rPr>
          <w:rFonts w:hint="eastAsia" w:cs="Times New Roman"/>
          <w:bCs/>
          <w:color w:val="000000" w:themeColor="text1"/>
          <w:kern w:val="0"/>
          <w:szCs w:val="32"/>
          <w14:textFill>
            <w14:solidFill>
              <w14:schemeClr w14:val="tx1"/>
            </w14:solidFill>
          </w14:textFill>
        </w:rPr>
        <w:t>107,933.85</w:t>
      </w:r>
      <w:r>
        <w:rPr>
          <w:rFonts w:cs="Times New Roman"/>
          <w:bCs/>
          <w:color w:val="000000" w:themeColor="text1"/>
          <w:kern w:val="0"/>
          <w:szCs w:val="32"/>
          <w14:textFill>
            <w14:solidFill>
              <w14:schemeClr w14:val="tx1"/>
            </w14:solidFill>
          </w14:textFill>
        </w:rPr>
        <w:t>万元，</w:t>
      </w:r>
      <w:r>
        <w:rPr>
          <w:rFonts w:hint="eastAsia" w:cs="Times New Roman"/>
          <w:bCs/>
          <w:color w:val="000000" w:themeColor="text1"/>
          <w:kern w:val="0"/>
          <w:szCs w:val="32"/>
          <w14:textFill>
            <w14:solidFill>
              <w14:schemeClr w14:val="tx1"/>
            </w14:solidFill>
          </w14:textFill>
        </w:rPr>
        <w:t>按照</w:t>
      </w:r>
      <w:r>
        <w:rPr>
          <w:rFonts w:cs="Times New Roman"/>
          <w:bCs/>
          <w:color w:val="000000" w:themeColor="text1"/>
          <w:kern w:val="0"/>
          <w:szCs w:val="32"/>
          <w14:textFill>
            <w14:solidFill>
              <w14:schemeClr w14:val="tx1"/>
            </w14:solidFill>
          </w14:textFill>
        </w:rPr>
        <w:t>政策要求</w:t>
      </w:r>
      <w:r>
        <w:rPr>
          <w:rFonts w:hint="eastAsia" w:cs="Times New Roman"/>
          <w:bCs/>
          <w:color w:val="000000" w:themeColor="text1"/>
          <w:kern w:val="0"/>
          <w:szCs w:val="32"/>
          <w14:textFill>
            <w14:solidFill>
              <w14:schemeClr w14:val="tx1"/>
            </w14:solidFill>
          </w14:textFill>
        </w:rPr>
        <w:t>的</w:t>
      </w:r>
      <w:r>
        <w:rPr>
          <w:rFonts w:cs="Times New Roman"/>
          <w:bCs/>
          <w:color w:val="000000" w:themeColor="text1"/>
          <w:kern w:val="0"/>
          <w:szCs w:val="32"/>
          <w14:textFill>
            <w14:solidFill>
              <w14:schemeClr w14:val="tx1"/>
            </w14:solidFill>
          </w14:textFill>
        </w:rPr>
        <w:t>20%最低资本金，则本项目的项目资本金不得低于2.6</w:t>
      </w:r>
      <w:r>
        <w:rPr>
          <w:rFonts w:hint="eastAsia" w:cs="Times New Roman"/>
          <w:bCs/>
          <w:color w:val="000000" w:themeColor="text1"/>
          <w:kern w:val="0"/>
          <w:szCs w:val="32"/>
          <w14:textFill>
            <w14:solidFill>
              <w14:schemeClr w14:val="tx1"/>
            </w14:solidFill>
          </w14:textFill>
        </w:rPr>
        <w:t>亿</w:t>
      </w:r>
      <w:r>
        <w:rPr>
          <w:rFonts w:cs="Times New Roman"/>
          <w:bCs/>
          <w:color w:val="000000" w:themeColor="text1"/>
          <w:kern w:val="0"/>
          <w:szCs w:val="32"/>
          <w14:textFill>
            <w14:solidFill>
              <w14:schemeClr w14:val="tx1"/>
            </w14:solidFill>
          </w14:textFill>
        </w:rPr>
        <w:t>元。</w:t>
      </w:r>
    </w:p>
    <w:bookmarkEnd w:id="34"/>
    <w:p>
      <w:pPr>
        <w:widowControl/>
        <w:wordWrap w:val="0"/>
        <w:spacing w:line="500" w:lineRule="exact"/>
        <w:ind w:firstLine="560"/>
        <w:rPr>
          <w:rFonts w:cs="Times New Roman"/>
          <w:bCs/>
          <w:kern w:val="0"/>
          <w:szCs w:val="32"/>
        </w:rPr>
      </w:pPr>
      <w:r>
        <w:rPr>
          <w:rFonts w:cs="Times New Roman"/>
          <w:bCs/>
          <w:kern w:val="0"/>
          <w:szCs w:val="32"/>
        </w:rPr>
        <w:t>社会资本中标后应在符合国家相关政策要求前提下，根据金融机构对项目资本金的最低要求确定资本金比例及出资进度。根据项目后续实施情况，政府方可于招标文件及《特许经营协议》中提出首笔资本金到位金额和时间要求。资本金以外的其他项目所需资金，由社会资本通过融资方式解决。</w:t>
      </w:r>
    </w:p>
    <w:p>
      <w:pPr>
        <w:widowControl/>
        <w:wordWrap w:val="0"/>
        <w:spacing w:line="500" w:lineRule="exact"/>
        <w:ind w:firstLine="560"/>
        <w:rPr>
          <w:rFonts w:eastAsia="方正仿宋简体" w:cs="Times New Roman"/>
          <w:bCs/>
          <w:kern w:val="0"/>
          <w:szCs w:val="32"/>
        </w:rPr>
      </w:pPr>
      <w:r>
        <w:rPr>
          <w:rFonts w:cs="Times New Roman"/>
          <w:bCs/>
          <w:kern w:val="0"/>
          <w:szCs w:val="32"/>
        </w:rPr>
        <w:t>项目资本金以现金方式出资，须是社会资本方自有资金，不得为债务性资金；社会资本方应按照政府方或金融机构要求提供资本金出资计划，并按照出资计划按时足额缴纳资本金。</w:t>
      </w:r>
    </w:p>
    <w:p>
      <w:pPr>
        <w:ind w:firstLine="562"/>
        <w:outlineLvl w:val="3"/>
        <w:rPr>
          <w:rFonts w:cs="Times New Roman"/>
          <w:b/>
          <w:bCs/>
        </w:rPr>
      </w:pPr>
      <w:r>
        <w:rPr>
          <w:rFonts w:hint="eastAsia" w:cs="Times New Roman"/>
          <w:b/>
          <w:bCs/>
        </w:rPr>
        <w:t>2</w:t>
      </w:r>
      <w:r>
        <w:rPr>
          <w:rFonts w:cs="Times New Roman"/>
          <w:b/>
          <w:bCs/>
        </w:rPr>
        <w:t>.</w:t>
      </w:r>
      <w:r>
        <w:rPr>
          <w:rFonts w:hint="eastAsia" w:cs="Times New Roman"/>
          <w:b/>
          <w:bCs/>
        </w:rPr>
        <w:t>股权结构</w:t>
      </w:r>
    </w:p>
    <w:p>
      <w:pPr>
        <w:pStyle w:val="44"/>
        <w:ind w:firstLine="560"/>
        <w:jc w:val="both"/>
        <w:rPr>
          <w:rFonts w:eastAsia="仿宋"/>
        </w:rPr>
      </w:pPr>
      <w:r>
        <w:rPr>
          <w:rFonts w:eastAsia="仿宋"/>
        </w:rPr>
        <w:t>根据《财政部关于规范政府和社会资本合作合同管理工作的通知》（财金﹝2014﹞156号），其附件《政府和社会资本合作项目合同指南（试行）》中提到“项目公司是依法设立的自主运营、自负盈亏的具有独立法人资格的经营实体。项目公司可以由社会资本（可以是一家企业，也可以是多家企业组成的联合体）出资设立，也可以由政府和社会资本共同出资设立。但政府在项目公司中的持股比例应当低于50%、且不具有实际控制力及管理权”。</w:t>
      </w:r>
    </w:p>
    <w:p>
      <w:pPr>
        <w:widowControl/>
        <w:wordWrap w:val="0"/>
        <w:spacing w:line="500" w:lineRule="exact"/>
        <w:ind w:firstLine="562"/>
        <w:jc w:val="left"/>
        <w:rPr>
          <w:rFonts w:cs="Times New Roman"/>
          <w:b/>
          <w:bCs/>
          <w:kern w:val="0"/>
          <w:szCs w:val="32"/>
        </w:rPr>
      </w:pPr>
      <w:r>
        <w:rPr>
          <w:rFonts w:hint="eastAsia" w:cs="Times New Roman"/>
          <w:b/>
        </w:rPr>
        <w:t>因此，本项目暂定由社会资本独立成立项目公司，占股权</w:t>
      </w:r>
      <w:r>
        <w:rPr>
          <w:rFonts w:cs="Times New Roman"/>
          <w:b/>
        </w:rPr>
        <w:t>100%</w:t>
      </w:r>
      <w:r>
        <w:rPr>
          <w:rFonts w:hint="eastAsia" w:cs="Times New Roman"/>
          <w:b/>
        </w:rPr>
        <w:t>，政府方不占股份。具体依据项目公司章程。</w:t>
      </w:r>
    </w:p>
    <w:p>
      <w:pPr>
        <w:ind w:firstLine="562"/>
        <w:outlineLvl w:val="3"/>
        <w:rPr>
          <w:rFonts w:cs="Times New Roman"/>
          <w:b/>
          <w:bCs/>
        </w:rPr>
      </w:pPr>
      <w:r>
        <w:rPr>
          <w:rFonts w:hint="eastAsia" w:cs="Times New Roman"/>
          <w:b/>
          <w:bCs/>
        </w:rPr>
        <w:t>3</w:t>
      </w:r>
      <w:r>
        <w:rPr>
          <w:rFonts w:cs="Times New Roman"/>
          <w:b/>
          <w:bCs/>
        </w:rPr>
        <w:t>.</w:t>
      </w:r>
      <w:r>
        <w:rPr>
          <w:rFonts w:hint="eastAsia" w:cs="Times New Roman"/>
          <w:b/>
          <w:bCs/>
        </w:rPr>
        <w:t>融资结构</w:t>
      </w:r>
    </w:p>
    <w:p>
      <w:pPr>
        <w:widowControl/>
        <w:spacing w:line="500" w:lineRule="exact"/>
        <w:ind w:firstLine="560"/>
        <w:rPr>
          <w:rFonts w:ascii="仿宋" w:hAnsi="仿宋" w:cs="Times New Roman"/>
          <w:bCs/>
          <w:kern w:val="0"/>
          <w:szCs w:val="32"/>
        </w:rPr>
      </w:pPr>
      <w:r>
        <w:rPr>
          <w:rFonts w:hint="eastAsia" w:ascii="仿宋" w:hAnsi="仿宋" w:cs="微软雅黑"/>
          <w:bCs/>
          <w:kern w:val="0"/>
          <w:szCs w:val="32"/>
        </w:rPr>
        <w:t>结合本项目新建工程实际情况和相关政策规定</w:t>
      </w:r>
      <w:r>
        <w:rPr>
          <w:rFonts w:hint="eastAsia" w:ascii="仿宋" w:hAnsi="仿宋" w:cs="Malgun Gothic Semilight"/>
          <w:bCs/>
          <w:kern w:val="0"/>
          <w:szCs w:val="32"/>
        </w:rPr>
        <w:t>，</w:t>
      </w:r>
      <w:r>
        <w:rPr>
          <w:rFonts w:hint="eastAsia" w:ascii="仿宋" w:hAnsi="仿宋" w:cs="微软雅黑"/>
          <w:bCs/>
          <w:kern w:val="0"/>
          <w:szCs w:val="32"/>
        </w:rPr>
        <w:t>本项目的投融资结构按照如下考虑</w:t>
      </w:r>
      <w:r>
        <w:rPr>
          <w:rFonts w:hint="eastAsia" w:ascii="仿宋" w:hAnsi="仿宋" w:cs="Malgun Gothic Semilight"/>
          <w:bCs/>
          <w:kern w:val="0"/>
          <w:szCs w:val="32"/>
        </w:rPr>
        <w:t>：</w:t>
      </w:r>
    </w:p>
    <w:p>
      <w:pPr>
        <w:widowControl/>
        <w:spacing w:line="500" w:lineRule="exact"/>
        <w:ind w:firstLine="560"/>
        <w:rPr>
          <w:rFonts w:cs="Times New Roman"/>
          <w:bCs/>
          <w:color w:val="000000" w:themeColor="text1"/>
          <w:kern w:val="0"/>
          <w:szCs w:val="32"/>
          <w14:textFill>
            <w14:solidFill>
              <w14:schemeClr w14:val="tx1"/>
            </w14:solidFill>
          </w14:textFill>
        </w:rPr>
      </w:pPr>
      <w:bookmarkStart w:id="35" w:name="_Hlk130124737"/>
      <w:r>
        <w:rPr>
          <w:rFonts w:cs="Times New Roman"/>
          <w:bCs/>
          <w:color w:val="000000" w:themeColor="text1"/>
          <w:kern w:val="0"/>
          <w:szCs w:val="32"/>
          <w14:textFill>
            <w14:solidFill>
              <w14:schemeClr w14:val="tx1"/>
            </w14:solidFill>
          </w14:textFill>
        </w:rPr>
        <w:t>（1）对社会资本而言，项目资本金不低于项目总投资20%要求。项目总投资估算为</w:t>
      </w:r>
      <w:r>
        <w:rPr>
          <w:rFonts w:hint="eastAsia" w:cs="Times New Roman"/>
          <w:bCs/>
          <w:color w:val="000000" w:themeColor="text1"/>
          <w:kern w:val="0"/>
          <w:szCs w:val="32"/>
          <w14:textFill>
            <w14:solidFill>
              <w14:schemeClr w14:val="tx1"/>
            </w14:solidFill>
          </w14:textFill>
        </w:rPr>
        <w:t>107,933.85</w:t>
      </w:r>
      <w:r>
        <w:rPr>
          <w:rFonts w:cs="Times New Roman"/>
          <w:bCs/>
          <w:color w:val="000000" w:themeColor="text1"/>
          <w:kern w:val="0"/>
          <w:szCs w:val="32"/>
          <w14:textFill>
            <w14:solidFill>
              <w14:schemeClr w14:val="tx1"/>
            </w14:solidFill>
          </w14:textFill>
        </w:rPr>
        <w:t>万元（含建设期利息），理论最低资本金要求为</w:t>
      </w:r>
      <w:r>
        <w:rPr>
          <w:rFonts w:hint="eastAsia" w:cs="Times New Roman"/>
          <w:bCs/>
          <w:color w:val="000000" w:themeColor="text1"/>
          <w:kern w:val="0"/>
          <w:szCs w:val="32"/>
          <w14:textFill>
            <w14:solidFill>
              <w14:schemeClr w14:val="tx1"/>
            </w14:solidFill>
          </w14:textFill>
        </w:rPr>
        <w:t>21,586.77</w:t>
      </w:r>
      <w:r>
        <w:rPr>
          <w:rFonts w:cs="Times New Roman"/>
          <w:bCs/>
          <w:color w:val="000000" w:themeColor="text1"/>
          <w:kern w:val="0"/>
          <w:szCs w:val="32"/>
          <w14:textFill>
            <w14:solidFill>
              <w14:schemeClr w14:val="tx1"/>
            </w14:solidFill>
          </w14:textFill>
        </w:rPr>
        <w:t>万元</w:t>
      </w:r>
      <w:r>
        <w:rPr>
          <w:rFonts w:hint="eastAsia" w:cs="Times New Roman"/>
          <w:bCs/>
          <w:color w:val="000000" w:themeColor="text1"/>
          <w:kern w:val="0"/>
          <w:szCs w:val="32"/>
          <w14:textFill>
            <w14:solidFill>
              <w14:schemeClr w14:val="tx1"/>
            </w14:solidFill>
          </w14:textFill>
        </w:rPr>
        <w:t>。本</w:t>
      </w:r>
      <w:r>
        <w:rPr>
          <w:rFonts w:cs="Times New Roman"/>
          <w:bCs/>
          <w:color w:val="000000" w:themeColor="text1"/>
          <w:kern w:val="0"/>
          <w:szCs w:val="32"/>
          <w14:textFill>
            <w14:solidFill>
              <w14:schemeClr w14:val="tx1"/>
            </w14:solidFill>
          </w14:textFill>
        </w:rPr>
        <w:t>项目中政府方申请的奖补资金可作为项目资本金，根据</w:t>
      </w:r>
      <w:r>
        <w:rPr>
          <w:rFonts w:hint="eastAsia" w:cs="Times New Roman"/>
          <w:bCs/>
          <w:color w:val="000000" w:themeColor="text1"/>
          <w:kern w:val="0"/>
          <w:szCs w:val="32"/>
          <w14:textFill>
            <w14:solidFill>
              <w14:schemeClr w14:val="tx1"/>
            </w14:solidFill>
          </w14:textFill>
        </w:rPr>
        <w:t>《关于开展高效节水农业项目竞争评审盖工作的通知》（宁农（建）发〔2022〕4号），新建高效节水灌溉项目可获得</w:t>
      </w:r>
      <w:r>
        <w:rPr>
          <w:rFonts w:cs="Times New Roman"/>
          <w:bCs/>
          <w:color w:val="000000" w:themeColor="text1"/>
          <w:kern w:val="0"/>
          <w:szCs w:val="32"/>
          <w14:textFill>
            <w14:solidFill>
              <w14:schemeClr w14:val="tx1"/>
            </w14:solidFill>
          </w14:textFill>
        </w:rPr>
        <w:t>1375</w:t>
      </w:r>
      <w:r>
        <w:rPr>
          <w:rFonts w:hint="eastAsia" w:cs="Times New Roman"/>
          <w:bCs/>
          <w:color w:val="000000" w:themeColor="text1"/>
          <w:kern w:val="0"/>
          <w:szCs w:val="32"/>
          <w14:textFill>
            <w14:solidFill>
              <w14:schemeClr w14:val="tx1"/>
            </w14:solidFill>
          </w14:textFill>
        </w:rPr>
        <w:t>元/亩补助资金；改造升级可获得</w:t>
      </w:r>
      <w:r>
        <w:rPr>
          <w:rFonts w:cs="Times New Roman"/>
          <w:bCs/>
          <w:color w:val="000000" w:themeColor="text1"/>
          <w:kern w:val="0"/>
          <w:szCs w:val="32"/>
          <w14:textFill>
            <w14:solidFill>
              <w14:schemeClr w14:val="tx1"/>
            </w14:solidFill>
          </w14:textFill>
        </w:rPr>
        <w:t>825</w:t>
      </w:r>
      <w:r>
        <w:rPr>
          <w:rFonts w:hint="eastAsia" w:cs="Times New Roman"/>
          <w:bCs/>
          <w:color w:val="000000" w:themeColor="text1"/>
          <w:kern w:val="0"/>
          <w:szCs w:val="32"/>
          <w14:textFill>
            <w14:solidFill>
              <w14:schemeClr w14:val="tx1"/>
            </w14:solidFill>
          </w14:textFill>
        </w:rPr>
        <w:t>元/亩补助资金，按照自治区和县（市、区）5.5:4.5分担。本项目新建2</w:t>
      </w:r>
      <w:r>
        <w:rPr>
          <w:rFonts w:cs="Times New Roman"/>
          <w:bCs/>
          <w:color w:val="000000" w:themeColor="text1"/>
          <w:kern w:val="0"/>
          <w:szCs w:val="32"/>
          <w14:textFill>
            <w14:solidFill>
              <w14:schemeClr w14:val="tx1"/>
            </w14:solidFill>
          </w14:textFill>
        </w:rPr>
        <w:t>6.35万亩高效节灌，改造提升3.62万亩，合计可获得自治区</w:t>
      </w:r>
      <w:r>
        <w:rPr>
          <w:rFonts w:hint="eastAsia" w:cs="Times New Roman"/>
          <w:bCs/>
          <w:color w:val="000000" w:themeColor="text1"/>
          <w:kern w:val="0"/>
          <w:szCs w:val="32"/>
          <w14:textFill>
            <w14:solidFill>
              <w14:schemeClr w14:val="tx1"/>
            </w14:solidFill>
          </w14:textFill>
        </w:rPr>
        <w:t>补助</w:t>
      </w:r>
      <w:r>
        <w:rPr>
          <w:rFonts w:cs="Times New Roman"/>
          <w:bCs/>
          <w:color w:val="000000" w:themeColor="text1"/>
          <w:kern w:val="0"/>
          <w:szCs w:val="32"/>
          <w14:textFill>
            <w14:solidFill>
              <w14:schemeClr w14:val="tx1"/>
            </w14:solidFill>
          </w14:textFill>
        </w:rPr>
        <w:t>资金39,217.7万元，该部分</w:t>
      </w:r>
      <w:r>
        <w:rPr>
          <w:rFonts w:hint="eastAsia" w:cs="Times New Roman"/>
          <w:bCs/>
          <w:color w:val="000000" w:themeColor="text1"/>
          <w:kern w:val="0"/>
          <w:szCs w:val="32"/>
          <w14:textFill>
            <w14:solidFill>
              <w14:schemeClr w14:val="tx1"/>
            </w14:solidFill>
          </w14:textFill>
        </w:rPr>
        <w:t>补助</w:t>
      </w:r>
      <w:r>
        <w:rPr>
          <w:rFonts w:cs="Times New Roman"/>
          <w:bCs/>
          <w:color w:val="000000" w:themeColor="text1"/>
          <w:kern w:val="0"/>
          <w:szCs w:val="32"/>
          <w14:textFill>
            <w14:solidFill>
              <w14:schemeClr w14:val="tx1"/>
            </w14:solidFill>
          </w14:textFill>
        </w:rPr>
        <w:t>资金可作为项目的资本，加上社会资本出资10,796.50万元（约占总投资10.00%），剩余资金缺口由社会资本成立的项目公司从银行融资解决</w:t>
      </w:r>
      <w:r>
        <w:rPr>
          <w:rFonts w:hint="eastAsia" w:cs="Times New Roman"/>
          <w:bCs/>
          <w:color w:val="000000" w:themeColor="text1"/>
          <w:kern w:val="0"/>
          <w:szCs w:val="32"/>
          <w14:textFill>
            <w14:solidFill>
              <w14:schemeClr w14:val="tx1"/>
            </w14:solidFill>
          </w14:textFill>
        </w:rPr>
        <w:t>，</w:t>
      </w:r>
      <w:r>
        <w:rPr>
          <w:rFonts w:cs="Times New Roman"/>
          <w:bCs/>
          <w:color w:val="000000" w:themeColor="text1"/>
          <w:kern w:val="0"/>
          <w:szCs w:val="32"/>
          <w14:textFill>
            <w14:solidFill>
              <w14:schemeClr w14:val="tx1"/>
            </w14:solidFill>
          </w14:textFill>
        </w:rPr>
        <w:t>融资金额57,920.00万元。</w:t>
      </w:r>
    </w:p>
    <w:bookmarkEnd w:id="35"/>
    <w:p>
      <w:pPr>
        <w:widowControl/>
        <w:wordWrap w:val="0"/>
        <w:spacing w:line="500" w:lineRule="exact"/>
        <w:ind w:firstLine="0" w:firstLineChars="0"/>
        <w:jc w:val="center"/>
        <w:rPr>
          <w:rFonts w:cs="Times New Roman"/>
          <w:b/>
          <w:bCs/>
          <w:color w:val="000000" w:themeColor="text1"/>
          <w:kern w:val="0"/>
          <w:sz w:val="24"/>
          <w:szCs w:val="32"/>
          <w14:textFill>
            <w14:solidFill>
              <w14:schemeClr w14:val="tx1"/>
            </w14:solidFill>
          </w14:textFill>
        </w:rPr>
      </w:pPr>
      <w:r>
        <w:rPr>
          <w:rFonts w:cs="Times New Roman"/>
          <w:b/>
          <w:bCs/>
          <w:color w:val="000000" w:themeColor="text1"/>
          <w:kern w:val="0"/>
          <w:sz w:val="24"/>
          <w:szCs w:val="32"/>
          <w14:textFill>
            <w14:solidFill>
              <w14:schemeClr w14:val="tx1"/>
            </w14:solidFill>
          </w14:textFill>
        </w:rPr>
        <w:br w:type="page"/>
      </w:r>
    </w:p>
    <w:p>
      <w:pPr>
        <w:widowControl/>
        <w:wordWrap w:val="0"/>
        <w:spacing w:line="500" w:lineRule="exact"/>
        <w:ind w:firstLine="0" w:firstLineChars="0"/>
        <w:jc w:val="center"/>
        <w:rPr>
          <w:rFonts w:cs="Times New Roman"/>
          <w:b/>
          <w:bCs/>
          <w:color w:val="000000" w:themeColor="text1"/>
          <w:kern w:val="0"/>
          <w:sz w:val="24"/>
          <w:szCs w:val="32"/>
          <w14:textFill>
            <w14:solidFill>
              <w14:schemeClr w14:val="tx1"/>
            </w14:solidFill>
          </w14:textFill>
        </w:rPr>
      </w:pPr>
      <w:r>
        <w:rPr>
          <w:rFonts w:hint="eastAsia" w:cs="Times New Roman"/>
          <w:b/>
          <w:bCs/>
          <w:color w:val="000000" w:themeColor="text1"/>
          <w:kern w:val="0"/>
          <w:sz w:val="24"/>
          <w:szCs w:val="32"/>
          <w14:textFill>
            <w14:solidFill>
              <w14:schemeClr w14:val="tx1"/>
            </w14:solidFill>
          </w14:textFill>
        </w:rPr>
        <w:t>表</w:t>
      </w:r>
      <w:r>
        <w:rPr>
          <w:rFonts w:cs="Times New Roman"/>
          <w:b/>
          <w:bCs/>
          <w:color w:val="000000" w:themeColor="text1"/>
          <w:kern w:val="0"/>
          <w:sz w:val="24"/>
          <w:szCs w:val="32"/>
          <w14:textFill>
            <w14:solidFill>
              <w14:schemeClr w14:val="tx1"/>
            </w14:solidFill>
          </w14:textFill>
        </w:rPr>
        <w:t xml:space="preserve"> 5-1 </w:t>
      </w:r>
      <w:r>
        <w:rPr>
          <w:rFonts w:hint="eastAsia" w:cs="Times New Roman"/>
          <w:b/>
          <w:bCs/>
          <w:color w:val="000000" w:themeColor="text1"/>
          <w:kern w:val="0"/>
          <w:sz w:val="24"/>
          <w:szCs w:val="32"/>
          <w14:textFill>
            <w14:solidFill>
              <w14:schemeClr w14:val="tx1"/>
            </w14:solidFill>
          </w14:textFill>
        </w:rPr>
        <w:t>项目投融资结构表</w:t>
      </w:r>
    </w:p>
    <w:tbl>
      <w:tblPr>
        <w:tblStyle w:val="30"/>
        <w:tblW w:w="5000" w:type="pct"/>
        <w:jc w:val="center"/>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
      <w:tblGrid>
        <w:gridCol w:w="2468"/>
        <w:gridCol w:w="2032"/>
        <w:gridCol w:w="2423"/>
        <w:gridCol w:w="525"/>
        <w:gridCol w:w="1837"/>
      </w:tblGrid>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CellMar>
            <w:top w:w="0" w:type="dxa"/>
            <w:left w:w="108" w:type="dxa"/>
            <w:bottom w:w="0" w:type="dxa"/>
            <w:right w:w="108" w:type="dxa"/>
          </w:tblCellMar>
        </w:tblPrEx>
        <w:trPr>
          <w:jc w:val="center"/>
        </w:trPr>
        <w:tc>
          <w:tcPr>
            <w:tcW w:w="1329" w:type="pct"/>
            <w:tcBorders>
              <w:top w:val="single" w:color="auto" w:sz="12" w:space="0"/>
              <w:bottom w:val="single" w:color="auto" w:sz="4" w:space="0"/>
              <w:right w:val="single" w:color="auto" w:sz="4" w:space="0"/>
            </w:tcBorders>
            <w:shd w:val="clear" w:color="auto" w:fill="auto"/>
            <w:vAlign w:val="center"/>
          </w:tcPr>
          <w:p>
            <w:pPr>
              <w:widowControl/>
              <w:spacing w:line="240" w:lineRule="auto"/>
              <w:ind w:firstLine="0" w:firstLineChars="0"/>
              <w:jc w:val="center"/>
              <w:rPr>
                <w:b/>
                <w:color w:val="000000" w:themeColor="text1"/>
                <w:kern w:val="0"/>
                <w:sz w:val="24"/>
                <w:szCs w:val="24"/>
                <w14:textFill>
                  <w14:solidFill>
                    <w14:schemeClr w14:val="tx1"/>
                  </w14:solidFill>
                </w14:textFill>
              </w:rPr>
            </w:pPr>
            <w:r>
              <w:rPr>
                <w:b/>
                <w:color w:val="000000" w:themeColor="text1"/>
                <w:kern w:val="0"/>
                <w:sz w:val="24"/>
                <w:szCs w:val="24"/>
                <w14:textFill>
                  <w14:solidFill>
                    <w14:schemeClr w14:val="tx1"/>
                  </w14:solidFill>
                </w14:textFill>
              </w:rPr>
              <w:t>项目总投资</w:t>
            </w:r>
          </w:p>
          <w:p>
            <w:pPr>
              <w:widowControl/>
              <w:spacing w:line="240" w:lineRule="auto"/>
              <w:ind w:firstLine="0" w:firstLineChars="0"/>
              <w:jc w:val="center"/>
              <w:rPr>
                <w:b/>
                <w:color w:val="000000" w:themeColor="text1"/>
                <w:kern w:val="0"/>
                <w:sz w:val="24"/>
                <w:szCs w:val="24"/>
                <w14:textFill>
                  <w14:solidFill>
                    <w14:schemeClr w14:val="tx1"/>
                  </w14:solidFill>
                </w14:textFill>
              </w:rPr>
            </w:pPr>
            <w:r>
              <w:rPr>
                <w:b/>
                <w:color w:val="000000" w:themeColor="text1"/>
                <w:kern w:val="0"/>
                <w:sz w:val="24"/>
                <w:szCs w:val="24"/>
                <w14:textFill>
                  <w14:solidFill>
                    <w14:schemeClr w14:val="tx1"/>
                  </w14:solidFill>
                </w14:textFill>
              </w:rPr>
              <w:t>（特许经营范围）</w:t>
            </w:r>
          </w:p>
        </w:tc>
        <w:tc>
          <w:tcPr>
            <w:tcW w:w="3671" w:type="pct"/>
            <w:gridSpan w:val="4"/>
            <w:tcBorders>
              <w:top w:val="single" w:color="auto" w:sz="12" w:space="0"/>
              <w:left w:val="single" w:color="auto" w:sz="4" w:space="0"/>
              <w:bottom w:val="single" w:color="auto" w:sz="4" w:space="0"/>
            </w:tcBorders>
            <w:shd w:val="clear" w:color="auto" w:fill="auto"/>
            <w:vAlign w:val="center"/>
          </w:tcPr>
          <w:p>
            <w:pPr>
              <w:widowControl/>
              <w:spacing w:line="240" w:lineRule="auto"/>
              <w:ind w:firstLine="0" w:firstLineChars="0"/>
              <w:jc w:val="center"/>
              <w:rPr>
                <w:b/>
                <w:color w:val="000000" w:themeColor="text1"/>
                <w:kern w:val="0"/>
                <w:sz w:val="24"/>
                <w:szCs w:val="24"/>
                <w14:textFill>
                  <w14:solidFill>
                    <w14:schemeClr w14:val="tx1"/>
                  </w14:solidFill>
                </w14:textFill>
              </w:rPr>
            </w:pPr>
            <w:r>
              <w:rPr>
                <w:b/>
                <w:color w:val="000000" w:themeColor="text1"/>
                <w:kern w:val="0"/>
                <w:sz w:val="24"/>
                <w:szCs w:val="24"/>
                <w14:textFill>
                  <w14:solidFill>
                    <w14:schemeClr w14:val="tx1"/>
                  </w14:solidFill>
                </w14:textFill>
              </w:rPr>
              <w:t>各方出资比例及金额</w:t>
            </w:r>
          </w:p>
        </w:tc>
      </w:tr>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756" w:hRule="atLeast"/>
          <w:jc w:val="center"/>
        </w:trPr>
        <w:tc>
          <w:tcPr>
            <w:tcW w:w="1329" w:type="pct"/>
            <w:vMerge w:val="restart"/>
            <w:tcBorders>
              <w:top w:val="single" w:color="auto" w:sz="4" w:space="0"/>
              <w:bottom w:val="dotted" w:color="auto" w:sz="4" w:space="0"/>
              <w:right w:val="single" w:color="auto" w:sz="4" w:space="0"/>
            </w:tcBorders>
            <w:shd w:val="clear" w:color="auto" w:fill="auto"/>
            <w:vAlign w:val="center"/>
          </w:tcPr>
          <w:p>
            <w:pPr>
              <w:widowControl/>
              <w:spacing w:line="240" w:lineRule="auto"/>
              <w:ind w:firstLine="0" w:firstLineChars="0"/>
              <w:jc w:val="center"/>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107,933.85万元</w:t>
            </w:r>
          </w:p>
          <w:p>
            <w:pPr>
              <w:widowControl/>
              <w:spacing w:line="240" w:lineRule="auto"/>
              <w:ind w:firstLine="0" w:firstLineChars="0"/>
              <w:jc w:val="center"/>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（含建设期利息）</w:t>
            </w:r>
          </w:p>
        </w:tc>
        <w:tc>
          <w:tcPr>
            <w:tcW w:w="1094" w:type="pct"/>
            <w:tcBorders>
              <w:top w:val="single" w:color="auto" w:sz="4" w:space="0"/>
              <w:left w:val="single" w:color="auto" w:sz="4" w:space="0"/>
              <w:bottom w:val="dotted" w:color="auto" w:sz="4" w:space="0"/>
            </w:tcBorders>
            <w:shd w:val="clear" w:color="auto" w:fill="auto"/>
            <w:vAlign w:val="center"/>
          </w:tcPr>
          <w:p>
            <w:pPr>
              <w:widowControl/>
              <w:spacing w:line="240" w:lineRule="auto"/>
              <w:ind w:firstLine="0" w:firstLineChars="0"/>
              <w:jc w:val="center"/>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社会资本出资</w:t>
            </w:r>
          </w:p>
        </w:tc>
        <w:tc>
          <w:tcPr>
            <w:tcW w:w="1305" w:type="pct"/>
            <w:tcBorders>
              <w:top w:val="single" w:color="auto" w:sz="4" w:space="0"/>
              <w:bottom w:val="dotted" w:color="auto" w:sz="4" w:space="0"/>
            </w:tcBorders>
            <w:shd w:val="clear" w:color="auto" w:fill="auto"/>
            <w:vAlign w:val="center"/>
          </w:tcPr>
          <w:p>
            <w:pPr>
              <w:widowControl/>
              <w:spacing w:line="240" w:lineRule="auto"/>
              <w:ind w:firstLine="0" w:firstLineChars="0"/>
              <w:jc w:val="center"/>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10,796.50</w:t>
            </w:r>
            <w:r>
              <w:rPr>
                <w:rFonts w:hint="eastAsia"/>
                <w:color w:val="000000" w:themeColor="text1"/>
                <w:sz w:val="24"/>
                <w:szCs w:val="24"/>
                <w14:textFill>
                  <w14:solidFill>
                    <w14:schemeClr w14:val="tx1"/>
                  </w14:solidFill>
                </w14:textFill>
              </w:rPr>
              <w:t>万元</w:t>
            </w:r>
          </w:p>
          <w:p>
            <w:pPr>
              <w:pStyle w:val="29"/>
              <w:spacing w:line="240" w:lineRule="auto"/>
              <w:ind w:firstLine="0" w:firstLineChars="0"/>
              <w:jc w:val="center"/>
              <w:rPr>
                <w:rFonts w:eastAsia="仿宋" w:cstheme="minorBidi"/>
                <w:color w:val="000000" w:themeColor="text1"/>
                <w14:textFill>
                  <w14:solidFill>
                    <w14:schemeClr w14:val="tx1"/>
                  </w14:solidFill>
                </w14:textFill>
              </w:rPr>
            </w:pPr>
            <w:r>
              <w:rPr>
                <w:rFonts w:hint="eastAsia"/>
                <w:color w:val="000000" w:themeColor="text1"/>
                <w14:textFill>
                  <w14:solidFill>
                    <w14:schemeClr w14:val="tx1"/>
                  </w14:solidFill>
                </w14:textFill>
              </w:rPr>
              <w:t>（</w:t>
            </w:r>
            <w:r>
              <w:rPr>
                <w:color w:val="000000" w:themeColor="text1"/>
                <w14:textFill>
                  <w14:solidFill>
                    <w14:schemeClr w14:val="tx1"/>
                  </w14:solidFill>
                </w14:textFill>
              </w:rPr>
              <w:t>10.0%</w:t>
            </w:r>
            <w:r>
              <w:rPr>
                <w:rFonts w:hint="eastAsia"/>
                <w:color w:val="000000" w:themeColor="text1"/>
                <w14:textFill>
                  <w14:solidFill>
                    <w14:schemeClr w14:val="tx1"/>
                  </w14:solidFill>
                </w14:textFill>
              </w:rPr>
              <w:t>）</w:t>
            </w:r>
          </w:p>
        </w:tc>
        <w:tc>
          <w:tcPr>
            <w:tcW w:w="283" w:type="pct"/>
            <w:vMerge w:val="restart"/>
            <w:tcBorders>
              <w:top w:val="single" w:color="auto" w:sz="4" w:space="0"/>
              <w:bottom w:val="dotted" w:color="auto" w:sz="4" w:space="0"/>
            </w:tcBorders>
            <w:shd w:val="clear" w:color="auto" w:fill="auto"/>
            <w:vAlign w:val="center"/>
          </w:tcPr>
          <w:p>
            <w:pPr>
              <w:widowControl/>
              <w:spacing w:line="240" w:lineRule="auto"/>
              <w:ind w:firstLine="0" w:firstLineChars="0"/>
              <w:jc w:val="center"/>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项目资本金</w:t>
            </w:r>
          </w:p>
        </w:tc>
        <w:tc>
          <w:tcPr>
            <w:tcW w:w="989" w:type="pct"/>
            <w:vMerge w:val="restart"/>
            <w:tcBorders>
              <w:top w:val="single" w:color="auto" w:sz="4" w:space="0"/>
              <w:bottom w:val="dotted" w:color="auto" w:sz="4" w:space="0"/>
            </w:tcBorders>
            <w:shd w:val="clear" w:color="auto" w:fill="auto"/>
            <w:vAlign w:val="center"/>
          </w:tcPr>
          <w:p>
            <w:pPr>
              <w:pStyle w:val="29"/>
              <w:spacing w:line="240" w:lineRule="auto"/>
              <w:ind w:firstLine="0" w:firstLineChars="0"/>
              <w:jc w:val="center"/>
              <w:rPr>
                <w:rFonts w:eastAsia="仿宋"/>
              </w:rPr>
            </w:pPr>
            <w:r>
              <w:rPr>
                <w:rFonts w:eastAsia="仿宋"/>
              </w:rPr>
              <w:t>50,014.25万元</w:t>
            </w:r>
          </w:p>
          <w:p>
            <w:pPr>
              <w:pStyle w:val="29"/>
              <w:spacing w:line="240" w:lineRule="auto"/>
              <w:ind w:firstLine="0" w:firstLineChars="0"/>
              <w:jc w:val="center"/>
              <w:rPr>
                <w:rFonts w:eastAsia="仿宋"/>
              </w:rPr>
            </w:pPr>
            <w:r>
              <w:rPr>
                <w:rFonts w:eastAsia="仿宋"/>
              </w:rPr>
              <w:t>（46.30%）</w:t>
            </w:r>
          </w:p>
        </w:tc>
      </w:tr>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448" w:hRule="atLeast"/>
          <w:jc w:val="center"/>
        </w:trPr>
        <w:tc>
          <w:tcPr>
            <w:tcW w:w="1329" w:type="pct"/>
            <w:vMerge w:val="continue"/>
            <w:tcBorders>
              <w:right w:val="single" w:color="auto" w:sz="4" w:space="0"/>
            </w:tcBorders>
            <w:shd w:val="clear" w:color="auto" w:fill="auto"/>
            <w:vAlign w:val="center"/>
          </w:tcPr>
          <w:p>
            <w:pPr>
              <w:widowControl/>
              <w:spacing w:line="240" w:lineRule="auto"/>
              <w:ind w:firstLine="0" w:firstLineChars="0"/>
              <w:jc w:val="center"/>
              <w:rPr>
                <w:color w:val="000000" w:themeColor="text1"/>
                <w:sz w:val="24"/>
                <w:szCs w:val="24"/>
                <w14:textFill>
                  <w14:solidFill>
                    <w14:schemeClr w14:val="tx1"/>
                  </w14:solidFill>
                </w14:textFill>
              </w:rPr>
            </w:pPr>
          </w:p>
        </w:tc>
        <w:tc>
          <w:tcPr>
            <w:tcW w:w="1094" w:type="pct"/>
            <w:tcBorders>
              <w:left w:val="single" w:color="auto" w:sz="4" w:space="0"/>
            </w:tcBorders>
            <w:shd w:val="clear" w:color="auto" w:fill="auto"/>
            <w:vAlign w:val="center"/>
          </w:tcPr>
          <w:p>
            <w:pPr>
              <w:widowControl/>
              <w:spacing w:line="240" w:lineRule="auto"/>
              <w:ind w:firstLine="0" w:firstLineChars="0"/>
              <w:jc w:val="center"/>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建设期补助</w:t>
            </w:r>
          </w:p>
        </w:tc>
        <w:tc>
          <w:tcPr>
            <w:tcW w:w="1305" w:type="pct"/>
            <w:shd w:val="clear" w:color="auto" w:fill="auto"/>
            <w:vAlign w:val="center"/>
          </w:tcPr>
          <w:p>
            <w:pPr>
              <w:widowControl/>
              <w:spacing w:line="240" w:lineRule="auto"/>
              <w:ind w:firstLine="0" w:firstLineChars="0"/>
              <w:jc w:val="center"/>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39,217.75</w:t>
            </w:r>
            <w:r>
              <w:rPr>
                <w:rFonts w:hint="eastAsia"/>
                <w:color w:val="000000" w:themeColor="text1"/>
                <w:sz w:val="24"/>
                <w:szCs w:val="24"/>
                <w14:textFill>
                  <w14:solidFill>
                    <w14:schemeClr w14:val="tx1"/>
                  </w14:solidFill>
                </w14:textFill>
              </w:rPr>
              <w:t>万元</w:t>
            </w:r>
          </w:p>
          <w:p>
            <w:pPr>
              <w:pStyle w:val="29"/>
              <w:spacing w:line="240" w:lineRule="auto"/>
              <w:ind w:firstLine="0" w:firstLineChars="0"/>
              <w:jc w:val="center"/>
              <w:rPr>
                <w:rFonts w:eastAsia="仿宋" w:cstheme="minorBidi"/>
                <w:color w:val="000000" w:themeColor="text1"/>
                <w14:textFill>
                  <w14:solidFill>
                    <w14:schemeClr w14:val="tx1"/>
                  </w14:solidFill>
                </w14:textFill>
              </w:rPr>
            </w:pPr>
            <w:r>
              <w:rPr>
                <w:color w:val="000000" w:themeColor="text1"/>
                <w14:textFill>
                  <w14:solidFill>
                    <w14:schemeClr w14:val="tx1"/>
                  </w14:solidFill>
                </w14:textFill>
              </w:rPr>
              <w:t>（36.3%</w:t>
            </w:r>
            <w:r>
              <w:rPr>
                <w:rFonts w:hint="eastAsia"/>
                <w:color w:val="000000" w:themeColor="text1"/>
                <w14:textFill>
                  <w14:solidFill>
                    <w14:schemeClr w14:val="tx1"/>
                  </w14:solidFill>
                </w14:textFill>
              </w:rPr>
              <w:t>）</w:t>
            </w:r>
          </w:p>
        </w:tc>
        <w:tc>
          <w:tcPr>
            <w:tcW w:w="283" w:type="pct"/>
            <w:vMerge w:val="continue"/>
            <w:shd w:val="clear" w:color="auto" w:fill="auto"/>
            <w:vAlign w:val="center"/>
          </w:tcPr>
          <w:p>
            <w:pPr>
              <w:widowControl/>
              <w:spacing w:line="240" w:lineRule="auto"/>
              <w:ind w:firstLine="0" w:firstLineChars="0"/>
              <w:jc w:val="center"/>
              <w:rPr>
                <w:color w:val="000000" w:themeColor="text1"/>
                <w:sz w:val="24"/>
                <w:szCs w:val="24"/>
                <w14:textFill>
                  <w14:solidFill>
                    <w14:schemeClr w14:val="tx1"/>
                  </w14:solidFill>
                </w14:textFill>
              </w:rPr>
            </w:pPr>
          </w:p>
        </w:tc>
        <w:tc>
          <w:tcPr>
            <w:tcW w:w="989" w:type="pct"/>
            <w:vMerge w:val="continue"/>
            <w:shd w:val="clear" w:color="auto" w:fill="auto"/>
            <w:vAlign w:val="center"/>
          </w:tcPr>
          <w:p>
            <w:pPr>
              <w:widowControl/>
              <w:spacing w:line="240" w:lineRule="auto"/>
              <w:ind w:firstLine="0" w:firstLineChars="0"/>
              <w:jc w:val="center"/>
              <w:rPr>
                <w:color w:val="000000" w:themeColor="text1"/>
                <w:sz w:val="24"/>
                <w:szCs w:val="24"/>
                <w14:textFill>
                  <w14:solidFill>
                    <w14:schemeClr w14:val="tx1"/>
                  </w14:solidFill>
                </w14:textFill>
              </w:rPr>
            </w:pPr>
          </w:p>
        </w:tc>
      </w:tr>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650" w:hRule="atLeast"/>
          <w:jc w:val="center"/>
        </w:trPr>
        <w:tc>
          <w:tcPr>
            <w:tcW w:w="1329" w:type="pct"/>
            <w:vMerge w:val="continue"/>
            <w:tcBorders>
              <w:right w:val="single" w:color="auto" w:sz="4" w:space="0"/>
            </w:tcBorders>
            <w:shd w:val="clear" w:color="auto" w:fill="auto"/>
            <w:vAlign w:val="center"/>
          </w:tcPr>
          <w:p>
            <w:pPr>
              <w:widowControl/>
              <w:spacing w:line="240" w:lineRule="auto"/>
              <w:ind w:firstLine="0" w:firstLineChars="0"/>
              <w:jc w:val="center"/>
              <w:rPr>
                <w:color w:val="000000" w:themeColor="text1"/>
                <w:sz w:val="24"/>
                <w:szCs w:val="24"/>
                <w14:textFill>
                  <w14:solidFill>
                    <w14:schemeClr w14:val="tx1"/>
                  </w14:solidFill>
                </w14:textFill>
              </w:rPr>
            </w:pPr>
          </w:p>
        </w:tc>
        <w:tc>
          <w:tcPr>
            <w:tcW w:w="1094" w:type="pct"/>
            <w:tcBorders>
              <w:left w:val="single" w:color="auto" w:sz="4" w:space="0"/>
            </w:tcBorders>
            <w:shd w:val="clear" w:color="auto" w:fill="auto"/>
            <w:vAlign w:val="center"/>
          </w:tcPr>
          <w:p>
            <w:pPr>
              <w:widowControl/>
              <w:spacing w:line="240" w:lineRule="auto"/>
              <w:ind w:firstLine="0" w:firstLineChars="0"/>
              <w:jc w:val="center"/>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银行融资</w:t>
            </w:r>
          </w:p>
        </w:tc>
        <w:tc>
          <w:tcPr>
            <w:tcW w:w="1305" w:type="pct"/>
            <w:shd w:val="clear" w:color="auto" w:fill="auto"/>
            <w:vAlign w:val="center"/>
          </w:tcPr>
          <w:p>
            <w:pPr>
              <w:widowControl/>
              <w:spacing w:line="240" w:lineRule="auto"/>
              <w:ind w:firstLine="0" w:firstLineChars="0"/>
              <w:jc w:val="center"/>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57,920.00</w:t>
            </w:r>
            <w:r>
              <w:rPr>
                <w:rFonts w:hint="eastAsia"/>
                <w:color w:val="000000" w:themeColor="text1"/>
                <w:sz w:val="24"/>
                <w:szCs w:val="24"/>
                <w14:textFill>
                  <w14:solidFill>
                    <w14:schemeClr w14:val="tx1"/>
                  </w14:solidFill>
                </w14:textFill>
              </w:rPr>
              <w:t>万元</w:t>
            </w:r>
          </w:p>
          <w:p>
            <w:pPr>
              <w:pStyle w:val="29"/>
              <w:spacing w:line="240" w:lineRule="auto"/>
              <w:ind w:firstLine="0" w:firstLineChars="0"/>
              <w:jc w:val="center"/>
              <w:rPr>
                <w:rFonts w:eastAsia="仿宋" w:cstheme="minorBidi"/>
                <w:color w:val="000000" w:themeColor="text1"/>
                <w14:textFill>
                  <w14:solidFill>
                    <w14:schemeClr w14:val="tx1"/>
                  </w14:solidFill>
                </w14:textFill>
              </w:rPr>
            </w:pPr>
            <w:r>
              <w:rPr>
                <w:color w:val="000000" w:themeColor="text1"/>
                <w14:textFill>
                  <w14:solidFill>
                    <w14:schemeClr w14:val="tx1"/>
                  </w14:solidFill>
                </w14:textFill>
              </w:rPr>
              <w:t>（53.7%</w:t>
            </w:r>
            <w:r>
              <w:rPr>
                <w:rFonts w:hint="eastAsia"/>
                <w:color w:val="000000" w:themeColor="text1"/>
                <w14:textFill>
                  <w14:solidFill>
                    <w14:schemeClr w14:val="tx1"/>
                  </w14:solidFill>
                </w14:textFill>
              </w:rPr>
              <w:t>）</w:t>
            </w:r>
          </w:p>
        </w:tc>
        <w:tc>
          <w:tcPr>
            <w:tcW w:w="1272" w:type="pct"/>
            <w:gridSpan w:val="2"/>
            <w:shd w:val="clear" w:color="auto" w:fill="auto"/>
            <w:vAlign w:val="center"/>
          </w:tcPr>
          <w:p>
            <w:pPr>
              <w:widowControl/>
              <w:spacing w:line="240" w:lineRule="auto"/>
              <w:ind w:firstLine="0" w:firstLineChars="0"/>
              <w:jc w:val="center"/>
              <w:rPr>
                <w:color w:val="000000" w:themeColor="text1"/>
                <w:sz w:val="24"/>
                <w:szCs w:val="24"/>
                <w14:textFill>
                  <w14:solidFill>
                    <w14:schemeClr w14:val="tx1"/>
                  </w14:solidFill>
                </w14:textFill>
              </w:rPr>
            </w:pPr>
          </w:p>
        </w:tc>
      </w:tr>
    </w:tbl>
    <w:p>
      <w:pPr>
        <w:widowControl/>
        <w:wordWrap w:val="0"/>
        <w:spacing w:line="500" w:lineRule="exact"/>
        <w:ind w:firstLine="560"/>
        <w:jc w:val="left"/>
        <w:rPr>
          <w:rFonts w:cs="Times New Roman"/>
          <w:bCs/>
          <w:kern w:val="0"/>
          <w:szCs w:val="32"/>
        </w:rPr>
      </w:pPr>
      <w:bookmarkStart w:id="36" w:name="_Hlk130124749"/>
      <w:r>
        <w:rPr>
          <w:rFonts w:cs="Times New Roman"/>
          <w:bCs/>
          <w:kern w:val="0"/>
          <w:szCs w:val="32"/>
        </w:rPr>
        <w:t>（2）项目除资本金之外，县政府尽量争取中央和自治区其他相关补助。</w:t>
      </w:r>
    </w:p>
    <w:p>
      <w:pPr>
        <w:widowControl/>
        <w:wordWrap w:val="0"/>
        <w:spacing w:line="500" w:lineRule="exact"/>
        <w:ind w:firstLine="560"/>
        <w:jc w:val="left"/>
        <w:rPr>
          <w:rFonts w:cs="Times New Roman"/>
        </w:rPr>
      </w:pPr>
      <w:r>
        <w:rPr>
          <w:rFonts w:cs="Times New Roman"/>
        </w:rPr>
        <w:t>（3）其他剩余资金由社会资本负责通过银行贷款等融资方式取得，政府对社会资本融资提供协助，但不提供担保或其他信用支持</w:t>
      </w:r>
      <w:bookmarkEnd w:id="36"/>
      <w:r>
        <w:rPr>
          <w:rFonts w:cs="Times New Roman"/>
        </w:rPr>
        <w:t>。</w:t>
      </w:r>
    </w:p>
    <w:p>
      <w:pPr>
        <w:pStyle w:val="4"/>
        <w:ind w:firstLine="562"/>
        <w:rPr>
          <w:rFonts w:cs="Times New Roman"/>
        </w:rPr>
      </w:pPr>
      <w:bookmarkStart w:id="37" w:name="_Toc86926624"/>
      <w:r>
        <w:rPr>
          <w:rFonts w:cs="Times New Roman"/>
        </w:rPr>
        <w:t>（三）项目公司治理结构</w:t>
      </w:r>
      <w:bookmarkEnd w:id="37"/>
    </w:p>
    <w:p>
      <w:pPr>
        <w:pStyle w:val="44"/>
        <w:ind w:firstLine="560"/>
        <w:jc w:val="both"/>
        <w:rPr>
          <w:rFonts w:eastAsia="仿宋"/>
        </w:rPr>
      </w:pPr>
      <w:r>
        <w:rPr>
          <w:rFonts w:eastAsia="仿宋"/>
        </w:rPr>
        <w:t>项目公司设立股东会、董事会、监事会和经营管理机构。</w:t>
      </w:r>
    </w:p>
    <w:p>
      <w:pPr>
        <w:ind w:firstLine="562"/>
        <w:rPr>
          <w:rFonts w:cs="Times New Roman"/>
          <w:b/>
        </w:rPr>
      </w:pPr>
      <w:r>
        <w:rPr>
          <w:rFonts w:cs="Times New Roman"/>
          <w:b/>
        </w:rPr>
        <w:t>1.股东会</w:t>
      </w:r>
    </w:p>
    <w:p>
      <w:pPr>
        <w:pStyle w:val="44"/>
        <w:ind w:firstLine="560"/>
        <w:jc w:val="both"/>
        <w:rPr>
          <w:rFonts w:eastAsia="仿宋"/>
        </w:rPr>
      </w:pPr>
      <w:r>
        <w:rPr>
          <w:rFonts w:eastAsia="仿宋"/>
        </w:rPr>
        <w:t>股东会是项目公司的权力机构，由全体股东组成，依照《公司法》《特许经营协议》《股东协议》《公司章程》的规定和约定行使职权。</w:t>
      </w:r>
    </w:p>
    <w:p>
      <w:pPr>
        <w:ind w:firstLine="562"/>
        <w:rPr>
          <w:rFonts w:cs="Times New Roman"/>
          <w:b/>
        </w:rPr>
      </w:pPr>
      <w:r>
        <w:rPr>
          <w:rFonts w:cs="Times New Roman"/>
          <w:b/>
        </w:rPr>
        <w:t>2.董事会</w:t>
      </w:r>
    </w:p>
    <w:p>
      <w:pPr>
        <w:pStyle w:val="44"/>
        <w:ind w:firstLine="560"/>
        <w:jc w:val="both"/>
        <w:rPr>
          <w:rFonts w:eastAsia="仿宋"/>
        </w:rPr>
      </w:pPr>
      <w:r>
        <w:rPr>
          <w:rFonts w:eastAsia="仿宋"/>
        </w:rPr>
        <w:t>项目公司按照《公司法》《公司章程》要求设置董事会。董事会应由三人及以上单数组成，其中，若董事会成员为三人，则政府方推荐一名董事候选人，若董事会成员为五人，则政府方推荐两名董事候选人，其余董事候选人人选由中标社会资本推荐，董事长由中标社会资本推荐的董事担任。</w:t>
      </w:r>
    </w:p>
    <w:p>
      <w:pPr>
        <w:pStyle w:val="44"/>
        <w:ind w:firstLine="560"/>
        <w:jc w:val="both"/>
        <w:rPr>
          <w:rFonts w:eastAsia="仿宋"/>
        </w:rPr>
      </w:pPr>
      <w:r>
        <w:rPr>
          <w:rFonts w:eastAsia="仿宋"/>
        </w:rPr>
        <w:t>董事会采取一人一票的表决制度，但对于可能对社会公共利益及重大公共安全造成重大影响的事项，政府方委派的董事具有一票否决权。董事会决策涉及公司重大经营的事项，需要董事三分之二（2/3）以上表决通过。其他日常经营事项，需要董事二分之一（1/2）以上表决通过。</w:t>
      </w:r>
    </w:p>
    <w:p>
      <w:pPr>
        <w:ind w:firstLine="562"/>
        <w:rPr>
          <w:rFonts w:cs="Times New Roman"/>
          <w:b/>
        </w:rPr>
      </w:pPr>
      <w:r>
        <w:rPr>
          <w:rFonts w:cs="Times New Roman"/>
          <w:b/>
        </w:rPr>
        <w:t>3监事会</w:t>
      </w:r>
    </w:p>
    <w:p>
      <w:pPr>
        <w:pStyle w:val="44"/>
        <w:ind w:firstLine="560"/>
        <w:jc w:val="both"/>
        <w:rPr>
          <w:rFonts w:eastAsia="仿宋"/>
        </w:rPr>
      </w:pPr>
      <w:r>
        <w:rPr>
          <w:rFonts w:eastAsia="仿宋"/>
        </w:rPr>
        <w:t>监事会应于公司成立之日成立，是项目公司的监督机构，并根据《特许经营协议》及《项目公司章程》的规定，监督项目公司的相关事宜，确保项目公司依法经营，维护股东利益。</w:t>
      </w:r>
    </w:p>
    <w:p>
      <w:pPr>
        <w:pStyle w:val="44"/>
        <w:ind w:firstLine="560"/>
        <w:jc w:val="both"/>
      </w:pPr>
      <w:r>
        <w:rPr>
          <w:rFonts w:eastAsia="仿宋"/>
        </w:rPr>
        <w:t>监事会由3名监事组成，其中政府方推荐1名，中标社会资本委派推荐1名，项目公司的职工代表大会选举产生1名。监事的任期每届为三年。监事任期届满，可以连选连任。监事会设主席1人，由全体监事过半数选举产生，首届监事会主席由监事会选举政府方委派的监事担任。</w:t>
      </w:r>
    </w:p>
    <w:p>
      <w:pPr>
        <w:ind w:firstLine="562"/>
        <w:rPr>
          <w:rFonts w:cs="Times New Roman"/>
          <w:b/>
        </w:rPr>
      </w:pPr>
      <w:r>
        <w:rPr>
          <w:rFonts w:cs="Times New Roman"/>
          <w:b/>
        </w:rPr>
        <w:t>4.经营管理机构</w:t>
      </w:r>
    </w:p>
    <w:p>
      <w:pPr>
        <w:pStyle w:val="44"/>
        <w:ind w:firstLine="560"/>
        <w:jc w:val="both"/>
        <w:rPr>
          <w:rFonts w:eastAsia="仿宋"/>
        </w:rPr>
      </w:pPr>
      <w:r>
        <w:rPr>
          <w:rFonts w:eastAsia="仿宋"/>
        </w:rPr>
        <w:t>项目公司实行董事会领导下的总经理负责制，由总经理负责项目公司的日常经营管理，其他高级管理人员向总经理负责并汇报工作。</w:t>
      </w:r>
    </w:p>
    <w:p>
      <w:pPr>
        <w:pStyle w:val="44"/>
        <w:ind w:firstLine="560"/>
        <w:jc w:val="both"/>
        <w:rPr>
          <w:rFonts w:eastAsia="仿宋"/>
        </w:rPr>
      </w:pPr>
      <w:r>
        <w:rPr>
          <w:rFonts w:eastAsia="仿宋"/>
        </w:rPr>
        <w:t>公司设总经理1名。总经理由中标社会资本提名，董事会聘任。公司设财务总监1人，由中标社会资本提名，董事会聘任；公司设财务副总监1人，由政府方提名，董事会聘任。项目公司设副总、总工程师及各部门负责人。项目公司共计</w:t>
      </w:r>
      <w:r>
        <w:rPr>
          <w:rFonts w:hint="eastAsia" w:eastAsia="仿宋"/>
        </w:rPr>
        <w:t>1</w:t>
      </w:r>
      <w:r>
        <w:rPr>
          <w:rFonts w:eastAsia="仿宋"/>
        </w:rPr>
        <w:t>0人的管理团队。运营人员暂定75人，水管员优先吸纳</w:t>
      </w:r>
      <w:r>
        <w:rPr>
          <w:rFonts w:hint="eastAsia" w:eastAsia="仿宋"/>
        </w:rPr>
        <w:t>当地</w:t>
      </w:r>
      <w:r>
        <w:rPr>
          <w:rFonts w:eastAsia="仿宋"/>
        </w:rPr>
        <w:t>人员。</w:t>
      </w:r>
    </w:p>
    <w:p>
      <w:pPr>
        <w:keepNext/>
        <w:keepLines/>
        <w:spacing w:before="120" w:after="120"/>
        <w:ind w:firstLine="643" w:firstLineChars="0"/>
        <w:outlineLvl w:val="1"/>
        <w:rPr>
          <w:rFonts w:cs="Times New Roman"/>
          <w:b/>
          <w:bCs/>
          <w:sz w:val="32"/>
          <w:szCs w:val="32"/>
        </w:rPr>
      </w:pPr>
      <w:bookmarkStart w:id="38" w:name="_Toc148432358"/>
      <w:bookmarkStart w:id="39" w:name="_Toc86926625"/>
      <w:r>
        <w:rPr>
          <w:rFonts w:cs="Times New Roman"/>
          <w:b/>
          <w:bCs/>
          <w:sz w:val="32"/>
          <w:szCs w:val="32"/>
        </w:rPr>
        <w:t>四、回报机制</w:t>
      </w:r>
      <w:bookmarkEnd w:id="38"/>
      <w:bookmarkEnd w:id="39"/>
    </w:p>
    <w:p>
      <w:pPr>
        <w:pStyle w:val="4"/>
        <w:ind w:firstLine="562"/>
        <w:rPr>
          <w:rFonts w:cs="Times New Roman"/>
        </w:rPr>
      </w:pPr>
      <w:r>
        <w:rPr>
          <w:rFonts w:hint="eastAsia" w:cs="Times New Roman"/>
        </w:rPr>
        <w:t>（一）</w:t>
      </w:r>
      <w:r>
        <w:rPr>
          <w:rFonts w:cs="Times New Roman"/>
        </w:rPr>
        <w:t>投资回报机制分析</w:t>
      </w:r>
    </w:p>
    <w:p>
      <w:pPr>
        <w:pStyle w:val="44"/>
        <w:ind w:firstLine="560"/>
        <w:jc w:val="both"/>
        <w:rPr>
          <w:rFonts w:ascii="仿宋" w:hAnsi="仿宋" w:eastAsia="仿宋"/>
        </w:rPr>
      </w:pPr>
      <w:r>
        <w:rPr>
          <w:rFonts w:hint="eastAsia" w:ascii="仿宋" w:hAnsi="仿宋" w:eastAsia="仿宋" w:cs="微软雅黑"/>
        </w:rPr>
        <w:t>特许经营项目回报机制主要包括使用者付费</w:t>
      </w:r>
      <w:r>
        <w:rPr>
          <w:rFonts w:hint="eastAsia" w:ascii="仿宋" w:hAnsi="仿宋" w:eastAsia="仿宋" w:cs="Malgun Gothic Semilight"/>
        </w:rPr>
        <w:t>、</w:t>
      </w:r>
      <w:r>
        <w:rPr>
          <w:rFonts w:hint="eastAsia" w:ascii="仿宋" w:hAnsi="仿宋" w:eastAsia="仿宋" w:cs="微软雅黑"/>
        </w:rPr>
        <w:t>政府付费和可行性缺口补助等形式</w:t>
      </w:r>
      <w:r>
        <w:rPr>
          <w:rFonts w:hint="eastAsia" w:ascii="仿宋" w:hAnsi="仿宋" w:eastAsia="仿宋" w:cs="Malgun Gothic Semilight"/>
        </w:rPr>
        <w:t>，</w:t>
      </w:r>
      <w:r>
        <w:rPr>
          <w:rFonts w:hint="eastAsia" w:ascii="仿宋" w:hAnsi="仿宋" w:eastAsia="仿宋" w:cs="微软雅黑"/>
        </w:rPr>
        <w:t>项目具体的回报机制则是由项目自身的经营属性所决定</w:t>
      </w:r>
      <w:r>
        <w:rPr>
          <w:rFonts w:hint="eastAsia" w:ascii="仿宋" w:hAnsi="仿宋" w:eastAsia="仿宋" w:cs="Malgun Gothic Semilight"/>
        </w:rPr>
        <w:t>。</w:t>
      </w:r>
    </w:p>
    <w:p>
      <w:pPr>
        <w:pStyle w:val="44"/>
        <w:ind w:firstLine="560"/>
        <w:jc w:val="both"/>
        <w:rPr>
          <w:rFonts w:ascii="仿宋" w:hAnsi="仿宋" w:eastAsia="仿宋"/>
        </w:rPr>
      </w:pPr>
      <w:r>
        <w:rPr>
          <w:rFonts w:hint="eastAsia" w:ascii="仿宋" w:hAnsi="仿宋" w:eastAsia="仿宋" w:cs="微软雅黑"/>
        </w:rPr>
        <w:t>使用者付费是指最终由消费用户直接付费购买公共产品和服务</w:t>
      </w:r>
      <w:r>
        <w:rPr>
          <w:rFonts w:hint="eastAsia" w:ascii="仿宋" w:hAnsi="仿宋" w:eastAsia="仿宋" w:cs="Malgun Gothic Semilight"/>
        </w:rPr>
        <w:t>，</w:t>
      </w:r>
      <w:r>
        <w:rPr>
          <w:rFonts w:hint="eastAsia" w:ascii="仿宋" w:hAnsi="仿宋" w:eastAsia="仿宋" w:cs="微软雅黑"/>
        </w:rPr>
        <w:t>一般适用于可市场化运作</w:t>
      </w:r>
      <w:r>
        <w:rPr>
          <w:rFonts w:hint="eastAsia" w:ascii="仿宋" w:hAnsi="仿宋" w:eastAsia="仿宋" w:cs="Malgun Gothic Semilight"/>
        </w:rPr>
        <w:t>，</w:t>
      </w:r>
      <w:r>
        <w:rPr>
          <w:rFonts w:hint="eastAsia" w:ascii="仿宋" w:hAnsi="仿宋" w:eastAsia="仿宋" w:cs="微软雅黑"/>
        </w:rPr>
        <w:t>收入能覆盖成本和合理回报的项目</w:t>
      </w:r>
      <w:r>
        <w:rPr>
          <w:rFonts w:hint="eastAsia" w:ascii="仿宋" w:hAnsi="仿宋" w:eastAsia="仿宋" w:cs="Malgun Gothic Semilight"/>
        </w:rPr>
        <w:t>；</w:t>
      </w:r>
      <w:r>
        <w:rPr>
          <w:rFonts w:hint="eastAsia" w:ascii="仿宋" w:hAnsi="仿宋" w:eastAsia="仿宋" w:cs="微软雅黑"/>
        </w:rPr>
        <w:t>可行性缺口补助</w:t>
      </w:r>
      <w:r>
        <w:rPr>
          <w:rFonts w:hint="eastAsia" w:ascii="仿宋" w:hAnsi="仿宋" w:eastAsia="仿宋" w:cs="Malgun Gothic Semilight"/>
        </w:rPr>
        <w:t>，</w:t>
      </w:r>
      <w:r>
        <w:rPr>
          <w:rFonts w:hint="eastAsia" w:ascii="仿宋" w:hAnsi="仿宋" w:eastAsia="仿宋" w:cs="微软雅黑"/>
        </w:rPr>
        <w:t>是指第三方收入不足以满足社会资本或项目公司成本回收和合理回报</w:t>
      </w:r>
      <w:r>
        <w:rPr>
          <w:rFonts w:hint="eastAsia" w:ascii="仿宋" w:hAnsi="仿宋" w:eastAsia="仿宋" w:cs="Malgun Gothic Semilight"/>
        </w:rPr>
        <w:t>，</w:t>
      </w:r>
      <w:r>
        <w:rPr>
          <w:rFonts w:hint="eastAsia" w:ascii="仿宋" w:hAnsi="仿宋" w:eastAsia="仿宋" w:cs="微软雅黑"/>
        </w:rPr>
        <w:t>而由政府以财政补贴</w:t>
      </w:r>
      <w:r>
        <w:rPr>
          <w:rFonts w:hint="eastAsia" w:ascii="仿宋" w:hAnsi="仿宋" w:eastAsia="仿宋" w:cs="Malgun Gothic Semilight"/>
        </w:rPr>
        <w:t>、</w:t>
      </w:r>
      <w:r>
        <w:rPr>
          <w:rFonts w:hint="eastAsia" w:ascii="仿宋" w:hAnsi="仿宋" w:eastAsia="仿宋" w:cs="微软雅黑"/>
        </w:rPr>
        <w:t>股本投入</w:t>
      </w:r>
      <w:r>
        <w:rPr>
          <w:rFonts w:hint="eastAsia" w:ascii="仿宋" w:hAnsi="仿宋" w:eastAsia="仿宋" w:cs="Malgun Gothic Semilight"/>
        </w:rPr>
        <w:t>、</w:t>
      </w:r>
      <w:r>
        <w:rPr>
          <w:rFonts w:hint="eastAsia" w:ascii="仿宋" w:hAnsi="仿宋" w:eastAsia="仿宋" w:cs="微软雅黑"/>
        </w:rPr>
        <w:t>优惠贷款和其他优惠政策的形式</w:t>
      </w:r>
      <w:r>
        <w:rPr>
          <w:rFonts w:hint="eastAsia" w:ascii="仿宋" w:hAnsi="仿宋" w:eastAsia="仿宋" w:cs="Malgun Gothic Semilight"/>
        </w:rPr>
        <w:t>，</w:t>
      </w:r>
      <w:r>
        <w:rPr>
          <w:rFonts w:hint="eastAsia" w:ascii="仿宋" w:hAnsi="仿宋" w:eastAsia="仿宋" w:cs="微软雅黑"/>
        </w:rPr>
        <w:t>给予社会资本或项目公司的经济补助</w:t>
      </w:r>
      <w:r>
        <w:rPr>
          <w:rFonts w:hint="eastAsia" w:ascii="仿宋" w:hAnsi="仿宋" w:eastAsia="仿宋" w:cs="Malgun Gothic Semilight"/>
        </w:rPr>
        <w:t>；</w:t>
      </w:r>
      <w:r>
        <w:rPr>
          <w:rFonts w:hint="eastAsia" w:ascii="仿宋" w:hAnsi="仿宋" w:eastAsia="仿宋" w:cs="微软雅黑"/>
        </w:rPr>
        <w:t>而政府付费则指政府直接付费购买公共产品和服务</w:t>
      </w:r>
      <w:r>
        <w:rPr>
          <w:rFonts w:hint="eastAsia" w:ascii="仿宋" w:hAnsi="仿宋" w:eastAsia="仿宋" w:cs="Malgun Gothic Semilight"/>
        </w:rPr>
        <w:t>。</w:t>
      </w:r>
      <w:r>
        <w:rPr>
          <w:rFonts w:hint="eastAsia" w:ascii="仿宋" w:hAnsi="仿宋" w:eastAsia="仿宋" w:cs="微软雅黑"/>
        </w:rPr>
        <w:t>而对于缺乏</w:t>
      </w:r>
      <w:r>
        <w:rPr>
          <w:rFonts w:ascii="仿宋" w:hAnsi="仿宋" w:eastAsia="仿宋"/>
        </w:rPr>
        <w:t>“</w:t>
      </w:r>
      <w:r>
        <w:rPr>
          <w:rFonts w:hint="eastAsia" w:ascii="仿宋" w:hAnsi="仿宋" w:eastAsia="仿宋" w:cs="微软雅黑"/>
        </w:rPr>
        <w:t>第三方收入</w:t>
      </w:r>
      <w:r>
        <w:rPr>
          <w:rFonts w:ascii="仿宋" w:hAnsi="仿宋" w:eastAsia="仿宋"/>
        </w:rPr>
        <w:t>”</w:t>
      </w:r>
      <w:r>
        <w:rPr>
          <w:rFonts w:hint="eastAsia" w:ascii="仿宋" w:hAnsi="仿宋" w:eastAsia="仿宋" w:cs="微软雅黑"/>
        </w:rPr>
        <w:t>基础的非经营性的项目</w:t>
      </w:r>
      <w:r>
        <w:rPr>
          <w:rFonts w:hint="eastAsia" w:ascii="仿宋" w:hAnsi="仿宋" w:eastAsia="仿宋" w:cs="Malgun Gothic Semilight"/>
        </w:rPr>
        <w:t>，</w:t>
      </w:r>
      <w:r>
        <w:rPr>
          <w:rFonts w:hint="eastAsia" w:ascii="仿宋" w:hAnsi="仿宋" w:eastAsia="仿宋" w:cs="微软雅黑"/>
        </w:rPr>
        <w:t>则主要依靠政府付费来回收投资成本</w:t>
      </w:r>
      <w:r>
        <w:rPr>
          <w:rFonts w:hint="eastAsia" w:ascii="仿宋" w:hAnsi="仿宋" w:eastAsia="仿宋" w:cs="Malgun Gothic Semilight"/>
        </w:rPr>
        <w:t>。</w:t>
      </w:r>
    </w:p>
    <w:p>
      <w:pPr>
        <w:pStyle w:val="44"/>
        <w:ind w:firstLine="560"/>
        <w:jc w:val="both"/>
        <w:rPr>
          <w:rFonts w:ascii="仿宋" w:hAnsi="仿宋" w:eastAsia="仿宋" w:cs="Malgun Gothic Semilight"/>
        </w:rPr>
      </w:pPr>
      <w:bookmarkStart w:id="40" w:name="_Hlk130116886"/>
      <w:r>
        <w:rPr>
          <w:rFonts w:eastAsia="仿宋"/>
        </w:rPr>
        <w:t>本项目中，</w:t>
      </w:r>
      <w:r>
        <w:rPr>
          <w:rFonts w:hint="eastAsia" w:eastAsia="仿宋"/>
        </w:rPr>
        <w:t>项目</w:t>
      </w:r>
      <w:r>
        <w:rPr>
          <w:rFonts w:eastAsia="仿宋"/>
        </w:rPr>
        <w:t>公司可以获得项目资产经营权和使用权，在运营期内可通过向灌区内的用水户收取灌溉</w:t>
      </w:r>
      <w:r>
        <w:rPr>
          <w:rFonts w:hint="eastAsia" w:eastAsia="仿宋"/>
        </w:rPr>
        <w:t>水费</w:t>
      </w:r>
      <w:r>
        <w:rPr>
          <w:rFonts w:eastAsia="仿宋"/>
        </w:rPr>
        <w:t>，作为使用者付费收入，</w:t>
      </w:r>
      <w:bookmarkEnd w:id="40"/>
      <w:r>
        <w:rPr>
          <w:rFonts w:eastAsia="仿宋"/>
        </w:rPr>
        <w:t>经测算本项目的使用者付费收入与灌溉水价密切相关，</w:t>
      </w:r>
      <w:r>
        <w:rPr>
          <w:rFonts w:hint="eastAsia" w:eastAsia="仿宋"/>
        </w:rPr>
        <w:t>当灌溉</w:t>
      </w:r>
      <w:r>
        <w:rPr>
          <w:rFonts w:eastAsia="仿宋"/>
        </w:rPr>
        <w:t>水价过低，</w:t>
      </w:r>
      <w:bookmarkStart w:id="41" w:name="_Hlk130116944"/>
      <w:r>
        <w:rPr>
          <w:rFonts w:eastAsia="仿宋"/>
        </w:rPr>
        <w:t>使用者付费无法满足社会资本的收益要求</w:t>
      </w:r>
      <w:bookmarkEnd w:id="41"/>
      <w:r>
        <w:rPr>
          <w:rFonts w:hint="eastAsia" w:eastAsia="仿宋"/>
        </w:rPr>
        <w:t>，</w:t>
      </w:r>
      <w:r>
        <w:rPr>
          <w:rFonts w:eastAsia="仿宋"/>
        </w:rPr>
        <w:t>需要政府提供一定的可行性缺口补助，才能保证整个项目的收益达到比较合理的水平，此时</w:t>
      </w:r>
      <w:r>
        <w:rPr>
          <w:rFonts w:hint="eastAsia" w:ascii="仿宋" w:hAnsi="仿宋" w:eastAsia="仿宋" w:cs="微软雅黑"/>
        </w:rPr>
        <w:t>项目属于准经营性项目</w:t>
      </w:r>
      <w:r>
        <w:rPr>
          <w:rFonts w:hint="eastAsia" w:ascii="仿宋" w:hAnsi="仿宋" w:eastAsia="仿宋" w:cs="Malgun Gothic Semilight"/>
        </w:rPr>
        <w:t>，</w:t>
      </w:r>
      <w:r>
        <w:rPr>
          <w:rFonts w:hint="eastAsia" w:ascii="仿宋" w:hAnsi="仿宋" w:eastAsia="仿宋" w:cs="微软雅黑"/>
        </w:rPr>
        <w:t>回报机制为可行性缺口补助</w:t>
      </w:r>
      <w:r>
        <w:rPr>
          <w:rFonts w:eastAsia="仿宋"/>
        </w:rPr>
        <w:t>。若政府能够推进</w:t>
      </w:r>
      <w:r>
        <w:rPr>
          <w:rFonts w:hint="eastAsia" w:eastAsia="仿宋"/>
        </w:rPr>
        <w:t>价格</w:t>
      </w:r>
      <w:r>
        <w:rPr>
          <w:rFonts w:eastAsia="仿宋"/>
        </w:rPr>
        <w:t>调整机制，提</w:t>
      </w:r>
      <w:r>
        <w:rPr>
          <w:rFonts w:hint="eastAsia" w:eastAsia="仿宋"/>
        </w:rPr>
        <w:t>高</w:t>
      </w:r>
      <w:r>
        <w:rPr>
          <w:rFonts w:eastAsia="仿宋"/>
        </w:rPr>
        <w:t>灌溉水价，直至无需政府补贴，此时项目</w:t>
      </w:r>
      <w:r>
        <w:rPr>
          <w:rFonts w:hint="eastAsia" w:ascii="仿宋" w:hAnsi="仿宋" w:eastAsia="仿宋" w:cs="微软雅黑"/>
        </w:rPr>
        <w:t>回报机制为使用者付费</w:t>
      </w:r>
      <w:r>
        <w:rPr>
          <w:rFonts w:hint="eastAsia" w:ascii="仿宋" w:hAnsi="仿宋" w:eastAsia="仿宋" w:cs="Malgun Gothic Semilight"/>
        </w:rPr>
        <w:t>。</w:t>
      </w:r>
    </w:p>
    <w:p>
      <w:pPr>
        <w:pStyle w:val="44"/>
        <w:ind w:firstLine="562"/>
        <w:jc w:val="both"/>
        <w:rPr>
          <w:b/>
        </w:rPr>
      </w:pPr>
      <w:r>
        <w:rPr>
          <w:rFonts w:hint="eastAsia" w:ascii="仿宋" w:hAnsi="仿宋" w:eastAsia="仿宋" w:cs="微软雅黑"/>
          <w:b/>
        </w:rPr>
        <w:t>具体而言</w:t>
      </w:r>
      <w:r>
        <w:rPr>
          <w:rFonts w:hint="eastAsia" w:ascii="仿宋" w:hAnsi="仿宋" w:eastAsia="仿宋" w:cs="Malgun Gothic Semilight"/>
          <w:b/>
        </w:rPr>
        <w:t>，本项目在建设期执行现行标准灌溉水价，项目进入运营期后执行提升后的灌溉水价，直至项目无需政府补助，</w:t>
      </w:r>
      <w:r>
        <w:rPr>
          <w:rFonts w:hint="eastAsia" w:eastAsia="仿宋"/>
          <w:b/>
        </w:rPr>
        <w:t>项目公司</w:t>
      </w:r>
      <w:r>
        <w:rPr>
          <w:rFonts w:hint="eastAsia" w:ascii="仿宋" w:hAnsi="仿宋" w:eastAsia="仿宋" w:cs="微软雅黑"/>
          <w:b/>
        </w:rPr>
        <w:t>通过收取灌溉水费的方式收回投资</w:t>
      </w:r>
      <w:r>
        <w:rPr>
          <w:rFonts w:hint="eastAsia" w:ascii="仿宋" w:hAnsi="仿宋" w:eastAsia="仿宋" w:cs="Malgun Gothic Semilight"/>
          <w:b/>
        </w:rPr>
        <w:t>，</w:t>
      </w:r>
      <w:r>
        <w:rPr>
          <w:rFonts w:hint="eastAsia" w:ascii="仿宋" w:hAnsi="仿宋" w:eastAsia="仿宋" w:cs="微软雅黑"/>
          <w:b/>
        </w:rPr>
        <w:t>并实现合理的投资回报</w:t>
      </w:r>
      <w:r>
        <w:rPr>
          <w:rFonts w:hint="eastAsia" w:ascii="仿宋" w:hAnsi="仿宋" w:eastAsia="仿宋" w:cs="Malgun Gothic Semilight"/>
          <w:b/>
        </w:rPr>
        <w:t>。</w:t>
      </w:r>
    </w:p>
    <w:p>
      <w:pPr>
        <w:pStyle w:val="4"/>
        <w:ind w:firstLine="562"/>
      </w:pPr>
      <w:bookmarkStart w:id="42" w:name="_Toc86926627"/>
      <w:r>
        <w:rPr>
          <w:rFonts w:hint="eastAsia"/>
        </w:rPr>
        <w:t>（二）</w:t>
      </w:r>
      <w:bookmarkEnd w:id="42"/>
      <w:r>
        <w:rPr>
          <w:rFonts w:hint="eastAsia"/>
        </w:rPr>
        <w:t>全成本</w:t>
      </w:r>
      <w:r>
        <w:t>水价</w:t>
      </w:r>
      <w:r>
        <w:rPr>
          <w:rFonts w:hint="eastAsia"/>
        </w:rPr>
        <w:t>确定</w:t>
      </w:r>
    </w:p>
    <w:p>
      <w:pPr>
        <w:pStyle w:val="44"/>
        <w:ind w:firstLine="560"/>
        <w:jc w:val="both"/>
        <w:rPr>
          <w:rFonts w:ascii="仿宋" w:hAnsi="仿宋" w:eastAsia="仿宋" w:cs="微软雅黑"/>
        </w:rPr>
      </w:pPr>
      <w:r>
        <w:rPr>
          <w:rFonts w:ascii="仿宋" w:hAnsi="仿宋" w:eastAsia="仿宋" w:cs="微软雅黑"/>
        </w:rPr>
        <w:t>本项目暂定采用全成本灌溉水价来满足使用者付费</w:t>
      </w:r>
      <w:r>
        <w:rPr>
          <w:rFonts w:hint="eastAsia" w:ascii="仿宋" w:hAnsi="仿宋" w:eastAsia="仿宋" w:cs="微软雅黑"/>
        </w:rPr>
        <w:t>回报</w:t>
      </w:r>
      <w:r>
        <w:rPr>
          <w:rFonts w:ascii="仿宋" w:hAnsi="仿宋" w:eastAsia="仿宋" w:cs="微软雅黑"/>
        </w:rPr>
        <w:t>机制，即项目运营期无需政府补助。根据</w:t>
      </w:r>
      <w:r>
        <w:rPr>
          <w:rFonts w:hint="eastAsia" w:ascii="仿宋" w:hAnsi="仿宋" w:eastAsia="仿宋" w:cs="微软雅黑"/>
        </w:rPr>
        <w:t>可行性缺口补助计算公式（年度可行性缺口补助金额=年度可用性服务费＋年度运营维护费－年度使用者付费），当年度使用者付费大于等于（年度可用性服务费＋年度运营维护费）时，项目无需政府补贴。</w:t>
      </w:r>
    </w:p>
    <w:p>
      <w:pPr>
        <w:keepNext/>
        <w:widowControl/>
        <w:ind w:firstLine="562"/>
        <w:rPr>
          <w:rFonts w:cs="Times New Roman"/>
          <w:b/>
        </w:rPr>
      </w:pPr>
      <w:r>
        <w:rPr>
          <w:rFonts w:hint="eastAsia" w:cs="Times New Roman"/>
          <w:b/>
        </w:rPr>
        <w:t>1.可用性服务费</w:t>
      </w:r>
    </w:p>
    <w:p>
      <w:pPr>
        <w:pStyle w:val="44"/>
        <w:ind w:firstLine="560"/>
        <w:rPr>
          <w:rFonts w:eastAsia="仿宋"/>
        </w:rPr>
      </w:pPr>
      <w:r>
        <w:rPr>
          <w:rFonts w:eastAsia="仿宋"/>
        </w:rPr>
        <w:t>本项目的可用性服务费（GP）对应新建项目建设总投资及合理回报。新建项目运营期各年的资产可用性补助基数根据等额年金公式计算：</w:t>
      </w:r>
    </w:p>
    <w:p>
      <w:pPr>
        <w:ind w:firstLine="0" w:firstLineChars="0"/>
        <w:jc w:val="center"/>
        <w:rPr>
          <w:rFonts w:eastAsia="宋体" w:cs="Times New Roman"/>
          <w:i/>
        </w:rPr>
      </w:pPr>
      <w:r>
        <w:rPr>
          <w:rFonts w:cs="Times New Roman"/>
        </w:rPr>
        <w:drawing>
          <wp:inline distT="0" distB="0" distL="0" distR="0">
            <wp:extent cx="1895475" cy="428625"/>
            <wp:effectExtent l="0" t="0" r="9525" b="9525"/>
            <wp:docPr id="68" name="图片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6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1895475" cy="428625"/>
                    </a:xfrm>
                    <a:prstGeom prst="rect">
                      <a:avLst/>
                    </a:prstGeom>
                    <a:noFill/>
                    <a:ln>
                      <a:noFill/>
                    </a:ln>
                  </pic:spPr>
                </pic:pic>
              </a:graphicData>
            </a:graphic>
          </wp:inline>
        </w:drawing>
      </w:r>
    </w:p>
    <w:p>
      <w:pPr>
        <w:pStyle w:val="44"/>
        <w:ind w:firstLine="560"/>
        <w:rPr>
          <w:rFonts w:eastAsia="仿宋"/>
        </w:rPr>
      </w:pPr>
      <w:r>
        <w:rPr>
          <w:rFonts w:eastAsia="仿宋"/>
        </w:rPr>
        <w:t>其中：</w:t>
      </w:r>
    </w:p>
    <w:p>
      <w:pPr>
        <w:pStyle w:val="44"/>
        <w:ind w:firstLine="560"/>
        <w:rPr>
          <w:rFonts w:eastAsia="仿宋"/>
        </w:rPr>
      </w:pPr>
      <w:r>
        <w:rPr>
          <w:rFonts w:eastAsia="仿宋"/>
        </w:rPr>
        <w:t>GP：年度可用性服务费；</w:t>
      </w:r>
    </w:p>
    <w:p>
      <w:pPr>
        <w:pStyle w:val="44"/>
        <w:ind w:firstLine="560"/>
        <w:rPr>
          <w:rFonts w:eastAsia="仿宋"/>
        </w:rPr>
      </w:pPr>
      <w:r>
        <w:rPr>
          <w:rFonts w:eastAsia="仿宋"/>
        </w:rPr>
        <w:t>GI：可用性服务费计算基数，GI=按照中标工程下浮率计算出的静态总投资-上级补助资金-政府方出资的项目资本金+建设期利息；</w:t>
      </w:r>
    </w:p>
    <w:p>
      <w:pPr>
        <w:pStyle w:val="44"/>
        <w:ind w:firstLine="560"/>
        <w:rPr>
          <w:rFonts w:eastAsia="仿宋"/>
        </w:rPr>
      </w:pPr>
      <w:r>
        <w:rPr>
          <w:rFonts w:eastAsia="仿宋"/>
        </w:rPr>
        <w:t>R：投资回报率，由社会资本报价确定；</w:t>
      </w:r>
    </w:p>
    <w:p>
      <w:pPr>
        <w:pStyle w:val="44"/>
        <w:ind w:firstLine="560"/>
        <w:jc w:val="both"/>
        <w:rPr>
          <w:rFonts w:eastAsia="仿宋"/>
        </w:rPr>
      </w:pPr>
      <w:r>
        <w:rPr>
          <w:rFonts w:eastAsia="仿宋"/>
        </w:rPr>
        <w:t>n：运营维护期。项目建成后进入运营维护期，本项目运营维护期为26年。</w:t>
      </w:r>
    </w:p>
    <w:p>
      <w:pPr>
        <w:pStyle w:val="44"/>
        <w:ind w:firstLine="560"/>
        <w:jc w:val="both"/>
        <w:rPr>
          <w:rFonts w:ascii="仿宋" w:hAnsi="仿宋" w:eastAsia="仿宋" w:cs="微软雅黑"/>
        </w:rPr>
      </w:pPr>
      <w:r>
        <w:rPr>
          <w:rFonts w:eastAsia="仿宋"/>
        </w:rPr>
        <w:t>政府方如在项目建设期内向</w:t>
      </w:r>
      <w:r>
        <w:rPr>
          <w:rFonts w:hint="eastAsia" w:eastAsia="仿宋"/>
        </w:rPr>
        <w:t>项目</w:t>
      </w:r>
      <w:r>
        <w:rPr>
          <w:rFonts w:eastAsia="仿宋"/>
        </w:rPr>
        <w:t>公司提供建设期补助，可用性服务费计算基数以扣除建设期补助后的总投资进行计算。建设期补助资金来源为各类专项补助资金，具体根据项目实施情况确定。</w:t>
      </w:r>
    </w:p>
    <w:p>
      <w:pPr>
        <w:keepNext/>
        <w:widowControl/>
        <w:ind w:firstLine="562"/>
        <w:rPr>
          <w:rFonts w:cs="Times New Roman"/>
          <w:b/>
        </w:rPr>
      </w:pPr>
      <w:r>
        <w:rPr>
          <w:rFonts w:hint="eastAsia" w:cs="Times New Roman"/>
          <w:b/>
        </w:rPr>
        <w:t>2</w:t>
      </w:r>
      <w:r>
        <w:rPr>
          <w:rFonts w:cs="Times New Roman"/>
          <w:b/>
        </w:rPr>
        <w:t>.</w:t>
      </w:r>
      <w:r>
        <w:rPr>
          <w:rFonts w:hint="eastAsia" w:cs="Times New Roman"/>
          <w:b/>
        </w:rPr>
        <w:t>年度运营维护费</w:t>
      </w:r>
    </w:p>
    <w:p>
      <w:pPr>
        <w:pStyle w:val="44"/>
        <w:ind w:firstLine="560"/>
        <w:jc w:val="both"/>
        <w:rPr>
          <w:rFonts w:ascii="仿宋" w:hAnsi="仿宋" w:eastAsia="仿宋"/>
        </w:rPr>
      </w:pPr>
      <w:r>
        <w:rPr>
          <w:rFonts w:hint="eastAsia" w:ascii="仿宋" w:hAnsi="仿宋" w:eastAsia="仿宋" w:cs="微软雅黑"/>
        </w:rPr>
        <w:t>本项目的运营维护费主要针对本项目设施运营维护过程中产生的外购燃料和动力费</w:t>
      </w:r>
      <w:r>
        <w:rPr>
          <w:rFonts w:hint="eastAsia" w:ascii="仿宋" w:hAnsi="仿宋" w:eastAsia="仿宋" w:cs="Malgun Gothic Semilight"/>
        </w:rPr>
        <w:t>、人员</w:t>
      </w:r>
      <w:r>
        <w:rPr>
          <w:rFonts w:hint="eastAsia" w:ascii="仿宋" w:hAnsi="仿宋" w:eastAsia="仿宋" w:cs="微软雅黑"/>
        </w:rPr>
        <w:t>工资及福利</w:t>
      </w:r>
      <w:r>
        <w:rPr>
          <w:rFonts w:hint="eastAsia" w:ascii="仿宋" w:hAnsi="仿宋" w:eastAsia="仿宋" w:cs="Malgun Gothic Semilight"/>
        </w:rPr>
        <w:t>、</w:t>
      </w:r>
      <w:r>
        <w:rPr>
          <w:rFonts w:hint="eastAsia" w:ascii="仿宋" w:hAnsi="仿宋" w:eastAsia="仿宋" w:cs="微软雅黑"/>
        </w:rPr>
        <w:t>工程维护费</w:t>
      </w:r>
      <w:r>
        <w:rPr>
          <w:rFonts w:hint="eastAsia" w:ascii="仿宋" w:hAnsi="仿宋" w:eastAsia="仿宋" w:cs="Malgun Gothic Semilight"/>
        </w:rPr>
        <w:t>、</w:t>
      </w:r>
      <w:r>
        <w:rPr>
          <w:rFonts w:hint="eastAsia" w:ascii="仿宋" w:hAnsi="仿宋" w:eastAsia="仿宋" w:cs="微软雅黑"/>
        </w:rPr>
        <w:t>管理费及其他费用、以及原水费等成本</w:t>
      </w:r>
      <w:r>
        <w:rPr>
          <w:rFonts w:hint="eastAsia" w:ascii="仿宋" w:hAnsi="仿宋" w:eastAsia="仿宋" w:cs="Malgun Gothic Semilight"/>
        </w:rPr>
        <w:t>（</w:t>
      </w:r>
      <w:r>
        <w:rPr>
          <w:rFonts w:hint="eastAsia" w:ascii="仿宋" w:hAnsi="仿宋" w:eastAsia="仿宋" w:cs="微软雅黑"/>
        </w:rPr>
        <w:t>不包括折旧摊销</w:t>
      </w:r>
      <w:r>
        <w:rPr>
          <w:rFonts w:hint="eastAsia" w:ascii="仿宋" w:hAnsi="仿宋" w:eastAsia="仿宋" w:cs="Malgun Gothic Semilight"/>
        </w:rPr>
        <w:t>、</w:t>
      </w:r>
      <w:r>
        <w:rPr>
          <w:rFonts w:hint="eastAsia" w:ascii="仿宋" w:hAnsi="仿宋" w:eastAsia="仿宋" w:cs="微软雅黑"/>
        </w:rPr>
        <w:t>财务费用和税费</w:t>
      </w:r>
      <w:r>
        <w:rPr>
          <w:rFonts w:hint="eastAsia" w:ascii="仿宋" w:hAnsi="仿宋" w:eastAsia="仿宋" w:cs="Malgun Gothic Semilight"/>
        </w:rPr>
        <w:t>），</w:t>
      </w:r>
      <w:r>
        <w:rPr>
          <w:rFonts w:hint="eastAsia" w:ascii="仿宋" w:hAnsi="仿宋" w:eastAsia="仿宋" w:cs="微软雅黑"/>
        </w:rPr>
        <w:t>年度运营维护费由社会资本方投标竞报值确定</w:t>
      </w:r>
      <w:r>
        <w:rPr>
          <w:rFonts w:hint="eastAsia" w:ascii="仿宋" w:hAnsi="仿宋" w:eastAsia="仿宋" w:cs="Malgun Gothic Semilight"/>
        </w:rPr>
        <w:t>。</w:t>
      </w:r>
    </w:p>
    <w:p>
      <w:pPr>
        <w:ind w:firstLine="562"/>
        <w:rPr>
          <w:rFonts w:cs="Times New Roman"/>
          <w:b/>
        </w:rPr>
      </w:pPr>
      <w:r>
        <w:rPr>
          <w:rFonts w:hint="eastAsia" w:cs="Times New Roman"/>
          <w:b/>
        </w:rPr>
        <w:t>3</w:t>
      </w:r>
      <w:r>
        <w:rPr>
          <w:rFonts w:cs="Times New Roman"/>
          <w:b/>
        </w:rPr>
        <w:t>.</w:t>
      </w:r>
      <w:r>
        <w:rPr>
          <w:rFonts w:hint="eastAsia" w:cs="Times New Roman"/>
          <w:b/>
        </w:rPr>
        <w:t>年度使用者付费</w:t>
      </w:r>
    </w:p>
    <w:p>
      <w:pPr>
        <w:pStyle w:val="44"/>
        <w:ind w:firstLine="560"/>
        <w:rPr>
          <w:rFonts w:ascii="仿宋" w:hAnsi="仿宋" w:eastAsia="仿宋"/>
        </w:rPr>
      </w:pPr>
      <w:r>
        <w:rPr>
          <w:rFonts w:hint="eastAsia" w:ascii="仿宋" w:hAnsi="仿宋" w:eastAsia="仿宋" w:cs="微软雅黑"/>
        </w:rPr>
        <w:t>使用者付费指项目公司在项目范围内向最终用户收取的费用</w:t>
      </w:r>
      <w:r>
        <w:rPr>
          <w:rFonts w:hint="eastAsia" w:ascii="仿宋" w:hAnsi="仿宋" w:eastAsia="仿宋" w:cs="Malgun Gothic Semilight"/>
        </w:rPr>
        <w:t>，</w:t>
      </w:r>
      <w:r>
        <w:rPr>
          <w:rFonts w:hint="eastAsia" w:ascii="仿宋" w:hAnsi="仿宋" w:eastAsia="仿宋" w:cs="微软雅黑"/>
        </w:rPr>
        <w:t>主要是在运营期内通过向灌区用水户收取的灌溉费作为使用者付费收入</w:t>
      </w:r>
      <w:r>
        <w:rPr>
          <w:rFonts w:hint="eastAsia" w:ascii="仿宋" w:hAnsi="仿宋" w:eastAsia="仿宋" w:cs="Malgun Gothic Semilight"/>
        </w:rPr>
        <w:t>。本项目执行无补贴的全成本水价，为</w:t>
      </w:r>
      <w:r>
        <w:rPr>
          <w:rFonts w:hint="eastAsia" w:ascii="仿宋" w:hAnsi="仿宋" w:eastAsia="仿宋" w:cs="微软雅黑"/>
        </w:rPr>
        <w:t>使用者付费项目。</w:t>
      </w:r>
    </w:p>
    <w:p>
      <w:pPr>
        <w:widowControl/>
        <w:wordWrap w:val="0"/>
        <w:spacing w:line="500" w:lineRule="exact"/>
        <w:ind w:firstLine="560"/>
        <w:rPr>
          <w:rFonts w:ascii="仿宋" w:hAnsi="仿宋" w:cs="Times New Roman"/>
          <w:bCs/>
          <w:kern w:val="0"/>
          <w:szCs w:val="32"/>
        </w:rPr>
      </w:pPr>
      <w:r>
        <w:rPr>
          <w:rFonts w:hint="eastAsia" w:ascii="仿宋" w:hAnsi="仿宋" w:cs="微软雅黑"/>
        </w:rPr>
        <w:t>为了保障社会资本的合法权益，同时实现项目社会效益，</w:t>
      </w:r>
      <w:r>
        <w:rPr>
          <w:rFonts w:hint="eastAsia" w:ascii="仿宋" w:hAnsi="仿宋" w:cs="微软雅黑"/>
          <w:bCs/>
          <w:kern w:val="0"/>
          <w:szCs w:val="32"/>
        </w:rPr>
        <w:t>根据风险分配原则</w:t>
      </w:r>
      <w:r>
        <w:rPr>
          <w:rFonts w:hint="eastAsia" w:ascii="仿宋" w:hAnsi="仿宋" w:cs="Malgun Gothic Semilight"/>
          <w:bCs/>
          <w:kern w:val="0"/>
          <w:szCs w:val="32"/>
        </w:rPr>
        <w:t>，</w:t>
      </w:r>
      <w:r>
        <w:rPr>
          <w:rFonts w:hint="eastAsia" w:ascii="仿宋" w:hAnsi="仿宋" w:cs="微软雅黑"/>
          <w:bCs/>
          <w:kern w:val="0"/>
          <w:szCs w:val="32"/>
        </w:rPr>
        <w:t>最低需求不足等导致使用者付费收入不足的风险由双方共担</w:t>
      </w:r>
      <w:r>
        <w:rPr>
          <w:rFonts w:hint="eastAsia" w:ascii="仿宋" w:hAnsi="仿宋" w:cs="Malgun Gothic Semilight"/>
          <w:bCs/>
          <w:kern w:val="0"/>
          <w:szCs w:val="32"/>
        </w:rPr>
        <w:t>。同时项目超额收入也由双方共享。本项目使用者付费收入大小与水量、水价、收缴率等密切相关。</w:t>
      </w:r>
      <w:r>
        <w:rPr>
          <w:rFonts w:hint="eastAsia" w:ascii="仿宋" w:hAnsi="仿宋" w:cs="微软雅黑"/>
          <w:bCs/>
          <w:kern w:val="0"/>
          <w:szCs w:val="32"/>
        </w:rPr>
        <w:t>因此，应设置合理的使用者付费风险分担机制</w:t>
      </w:r>
      <w:r>
        <w:rPr>
          <w:rFonts w:hint="eastAsia" w:ascii="仿宋" w:hAnsi="仿宋" w:cs="Malgun Gothic Semilight"/>
          <w:bCs/>
          <w:kern w:val="0"/>
          <w:szCs w:val="32"/>
        </w:rPr>
        <w:t>。</w:t>
      </w:r>
      <w:r>
        <w:rPr>
          <w:rFonts w:hint="eastAsia" w:ascii="仿宋" w:hAnsi="仿宋" w:cs="微软雅黑"/>
          <w:bCs/>
          <w:kern w:val="0"/>
          <w:szCs w:val="32"/>
        </w:rPr>
        <w:t>项目进入运营维护期后</w:t>
      </w:r>
      <w:r>
        <w:rPr>
          <w:rFonts w:hint="eastAsia" w:ascii="仿宋" w:hAnsi="仿宋" w:cs="Malgun Gothic Semilight"/>
          <w:bCs/>
          <w:kern w:val="0"/>
          <w:szCs w:val="32"/>
        </w:rPr>
        <w:t>，</w:t>
      </w:r>
      <w:r>
        <w:rPr>
          <w:rFonts w:hint="eastAsia" w:ascii="仿宋" w:hAnsi="仿宋" w:cs="微软雅黑"/>
          <w:bCs/>
          <w:kern w:val="0"/>
          <w:szCs w:val="32"/>
        </w:rPr>
        <w:t>以中标使用者付费收入作为基准值</w:t>
      </w:r>
      <w:r>
        <w:rPr>
          <w:rFonts w:hint="eastAsia" w:ascii="仿宋" w:hAnsi="仿宋" w:cs="Malgun Gothic Semilight"/>
          <w:bCs/>
          <w:kern w:val="0"/>
          <w:szCs w:val="32"/>
        </w:rPr>
        <w:t>，该基准值参照可研数据并结合当地气候、降水量等自然条件设定的单位用水量。</w:t>
      </w:r>
      <w:r>
        <w:rPr>
          <w:rFonts w:hint="eastAsia" w:ascii="仿宋" w:hAnsi="仿宋" w:cs="微软雅黑"/>
          <w:bCs/>
          <w:kern w:val="0"/>
          <w:szCs w:val="32"/>
        </w:rPr>
        <w:t>按照各方承担风险有上限的原则</w:t>
      </w:r>
      <w:r>
        <w:rPr>
          <w:rFonts w:hint="eastAsia" w:ascii="仿宋" w:hAnsi="仿宋" w:cs="Malgun Gothic Semilight"/>
          <w:bCs/>
          <w:kern w:val="0"/>
          <w:szCs w:val="32"/>
        </w:rPr>
        <w:t>，</w:t>
      </w:r>
      <w:r>
        <w:rPr>
          <w:rFonts w:hint="eastAsia" w:ascii="仿宋" w:hAnsi="仿宋" w:cs="微软雅黑"/>
          <w:bCs/>
          <w:kern w:val="0"/>
          <w:szCs w:val="32"/>
        </w:rPr>
        <w:t>设置使用者付费收入的风险分担及超额分成机制</w:t>
      </w:r>
      <w:r>
        <w:rPr>
          <w:rFonts w:hint="eastAsia" w:ascii="仿宋" w:hAnsi="仿宋" w:cs="Malgun Gothic Semilight"/>
          <w:bCs/>
          <w:kern w:val="0"/>
          <w:szCs w:val="32"/>
        </w:rPr>
        <w:t>。</w:t>
      </w:r>
    </w:p>
    <w:p>
      <w:pPr>
        <w:widowControl/>
        <w:wordWrap w:val="0"/>
        <w:spacing w:line="500" w:lineRule="exact"/>
        <w:ind w:firstLine="560"/>
        <w:rPr>
          <w:rFonts w:cs="Times New Roman"/>
          <w:bCs/>
          <w:kern w:val="0"/>
          <w:szCs w:val="32"/>
        </w:rPr>
      </w:pPr>
      <w:r>
        <w:rPr>
          <w:rFonts w:cs="Times New Roman"/>
          <w:bCs/>
          <w:kern w:val="0"/>
          <w:szCs w:val="32"/>
        </w:rPr>
        <w:t>若因最低需求不足等非社会资本方原因导致运营维护期内实际使用者付费收入未达到基准值，社会资本可以根据考核结果，向政府方提出</w:t>
      </w:r>
      <w:r>
        <w:rPr>
          <w:rFonts w:hint="eastAsia" w:cs="Times New Roman"/>
          <w:bCs/>
          <w:kern w:val="0"/>
          <w:szCs w:val="32"/>
        </w:rPr>
        <w:t>补足</w:t>
      </w:r>
      <w:r>
        <w:rPr>
          <w:rFonts w:cs="Times New Roman"/>
          <w:bCs/>
          <w:kern w:val="0"/>
          <w:szCs w:val="32"/>
        </w:rPr>
        <w:t>申请，政府依据绩效考核，并根据实际情况决定是否给予补足。</w:t>
      </w:r>
    </w:p>
    <w:p>
      <w:pPr>
        <w:widowControl/>
        <w:wordWrap w:val="0"/>
        <w:spacing w:line="500" w:lineRule="exact"/>
        <w:ind w:firstLine="560"/>
        <w:rPr>
          <w:rFonts w:cs="Times New Roman"/>
          <w:bCs/>
          <w:kern w:val="0"/>
          <w:szCs w:val="32"/>
        </w:rPr>
      </w:pPr>
      <w:r>
        <w:rPr>
          <w:rFonts w:cs="Times New Roman"/>
          <w:bCs/>
          <w:kern w:val="0"/>
          <w:szCs w:val="32"/>
        </w:rPr>
        <w:t>具体补足方式可参照：A.实际使用者付费收入未达到基准值80%，且绩效考核结果达到80分及以上的，由政府方补足至基准值80%；绩效考核结果为75-80分（不含80分）的，由政府方补足至基准值80%；绩效考核结果为70-75分（不含75分）的，由政府方补足至基准值75%；绩效考核结果为65-70分（不含70分）的，由政府方补足至基准值70%；绩效考核结果为60分以下（不含60分）的，政府方不进行补足。</w:t>
      </w:r>
    </w:p>
    <w:p>
      <w:pPr>
        <w:widowControl/>
        <w:spacing w:line="500" w:lineRule="exact"/>
        <w:ind w:firstLine="560"/>
        <w:rPr>
          <w:rFonts w:cs="Times New Roman"/>
          <w:bCs/>
          <w:kern w:val="0"/>
          <w:szCs w:val="32"/>
        </w:rPr>
      </w:pPr>
      <w:r>
        <w:rPr>
          <w:rFonts w:cs="Times New Roman"/>
          <w:bCs/>
          <w:kern w:val="0"/>
          <w:szCs w:val="32"/>
        </w:rPr>
        <w:t>B.若运营维护期内实际使用者付费收入达到基准值80%但不超过基准值120%的，政府方不进行补足，亦不对超过基准值部分分成。</w:t>
      </w:r>
    </w:p>
    <w:p>
      <w:pPr>
        <w:widowControl/>
        <w:spacing w:line="500" w:lineRule="exact"/>
        <w:ind w:firstLine="560"/>
        <w:rPr>
          <w:rFonts w:cs="Times New Roman"/>
          <w:bCs/>
          <w:kern w:val="0"/>
          <w:szCs w:val="32"/>
        </w:rPr>
      </w:pPr>
      <w:r>
        <w:rPr>
          <w:rFonts w:cs="Times New Roman"/>
          <w:bCs/>
          <w:kern w:val="0"/>
          <w:szCs w:val="32"/>
        </w:rPr>
        <w:t>C.若运营维护期内实际使用者付费收入超过基准值120%的，政府方和项目公司对超过基准值120%部分按照80%：20%的比例进行分成。</w:t>
      </w:r>
    </w:p>
    <w:p>
      <w:pPr>
        <w:widowControl/>
        <w:spacing w:line="500" w:lineRule="exact"/>
        <w:ind w:firstLine="560"/>
        <w:rPr>
          <w:rFonts w:cs="Times New Roman"/>
          <w:bCs/>
          <w:kern w:val="0"/>
          <w:szCs w:val="32"/>
        </w:rPr>
      </w:pPr>
      <w:r>
        <w:rPr>
          <w:rFonts w:cs="Times New Roman"/>
          <w:bCs/>
          <w:kern w:val="0"/>
          <w:szCs w:val="32"/>
        </w:rPr>
        <w:t>项目公司负运营维护主体责任，为提高运营维护质量、效率，项目公司可依法和相关运营维护单位合作，但与第三方合作需经过实施机构同意，且不能免除项目公司相关责任。</w:t>
      </w:r>
    </w:p>
    <w:p>
      <w:pPr>
        <w:pStyle w:val="4"/>
        <w:ind w:firstLine="562"/>
        <w:rPr>
          <w:rFonts w:cs="Times New Roman"/>
        </w:rPr>
      </w:pPr>
      <w:r>
        <w:rPr>
          <w:rFonts w:cs="Times New Roman"/>
        </w:rPr>
        <w:t>（</w:t>
      </w:r>
      <w:r>
        <w:rPr>
          <w:rFonts w:hint="eastAsia" w:cs="Times New Roman"/>
        </w:rPr>
        <w:t>三</w:t>
      </w:r>
      <w:r>
        <w:rPr>
          <w:rFonts w:cs="Times New Roman"/>
        </w:rPr>
        <w:t>）调价机制设置</w:t>
      </w:r>
    </w:p>
    <w:p>
      <w:pPr>
        <w:pStyle w:val="5"/>
        <w:ind w:firstLine="562"/>
        <w:rPr>
          <w:rFonts w:cs="Times New Roman"/>
        </w:rPr>
      </w:pPr>
      <w:r>
        <w:rPr>
          <w:rFonts w:cs="Times New Roman"/>
        </w:rPr>
        <w:t>1.</w:t>
      </w:r>
      <w:r>
        <w:rPr>
          <w:rFonts w:hint="eastAsia" w:cs="Times New Roman"/>
        </w:rPr>
        <w:t>项目总投资调价机制</w:t>
      </w:r>
    </w:p>
    <w:p>
      <w:pPr>
        <w:ind w:firstLine="560"/>
        <w:rPr>
          <w:rFonts w:cs="Times New Roman"/>
        </w:rPr>
      </w:pPr>
      <w:r>
        <w:rPr>
          <w:rFonts w:hint="eastAsia" w:cs="Times New Roman"/>
        </w:rPr>
        <w:t>本项目竣工完成前，暂以可研报告的总投资作为GI计算年可用性服务费。竣工后，根据审计确定的竣工决算结果重新计算年可用性服务费。如决算结果与暂定GI金额存在差额，则根据竣工决算结果调整可用性服务费。对于审计完成前政府方已支付的可用性服务费与按审计结果计算应支付的可用性服务费的差额部分，在审计完成后的最近一期应支付的可用性服务费中一次性调整到位。</w:t>
      </w:r>
    </w:p>
    <w:p>
      <w:pPr>
        <w:ind w:firstLine="560"/>
        <w:rPr>
          <w:rFonts w:cs="Times New Roman"/>
        </w:rPr>
      </w:pPr>
      <w:r>
        <w:rPr>
          <w:rFonts w:hint="eastAsia" w:cs="Times New Roman"/>
        </w:rPr>
        <w:t>实际总投资（GI）=经审计工程结算价+经审计的工程建设其它费+建设期利息-政府方支出（含建设期补助、政府方出资资本金金额、政府为本项目发生的前期费等）。</w:t>
      </w:r>
    </w:p>
    <w:p>
      <w:pPr>
        <w:ind w:firstLine="560"/>
        <w:rPr>
          <w:rFonts w:cs="Times New Roman"/>
        </w:rPr>
      </w:pPr>
      <w:r>
        <w:rPr>
          <w:rFonts w:hint="eastAsia" w:cs="Times New Roman"/>
        </w:rPr>
        <w:t>工程结算价=[建安工程费合同价+工程变更（或签证）+工程索赔（项目公司向政府提出的合理索赔）+人工、材料及机械等价格调整+设备及工器具购置费]*（1-建安工程下浮率），</w:t>
      </w:r>
    </w:p>
    <w:p>
      <w:pPr>
        <w:ind w:firstLine="560"/>
        <w:rPr>
          <w:rFonts w:cs="Times New Roman"/>
        </w:rPr>
      </w:pPr>
      <w:r>
        <w:rPr>
          <w:rFonts w:hint="eastAsia" w:cs="Times New Roman"/>
        </w:rPr>
        <w:t>其中，建安工程下浮率取社会资本中标报价值。</w:t>
      </w:r>
    </w:p>
    <w:p>
      <w:pPr>
        <w:pStyle w:val="5"/>
        <w:ind w:firstLine="562"/>
        <w:rPr>
          <w:rFonts w:cs="Times New Roman"/>
        </w:rPr>
      </w:pPr>
      <w:r>
        <w:rPr>
          <w:rFonts w:hint="eastAsia" w:cs="Times New Roman"/>
        </w:rPr>
        <w:t>2</w:t>
      </w:r>
      <w:r>
        <w:rPr>
          <w:rFonts w:cs="Times New Roman"/>
        </w:rPr>
        <w:t>.</w:t>
      </w:r>
      <w:r>
        <w:rPr>
          <w:rFonts w:hint="eastAsia" w:cs="Times New Roman"/>
        </w:rPr>
        <w:t>灌溉水价调整机制</w:t>
      </w:r>
    </w:p>
    <w:p>
      <w:pPr>
        <w:ind w:firstLine="560"/>
        <w:rPr>
          <w:rFonts w:cs="Times New Roman"/>
        </w:rPr>
      </w:pPr>
      <w:r>
        <w:rPr>
          <w:rFonts w:hint="eastAsia" w:cs="Times New Roman"/>
        </w:rPr>
        <w:t>目前，我国政府部门对供水工程水价进行宏观调控和管理，重要供水工程的水价需经物价部门核定、或经政府有关部门批准，或举行价格听证会。本项目灌溉水价的调整必须以满足我国及当地政府部门对水价调整的相关规定为前提。</w:t>
      </w:r>
    </w:p>
    <w:p>
      <w:pPr>
        <w:ind w:firstLine="562"/>
        <w:rPr>
          <w:rFonts w:cs="Times New Roman"/>
        </w:rPr>
      </w:pPr>
      <w:r>
        <w:rPr>
          <w:rFonts w:hint="eastAsia" w:cs="Times New Roman"/>
          <w:b/>
        </w:rPr>
        <w:t>灌溉水价的调整机制</w:t>
      </w:r>
      <w:r>
        <w:rPr>
          <w:rFonts w:hint="eastAsia" w:cs="Times New Roman"/>
        </w:rPr>
        <w:t>：本项目协议期限长达30年，为了反映对宏观经济风险的合理共担，需设定灌溉价格的常规调价机制。项目运营期内实际灌溉价格要调整时，社会资本向价格主管部门提出申请，价格主管部门对相关价格的文件进行相应调整，则社会资本执行调整后的实际水价。</w:t>
      </w:r>
    </w:p>
    <w:p>
      <w:pPr>
        <w:ind w:firstLine="562"/>
        <w:rPr>
          <w:rFonts w:cs="Times New Roman"/>
        </w:rPr>
      </w:pPr>
      <w:r>
        <w:rPr>
          <w:rFonts w:hint="eastAsia" w:cs="Times New Roman"/>
          <w:b/>
        </w:rPr>
        <w:t>调价因素</w:t>
      </w:r>
      <w:r>
        <w:rPr>
          <w:rFonts w:hint="eastAsia" w:cs="Times New Roman"/>
        </w:rPr>
        <w:t>：合作期内灌溉水价原将按照水务行政主管部门对相关价格调整的文件进行相应调整，则社会资本有权同步调整实际水价。</w:t>
      </w:r>
    </w:p>
    <w:p>
      <w:pPr>
        <w:ind w:firstLine="562"/>
        <w:rPr>
          <w:rFonts w:cs="Times New Roman"/>
        </w:rPr>
      </w:pPr>
      <w:r>
        <w:rPr>
          <w:rFonts w:hint="eastAsia" w:cs="Times New Roman"/>
          <w:b/>
        </w:rPr>
        <w:t>调价频次</w:t>
      </w:r>
      <w:r>
        <w:rPr>
          <w:rFonts w:hint="eastAsia" w:cs="Times New Roman"/>
        </w:rPr>
        <w:t>：自调价基准年起，之后每间隔满两年即可启动灌溉水价调价机制，若约定的调价因素触发《特许经营协议》约定的价格调价机制时，社会资本可向政府方申请对灌溉水价进行调整。通过灌溉水价调价确定的单价在下一个调价年到来之前维持不变。无论在何种情形下，灌溉水价的调价间隔至少满两年。</w:t>
      </w:r>
    </w:p>
    <w:p>
      <w:pPr>
        <w:ind w:firstLine="562"/>
        <w:rPr>
          <w:rFonts w:cs="Times New Roman"/>
        </w:rPr>
      </w:pPr>
      <w:r>
        <w:rPr>
          <w:rFonts w:hint="eastAsia" w:cs="Times New Roman"/>
          <w:b/>
        </w:rPr>
        <w:t>触发条件</w:t>
      </w:r>
      <w:r>
        <w:rPr>
          <w:rFonts w:hint="eastAsia" w:cs="Times New Roman"/>
        </w:rPr>
        <w:t>：触发灌溉水价常规调价机制的条件为：根据水务行政主管部门对售水价格调整的文件进行相应调整。</w:t>
      </w:r>
    </w:p>
    <w:p>
      <w:pPr>
        <w:ind w:firstLine="560"/>
        <w:rPr>
          <w:rFonts w:cs="Times New Roman"/>
        </w:rPr>
      </w:pPr>
      <w:r>
        <w:rPr>
          <w:rFonts w:hint="eastAsia" w:cs="Times New Roman"/>
        </w:rPr>
        <w:t>调价公式：</w:t>
      </w:r>
    </w:p>
    <w:p>
      <w:pPr>
        <w:ind w:firstLine="560"/>
        <w:rPr>
          <w:rFonts w:cs="Times New Roman"/>
        </w:rPr>
      </w:pPr>
      <w:r>
        <w:rPr>
          <w:rFonts w:hint="eastAsia" w:cs="Times New Roman"/>
        </w:rPr>
        <w:t>售水价格调整的具体公式如下：</w:t>
      </w:r>
    </w:p>
    <w:p>
      <w:pPr>
        <w:ind w:firstLine="560"/>
        <w:rPr>
          <w:rFonts w:cs="Times New Roman"/>
        </w:rPr>
      </w:pPr>
      <w:r>
        <w:rPr>
          <w:rFonts w:hint="eastAsia" w:cs="Times New Roman"/>
        </w:rPr>
        <w:t>Pn=第n年的实际售水价格</w:t>
      </w:r>
    </w:p>
    <w:p>
      <w:pPr>
        <w:pStyle w:val="5"/>
        <w:ind w:firstLine="562"/>
        <w:rPr>
          <w:rFonts w:cs="Times New Roman"/>
        </w:rPr>
      </w:pPr>
      <w:r>
        <w:rPr>
          <w:rFonts w:cs="Times New Roman"/>
        </w:rPr>
        <w:t>3.成本变动引起的调整</w:t>
      </w:r>
    </w:p>
    <w:p>
      <w:pPr>
        <w:ind w:firstLine="560"/>
        <w:rPr>
          <w:rFonts w:cs="Times New Roman"/>
        </w:rPr>
      </w:pPr>
      <w:r>
        <w:rPr>
          <w:rFonts w:cs="Times New Roman"/>
        </w:rPr>
        <w:t>本项目特许经营期限长达30年，为了反映对宏观经济风险的合理共担，当</w:t>
      </w:r>
      <w:r>
        <w:rPr>
          <w:rFonts w:hint="eastAsia" w:cs="Times New Roman"/>
        </w:rPr>
        <w:t>社会资本</w:t>
      </w:r>
      <w:r>
        <w:rPr>
          <w:rFonts w:cs="Times New Roman"/>
        </w:rPr>
        <w:t>运营维护成本变动较大时，</w:t>
      </w:r>
      <w:r>
        <w:rPr>
          <w:rFonts w:hint="eastAsia" w:cs="Times New Roman"/>
        </w:rPr>
        <w:t>社会资本</w:t>
      </w:r>
      <w:r>
        <w:rPr>
          <w:rFonts w:cs="Times New Roman"/>
        </w:rPr>
        <w:t>可向政府方提出申请，政府方价格主管部门经过研究同意后，依据相关程序对相关价格的文件进行相应调整，</w:t>
      </w:r>
      <w:r>
        <w:rPr>
          <w:rFonts w:hint="eastAsia"/>
        </w:rPr>
        <w:t>社会资本</w:t>
      </w:r>
      <w:r>
        <w:rPr>
          <w:rFonts w:cs="Times New Roman"/>
        </w:rPr>
        <w:t>执行调整后的实际水价。</w:t>
      </w:r>
    </w:p>
    <w:p>
      <w:pPr>
        <w:pStyle w:val="5"/>
        <w:ind w:firstLine="562"/>
        <w:rPr>
          <w:rFonts w:cs="Times New Roman"/>
        </w:rPr>
      </w:pPr>
      <w:r>
        <w:rPr>
          <w:rFonts w:cs="Times New Roman"/>
        </w:rPr>
        <w:t>4.</w:t>
      </w:r>
      <w:r>
        <w:rPr>
          <w:rFonts w:hint="eastAsia" w:cs="Times New Roman"/>
        </w:rPr>
        <w:t>利率调整机制</w:t>
      </w:r>
    </w:p>
    <w:p>
      <w:pPr>
        <w:ind w:firstLine="560"/>
        <w:rPr>
          <w:rFonts w:cs="Times New Roman"/>
        </w:rPr>
      </w:pPr>
      <w:r>
        <w:rPr>
          <w:rFonts w:cs="Times New Roman"/>
        </w:rPr>
        <w:t>本项目特许经营期限长达30年，为了反映对</w:t>
      </w:r>
      <w:r>
        <w:rPr>
          <w:rFonts w:hint="eastAsia" w:cs="Times New Roman"/>
        </w:rPr>
        <w:t>利率</w:t>
      </w:r>
      <w:r>
        <w:rPr>
          <w:rFonts w:cs="Times New Roman"/>
        </w:rPr>
        <w:t>风险的合理共担，项目融资利率采用浮动利率，</w:t>
      </w:r>
      <w:r>
        <w:rPr>
          <w:rFonts w:hint="eastAsia" w:cs="Times New Roman"/>
        </w:rPr>
        <w:t>当贷款市场报价利率（LPR）下降时，政府方根据LPR下降幅度重新计算年度可用性服务费，当贷款市场报价利率（LPR）上涨时，项目公司</w:t>
      </w:r>
      <w:r>
        <w:rPr>
          <w:rFonts w:cs="Times New Roman"/>
        </w:rPr>
        <w:t>可向政府方提出申请，政府方依据相关程序对水价进行相应调整或给予</w:t>
      </w:r>
      <w:r>
        <w:rPr>
          <w:rFonts w:hint="eastAsia" w:cs="Times New Roman"/>
        </w:rPr>
        <w:t>补助</w:t>
      </w:r>
      <w:r>
        <w:rPr>
          <w:rFonts w:cs="Times New Roman"/>
        </w:rPr>
        <w:t>。</w:t>
      </w:r>
    </w:p>
    <w:p>
      <w:pPr>
        <w:keepNext/>
        <w:keepLines/>
        <w:spacing w:before="120" w:after="120"/>
        <w:ind w:firstLine="643" w:firstLineChars="0"/>
        <w:outlineLvl w:val="1"/>
        <w:rPr>
          <w:rFonts w:cs="Times New Roman"/>
          <w:b/>
          <w:bCs/>
          <w:sz w:val="32"/>
          <w:szCs w:val="32"/>
        </w:rPr>
      </w:pPr>
      <w:bookmarkStart w:id="43" w:name="_Toc86926628"/>
      <w:bookmarkStart w:id="44" w:name="_Toc148432359"/>
      <w:r>
        <w:rPr>
          <w:rFonts w:hint="eastAsia" w:cs="Times New Roman"/>
          <w:b/>
          <w:bCs/>
          <w:sz w:val="32"/>
          <w:szCs w:val="32"/>
        </w:rPr>
        <w:t>五、</w:t>
      </w:r>
      <w:r>
        <w:rPr>
          <w:rFonts w:cs="Times New Roman"/>
          <w:b/>
          <w:bCs/>
          <w:sz w:val="32"/>
          <w:szCs w:val="32"/>
        </w:rPr>
        <w:t>合作期限</w:t>
      </w:r>
      <w:bookmarkEnd w:id="43"/>
      <w:bookmarkEnd w:id="44"/>
    </w:p>
    <w:p>
      <w:pPr>
        <w:widowControl/>
        <w:spacing w:line="500" w:lineRule="exact"/>
        <w:ind w:firstLine="560"/>
        <w:rPr>
          <w:rFonts w:cs="Times New Roman"/>
          <w:bCs/>
          <w:kern w:val="0"/>
          <w:szCs w:val="32"/>
        </w:rPr>
      </w:pPr>
      <w:r>
        <w:rPr>
          <w:rFonts w:cs="Times New Roman"/>
          <w:bCs/>
          <w:kern w:val="0"/>
          <w:szCs w:val="32"/>
        </w:rPr>
        <w:t>按照前述有关法律法规和政策文件要求，基础设施和公用事业经营期限应当根据行业特点、所提供公共产品或服务需求、项目生命周期、投资回收期等综合因素确定，最长不超过30年。</w:t>
      </w:r>
    </w:p>
    <w:p>
      <w:pPr>
        <w:widowControl/>
        <w:spacing w:line="500" w:lineRule="exact"/>
        <w:ind w:firstLine="560"/>
        <w:rPr>
          <w:rFonts w:cs="Times New Roman"/>
          <w:bCs/>
          <w:kern w:val="0"/>
          <w:szCs w:val="32"/>
        </w:rPr>
      </w:pPr>
      <w:r>
        <w:rPr>
          <w:rFonts w:cs="Times New Roman"/>
          <w:bCs/>
          <w:kern w:val="0"/>
          <w:szCs w:val="32"/>
        </w:rPr>
        <w:t>对于投资规模大、回报周期长的基础设施和公用事业“项目模式”经营期可以由政府或者其授权部门与项目公司根据项目实际情况，约定超过前款规定的经营期。本类项目投资规模大、回报周期长，经营期通常比较长，原则上不低于10年，最长不超过30年。</w:t>
      </w:r>
    </w:p>
    <w:p>
      <w:pPr>
        <w:ind w:firstLine="560"/>
        <w:rPr>
          <w:rFonts w:cs="Times New Roman"/>
        </w:rPr>
      </w:pPr>
      <w:r>
        <w:rPr>
          <w:rFonts w:cs="Times New Roman"/>
        </w:rPr>
        <w:t>鉴于与项目运作经营有关的有资产的技术生命周期、项目投资回收期、财政补贴支付的承受能力、国民经济及人口发展水平及体制机制改革对项目未来的影响，以及政策风险、政府信用风险、社会资本远期履约能力的风险等。</w:t>
      </w:r>
      <w:r>
        <w:rPr>
          <w:rFonts w:cs="Times New Roman"/>
          <w:b/>
        </w:rPr>
        <w:t>综上所述，本项目</w:t>
      </w:r>
      <w:r>
        <w:rPr>
          <w:rFonts w:hint="eastAsia" w:cs="Times New Roman"/>
          <w:b/>
        </w:rPr>
        <w:t>新建部分合作期</w:t>
      </w:r>
      <w:r>
        <w:rPr>
          <w:rFonts w:cs="Times New Roman"/>
          <w:b/>
        </w:rPr>
        <w:t>暂确定为30年，</w:t>
      </w:r>
      <w:r>
        <w:rPr>
          <w:rFonts w:hint="eastAsia" w:cs="Times New Roman"/>
          <w:b/>
        </w:rPr>
        <w:t>其中</w:t>
      </w:r>
      <w:r>
        <w:rPr>
          <w:rFonts w:cs="Times New Roman"/>
          <w:b/>
        </w:rPr>
        <w:t>，建设期为3</w:t>
      </w:r>
      <w:r>
        <w:rPr>
          <w:rFonts w:hint="eastAsia" w:cs="Times New Roman"/>
          <w:b/>
        </w:rPr>
        <w:t>年，运营期</w:t>
      </w:r>
      <w:r>
        <w:rPr>
          <w:rFonts w:cs="Times New Roman"/>
          <w:b/>
        </w:rPr>
        <w:t>为27年；存量部分运营期为</w:t>
      </w:r>
      <w:r>
        <w:rPr>
          <w:rFonts w:hint="eastAsia" w:cs="Times New Roman"/>
          <w:b/>
        </w:rPr>
        <w:t>3</w:t>
      </w:r>
      <w:r>
        <w:rPr>
          <w:rFonts w:cs="Times New Roman"/>
          <w:b/>
        </w:rPr>
        <w:t>0年。</w:t>
      </w:r>
    </w:p>
    <w:p>
      <w:pPr>
        <w:keepNext/>
        <w:keepLines/>
        <w:spacing w:before="120" w:after="120"/>
        <w:ind w:firstLine="643" w:firstLineChars="0"/>
        <w:outlineLvl w:val="1"/>
        <w:rPr>
          <w:rFonts w:cs="Times New Roman"/>
          <w:b/>
          <w:bCs/>
          <w:sz w:val="32"/>
          <w:szCs w:val="32"/>
        </w:rPr>
      </w:pPr>
      <w:bookmarkStart w:id="45" w:name="_Toc148432360"/>
      <w:r>
        <w:rPr>
          <w:rFonts w:hint="eastAsia" w:cs="Times New Roman"/>
          <w:b/>
          <w:bCs/>
          <w:sz w:val="32"/>
          <w:szCs w:val="32"/>
        </w:rPr>
        <w:t>六、关联工作安排</w:t>
      </w:r>
      <w:bookmarkEnd w:id="45"/>
    </w:p>
    <w:p>
      <w:pPr>
        <w:keepNext/>
        <w:keepLines/>
        <w:spacing w:before="120" w:after="120"/>
        <w:ind w:firstLine="562"/>
        <w:outlineLvl w:val="2"/>
        <w:rPr>
          <w:rFonts w:cs="Times New Roman"/>
          <w:b/>
          <w:bCs/>
          <w:szCs w:val="32"/>
        </w:rPr>
      </w:pPr>
      <w:bookmarkStart w:id="46" w:name="_Toc86926630"/>
      <w:bookmarkStart w:id="47" w:name="_Toc88385897"/>
      <w:bookmarkStart w:id="48" w:name="_Toc88582201"/>
      <w:r>
        <w:rPr>
          <w:rFonts w:hint="eastAsia" w:cs="Times New Roman"/>
          <w:b/>
          <w:bCs/>
          <w:szCs w:val="32"/>
        </w:rPr>
        <w:t>（一）项目前期工作</w:t>
      </w:r>
      <w:bookmarkEnd w:id="46"/>
      <w:bookmarkEnd w:id="47"/>
      <w:bookmarkEnd w:id="48"/>
    </w:p>
    <w:p>
      <w:pPr>
        <w:ind w:firstLine="560"/>
        <w:rPr>
          <w:rFonts w:cs="Times New Roman"/>
        </w:rPr>
      </w:pPr>
      <w:bookmarkStart w:id="49" w:name="_Hlk130124641"/>
      <w:r>
        <w:rPr>
          <w:rFonts w:hint="eastAsia" w:cs="Times New Roman"/>
        </w:rPr>
        <w:t>本项目可研报告已完成修编并取得相关部门批复。</w:t>
      </w:r>
    </w:p>
    <w:p>
      <w:pPr>
        <w:ind w:firstLine="560"/>
        <w:rPr>
          <w:rFonts w:cs="Times New Roman"/>
          <w:sz w:val="24"/>
          <w:szCs w:val="24"/>
        </w:rPr>
      </w:pPr>
      <w:r>
        <w:rPr>
          <w:rFonts w:cs="Times New Roman"/>
        </w:rPr>
        <w:t>《</w:t>
      </w:r>
      <w:r>
        <w:rPr>
          <w:rFonts w:hint="eastAsia" w:cs="Times New Roman"/>
        </w:rPr>
        <w:t>关于同心县高标准农田及现代化高效节水罐区建设可行性研究报告的批复</w:t>
      </w:r>
      <w:r>
        <w:rPr>
          <w:rFonts w:cs="Times New Roman"/>
        </w:rPr>
        <w:t>》</w:t>
      </w:r>
    </w:p>
    <w:bookmarkEnd w:id="49"/>
    <w:p>
      <w:pPr>
        <w:keepNext/>
        <w:keepLines/>
        <w:spacing w:before="120" w:after="120"/>
        <w:ind w:firstLine="562"/>
        <w:outlineLvl w:val="2"/>
        <w:rPr>
          <w:rFonts w:cs="Times New Roman"/>
          <w:b/>
          <w:bCs/>
          <w:szCs w:val="32"/>
        </w:rPr>
      </w:pPr>
      <w:bookmarkStart w:id="50" w:name="_Toc88385898"/>
      <w:bookmarkStart w:id="51" w:name="_Toc86926631"/>
      <w:bookmarkStart w:id="52" w:name="_Toc88582202"/>
      <w:r>
        <w:rPr>
          <w:rFonts w:hint="eastAsia" w:cs="Times New Roman"/>
          <w:b/>
          <w:bCs/>
          <w:szCs w:val="32"/>
        </w:rPr>
        <w:t>（二）部门及有关方职责</w:t>
      </w:r>
      <w:bookmarkEnd w:id="50"/>
      <w:bookmarkEnd w:id="51"/>
      <w:bookmarkEnd w:id="52"/>
    </w:p>
    <w:p>
      <w:pPr>
        <w:keepNext/>
        <w:keepLines/>
        <w:ind w:firstLine="562"/>
        <w:outlineLvl w:val="3"/>
        <w:rPr>
          <w:rFonts w:cs="Times New Roman"/>
          <w:b/>
          <w:szCs w:val="28"/>
        </w:rPr>
      </w:pPr>
      <w:bookmarkStart w:id="53" w:name="_Toc94190704"/>
      <w:r>
        <w:rPr>
          <w:rFonts w:cs="Times New Roman"/>
          <w:b/>
          <w:szCs w:val="28"/>
        </w:rPr>
        <w:t>1.</w:t>
      </w:r>
      <w:r>
        <w:rPr>
          <w:rFonts w:hint="eastAsia" w:cs="Times New Roman"/>
          <w:b/>
          <w:szCs w:val="28"/>
        </w:rPr>
        <w:t>县政府职责</w:t>
      </w:r>
      <w:bookmarkEnd w:id="53"/>
    </w:p>
    <w:p>
      <w:pPr>
        <w:ind w:firstLine="560"/>
        <w:rPr>
          <w:rFonts w:cs="Times New Roman"/>
        </w:rPr>
      </w:pPr>
      <w:r>
        <w:rPr>
          <w:rFonts w:hint="eastAsia" w:cs="Times New Roman"/>
        </w:rPr>
        <w:t>（</w:t>
      </w:r>
      <w:r>
        <w:rPr>
          <w:rFonts w:cs="Times New Roman"/>
        </w:rPr>
        <w:t>1</w:t>
      </w:r>
      <w:r>
        <w:rPr>
          <w:rFonts w:hint="eastAsia" w:cs="Times New Roman"/>
        </w:rPr>
        <w:t>）县政府负责建立各有关部门参加的基础设施和公用事业特许经营部门协调机制，统筹、制定有关政策措施，并负责组织协调工作；</w:t>
      </w:r>
    </w:p>
    <w:p>
      <w:pPr>
        <w:ind w:firstLine="560"/>
        <w:rPr>
          <w:rFonts w:cs="Times New Roman"/>
        </w:rPr>
      </w:pPr>
      <w:r>
        <w:rPr>
          <w:rFonts w:hint="eastAsia" w:cs="Times New Roman"/>
        </w:rPr>
        <w:t>（</w:t>
      </w:r>
      <w:r>
        <w:rPr>
          <w:rFonts w:cs="Times New Roman"/>
        </w:rPr>
        <w:t>2</w:t>
      </w:r>
      <w:r>
        <w:rPr>
          <w:rFonts w:hint="eastAsia" w:cs="Times New Roman"/>
        </w:rPr>
        <w:t>）授权同心县农业农村局作为本项目实施机构，负责本项目有关实施工作，并明确具体授权范围；</w:t>
      </w:r>
    </w:p>
    <w:p>
      <w:pPr>
        <w:ind w:firstLine="560"/>
        <w:rPr>
          <w:rFonts w:cs="Times New Roman"/>
        </w:rPr>
      </w:pPr>
      <w:r>
        <w:rPr>
          <w:rFonts w:hint="eastAsia" w:cs="Times New Roman"/>
        </w:rPr>
        <w:t>（</w:t>
      </w:r>
      <w:r>
        <w:rPr>
          <w:rFonts w:cs="Times New Roman"/>
        </w:rPr>
        <w:t>3</w:t>
      </w:r>
      <w:r>
        <w:rPr>
          <w:rFonts w:hint="eastAsia" w:cs="Times New Roman"/>
        </w:rPr>
        <w:t>）对上报的本项目实施方案进行审批；</w:t>
      </w:r>
    </w:p>
    <w:p>
      <w:pPr>
        <w:ind w:firstLine="560"/>
        <w:rPr>
          <w:rFonts w:cs="Times New Roman"/>
        </w:rPr>
      </w:pPr>
      <w:r>
        <w:rPr>
          <w:rFonts w:hint="eastAsia" w:cs="Times New Roman"/>
        </w:rPr>
        <w:t>（</w:t>
      </w:r>
      <w:r>
        <w:rPr>
          <w:rFonts w:cs="Times New Roman"/>
        </w:rPr>
        <w:t>4</w:t>
      </w:r>
      <w:r>
        <w:rPr>
          <w:rFonts w:hint="eastAsia" w:cs="Times New Roman"/>
        </w:rPr>
        <w:t>）对同心县农业农村局与项目公司签署的《特许经营协议》进行审批；</w:t>
      </w:r>
    </w:p>
    <w:p>
      <w:pPr>
        <w:ind w:firstLine="560"/>
        <w:rPr>
          <w:rFonts w:cs="Times New Roman"/>
        </w:rPr>
      </w:pPr>
      <w:r>
        <w:rPr>
          <w:rFonts w:hint="eastAsia" w:cs="Times New Roman"/>
        </w:rPr>
        <w:t>（</w:t>
      </w:r>
      <w:r>
        <w:rPr>
          <w:rFonts w:cs="Times New Roman"/>
        </w:rPr>
        <w:t>5</w:t>
      </w:r>
      <w:r>
        <w:rPr>
          <w:rFonts w:hint="eastAsia" w:cs="Times New Roman"/>
        </w:rPr>
        <w:t>）政府有关部门应当根据各自职责，对项目公司执行法律、行政法规、行业标准、产品或服务技术规范，以及其他有关监管要求进行监督管理，并依法加强成本监督审查。</w:t>
      </w:r>
    </w:p>
    <w:p>
      <w:pPr>
        <w:keepNext/>
        <w:keepLines/>
        <w:ind w:firstLine="562"/>
        <w:outlineLvl w:val="3"/>
        <w:rPr>
          <w:rFonts w:cs="Times New Roman"/>
          <w:b/>
          <w:szCs w:val="28"/>
        </w:rPr>
      </w:pPr>
      <w:bookmarkStart w:id="54" w:name="_Toc94190705"/>
      <w:r>
        <w:rPr>
          <w:rFonts w:cs="Times New Roman"/>
          <w:b/>
          <w:szCs w:val="28"/>
        </w:rPr>
        <w:t>2.</w:t>
      </w:r>
      <w:r>
        <w:rPr>
          <w:rFonts w:hint="eastAsia" w:cs="Times New Roman"/>
          <w:b/>
          <w:szCs w:val="28"/>
        </w:rPr>
        <w:t>实施机构职责</w:t>
      </w:r>
      <w:bookmarkEnd w:id="54"/>
    </w:p>
    <w:p>
      <w:pPr>
        <w:ind w:firstLine="560"/>
        <w:rPr>
          <w:rFonts w:cs="Times New Roman"/>
        </w:rPr>
      </w:pPr>
      <w:r>
        <w:rPr>
          <w:rFonts w:hint="eastAsia" w:cs="Times New Roman"/>
        </w:rPr>
        <w:t>（</w:t>
      </w:r>
      <w:r>
        <w:rPr>
          <w:rFonts w:cs="Times New Roman"/>
        </w:rPr>
        <w:t>1</w:t>
      </w:r>
      <w:r>
        <w:rPr>
          <w:rFonts w:hint="eastAsia" w:cs="Times New Roman"/>
        </w:rPr>
        <w:t>）按照前述有关法律法规和政策文件要求，具体负责项目特许经营实施方案的审核与报批、合作伙伴选择、项目合同签订、项目组织实施、项目绩效检测，经营期满移交等工作；</w:t>
      </w:r>
    </w:p>
    <w:p>
      <w:pPr>
        <w:ind w:firstLine="560"/>
        <w:rPr>
          <w:rFonts w:cs="Times New Roman"/>
        </w:rPr>
      </w:pPr>
      <w:r>
        <w:rPr>
          <w:rFonts w:hint="eastAsia" w:cs="Times New Roman"/>
        </w:rPr>
        <w:t>（</w:t>
      </w:r>
      <w:r>
        <w:rPr>
          <w:rFonts w:cs="Times New Roman"/>
        </w:rPr>
        <w:t>2</w:t>
      </w:r>
      <w:r>
        <w:rPr>
          <w:rFonts w:hint="eastAsia" w:cs="Times New Roman"/>
        </w:rPr>
        <w:t>）协助项目公司办理本项目前期工作相关手续报批工作，并依法出具相关必要的文件；</w:t>
      </w:r>
    </w:p>
    <w:p>
      <w:pPr>
        <w:ind w:firstLine="560"/>
        <w:rPr>
          <w:rFonts w:cs="Times New Roman"/>
        </w:rPr>
      </w:pPr>
      <w:r>
        <w:rPr>
          <w:rFonts w:hint="eastAsia" w:cs="Times New Roman"/>
        </w:rPr>
        <w:t>（</w:t>
      </w:r>
      <w:r>
        <w:rPr>
          <w:rFonts w:cs="Times New Roman"/>
        </w:rPr>
        <w:t>3</w:t>
      </w:r>
      <w:r>
        <w:rPr>
          <w:rFonts w:hint="eastAsia" w:cs="Times New Roman"/>
        </w:rPr>
        <w:t>）对项目公司履约情况实施监督；</w:t>
      </w:r>
    </w:p>
    <w:p>
      <w:pPr>
        <w:ind w:firstLine="560"/>
        <w:rPr>
          <w:rFonts w:cs="Times New Roman"/>
        </w:rPr>
      </w:pPr>
      <w:r>
        <w:rPr>
          <w:rFonts w:hint="eastAsia" w:cs="Times New Roman"/>
        </w:rPr>
        <w:t>（</w:t>
      </w:r>
      <w:r>
        <w:rPr>
          <w:rFonts w:cs="Times New Roman"/>
        </w:rPr>
        <w:t>4</w:t>
      </w:r>
      <w:r>
        <w:rPr>
          <w:rFonts w:hint="eastAsia" w:cs="Times New Roman"/>
        </w:rPr>
        <w:t>）监督项目公司的设计、监理、施工招标、设备采购等职责；</w:t>
      </w:r>
    </w:p>
    <w:p>
      <w:pPr>
        <w:ind w:firstLine="560"/>
        <w:rPr>
          <w:rFonts w:cs="Times New Roman"/>
        </w:rPr>
      </w:pPr>
      <w:r>
        <w:rPr>
          <w:rFonts w:hint="eastAsia" w:cs="Times New Roman"/>
        </w:rPr>
        <w:t>（</w:t>
      </w:r>
      <w:r>
        <w:rPr>
          <w:rFonts w:cs="Times New Roman"/>
        </w:rPr>
        <w:t>5</w:t>
      </w:r>
      <w:r>
        <w:rPr>
          <w:rFonts w:hint="eastAsia" w:cs="Times New Roman"/>
        </w:rPr>
        <w:t>）负责项目建设、竣工验收、运营监管职责；</w:t>
      </w:r>
    </w:p>
    <w:p>
      <w:pPr>
        <w:ind w:firstLine="560"/>
        <w:rPr>
          <w:rFonts w:cs="Times New Roman"/>
        </w:rPr>
      </w:pPr>
      <w:r>
        <w:rPr>
          <w:rFonts w:hint="eastAsia" w:cs="Times New Roman"/>
        </w:rPr>
        <w:t>（</w:t>
      </w:r>
      <w:r>
        <w:rPr>
          <w:rFonts w:cs="Times New Roman"/>
        </w:rPr>
        <w:t>6</w:t>
      </w:r>
      <w:r>
        <w:rPr>
          <w:rFonts w:hint="eastAsia" w:cs="Times New Roman"/>
        </w:rPr>
        <w:t>）根据特许经营协议，定期对项目建设运营情况进行监测分析，会同财政等有关部门进行绩效评价，并建立根据绩效评价结果、按照特许经营协议约定对价格或财政补贴进行调整的机制，保障所提供公共产品或公共服务的质量和效率。实施机构应当将社会公众意见作为监测分析和绩效评价的重要内容。</w:t>
      </w:r>
    </w:p>
    <w:p>
      <w:pPr>
        <w:keepNext/>
        <w:keepLines/>
        <w:ind w:firstLine="562"/>
        <w:outlineLvl w:val="3"/>
        <w:rPr>
          <w:rFonts w:cs="Times New Roman"/>
          <w:b/>
          <w:szCs w:val="28"/>
        </w:rPr>
      </w:pPr>
      <w:bookmarkStart w:id="55" w:name="_Toc94190706"/>
      <w:r>
        <w:rPr>
          <w:rFonts w:cs="Times New Roman"/>
          <w:b/>
          <w:szCs w:val="28"/>
        </w:rPr>
        <w:t>3.</w:t>
      </w:r>
      <w:r>
        <w:rPr>
          <w:rFonts w:hint="eastAsia" w:cs="Times New Roman"/>
          <w:b/>
          <w:szCs w:val="28"/>
        </w:rPr>
        <w:t>项目公司职责</w:t>
      </w:r>
      <w:bookmarkEnd w:id="55"/>
    </w:p>
    <w:p>
      <w:pPr>
        <w:ind w:firstLine="560"/>
        <w:rPr>
          <w:rFonts w:cs="Times New Roman"/>
        </w:rPr>
      </w:pPr>
      <w:r>
        <w:rPr>
          <w:rFonts w:hint="eastAsia" w:cs="Times New Roman"/>
        </w:rPr>
        <w:t>（</w:t>
      </w:r>
      <w:r>
        <w:rPr>
          <w:rFonts w:cs="Times New Roman"/>
        </w:rPr>
        <w:t>1</w:t>
      </w:r>
      <w:r>
        <w:rPr>
          <w:rFonts w:hint="eastAsia" w:cs="Times New Roman"/>
        </w:rPr>
        <w:t>）负责本项目投融资，确保相应资金或资金来源落实；</w:t>
      </w:r>
    </w:p>
    <w:p>
      <w:pPr>
        <w:ind w:firstLine="560"/>
        <w:rPr>
          <w:rFonts w:cs="Times New Roman"/>
        </w:rPr>
      </w:pPr>
      <w:r>
        <w:rPr>
          <w:rFonts w:hint="eastAsia" w:cs="Times New Roman"/>
        </w:rPr>
        <w:t>（</w:t>
      </w:r>
      <w:r>
        <w:rPr>
          <w:rFonts w:cs="Times New Roman"/>
        </w:rPr>
        <w:t>2</w:t>
      </w:r>
      <w:r>
        <w:rPr>
          <w:rFonts w:hint="eastAsia" w:cs="Times New Roman"/>
        </w:rPr>
        <w:t>）负责本项目建设、管理和运行服务，确保项目顺利实施；</w:t>
      </w:r>
    </w:p>
    <w:p>
      <w:pPr>
        <w:ind w:firstLine="560"/>
        <w:rPr>
          <w:rFonts w:cs="Times New Roman"/>
        </w:rPr>
      </w:pPr>
      <w:r>
        <w:rPr>
          <w:rFonts w:hint="eastAsia" w:cs="Times New Roman"/>
        </w:rPr>
        <w:t>（</w:t>
      </w:r>
      <w:r>
        <w:rPr>
          <w:rFonts w:cs="Times New Roman"/>
        </w:rPr>
        <w:t>3</w:t>
      </w:r>
      <w:r>
        <w:rPr>
          <w:rFonts w:hint="eastAsia" w:cs="Times New Roman"/>
        </w:rPr>
        <w:t>）在建设方面严格按照审批的设计文件保质保量按期完成项目建设，确保安全供水；</w:t>
      </w:r>
    </w:p>
    <w:p>
      <w:pPr>
        <w:ind w:firstLine="560"/>
        <w:rPr>
          <w:rFonts w:cs="Times New Roman"/>
        </w:rPr>
      </w:pPr>
      <w:r>
        <w:rPr>
          <w:rFonts w:hint="eastAsia" w:cs="Times New Roman"/>
        </w:rPr>
        <w:t>（</w:t>
      </w:r>
      <w:r>
        <w:rPr>
          <w:rFonts w:cs="Times New Roman"/>
        </w:rPr>
        <w:t>4</w:t>
      </w:r>
      <w:r>
        <w:rPr>
          <w:rFonts w:hint="eastAsia" w:cs="Times New Roman"/>
        </w:rPr>
        <w:t>）应当根据灌溉用水行业相关法律、行政法规、标准规范和</w:t>
      </w:r>
      <w:r>
        <w:rPr>
          <w:rFonts w:cs="Times New Roman"/>
        </w:rPr>
        <w:t>“</w:t>
      </w:r>
      <w:r>
        <w:rPr>
          <w:rFonts w:hint="eastAsia" w:cs="Times New Roman"/>
        </w:rPr>
        <w:t>项目模式</w:t>
      </w:r>
      <w:r>
        <w:rPr>
          <w:rFonts w:cs="Times New Roman"/>
        </w:rPr>
        <w:t>”</w:t>
      </w:r>
      <w:r>
        <w:rPr>
          <w:rFonts w:hint="eastAsia" w:cs="Times New Roman"/>
        </w:rPr>
        <w:t>经营协议，提供优质、持续、高效、安全的灌溉供水服务；</w:t>
      </w:r>
    </w:p>
    <w:p>
      <w:pPr>
        <w:ind w:firstLine="560"/>
        <w:rPr>
          <w:rFonts w:cs="Times New Roman"/>
        </w:rPr>
      </w:pPr>
      <w:r>
        <w:rPr>
          <w:rFonts w:hint="eastAsia" w:cs="Times New Roman"/>
        </w:rPr>
        <w:t>（</w:t>
      </w:r>
      <w:r>
        <w:rPr>
          <w:rFonts w:cs="Times New Roman"/>
        </w:rPr>
        <w:t>5</w:t>
      </w:r>
      <w:r>
        <w:rPr>
          <w:rFonts w:hint="eastAsia" w:cs="Times New Roman"/>
        </w:rPr>
        <w:t>）应当按照县农业农村局制定的设施维护标准和技术规范，定期对灌溉设施进行检修和维护，保证设施运转正常及经营期限届满后资产按规定进行移交；</w:t>
      </w:r>
    </w:p>
    <w:p>
      <w:pPr>
        <w:ind w:firstLine="560"/>
        <w:rPr>
          <w:rFonts w:cs="Times New Roman"/>
        </w:rPr>
      </w:pPr>
      <w:r>
        <w:rPr>
          <w:rFonts w:hint="eastAsia" w:cs="Times New Roman"/>
        </w:rPr>
        <w:t>（</w:t>
      </w:r>
      <w:r>
        <w:rPr>
          <w:rFonts w:cs="Times New Roman"/>
        </w:rPr>
        <w:t>6</w:t>
      </w:r>
      <w:r>
        <w:rPr>
          <w:rFonts w:hint="eastAsia" w:cs="Times New Roman"/>
        </w:rPr>
        <w:t>）应当制定突发事件应急预案，按规定报有关部门。突发事件发生后，及时启动应急预案，保障公共产品或公共服务的正常提供。</w:t>
      </w:r>
    </w:p>
    <w:p>
      <w:pPr>
        <w:keepNext/>
        <w:keepLines/>
        <w:ind w:firstLine="562"/>
        <w:outlineLvl w:val="3"/>
        <w:rPr>
          <w:rFonts w:cs="Times New Roman"/>
          <w:b/>
          <w:szCs w:val="28"/>
        </w:rPr>
      </w:pPr>
      <w:bookmarkStart w:id="56" w:name="_Toc94190707"/>
      <w:r>
        <w:rPr>
          <w:rFonts w:cs="Times New Roman"/>
          <w:b/>
          <w:szCs w:val="28"/>
        </w:rPr>
        <w:t>4.</w:t>
      </w:r>
      <w:r>
        <w:rPr>
          <w:rFonts w:hint="eastAsia" w:cs="Times New Roman"/>
          <w:b/>
          <w:szCs w:val="28"/>
        </w:rPr>
        <w:t>县财政局职责</w:t>
      </w:r>
      <w:bookmarkEnd w:id="56"/>
    </w:p>
    <w:p>
      <w:pPr>
        <w:ind w:firstLine="560"/>
        <w:rPr>
          <w:rFonts w:cs="Times New Roman"/>
        </w:rPr>
      </w:pPr>
      <w:r>
        <w:rPr>
          <w:rFonts w:hint="eastAsia" w:cs="Times New Roman"/>
        </w:rPr>
        <w:t>（</w:t>
      </w:r>
      <w:r>
        <w:rPr>
          <w:rFonts w:cs="Times New Roman"/>
        </w:rPr>
        <w:t>1</w:t>
      </w:r>
      <w:r>
        <w:rPr>
          <w:rFonts w:hint="eastAsia" w:cs="Times New Roman"/>
        </w:rPr>
        <w:t>）负责与农业农村局协调组织开展项目物有所值评价和财政承受能力论证工作；</w:t>
      </w:r>
    </w:p>
    <w:p>
      <w:pPr>
        <w:ind w:firstLine="560"/>
        <w:rPr>
          <w:rFonts w:cs="Times New Roman"/>
        </w:rPr>
      </w:pPr>
      <w:r>
        <w:rPr>
          <w:rFonts w:hint="eastAsia" w:cs="Times New Roman"/>
        </w:rPr>
        <w:t>（</w:t>
      </w:r>
      <w:r>
        <w:rPr>
          <w:rFonts w:cs="Times New Roman"/>
        </w:rPr>
        <w:t>2</w:t>
      </w:r>
      <w:r>
        <w:rPr>
          <w:rFonts w:hint="eastAsia" w:cs="Times New Roman"/>
        </w:rPr>
        <w:t>）为本项目安排政府财政资金投入的预算支出。</w:t>
      </w:r>
    </w:p>
    <w:p>
      <w:pPr>
        <w:keepNext/>
        <w:keepLines/>
        <w:ind w:firstLine="562"/>
        <w:outlineLvl w:val="3"/>
        <w:rPr>
          <w:rFonts w:cs="Times New Roman"/>
          <w:b/>
          <w:szCs w:val="28"/>
        </w:rPr>
      </w:pPr>
      <w:bookmarkStart w:id="57" w:name="_Toc94190709"/>
      <w:r>
        <w:rPr>
          <w:rFonts w:cs="Times New Roman"/>
          <w:b/>
          <w:szCs w:val="28"/>
        </w:rPr>
        <w:t>5.</w:t>
      </w:r>
      <w:r>
        <w:rPr>
          <w:rFonts w:hint="eastAsia" w:cs="Times New Roman"/>
          <w:b/>
          <w:szCs w:val="28"/>
        </w:rPr>
        <w:t>县发改局职责</w:t>
      </w:r>
      <w:bookmarkEnd w:id="57"/>
    </w:p>
    <w:p>
      <w:pPr>
        <w:ind w:firstLine="560"/>
        <w:rPr>
          <w:rFonts w:cs="Times New Roman"/>
        </w:rPr>
      </w:pPr>
      <w:r>
        <w:rPr>
          <w:rFonts w:hint="eastAsia" w:cs="Times New Roman"/>
        </w:rPr>
        <w:t>负责本项目的可研、立项及初步设计的审批；</w:t>
      </w:r>
    </w:p>
    <w:p>
      <w:pPr>
        <w:ind w:firstLine="560"/>
        <w:rPr>
          <w:rFonts w:cs="Times New Roman"/>
        </w:rPr>
      </w:pPr>
      <w:r>
        <w:rPr>
          <w:rFonts w:hint="eastAsia" w:cs="Times New Roman"/>
        </w:rPr>
        <w:t>负责项目实施过程中</w:t>
      </w:r>
      <w:r>
        <w:rPr>
          <w:rFonts w:cs="Times New Roman"/>
        </w:rPr>
        <w:t>“</w:t>
      </w:r>
      <w:r>
        <w:rPr>
          <w:rFonts w:hint="eastAsia" w:cs="Times New Roman"/>
        </w:rPr>
        <w:t>项目模式</w:t>
      </w:r>
      <w:r>
        <w:rPr>
          <w:rFonts w:cs="Times New Roman"/>
        </w:rPr>
        <w:t>”</w:t>
      </w:r>
      <w:r>
        <w:rPr>
          <w:rFonts w:hint="eastAsia" w:cs="Times New Roman"/>
        </w:rPr>
        <w:t>经营期实际执行水价成本监审和调整工作。</w:t>
      </w:r>
    </w:p>
    <w:p>
      <w:pPr>
        <w:keepNext/>
        <w:keepLines/>
        <w:ind w:firstLine="562"/>
        <w:outlineLvl w:val="3"/>
        <w:rPr>
          <w:rFonts w:cs="Times New Roman"/>
          <w:b/>
          <w:szCs w:val="28"/>
        </w:rPr>
      </w:pPr>
      <w:bookmarkStart w:id="58" w:name="_Toc94190710"/>
      <w:r>
        <w:rPr>
          <w:rFonts w:cs="Times New Roman"/>
          <w:b/>
          <w:szCs w:val="28"/>
        </w:rPr>
        <w:t>6.</w:t>
      </w:r>
      <w:r>
        <w:rPr>
          <w:rFonts w:hint="eastAsia" w:cs="Times New Roman"/>
          <w:b/>
          <w:szCs w:val="28"/>
        </w:rPr>
        <w:t>县其他相关部门职责</w:t>
      </w:r>
      <w:bookmarkEnd w:id="58"/>
    </w:p>
    <w:p>
      <w:pPr>
        <w:ind w:firstLine="560"/>
        <w:rPr>
          <w:rFonts w:cs="Times New Roman"/>
        </w:rPr>
      </w:pPr>
      <w:r>
        <w:rPr>
          <w:rFonts w:hint="eastAsia" w:cs="Times New Roman"/>
        </w:rPr>
        <w:t>县自然资源局、环保、司法、审计、税务等部门要按照部门职责，负责项目实施过程中对</w:t>
      </w:r>
      <w:r>
        <w:rPr>
          <w:rFonts w:cs="Times New Roman"/>
        </w:rPr>
        <w:t>“</w:t>
      </w:r>
      <w:r>
        <w:rPr>
          <w:rFonts w:hint="eastAsia" w:cs="Times New Roman"/>
        </w:rPr>
        <w:t>项目模式</w:t>
      </w:r>
      <w:r>
        <w:rPr>
          <w:rFonts w:cs="Times New Roman"/>
        </w:rPr>
        <w:t>”</w:t>
      </w:r>
      <w:r>
        <w:rPr>
          <w:rFonts w:hint="eastAsia" w:cs="Times New Roman"/>
        </w:rPr>
        <w:t>履行部门职责和县政府授权的其他职责。</w:t>
      </w:r>
    </w:p>
    <w:p>
      <w:pPr>
        <w:keepNext/>
        <w:keepLines/>
        <w:ind w:firstLine="562"/>
        <w:outlineLvl w:val="3"/>
        <w:rPr>
          <w:rFonts w:cs="Times New Roman"/>
          <w:b/>
          <w:szCs w:val="28"/>
        </w:rPr>
      </w:pPr>
      <w:bookmarkStart w:id="59" w:name="_Toc94190711"/>
      <w:r>
        <w:rPr>
          <w:rFonts w:cs="Times New Roman"/>
          <w:b/>
          <w:szCs w:val="28"/>
        </w:rPr>
        <w:t>7.</w:t>
      </w:r>
      <w:r>
        <w:rPr>
          <w:rFonts w:hint="eastAsia" w:cs="Times New Roman"/>
          <w:b/>
          <w:szCs w:val="28"/>
        </w:rPr>
        <w:t>社会公众职责</w:t>
      </w:r>
      <w:bookmarkEnd w:id="59"/>
    </w:p>
    <w:p>
      <w:pPr>
        <w:ind w:firstLine="560"/>
        <w:rPr>
          <w:rFonts w:cs="Times New Roman"/>
        </w:rPr>
      </w:pPr>
      <w:r>
        <w:rPr>
          <w:rFonts w:hint="eastAsia" w:cs="Times New Roman"/>
        </w:rPr>
        <w:t>社会公众有权对</w:t>
      </w:r>
      <w:r>
        <w:rPr>
          <w:rFonts w:cs="Times New Roman"/>
        </w:rPr>
        <w:t>“</w:t>
      </w:r>
      <w:r>
        <w:rPr>
          <w:rFonts w:hint="eastAsia" w:cs="Times New Roman"/>
        </w:rPr>
        <w:t>项目模式</w:t>
      </w:r>
      <w:r>
        <w:rPr>
          <w:rFonts w:cs="Times New Roman"/>
        </w:rPr>
        <w:t>”</w:t>
      </w:r>
      <w:r>
        <w:rPr>
          <w:rFonts w:hint="eastAsia" w:cs="Times New Roman"/>
        </w:rPr>
        <w:t>经营活动进行监督，向有关监管部门投诉，或者向实施机构和项目公司提出意见建议。同时，也要按照有关运维要求履行相关职责。</w:t>
      </w:r>
    </w:p>
    <w:p>
      <w:pPr>
        <w:ind w:firstLine="560"/>
        <w:rPr>
          <w:rFonts w:cs="Times New Roman"/>
        </w:rPr>
        <w:sectPr>
          <w:footnotePr>
            <w:numFmt w:val="decimalEnclosedCircleChinese"/>
          </w:footnotePr>
          <w:pgSz w:w="11906" w:h="16838"/>
          <w:pgMar w:top="1440" w:right="1418" w:bottom="1440" w:left="1418" w:header="567" w:footer="992" w:gutter="0"/>
          <w:cols w:space="425" w:num="1"/>
          <w:docGrid w:linePitch="381" w:charSpace="0"/>
        </w:sectPr>
      </w:pPr>
    </w:p>
    <w:p>
      <w:pPr>
        <w:pStyle w:val="2"/>
        <w:spacing w:after="400"/>
        <w:rPr>
          <w:rFonts w:cs="Times New Roman"/>
        </w:rPr>
      </w:pPr>
      <w:bookmarkStart w:id="60" w:name="_Toc148432361"/>
      <w:r>
        <w:rPr>
          <w:rFonts w:hint="eastAsia" w:cs="Times New Roman"/>
        </w:rPr>
        <w:t>第六章 财务评价与补贴方案</w:t>
      </w:r>
      <w:bookmarkEnd w:id="60"/>
    </w:p>
    <w:p>
      <w:pPr>
        <w:pStyle w:val="3"/>
        <w:ind w:firstLine="643" w:firstLineChars="200"/>
        <w:rPr>
          <w:rFonts w:cs="Times New Roman"/>
        </w:rPr>
      </w:pPr>
      <w:bookmarkStart w:id="61" w:name="_Toc148432362"/>
      <w:r>
        <w:rPr>
          <w:rFonts w:hint="eastAsia" w:cs="Times New Roman"/>
        </w:rPr>
        <w:t>一、财务测算任务与原则</w:t>
      </w:r>
      <w:bookmarkEnd w:id="61"/>
    </w:p>
    <w:p>
      <w:pPr>
        <w:ind w:firstLine="560"/>
        <w:rPr>
          <w:rFonts w:cs="Times New Roman"/>
        </w:rPr>
      </w:pPr>
      <w:r>
        <w:rPr>
          <w:rFonts w:hint="eastAsia" w:cs="Times New Roman"/>
        </w:rPr>
        <w:t>咨询公司作为独立于项目实施机构和社会资本方之外的第三方，以社会资本方为载体，对其在项目合作期内的经济效益开展独立、客观的财务测算，并进行相应的财务分析。本测算以谨慎预测为基本原则，在既有边界条件下，利用项目经济评价的基本方法，评价经济效益情况，计算得出灌溉水服务费的单价上限。</w:t>
      </w:r>
    </w:p>
    <w:p>
      <w:pPr>
        <w:ind w:firstLine="560"/>
        <w:rPr>
          <w:rFonts w:cs="Times New Roman"/>
        </w:rPr>
      </w:pPr>
      <w:r>
        <w:rPr>
          <w:rFonts w:cs="Times New Roman"/>
        </w:rPr>
        <w:drawing>
          <wp:anchor distT="0" distB="0" distL="114300" distR="114300" simplePos="0" relativeHeight="251663360" behindDoc="0" locked="0" layoutInCell="1" allowOverlap="1">
            <wp:simplePos x="0" y="0"/>
            <wp:positionH relativeFrom="margin">
              <wp:align>center</wp:align>
            </wp:positionH>
            <wp:positionV relativeFrom="paragraph">
              <wp:posOffset>1083310</wp:posOffset>
            </wp:positionV>
            <wp:extent cx="1475105" cy="579120"/>
            <wp:effectExtent l="0" t="0" r="0" b="0"/>
            <wp:wrapTopAndBottom/>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a:xfrm>
                      <a:off x="0" y="0"/>
                      <a:ext cx="1475105" cy="579120"/>
                    </a:xfrm>
                    <a:prstGeom prst="rect">
                      <a:avLst/>
                    </a:prstGeom>
                    <a:noFill/>
                  </pic:spPr>
                </pic:pic>
              </a:graphicData>
            </a:graphic>
          </wp:anchor>
        </w:drawing>
      </w:r>
      <w:r>
        <w:rPr>
          <w:rFonts w:hint="eastAsia" w:cs="Times New Roman"/>
        </w:rPr>
        <w:t>基于以上财务测算目标，根据行业惯例及投资收益分析，本项目拟采用项目全生命周期净现值法（</w:t>
      </w:r>
      <w:r>
        <w:rPr>
          <w:rFonts w:cs="Times New Roman"/>
        </w:rPr>
        <w:t>NPV</w:t>
      </w:r>
      <w:r>
        <w:rPr>
          <w:rFonts w:hint="eastAsia" w:cs="Times New Roman"/>
        </w:rPr>
        <w:t>），测算满足社会资本方运营成本及合理回报下的供水服务费单价上限，具体计算公式如下：</w:t>
      </w:r>
    </w:p>
    <w:p>
      <w:pPr>
        <w:ind w:firstLine="560"/>
        <w:rPr>
          <w:rFonts w:cs="Times New Roman"/>
        </w:rPr>
      </w:pPr>
      <w:r>
        <w:rPr>
          <w:rFonts w:hint="eastAsia" w:cs="Times New Roman"/>
        </w:rPr>
        <w:t>其中，</w:t>
      </w:r>
    </w:p>
    <w:p>
      <w:pPr>
        <w:ind w:firstLine="560"/>
        <w:rPr>
          <w:rFonts w:cs="Times New Roman"/>
        </w:rPr>
      </w:pPr>
      <w:r>
        <w:rPr>
          <w:rFonts w:cs="Times New Roman"/>
        </w:rPr>
        <w:t>NPV</w:t>
      </w:r>
      <w:r>
        <w:rPr>
          <w:rFonts w:hint="eastAsia" w:cs="Times New Roman"/>
        </w:rPr>
        <w:t>：项目全生命周期净现金流量折现值总额；</w:t>
      </w:r>
    </w:p>
    <w:p>
      <w:pPr>
        <w:ind w:firstLine="560"/>
        <w:rPr>
          <w:rFonts w:cs="Times New Roman"/>
        </w:rPr>
      </w:pPr>
      <w:r>
        <w:rPr>
          <w:rFonts w:cs="Times New Roman"/>
        </w:rPr>
        <w:t>CF</w:t>
      </w:r>
      <w:r>
        <w:rPr>
          <w:rFonts w:cs="Times New Roman"/>
          <w:vertAlign w:val="subscript"/>
        </w:rPr>
        <w:t>t</w:t>
      </w:r>
      <w:r>
        <w:rPr>
          <w:rFonts w:hint="eastAsia" w:cs="Times New Roman"/>
        </w:rPr>
        <w:t>：第</w:t>
      </w:r>
      <w:r>
        <w:rPr>
          <w:rFonts w:cs="Times New Roman"/>
        </w:rPr>
        <w:t>t</w:t>
      </w:r>
      <w:r>
        <w:rPr>
          <w:rFonts w:hint="eastAsia" w:cs="Times New Roman"/>
        </w:rPr>
        <w:t>期项目净现金流量；</w:t>
      </w:r>
    </w:p>
    <w:p>
      <w:pPr>
        <w:ind w:firstLine="560"/>
        <w:rPr>
          <w:rFonts w:cs="Times New Roman"/>
        </w:rPr>
      </w:pPr>
      <w:r>
        <w:rPr>
          <w:rFonts w:cs="Times New Roman"/>
        </w:rPr>
        <w:t>n</w:t>
      </w:r>
      <w:r>
        <w:rPr>
          <w:rFonts w:hint="eastAsia" w:cs="Times New Roman"/>
        </w:rPr>
        <w:t>：项目协议期；</w:t>
      </w:r>
    </w:p>
    <w:p>
      <w:pPr>
        <w:ind w:firstLine="560"/>
        <w:rPr>
          <w:rFonts w:cs="Times New Roman"/>
        </w:rPr>
      </w:pPr>
      <w:r>
        <w:rPr>
          <w:rFonts w:cs="Times New Roman"/>
        </w:rPr>
        <w:t>R</w:t>
      </w:r>
      <w:r>
        <w:rPr>
          <w:rFonts w:hint="eastAsia" w:cs="Times New Roman"/>
        </w:rPr>
        <w:t>：项目全投资内部收益率</w:t>
      </w:r>
      <w:r>
        <w:rPr>
          <w:rFonts w:cs="Times New Roman"/>
        </w:rPr>
        <w:t>/</w:t>
      </w:r>
      <w:r>
        <w:rPr>
          <w:rFonts w:hint="eastAsia" w:cs="Times New Roman"/>
        </w:rPr>
        <w:t>资本金内部收益率。</w:t>
      </w:r>
    </w:p>
    <w:p>
      <w:pPr>
        <w:ind w:firstLine="560"/>
        <w:rPr>
          <w:rFonts w:cs="Times New Roman"/>
        </w:rPr>
      </w:pPr>
      <w:r>
        <w:rPr>
          <w:rFonts w:hint="eastAsia" w:cs="Times New Roman"/>
        </w:rPr>
        <w:t>项目净现金流量为当期现金流入与现金流出的差额，现金流入主要包括灌溉收入、税费返还（如有）等，现金流出主要包括运营成本支出、管理和财务费用、相关税费及其他现金流出等。</w:t>
      </w:r>
    </w:p>
    <w:p>
      <w:pPr>
        <w:pStyle w:val="3"/>
        <w:ind w:firstLine="643" w:firstLineChars="200"/>
        <w:rPr>
          <w:rFonts w:cs="Times New Roman"/>
        </w:rPr>
      </w:pPr>
      <w:bookmarkStart w:id="62" w:name="_Toc148432363"/>
      <w:r>
        <w:rPr>
          <w:rFonts w:hint="eastAsia" w:cs="Times New Roman"/>
        </w:rPr>
        <w:t>二、基础数据</w:t>
      </w:r>
      <w:bookmarkEnd w:id="62"/>
    </w:p>
    <w:p>
      <w:pPr>
        <w:pStyle w:val="4"/>
        <w:ind w:firstLine="562"/>
        <w:rPr>
          <w:rFonts w:cs="Times New Roman"/>
        </w:rPr>
      </w:pPr>
      <w:r>
        <w:rPr>
          <w:rFonts w:hint="eastAsia" w:cs="Times New Roman"/>
        </w:rPr>
        <w:t>（一）财务测算基础数据表</w:t>
      </w:r>
    </w:p>
    <w:p>
      <w:pPr>
        <w:ind w:firstLine="560"/>
      </w:pPr>
      <w:r>
        <w:rPr>
          <w:rFonts w:hint="eastAsia"/>
        </w:rPr>
        <w:t>根据本项目可研及批复，本工程估算静态总投资</w:t>
      </w:r>
      <w:r>
        <w:t>104,789.30</w:t>
      </w:r>
      <w:r>
        <w:rPr>
          <w:rFonts w:hint="eastAsia"/>
        </w:rPr>
        <w:t>万元。详细投资组成如下表所示：</w:t>
      </w:r>
    </w:p>
    <w:p>
      <w:pPr>
        <w:keepNext/>
        <w:spacing w:before="120" w:beforeLines="50"/>
        <w:ind w:firstLine="0" w:firstLineChars="0"/>
        <w:jc w:val="center"/>
        <w:rPr>
          <w:rFonts w:cs="Times New Roman"/>
          <w:b/>
          <w:bCs/>
          <w:sz w:val="24"/>
          <w:szCs w:val="24"/>
        </w:rPr>
      </w:pPr>
      <w:r>
        <w:rPr>
          <w:rFonts w:hint="eastAsia" w:cs="Times New Roman"/>
          <w:b/>
          <w:bCs/>
          <w:sz w:val="24"/>
          <w:szCs w:val="24"/>
        </w:rPr>
        <w:t>表</w:t>
      </w:r>
      <w:r>
        <w:rPr>
          <w:rFonts w:cs="Times New Roman"/>
          <w:b/>
          <w:bCs/>
          <w:sz w:val="24"/>
          <w:szCs w:val="24"/>
        </w:rPr>
        <w:t>6-1</w:t>
      </w:r>
      <w:r>
        <w:rPr>
          <w:rFonts w:hint="eastAsia" w:cs="Times New Roman"/>
          <w:b/>
          <w:bCs/>
          <w:sz w:val="24"/>
          <w:szCs w:val="24"/>
        </w:rPr>
        <w:t>实施方案投资估算表</w:t>
      </w:r>
    </w:p>
    <w:tbl>
      <w:tblPr>
        <w:tblStyle w:val="31"/>
        <w:tblW w:w="5000" w:type="pct"/>
        <w:jc w:val="center"/>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Layout w:type="autofit"/>
        <w:tblCellMar>
          <w:top w:w="0" w:type="dxa"/>
          <w:left w:w="108" w:type="dxa"/>
          <w:bottom w:w="0" w:type="dxa"/>
          <w:right w:w="108" w:type="dxa"/>
        </w:tblCellMar>
      </w:tblPr>
      <w:tblGrid>
        <w:gridCol w:w="1595"/>
        <w:gridCol w:w="4476"/>
        <w:gridCol w:w="3215"/>
      </w:tblGrid>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PrEx>
        <w:trPr>
          <w:trHeight w:val="397" w:hRule="atLeast"/>
          <w:jc w:val="center"/>
        </w:trPr>
        <w:tc>
          <w:tcPr>
            <w:tcW w:w="859" w:type="pct"/>
            <w:tcBorders>
              <w:top w:val="single" w:color="auto" w:sz="18" w:space="0"/>
              <w:bottom w:val="single" w:color="auto" w:sz="4" w:space="0"/>
            </w:tcBorders>
            <w:shd w:val="clear" w:color="auto" w:fill="D8D8D8" w:themeFill="background1" w:themeFillShade="D9"/>
            <w:vAlign w:val="center"/>
          </w:tcPr>
          <w:p>
            <w:pPr>
              <w:spacing w:line="240" w:lineRule="auto"/>
              <w:ind w:firstLine="0" w:firstLineChars="0"/>
              <w:jc w:val="center"/>
              <w:rPr>
                <w:rFonts w:cs="Times New Roman"/>
                <w:b/>
                <w:bCs/>
                <w:sz w:val="24"/>
                <w:szCs w:val="24"/>
              </w:rPr>
            </w:pPr>
            <w:r>
              <w:rPr>
                <w:rFonts w:hint="eastAsia" w:cs="Times New Roman"/>
                <w:b/>
                <w:bCs/>
                <w:sz w:val="24"/>
                <w:szCs w:val="24"/>
              </w:rPr>
              <w:t>序号</w:t>
            </w:r>
          </w:p>
        </w:tc>
        <w:tc>
          <w:tcPr>
            <w:tcW w:w="2410" w:type="pct"/>
            <w:tcBorders>
              <w:top w:val="single" w:color="auto" w:sz="18" w:space="0"/>
              <w:bottom w:val="single" w:color="auto" w:sz="4" w:space="0"/>
            </w:tcBorders>
            <w:shd w:val="clear" w:color="auto" w:fill="D8D8D8" w:themeFill="background1" w:themeFillShade="D9"/>
            <w:vAlign w:val="center"/>
          </w:tcPr>
          <w:p>
            <w:pPr>
              <w:spacing w:line="240" w:lineRule="auto"/>
              <w:ind w:firstLine="0" w:firstLineChars="0"/>
              <w:jc w:val="center"/>
              <w:rPr>
                <w:rFonts w:cs="Times New Roman"/>
                <w:b/>
                <w:bCs/>
                <w:sz w:val="24"/>
                <w:szCs w:val="24"/>
              </w:rPr>
            </w:pPr>
            <w:r>
              <w:rPr>
                <w:rFonts w:hint="eastAsia" w:cs="Times New Roman"/>
                <w:b/>
                <w:bCs/>
                <w:sz w:val="24"/>
                <w:szCs w:val="24"/>
              </w:rPr>
              <w:t>费用名称</w:t>
            </w:r>
          </w:p>
        </w:tc>
        <w:tc>
          <w:tcPr>
            <w:tcW w:w="1731" w:type="pct"/>
            <w:tcBorders>
              <w:top w:val="single" w:color="auto" w:sz="18" w:space="0"/>
              <w:bottom w:val="single" w:color="auto" w:sz="4" w:space="0"/>
            </w:tcBorders>
            <w:shd w:val="clear" w:color="auto" w:fill="D8D8D8" w:themeFill="background1" w:themeFillShade="D9"/>
            <w:vAlign w:val="center"/>
          </w:tcPr>
          <w:p>
            <w:pPr>
              <w:spacing w:line="240" w:lineRule="auto"/>
              <w:ind w:firstLine="0" w:firstLineChars="0"/>
              <w:jc w:val="center"/>
              <w:rPr>
                <w:rFonts w:cs="Times New Roman"/>
                <w:b/>
                <w:bCs/>
                <w:sz w:val="24"/>
                <w:szCs w:val="24"/>
              </w:rPr>
            </w:pPr>
            <w:r>
              <w:rPr>
                <w:rFonts w:hint="eastAsia" w:cs="Times New Roman"/>
                <w:b/>
                <w:bCs/>
                <w:sz w:val="24"/>
                <w:szCs w:val="24"/>
              </w:rPr>
              <w:t>金额（万元）</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859" w:type="pct"/>
            <w:tcBorders>
              <w:top w:val="single" w:color="auto" w:sz="4" w:space="0"/>
            </w:tcBorders>
            <w:vAlign w:val="center"/>
          </w:tcPr>
          <w:p>
            <w:pPr>
              <w:spacing w:line="240" w:lineRule="auto"/>
              <w:ind w:firstLine="0" w:firstLineChars="0"/>
              <w:jc w:val="center"/>
              <w:rPr>
                <w:rFonts w:cs="Times New Roman"/>
                <w:b/>
                <w:sz w:val="24"/>
                <w:szCs w:val="24"/>
              </w:rPr>
            </w:pPr>
            <w:r>
              <w:rPr>
                <w:rFonts w:hint="eastAsia" w:cs="Times New Roman"/>
                <w:b/>
                <w:sz w:val="24"/>
                <w:szCs w:val="24"/>
              </w:rPr>
              <w:t>一</w:t>
            </w:r>
          </w:p>
        </w:tc>
        <w:tc>
          <w:tcPr>
            <w:tcW w:w="2410" w:type="pct"/>
            <w:tcBorders>
              <w:top w:val="single" w:color="auto" w:sz="4" w:space="0"/>
            </w:tcBorders>
            <w:vAlign w:val="center"/>
          </w:tcPr>
          <w:p>
            <w:pPr>
              <w:spacing w:line="240" w:lineRule="auto"/>
              <w:ind w:firstLine="0" w:firstLineChars="0"/>
              <w:jc w:val="center"/>
              <w:rPr>
                <w:rFonts w:cs="Times New Roman"/>
                <w:b/>
                <w:sz w:val="24"/>
                <w:szCs w:val="24"/>
              </w:rPr>
            </w:pPr>
            <w:r>
              <w:rPr>
                <w:rFonts w:hint="eastAsia" w:cs="Times New Roman"/>
                <w:b/>
                <w:sz w:val="24"/>
                <w:szCs w:val="24"/>
              </w:rPr>
              <w:t>项目建设投资</w:t>
            </w:r>
          </w:p>
        </w:tc>
        <w:tc>
          <w:tcPr>
            <w:tcW w:w="1731" w:type="pct"/>
            <w:tcBorders>
              <w:top w:val="single" w:color="auto" w:sz="4" w:space="0"/>
            </w:tcBorders>
            <w:vAlign w:val="center"/>
          </w:tcPr>
          <w:p>
            <w:pPr>
              <w:spacing w:line="240" w:lineRule="auto"/>
              <w:ind w:firstLine="0" w:firstLineChars="0"/>
              <w:jc w:val="center"/>
              <w:rPr>
                <w:rFonts w:cs="Times New Roman"/>
                <w:b/>
                <w:sz w:val="24"/>
                <w:szCs w:val="24"/>
              </w:rPr>
            </w:pPr>
            <w:r>
              <w:rPr>
                <w:rFonts w:hint="eastAsia" w:cs="Times New Roman"/>
                <w:b/>
                <w:sz w:val="24"/>
                <w:szCs w:val="24"/>
              </w:rPr>
              <w:t>104,789.30</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859" w:type="pct"/>
            <w:vAlign w:val="center"/>
          </w:tcPr>
          <w:p>
            <w:pPr>
              <w:spacing w:line="240" w:lineRule="auto"/>
              <w:ind w:firstLine="0" w:firstLineChars="0"/>
              <w:jc w:val="center"/>
              <w:rPr>
                <w:rFonts w:cs="Times New Roman"/>
                <w:sz w:val="24"/>
                <w:szCs w:val="24"/>
              </w:rPr>
            </w:pPr>
            <w:r>
              <w:rPr>
                <w:rFonts w:hint="eastAsia" w:cs="Times New Roman"/>
                <w:sz w:val="24"/>
                <w:szCs w:val="24"/>
              </w:rPr>
              <w:t>1</w:t>
            </w:r>
          </w:p>
        </w:tc>
        <w:tc>
          <w:tcPr>
            <w:tcW w:w="2410" w:type="pct"/>
            <w:vAlign w:val="center"/>
          </w:tcPr>
          <w:p>
            <w:pPr>
              <w:spacing w:line="240" w:lineRule="auto"/>
              <w:ind w:firstLine="0" w:firstLineChars="0"/>
              <w:jc w:val="center"/>
              <w:rPr>
                <w:rFonts w:cs="Times New Roman"/>
                <w:sz w:val="24"/>
                <w:szCs w:val="24"/>
              </w:rPr>
            </w:pPr>
            <w:r>
              <w:rPr>
                <w:rFonts w:hint="eastAsia" w:cs="Times New Roman"/>
                <w:sz w:val="24"/>
                <w:szCs w:val="24"/>
              </w:rPr>
              <w:t>土建工程费</w:t>
            </w:r>
          </w:p>
        </w:tc>
        <w:tc>
          <w:tcPr>
            <w:tcW w:w="1731" w:type="pct"/>
            <w:vAlign w:val="center"/>
          </w:tcPr>
          <w:p>
            <w:pPr>
              <w:spacing w:line="240" w:lineRule="auto"/>
              <w:ind w:firstLine="0" w:firstLineChars="0"/>
              <w:jc w:val="center"/>
              <w:rPr>
                <w:rFonts w:cs="Times New Roman"/>
                <w:sz w:val="24"/>
                <w:szCs w:val="24"/>
              </w:rPr>
            </w:pPr>
            <w:r>
              <w:rPr>
                <w:rFonts w:hint="eastAsia" w:cs="Times New Roman"/>
                <w:sz w:val="24"/>
                <w:szCs w:val="24"/>
              </w:rPr>
              <w:t>72,692.2</w:t>
            </w:r>
            <w:r>
              <w:rPr>
                <w:rFonts w:cs="Times New Roman"/>
                <w:sz w:val="24"/>
                <w:szCs w:val="24"/>
              </w:rPr>
              <w:t>0</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859" w:type="pct"/>
            <w:vAlign w:val="center"/>
          </w:tcPr>
          <w:p>
            <w:pPr>
              <w:spacing w:line="240" w:lineRule="auto"/>
              <w:ind w:firstLine="0" w:firstLineChars="0"/>
              <w:jc w:val="center"/>
              <w:rPr>
                <w:rFonts w:cs="Times New Roman"/>
                <w:sz w:val="24"/>
                <w:szCs w:val="24"/>
              </w:rPr>
            </w:pPr>
            <w:r>
              <w:rPr>
                <w:rFonts w:cs="Times New Roman"/>
                <w:sz w:val="24"/>
                <w:szCs w:val="24"/>
              </w:rPr>
              <w:t>2</w:t>
            </w:r>
          </w:p>
        </w:tc>
        <w:tc>
          <w:tcPr>
            <w:tcW w:w="2410" w:type="pct"/>
            <w:vAlign w:val="center"/>
          </w:tcPr>
          <w:p>
            <w:pPr>
              <w:spacing w:line="240" w:lineRule="auto"/>
              <w:ind w:firstLine="0" w:firstLineChars="0"/>
              <w:jc w:val="center"/>
              <w:rPr>
                <w:rFonts w:cs="Times New Roman"/>
                <w:sz w:val="24"/>
                <w:szCs w:val="24"/>
                <w:lang w:eastAsia="zh-Hans"/>
              </w:rPr>
            </w:pPr>
            <w:r>
              <w:rPr>
                <w:rFonts w:hint="eastAsia" w:cs="Times New Roman"/>
                <w:sz w:val="24"/>
                <w:szCs w:val="24"/>
              </w:rPr>
              <w:t>设备购置及安装工程</w:t>
            </w:r>
            <w:r>
              <w:rPr>
                <w:rFonts w:hint="eastAsia" w:cs="Times New Roman"/>
                <w:sz w:val="24"/>
                <w:szCs w:val="24"/>
                <w:lang w:eastAsia="zh-Hans"/>
              </w:rPr>
              <w:t>费</w:t>
            </w:r>
          </w:p>
        </w:tc>
        <w:tc>
          <w:tcPr>
            <w:tcW w:w="1731" w:type="pct"/>
            <w:vAlign w:val="center"/>
          </w:tcPr>
          <w:p>
            <w:pPr>
              <w:spacing w:line="240" w:lineRule="auto"/>
              <w:ind w:firstLine="0" w:firstLineChars="0"/>
              <w:jc w:val="center"/>
              <w:rPr>
                <w:rFonts w:cs="Times New Roman"/>
                <w:sz w:val="24"/>
                <w:szCs w:val="24"/>
              </w:rPr>
            </w:pPr>
            <w:r>
              <w:rPr>
                <w:rFonts w:hint="eastAsia" w:cs="Times New Roman"/>
                <w:sz w:val="24"/>
                <w:szCs w:val="24"/>
              </w:rPr>
              <w:t>13,804.34</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859" w:type="pct"/>
            <w:vAlign w:val="center"/>
          </w:tcPr>
          <w:p>
            <w:pPr>
              <w:spacing w:line="240" w:lineRule="auto"/>
              <w:ind w:firstLine="0" w:firstLineChars="0"/>
              <w:jc w:val="center"/>
              <w:rPr>
                <w:rFonts w:cs="Times New Roman"/>
                <w:sz w:val="24"/>
                <w:szCs w:val="24"/>
              </w:rPr>
            </w:pPr>
            <w:r>
              <w:rPr>
                <w:rFonts w:cs="Times New Roman"/>
                <w:sz w:val="24"/>
                <w:szCs w:val="24"/>
              </w:rPr>
              <w:t>3</w:t>
            </w:r>
          </w:p>
        </w:tc>
        <w:tc>
          <w:tcPr>
            <w:tcW w:w="2410" w:type="pct"/>
            <w:vAlign w:val="center"/>
          </w:tcPr>
          <w:p>
            <w:pPr>
              <w:spacing w:line="240" w:lineRule="auto"/>
              <w:ind w:firstLine="0" w:firstLineChars="0"/>
              <w:jc w:val="center"/>
              <w:rPr>
                <w:rFonts w:cs="Times New Roman"/>
                <w:sz w:val="24"/>
                <w:szCs w:val="24"/>
              </w:rPr>
            </w:pPr>
            <w:r>
              <w:rPr>
                <w:rFonts w:hint="eastAsia" w:cs="Times New Roman"/>
                <w:sz w:val="24"/>
                <w:szCs w:val="24"/>
              </w:rPr>
              <w:t>金属结构及安装工程费</w:t>
            </w:r>
          </w:p>
        </w:tc>
        <w:tc>
          <w:tcPr>
            <w:tcW w:w="1731" w:type="pct"/>
            <w:vAlign w:val="center"/>
          </w:tcPr>
          <w:p>
            <w:pPr>
              <w:spacing w:line="240" w:lineRule="auto"/>
              <w:ind w:firstLine="0" w:firstLineChars="0"/>
              <w:jc w:val="center"/>
              <w:rPr>
                <w:rFonts w:cs="Times New Roman"/>
                <w:sz w:val="24"/>
                <w:szCs w:val="24"/>
              </w:rPr>
            </w:pPr>
            <w:r>
              <w:rPr>
                <w:rFonts w:hint="eastAsia" w:cs="Times New Roman"/>
                <w:sz w:val="24"/>
                <w:szCs w:val="24"/>
              </w:rPr>
              <w:t>569.77</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859" w:type="pct"/>
            <w:vAlign w:val="center"/>
          </w:tcPr>
          <w:p>
            <w:pPr>
              <w:spacing w:line="240" w:lineRule="auto"/>
              <w:ind w:firstLine="0" w:firstLineChars="0"/>
              <w:jc w:val="center"/>
              <w:rPr>
                <w:rFonts w:cs="Times New Roman"/>
                <w:sz w:val="24"/>
                <w:szCs w:val="24"/>
              </w:rPr>
            </w:pPr>
            <w:r>
              <w:rPr>
                <w:rFonts w:cs="Times New Roman"/>
                <w:sz w:val="24"/>
                <w:szCs w:val="24"/>
              </w:rPr>
              <w:t>4</w:t>
            </w:r>
          </w:p>
        </w:tc>
        <w:tc>
          <w:tcPr>
            <w:tcW w:w="2410" w:type="pct"/>
            <w:vAlign w:val="center"/>
          </w:tcPr>
          <w:p>
            <w:pPr>
              <w:spacing w:line="240" w:lineRule="auto"/>
              <w:ind w:firstLine="0" w:firstLineChars="0"/>
              <w:jc w:val="center"/>
              <w:rPr>
                <w:rFonts w:cs="Times New Roman"/>
                <w:sz w:val="24"/>
                <w:szCs w:val="24"/>
              </w:rPr>
            </w:pPr>
            <w:r>
              <w:rPr>
                <w:rFonts w:hint="eastAsia" w:cs="Times New Roman"/>
                <w:sz w:val="24"/>
                <w:szCs w:val="24"/>
              </w:rPr>
              <w:t>临时工程</w:t>
            </w:r>
          </w:p>
        </w:tc>
        <w:tc>
          <w:tcPr>
            <w:tcW w:w="1731" w:type="pct"/>
            <w:vAlign w:val="center"/>
          </w:tcPr>
          <w:p>
            <w:pPr>
              <w:spacing w:line="240" w:lineRule="auto"/>
              <w:ind w:firstLine="0" w:firstLineChars="0"/>
              <w:jc w:val="center"/>
              <w:rPr>
                <w:rFonts w:cs="Times New Roman"/>
                <w:sz w:val="24"/>
                <w:szCs w:val="24"/>
              </w:rPr>
            </w:pPr>
            <w:r>
              <w:rPr>
                <w:rFonts w:hint="eastAsia" w:cs="Times New Roman"/>
                <w:sz w:val="24"/>
                <w:szCs w:val="24"/>
              </w:rPr>
              <w:t>1,173.31</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859" w:type="pct"/>
            <w:vAlign w:val="center"/>
          </w:tcPr>
          <w:p>
            <w:pPr>
              <w:spacing w:line="240" w:lineRule="auto"/>
              <w:ind w:firstLine="0" w:firstLineChars="0"/>
              <w:jc w:val="center"/>
              <w:rPr>
                <w:rFonts w:cs="Times New Roman"/>
                <w:sz w:val="24"/>
                <w:szCs w:val="24"/>
              </w:rPr>
            </w:pPr>
            <w:r>
              <w:rPr>
                <w:rFonts w:cs="Times New Roman"/>
                <w:sz w:val="24"/>
                <w:szCs w:val="24"/>
              </w:rPr>
              <w:t>5</w:t>
            </w:r>
          </w:p>
        </w:tc>
        <w:tc>
          <w:tcPr>
            <w:tcW w:w="2410" w:type="pct"/>
            <w:vAlign w:val="center"/>
          </w:tcPr>
          <w:p>
            <w:pPr>
              <w:spacing w:line="240" w:lineRule="auto"/>
              <w:ind w:firstLine="0" w:firstLineChars="0"/>
              <w:jc w:val="center"/>
              <w:rPr>
                <w:rFonts w:cs="Times New Roman"/>
                <w:sz w:val="24"/>
                <w:szCs w:val="24"/>
              </w:rPr>
            </w:pPr>
            <w:r>
              <w:rPr>
                <w:rFonts w:hint="eastAsia" w:cs="Times New Roman"/>
                <w:sz w:val="24"/>
                <w:szCs w:val="24"/>
              </w:rPr>
              <w:t>独立费</w:t>
            </w:r>
          </w:p>
        </w:tc>
        <w:tc>
          <w:tcPr>
            <w:tcW w:w="1731" w:type="pct"/>
            <w:vAlign w:val="center"/>
          </w:tcPr>
          <w:p>
            <w:pPr>
              <w:spacing w:line="240" w:lineRule="auto"/>
              <w:ind w:firstLine="0" w:firstLineChars="0"/>
              <w:jc w:val="center"/>
              <w:rPr>
                <w:rFonts w:cs="Times New Roman"/>
                <w:sz w:val="24"/>
                <w:szCs w:val="24"/>
              </w:rPr>
            </w:pPr>
            <w:r>
              <w:rPr>
                <w:rFonts w:hint="eastAsia" w:cs="Times New Roman"/>
                <w:sz w:val="24"/>
                <w:szCs w:val="24"/>
              </w:rPr>
              <w:t>6,162.31</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859" w:type="pct"/>
            <w:vAlign w:val="center"/>
          </w:tcPr>
          <w:p>
            <w:pPr>
              <w:spacing w:line="240" w:lineRule="auto"/>
              <w:ind w:firstLine="0" w:firstLineChars="0"/>
              <w:jc w:val="center"/>
              <w:rPr>
                <w:rFonts w:cs="Times New Roman"/>
                <w:sz w:val="24"/>
                <w:szCs w:val="24"/>
              </w:rPr>
            </w:pPr>
            <w:r>
              <w:rPr>
                <w:rFonts w:hint="eastAsia" w:cs="Times New Roman"/>
                <w:sz w:val="24"/>
                <w:szCs w:val="24"/>
              </w:rPr>
              <w:t>6</w:t>
            </w:r>
          </w:p>
        </w:tc>
        <w:tc>
          <w:tcPr>
            <w:tcW w:w="2410" w:type="pct"/>
            <w:vAlign w:val="center"/>
          </w:tcPr>
          <w:p>
            <w:pPr>
              <w:spacing w:line="240" w:lineRule="auto"/>
              <w:ind w:firstLine="0" w:firstLineChars="0"/>
              <w:jc w:val="center"/>
              <w:rPr>
                <w:rFonts w:cs="Times New Roman"/>
                <w:sz w:val="24"/>
                <w:szCs w:val="24"/>
              </w:rPr>
            </w:pPr>
            <w:r>
              <w:rPr>
                <w:rFonts w:hint="eastAsia" w:cs="Times New Roman"/>
                <w:sz w:val="24"/>
                <w:szCs w:val="24"/>
              </w:rPr>
              <w:t>水土保持工程投资</w:t>
            </w:r>
          </w:p>
        </w:tc>
        <w:tc>
          <w:tcPr>
            <w:tcW w:w="1731" w:type="pct"/>
            <w:vAlign w:val="center"/>
          </w:tcPr>
          <w:p>
            <w:pPr>
              <w:spacing w:line="240" w:lineRule="auto"/>
              <w:ind w:firstLine="0" w:firstLineChars="0"/>
              <w:jc w:val="center"/>
              <w:rPr>
                <w:rFonts w:cs="Times New Roman"/>
                <w:sz w:val="24"/>
                <w:szCs w:val="24"/>
              </w:rPr>
            </w:pPr>
            <w:r>
              <w:rPr>
                <w:rFonts w:hint="eastAsia" w:cs="Times New Roman"/>
                <w:sz w:val="24"/>
                <w:szCs w:val="24"/>
              </w:rPr>
              <w:t>131.77</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859" w:type="pct"/>
            <w:vAlign w:val="center"/>
          </w:tcPr>
          <w:p>
            <w:pPr>
              <w:spacing w:line="240" w:lineRule="auto"/>
              <w:ind w:firstLine="0" w:firstLineChars="0"/>
              <w:jc w:val="center"/>
              <w:rPr>
                <w:rFonts w:cs="Times New Roman"/>
                <w:sz w:val="24"/>
                <w:szCs w:val="24"/>
              </w:rPr>
            </w:pPr>
            <w:r>
              <w:rPr>
                <w:rFonts w:hint="eastAsia" w:cs="Times New Roman"/>
                <w:sz w:val="24"/>
                <w:szCs w:val="24"/>
              </w:rPr>
              <w:t>7</w:t>
            </w:r>
          </w:p>
        </w:tc>
        <w:tc>
          <w:tcPr>
            <w:tcW w:w="2410" w:type="pct"/>
            <w:vAlign w:val="center"/>
          </w:tcPr>
          <w:p>
            <w:pPr>
              <w:spacing w:line="240" w:lineRule="auto"/>
              <w:ind w:firstLine="0" w:firstLineChars="0"/>
              <w:jc w:val="center"/>
              <w:rPr>
                <w:rFonts w:cs="Times New Roman"/>
                <w:sz w:val="24"/>
                <w:szCs w:val="24"/>
              </w:rPr>
            </w:pPr>
            <w:r>
              <w:rPr>
                <w:rFonts w:hint="eastAsia" w:cs="Times New Roman"/>
                <w:sz w:val="24"/>
                <w:szCs w:val="24"/>
              </w:rPr>
              <w:t>工程占地补偿投资</w:t>
            </w:r>
          </w:p>
        </w:tc>
        <w:tc>
          <w:tcPr>
            <w:tcW w:w="1731" w:type="pct"/>
            <w:vAlign w:val="center"/>
          </w:tcPr>
          <w:p>
            <w:pPr>
              <w:spacing w:line="240" w:lineRule="auto"/>
              <w:ind w:firstLine="0" w:firstLineChars="0"/>
              <w:jc w:val="center"/>
              <w:rPr>
                <w:rFonts w:cs="Times New Roman"/>
                <w:sz w:val="24"/>
                <w:szCs w:val="24"/>
              </w:rPr>
            </w:pPr>
            <w:r>
              <w:rPr>
                <w:rFonts w:hint="eastAsia" w:cs="Times New Roman"/>
                <w:sz w:val="24"/>
                <w:szCs w:val="24"/>
              </w:rPr>
              <w:t>2,703.45</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859" w:type="pct"/>
            <w:vAlign w:val="center"/>
          </w:tcPr>
          <w:p>
            <w:pPr>
              <w:spacing w:line="240" w:lineRule="auto"/>
              <w:ind w:firstLine="0" w:firstLineChars="0"/>
              <w:jc w:val="center"/>
              <w:rPr>
                <w:rFonts w:cs="Times New Roman"/>
                <w:sz w:val="24"/>
                <w:szCs w:val="24"/>
              </w:rPr>
            </w:pPr>
            <w:r>
              <w:rPr>
                <w:rFonts w:cs="Times New Roman"/>
                <w:sz w:val="24"/>
                <w:szCs w:val="24"/>
              </w:rPr>
              <w:t>8</w:t>
            </w:r>
          </w:p>
        </w:tc>
        <w:tc>
          <w:tcPr>
            <w:tcW w:w="2410" w:type="pct"/>
            <w:vAlign w:val="center"/>
          </w:tcPr>
          <w:p>
            <w:pPr>
              <w:spacing w:line="240" w:lineRule="auto"/>
              <w:ind w:firstLine="0" w:firstLineChars="0"/>
              <w:jc w:val="center"/>
              <w:rPr>
                <w:rFonts w:cs="Times New Roman"/>
                <w:sz w:val="24"/>
                <w:szCs w:val="24"/>
              </w:rPr>
            </w:pPr>
            <w:r>
              <w:rPr>
                <w:rFonts w:hint="eastAsia" w:cs="Times New Roman"/>
                <w:sz w:val="24"/>
                <w:szCs w:val="24"/>
              </w:rPr>
              <w:t>基本预备费</w:t>
            </w:r>
          </w:p>
        </w:tc>
        <w:tc>
          <w:tcPr>
            <w:tcW w:w="1731" w:type="pct"/>
            <w:vAlign w:val="center"/>
          </w:tcPr>
          <w:p>
            <w:pPr>
              <w:spacing w:line="240" w:lineRule="auto"/>
              <w:ind w:firstLine="0" w:firstLineChars="0"/>
              <w:jc w:val="center"/>
              <w:rPr>
                <w:rFonts w:cs="Times New Roman"/>
                <w:sz w:val="24"/>
                <w:szCs w:val="24"/>
              </w:rPr>
            </w:pPr>
            <w:r>
              <w:rPr>
                <w:rFonts w:hint="eastAsia" w:cs="Times New Roman"/>
                <w:sz w:val="24"/>
                <w:szCs w:val="24"/>
              </w:rPr>
              <w:t>7,552.15</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PrEx>
        <w:trPr>
          <w:trHeight w:val="397" w:hRule="atLeast"/>
          <w:jc w:val="center"/>
        </w:trPr>
        <w:tc>
          <w:tcPr>
            <w:tcW w:w="859" w:type="pct"/>
            <w:vAlign w:val="center"/>
          </w:tcPr>
          <w:p>
            <w:pPr>
              <w:spacing w:line="240" w:lineRule="auto"/>
              <w:ind w:firstLine="0" w:firstLineChars="0"/>
              <w:jc w:val="center"/>
              <w:rPr>
                <w:rFonts w:cs="Times New Roman"/>
                <w:sz w:val="24"/>
                <w:szCs w:val="24"/>
              </w:rPr>
            </w:pPr>
            <w:r>
              <w:rPr>
                <w:rFonts w:hint="eastAsia" w:cs="Times New Roman"/>
                <w:b/>
                <w:bCs/>
                <w:sz w:val="24"/>
                <w:szCs w:val="24"/>
              </w:rPr>
              <w:t>二</w:t>
            </w:r>
          </w:p>
        </w:tc>
        <w:tc>
          <w:tcPr>
            <w:tcW w:w="2410" w:type="pct"/>
            <w:vAlign w:val="center"/>
          </w:tcPr>
          <w:p>
            <w:pPr>
              <w:spacing w:line="240" w:lineRule="auto"/>
              <w:ind w:firstLine="0" w:firstLineChars="0"/>
              <w:jc w:val="center"/>
              <w:rPr>
                <w:rFonts w:cs="Times New Roman"/>
                <w:sz w:val="24"/>
                <w:szCs w:val="24"/>
              </w:rPr>
            </w:pPr>
            <w:r>
              <w:rPr>
                <w:rFonts w:hint="eastAsia" w:cs="Times New Roman"/>
                <w:b/>
                <w:bCs/>
                <w:sz w:val="24"/>
                <w:szCs w:val="24"/>
              </w:rPr>
              <w:t>建设期利息</w:t>
            </w:r>
          </w:p>
        </w:tc>
        <w:tc>
          <w:tcPr>
            <w:tcW w:w="1731" w:type="pct"/>
            <w:vAlign w:val="center"/>
          </w:tcPr>
          <w:p>
            <w:pPr>
              <w:spacing w:line="240" w:lineRule="auto"/>
              <w:ind w:firstLine="0" w:firstLineChars="0"/>
              <w:jc w:val="center"/>
              <w:rPr>
                <w:rFonts w:cs="Times New Roman"/>
                <w:sz w:val="24"/>
                <w:szCs w:val="24"/>
              </w:rPr>
            </w:pPr>
            <w:r>
              <w:rPr>
                <w:rFonts w:hint="eastAsia" w:cs="Times New Roman"/>
                <w:sz w:val="24"/>
                <w:szCs w:val="24"/>
              </w:rPr>
              <w:t>3,144.55</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859" w:type="pct"/>
            <w:vAlign w:val="center"/>
          </w:tcPr>
          <w:p>
            <w:pPr>
              <w:spacing w:line="240" w:lineRule="auto"/>
              <w:ind w:firstLine="0" w:firstLineChars="0"/>
              <w:jc w:val="center"/>
              <w:rPr>
                <w:rFonts w:cs="Times New Roman"/>
                <w:sz w:val="24"/>
                <w:szCs w:val="24"/>
              </w:rPr>
            </w:pPr>
            <w:r>
              <w:rPr>
                <w:rFonts w:hint="eastAsia" w:cs="Times New Roman"/>
                <w:b/>
                <w:bCs/>
                <w:sz w:val="24"/>
                <w:szCs w:val="24"/>
              </w:rPr>
              <w:t>三</w:t>
            </w:r>
          </w:p>
        </w:tc>
        <w:tc>
          <w:tcPr>
            <w:tcW w:w="2410" w:type="pct"/>
            <w:vAlign w:val="center"/>
          </w:tcPr>
          <w:p>
            <w:pPr>
              <w:spacing w:line="240" w:lineRule="auto"/>
              <w:ind w:firstLine="0" w:firstLineChars="0"/>
              <w:jc w:val="center"/>
              <w:rPr>
                <w:rFonts w:cs="Times New Roman"/>
                <w:sz w:val="24"/>
                <w:szCs w:val="24"/>
              </w:rPr>
            </w:pPr>
            <w:r>
              <w:rPr>
                <w:rFonts w:hint="eastAsia" w:cs="Times New Roman"/>
                <w:b/>
                <w:bCs/>
                <w:sz w:val="24"/>
                <w:szCs w:val="24"/>
              </w:rPr>
              <w:t>项目总投资</w:t>
            </w:r>
          </w:p>
        </w:tc>
        <w:tc>
          <w:tcPr>
            <w:tcW w:w="1731" w:type="pct"/>
            <w:vAlign w:val="center"/>
          </w:tcPr>
          <w:p>
            <w:pPr>
              <w:spacing w:line="240" w:lineRule="auto"/>
              <w:ind w:firstLine="0" w:firstLineChars="0"/>
              <w:jc w:val="center"/>
              <w:rPr>
                <w:rFonts w:cs="Times New Roman"/>
                <w:sz w:val="24"/>
                <w:szCs w:val="24"/>
              </w:rPr>
            </w:pPr>
            <w:r>
              <w:rPr>
                <w:rFonts w:hint="eastAsia" w:cs="Times New Roman"/>
                <w:sz w:val="24"/>
                <w:szCs w:val="24"/>
              </w:rPr>
              <w:t>107,933.85</w:t>
            </w:r>
          </w:p>
        </w:tc>
      </w:tr>
    </w:tbl>
    <w:p>
      <w:pPr>
        <w:ind w:firstLine="0" w:firstLineChars="0"/>
        <w:jc w:val="center"/>
        <w:rPr>
          <w:rFonts w:cs="Times New Roman"/>
          <w:b/>
          <w:bCs/>
          <w:color w:val="000000" w:themeColor="text1"/>
          <w:sz w:val="24"/>
          <w:szCs w:val="24"/>
          <w14:textFill>
            <w14:solidFill>
              <w14:schemeClr w14:val="tx1"/>
            </w14:solidFill>
          </w14:textFill>
        </w:rPr>
      </w:pPr>
      <w:r>
        <w:rPr>
          <w:rFonts w:hint="eastAsia" w:cs="Times New Roman"/>
          <w:b/>
          <w:bCs/>
          <w:color w:val="000000" w:themeColor="text1"/>
          <w:sz w:val="24"/>
          <w:szCs w:val="24"/>
          <w14:textFill>
            <w14:solidFill>
              <w14:schemeClr w14:val="tx1"/>
            </w14:solidFill>
          </w14:textFill>
        </w:rPr>
        <w:t>表</w:t>
      </w:r>
      <w:r>
        <w:rPr>
          <w:rFonts w:cs="Times New Roman"/>
          <w:b/>
          <w:bCs/>
          <w:color w:val="000000" w:themeColor="text1"/>
          <w:sz w:val="24"/>
          <w:szCs w:val="24"/>
          <w14:textFill>
            <w14:solidFill>
              <w14:schemeClr w14:val="tx1"/>
            </w14:solidFill>
          </w14:textFill>
        </w:rPr>
        <w:t>6-2</w:t>
      </w:r>
      <w:r>
        <w:rPr>
          <w:rFonts w:hint="eastAsia" w:cs="Times New Roman"/>
          <w:b/>
          <w:bCs/>
          <w:color w:val="000000" w:themeColor="text1"/>
          <w:sz w:val="24"/>
          <w:szCs w:val="24"/>
          <w14:textFill>
            <w14:solidFill>
              <w14:schemeClr w14:val="tx1"/>
            </w14:solidFill>
          </w14:textFill>
        </w:rPr>
        <w:t>财务测算基础数据表</w:t>
      </w:r>
    </w:p>
    <w:tbl>
      <w:tblPr>
        <w:tblStyle w:val="48"/>
        <w:tblW w:w="0" w:type="auto"/>
        <w:jc w:val="center"/>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
      <w:tblGrid>
        <w:gridCol w:w="717"/>
        <w:gridCol w:w="1551"/>
        <w:gridCol w:w="3261"/>
        <w:gridCol w:w="3531"/>
      </w:tblGrid>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454" w:hRule="atLeast"/>
          <w:tblHeader/>
          <w:jc w:val="center"/>
        </w:trPr>
        <w:tc>
          <w:tcPr>
            <w:tcW w:w="717" w:type="dxa"/>
            <w:tcBorders>
              <w:top w:val="single" w:color="auto" w:sz="18" w:space="0"/>
              <w:bottom w:val="single" w:color="auto" w:sz="4" w:space="0"/>
              <w:right w:val="single" w:color="auto" w:sz="4" w:space="0"/>
            </w:tcBorders>
            <w:shd w:val="clear" w:color="auto" w:fill="D8D8D8" w:themeFill="background1" w:themeFillShade="D9"/>
            <w:vAlign w:val="center"/>
          </w:tcPr>
          <w:p>
            <w:pPr>
              <w:adjustRightInd w:val="0"/>
              <w:snapToGrid w:val="0"/>
              <w:spacing w:line="240" w:lineRule="auto"/>
              <w:ind w:firstLine="0" w:firstLineChars="0"/>
              <w:jc w:val="center"/>
              <w:rPr>
                <w:rFonts w:cs="Times New Roman"/>
                <w:b/>
                <w:kern w:val="0"/>
                <w:sz w:val="24"/>
                <w:szCs w:val="24"/>
              </w:rPr>
            </w:pPr>
            <w:bookmarkStart w:id="63" w:name="_Hlk11528699"/>
            <w:r>
              <w:rPr>
                <w:rFonts w:hint="eastAsia" w:cs="Times New Roman"/>
                <w:b/>
                <w:kern w:val="0"/>
                <w:sz w:val="24"/>
                <w:szCs w:val="24"/>
              </w:rPr>
              <w:t>序号</w:t>
            </w:r>
            <w:bookmarkEnd w:id="63"/>
          </w:p>
        </w:tc>
        <w:tc>
          <w:tcPr>
            <w:tcW w:w="1551" w:type="dxa"/>
            <w:tcBorders>
              <w:top w:val="single" w:color="auto" w:sz="18" w:space="0"/>
              <w:left w:val="single" w:color="auto" w:sz="4" w:space="0"/>
              <w:bottom w:val="single" w:color="auto" w:sz="4" w:space="0"/>
            </w:tcBorders>
            <w:shd w:val="clear" w:color="auto" w:fill="D8D8D8" w:themeFill="background1" w:themeFillShade="D9"/>
            <w:vAlign w:val="center"/>
          </w:tcPr>
          <w:p>
            <w:pPr>
              <w:adjustRightInd w:val="0"/>
              <w:snapToGrid w:val="0"/>
              <w:spacing w:line="240" w:lineRule="auto"/>
              <w:ind w:firstLine="0" w:firstLineChars="0"/>
              <w:jc w:val="center"/>
              <w:rPr>
                <w:rFonts w:cs="Times New Roman"/>
                <w:b/>
                <w:kern w:val="0"/>
                <w:sz w:val="24"/>
                <w:szCs w:val="24"/>
              </w:rPr>
            </w:pPr>
            <w:r>
              <w:rPr>
                <w:rFonts w:hint="eastAsia" w:cs="Times New Roman"/>
                <w:b/>
                <w:kern w:val="0"/>
                <w:sz w:val="24"/>
                <w:szCs w:val="24"/>
              </w:rPr>
              <w:t>内容</w:t>
            </w:r>
          </w:p>
        </w:tc>
        <w:tc>
          <w:tcPr>
            <w:tcW w:w="3261" w:type="dxa"/>
            <w:tcBorders>
              <w:top w:val="single" w:color="auto" w:sz="18" w:space="0"/>
              <w:bottom w:val="single" w:color="auto" w:sz="4" w:space="0"/>
            </w:tcBorders>
            <w:shd w:val="clear" w:color="auto" w:fill="D8D8D8" w:themeFill="background1" w:themeFillShade="D9"/>
            <w:vAlign w:val="center"/>
          </w:tcPr>
          <w:p>
            <w:pPr>
              <w:adjustRightInd w:val="0"/>
              <w:snapToGrid w:val="0"/>
              <w:spacing w:line="240" w:lineRule="auto"/>
              <w:ind w:firstLine="0" w:firstLineChars="0"/>
              <w:jc w:val="center"/>
              <w:rPr>
                <w:rFonts w:cs="Times New Roman"/>
                <w:b/>
                <w:kern w:val="0"/>
                <w:sz w:val="24"/>
                <w:szCs w:val="24"/>
              </w:rPr>
            </w:pPr>
            <w:r>
              <w:rPr>
                <w:rFonts w:hint="eastAsia" w:cs="Times New Roman"/>
                <w:b/>
                <w:kern w:val="0"/>
                <w:sz w:val="24"/>
                <w:szCs w:val="24"/>
              </w:rPr>
              <w:t>数据</w:t>
            </w:r>
          </w:p>
        </w:tc>
        <w:tc>
          <w:tcPr>
            <w:tcW w:w="3531" w:type="dxa"/>
            <w:tcBorders>
              <w:top w:val="single" w:color="auto" w:sz="18" w:space="0"/>
              <w:bottom w:val="single" w:color="auto" w:sz="4" w:space="0"/>
            </w:tcBorders>
            <w:shd w:val="clear" w:color="auto" w:fill="D8D8D8" w:themeFill="background1" w:themeFillShade="D9"/>
            <w:vAlign w:val="center"/>
          </w:tcPr>
          <w:p>
            <w:pPr>
              <w:adjustRightInd w:val="0"/>
              <w:snapToGrid w:val="0"/>
              <w:spacing w:line="240" w:lineRule="auto"/>
              <w:ind w:firstLine="0" w:firstLineChars="0"/>
              <w:jc w:val="center"/>
              <w:rPr>
                <w:rFonts w:cs="Times New Roman"/>
                <w:b/>
                <w:kern w:val="0"/>
                <w:sz w:val="24"/>
                <w:szCs w:val="24"/>
              </w:rPr>
            </w:pPr>
            <w:r>
              <w:rPr>
                <w:rFonts w:hint="eastAsia" w:cs="Times New Roman"/>
                <w:b/>
                <w:kern w:val="0"/>
                <w:sz w:val="24"/>
                <w:szCs w:val="24"/>
              </w:rPr>
              <w:t>备注</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454" w:hRule="atLeast"/>
          <w:jc w:val="center"/>
        </w:trPr>
        <w:tc>
          <w:tcPr>
            <w:tcW w:w="717" w:type="dxa"/>
            <w:tcBorders>
              <w:top w:val="single" w:color="auto" w:sz="4" w:space="0"/>
              <w:righ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cs="Times New Roman"/>
                <w:kern w:val="0"/>
                <w:sz w:val="24"/>
                <w:szCs w:val="24"/>
              </w:rPr>
              <w:t>1</w:t>
            </w:r>
          </w:p>
        </w:tc>
        <w:tc>
          <w:tcPr>
            <w:tcW w:w="8343" w:type="dxa"/>
            <w:gridSpan w:val="3"/>
            <w:tcBorders>
              <w:top w:val="single" w:color="auto" w:sz="4" w:space="0"/>
              <w:lef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项目基本参数</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454" w:hRule="atLeast"/>
          <w:jc w:val="center"/>
        </w:trPr>
        <w:tc>
          <w:tcPr>
            <w:tcW w:w="717" w:type="dxa"/>
            <w:tcBorders>
              <w:righ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cs="Times New Roman"/>
                <w:kern w:val="0"/>
                <w:sz w:val="24"/>
                <w:szCs w:val="24"/>
              </w:rPr>
              <w:t>1.1</w:t>
            </w:r>
          </w:p>
        </w:tc>
        <w:tc>
          <w:tcPr>
            <w:tcW w:w="1551" w:type="dxa"/>
            <w:tcBorders>
              <w:lef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特许经营期限</w:t>
            </w:r>
          </w:p>
        </w:tc>
        <w:tc>
          <w:tcPr>
            <w:tcW w:w="3261" w:type="dxa"/>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color w:val="000000"/>
                <w:kern w:val="0"/>
                <w:sz w:val="24"/>
                <w:szCs w:val="24"/>
              </w:rPr>
              <w:t>项目合作期拟定为</w:t>
            </w:r>
            <w:r>
              <w:rPr>
                <w:rFonts w:cs="Times New Roman"/>
                <w:color w:val="000000"/>
                <w:kern w:val="0"/>
                <w:sz w:val="24"/>
                <w:szCs w:val="24"/>
              </w:rPr>
              <w:t>30</w:t>
            </w:r>
            <w:r>
              <w:rPr>
                <w:rFonts w:hint="eastAsia" w:cs="Times New Roman"/>
                <w:color w:val="000000"/>
                <w:kern w:val="0"/>
                <w:sz w:val="24"/>
                <w:szCs w:val="24"/>
              </w:rPr>
              <w:t>年</w:t>
            </w:r>
          </w:p>
        </w:tc>
        <w:tc>
          <w:tcPr>
            <w:tcW w:w="3531" w:type="dxa"/>
            <w:vAlign w:val="center"/>
          </w:tcPr>
          <w:p>
            <w:pPr>
              <w:adjustRightInd w:val="0"/>
              <w:snapToGrid w:val="0"/>
              <w:spacing w:line="240" w:lineRule="auto"/>
              <w:ind w:firstLine="0" w:firstLineChars="0"/>
              <w:rPr>
                <w:rFonts w:cs="Times New Roman"/>
                <w:kern w:val="0"/>
                <w:sz w:val="24"/>
                <w:szCs w:val="24"/>
              </w:rPr>
            </w:pPr>
            <w:r>
              <w:rPr>
                <w:rFonts w:hint="eastAsia" w:cs="Times New Roman"/>
                <w:kern w:val="0"/>
                <w:sz w:val="24"/>
                <w:szCs w:val="24"/>
              </w:rPr>
              <w:t>其中：新建项目建设期</w:t>
            </w:r>
            <w:r>
              <w:rPr>
                <w:rFonts w:cs="Times New Roman"/>
                <w:kern w:val="0"/>
                <w:sz w:val="24"/>
                <w:szCs w:val="24"/>
              </w:rPr>
              <w:t>3</w:t>
            </w:r>
            <w:r>
              <w:rPr>
                <w:rFonts w:hint="eastAsia" w:cs="Times New Roman"/>
                <w:kern w:val="0"/>
                <w:sz w:val="24"/>
                <w:szCs w:val="24"/>
              </w:rPr>
              <w:t>年，运营期</w:t>
            </w:r>
            <w:r>
              <w:rPr>
                <w:rFonts w:cs="Times New Roman"/>
                <w:kern w:val="0"/>
                <w:sz w:val="24"/>
                <w:szCs w:val="24"/>
              </w:rPr>
              <w:t>27</w:t>
            </w:r>
            <w:r>
              <w:rPr>
                <w:rFonts w:hint="eastAsia" w:cs="Times New Roman"/>
                <w:kern w:val="0"/>
                <w:sz w:val="24"/>
                <w:szCs w:val="24"/>
              </w:rPr>
              <w:t>年；存量项目运营期3</w:t>
            </w:r>
            <w:r>
              <w:rPr>
                <w:rFonts w:cs="Times New Roman"/>
                <w:kern w:val="0"/>
                <w:sz w:val="24"/>
                <w:szCs w:val="24"/>
              </w:rPr>
              <w:t>0年。</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454" w:hRule="atLeast"/>
          <w:jc w:val="center"/>
        </w:trPr>
        <w:tc>
          <w:tcPr>
            <w:tcW w:w="717" w:type="dxa"/>
            <w:tcBorders>
              <w:righ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cs="Times New Roman"/>
                <w:kern w:val="0"/>
                <w:sz w:val="24"/>
                <w:szCs w:val="24"/>
              </w:rPr>
              <w:t>1.2</w:t>
            </w:r>
          </w:p>
        </w:tc>
        <w:tc>
          <w:tcPr>
            <w:tcW w:w="1551" w:type="dxa"/>
            <w:tcBorders>
              <w:lef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资本金</w:t>
            </w:r>
          </w:p>
        </w:tc>
        <w:tc>
          <w:tcPr>
            <w:tcW w:w="3261" w:type="dxa"/>
            <w:vAlign w:val="center"/>
          </w:tcPr>
          <w:p>
            <w:pPr>
              <w:adjustRightInd w:val="0"/>
              <w:snapToGrid w:val="0"/>
              <w:spacing w:line="240" w:lineRule="auto"/>
              <w:ind w:firstLine="0" w:firstLineChars="0"/>
              <w:jc w:val="center"/>
              <w:rPr>
                <w:rFonts w:cs="Times New Roman"/>
                <w:color w:val="000000"/>
                <w:kern w:val="0"/>
                <w:sz w:val="24"/>
                <w:szCs w:val="24"/>
              </w:rPr>
            </w:pPr>
            <w:r>
              <w:rPr>
                <w:rFonts w:hint="eastAsia" w:cs="Times New Roman"/>
                <w:color w:val="000000"/>
                <w:kern w:val="0"/>
                <w:sz w:val="24"/>
                <w:szCs w:val="24"/>
              </w:rPr>
              <w:t>资本金比例不低于</w:t>
            </w:r>
            <w:r>
              <w:rPr>
                <w:rFonts w:cs="Times New Roman"/>
                <w:color w:val="000000"/>
                <w:kern w:val="0"/>
                <w:sz w:val="24"/>
                <w:szCs w:val="24"/>
              </w:rPr>
              <w:t>20%</w:t>
            </w:r>
          </w:p>
        </w:tc>
        <w:tc>
          <w:tcPr>
            <w:tcW w:w="3531" w:type="dxa"/>
            <w:vAlign w:val="center"/>
          </w:tcPr>
          <w:p>
            <w:pPr>
              <w:adjustRightInd w:val="0"/>
              <w:snapToGrid w:val="0"/>
              <w:spacing w:line="240" w:lineRule="auto"/>
              <w:ind w:firstLine="0" w:firstLineChars="0"/>
              <w:rPr>
                <w:rFonts w:cs="Times New Roman"/>
                <w:kern w:val="0"/>
                <w:sz w:val="24"/>
                <w:szCs w:val="24"/>
              </w:rPr>
            </w:pPr>
            <w:r>
              <w:rPr>
                <w:rFonts w:hint="eastAsia" w:cs="Times New Roman"/>
                <w:kern w:val="0"/>
                <w:sz w:val="24"/>
                <w:szCs w:val="24"/>
              </w:rPr>
              <w:t>《国务院关于加强固定资产投资项目资本金管理的通知》（国发〔</w:t>
            </w:r>
            <w:r>
              <w:rPr>
                <w:rFonts w:cs="Times New Roman"/>
                <w:kern w:val="0"/>
                <w:sz w:val="24"/>
                <w:szCs w:val="24"/>
              </w:rPr>
              <w:t>2019</w:t>
            </w:r>
            <w:r>
              <w:rPr>
                <w:rFonts w:hint="eastAsia" w:cs="Times New Roman"/>
                <w:kern w:val="0"/>
                <w:sz w:val="24"/>
                <w:szCs w:val="24"/>
              </w:rPr>
              <w:t>〕</w:t>
            </w:r>
            <w:r>
              <w:rPr>
                <w:rFonts w:cs="Times New Roman"/>
                <w:kern w:val="0"/>
                <w:sz w:val="24"/>
                <w:szCs w:val="24"/>
              </w:rPr>
              <w:t>26</w:t>
            </w:r>
            <w:r>
              <w:rPr>
                <w:rFonts w:hint="eastAsia" w:cs="Times New Roman"/>
                <w:kern w:val="0"/>
                <w:sz w:val="24"/>
                <w:szCs w:val="24"/>
              </w:rPr>
              <w:t>号）要求的最低比例</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454" w:hRule="atLeast"/>
          <w:jc w:val="center"/>
        </w:trPr>
        <w:tc>
          <w:tcPr>
            <w:tcW w:w="717" w:type="dxa"/>
            <w:tcBorders>
              <w:righ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cs="Times New Roman"/>
                <w:kern w:val="0"/>
                <w:sz w:val="24"/>
                <w:szCs w:val="24"/>
              </w:rPr>
              <w:t>1.3</w:t>
            </w:r>
          </w:p>
        </w:tc>
        <w:tc>
          <w:tcPr>
            <w:tcW w:w="1551" w:type="dxa"/>
            <w:tcBorders>
              <w:lef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政府方持股比例</w:t>
            </w:r>
          </w:p>
        </w:tc>
        <w:tc>
          <w:tcPr>
            <w:tcW w:w="3261" w:type="dxa"/>
            <w:vAlign w:val="center"/>
          </w:tcPr>
          <w:p>
            <w:pPr>
              <w:adjustRightInd w:val="0"/>
              <w:snapToGrid w:val="0"/>
              <w:spacing w:line="240" w:lineRule="auto"/>
              <w:ind w:firstLine="0" w:firstLineChars="0"/>
              <w:jc w:val="center"/>
              <w:rPr>
                <w:rFonts w:cs="Times New Roman"/>
                <w:color w:val="000000"/>
                <w:kern w:val="0"/>
                <w:sz w:val="24"/>
                <w:szCs w:val="24"/>
              </w:rPr>
            </w:pPr>
            <w:r>
              <w:rPr>
                <w:rFonts w:hint="eastAsia" w:cs="Times New Roman"/>
                <w:kern w:val="0"/>
                <w:sz w:val="24"/>
                <w:szCs w:val="24"/>
              </w:rPr>
              <w:t>暂定政府持股比例为：</w:t>
            </w:r>
            <w:r>
              <w:rPr>
                <w:rFonts w:cs="Times New Roman"/>
                <w:kern w:val="0"/>
                <w:sz w:val="24"/>
                <w:szCs w:val="24"/>
              </w:rPr>
              <w:t>0.00%</w:t>
            </w:r>
          </w:p>
        </w:tc>
        <w:tc>
          <w:tcPr>
            <w:tcW w:w="3531" w:type="dxa"/>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政府</w:t>
            </w:r>
            <w:r>
              <w:rPr>
                <w:rFonts w:cs="Times New Roman"/>
                <w:kern w:val="0"/>
                <w:sz w:val="24"/>
                <w:szCs w:val="24"/>
              </w:rPr>
              <w:t>方在项目公司不占股权</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454" w:hRule="atLeast"/>
          <w:jc w:val="center"/>
        </w:trPr>
        <w:tc>
          <w:tcPr>
            <w:tcW w:w="717" w:type="dxa"/>
            <w:tcBorders>
              <w:righ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cs="Times New Roman"/>
                <w:kern w:val="0"/>
                <w:sz w:val="24"/>
                <w:szCs w:val="24"/>
              </w:rPr>
              <w:t>1.4</w:t>
            </w:r>
          </w:p>
        </w:tc>
        <w:tc>
          <w:tcPr>
            <w:tcW w:w="1551" w:type="dxa"/>
            <w:tcBorders>
              <w:lef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融资利率</w:t>
            </w:r>
          </w:p>
        </w:tc>
        <w:tc>
          <w:tcPr>
            <w:tcW w:w="3261" w:type="dxa"/>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贷款利率拟定为：</w:t>
            </w:r>
            <w:r>
              <w:rPr>
                <w:rFonts w:cs="Times New Roman"/>
                <w:kern w:val="0"/>
                <w:sz w:val="24"/>
                <w:szCs w:val="24"/>
              </w:rPr>
              <w:t>3.8%</w:t>
            </w:r>
          </w:p>
        </w:tc>
        <w:tc>
          <w:tcPr>
            <w:tcW w:w="3531" w:type="dxa"/>
            <w:vAlign w:val="center"/>
          </w:tcPr>
          <w:p>
            <w:pPr>
              <w:adjustRightInd w:val="0"/>
              <w:snapToGrid w:val="0"/>
              <w:spacing w:line="240" w:lineRule="auto"/>
              <w:ind w:firstLine="0" w:firstLineChars="0"/>
              <w:rPr>
                <w:rFonts w:cs="Times New Roman"/>
                <w:kern w:val="0"/>
                <w:sz w:val="24"/>
                <w:szCs w:val="24"/>
              </w:rPr>
            </w:pPr>
            <w:r>
              <w:rPr>
                <w:rFonts w:hint="eastAsia" w:cs="Times New Roman"/>
                <w:kern w:val="0"/>
                <w:sz w:val="24"/>
                <w:szCs w:val="24"/>
              </w:rPr>
              <w:t>当前五年期及以上人民币贷款市场报价利率（</w:t>
            </w:r>
            <w:r>
              <w:rPr>
                <w:rFonts w:cs="Times New Roman"/>
                <w:kern w:val="0"/>
                <w:sz w:val="24"/>
                <w:szCs w:val="24"/>
              </w:rPr>
              <w:t>LPR</w:t>
            </w:r>
            <w:r>
              <w:rPr>
                <w:rFonts w:hint="eastAsia" w:cs="Times New Roman"/>
                <w:kern w:val="0"/>
                <w:sz w:val="24"/>
                <w:szCs w:val="24"/>
              </w:rPr>
              <w:t>）下降4</w:t>
            </w:r>
            <w:r>
              <w:rPr>
                <w:rFonts w:cs="Times New Roman"/>
                <w:kern w:val="0"/>
                <w:sz w:val="24"/>
                <w:szCs w:val="24"/>
              </w:rPr>
              <w:t>0BP。</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660" w:hRule="atLeast"/>
          <w:jc w:val="center"/>
        </w:trPr>
        <w:tc>
          <w:tcPr>
            <w:tcW w:w="717" w:type="dxa"/>
            <w:tcBorders>
              <w:righ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cs="Times New Roman"/>
                <w:kern w:val="0"/>
                <w:sz w:val="24"/>
                <w:szCs w:val="24"/>
              </w:rPr>
              <w:t>1.5</w:t>
            </w:r>
          </w:p>
        </w:tc>
        <w:tc>
          <w:tcPr>
            <w:tcW w:w="1551" w:type="dxa"/>
            <w:tcBorders>
              <w:lef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项目总投资</w:t>
            </w:r>
          </w:p>
        </w:tc>
        <w:tc>
          <w:tcPr>
            <w:tcW w:w="3261" w:type="dxa"/>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工程估算总投资：</w:t>
            </w:r>
            <w:r>
              <w:rPr>
                <w:rFonts w:cs="Times New Roman"/>
                <w:sz w:val="24"/>
                <w:szCs w:val="24"/>
              </w:rPr>
              <w:t>104,789.30</w:t>
            </w:r>
            <w:r>
              <w:rPr>
                <w:rFonts w:hint="eastAsia" w:cs="Times New Roman"/>
                <w:kern w:val="0"/>
                <w:sz w:val="24"/>
                <w:szCs w:val="24"/>
              </w:rPr>
              <w:t>万元</w:t>
            </w:r>
          </w:p>
        </w:tc>
        <w:tc>
          <w:tcPr>
            <w:tcW w:w="3531" w:type="dxa"/>
            <w:vAlign w:val="center"/>
          </w:tcPr>
          <w:p>
            <w:pPr>
              <w:adjustRightInd w:val="0"/>
              <w:snapToGrid w:val="0"/>
              <w:spacing w:line="240" w:lineRule="auto"/>
              <w:ind w:firstLine="0" w:firstLineChars="0"/>
              <w:rPr>
                <w:rFonts w:cs="Times New Roman"/>
                <w:kern w:val="0"/>
                <w:sz w:val="24"/>
                <w:szCs w:val="24"/>
              </w:rPr>
            </w:pPr>
            <w:r>
              <w:rPr>
                <w:rFonts w:hint="eastAsia" w:cs="Times New Roman"/>
                <w:kern w:val="0"/>
                <w:sz w:val="24"/>
                <w:szCs w:val="24"/>
              </w:rPr>
              <w:t>选取项目可研批复数据</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298" w:hRule="atLeast"/>
          <w:jc w:val="center"/>
        </w:trPr>
        <w:tc>
          <w:tcPr>
            <w:tcW w:w="717" w:type="dxa"/>
            <w:tcBorders>
              <w:bottom w:val="dotted" w:color="auto" w:sz="4" w:space="0"/>
              <w:righ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cs="Times New Roman"/>
                <w:kern w:val="0"/>
                <w:sz w:val="24"/>
                <w:szCs w:val="24"/>
              </w:rPr>
              <w:t>1.6</w:t>
            </w:r>
          </w:p>
        </w:tc>
        <w:tc>
          <w:tcPr>
            <w:tcW w:w="1551" w:type="dxa"/>
            <w:tcBorders>
              <w:left w:val="single" w:color="auto" w:sz="4" w:space="0"/>
              <w:bottom w:val="dotted"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投资建设进度</w:t>
            </w:r>
          </w:p>
        </w:tc>
        <w:tc>
          <w:tcPr>
            <w:tcW w:w="3261" w:type="dxa"/>
            <w:tcBorders>
              <w:bottom w:val="dotted"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建设期投入：第一年</w:t>
            </w:r>
            <w:r>
              <w:rPr>
                <w:rFonts w:cs="Times New Roman"/>
                <w:kern w:val="0"/>
                <w:sz w:val="24"/>
                <w:szCs w:val="24"/>
              </w:rPr>
              <w:t>投资58,228万元；第二年投资</w:t>
            </w:r>
            <w:r>
              <w:rPr>
                <w:rFonts w:hint="eastAsia" w:cs="Times New Roman"/>
                <w:kern w:val="0"/>
                <w:sz w:val="24"/>
                <w:szCs w:val="24"/>
              </w:rPr>
              <w:t>4</w:t>
            </w:r>
            <w:r>
              <w:rPr>
                <w:rFonts w:cs="Times New Roman"/>
                <w:kern w:val="0"/>
                <w:sz w:val="24"/>
                <w:szCs w:val="24"/>
              </w:rPr>
              <w:t>0731万元；第三年投资</w:t>
            </w:r>
            <w:r>
              <w:rPr>
                <w:rFonts w:hint="eastAsia" w:cs="Times New Roman"/>
                <w:kern w:val="0"/>
                <w:sz w:val="24"/>
                <w:szCs w:val="24"/>
              </w:rPr>
              <w:t>58</w:t>
            </w:r>
            <w:r>
              <w:rPr>
                <w:rFonts w:cs="Times New Roman"/>
                <w:kern w:val="0"/>
                <w:sz w:val="24"/>
                <w:szCs w:val="24"/>
              </w:rPr>
              <w:t>30万元。</w:t>
            </w:r>
          </w:p>
        </w:tc>
        <w:tc>
          <w:tcPr>
            <w:tcW w:w="3531" w:type="dxa"/>
            <w:tcBorders>
              <w:bottom w:val="dotted" w:color="auto" w:sz="4" w:space="0"/>
            </w:tcBorders>
            <w:vAlign w:val="center"/>
          </w:tcPr>
          <w:p>
            <w:pPr>
              <w:adjustRightInd w:val="0"/>
              <w:snapToGrid w:val="0"/>
              <w:spacing w:line="240" w:lineRule="auto"/>
              <w:ind w:firstLine="0" w:firstLineChars="0"/>
              <w:rPr>
                <w:rFonts w:cs="Times New Roman"/>
                <w:kern w:val="0"/>
                <w:sz w:val="24"/>
                <w:szCs w:val="24"/>
              </w:rPr>
            </w:pPr>
            <w:r>
              <w:rPr>
                <w:rFonts w:hint="eastAsia" w:cs="Times New Roman"/>
                <w:kern w:val="0"/>
                <w:sz w:val="24"/>
                <w:szCs w:val="24"/>
              </w:rPr>
              <w:t>建设期内根据建设内容和工程量投入，具体建设进度要经过政府同意后方可实施。</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454" w:hRule="atLeast"/>
          <w:jc w:val="center"/>
        </w:trPr>
        <w:tc>
          <w:tcPr>
            <w:tcW w:w="717" w:type="dxa"/>
            <w:tcBorders>
              <w:top w:val="dotted"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cs="Times New Roman"/>
                <w:kern w:val="0"/>
                <w:sz w:val="24"/>
                <w:szCs w:val="24"/>
              </w:rPr>
              <w:t>……</w:t>
            </w:r>
          </w:p>
        </w:tc>
        <w:tc>
          <w:tcPr>
            <w:tcW w:w="1551" w:type="dxa"/>
            <w:tcBorders>
              <w:top w:val="dotted" w:color="auto" w:sz="4" w:space="0"/>
              <w:left w:val="single" w:color="auto" w:sz="4" w:space="0"/>
              <w:bottom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p>
        </w:tc>
        <w:tc>
          <w:tcPr>
            <w:tcW w:w="3261" w:type="dxa"/>
            <w:tcBorders>
              <w:top w:val="dotted" w:color="auto" w:sz="4" w:space="0"/>
              <w:bottom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p>
        </w:tc>
        <w:tc>
          <w:tcPr>
            <w:tcW w:w="3531" w:type="dxa"/>
            <w:tcBorders>
              <w:top w:val="dotted" w:color="auto" w:sz="4" w:space="0"/>
              <w:bottom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454" w:hRule="atLeast"/>
          <w:jc w:val="center"/>
        </w:trPr>
        <w:tc>
          <w:tcPr>
            <w:tcW w:w="717" w:type="dxa"/>
            <w:tcBorders>
              <w:top w:val="single" w:color="auto" w:sz="4" w:space="0"/>
              <w:righ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cs="Times New Roman"/>
                <w:kern w:val="0"/>
                <w:sz w:val="24"/>
                <w:szCs w:val="24"/>
              </w:rPr>
              <w:t>2</w:t>
            </w:r>
          </w:p>
        </w:tc>
        <w:tc>
          <w:tcPr>
            <w:tcW w:w="8343" w:type="dxa"/>
            <w:gridSpan w:val="3"/>
            <w:tcBorders>
              <w:top w:val="single" w:color="auto" w:sz="4" w:space="0"/>
              <w:lef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成本参数</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637" w:hRule="atLeast"/>
          <w:jc w:val="center"/>
        </w:trPr>
        <w:tc>
          <w:tcPr>
            <w:tcW w:w="717" w:type="dxa"/>
            <w:tcBorders>
              <w:righ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cs="Times New Roman"/>
                <w:kern w:val="0"/>
                <w:sz w:val="24"/>
                <w:szCs w:val="24"/>
              </w:rPr>
              <w:t>2.1</w:t>
            </w:r>
          </w:p>
        </w:tc>
        <w:tc>
          <w:tcPr>
            <w:tcW w:w="1551" w:type="dxa"/>
            <w:tcBorders>
              <w:lef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运营成本</w:t>
            </w:r>
          </w:p>
        </w:tc>
        <w:tc>
          <w:tcPr>
            <w:tcW w:w="3261" w:type="dxa"/>
            <w:vAlign w:val="center"/>
          </w:tcPr>
          <w:p>
            <w:pPr>
              <w:adjustRightInd w:val="0"/>
              <w:snapToGrid w:val="0"/>
              <w:spacing w:line="240" w:lineRule="auto"/>
              <w:ind w:firstLine="0" w:firstLineChars="0"/>
              <w:jc w:val="left"/>
              <w:rPr>
                <w:rFonts w:cs="Times New Roman"/>
                <w:kern w:val="0"/>
                <w:sz w:val="24"/>
                <w:szCs w:val="24"/>
              </w:rPr>
            </w:pPr>
            <w:r>
              <w:rPr>
                <w:rFonts w:cs="Times New Roman"/>
                <w:kern w:val="0"/>
                <w:sz w:val="24"/>
                <w:szCs w:val="24"/>
              </w:rPr>
              <w:t>新建项目：年运营成本1,205.50 万元，（质保期结束）；</w:t>
            </w:r>
          </w:p>
          <w:p>
            <w:pPr>
              <w:adjustRightInd w:val="0"/>
              <w:snapToGrid w:val="0"/>
              <w:spacing w:line="240" w:lineRule="auto"/>
              <w:ind w:firstLine="0" w:firstLineChars="0"/>
              <w:jc w:val="left"/>
              <w:rPr>
                <w:rFonts w:cs="Times New Roman"/>
                <w:kern w:val="0"/>
                <w:sz w:val="24"/>
                <w:szCs w:val="24"/>
              </w:rPr>
            </w:pPr>
            <w:r>
              <w:rPr>
                <w:rFonts w:hint="eastAsia" w:cs="Times New Roman"/>
                <w:kern w:val="0"/>
                <w:sz w:val="24"/>
                <w:szCs w:val="24"/>
              </w:rPr>
              <w:t>存量项目：</w:t>
            </w:r>
            <w:r>
              <w:rPr>
                <w:rFonts w:cs="Times New Roman"/>
                <w:kern w:val="0"/>
                <w:sz w:val="24"/>
                <w:szCs w:val="24"/>
              </w:rPr>
              <w:t>年运营成本2,212.96 万元。</w:t>
            </w:r>
          </w:p>
          <w:p>
            <w:pPr>
              <w:adjustRightInd w:val="0"/>
              <w:snapToGrid w:val="0"/>
              <w:spacing w:line="240" w:lineRule="auto"/>
              <w:ind w:firstLine="0" w:firstLineChars="0"/>
              <w:jc w:val="left"/>
              <w:rPr>
                <w:rFonts w:cs="Times New Roman"/>
                <w:kern w:val="0"/>
                <w:sz w:val="24"/>
                <w:szCs w:val="24"/>
              </w:rPr>
            </w:pPr>
            <w:r>
              <w:rPr>
                <w:rFonts w:cs="Times New Roman"/>
                <w:kern w:val="0"/>
                <w:sz w:val="24"/>
                <w:szCs w:val="24"/>
              </w:rPr>
              <w:t>原水费：年均70,688.59万元</w:t>
            </w:r>
          </w:p>
        </w:tc>
        <w:tc>
          <w:tcPr>
            <w:tcW w:w="3531" w:type="dxa"/>
            <w:vAlign w:val="center"/>
          </w:tcPr>
          <w:p>
            <w:pPr>
              <w:numPr>
                <w:ilvl w:val="0"/>
                <w:numId w:val="1"/>
              </w:numPr>
              <w:adjustRightInd w:val="0"/>
              <w:snapToGrid w:val="0"/>
              <w:spacing w:line="240" w:lineRule="auto"/>
              <w:ind w:firstLineChars="0"/>
              <w:rPr>
                <w:rFonts w:cs="Times New Roman"/>
                <w:kern w:val="0"/>
                <w:sz w:val="24"/>
                <w:szCs w:val="24"/>
              </w:rPr>
            </w:pPr>
            <w:r>
              <w:rPr>
                <w:rFonts w:hint="eastAsia" w:cs="Times New Roman"/>
                <w:kern w:val="0"/>
                <w:sz w:val="24"/>
                <w:szCs w:val="24"/>
              </w:rPr>
              <w:t>具体计算详见</w:t>
            </w:r>
            <w:r>
              <w:rPr>
                <w:rFonts w:cs="Times New Roman"/>
                <w:kern w:val="0"/>
                <w:sz w:val="24"/>
                <w:szCs w:val="24"/>
              </w:rPr>
              <w:t>“</w:t>
            </w:r>
            <w:r>
              <w:rPr>
                <w:rFonts w:hint="eastAsia" w:cs="Times New Roman"/>
                <w:kern w:val="0"/>
                <w:sz w:val="24"/>
                <w:szCs w:val="24"/>
              </w:rPr>
              <w:t>本章三、运营成本测算</w:t>
            </w:r>
            <w:r>
              <w:rPr>
                <w:rFonts w:cs="Times New Roman"/>
                <w:kern w:val="0"/>
                <w:sz w:val="24"/>
                <w:szCs w:val="24"/>
              </w:rPr>
              <w:t>”</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454" w:hRule="atLeast"/>
          <w:jc w:val="center"/>
        </w:trPr>
        <w:tc>
          <w:tcPr>
            <w:tcW w:w="717" w:type="dxa"/>
            <w:tcBorders>
              <w:bottom w:val="dotted" w:color="auto" w:sz="4" w:space="0"/>
              <w:righ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cs="Times New Roman"/>
                <w:kern w:val="0"/>
                <w:sz w:val="24"/>
                <w:szCs w:val="24"/>
              </w:rPr>
              <w:t>2.2</w:t>
            </w:r>
          </w:p>
        </w:tc>
        <w:tc>
          <w:tcPr>
            <w:tcW w:w="1551" w:type="dxa"/>
            <w:tcBorders>
              <w:left w:val="single" w:color="auto" w:sz="4" w:space="0"/>
              <w:bottom w:val="dotted"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折旧摊销</w:t>
            </w:r>
          </w:p>
        </w:tc>
        <w:tc>
          <w:tcPr>
            <w:tcW w:w="3261" w:type="dxa"/>
            <w:tcBorders>
              <w:bottom w:val="dotted" w:color="auto" w:sz="4" w:space="0"/>
            </w:tcBorders>
            <w:vAlign w:val="center"/>
          </w:tcPr>
          <w:p>
            <w:pPr>
              <w:numPr>
                <w:ilvl w:val="0"/>
                <w:numId w:val="2"/>
              </w:numPr>
              <w:adjustRightInd w:val="0"/>
              <w:snapToGrid w:val="0"/>
              <w:spacing w:line="240" w:lineRule="auto"/>
              <w:ind w:firstLineChars="0"/>
              <w:jc w:val="left"/>
              <w:rPr>
                <w:rFonts w:cs="Times New Roman"/>
                <w:kern w:val="0"/>
                <w:sz w:val="24"/>
                <w:szCs w:val="24"/>
              </w:rPr>
            </w:pPr>
            <w:r>
              <w:rPr>
                <w:rFonts w:hint="eastAsia" w:cs="Times New Roman"/>
                <w:kern w:val="0"/>
                <w:sz w:val="24"/>
                <w:szCs w:val="24"/>
              </w:rPr>
              <w:t>本项目将新增项目总投资（扣除可抵扣的进项税额）计为无形资产进行摊销</w:t>
            </w:r>
          </w:p>
          <w:p>
            <w:pPr>
              <w:numPr>
                <w:ilvl w:val="0"/>
                <w:numId w:val="2"/>
              </w:numPr>
              <w:adjustRightInd w:val="0"/>
              <w:snapToGrid w:val="0"/>
              <w:spacing w:line="240" w:lineRule="auto"/>
              <w:ind w:firstLineChars="0"/>
              <w:jc w:val="left"/>
              <w:rPr>
                <w:rFonts w:cs="Times New Roman"/>
                <w:kern w:val="0"/>
                <w:sz w:val="24"/>
                <w:szCs w:val="24"/>
              </w:rPr>
            </w:pPr>
            <w:r>
              <w:rPr>
                <w:rFonts w:hint="eastAsia" w:cs="Times New Roman"/>
                <w:kern w:val="0"/>
                <w:sz w:val="24"/>
                <w:szCs w:val="24"/>
              </w:rPr>
              <w:t>摊销采用平均年限摊销法，残值为</w:t>
            </w:r>
            <w:r>
              <w:rPr>
                <w:rFonts w:cs="Times New Roman"/>
                <w:kern w:val="0"/>
                <w:sz w:val="24"/>
                <w:szCs w:val="24"/>
              </w:rPr>
              <w:t>0</w:t>
            </w:r>
            <w:r>
              <w:rPr>
                <w:rFonts w:hint="eastAsia" w:cs="Times New Roman"/>
                <w:kern w:val="0"/>
                <w:sz w:val="24"/>
                <w:szCs w:val="24"/>
              </w:rPr>
              <w:t>，摊销年限为运营期</w:t>
            </w:r>
            <w:r>
              <w:rPr>
                <w:rFonts w:cs="Times New Roman"/>
                <w:kern w:val="0"/>
                <w:sz w:val="24"/>
                <w:szCs w:val="24"/>
              </w:rPr>
              <w:t>27</w:t>
            </w:r>
            <w:r>
              <w:rPr>
                <w:rFonts w:hint="eastAsia" w:cs="Times New Roman"/>
                <w:kern w:val="0"/>
                <w:sz w:val="24"/>
                <w:szCs w:val="24"/>
              </w:rPr>
              <w:t>年</w:t>
            </w:r>
          </w:p>
        </w:tc>
        <w:tc>
          <w:tcPr>
            <w:tcW w:w="3531" w:type="dxa"/>
            <w:tcBorders>
              <w:bottom w:val="dotted" w:color="auto" w:sz="4" w:space="0"/>
            </w:tcBorders>
            <w:vAlign w:val="center"/>
          </w:tcPr>
          <w:p>
            <w:pPr>
              <w:adjustRightInd w:val="0"/>
              <w:snapToGrid w:val="0"/>
              <w:spacing w:line="240" w:lineRule="auto"/>
              <w:ind w:firstLine="0" w:firstLineChars="0"/>
              <w:rPr>
                <w:rFonts w:cs="Times New Roman"/>
                <w:kern w:val="0"/>
                <w:sz w:val="24"/>
                <w:szCs w:val="24"/>
              </w:rPr>
            </w:pPr>
            <w:r>
              <w:rPr>
                <w:rFonts w:hint="eastAsia" w:cs="Times New Roman"/>
                <w:kern w:val="0"/>
                <w:sz w:val="24"/>
                <w:szCs w:val="24"/>
              </w:rPr>
              <w:t>工程折旧年限标准：</w:t>
            </w:r>
          </w:p>
          <w:p>
            <w:pPr>
              <w:numPr>
                <w:ilvl w:val="0"/>
                <w:numId w:val="1"/>
              </w:numPr>
              <w:adjustRightInd w:val="0"/>
              <w:snapToGrid w:val="0"/>
              <w:spacing w:line="240" w:lineRule="auto"/>
              <w:ind w:firstLineChars="0"/>
              <w:rPr>
                <w:rFonts w:cs="Times New Roman"/>
                <w:kern w:val="0"/>
                <w:sz w:val="24"/>
                <w:szCs w:val="24"/>
              </w:rPr>
            </w:pPr>
            <w:r>
              <w:rPr>
                <w:rFonts w:hint="eastAsia" w:cs="Times New Roman"/>
                <w:kern w:val="0"/>
                <w:sz w:val="24"/>
                <w:szCs w:val="24"/>
              </w:rPr>
              <w:t>水工部分，土建部分</w:t>
            </w:r>
            <w:r>
              <w:rPr>
                <w:rFonts w:cs="Times New Roman"/>
                <w:kern w:val="0"/>
                <w:sz w:val="24"/>
                <w:szCs w:val="24"/>
              </w:rPr>
              <w:t>35</w:t>
            </w:r>
            <w:r>
              <w:rPr>
                <w:rFonts w:hint="eastAsia" w:cs="Times New Roman"/>
                <w:kern w:val="0"/>
                <w:sz w:val="24"/>
                <w:szCs w:val="24"/>
              </w:rPr>
              <w:t>年；水源连通管、干管、支管部分</w:t>
            </w:r>
            <w:r>
              <w:rPr>
                <w:rFonts w:cs="Times New Roman"/>
                <w:kern w:val="0"/>
                <w:sz w:val="24"/>
                <w:szCs w:val="24"/>
              </w:rPr>
              <w:t>25</w:t>
            </w:r>
            <w:r>
              <w:rPr>
                <w:rFonts w:hint="eastAsia" w:cs="Times New Roman"/>
                <w:kern w:val="0"/>
                <w:sz w:val="24"/>
                <w:szCs w:val="24"/>
              </w:rPr>
              <w:t>年；</w:t>
            </w:r>
          </w:p>
          <w:p>
            <w:pPr>
              <w:numPr>
                <w:ilvl w:val="0"/>
                <w:numId w:val="1"/>
              </w:numPr>
              <w:adjustRightInd w:val="0"/>
              <w:snapToGrid w:val="0"/>
              <w:spacing w:line="240" w:lineRule="auto"/>
              <w:ind w:firstLineChars="0"/>
              <w:rPr>
                <w:rFonts w:cs="Times New Roman"/>
                <w:kern w:val="0"/>
                <w:sz w:val="24"/>
                <w:szCs w:val="24"/>
              </w:rPr>
            </w:pPr>
            <w:r>
              <w:rPr>
                <w:rFonts w:hint="eastAsia" w:cs="Times New Roman"/>
                <w:kern w:val="0"/>
                <w:sz w:val="24"/>
                <w:szCs w:val="24"/>
              </w:rPr>
              <w:t>田间管道使用寿命设计</w:t>
            </w:r>
            <w:r>
              <w:rPr>
                <w:rFonts w:cs="Times New Roman"/>
                <w:kern w:val="0"/>
                <w:sz w:val="24"/>
                <w:szCs w:val="24"/>
              </w:rPr>
              <w:t>20</w:t>
            </w:r>
            <w:r>
              <w:rPr>
                <w:rFonts w:hint="eastAsia" w:cs="Times New Roman"/>
                <w:kern w:val="0"/>
                <w:sz w:val="24"/>
                <w:szCs w:val="24"/>
              </w:rPr>
              <w:t>年；</w:t>
            </w:r>
          </w:p>
          <w:p>
            <w:pPr>
              <w:numPr>
                <w:ilvl w:val="0"/>
                <w:numId w:val="1"/>
              </w:numPr>
              <w:adjustRightInd w:val="0"/>
              <w:snapToGrid w:val="0"/>
              <w:spacing w:line="240" w:lineRule="auto"/>
              <w:ind w:firstLineChars="0"/>
              <w:rPr>
                <w:rFonts w:cs="Times New Roman"/>
                <w:kern w:val="0"/>
                <w:sz w:val="24"/>
                <w:szCs w:val="24"/>
              </w:rPr>
            </w:pPr>
            <w:r>
              <w:rPr>
                <w:rFonts w:hint="eastAsia" w:cs="Times New Roman"/>
                <w:kern w:val="0"/>
                <w:sz w:val="24"/>
                <w:szCs w:val="24"/>
              </w:rPr>
              <w:t>机电及供电部分</w:t>
            </w:r>
            <w:r>
              <w:rPr>
                <w:rFonts w:cs="Times New Roman"/>
                <w:kern w:val="0"/>
                <w:sz w:val="24"/>
                <w:szCs w:val="24"/>
              </w:rPr>
              <w:t>20</w:t>
            </w:r>
            <w:r>
              <w:rPr>
                <w:rFonts w:hint="eastAsia" w:cs="Times New Roman"/>
                <w:kern w:val="0"/>
                <w:sz w:val="24"/>
                <w:szCs w:val="24"/>
              </w:rPr>
              <w:t>年；自动化及信息化部分</w:t>
            </w:r>
            <w:r>
              <w:rPr>
                <w:rFonts w:cs="Times New Roman"/>
                <w:kern w:val="0"/>
                <w:sz w:val="24"/>
                <w:szCs w:val="24"/>
              </w:rPr>
              <w:t>10</w:t>
            </w:r>
            <w:r>
              <w:rPr>
                <w:rFonts w:hint="eastAsia" w:cs="Times New Roman"/>
                <w:kern w:val="0"/>
                <w:sz w:val="24"/>
                <w:szCs w:val="24"/>
              </w:rPr>
              <w:t>年</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454" w:hRule="atLeast"/>
          <w:jc w:val="center"/>
        </w:trPr>
        <w:tc>
          <w:tcPr>
            <w:tcW w:w="717" w:type="dxa"/>
            <w:tcBorders>
              <w:top w:val="single" w:color="auto" w:sz="4" w:space="0"/>
              <w:righ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cs="Times New Roman"/>
                <w:kern w:val="0"/>
                <w:sz w:val="24"/>
                <w:szCs w:val="24"/>
              </w:rPr>
              <w:t>3</w:t>
            </w:r>
          </w:p>
        </w:tc>
        <w:tc>
          <w:tcPr>
            <w:tcW w:w="8343" w:type="dxa"/>
            <w:gridSpan w:val="3"/>
            <w:tcBorders>
              <w:top w:val="single" w:color="auto" w:sz="4" w:space="0"/>
              <w:lef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收入测算参数</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1013" w:hRule="atLeast"/>
          <w:jc w:val="center"/>
        </w:trPr>
        <w:tc>
          <w:tcPr>
            <w:tcW w:w="717" w:type="dxa"/>
            <w:tcBorders>
              <w:righ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cs="Times New Roman"/>
                <w:kern w:val="0"/>
                <w:sz w:val="24"/>
                <w:szCs w:val="24"/>
              </w:rPr>
              <w:t>3.1</w:t>
            </w:r>
          </w:p>
        </w:tc>
        <w:tc>
          <w:tcPr>
            <w:tcW w:w="1551" w:type="dxa"/>
            <w:tcBorders>
              <w:lef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cs="Times New Roman"/>
                <w:kern w:val="0"/>
                <w:sz w:val="24"/>
                <w:szCs w:val="24"/>
              </w:rPr>
              <w:t>2024</w:t>
            </w:r>
            <w:r>
              <w:rPr>
                <w:rFonts w:hint="eastAsia" w:cs="Times New Roman"/>
                <w:kern w:val="0"/>
                <w:sz w:val="24"/>
                <w:szCs w:val="24"/>
              </w:rPr>
              <w:t>水平年灌区用户端需水量</w:t>
            </w:r>
          </w:p>
        </w:tc>
        <w:tc>
          <w:tcPr>
            <w:tcW w:w="3261" w:type="dxa"/>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暂定亩均年需水量为</w:t>
            </w:r>
            <w:r>
              <w:rPr>
                <w:rFonts w:cs="Times New Roman"/>
                <w:kern w:val="0"/>
                <w:sz w:val="24"/>
                <w:szCs w:val="24"/>
              </w:rPr>
              <w:t xml:space="preserve">200m³ </w:t>
            </w:r>
          </w:p>
        </w:tc>
        <w:tc>
          <w:tcPr>
            <w:tcW w:w="3531" w:type="dxa"/>
            <w:vAlign w:val="center"/>
          </w:tcPr>
          <w:p>
            <w:pPr>
              <w:adjustRightInd w:val="0"/>
              <w:snapToGrid w:val="0"/>
              <w:spacing w:line="240" w:lineRule="auto"/>
              <w:ind w:firstLine="0" w:firstLineChars="0"/>
              <w:jc w:val="left"/>
              <w:rPr>
                <w:rFonts w:cs="Times New Roman"/>
                <w:kern w:val="0"/>
                <w:sz w:val="24"/>
                <w:szCs w:val="24"/>
              </w:rPr>
            </w:pPr>
            <w:r>
              <w:rPr>
                <w:rFonts w:cs="Times New Roman"/>
                <w:kern w:val="0"/>
                <w:sz w:val="24"/>
                <w:szCs w:val="24"/>
              </w:rPr>
              <w:t>参考</w:t>
            </w:r>
            <w:r>
              <w:rPr>
                <w:rFonts w:hint="eastAsia" w:cs="Times New Roman"/>
                <w:kern w:val="0"/>
                <w:sz w:val="24"/>
                <w:szCs w:val="24"/>
              </w:rPr>
              <w:t>可研报告数据，并实地调研所得。</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871" w:hRule="atLeast"/>
          <w:jc w:val="center"/>
        </w:trPr>
        <w:tc>
          <w:tcPr>
            <w:tcW w:w="717" w:type="dxa"/>
            <w:tcBorders>
              <w:right w:val="single" w:color="auto" w:sz="4" w:space="0"/>
            </w:tcBorders>
            <w:vAlign w:val="center"/>
          </w:tcPr>
          <w:p>
            <w:pPr>
              <w:adjustRightInd w:val="0"/>
              <w:snapToGrid w:val="0"/>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3.2</w:t>
            </w:r>
          </w:p>
        </w:tc>
        <w:tc>
          <w:tcPr>
            <w:tcW w:w="1551" w:type="dxa"/>
            <w:tcBorders>
              <w:left w:val="single" w:color="auto" w:sz="4" w:space="0"/>
            </w:tcBorders>
            <w:vAlign w:val="center"/>
          </w:tcPr>
          <w:p>
            <w:pPr>
              <w:adjustRightInd w:val="0"/>
              <w:snapToGrid w:val="0"/>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现状执行水价</w:t>
            </w:r>
          </w:p>
        </w:tc>
        <w:tc>
          <w:tcPr>
            <w:tcW w:w="3261" w:type="dxa"/>
            <w:vAlign w:val="center"/>
          </w:tcPr>
          <w:p>
            <w:pPr>
              <w:adjustRightInd w:val="0"/>
              <w:snapToGrid w:val="0"/>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农业灌溉用水：</w:t>
            </w:r>
            <w:r>
              <w:rPr>
                <w:rFonts w:hint="eastAsia" w:cs="Times New Roman"/>
                <w:color w:val="000000" w:themeColor="text1"/>
                <w:kern w:val="0"/>
                <w:sz w:val="24"/>
                <w:szCs w:val="24"/>
                <w14:textFill>
                  <w14:solidFill>
                    <w14:schemeClr w14:val="tx1"/>
                  </w14:solidFill>
                </w14:textFill>
              </w:rPr>
              <w:t>0</w:t>
            </w:r>
            <w:r>
              <w:rPr>
                <w:rFonts w:cs="Times New Roman"/>
                <w:color w:val="000000" w:themeColor="text1"/>
                <w:kern w:val="0"/>
                <w:sz w:val="24"/>
                <w:szCs w:val="24"/>
                <w14:textFill>
                  <w14:solidFill>
                    <w14:schemeClr w14:val="tx1"/>
                  </w14:solidFill>
                </w14:textFill>
              </w:rPr>
              <w:t>.6元</w:t>
            </w:r>
            <w:r>
              <w:rPr>
                <w:rFonts w:hint="eastAsia" w:cs="Times New Roman"/>
                <w:color w:val="000000" w:themeColor="text1"/>
                <w:kern w:val="0"/>
                <w:sz w:val="24"/>
                <w:szCs w:val="24"/>
                <w14:textFill>
                  <w14:solidFill>
                    <w14:schemeClr w14:val="tx1"/>
                  </w14:solidFill>
                </w14:textFill>
              </w:rPr>
              <w:t>/</w:t>
            </w:r>
            <w:r>
              <w:rPr>
                <w:rFonts w:cs="Times New Roman"/>
                <w:color w:val="000000" w:themeColor="text1"/>
                <w:kern w:val="0"/>
                <w:sz w:val="24"/>
                <w:szCs w:val="24"/>
                <w14:textFill>
                  <w14:solidFill>
                    <w14:schemeClr w14:val="tx1"/>
                  </w14:solidFill>
                </w14:textFill>
              </w:rPr>
              <w:t xml:space="preserve"> m³</w:t>
            </w:r>
          </w:p>
        </w:tc>
        <w:tc>
          <w:tcPr>
            <w:tcW w:w="3531" w:type="dxa"/>
            <w:vAlign w:val="center"/>
          </w:tcPr>
          <w:p>
            <w:pPr>
              <w:adjustRightInd w:val="0"/>
              <w:snapToGrid w:val="0"/>
              <w:spacing w:line="240" w:lineRule="auto"/>
              <w:ind w:firstLine="0" w:firstLineChars="0"/>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选取可研数据</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871" w:hRule="atLeast"/>
          <w:jc w:val="center"/>
        </w:trPr>
        <w:tc>
          <w:tcPr>
            <w:tcW w:w="717" w:type="dxa"/>
            <w:tcBorders>
              <w:right w:val="single" w:color="auto" w:sz="4" w:space="0"/>
            </w:tcBorders>
            <w:vAlign w:val="center"/>
          </w:tcPr>
          <w:p>
            <w:pPr>
              <w:adjustRightInd w:val="0"/>
              <w:snapToGrid w:val="0"/>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3</w:t>
            </w:r>
            <w:r>
              <w:rPr>
                <w:rFonts w:cs="Times New Roman"/>
                <w:color w:val="000000" w:themeColor="text1"/>
                <w:kern w:val="0"/>
                <w:sz w:val="24"/>
                <w:szCs w:val="24"/>
                <w14:textFill>
                  <w14:solidFill>
                    <w14:schemeClr w14:val="tx1"/>
                  </w14:solidFill>
                </w14:textFill>
              </w:rPr>
              <w:t>.3</w:t>
            </w:r>
          </w:p>
        </w:tc>
        <w:tc>
          <w:tcPr>
            <w:tcW w:w="1551" w:type="dxa"/>
            <w:tcBorders>
              <w:left w:val="single" w:color="auto" w:sz="4" w:space="0"/>
            </w:tcBorders>
            <w:vAlign w:val="center"/>
          </w:tcPr>
          <w:p>
            <w:pPr>
              <w:adjustRightInd w:val="0"/>
              <w:snapToGrid w:val="0"/>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未来执行水价</w:t>
            </w:r>
          </w:p>
        </w:tc>
        <w:tc>
          <w:tcPr>
            <w:tcW w:w="3261" w:type="dxa"/>
            <w:vAlign w:val="center"/>
          </w:tcPr>
          <w:p>
            <w:pPr>
              <w:adjustRightInd w:val="0"/>
              <w:snapToGrid w:val="0"/>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农业灌溉用水：0.796元</w:t>
            </w:r>
            <w:r>
              <w:rPr>
                <w:rFonts w:hint="eastAsia" w:cs="Times New Roman"/>
                <w:color w:val="000000" w:themeColor="text1"/>
                <w:kern w:val="0"/>
                <w:sz w:val="24"/>
                <w:szCs w:val="24"/>
                <w14:textFill>
                  <w14:solidFill>
                    <w14:schemeClr w14:val="tx1"/>
                  </w14:solidFill>
                </w14:textFill>
              </w:rPr>
              <w:t>/</w:t>
            </w:r>
            <w:r>
              <w:rPr>
                <w:rFonts w:cs="Times New Roman"/>
                <w:color w:val="000000" w:themeColor="text1"/>
                <w:kern w:val="0"/>
                <w:sz w:val="24"/>
                <w:szCs w:val="24"/>
                <w14:textFill>
                  <w14:solidFill>
                    <w14:schemeClr w14:val="tx1"/>
                  </w14:solidFill>
                </w14:textFill>
              </w:rPr>
              <w:t xml:space="preserve"> m³</w:t>
            </w:r>
          </w:p>
        </w:tc>
        <w:tc>
          <w:tcPr>
            <w:tcW w:w="3531" w:type="dxa"/>
            <w:vAlign w:val="center"/>
          </w:tcPr>
          <w:p>
            <w:pPr>
              <w:adjustRightInd w:val="0"/>
              <w:snapToGrid w:val="0"/>
              <w:spacing w:line="240" w:lineRule="auto"/>
              <w:ind w:firstLine="0" w:firstLineChars="0"/>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全成本水价</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574" w:hRule="atLeast"/>
          <w:jc w:val="center"/>
        </w:trPr>
        <w:tc>
          <w:tcPr>
            <w:tcW w:w="717" w:type="dxa"/>
            <w:tcBorders>
              <w:righ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cs="Times New Roman"/>
                <w:kern w:val="0"/>
                <w:sz w:val="24"/>
                <w:szCs w:val="24"/>
              </w:rPr>
              <w:t>3.4</w:t>
            </w:r>
          </w:p>
        </w:tc>
        <w:tc>
          <w:tcPr>
            <w:tcW w:w="1551" w:type="dxa"/>
            <w:tcBorders>
              <w:lef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原水价格</w:t>
            </w:r>
          </w:p>
        </w:tc>
        <w:tc>
          <w:tcPr>
            <w:tcW w:w="3261" w:type="dxa"/>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扬黄灌区原水费单价0.137元/ m</w:t>
            </w:r>
            <w:r>
              <w:rPr>
                <w:rFonts w:ascii="Calibri" w:hAnsi="Calibri" w:cs="Calibri"/>
                <w:kern w:val="0"/>
                <w:sz w:val="24"/>
                <w:szCs w:val="24"/>
              </w:rPr>
              <w:t>³</w:t>
            </w:r>
            <w:r>
              <w:rPr>
                <w:rFonts w:hint="eastAsia" w:ascii="仿宋" w:hAnsi="仿宋" w:cs="仿宋"/>
                <w:kern w:val="0"/>
                <w:sz w:val="24"/>
                <w:szCs w:val="24"/>
              </w:rPr>
              <w:t>，红寺堡灌区原水费单价</w:t>
            </w:r>
            <w:r>
              <w:rPr>
                <w:rFonts w:hint="eastAsia" w:cs="Times New Roman"/>
                <w:kern w:val="0"/>
                <w:sz w:val="24"/>
                <w:szCs w:val="24"/>
              </w:rPr>
              <w:t>0.135元/ m</w:t>
            </w:r>
            <w:r>
              <w:rPr>
                <w:rFonts w:ascii="Calibri" w:hAnsi="Calibri" w:cs="Calibri"/>
                <w:kern w:val="0"/>
                <w:sz w:val="24"/>
                <w:szCs w:val="24"/>
              </w:rPr>
              <w:t>³</w:t>
            </w:r>
            <w:r>
              <w:rPr>
                <w:rFonts w:hint="eastAsia" w:ascii="仿宋" w:hAnsi="仿宋" w:cs="仿宋"/>
                <w:kern w:val="0"/>
                <w:sz w:val="24"/>
                <w:szCs w:val="24"/>
              </w:rPr>
              <w:t>，盐环定灌区原水费单价</w:t>
            </w:r>
            <w:r>
              <w:rPr>
                <w:rFonts w:hint="eastAsia" w:cs="Times New Roman"/>
                <w:kern w:val="0"/>
                <w:sz w:val="24"/>
                <w:szCs w:val="24"/>
              </w:rPr>
              <w:t>0.157元/ m</w:t>
            </w:r>
            <w:r>
              <w:rPr>
                <w:rFonts w:ascii="Calibri" w:hAnsi="Calibri" w:cs="Calibri"/>
                <w:kern w:val="0"/>
                <w:sz w:val="24"/>
                <w:szCs w:val="24"/>
              </w:rPr>
              <w:t>³</w:t>
            </w:r>
            <w:r>
              <w:rPr>
                <w:rFonts w:hint="eastAsia" w:cs="Times New Roman"/>
                <w:kern w:val="0"/>
                <w:sz w:val="24"/>
                <w:szCs w:val="24"/>
              </w:rPr>
              <w:t>。</w:t>
            </w:r>
          </w:p>
        </w:tc>
        <w:tc>
          <w:tcPr>
            <w:tcW w:w="3531" w:type="dxa"/>
            <w:vAlign w:val="center"/>
          </w:tcPr>
          <w:p>
            <w:pPr>
              <w:adjustRightInd w:val="0"/>
              <w:snapToGrid w:val="0"/>
              <w:spacing w:line="240" w:lineRule="auto"/>
              <w:ind w:firstLine="0" w:firstLineChars="0"/>
              <w:rPr>
                <w:rFonts w:cs="Times New Roman"/>
                <w:kern w:val="0"/>
                <w:sz w:val="24"/>
                <w:szCs w:val="24"/>
              </w:rPr>
            </w:pPr>
            <w:r>
              <w:rPr>
                <w:rFonts w:hint="eastAsia" w:cs="Times New Roman"/>
                <w:kern w:val="0"/>
                <w:sz w:val="24"/>
                <w:szCs w:val="24"/>
              </w:rPr>
              <w:t>可研数据。</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454" w:hRule="atLeast"/>
          <w:jc w:val="center"/>
        </w:trPr>
        <w:tc>
          <w:tcPr>
            <w:tcW w:w="717" w:type="dxa"/>
            <w:tcBorders>
              <w:righ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cs="Times New Roman"/>
                <w:kern w:val="0"/>
                <w:sz w:val="24"/>
                <w:szCs w:val="24"/>
              </w:rPr>
              <w:t>3.5</w:t>
            </w:r>
          </w:p>
        </w:tc>
        <w:tc>
          <w:tcPr>
            <w:tcW w:w="1551" w:type="dxa"/>
            <w:tcBorders>
              <w:lef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漏损率</w:t>
            </w:r>
          </w:p>
        </w:tc>
        <w:tc>
          <w:tcPr>
            <w:tcW w:w="3261" w:type="dxa"/>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2</w:t>
            </w:r>
            <w:r>
              <w:rPr>
                <w:rFonts w:cs="Times New Roman"/>
                <w:kern w:val="0"/>
                <w:sz w:val="24"/>
                <w:szCs w:val="24"/>
              </w:rPr>
              <w:t>9%（到干渠直开口）</w:t>
            </w:r>
          </w:p>
        </w:tc>
        <w:tc>
          <w:tcPr>
            <w:tcW w:w="3531" w:type="dxa"/>
            <w:vAlign w:val="center"/>
          </w:tcPr>
          <w:p>
            <w:pPr>
              <w:adjustRightInd w:val="0"/>
              <w:snapToGrid w:val="0"/>
              <w:spacing w:line="240" w:lineRule="auto"/>
              <w:ind w:firstLine="0" w:firstLineChars="0"/>
              <w:rPr>
                <w:rFonts w:cs="Times New Roman"/>
                <w:kern w:val="0"/>
                <w:sz w:val="24"/>
                <w:szCs w:val="24"/>
              </w:rPr>
            </w:pPr>
            <w:r>
              <w:rPr>
                <w:rFonts w:cs="Times New Roman"/>
                <w:kern w:val="0"/>
                <w:sz w:val="24"/>
                <w:szCs w:val="24"/>
              </w:rPr>
              <w:t>可研数据</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454" w:hRule="atLeast"/>
          <w:jc w:val="center"/>
        </w:trPr>
        <w:tc>
          <w:tcPr>
            <w:tcW w:w="717" w:type="dxa"/>
            <w:tcBorders>
              <w:bottom w:val="dotted" w:color="auto" w:sz="4" w:space="0"/>
              <w:righ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cs="Times New Roman"/>
                <w:kern w:val="0"/>
                <w:sz w:val="24"/>
                <w:szCs w:val="24"/>
              </w:rPr>
              <w:t>3.6</w:t>
            </w:r>
          </w:p>
        </w:tc>
        <w:tc>
          <w:tcPr>
            <w:tcW w:w="1551" w:type="dxa"/>
            <w:tcBorders>
              <w:left w:val="single" w:color="auto" w:sz="4" w:space="0"/>
              <w:bottom w:val="dotted"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水费收缴率</w:t>
            </w:r>
          </w:p>
        </w:tc>
        <w:tc>
          <w:tcPr>
            <w:tcW w:w="3261" w:type="dxa"/>
            <w:tcBorders>
              <w:bottom w:val="dotted"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高效节水灌溉暂按</w:t>
            </w:r>
            <w:r>
              <w:rPr>
                <w:rFonts w:cs="Times New Roman"/>
                <w:kern w:val="0"/>
                <w:sz w:val="24"/>
                <w:szCs w:val="24"/>
              </w:rPr>
              <w:t>95%</w:t>
            </w:r>
          </w:p>
        </w:tc>
        <w:tc>
          <w:tcPr>
            <w:tcW w:w="3531" w:type="dxa"/>
            <w:tcBorders>
              <w:bottom w:val="dotted" w:color="auto" w:sz="4" w:space="0"/>
            </w:tcBorders>
            <w:vAlign w:val="center"/>
          </w:tcPr>
          <w:p>
            <w:pPr>
              <w:adjustRightInd w:val="0"/>
              <w:snapToGrid w:val="0"/>
              <w:spacing w:line="240" w:lineRule="auto"/>
              <w:ind w:firstLine="0" w:firstLineChars="0"/>
              <w:rPr>
                <w:rFonts w:cs="Times New Roman"/>
                <w:kern w:val="0"/>
                <w:sz w:val="24"/>
                <w:szCs w:val="24"/>
              </w:rPr>
            </w:pPr>
            <w:r>
              <w:rPr>
                <w:rFonts w:hint="eastAsia" w:cs="Times New Roman"/>
                <w:kern w:val="0"/>
                <w:sz w:val="24"/>
                <w:szCs w:val="24"/>
              </w:rPr>
              <w:t>采用滴管技术，并且采用数字化收费系统，水费收缴能够达到95%收缴。</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454" w:hRule="atLeast"/>
          <w:jc w:val="center"/>
        </w:trPr>
        <w:tc>
          <w:tcPr>
            <w:tcW w:w="717" w:type="dxa"/>
            <w:tcBorders>
              <w:top w:val="dotted"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cs="Times New Roman"/>
                <w:kern w:val="0"/>
                <w:sz w:val="24"/>
                <w:szCs w:val="24"/>
              </w:rPr>
              <w:t>……</w:t>
            </w:r>
          </w:p>
        </w:tc>
        <w:tc>
          <w:tcPr>
            <w:tcW w:w="1551" w:type="dxa"/>
            <w:tcBorders>
              <w:top w:val="dotted" w:color="auto" w:sz="4" w:space="0"/>
              <w:left w:val="single" w:color="auto" w:sz="4" w:space="0"/>
              <w:bottom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p>
        </w:tc>
        <w:tc>
          <w:tcPr>
            <w:tcW w:w="3261" w:type="dxa"/>
            <w:tcBorders>
              <w:top w:val="dotted" w:color="auto" w:sz="4" w:space="0"/>
              <w:bottom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p>
        </w:tc>
        <w:tc>
          <w:tcPr>
            <w:tcW w:w="3531" w:type="dxa"/>
            <w:tcBorders>
              <w:top w:val="dotted" w:color="auto" w:sz="4" w:space="0"/>
              <w:bottom w:val="single" w:color="auto" w:sz="4" w:space="0"/>
            </w:tcBorders>
            <w:vAlign w:val="center"/>
          </w:tcPr>
          <w:p>
            <w:pPr>
              <w:adjustRightInd w:val="0"/>
              <w:snapToGrid w:val="0"/>
              <w:spacing w:line="240" w:lineRule="auto"/>
              <w:ind w:firstLine="0" w:firstLineChars="0"/>
              <w:rPr>
                <w:rFonts w:cs="Times New Roman"/>
                <w:kern w:val="0"/>
                <w:sz w:val="24"/>
                <w:szCs w:val="24"/>
              </w:rPr>
            </w:pP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454" w:hRule="atLeast"/>
          <w:jc w:val="center"/>
        </w:trPr>
        <w:tc>
          <w:tcPr>
            <w:tcW w:w="717" w:type="dxa"/>
            <w:tcBorders>
              <w:top w:val="single" w:color="auto" w:sz="4" w:space="0"/>
              <w:righ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cs="Times New Roman"/>
                <w:kern w:val="0"/>
                <w:sz w:val="24"/>
                <w:szCs w:val="24"/>
              </w:rPr>
              <w:t>4</w:t>
            </w:r>
          </w:p>
        </w:tc>
        <w:tc>
          <w:tcPr>
            <w:tcW w:w="8343" w:type="dxa"/>
            <w:gridSpan w:val="3"/>
            <w:tcBorders>
              <w:top w:val="single" w:color="auto" w:sz="4" w:space="0"/>
              <w:lef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财务评价指标</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454" w:hRule="atLeast"/>
          <w:jc w:val="center"/>
        </w:trPr>
        <w:tc>
          <w:tcPr>
            <w:tcW w:w="717" w:type="dxa"/>
            <w:tcBorders>
              <w:righ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cs="Times New Roman"/>
                <w:kern w:val="0"/>
                <w:sz w:val="24"/>
                <w:szCs w:val="24"/>
              </w:rPr>
              <w:t>4.1</w:t>
            </w:r>
          </w:p>
        </w:tc>
        <w:tc>
          <w:tcPr>
            <w:tcW w:w="1551" w:type="dxa"/>
            <w:tcBorders>
              <w:lef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投资收益控制</w:t>
            </w:r>
          </w:p>
        </w:tc>
        <w:tc>
          <w:tcPr>
            <w:tcW w:w="3261" w:type="dxa"/>
            <w:vAlign w:val="center"/>
          </w:tcPr>
          <w:p>
            <w:pPr>
              <w:adjustRightInd w:val="0"/>
              <w:snapToGrid w:val="0"/>
              <w:spacing w:line="240" w:lineRule="auto"/>
              <w:ind w:firstLine="0" w:firstLineChars="0"/>
              <w:jc w:val="center"/>
              <w:rPr>
                <w:rFonts w:cs="Times New Roman"/>
                <w:kern w:val="0"/>
                <w:sz w:val="24"/>
                <w:szCs w:val="24"/>
              </w:rPr>
            </w:pPr>
            <w:r>
              <w:rPr>
                <w:rFonts w:hint="eastAsia" w:cs="Times New Roman"/>
                <w:kern w:val="0"/>
                <w:sz w:val="24"/>
                <w:szCs w:val="24"/>
              </w:rPr>
              <w:t>项目资本金内部收益率：不高于</w:t>
            </w:r>
            <w:r>
              <w:rPr>
                <w:rFonts w:cs="Times New Roman"/>
                <w:kern w:val="0"/>
                <w:sz w:val="24"/>
                <w:szCs w:val="24"/>
              </w:rPr>
              <w:t>5.50%</w:t>
            </w:r>
          </w:p>
        </w:tc>
        <w:tc>
          <w:tcPr>
            <w:tcW w:w="3531" w:type="dxa"/>
            <w:vAlign w:val="center"/>
          </w:tcPr>
          <w:p>
            <w:pPr>
              <w:adjustRightInd w:val="0"/>
              <w:snapToGrid w:val="0"/>
              <w:spacing w:line="240" w:lineRule="auto"/>
              <w:ind w:firstLine="0" w:firstLineChars="0"/>
              <w:rPr>
                <w:rFonts w:cs="Times New Roman"/>
                <w:kern w:val="0"/>
                <w:sz w:val="24"/>
                <w:szCs w:val="24"/>
              </w:rPr>
            </w:pPr>
            <w:r>
              <w:rPr>
                <w:rFonts w:hint="eastAsia" w:cs="Times New Roman"/>
                <w:kern w:val="0"/>
                <w:sz w:val="24"/>
                <w:szCs w:val="24"/>
              </w:rPr>
              <w:t>参考宁夏地区特许经营市场综合水平，社会资本方资本金财务内部收益率均低于6.00%。</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454" w:hRule="atLeast"/>
          <w:jc w:val="center"/>
        </w:trPr>
        <w:tc>
          <w:tcPr>
            <w:tcW w:w="717" w:type="dxa"/>
            <w:tcBorders>
              <w:bottom w:val="single" w:color="auto" w:sz="18" w:space="0"/>
              <w:righ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r>
              <w:rPr>
                <w:rFonts w:cs="Times New Roman"/>
                <w:kern w:val="0"/>
                <w:sz w:val="24"/>
                <w:szCs w:val="24"/>
              </w:rPr>
              <w:t>……</w:t>
            </w:r>
          </w:p>
        </w:tc>
        <w:tc>
          <w:tcPr>
            <w:tcW w:w="1551" w:type="dxa"/>
            <w:tcBorders>
              <w:left w:val="single" w:color="auto" w:sz="4" w:space="0"/>
            </w:tcBorders>
            <w:vAlign w:val="center"/>
          </w:tcPr>
          <w:p>
            <w:pPr>
              <w:adjustRightInd w:val="0"/>
              <w:snapToGrid w:val="0"/>
              <w:spacing w:line="240" w:lineRule="auto"/>
              <w:ind w:firstLine="0" w:firstLineChars="0"/>
              <w:jc w:val="center"/>
              <w:rPr>
                <w:rFonts w:cs="Times New Roman"/>
                <w:kern w:val="0"/>
                <w:sz w:val="24"/>
                <w:szCs w:val="24"/>
              </w:rPr>
            </w:pPr>
          </w:p>
        </w:tc>
        <w:tc>
          <w:tcPr>
            <w:tcW w:w="3261" w:type="dxa"/>
            <w:vAlign w:val="center"/>
          </w:tcPr>
          <w:p>
            <w:pPr>
              <w:adjustRightInd w:val="0"/>
              <w:snapToGrid w:val="0"/>
              <w:spacing w:line="240" w:lineRule="auto"/>
              <w:ind w:firstLine="0" w:firstLineChars="0"/>
              <w:jc w:val="center"/>
              <w:rPr>
                <w:rFonts w:cs="Times New Roman"/>
                <w:kern w:val="0"/>
                <w:sz w:val="24"/>
                <w:szCs w:val="24"/>
              </w:rPr>
            </w:pPr>
          </w:p>
        </w:tc>
        <w:tc>
          <w:tcPr>
            <w:tcW w:w="3531" w:type="dxa"/>
            <w:vAlign w:val="center"/>
          </w:tcPr>
          <w:p>
            <w:pPr>
              <w:adjustRightInd w:val="0"/>
              <w:snapToGrid w:val="0"/>
              <w:spacing w:line="240" w:lineRule="auto"/>
              <w:ind w:firstLine="0" w:firstLineChars="0"/>
              <w:jc w:val="center"/>
              <w:rPr>
                <w:rFonts w:cs="Times New Roman"/>
                <w:kern w:val="0"/>
                <w:sz w:val="24"/>
                <w:szCs w:val="24"/>
              </w:rPr>
            </w:pPr>
          </w:p>
        </w:tc>
      </w:tr>
    </w:tbl>
    <w:p>
      <w:pPr>
        <w:pStyle w:val="4"/>
        <w:ind w:firstLine="562"/>
        <w:rPr>
          <w:rFonts w:cs="Times New Roman"/>
        </w:rPr>
      </w:pPr>
      <w:r>
        <w:rPr>
          <w:rFonts w:hint="eastAsia" w:cs="Times New Roman"/>
        </w:rPr>
        <w:t>（二）项目总投资</w:t>
      </w:r>
    </w:p>
    <w:p>
      <w:pPr>
        <w:ind w:firstLine="560"/>
        <w:rPr>
          <w:rFonts w:cs="Times New Roman"/>
        </w:rPr>
      </w:pPr>
      <w:r>
        <w:rPr>
          <w:rFonts w:hint="eastAsia" w:cs="Times New Roman"/>
        </w:rPr>
        <w:t>根据项目可行性研究报告，本项目估算静态总投资为</w:t>
      </w:r>
      <w:r>
        <w:rPr>
          <w:rFonts w:hint="eastAsia"/>
        </w:rPr>
        <w:t>104,789.30</w:t>
      </w:r>
      <w:r>
        <w:rPr>
          <w:rFonts w:hint="eastAsia" w:cs="Times New Roman"/>
        </w:rPr>
        <w:t>万元，考虑到项目建设资金的一部分来源于金融机构贷款，故需考虑建设期利息资本化，因此需要调整项目总投资。</w:t>
      </w:r>
    </w:p>
    <w:p>
      <w:pPr>
        <w:ind w:firstLine="560"/>
        <w:rPr>
          <w:rFonts w:cs="Times New Roman"/>
        </w:rPr>
      </w:pPr>
      <w:r>
        <w:rPr>
          <w:rFonts w:hint="eastAsia" w:cs="Times New Roman"/>
        </w:rPr>
        <w:t>本项目动态总投资由静态总投资和建设期利息组成。建设期利息计算公式如下：</w:t>
      </w:r>
    </w:p>
    <w:p>
      <w:pPr>
        <w:ind w:firstLine="560"/>
        <w:rPr>
          <w:rFonts w:cs="Times New Roman"/>
        </w:rPr>
      </w:pPr>
      <w:r>
        <w:rPr>
          <w:rFonts w:hint="eastAsia" w:cs="Times New Roman"/>
        </w:rPr>
        <w:t>建设期利息=∑（上年未付息贷款本息累计+本年度付息贷款额/2）*融资利率=（本年度贷款本金*融资利率/2+上年度融资本息*融资利率+次年度贷款本金*融资利率/2+前两年度融资本息*融资利率+第三年度贷款本金*融资利率/2）。</w:t>
      </w:r>
    </w:p>
    <w:p>
      <w:pPr>
        <w:ind w:firstLine="560"/>
        <w:rPr>
          <w:rFonts w:cs="Times New Roman"/>
        </w:rPr>
      </w:pPr>
      <w:r>
        <w:rPr>
          <w:rFonts w:hint="eastAsia" w:cs="Times New Roman"/>
        </w:rPr>
        <w:t>经计算，项目建设期利息为</w:t>
      </w:r>
      <w:r>
        <w:rPr>
          <w:rFonts w:cs="Times New Roman"/>
        </w:rPr>
        <w:t>3,144.55</w:t>
      </w:r>
      <w:r>
        <w:rPr>
          <w:rFonts w:hint="eastAsia" w:cs="Times New Roman"/>
        </w:rPr>
        <w:t>万元，项目动态总投资</w:t>
      </w:r>
      <w:r>
        <w:rPr>
          <w:rFonts w:cs="Times New Roman"/>
        </w:rPr>
        <w:t>107,933.85</w:t>
      </w:r>
      <w:r>
        <w:rPr>
          <w:rFonts w:hint="eastAsia" w:cs="Times New Roman"/>
        </w:rPr>
        <w:t>万元，如后续政府方计划出资或申请上级补贴金额可抵减总投资。</w:t>
      </w:r>
    </w:p>
    <w:p>
      <w:pPr>
        <w:pStyle w:val="4"/>
        <w:ind w:firstLine="562"/>
        <w:rPr>
          <w:rFonts w:cs="Times New Roman"/>
        </w:rPr>
      </w:pPr>
      <w:r>
        <w:rPr>
          <w:rFonts w:hint="eastAsia" w:cs="Times New Roman"/>
        </w:rPr>
        <w:t>（三）项目还本付息情况</w:t>
      </w:r>
    </w:p>
    <w:p>
      <w:pPr>
        <w:ind w:firstLine="560"/>
        <w:rPr>
          <w:rFonts w:cs="Times New Roman"/>
          <w:color w:val="000000" w:themeColor="text1"/>
          <w14:textFill>
            <w14:solidFill>
              <w14:schemeClr w14:val="tx1"/>
            </w14:solidFill>
          </w14:textFill>
        </w:rPr>
      </w:pPr>
      <w:r>
        <w:rPr>
          <w:rFonts w:hint="eastAsia" w:cs="Times New Roman"/>
        </w:rPr>
        <w:t>本项目财务分析中的财务费用只考虑社会资本方在特许经营期进行建设投资时发生的贷款产生的利息支出，</w:t>
      </w:r>
      <w:r>
        <w:rPr>
          <w:rFonts w:hint="eastAsia" w:cs="Times New Roman"/>
          <w:color w:val="000000" w:themeColor="text1"/>
          <w14:textFill>
            <w14:solidFill>
              <w14:schemeClr w14:val="tx1"/>
            </w14:solidFill>
          </w14:textFill>
        </w:rPr>
        <w:t>贷款期限</w:t>
      </w:r>
      <w:r>
        <w:rPr>
          <w:rFonts w:cs="Times New Roman"/>
          <w:color w:val="000000" w:themeColor="text1"/>
          <w14:textFill>
            <w14:solidFill>
              <w14:schemeClr w14:val="tx1"/>
            </w14:solidFill>
          </w14:textFill>
        </w:rPr>
        <w:t>30</w:t>
      </w:r>
      <w:r>
        <w:rPr>
          <w:rFonts w:hint="eastAsia" w:cs="Times New Roman"/>
          <w:color w:val="000000" w:themeColor="text1"/>
          <w14:textFill>
            <w14:solidFill>
              <w14:schemeClr w14:val="tx1"/>
            </w14:solidFill>
          </w14:textFill>
        </w:rPr>
        <w:t>年，宽限期</w:t>
      </w:r>
      <w:r>
        <w:rPr>
          <w:rFonts w:cs="Times New Roman"/>
          <w:color w:val="000000" w:themeColor="text1"/>
          <w14:textFill>
            <w14:solidFill>
              <w14:schemeClr w14:val="tx1"/>
            </w14:solidFill>
          </w14:textFill>
        </w:rPr>
        <w:t>3</w:t>
      </w:r>
      <w:r>
        <w:rPr>
          <w:rFonts w:hint="eastAsia" w:cs="Times New Roman"/>
          <w:color w:val="000000" w:themeColor="text1"/>
          <w14:textFill>
            <w14:solidFill>
              <w14:schemeClr w14:val="tx1"/>
            </w14:solidFill>
          </w14:textFill>
        </w:rPr>
        <w:t>年，还款期</w:t>
      </w:r>
      <w:r>
        <w:rPr>
          <w:rFonts w:cs="Times New Roman"/>
          <w:color w:val="000000" w:themeColor="text1"/>
          <w14:textFill>
            <w14:solidFill>
              <w14:schemeClr w14:val="tx1"/>
            </w14:solidFill>
          </w14:textFill>
        </w:rPr>
        <w:t>27</w:t>
      </w:r>
      <w:r>
        <w:rPr>
          <w:rFonts w:hint="eastAsia" w:cs="Times New Roman"/>
          <w:color w:val="000000" w:themeColor="text1"/>
          <w14:textFill>
            <w14:solidFill>
              <w14:schemeClr w14:val="tx1"/>
            </w14:solidFill>
          </w14:textFill>
        </w:rPr>
        <w:t>年，贷款利率以5年期及以上贷款市场报价利率（LPR）为计算基础，考虑近年来市场利率整体下降，暂定下降4</w:t>
      </w:r>
      <w:r>
        <w:rPr>
          <w:rFonts w:cs="Times New Roman"/>
          <w:color w:val="000000" w:themeColor="text1"/>
          <w14:textFill>
            <w14:solidFill>
              <w14:schemeClr w14:val="tx1"/>
            </w14:solidFill>
          </w14:textFill>
        </w:rPr>
        <w:t>0BP</w:t>
      </w:r>
      <w:r>
        <w:rPr>
          <w:rFonts w:hint="eastAsia" w:cs="Times New Roman"/>
          <w:color w:val="000000" w:themeColor="text1"/>
          <w14:textFill>
            <w14:solidFill>
              <w14:schemeClr w14:val="tx1"/>
            </w14:solidFill>
          </w14:textFill>
        </w:rPr>
        <w:t>为3</w:t>
      </w:r>
      <w:r>
        <w:rPr>
          <w:rFonts w:cs="Times New Roman"/>
          <w:color w:val="000000" w:themeColor="text1"/>
          <w14:textFill>
            <w14:solidFill>
              <w14:schemeClr w14:val="tx1"/>
            </w14:solidFill>
          </w14:textFill>
        </w:rPr>
        <w:t>.80%</w:t>
      </w:r>
      <w:r>
        <w:rPr>
          <w:rFonts w:hint="eastAsia" w:cs="Times New Roman"/>
          <w:color w:val="000000" w:themeColor="text1"/>
          <w14:textFill>
            <w14:solidFill>
              <w14:schemeClr w14:val="tx1"/>
            </w14:solidFill>
          </w14:textFill>
        </w:rPr>
        <w:t>，还款方式为等额本息，每年还本付息金额为</w:t>
      </w:r>
      <w:r>
        <w:rPr>
          <w:rFonts w:cs="Times New Roman"/>
          <w:color w:val="000000" w:themeColor="text1"/>
          <w14:textFill>
            <w14:solidFill>
              <w14:schemeClr w14:val="tx1"/>
            </w14:solidFill>
          </w14:textFill>
        </w:rPr>
        <w:t>3,656.09</w:t>
      </w:r>
      <w:r>
        <w:rPr>
          <w:rFonts w:hint="eastAsia" w:cs="Times New Roman"/>
          <w:color w:val="000000" w:themeColor="text1"/>
          <w14:textFill>
            <w14:solidFill>
              <w14:schemeClr w14:val="tx1"/>
            </w14:solidFill>
          </w14:textFill>
        </w:rPr>
        <w:t>万元，详见附表</w:t>
      </w:r>
      <w:r>
        <w:rPr>
          <w:rFonts w:cs="Times New Roman"/>
          <w:color w:val="000000" w:themeColor="text1"/>
          <w14:textFill>
            <w14:solidFill>
              <w14:schemeClr w14:val="tx1"/>
            </w14:solidFill>
          </w14:textFill>
        </w:rPr>
        <w:t>3</w:t>
      </w:r>
      <w:r>
        <w:rPr>
          <w:rFonts w:hint="eastAsia" w:cs="Times New Roman"/>
          <w:color w:val="000000" w:themeColor="text1"/>
          <w14:textFill>
            <w14:solidFill>
              <w14:schemeClr w14:val="tx1"/>
            </w14:solidFill>
          </w14:textFill>
        </w:rPr>
        <w:t>。</w:t>
      </w:r>
    </w:p>
    <w:p>
      <w:pPr>
        <w:pStyle w:val="4"/>
        <w:ind w:firstLine="562"/>
        <w:rPr>
          <w:rFonts w:cs="Times New Roman"/>
        </w:rPr>
      </w:pPr>
      <w:r>
        <w:rPr>
          <w:rFonts w:hint="eastAsia" w:cs="Times New Roman"/>
        </w:rPr>
        <w:t>（四）相关税费</w:t>
      </w:r>
    </w:p>
    <w:p>
      <w:pPr>
        <w:ind w:firstLine="562"/>
        <w:rPr>
          <w:b/>
        </w:rPr>
      </w:pPr>
      <w:r>
        <w:rPr>
          <w:b/>
        </w:rPr>
        <w:t>1.</w:t>
      </w:r>
      <w:r>
        <w:rPr>
          <w:rFonts w:hint="eastAsia"/>
          <w:b/>
        </w:rPr>
        <w:t>所得税</w:t>
      </w:r>
    </w:p>
    <w:p>
      <w:pPr>
        <w:ind w:firstLine="560"/>
        <w:rPr>
          <w:rFonts w:cs="Times New Roman"/>
        </w:rPr>
      </w:pPr>
      <w:r>
        <w:rPr>
          <w:rFonts w:hint="eastAsia" w:cs="Times New Roman"/>
        </w:rPr>
        <w:t>根据《中华人民共和国企业所得税法》，本项目的企业所得税适用税率为</w:t>
      </w:r>
      <w:r>
        <w:rPr>
          <w:rFonts w:cs="Times New Roman"/>
        </w:rPr>
        <w:t>25%</w:t>
      </w:r>
      <w:r>
        <w:rPr>
          <w:rFonts w:hint="eastAsia" w:cs="Times New Roman"/>
        </w:rPr>
        <w:t>，自项目取得第一笔经营收入所属纳税年度起，若社会资本方利润总额减去弥补以前年度亏损额为正值则要按照</w:t>
      </w:r>
      <w:r>
        <w:rPr>
          <w:rFonts w:cs="Times New Roman"/>
        </w:rPr>
        <w:t>25%</w:t>
      </w:r>
      <w:r>
        <w:rPr>
          <w:rFonts w:hint="eastAsia" w:cs="Times New Roman"/>
        </w:rPr>
        <w:t>的税率缴纳企业所得税。</w:t>
      </w:r>
    </w:p>
    <w:p>
      <w:pPr>
        <w:ind w:firstLine="560"/>
        <w:rPr>
          <w:rFonts w:cs="Times New Roman"/>
        </w:rPr>
      </w:pPr>
      <w:r>
        <w:rPr>
          <w:rFonts w:hint="eastAsia" w:cs="Times New Roman"/>
        </w:rPr>
        <w:t>根据《公共基础设施项目企业所得税优惠目录》，企业从事港口码头、机场、铁路、公路、城市公共交通、电力、水利等项目投资经营所得，自项目取得第一笔生产经营收入所属纳税年度起，给予“三免三减半”的优惠，因此本项目的所得税按“三免三减半”执行。</w:t>
      </w:r>
    </w:p>
    <w:p>
      <w:pPr>
        <w:ind w:firstLine="560"/>
        <w:rPr>
          <w:rFonts w:cs="Times New Roman"/>
        </w:rPr>
      </w:pPr>
      <w:r>
        <w:rPr>
          <w:rFonts w:hint="eastAsia" w:cs="Times New Roman"/>
        </w:rPr>
        <w:t>综上所述，本项目运营期前</w:t>
      </w:r>
      <w:r>
        <w:rPr>
          <w:rFonts w:cs="Times New Roman"/>
        </w:rPr>
        <w:t>6</w:t>
      </w:r>
      <w:r>
        <w:rPr>
          <w:rFonts w:hint="eastAsia" w:cs="Times New Roman"/>
        </w:rPr>
        <w:t>年内所得税执行“三免三减半”，此后年度按</w:t>
      </w:r>
      <w:r>
        <w:rPr>
          <w:rFonts w:cs="Times New Roman"/>
        </w:rPr>
        <w:t>25%</w:t>
      </w:r>
      <w:r>
        <w:rPr>
          <w:rFonts w:hint="eastAsia" w:cs="Times New Roman"/>
        </w:rPr>
        <w:t>计算所得税。</w:t>
      </w:r>
    </w:p>
    <w:p>
      <w:pPr>
        <w:ind w:firstLine="562"/>
        <w:rPr>
          <w:b/>
        </w:rPr>
      </w:pPr>
      <w:r>
        <w:rPr>
          <w:b/>
        </w:rPr>
        <w:t>2.</w:t>
      </w:r>
      <w:r>
        <w:rPr>
          <w:rFonts w:hint="eastAsia"/>
          <w:b/>
        </w:rPr>
        <w:t>增值税</w:t>
      </w:r>
    </w:p>
    <w:p>
      <w:pPr>
        <w:ind w:firstLine="560"/>
        <w:rPr>
          <w:rFonts w:cs="Times New Roman"/>
        </w:rPr>
      </w:pPr>
      <w:r>
        <w:rPr>
          <w:rFonts w:hint="eastAsia" w:cs="Times New Roman"/>
        </w:rPr>
        <w:t>（</w:t>
      </w:r>
      <w:r>
        <w:rPr>
          <w:rFonts w:cs="Times New Roman"/>
        </w:rPr>
        <w:t>1</w:t>
      </w:r>
      <w:r>
        <w:rPr>
          <w:rFonts w:hint="eastAsia" w:cs="Times New Roman"/>
        </w:rPr>
        <w:t>）财政部、国家税务总局在《关于部分货物适用增值税低税率和简易办法征收增值税政策的通知》</w:t>
      </w:r>
      <w:r>
        <w:rPr>
          <w:rFonts w:cs="Times New Roman"/>
        </w:rPr>
        <w:t>(</w:t>
      </w:r>
      <w:r>
        <w:rPr>
          <w:rFonts w:hint="eastAsia" w:cs="Times New Roman"/>
        </w:rPr>
        <w:t>财税〔</w:t>
      </w:r>
      <w:r>
        <w:rPr>
          <w:rFonts w:cs="Times New Roman"/>
        </w:rPr>
        <w:t>2009</w:t>
      </w:r>
      <w:r>
        <w:rPr>
          <w:rFonts w:hint="eastAsia" w:cs="Times New Roman"/>
        </w:rPr>
        <w:t>〕</w:t>
      </w:r>
      <w:r>
        <w:rPr>
          <w:rFonts w:cs="Times New Roman"/>
        </w:rPr>
        <w:t>9</w:t>
      </w:r>
      <w:r>
        <w:rPr>
          <w:rFonts w:hint="eastAsia" w:cs="Times New Roman"/>
        </w:rPr>
        <w:t>号</w:t>
      </w:r>
      <w:r>
        <w:rPr>
          <w:rFonts w:cs="Times New Roman"/>
        </w:rPr>
        <w:t>)</w:t>
      </w:r>
      <w:r>
        <w:rPr>
          <w:rFonts w:hint="eastAsia" w:cs="Times New Roman"/>
        </w:rPr>
        <w:t>中规定，一般纳税人销售自产自来水，可选择</w:t>
      </w:r>
      <w:bookmarkStart w:id="64" w:name="_Hlk97738720"/>
      <w:r>
        <w:rPr>
          <w:rFonts w:hint="eastAsia" w:cs="Times New Roman"/>
        </w:rPr>
        <w:t>按照简易办法依照</w:t>
      </w:r>
      <w:r>
        <w:rPr>
          <w:rFonts w:cs="Times New Roman"/>
        </w:rPr>
        <w:t>6%</w:t>
      </w:r>
      <w:r>
        <w:rPr>
          <w:rFonts w:hint="eastAsia" w:cs="Times New Roman"/>
        </w:rPr>
        <w:t>的征收率计算缴纳增值税</w:t>
      </w:r>
      <w:bookmarkEnd w:id="64"/>
      <w:r>
        <w:rPr>
          <w:rFonts w:hint="eastAsia" w:cs="Times New Roman"/>
        </w:rPr>
        <w:t>，但不得抵扣进项税额，且一般纳税人在选择简易办法计算缴纳增值税后，</w:t>
      </w:r>
      <w:r>
        <w:rPr>
          <w:rFonts w:cs="Times New Roman"/>
        </w:rPr>
        <w:t>36</w:t>
      </w:r>
      <w:r>
        <w:rPr>
          <w:rFonts w:hint="eastAsia" w:cs="Times New Roman"/>
        </w:rPr>
        <w:t>个月内不得变更。根据国家税务总局关于《增值税若干具体问题的规定》，供应或开采未经加工的天然水（如水库供应农业灌溉用水，工厂自采地下水用于生产），不征收增值税。</w:t>
      </w:r>
    </w:p>
    <w:p>
      <w:pPr>
        <w:ind w:firstLine="560"/>
        <w:rPr>
          <w:rFonts w:cs="Times New Roman"/>
        </w:rPr>
      </w:pPr>
      <w:r>
        <w:rPr>
          <w:rFonts w:hint="eastAsia" w:cs="Times New Roman"/>
        </w:rPr>
        <w:t>本项目服务对象为新建加改造提升</w:t>
      </w:r>
      <w:r>
        <w:rPr>
          <w:rFonts w:cs="Times New Roman"/>
        </w:rPr>
        <w:t>29.97万亩</w:t>
      </w:r>
      <w:r>
        <w:rPr>
          <w:rFonts w:hint="eastAsia" w:cs="Times New Roman"/>
        </w:rPr>
        <w:t>和</w:t>
      </w:r>
      <w:r>
        <w:rPr>
          <w:rFonts w:cs="Times New Roman"/>
        </w:rPr>
        <w:t>存量40.03万亩高效节灌区</w:t>
      </w:r>
      <w:r>
        <w:rPr>
          <w:rFonts w:hint="eastAsia" w:cs="Times New Roman"/>
        </w:rPr>
        <w:t>用水户，使用者付费部分按规定免征增值税，可行性缺口补助通常按照简易办法依照</w:t>
      </w:r>
      <w:r>
        <w:rPr>
          <w:rFonts w:cs="Times New Roman"/>
        </w:rPr>
        <w:t>6%</w:t>
      </w:r>
      <w:r>
        <w:rPr>
          <w:rFonts w:hint="eastAsia" w:cs="Times New Roman"/>
        </w:rPr>
        <w:t>的征收率计算缴纳增值税。本项目是使用者付费，无可行性缺口补助，暂不考虑增值税。</w:t>
      </w:r>
    </w:p>
    <w:p>
      <w:pPr>
        <w:ind w:firstLine="560"/>
        <w:rPr>
          <w:rFonts w:cs="Times New Roman"/>
        </w:rPr>
      </w:pPr>
      <w:r>
        <w:rPr>
          <w:rFonts w:hint="eastAsia" w:cs="Times New Roman"/>
        </w:rPr>
        <w:t>（</w:t>
      </w:r>
      <w:r>
        <w:rPr>
          <w:rFonts w:cs="Times New Roman"/>
        </w:rPr>
        <w:t>2</w:t>
      </w:r>
      <w:r>
        <w:rPr>
          <w:rFonts w:hint="eastAsia" w:cs="Times New Roman"/>
        </w:rPr>
        <w:t>）假设社会资本方可取得工程投资支出部分增值税专用发票进行进项税额抵扣，建安费和预备费增值税税率为</w:t>
      </w:r>
      <w:r>
        <w:rPr>
          <w:rFonts w:cs="Times New Roman"/>
        </w:rPr>
        <w:t>9%</w:t>
      </w:r>
      <w:r>
        <w:rPr>
          <w:rFonts w:hint="eastAsia" w:cs="Times New Roman"/>
        </w:rPr>
        <w:t>，其他费增值税税率为</w:t>
      </w:r>
      <w:r>
        <w:rPr>
          <w:rFonts w:cs="Times New Roman"/>
        </w:rPr>
        <w:t>6%</w:t>
      </w:r>
      <w:r>
        <w:rPr>
          <w:rFonts w:hint="eastAsia" w:cs="Times New Roman"/>
        </w:rPr>
        <w:t>（不含征地费）</w:t>
      </w:r>
    </w:p>
    <w:p>
      <w:pPr>
        <w:ind w:firstLine="560"/>
        <w:rPr>
          <w:rFonts w:cs="Times New Roman"/>
        </w:rPr>
      </w:pPr>
      <w:r>
        <w:rPr>
          <w:rFonts w:hint="eastAsia" w:cs="Times New Roman"/>
        </w:rPr>
        <w:t>（</w:t>
      </w:r>
      <w:r>
        <w:rPr>
          <w:rFonts w:cs="Times New Roman"/>
        </w:rPr>
        <w:t>3</w:t>
      </w:r>
      <w:r>
        <w:rPr>
          <w:rFonts w:hint="eastAsia" w:cs="Times New Roman"/>
        </w:rPr>
        <w:t>）假设部分运营成本可取得增值税专用发票用于进项税额抵扣，其中取水费、燃料及动力费的进项税率为</w:t>
      </w:r>
      <w:r>
        <w:rPr>
          <w:rFonts w:cs="Times New Roman"/>
        </w:rPr>
        <w:t>13%</w:t>
      </w:r>
      <w:r>
        <w:rPr>
          <w:rFonts w:hint="eastAsia" w:cs="Times New Roman"/>
        </w:rPr>
        <w:t>；工程维护、管理、其他费等的进项税率为</w:t>
      </w:r>
      <w:r>
        <w:rPr>
          <w:rFonts w:cs="Times New Roman"/>
        </w:rPr>
        <w:t>6%</w:t>
      </w:r>
      <w:r>
        <w:rPr>
          <w:rFonts w:hint="eastAsia" w:cs="Times New Roman"/>
        </w:rPr>
        <w:t>。</w:t>
      </w:r>
    </w:p>
    <w:p>
      <w:pPr>
        <w:ind w:firstLine="562"/>
        <w:rPr>
          <w:b/>
        </w:rPr>
      </w:pPr>
      <w:r>
        <w:rPr>
          <w:b/>
        </w:rPr>
        <w:t>3.</w:t>
      </w:r>
      <w:r>
        <w:rPr>
          <w:rFonts w:hint="eastAsia"/>
          <w:b/>
        </w:rPr>
        <w:t>税金及附加</w:t>
      </w:r>
    </w:p>
    <w:p>
      <w:pPr>
        <w:ind w:firstLine="560"/>
        <w:rPr>
          <w:rFonts w:cs="Times New Roman"/>
        </w:rPr>
      </w:pPr>
      <w:r>
        <w:rPr>
          <w:rFonts w:hint="eastAsia" w:cs="Times New Roman"/>
        </w:rPr>
        <w:t>根据《中华人民共和国城市维护建设税暂行条例》（国发〔</w:t>
      </w:r>
      <w:r>
        <w:rPr>
          <w:rFonts w:cs="Times New Roman"/>
        </w:rPr>
        <w:t>1985</w:t>
      </w:r>
      <w:r>
        <w:rPr>
          <w:rFonts w:hint="eastAsia" w:cs="Times New Roman"/>
        </w:rPr>
        <w:t>〕</w:t>
      </w:r>
      <w:r>
        <w:rPr>
          <w:rFonts w:cs="Times New Roman"/>
        </w:rPr>
        <w:t>19</w:t>
      </w:r>
      <w:r>
        <w:rPr>
          <w:rFonts w:hint="eastAsia" w:cs="Times New Roman"/>
        </w:rPr>
        <w:t>号）、《征收教育费附加的暂行规定（</w:t>
      </w:r>
      <w:r>
        <w:rPr>
          <w:rFonts w:cs="Times New Roman"/>
        </w:rPr>
        <w:t>2011</w:t>
      </w:r>
      <w:r>
        <w:rPr>
          <w:rFonts w:hint="eastAsia" w:cs="Times New Roman"/>
        </w:rPr>
        <w:t>修订）》（国务院令第</w:t>
      </w:r>
      <w:r>
        <w:rPr>
          <w:rFonts w:cs="Times New Roman"/>
        </w:rPr>
        <w:t>588</w:t>
      </w:r>
      <w:r>
        <w:rPr>
          <w:rFonts w:hint="eastAsia" w:cs="Times New Roman"/>
        </w:rPr>
        <w:t>号）《财政部关于统一地方教育费附加政策有关问题的通知》（财综〔</w:t>
      </w:r>
      <w:r>
        <w:rPr>
          <w:rFonts w:cs="Times New Roman"/>
        </w:rPr>
        <w:t>2010</w:t>
      </w:r>
      <w:r>
        <w:rPr>
          <w:rFonts w:hint="eastAsia" w:cs="Times New Roman"/>
        </w:rPr>
        <w:t>〕</w:t>
      </w:r>
      <w:r>
        <w:rPr>
          <w:rFonts w:cs="Times New Roman"/>
        </w:rPr>
        <w:t>98</w:t>
      </w:r>
      <w:r>
        <w:rPr>
          <w:rFonts w:hint="eastAsia" w:cs="Times New Roman"/>
        </w:rPr>
        <w:t>号），本项目采用城市建设维护税税率</w:t>
      </w:r>
      <w:r>
        <w:rPr>
          <w:rFonts w:cs="Times New Roman"/>
        </w:rPr>
        <w:t>5%</w:t>
      </w:r>
      <w:r>
        <w:rPr>
          <w:rFonts w:hint="eastAsia" w:cs="Times New Roman"/>
        </w:rPr>
        <w:t>、教育费附加</w:t>
      </w:r>
      <w:r>
        <w:rPr>
          <w:rFonts w:cs="Times New Roman"/>
        </w:rPr>
        <w:t>3%</w:t>
      </w:r>
      <w:r>
        <w:rPr>
          <w:rFonts w:hint="eastAsia" w:cs="Times New Roman"/>
        </w:rPr>
        <w:t>、地方教育费附加</w:t>
      </w:r>
      <w:r>
        <w:rPr>
          <w:rFonts w:cs="Times New Roman"/>
        </w:rPr>
        <w:t>2%</w:t>
      </w:r>
      <w:r>
        <w:rPr>
          <w:rFonts w:hint="eastAsia" w:cs="Times New Roman"/>
        </w:rPr>
        <w:t>，其计税基础均为本项目缴纳的增值税税额，故税金及附加合计税率为</w:t>
      </w:r>
      <w:r>
        <w:rPr>
          <w:rFonts w:cs="Times New Roman"/>
        </w:rPr>
        <w:t>10%</w:t>
      </w:r>
      <w:r>
        <w:rPr>
          <w:rFonts w:hint="eastAsia" w:cs="Times New Roman"/>
        </w:rPr>
        <w:t>。</w:t>
      </w:r>
    </w:p>
    <w:p>
      <w:pPr>
        <w:pStyle w:val="3"/>
        <w:ind w:firstLine="482" w:firstLineChars="150"/>
        <w:rPr>
          <w:rFonts w:cs="Times New Roman"/>
        </w:rPr>
      </w:pPr>
      <w:bookmarkStart w:id="65" w:name="_Toc148432364"/>
      <w:r>
        <w:rPr>
          <w:rFonts w:hint="eastAsia" w:cs="Times New Roman"/>
        </w:rPr>
        <w:t>三、运营成本测算</w:t>
      </w:r>
      <w:bookmarkEnd w:id="65"/>
    </w:p>
    <w:p>
      <w:pPr>
        <w:pStyle w:val="4"/>
        <w:ind w:firstLine="562"/>
        <w:rPr>
          <w:rFonts w:cs="Times New Roman"/>
        </w:rPr>
      </w:pPr>
      <w:r>
        <w:rPr>
          <w:rFonts w:cs="Times New Roman"/>
        </w:rPr>
        <w:t>（一）新建项目运营成本</w:t>
      </w:r>
    </w:p>
    <w:p>
      <w:pPr>
        <w:keepNext/>
        <w:keepLines/>
        <w:ind w:firstLine="562"/>
        <w:outlineLvl w:val="3"/>
        <w:rPr>
          <w:rFonts w:cs="Times New Roman"/>
          <w:b/>
          <w:szCs w:val="28"/>
        </w:rPr>
      </w:pPr>
      <w:r>
        <w:rPr>
          <w:rFonts w:hint="eastAsia" w:cs="Times New Roman"/>
          <w:b/>
          <w:szCs w:val="28"/>
        </w:rPr>
        <w:t>1</w:t>
      </w:r>
      <w:r>
        <w:rPr>
          <w:rFonts w:cs="Times New Roman"/>
          <w:b/>
          <w:szCs w:val="28"/>
        </w:rPr>
        <w:t>.</w:t>
      </w:r>
      <w:r>
        <w:rPr>
          <w:rFonts w:hint="eastAsia" w:cs="Times New Roman"/>
          <w:b/>
          <w:szCs w:val="28"/>
        </w:rPr>
        <w:t>新建</w:t>
      </w:r>
      <w:r>
        <w:rPr>
          <w:rFonts w:cs="Times New Roman"/>
          <w:b/>
          <w:szCs w:val="28"/>
        </w:rPr>
        <w:t>项目</w:t>
      </w:r>
    </w:p>
    <w:p>
      <w:pPr>
        <w:snapToGrid w:val="0"/>
        <w:spacing w:line="384" w:lineRule="auto"/>
        <w:ind w:firstLine="560"/>
        <w:jc w:val="left"/>
        <w:rPr>
          <w:rFonts w:cs="Times New Roman"/>
        </w:rPr>
      </w:pPr>
      <w:r>
        <w:rPr>
          <w:rFonts w:hint="eastAsia" w:cs="Times New Roman"/>
        </w:rPr>
        <w:t>工程年运行费主要是指维持工程正常运行所需支付的费用。本工程实施后，新增加的年运行费包括：工程维护费、职工薪酬、燃料动力费、管理及其它费用等。费用标准根据有关规定，并参照宁夏已建工程的实际运行资料分析确定。</w:t>
      </w:r>
    </w:p>
    <w:p>
      <w:pPr>
        <w:snapToGrid w:val="0"/>
        <w:spacing w:line="384" w:lineRule="auto"/>
        <w:ind w:firstLine="560"/>
        <w:jc w:val="left"/>
        <w:rPr>
          <w:rFonts w:cs="Times New Roman"/>
        </w:rPr>
      </w:pPr>
      <w:r>
        <w:rPr>
          <w:rFonts w:hint="eastAsia" w:cs="Times New Roman"/>
        </w:rPr>
        <w:t>①工程维修费：包括日常维修、养护等，新建工程维护费按固定资产投资的</w:t>
      </w:r>
      <w:r>
        <w:rPr>
          <w:rFonts w:cs="Times New Roman"/>
        </w:rPr>
        <w:t>0.5</w:t>
      </w:r>
      <w:r>
        <w:rPr>
          <w:rFonts w:hint="eastAsia" w:cs="Times New Roman"/>
        </w:rPr>
        <w:t>%</w:t>
      </w:r>
      <w:r>
        <w:rPr>
          <w:rFonts w:cs="Times New Roman"/>
        </w:rPr>
        <w:t>计提，并给与</w:t>
      </w:r>
      <w:r>
        <w:rPr>
          <w:rFonts w:hint="eastAsia" w:cs="Times New Roman"/>
        </w:rPr>
        <w:t>5年质保期，质保期间不计提维护费，质保期结束每年计提</w:t>
      </w:r>
      <w:r>
        <w:rPr>
          <w:rFonts w:cs="Times New Roman"/>
        </w:rPr>
        <w:t>526.15</w:t>
      </w:r>
      <w:r>
        <w:rPr>
          <w:rFonts w:hint="eastAsia" w:cs="Times New Roman"/>
        </w:rPr>
        <w:t>万元。</w:t>
      </w:r>
    </w:p>
    <w:p>
      <w:pPr>
        <w:snapToGrid w:val="0"/>
        <w:spacing w:line="384" w:lineRule="auto"/>
        <w:ind w:firstLine="560"/>
        <w:rPr>
          <w:rFonts w:cs="Times New Roman"/>
        </w:rPr>
      </w:pPr>
      <w:r>
        <w:rPr>
          <w:rFonts w:hint="eastAsia" w:ascii="宋体" w:hAnsi="宋体" w:eastAsia="宋体" w:cs="宋体"/>
        </w:rPr>
        <w:t>②</w:t>
      </w:r>
      <w:r>
        <w:rPr>
          <w:rFonts w:cs="Times New Roman"/>
        </w:rPr>
        <w:t>职工薪酬：</w:t>
      </w:r>
      <w:r>
        <w:rPr>
          <w:rFonts w:hint="eastAsia" w:cs="Times New Roman"/>
        </w:rPr>
        <w:t>特许经营项目要设立项目公司，按照10人设置管理人员，管理人员人均成本10万元/年。运行人员按照每个乡镇5人，15个乡镇共计75人，人均成本6万元/年。新建项目增加5名管理人员，职工薪酬为</w:t>
      </w:r>
      <w:r>
        <w:rPr>
          <w:rFonts w:cs="Times New Roman"/>
        </w:rPr>
        <w:t>50.00万元</w:t>
      </w:r>
      <w:r>
        <w:rPr>
          <w:rFonts w:hint="eastAsia" w:cs="Times New Roman"/>
        </w:rPr>
        <w:t>/年。</w:t>
      </w:r>
    </w:p>
    <w:p>
      <w:pPr>
        <w:snapToGrid w:val="0"/>
        <w:spacing w:line="384" w:lineRule="auto"/>
        <w:ind w:firstLine="560"/>
        <w:jc w:val="left"/>
        <w:rPr>
          <w:rFonts w:cs="Times New Roman"/>
        </w:rPr>
      </w:pPr>
      <w:r>
        <w:rPr>
          <w:rFonts w:hint="eastAsia" w:cs="Times New Roman"/>
        </w:rPr>
        <w:t>③燃料动力费：燃料动力费主要指灌溉用电电费，整个灌区骨干扬水泵站年总耗电量为2961万kW</w:t>
      </w:r>
      <w:r>
        <w:rPr>
          <w:rFonts w:hint="eastAsia" w:ascii="微软雅黑" w:hAnsi="微软雅黑" w:eastAsia="微软雅黑" w:cs="微软雅黑"/>
        </w:rPr>
        <w:t>•</w:t>
      </w:r>
      <w:r>
        <w:rPr>
          <w:rFonts w:hint="eastAsia" w:cs="Times New Roman"/>
        </w:rPr>
        <w:t>h，折合亩均约42.3kW</w:t>
      </w:r>
      <w:r>
        <w:rPr>
          <w:rFonts w:hint="eastAsia" w:ascii="微软雅黑" w:hAnsi="微软雅黑" w:eastAsia="微软雅黑" w:cs="微软雅黑"/>
        </w:rPr>
        <w:t>•</w:t>
      </w:r>
      <w:r>
        <w:rPr>
          <w:rFonts w:hint="eastAsia" w:cs="Times New Roman"/>
        </w:rPr>
        <w:t>h/年。田间首部泵站年总耗电量为3500万kW</w:t>
      </w:r>
      <w:r>
        <w:rPr>
          <w:rFonts w:hint="eastAsia" w:ascii="微软雅黑" w:hAnsi="微软雅黑" w:eastAsia="微软雅黑" w:cs="微软雅黑"/>
        </w:rPr>
        <w:t>•</w:t>
      </w:r>
      <w:r>
        <w:rPr>
          <w:rFonts w:hint="eastAsia" w:cs="Times New Roman"/>
        </w:rPr>
        <w:t>h，折合亩均约50kW</w:t>
      </w:r>
      <w:r>
        <w:rPr>
          <w:rFonts w:hint="eastAsia" w:ascii="微软雅黑" w:hAnsi="微软雅黑" w:eastAsia="微软雅黑" w:cs="微软雅黑"/>
        </w:rPr>
        <w:t>•</w:t>
      </w:r>
      <w:r>
        <w:rPr>
          <w:rFonts w:hint="eastAsia" w:cs="Times New Roman"/>
        </w:rPr>
        <w:t>h/年。多级扬水用电电价0.106元/kW</w:t>
      </w:r>
      <w:r>
        <w:rPr>
          <w:rFonts w:hint="eastAsia" w:ascii="微软雅黑" w:hAnsi="微软雅黑" w:eastAsia="微软雅黑" w:cs="微软雅黑"/>
        </w:rPr>
        <w:t>•</w:t>
      </w:r>
      <w:r>
        <w:rPr>
          <w:rFonts w:hint="eastAsia" w:cs="Times New Roman"/>
        </w:rPr>
        <w:t>h，参照《宁夏回族自治区物价局关于我区2011年电价调整及有关问题的通知》，农业排灌用电电价0.292元/kW</w:t>
      </w:r>
      <w:r>
        <w:rPr>
          <w:rFonts w:hint="eastAsia" w:ascii="微软雅黑" w:hAnsi="微软雅黑" w:eastAsia="微软雅黑" w:cs="微软雅黑"/>
        </w:rPr>
        <w:t>•</w:t>
      </w:r>
      <w:r>
        <w:rPr>
          <w:rFonts w:hint="eastAsia" w:cs="Times New Roman"/>
        </w:rPr>
        <w:t>h。则新建部分（含改造提升）面积为2</w:t>
      </w:r>
      <w:r>
        <w:rPr>
          <w:rFonts w:cs="Times New Roman"/>
        </w:rPr>
        <w:t>9.97万亩，则该部分</w:t>
      </w:r>
      <w:r>
        <w:rPr>
          <w:rFonts w:hint="eastAsia" w:cs="Times New Roman"/>
        </w:rPr>
        <w:t>年度电费为</w:t>
      </w:r>
      <w:r>
        <w:rPr>
          <w:rFonts w:cs="Times New Roman"/>
        </w:rPr>
        <w:t>571.94</w:t>
      </w:r>
      <w:r>
        <w:rPr>
          <w:rFonts w:hint="eastAsia" w:cs="Times New Roman"/>
        </w:rPr>
        <w:t>万元。</w:t>
      </w:r>
    </w:p>
    <w:p>
      <w:pPr>
        <w:snapToGrid w:val="0"/>
        <w:spacing w:line="384" w:lineRule="auto"/>
        <w:ind w:firstLine="560"/>
        <w:jc w:val="left"/>
        <w:rPr>
          <w:rFonts w:cs="Times New Roman"/>
        </w:rPr>
      </w:pPr>
      <w:r>
        <w:rPr>
          <w:rFonts w:hint="eastAsia" w:cs="Times New Roman"/>
        </w:rPr>
        <w:t>④管理及其它费：管理费主要包括水利工程管理机构的差旅费、办公费、咨询费、审计费、诉讼费、排污费、绿化费、业务招待费、坏账损失等；其他费包括清除或减轻项目带来不利影响所需补救措施的费用、日常行政开支、科学试验和观测以及其它经常性支出等，管理及其它费按照职工薪酬、工程维护费、燃料动力费合计的5%计提，为</w:t>
      </w:r>
      <w:r>
        <w:rPr>
          <w:rFonts w:cs="Times New Roman"/>
        </w:rPr>
        <w:t>57.40</w:t>
      </w:r>
      <w:r>
        <w:rPr>
          <w:rFonts w:hint="eastAsia" w:cs="Times New Roman"/>
        </w:rPr>
        <w:t>万元。</w:t>
      </w:r>
    </w:p>
    <w:p>
      <w:pPr>
        <w:snapToGrid w:val="0"/>
        <w:spacing w:line="384" w:lineRule="auto"/>
        <w:ind w:firstLine="562"/>
        <w:jc w:val="left"/>
        <w:rPr>
          <w:rFonts w:cs="Times New Roman"/>
          <w:b/>
        </w:rPr>
      </w:pPr>
      <w:r>
        <w:rPr>
          <w:rFonts w:hint="eastAsia" w:cs="Times New Roman"/>
          <w:b/>
        </w:rPr>
        <w:t>综上所述，</w:t>
      </w:r>
      <w:r>
        <w:rPr>
          <w:rFonts w:cs="Times New Roman"/>
          <w:b/>
        </w:rPr>
        <w:t>质保期间新建部分（含改造提升）年运营成为为679.35万元；</w:t>
      </w:r>
      <w:r>
        <w:rPr>
          <w:rFonts w:hint="eastAsia" w:cs="Times New Roman"/>
          <w:b/>
        </w:rPr>
        <w:t>质保期结束新建部分</w:t>
      </w:r>
      <w:r>
        <w:rPr>
          <w:rFonts w:cs="Times New Roman"/>
          <w:b/>
        </w:rPr>
        <w:t>（含改造提升）</w:t>
      </w:r>
      <w:r>
        <w:rPr>
          <w:rFonts w:hint="eastAsia" w:cs="Times New Roman"/>
          <w:b/>
        </w:rPr>
        <w:t>年运营成本为</w:t>
      </w:r>
      <w:r>
        <w:rPr>
          <w:rFonts w:cs="Times New Roman"/>
          <w:b/>
        </w:rPr>
        <w:t>1205.50万元。</w:t>
      </w:r>
    </w:p>
    <w:p>
      <w:pPr>
        <w:pStyle w:val="4"/>
        <w:ind w:firstLine="562"/>
        <w:rPr>
          <w:rFonts w:cs="Times New Roman"/>
        </w:rPr>
      </w:pPr>
      <w:r>
        <w:rPr>
          <w:rFonts w:cs="Times New Roman"/>
        </w:rPr>
        <w:t>（二）存量项目运营成本</w:t>
      </w:r>
    </w:p>
    <w:p>
      <w:pPr>
        <w:ind w:firstLine="560"/>
        <w:rPr>
          <w:rFonts w:cs="Times New Roman"/>
        </w:rPr>
      </w:pPr>
      <w:r>
        <w:rPr>
          <w:rFonts w:hint="eastAsia" w:cs="Times New Roman"/>
        </w:rPr>
        <w:t>存量项目运营成本主要包含：工程维护费、燃料动力费、职工薪酬、管理及其他费用。根据存量项目批复文件及现场调研确定。</w:t>
      </w:r>
    </w:p>
    <w:p>
      <w:pPr>
        <w:ind w:firstLine="560"/>
        <w:rPr>
          <w:rFonts w:cs="Times New Roman"/>
        </w:rPr>
      </w:pPr>
      <w:r>
        <w:rPr>
          <w:rFonts w:cs="Times New Roman"/>
        </w:rPr>
        <w:fldChar w:fldCharType="begin"/>
      </w:r>
      <w:r>
        <w:rPr>
          <w:rFonts w:cs="Times New Roman"/>
        </w:rPr>
        <w:instrText xml:space="preserve"> </w:instrText>
      </w:r>
      <w:r>
        <w:rPr>
          <w:rFonts w:hint="eastAsia" w:cs="Times New Roman"/>
        </w:rPr>
        <w:instrText xml:space="preserve">= 1 \* GB3</w:instrText>
      </w:r>
      <w:r>
        <w:rPr>
          <w:rFonts w:cs="Times New Roman"/>
        </w:rPr>
        <w:instrText xml:space="preserve"> </w:instrText>
      </w:r>
      <w:r>
        <w:rPr>
          <w:rFonts w:cs="Times New Roman"/>
        </w:rPr>
        <w:fldChar w:fldCharType="separate"/>
      </w:r>
      <w:r>
        <w:rPr>
          <w:rFonts w:hint="eastAsia" w:cs="Times New Roman"/>
        </w:rPr>
        <w:t>①</w:t>
      </w:r>
      <w:r>
        <w:rPr>
          <w:rFonts w:cs="Times New Roman"/>
        </w:rPr>
        <w:fldChar w:fldCharType="end"/>
      </w:r>
      <w:r>
        <w:rPr>
          <w:rFonts w:hint="eastAsia" w:cs="Times New Roman"/>
        </w:rPr>
        <w:t>工程维修费：包括日常维修、养护等，存量项目主要分为已建的调蓄水池和高效节灌工程，根据项目可研，已建调蓄水池固定资产原值为</w:t>
      </w:r>
      <w:r>
        <w:rPr>
          <w:rFonts w:cs="Times New Roman"/>
        </w:rPr>
        <w:t>117232万元，考虑到调蓄水池</w:t>
      </w:r>
      <w:r>
        <w:rPr>
          <w:rFonts w:hint="eastAsia" w:cs="Times New Roman"/>
        </w:rPr>
        <w:t>维护</w:t>
      </w:r>
      <w:r>
        <w:rPr>
          <w:rFonts w:cs="Times New Roman"/>
        </w:rPr>
        <w:t>内容较少，故</w:t>
      </w:r>
      <w:r>
        <w:rPr>
          <w:rFonts w:hint="eastAsia" w:cs="Times New Roman"/>
        </w:rPr>
        <w:t>按固定资产投资的</w:t>
      </w:r>
      <w:r>
        <w:rPr>
          <w:rFonts w:cs="Times New Roman"/>
        </w:rPr>
        <w:t>0.3</w:t>
      </w:r>
      <w:r>
        <w:rPr>
          <w:rFonts w:hint="eastAsia" w:cs="Times New Roman"/>
        </w:rPr>
        <w:t>%计提维护费；存量高效节灌工程固定资产原值为</w:t>
      </w:r>
      <w:r>
        <w:rPr>
          <w:rFonts w:cs="Times New Roman"/>
        </w:rPr>
        <w:t>98392万元，</w:t>
      </w:r>
      <w:r>
        <w:rPr>
          <w:rFonts w:hint="eastAsia" w:cs="Times New Roman"/>
        </w:rPr>
        <w:t>按固定资产原值0</w:t>
      </w:r>
      <w:r>
        <w:rPr>
          <w:rFonts w:cs="Times New Roman"/>
        </w:rPr>
        <w:t>.5%计提维护费</w:t>
      </w:r>
      <w:r>
        <w:rPr>
          <w:rFonts w:hint="eastAsia" w:cs="Times New Roman"/>
        </w:rPr>
        <w:t>。</w:t>
      </w:r>
      <w:r>
        <w:rPr>
          <w:rFonts w:cs="Times New Roman"/>
        </w:rPr>
        <w:t>则存量部分年度维护成本</w:t>
      </w:r>
      <w:r>
        <w:rPr>
          <w:rFonts w:hint="eastAsia" w:cs="Times New Roman"/>
        </w:rPr>
        <w:t>为</w:t>
      </w:r>
      <w:r>
        <w:rPr>
          <w:rFonts w:cs="Times New Roman"/>
        </w:rPr>
        <w:t>843.66</w:t>
      </w:r>
      <w:r>
        <w:rPr>
          <w:rFonts w:hint="eastAsia" w:cs="Times New Roman"/>
        </w:rPr>
        <w:t>万元。</w:t>
      </w:r>
    </w:p>
    <w:p>
      <w:pPr>
        <w:ind w:firstLine="560"/>
        <w:rPr>
          <w:rFonts w:cs="Times New Roman"/>
        </w:rPr>
      </w:pPr>
      <w:r>
        <w:rPr>
          <w:rFonts w:cs="Times New Roman"/>
        </w:rPr>
        <w:fldChar w:fldCharType="begin"/>
      </w:r>
      <w:r>
        <w:rPr>
          <w:rFonts w:cs="Times New Roman"/>
        </w:rPr>
        <w:instrText xml:space="preserve"> </w:instrText>
      </w:r>
      <w:r>
        <w:rPr>
          <w:rFonts w:hint="eastAsia" w:cs="Times New Roman"/>
        </w:rPr>
        <w:instrText xml:space="preserve">= 2 \* GB3</w:instrText>
      </w:r>
      <w:r>
        <w:rPr>
          <w:rFonts w:cs="Times New Roman"/>
        </w:rPr>
        <w:instrText xml:space="preserve"> </w:instrText>
      </w:r>
      <w:r>
        <w:rPr>
          <w:rFonts w:cs="Times New Roman"/>
        </w:rPr>
        <w:fldChar w:fldCharType="separate"/>
      </w:r>
      <w:r>
        <w:rPr>
          <w:rFonts w:hint="eastAsia" w:cs="Times New Roman"/>
        </w:rPr>
        <w:t>②</w:t>
      </w:r>
      <w:r>
        <w:rPr>
          <w:rFonts w:cs="Times New Roman"/>
        </w:rPr>
        <w:fldChar w:fldCharType="end"/>
      </w:r>
      <w:r>
        <w:rPr>
          <w:rFonts w:hint="eastAsia" w:cs="Times New Roman"/>
        </w:rPr>
        <w:t>燃料动力费：燃料动力费主要指灌溉用电电费，整个灌区骨干扬水泵站年总耗电量为2961万kW</w:t>
      </w:r>
      <w:r>
        <w:rPr>
          <w:rFonts w:hint="eastAsia" w:ascii="微软雅黑" w:hAnsi="微软雅黑" w:eastAsia="微软雅黑" w:cs="微软雅黑"/>
        </w:rPr>
        <w:t>•</w:t>
      </w:r>
      <w:r>
        <w:rPr>
          <w:rFonts w:hint="eastAsia" w:cs="Times New Roman"/>
        </w:rPr>
        <w:t>h，折合亩均约42.3kW</w:t>
      </w:r>
      <w:r>
        <w:rPr>
          <w:rFonts w:hint="eastAsia" w:ascii="微软雅黑" w:hAnsi="微软雅黑" w:eastAsia="微软雅黑" w:cs="微软雅黑"/>
        </w:rPr>
        <w:t>•</w:t>
      </w:r>
      <w:r>
        <w:rPr>
          <w:rFonts w:hint="eastAsia" w:cs="Times New Roman"/>
        </w:rPr>
        <w:t>h/年。田间首部泵站年总耗电量为3500万kW</w:t>
      </w:r>
      <w:r>
        <w:rPr>
          <w:rFonts w:hint="eastAsia" w:ascii="微软雅黑" w:hAnsi="微软雅黑" w:eastAsia="微软雅黑" w:cs="微软雅黑"/>
        </w:rPr>
        <w:t>•</w:t>
      </w:r>
      <w:r>
        <w:rPr>
          <w:rFonts w:hint="eastAsia" w:cs="Times New Roman"/>
        </w:rPr>
        <w:t>h，折合亩均约50kW</w:t>
      </w:r>
      <w:r>
        <w:rPr>
          <w:rFonts w:hint="eastAsia" w:ascii="微软雅黑" w:hAnsi="微软雅黑" w:eastAsia="微软雅黑" w:cs="微软雅黑"/>
        </w:rPr>
        <w:t>•</w:t>
      </w:r>
      <w:r>
        <w:rPr>
          <w:rFonts w:hint="eastAsia" w:cs="Times New Roman"/>
        </w:rPr>
        <w:t>h/年。多级扬水用电电价0.106元/kW</w:t>
      </w:r>
      <w:r>
        <w:rPr>
          <w:rFonts w:hint="eastAsia" w:ascii="微软雅黑" w:hAnsi="微软雅黑" w:eastAsia="微软雅黑" w:cs="微软雅黑"/>
        </w:rPr>
        <w:t>•</w:t>
      </w:r>
      <w:r>
        <w:rPr>
          <w:rFonts w:hint="eastAsia" w:cs="Times New Roman"/>
        </w:rPr>
        <w:t>h，参照《宁夏回族自治区物价局关于我区2011年电价调整及有关问题的通知》，农业排灌用电电价0.292元/kW</w:t>
      </w:r>
      <w:r>
        <w:rPr>
          <w:rFonts w:hint="eastAsia" w:ascii="微软雅黑" w:hAnsi="微软雅黑" w:eastAsia="微软雅黑" w:cs="微软雅黑"/>
        </w:rPr>
        <w:t>•</w:t>
      </w:r>
      <w:r>
        <w:rPr>
          <w:rFonts w:hint="eastAsia" w:cs="Times New Roman"/>
        </w:rPr>
        <w:t>h。则存量部分面积为</w:t>
      </w:r>
      <w:r>
        <w:rPr>
          <w:rFonts w:cs="Times New Roman"/>
        </w:rPr>
        <w:t>40.03</w:t>
      </w:r>
      <w:r>
        <w:rPr>
          <w:rFonts w:hint="eastAsia" w:cs="Times New Roman"/>
        </w:rPr>
        <w:t>万亩，则该部分年度电费为为</w:t>
      </w:r>
      <w:r>
        <w:rPr>
          <w:rFonts w:cs="Times New Roman"/>
        </w:rPr>
        <w:t>763.92</w:t>
      </w:r>
      <w:r>
        <w:rPr>
          <w:rFonts w:hint="eastAsia" w:cs="Times New Roman"/>
        </w:rPr>
        <w:t>万元。</w:t>
      </w:r>
    </w:p>
    <w:p>
      <w:pPr>
        <w:ind w:firstLine="560"/>
        <w:rPr>
          <w:rFonts w:cs="Times New Roman"/>
        </w:rPr>
      </w:pPr>
      <w:r>
        <w:rPr>
          <w:rFonts w:cs="Times New Roman"/>
        </w:rPr>
        <w:fldChar w:fldCharType="begin"/>
      </w:r>
      <w:r>
        <w:rPr>
          <w:rFonts w:cs="Times New Roman"/>
        </w:rPr>
        <w:instrText xml:space="preserve"> </w:instrText>
      </w:r>
      <w:r>
        <w:rPr>
          <w:rFonts w:hint="eastAsia" w:cs="Times New Roman"/>
        </w:rPr>
        <w:instrText xml:space="preserve">= 3 \* GB3</w:instrText>
      </w:r>
      <w:r>
        <w:rPr>
          <w:rFonts w:cs="Times New Roman"/>
        </w:rPr>
        <w:instrText xml:space="preserve"> </w:instrText>
      </w:r>
      <w:r>
        <w:rPr>
          <w:rFonts w:cs="Times New Roman"/>
        </w:rPr>
        <w:fldChar w:fldCharType="separate"/>
      </w:r>
      <w:r>
        <w:rPr>
          <w:rFonts w:hint="eastAsia" w:cs="Times New Roman"/>
        </w:rPr>
        <w:t>③</w:t>
      </w:r>
      <w:r>
        <w:rPr>
          <w:rFonts w:cs="Times New Roman"/>
        </w:rPr>
        <w:fldChar w:fldCharType="end"/>
      </w:r>
      <w:r>
        <w:rPr>
          <w:rFonts w:hint="eastAsia" w:cs="Times New Roman"/>
        </w:rPr>
        <w:t>职工薪酬：设立项目公司按照10人设置管理人员，管理人员人均成本10万元/年。运行人员按照每个乡镇5</w:t>
      </w:r>
      <w:r>
        <w:rPr>
          <w:rFonts w:cs="Times New Roman"/>
        </w:rPr>
        <w:t>~10</w:t>
      </w:r>
      <w:r>
        <w:rPr>
          <w:rFonts w:hint="eastAsia" w:cs="Times New Roman"/>
        </w:rPr>
        <w:t>人，共计75人，人均成本6万元/年。存量部分5名管理人员，7</w:t>
      </w:r>
      <w:r>
        <w:rPr>
          <w:rFonts w:cs="Times New Roman"/>
        </w:rPr>
        <w:t>5人运营人员</w:t>
      </w:r>
      <w:r>
        <w:rPr>
          <w:rFonts w:hint="eastAsia" w:cs="Times New Roman"/>
        </w:rPr>
        <w:t>，职工薪酬为</w:t>
      </w:r>
      <w:r>
        <w:rPr>
          <w:rFonts w:cs="Times New Roman"/>
        </w:rPr>
        <w:t>500.00</w:t>
      </w:r>
      <w:r>
        <w:rPr>
          <w:rFonts w:hint="eastAsia" w:cs="Times New Roman"/>
        </w:rPr>
        <w:t>万元/年。</w:t>
      </w:r>
    </w:p>
    <w:p>
      <w:pPr>
        <w:ind w:firstLine="560"/>
        <w:rPr>
          <w:rFonts w:cs="Times New Roman"/>
        </w:rPr>
      </w:pPr>
      <w:r>
        <w:rPr>
          <w:rFonts w:hint="eastAsia" w:cs="Times New Roman"/>
        </w:rPr>
        <w:t>④管理及其它费：管理费主要包括水利工程管理机构的差旅费、办公费、咨询费、审计费、诉讼费、排污费、绿化费、业务招待费、坏账损失等；其他费包括清除或减轻项目带来不利影响所需补救措施的费用、日常行政开支、科学试验和观测以及其它经常性支出等管理及其它费按照职工薪酬、工程维护费、燃料动力费合计的5%计提，约</w:t>
      </w:r>
      <w:r>
        <w:rPr>
          <w:rFonts w:cs="Times New Roman"/>
        </w:rPr>
        <w:t>105.38</w:t>
      </w:r>
      <w:r>
        <w:rPr>
          <w:rFonts w:hint="eastAsia" w:cs="Times New Roman"/>
        </w:rPr>
        <w:t>万元/年。</w:t>
      </w:r>
    </w:p>
    <w:p>
      <w:pPr>
        <w:snapToGrid w:val="0"/>
        <w:spacing w:line="384" w:lineRule="auto"/>
        <w:ind w:firstLine="562"/>
        <w:jc w:val="left"/>
        <w:rPr>
          <w:rFonts w:cs="Times New Roman"/>
          <w:b/>
        </w:rPr>
      </w:pPr>
      <w:r>
        <w:rPr>
          <w:rFonts w:cs="Times New Roman"/>
          <w:b/>
        </w:rPr>
        <w:t>综上所述，存量</w:t>
      </w:r>
      <w:r>
        <w:rPr>
          <w:rFonts w:hint="eastAsia" w:cs="Times New Roman"/>
          <w:b/>
        </w:rPr>
        <w:t>部分</w:t>
      </w:r>
      <w:r>
        <w:rPr>
          <w:rFonts w:cs="Times New Roman"/>
          <w:b/>
        </w:rPr>
        <w:t>年度运营成本为2212.96万元。</w:t>
      </w:r>
    </w:p>
    <w:p>
      <w:pPr>
        <w:snapToGrid w:val="0"/>
        <w:spacing w:line="384" w:lineRule="auto"/>
        <w:ind w:firstLine="562"/>
        <w:jc w:val="left"/>
        <w:rPr>
          <w:rFonts w:cs="Times New Roman"/>
          <w:b/>
        </w:rPr>
      </w:pPr>
      <w:r>
        <w:rPr>
          <w:rFonts w:cs="Times New Roman"/>
          <w:b/>
        </w:rPr>
        <w:t>质保期间“存量</w:t>
      </w:r>
      <w:r>
        <w:rPr>
          <w:rFonts w:hint="eastAsia" w:cs="Times New Roman"/>
          <w:b/>
        </w:rPr>
        <w:t>+新建</w:t>
      </w:r>
      <w:r>
        <w:rPr>
          <w:rFonts w:cs="Times New Roman"/>
          <w:b/>
        </w:rPr>
        <w:t>”</w:t>
      </w:r>
      <w:r>
        <w:rPr>
          <w:rFonts w:hint="eastAsia" w:cs="Times New Roman"/>
          <w:b/>
        </w:rPr>
        <w:t>的年度运营成本合计为2</w:t>
      </w:r>
      <w:r>
        <w:rPr>
          <w:rFonts w:cs="Times New Roman"/>
          <w:b/>
        </w:rPr>
        <w:t>892.31万元；质保期结束后“存量</w:t>
      </w:r>
      <w:r>
        <w:rPr>
          <w:rFonts w:hint="eastAsia" w:cs="Times New Roman"/>
          <w:b/>
        </w:rPr>
        <w:t>+新建</w:t>
      </w:r>
      <w:r>
        <w:rPr>
          <w:rFonts w:cs="Times New Roman"/>
          <w:b/>
        </w:rPr>
        <w:t>”</w:t>
      </w:r>
      <w:r>
        <w:rPr>
          <w:rFonts w:hint="eastAsia" w:cs="Times New Roman"/>
          <w:b/>
        </w:rPr>
        <w:t>的年度运营成本合计为</w:t>
      </w:r>
      <w:r>
        <w:rPr>
          <w:rFonts w:cs="Times New Roman"/>
          <w:b/>
        </w:rPr>
        <w:t>3418.46万元。</w:t>
      </w:r>
    </w:p>
    <w:p>
      <w:pPr>
        <w:pStyle w:val="4"/>
        <w:ind w:firstLine="562"/>
        <w:rPr>
          <w:rFonts w:cs="Times New Roman"/>
        </w:rPr>
      </w:pPr>
      <w:r>
        <w:rPr>
          <w:rFonts w:hint="eastAsia" w:cs="Times New Roman"/>
        </w:rPr>
        <w:t>（三）原水费</w:t>
      </w:r>
    </w:p>
    <w:p>
      <w:pPr>
        <w:snapToGrid w:val="0"/>
        <w:spacing w:line="384" w:lineRule="auto"/>
        <w:ind w:firstLine="560"/>
        <w:jc w:val="left"/>
        <w:rPr>
          <w:rFonts w:cs="Times New Roman"/>
          <w:b/>
        </w:rPr>
      </w:pPr>
      <w:r>
        <w:rPr>
          <w:rFonts w:hint="eastAsia" w:cs="Times New Roman"/>
          <w:bCs/>
        </w:rPr>
        <w:t>本工程至干渠直开口引水，年引水量为16935万立方米（其中，固海、固扩灌区引水量为11646万m</w:t>
      </w:r>
      <w:r>
        <w:rPr>
          <w:rFonts w:ascii="Calibri" w:hAnsi="Calibri" w:cs="Calibri"/>
          <w:bCs/>
        </w:rPr>
        <w:t>³</w:t>
      </w:r>
      <w:r>
        <w:rPr>
          <w:rFonts w:hint="eastAsia" w:ascii="仿宋" w:hAnsi="仿宋" w:cs="仿宋"/>
          <w:bCs/>
        </w:rPr>
        <w:t>；红寺堡灌区引水量为</w:t>
      </w:r>
      <w:r>
        <w:rPr>
          <w:rFonts w:hint="eastAsia" w:cs="Times New Roman"/>
          <w:bCs/>
        </w:rPr>
        <w:t>4921万m</w:t>
      </w:r>
      <w:r>
        <w:rPr>
          <w:rFonts w:ascii="Calibri" w:hAnsi="Calibri" w:cs="Calibri"/>
          <w:bCs/>
        </w:rPr>
        <w:t>³</w:t>
      </w:r>
      <w:r>
        <w:rPr>
          <w:rFonts w:hint="eastAsia" w:ascii="仿宋" w:hAnsi="仿宋" w:cs="仿宋"/>
          <w:bCs/>
        </w:rPr>
        <w:t>；盐环定灌区引水量</w:t>
      </w:r>
      <w:r>
        <w:rPr>
          <w:rFonts w:hint="eastAsia" w:cs="Times New Roman"/>
          <w:bCs/>
        </w:rPr>
        <w:t>368万m</w:t>
      </w:r>
      <w:r>
        <w:rPr>
          <w:rFonts w:ascii="Calibri" w:hAnsi="Calibri" w:cs="Calibri"/>
          <w:bCs/>
        </w:rPr>
        <w:t>³</w:t>
      </w:r>
      <w:r>
        <w:rPr>
          <w:rFonts w:hint="eastAsia" w:ascii="仿宋" w:hAnsi="仿宋" w:cs="仿宋"/>
          <w:bCs/>
        </w:rPr>
        <w:t>）。扬黄灌区原水费单价</w:t>
      </w:r>
      <w:r>
        <w:rPr>
          <w:rFonts w:hint="eastAsia" w:cs="Times New Roman"/>
          <w:bCs/>
        </w:rPr>
        <w:t>0.137元/ m</w:t>
      </w:r>
      <w:r>
        <w:rPr>
          <w:rFonts w:ascii="Calibri" w:hAnsi="Calibri" w:cs="Calibri"/>
          <w:bCs/>
        </w:rPr>
        <w:t>³</w:t>
      </w:r>
      <w:r>
        <w:rPr>
          <w:rFonts w:hint="eastAsia" w:ascii="仿宋" w:hAnsi="仿宋" w:cs="仿宋"/>
          <w:bCs/>
        </w:rPr>
        <w:t>，红寺堡灌区原水费单价</w:t>
      </w:r>
      <w:r>
        <w:rPr>
          <w:rFonts w:hint="eastAsia" w:cs="Times New Roman"/>
          <w:bCs/>
        </w:rPr>
        <w:t>0.135元/ m</w:t>
      </w:r>
      <w:r>
        <w:rPr>
          <w:rFonts w:ascii="Calibri" w:hAnsi="Calibri" w:cs="Calibri"/>
          <w:bCs/>
        </w:rPr>
        <w:t>³</w:t>
      </w:r>
      <w:r>
        <w:rPr>
          <w:rFonts w:hint="eastAsia" w:ascii="仿宋" w:hAnsi="仿宋" w:cs="仿宋"/>
          <w:bCs/>
        </w:rPr>
        <w:t>，盐环定灌区原水费单价</w:t>
      </w:r>
      <w:r>
        <w:rPr>
          <w:rFonts w:hint="eastAsia" w:cs="Times New Roman"/>
          <w:bCs/>
        </w:rPr>
        <w:t>0.157元/ m</w:t>
      </w:r>
      <w:r>
        <w:rPr>
          <w:rFonts w:ascii="Calibri" w:hAnsi="Calibri" w:cs="Calibri"/>
          <w:bCs/>
        </w:rPr>
        <w:t>³</w:t>
      </w:r>
      <w:r>
        <w:rPr>
          <w:rFonts w:hint="eastAsia" w:cs="Times New Roman"/>
          <w:bCs/>
        </w:rPr>
        <w:t>。引水水价0.</w:t>
      </w:r>
      <w:r>
        <w:rPr>
          <w:rFonts w:cs="Times New Roman"/>
          <w:bCs/>
        </w:rPr>
        <w:t>137</w:t>
      </w:r>
      <w:r>
        <w:rPr>
          <w:rFonts w:hint="eastAsia" w:cs="Times New Roman"/>
          <w:bCs/>
        </w:rPr>
        <w:t>元/m</w:t>
      </w:r>
      <w:r>
        <w:rPr>
          <w:rFonts w:hint="eastAsia" w:cs="Times New Roman"/>
          <w:bCs/>
          <w:vertAlign w:val="superscript"/>
        </w:rPr>
        <w:t>3</w:t>
      </w:r>
      <w:r>
        <w:rPr>
          <w:rFonts w:hint="eastAsia" w:cs="Times New Roman"/>
          <w:bCs/>
        </w:rPr>
        <w:t>，</w:t>
      </w:r>
      <w:r>
        <w:rPr>
          <w:rFonts w:cs="Times New Roman"/>
          <w:bCs/>
        </w:rPr>
        <w:t>年度水源费2,317.61万元</w:t>
      </w:r>
      <w:r>
        <w:rPr>
          <w:rFonts w:hint="eastAsia" w:cs="Times New Roman"/>
          <w:bCs/>
        </w:rPr>
        <w:t>。</w:t>
      </w:r>
    </w:p>
    <w:p>
      <w:pPr>
        <w:pStyle w:val="3"/>
        <w:ind w:firstLine="643" w:firstLineChars="200"/>
        <w:rPr>
          <w:rFonts w:cs="Times New Roman"/>
        </w:rPr>
      </w:pPr>
      <w:bookmarkStart w:id="66" w:name="_Toc148432365"/>
      <w:r>
        <w:rPr>
          <w:rFonts w:hint="eastAsia" w:cs="Times New Roman"/>
        </w:rPr>
        <w:t>四、项目收入测算</w:t>
      </w:r>
      <w:bookmarkEnd w:id="66"/>
    </w:p>
    <w:p>
      <w:pPr>
        <w:pStyle w:val="4"/>
        <w:ind w:firstLine="562"/>
        <w:rPr>
          <w:rFonts w:cs="Times New Roman"/>
          <w:color w:val="000000" w:themeColor="text1"/>
          <w14:textFill>
            <w14:solidFill>
              <w14:schemeClr w14:val="tx1"/>
            </w14:solidFill>
          </w14:textFill>
        </w:rPr>
      </w:pPr>
      <w:r>
        <w:rPr>
          <w:rFonts w:hint="eastAsia" w:cs="Times New Roman"/>
          <w:color w:val="000000" w:themeColor="text1"/>
          <w14:textFill>
            <w14:solidFill>
              <w14:schemeClr w14:val="tx1"/>
            </w14:solidFill>
          </w14:textFill>
        </w:rPr>
        <w:t>（一）灌溉收入</w:t>
      </w:r>
    </w:p>
    <w:p>
      <w:pPr>
        <w:ind w:firstLine="560"/>
        <w:rPr>
          <w:rFonts w:cs="Times New Roman"/>
        </w:rPr>
      </w:pPr>
      <w:r>
        <w:rPr>
          <w:rFonts w:hint="eastAsia" w:cs="Times New Roman"/>
        </w:rPr>
        <w:t>本项目灌溉收入指社会资本方向灌区范围内的种植户收取灌溉水费。社会资本方灌溉收入计算公式如下：</w:t>
      </w:r>
    </w:p>
    <w:p>
      <w:pPr>
        <w:ind w:firstLine="560"/>
        <w:rPr>
          <w:rFonts w:cs="Times New Roman"/>
        </w:rPr>
      </w:pPr>
      <w:r>
        <w:rPr>
          <w:rFonts w:hint="eastAsia" w:cs="Times New Roman"/>
        </w:rPr>
        <w:t>灌溉收入</w:t>
      </w:r>
      <w:r>
        <w:rPr>
          <w:rFonts w:cs="Times New Roman"/>
        </w:rPr>
        <w:t>=</w:t>
      </w:r>
      <w:r>
        <w:rPr>
          <w:rFonts w:hint="eastAsia" w:cs="Times New Roman"/>
        </w:rPr>
        <w:t>灌溉执行水价×需水量×水费收缴率</w:t>
      </w:r>
    </w:p>
    <w:p>
      <w:pPr>
        <w:ind w:firstLine="560"/>
        <w:rPr>
          <w:rFonts w:cs="Times New Roman"/>
        </w:rPr>
      </w:pPr>
      <w:r>
        <w:rPr>
          <w:rFonts w:hint="eastAsia" w:cs="Times New Roman"/>
        </w:rPr>
        <w:t>其中：</w:t>
      </w:r>
    </w:p>
    <w:p>
      <w:pPr>
        <w:ind w:firstLine="562"/>
        <w:rPr>
          <w:rFonts w:cs="Times New Roman"/>
        </w:rPr>
      </w:pPr>
      <w:r>
        <w:rPr>
          <w:rFonts w:cs="Times New Roman"/>
          <w:b/>
          <w:bCs/>
        </w:rPr>
        <w:t>现灌区执行水价：</w:t>
      </w:r>
      <w:r>
        <w:rPr>
          <w:rFonts w:hint="eastAsia" w:cs="Times New Roman"/>
          <w:bCs/>
        </w:rPr>
        <w:t>建设期，存量部分</w:t>
      </w:r>
      <w:r>
        <w:rPr>
          <w:rFonts w:cs="Times New Roman"/>
          <w:bCs/>
        </w:rPr>
        <w:t>执行</w:t>
      </w:r>
      <w:r>
        <w:rPr>
          <w:rFonts w:cs="Times New Roman"/>
        </w:rPr>
        <w:t>灌区供水价格为0.6元/m</w:t>
      </w:r>
      <w:r>
        <w:rPr>
          <w:rFonts w:cs="Times New Roman"/>
          <w:vertAlign w:val="superscript"/>
        </w:rPr>
        <w:t>3</w:t>
      </w:r>
      <w:r>
        <w:rPr>
          <w:rFonts w:cs="Times New Roman"/>
          <w:color w:val="333333"/>
          <w:kern w:val="0"/>
          <w:sz w:val="32"/>
          <w:szCs w:val="32"/>
        </w:rPr>
        <w:t>。</w:t>
      </w:r>
      <w:r>
        <w:rPr>
          <w:rFonts w:cs="Times New Roman"/>
          <w:color w:val="333333"/>
          <w:kern w:val="0"/>
          <w:szCs w:val="32"/>
        </w:rPr>
        <w:t>为了进一步推行水价综合改革，减轻政府负担，</w:t>
      </w:r>
      <w:r>
        <w:rPr>
          <w:rFonts w:cs="Times New Roman"/>
          <w:b/>
          <w:color w:val="333333"/>
          <w:kern w:val="0"/>
          <w:szCs w:val="32"/>
        </w:rPr>
        <w:t>本项目建成后运营期灌溉水价执行全成本水价，</w:t>
      </w:r>
      <w:r>
        <w:rPr>
          <w:rFonts w:hint="eastAsia" w:cs="Times New Roman"/>
          <w:b/>
          <w:color w:val="333333"/>
          <w:kern w:val="0"/>
          <w:szCs w:val="32"/>
        </w:rPr>
        <w:t>约为</w:t>
      </w:r>
      <w:r>
        <w:rPr>
          <w:rFonts w:cs="Times New Roman"/>
          <w:b/>
          <w:color w:val="333333"/>
          <w:kern w:val="0"/>
          <w:szCs w:val="32"/>
        </w:rPr>
        <w:t>0.766元/</w:t>
      </w:r>
      <w:r>
        <w:rPr>
          <w:rFonts w:cs="Times New Roman"/>
          <w:b/>
          <w:szCs w:val="28"/>
        </w:rPr>
        <w:t>m</w:t>
      </w:r>
      <w:r>
        <w:rPr>
          <w:rFonts w:cs="Times New Roman"/>
          <w:b/>
          <w:szCs w:val="28"/>
          <w:vertAlign w:val="superscript"/>
        </w:rPr>
        <w:t>3</w:t>
      </w:r>
      <w:r>
        <w:rPr>
          <w:rFonts w:hint="eastAsia" w:cs="Times New Roman"/>
          <w:b/>
          <w:szCs w:val="28"/>
        </w:rPr>
        <w:t>，</w:t>
      </w:r>
      <w:r>
        <w:rPr>
          <w:rFonts w:cs="Times New Roman"/>
          <w:b/>
          <w:szCs w:val="28"/>
        </w:rPr>
        <w:t>加上</w:t>
      </w:r>
      <w:r>
        <w:rPr>
          <w:rFonts w:hint="eastAsia" w:cs="Times New Roman"/>
          <w:b/>
          <w:szCs w:val="28"/>
        </w:rPr>
        <w:t>含村集体计提0.03元/ m</w:t>
      </w:r>
      <w:r>
        <w:rPr>
          <w:rFonts w:ascii="Calibri" w:hAnsi="Calibri" w:cs="Calibri"/>
          <w:b/>
          <w:szCs w:val="28"/>
        </w:rPr>
        <w:t>³收缴费</w:t>
      </w:r>
      <w:r>
        <w:rPr>
          <w:rFonts w:hint="eastAsia" w:cs="Times New Roman"/>
          <w:b/>
          <w:szCs w:val="28"/>
        </w:rPr>
        <w:t>，</w:t>
      </w:r>
      <w:r>
        <w:rPr>
          <w:rFonts w:cs="Times New Roman"/>
          <w:b/>
          <w:szCs w:val="28"/>
        </w:rPr>
        <w:t>项目全成本水价为</w:t>
      </w:r>
      <w:r>
        <w:rPr>
          <w:rFonts w:hint="eastAsia" w:cs="Times New Roman"/>
          <w:b/>
          <w:szCs w:val="28"/>
        </w:rPr>
        <w:t>0</w:t>
      </w:r>
      <w:r>
        <w:rPr>
          <w:rFonts w:cs="Times New Roman"/>
          <w:b/>
          <w:szCs w:val="28"/>
        </w:rPr>
        <w:t>.796</w:t>
      </w:r>
      <w:r>
        <w:rPr>
          <w:rFonts w:cs="Times New Roman"/>
          <w:b/>
          <w:color w:val="333333"/>
          <w:kern w:val="0"/>
          <w:szCs w:val="32"/>
        </w:rPr>
        <w:t>元/</w:t>
      </w:r>
      <w:r>
        <w:rPr>
          <w:rFonts w:cs="Times New Roman"/>
          <w:b/>
          <w:szCs w:val="28"/>
        </w:rPr>
        <w:t>m</w:t>
      </w:r>
      <w:r>
        <w:rPr>
          <w:rFonts w:cs="Times New Roman"/>
          <w:b/>
          <w:szCs w:val="28"/>
          <w:vertAlign w:val="superscript"/>
        </w:rPr>
        <w:t>3</w:t>
      </w:r>
      <w:r>
        <w:rPr>
          <w:rFonts w:hint="eastAsia" w:cs="Times New Roman"/>
          <w:b/>
          <w:color w:val="333333"/>
          <w:kern w:val="0"/>
          <w:szCs w:val="32"/>
        </w:rPr>
        <w:t>。</w:t>
      </w:r>
      <w:r>
        <w:rPr>
          <w:rFonts w:cs="Times New Roman"/>
          <w:b/>
          <w:color w:val="333333"/>
          <w:kern w:val="0"/>
          <w:szCs w:val="32"/>
        </w:rPr>
        <w:t>届时运营期内无需政府补贴。</w:t>
      </w:r>
    </w:p>
    <w:p>
      <w:pPr>
        <w:ind w:firstLine="562"/>
        <w:rPr>
          <w:rFonts w:cs="Times New Roman"/>
        </w:rPr>
      </w:pPr>
      <w:r>
        <w:rPr>
          <w:rFonts w:hint="eastAsia" w:cs="Times New Roman"/>
          <w:b/>
          <w:bCs/>
        </w:rPr>
        <w:t>亩实际需水量：</w:t>
      </w:r>
    </w:p>
    <w:p>
      <w:pPr>
        <w:pStyle w:val="10"/>
        <w:ind w:left="560" w:firstLine="560"/>
        <w:rPr>
          <w:rFonts w:ascii="Times New Roman" w:hAnsi="Times New Roman" w:eastAsia="仿宋"/>
          <w:sz w:val="28"/>
          <w:szCs w:val="28"/>
        </w:rPr>
      </w:pPr>
      <w:r>
        <w:rPr>
          <w:rFonts w:ascii="Times New Roman" w:hAnsi="Times New Roman" w:eastAsia="仿宋"/>
          <w:sz w:val="28"/>
          <w:szCs w:val="28"/>
        </w:rPr>
        <w:t>灌溉需水量根据以下公式计算：</w:t>
      </w:r>
    </w:p>
    <w:p>
      <w:pPr>
        <w:pStyle w:val="10"/>
        <w:ind w:left="560" w:firstLine="560"/>
        <w:rPr>
          <w:rFonts w:ascii="Times New Roman" w:hAnsi="Times New Roman" w:eastAsia="仿宋"/>
          <w:sz w:val="28"/>
          <w:szCs w:val="28"/>
        </w:rPr>
      </w:pPr>
      <w:r>
        <w:rPr>
          <w:rFonts w:ascii="Times New Roman" w:hAnsi="Times New Roman" w:eastAsia="仿宋"/>
          <w:position w:val="-14"/>
          <w:sz w:val="28"/>
          <w:szCs w:val="28"/>
        </w:rPr>
        <w:object>
          <v:shape id="_x0000_i1025" o:spt="75" type="#_x0000_t75" style="height:22.7pt;width:79.75pt;" o:ole="t" filled="f" coordsize="21600,21600">
            <v:path/>
            <v:fill on="f" focussize="0,0"/>
            <v:stroke/>
            <v:imagedata r:id="rId19" o:title=""/>
            <o:lock v:ext="edit" aspectratio="t"/>
            <w10:wrap type="none"/>
            <w10:anchorlock/>
          </v:shape>
          <o:OLEObject Type="Embed" ProgID="Equation.3" ShapeID="_x0000_i1025" DrawAspect="Content" ObjectID="_1468075725" r:id="rId18">
            <o:LockedField>false</o:LockedField>
          </o:OLEObject>
        </w:object>
      </w:r>
      <w:r>
        <w:rPr>
          <w:rFonts w:ascii="Times New Roman" w:hAnsi="Times New Roman" w:eastAsia="仿宋"/>
          <w:sz w:val="28"/>
          <w:szCs w:val="28"/>
        </w:rPr>
        <w:t>，</w:t>
      </w:r>
      <w:r>
        <w:rPr>
          <w:rFonts w:ascii="Times New Roman" w:hAnsi="Times New Roman" w:eastAsia="仿宋"/>
          <w:position w:val="-14"/>
          <w:sz w:val="28"/>
          <w:szCs w:val="28"/>
        </w:rPr>
        <w:object>
          <v:shape id="_x0000_i1026" o:spt="75" type="#_x0000_t75" style="height:22.7pt;width:57.05pt;" o:ole="t" filled="f" coordsize="21600,21600">
            <v:path/>
            <v:fill on="f" focussize="0,0"/>
            <v:stroke/>
            <v:imagedata r:id="rId21" o:title=""/>
            <o:lock v:ext="edit" aspectratio="t"/>
            <w10:wrap type="none"/>
            <w10:anchorlock/>
          </v:shape>
          <o:OLEObject Type="Embed" ProgID="Equation.3" ShapeID="_x0000_i1026" DrawAspect="Content" ObjectID="_1468075726" r:id="rId20">
            <o:LockedField>false</o:LockedField>
          </o:OLEObject>
        </w:object>
      </w:r>
      <w:r>
        <w:rPr>
          <w:rFonts w:ascii="Times New Roman" w:hAnsi="Times New Roman" w:eastAsia="仿宋"/>
          <w:sz w:val="28"/>
          <w:szCs w:val="28"/>
        </w:rPr>
        <w:t>（i＝1，…，n）；</w:t>
      </w:r>
    </w:p>
    <w:p>
      <w:pPr>
        <w:pStyle w:val="10"/>
        <w:ind w:left="560" w:firstLine="560"/>
        <w:rPr>
          <w:rFonts w:ascii="Times New Roman" w:hAnsi="Times New Roman" w:eastAsia="仿宋"/>
          <w:sz w:val="28"/>
          <w:szCs w:val="28"/>
        </w:rPr>
      </w:pPr>
      <w:r>
        <w:rPr>
          <w:rFonts w:ascii="Times New Roman" w:hAnsi="Times New Roman" w:eastAsia="仿宋"/>
          <w:sz w:val="28"/>
          <w:szCs w:val="28"/>
        </w:rPr>
        <w:t>式中：</w:t>
      </w:r>
      <w:r>
        <w:rPr>
          <w:rFonts w:ascii="Times New Roman" w:hAnsi="Times New Roman" w:eastAsia="仿宋"/>
          <w:position w:val="-14"/>
          <w:sz w:val="28"/>
          <w:szCs w:val="28"/>
        </w:rPr>
        <w:object>
          <v:shape id="_x0000_i1027" o:spt="75" type="#_x0000_t75" style="height:22.7pt;width:14.4pt;" o:ole="t" filled="f" coordsize="21600,21600">
            <v:path/>
            <v:fill on="f" focussize="0,0"/>
            <v:stroke/>
            <v:imagedata r:id="rId23" o:title=""/>
            <o:lock v:ext="edit" aspectratio="t"/>
            <w10:wrap type="none"/>
            <w10:anchorlock/>
          </v:shape>
          <o:OLEObject Type="Embed" ProgID="Equation.3" ShapeID="_x0000_i1027" DrawAspect="Content" ObjectID="_1468075727" r:id="rId22">
            <o:LockedField>false</o:LockedField>
          </o:OLEObject>
        </w:object>
      </w:r>
      <w:r>
        <w:rPr>
          <w:rFonts w:ascii="Times New Roman" w:hAnsi="Times New Roman" w:eastAsia="仿宋"/>
          <w:sz w:val="28"/>
          <w:szCs w:val="28"/>
        </w:rPr>
        <w:t>、</w:t>
      </w:r>
      <w:r>
        <w:rPr>
          <w:rFonts w:ascii="Times New Roman" w:hAnsi="Times New Roman" w:eastAsia="仿宋"/>
          <w:position w:val="-6"/>
          <w:sz w:val="28"/>
          <w:szCs w:val="28"/>
        </w:rPr>
        <w:object>
          <v:shape id="_x0000_i1028" o:spt="75" type="#_x0000_t75" style="height:14.4pt;width:14.4pt;" o:ole="t" filled="f" coordsize="21600,21600">
            <v:path/>
            <v:fill on="f" focussize="0,0"/>
            <v:stroke/>
            <v:imagedata r:id="rId25" o:title=""/>
            <o:lock v:ext="edit" aspectratio="t"/>
            <w10:wrap type="none"/>
            <w10:anchorlock/>
          </v:shape>
          <o:OLEObject Type="Embed" ProgID="Equation.3" ShapeID="_x0000_i1028" DrawAspect="Content" ObjectID="_1468075728" r:id="rId24">
            <o:LockedField>false</o:LockedField>
          </o:OLEObject>
        </w:object>
      </w:r>
      <w:r>
        <w:rPr>
          <w:rFonts w:ascii="Times New Roman" w:hAnsi="Times New Roman" w:eastAsia="仿宋"/>
          <w:sz w:val="28"/>
          <w:szCs w:val="28"/>
        </w:rPr>
        <w:t>—分别为某时段灌区净灌溉用水量和毛灌溉用水量（万m</w:t>
      </w:r>
      <w:r>
        <w:rPr>
          <w:rFonts w:ascii="Times New Roman" w:hAnsi="Times New Roman" w:eastAsia="仿宋"/>
          <w:sz w:val="28"/>
          <w:szCs w:val="28"/>
          <w:vertAlign w:val="superscript"/>
        </w:rPr>
        <w:t>3</w:t>
      </w:r>
      <w:r>
        <w:rPr>
          <w:rFonts w:ascii="Times New Roman" w:hAnsi="Times New Roman" w:eastAsia="仿宋"/>
          <w:sz w:val="28"/>
          <w:szCs w:val="28"/>
        </w:rPr>
        <w:t>）；</w:t>
      </w:r>
    </w:p>
    <w:p>
      <w:pPr>
        <w:pStyle w:val="10"/>
        <w:ind w:left="560" w:firstLine="560"/>
        <w:rPr>
          <w:rFonts w:ascii="Times New Roman" w:hAnsi="Times New Roman" w:eastAsia="仿宋"/>
          <w:sz w:val="28"/>
          <w:szCs w:val="28"/>
        </w:rPr>
      </w:pPr>
      <w:r>
        <w:rPr>
          <w:rFonts w:ascii="Times New Roman" w:hAnsi="Times New Roman" w:eastAsia="仿宋"/>
          <w:position w:val="-4"/>
          <w:sz w:val="28"/>
          <w:szCs w:val="28"/>
        </w:rPr>
        <w:object>
          <v:shape id="_x0000_i1029" o:spt="75" type="#_x0000_t75" style="height:14.4pt;width:14.4pt;" o:ole="t" filled="f" coordsize="21600,21600">
            <v:path/>
            <v:fill on="f" focussize="0,0"/>
            <v:stroke/>
            <v:imagedata r:id="rId27" o:title=""/>
            <o:lock v:ext="edit" aspectratio="t"/>
            <w10:wrap type="none"/>
            <w10:anchorlock/>
          </v:shape>
          <o:OLEObject Type="Embed" ProgID="Equation.3" ShapeID="_x0000_i1029" DrawAspect="Content" ObjectID="_1468075729" r:id="rId26">
            <o:LockedField>false</o:LockedField>
          </o:OLEObject>
        </w:object>
      </w:r>
      <w:r>
        <w:rPr>
          <w:rFonts w:ascii="Times New Roman" w:hAnsi="Times New Roman" w:eastAsia="仿宋"/>
          <w:sz w:val="28"/>
          <w:szCs w:val="28"/>
        </w:rPr>
        <w:t>—灌区灌溉面积（万亩）；</w:t>
      </w:r>
    </w:p>
    <w:p>
      <w:pPr>
        <w:pStyle w:val="10"/>
        <w:ind w:left="560" w:firstLine="560"/>
        <w:rPr>
          <w:rFonts w:ascii="Times New Roman" w:hAnsi="Times New Roman" w:eastAsia="仿宋"/>
          <w:sz w:val="28"/>
          <w:szCs w:val="28"/>
        </w:rPr>
      </w:pPr>
      <w:r>
        <w:rPr>
          <w:rFonts w:ascii="Times New Roman" w:hAnsi="Times New Roman" w:eastAsia="仿宋"/>
          <w:position w:val="-12"/>
          <w:sz w:val="28"/>
          <w:szCs w:val="28"/>
        </w:rPr>
        <w:object>
          <v:shape id="_x0000_i1030" o:spt="75" type="#_x0000_t75" style="height:22.7pt;width:14.4pt;" o:ole="t" filled="f" coordsize="21600,21600">
            <v:path/>
            <v:fill on="f" focussize="0,0"/>
            <v:stroke/>
            <v:imagedata r:id="rId29" o:title=""/>
            <o:lock v:ext="edit" aspectratio="t"/>
            <w10:wrap type="none"/>
            <w10:anchorlock/>
          </v:shape>
          <o:OLEObject Type="Embed" ProgID="Equation.3" ShapeID="_x0000_i1030" DrawAspect="Content" ObjectID="_1468075730" r:id="rId28">
            <o:LockedField>false</o:LockedField>
          </o:OLEObject>
        </w:object>
      </w:r>
      <w:r>
        <w:rPr>
          <w:rFonts w:ascii="Times New Roman" w:hAnsi="Times New Roman" w:eastAsia="仿宋"/>
          <w:sz w:val="28"/>
          <w:szCs w:val="28"/>
        </w:rPr>
        <w:t>、</w:t>
      </w:r>
      <w:r>
        <w:rPr>
          <w:rFonts w:ascii="Times New Roman" w:hAnsi="Times New Roman" w:eastAsia="仿宋"/>
          <w:position w:val="-12"/>
          <w:sz w:val="28"/>
          <w:szCs w:val="28"/>
        </w:rPr>
        <w:object>
          <v:shape id="_x0000_i1031" o:spt="75" type="#_x0000_t75" style="height:22.7pt;width:14.4pt;" o:ole="t" filled="f" coordsize="21600,21600">
            <v:path/>
            <v:fill on="f" focussize="0,0"/>
            <v:stroke/>
            <v:imagedata r:id="rId31" o:title=""/>
            <o:lock v:ext="edit" aspectratio="t"/>
            <w10:wrap type="none"/>
            <w10:anchorlock/>
          </v:shape>
          <o:OLEObject Type="Embed" ProgID="Equation.3" ShapeID="_x0000_i1031" DrawAspect="Content" ObjectID="_1468075731" r:id="rId30">
            <o:LockedField>false</o:LockedField>
          </o:OLEObject>
        </w:object>
      </w:r>
      <w:r>
        <w:rPr>
          <w:rFonts w:ascii="Times New Roman" w:hAnsi="Times New Roman" w:eastAsia="仿宋"/>
          <w:sz w:val="28"/>
          <w:szCs w:val="28"/>
        </w:rPr>
        <w:t>—分别为第</w:t>
      </w:r>
      <w:r>
        <w:rPr>
          <w:rFonts w:ascii="Times New Roman" w:hAnsi="Times New Roman" w:eastAsia="仿宋"/>
          <w:position w:val="-6"/>
          <w:sz w:val="28"/>
          <w:szCs w:val="28"/>
        </w:rPr>
        <w:object>
          <v:shape id="_x0000_i1032" o:spt="75" type="#_x0000_t75" style="height:14.4pt;width:7.75pt;" o:ole="t" filled="f" coordsize="21600,21600">
            <v:path/>
            <v:fill on="f" focussize="0,0"/>
            <v:stroke/>
            <v:imagedata r:id="rId33" o:title=""/>
            <o:lock v:ext="edit" aspectratio="t"/>
            <w10:wrap type="none"/>
            <w10:anchorlock/>
          </v:shape>
          <o:OLEObject Type="Embed" ProgID="Equation.3" ShapeID="_x0000_i1032" DrawAspect="Content" ObjectID="_1468075732" r:id="rId32">
            <o:LockedField>false</o:LockedField>
          </o:OLEObject>
        </w:object>
      </w:r>
      <w:r>
        <w:rPr>
          <w:rFonts w:ascii="Times New Roman" w:hAnsi="Times New Roman" w:eastAsia="仿宋"/>
          <w:sz w:val="28"/>
          <w:szCs w:val="28"/>
        </w:rPr>
        <w:t>种作物的种植比例（%）和灌水定额（m</w:t>
      </w:r>
      <w:r>
        <w:rPr>
          <w:rFonts w:ascii="Times New Roman" w:hAnsi="Times New Roman" w:eastAsia="仿宋"/>
          <w:sz w:val="28"/>
          <w:szCs w:val="28"/>
          <w:vertAlign w:val="superscript"/>
        </w:rPr>
        <w:t>3</w:t>
      </w:r>
      <w:r>
        <w:rPr>
          <w:rFonts w:ascii="Times New Roman" w:hAnsi="Times New Roman" w:eastAsia="仿宋"/>
          <w:sz w:val="28"/>
          <w:szCs w:val="28"/>
        </w:rPr>
        <w:t>/亩）；</w:t>
      </w:r>
    </w:p>
    <w:p>
      <w:pPr>
        <w:pStyle w:val="10"/>
        <w:ind w:left="560" w:firstLine="560"/>
        <w:rPr>
          <w:rFonts w:ascii="Times New Roman" w:hAnsi="Times New Roman" w:eastAsia="仿宋"/>
          <w:position w:val="-4"/>
          <w:sz w:val="28"/>
          <w:szCs w:val="28"/>
        </w:rPr>
      </w:pPr>
      <w:r>
        <w:rPr>
          <w:rFonts w:ascii="Times New Roman" w:hAnsi="Times New Roman" w:eastAsia="仿宋"/>
          <w:position w:val="-4"/>
          <w:sz w:val="28"/>
          <w:szCs w:val="28"/>
        </w:rPr>
        <w:t>本项目涉及灌区主要种植玉米、枸杞、蔬菜、</w:t>
      </w:r>
      <w:r>
        <w:rPr>
          <w:rFonts w:hint="eastAsia" w:ascii="Times New Roman" w:hAnsi="Times New Roman" w:eastAsia="仿宋"/>
          <w:position w:val="-4"/>
          <w:sz w:val="28"/>
          <w:szCs w:val="28"/>
        </w:rPr>
        <w:t>经果林等，综合亩均需水量为</w:t>
      </w:r>
      <w:r>
        <w:rPr>
          <w:rFonts w:ascii="Times New Roman" w:hAnsi="Times New Roman" w:eastAsia="仿宋"/>
          <w:position w:val="-4"/>
          <w:sz w:val="28"/>
          <w:szCs w:val="28"/>
        </w:rPr>
        <w:t>200</w:t>
      </w:r>
      <w:r>
        <w:rPr>
          <w:rFonts w:ascii="Times New Roman" w:hAnsi="Times New Roman" w:eastAsia="仿宋"/>
          <w:sz w:val="28"/>
          <w:szCs w:val="28"/>
        </w:rPr>
        <w:t>m</w:t>
      </w:r>
      <w:r>
        <w:rPr>
          <w:rFonts w:ascii="Times New Roman" w:hAnsi="Times New Roman" w:eastAsia="仿宋"/>
          <w:sz w:val="28"/>
          <w:szCs w:val="28"/>
          <w:vertAlign w:val="superscript"/>
        </w:rPr>
        <w:t>3</w:t>
      </w:r>
      <w:r>
        <w:rPr>
          <w:rFonts w:ascii="Times New Roman" w:hAnsi="Times New Roman" w:eastAsia="仿宋"/>
          <w:sz w:val="28"/>
          <w:szCs w:val="28"/>
        </w:rPr>
        <w:t>/亩。</w:t>
      </w:r>
      <w:r>
        <w:rPr>
          <w:rFonts w:hint="eastAsia" w:ascii="Times New Roman" w:hAnsi="Times New Roman" w:eastAsia="仿宋"/>
          <w:position w:val="-4"/>
          <w:sz w:val="28"/>
          <w:szCs w:val="28"/>
        </w:rPr>
        <w:t>本项目年实际需水量为</w:t>
      </w:r>
      <w:r>
        <w:rPr>
          <w:rFonts w:ascii="Times New Roman" w:hAnsi="Times New Roman" w:eastAsia="仿宋"/>
          <w:position w:val="-4"/>
          <w:sz w:val="28"/>
          <w:szCs w:val="28"/>
        </w:rPr>
        <w:t>14000万</w:t>
      </w:r>
      <w:r>
        <w:rPr>
          <w:rFonts w:ascii="Times New Roman" w:hAnsi="Times New Roman" w:eastAsia="仿宋"/>
          <w:sz w:val="28"/>
          <w:szCs w:val="28"/>
        </w:rPr>
        <w:t>m</w:t>
      </w:r>
      <w:r>
        <w:rPr>
          <w:rFonts w:ascii="Times New Roman" w:hAnsi="Times New Roman" w:eastAsia="仿宋"/>
          <w:sz w:val="28"/>
          <w:szCs w:val="28"/>
          <w:vertAlign w:val="superscript"/>
        </w:rPr>
        <w:t>3</w:t>
      </w:r>
      <w:r>
        <w:rPr>
          <w:rFonts w:ascii="Times New Roman" w:hAnsi="Times New Roman" w:eastAsia="仿宋"/>
          <w:position w:val="-4"/>
          <w:sz w:val="28"/>
          <w:szCs w:val="28"/>
        </w:rPr>
        <w:t>。</w:t>
      </w:r>
    </w:p>
    <w:p>
      <w:pPr>
        <w:ind w:firstLine="562"/>
        <w:rPr>
          <w:rFonts w:cs="Times New Roman"/>
        </w:rPr>
      </w:pPr>
      <w:r>
        <w:rPr>
          <w:rFonts w:hint="eastAsia" w:cs="Times New Roman"/>
          <w:b/>
          <w:bCs/>
        </w:rPr>
        <w:t>水费收缴率：</w:t>
      </w:r>
      <w:r>
        <w:rPr>
          <w:rFonts w:hint="eastAsia" w:cs="Times New Roman"/>
        </w:rPr>
        <w:t>根据现状调研，高效节水灌溉收缴率在</w:t>
      </w:r>
      <w:r>
        <w:rPr>
          <w:rFonts w:cs="Times New Roman"/>
        </w:rPr>
        <w:t>95%</w:t>
      </w:r>
      <w:r>
        <w:rPr>
          <w:rFonts w:hint="eastAsia" w:cs="Times New Roman"/>
        </w:rPr>
        <w:t>以上，测算时按照9</w:t>
      </w:r>
      <w:r>
        <w:rPr>
          <w:rFonts w:cs="Times New Roman"/>
        </w:rPr>
        <w:t>5%计算</w:t>
      </w:r>
      <w:r>
        <w:rPr>
          <w:rFonts w:hint="eastAsia" w:cs="Times New Roman"/>
        </w:rPr>
        <w:t>。</w:t>
      </w:r>
    </w:p>
    <w:p>
      <w:pPr>
        <w:pStyle w:val="4"/>
        <w:ind w:firstLine="562"/>
        <w:rPr>
          <w:rFonts w:cs="Times New Roman"/>
        </w:rPr>
      </w:pPr>
      <w:r>
        <w:rPr>
          <w:rFonts w:hint="eastAsia" w:cs="Times New Roman"/>
        </w:rPr>
        <w:t>（二）可行性缺口补助</w:t>
      </w:r>
    </w:p>
    <w:p>
      <w:pPr>
        <w:ind w:firstLine="560"/>
        <w:rPr>
          <w:rFonts w:cs="Times New Roman"/>
        </w:rPr>
      </w:pPr>
      <w:r>
        <w:rPr>
          <w:rFonts w:cs="Times New Roman"/>
        </w:rPr>
        <w:t>本项目执行全成本水价，为使用者付费项目，无可行性缺口补助。</w:t>
      </w:r>
    </w:p>
    <w:p>
      <w:pPr>
        <w:pStyle w:val="3"/>
        <w:ind w:firstLine="643" w:firstLineChars="200"/>
        <w:rPr>
          <w:szCs w:val="24"/>
        </w:rPr>
      </w:pPr>
      <w:bookmarkStart w:id="67" w:name="_Toc148432366"/>
      <w:r>
        <w:rPr>
          <w:rFonts w:hint="eastAsia"/>
          <w:szCs w:val="24"/>
        </w:rPr>
        <w:t>五、</w:t>
      </w:r>
      <w:bookmarkStart w:id="68" w:name="_Hlk99744356"/>
      <w:r>
        <w:rPr>
          <w:rFonts w:hint="eastAsia"/>
          <w:szCs w:val="24"/>
        </w:rPr>
        <w:t>财务测算分析</w:t>
      </w:r>
      <w:bookmarkEnd w:id="67"/>
    </w:p>
    <w:p>
      <w:pPr>
        <w:pStyle w:val="4"/>
        <w:ind w:firstLine="562"/>
        <w:rPr>
          <w:rFonts w:cs="Times New Roman"/>
          <w:color w:val="000000" w:themeColor="text1"/>
          <w14:textFill>
            <w14:solidFill>
              <w14:schemeClr w14:val="tx1"/>
            </w14:solidFill>
          </w14:textFill>
        </w:rPr>
      </w:pPr>
      <w:r>
        <w:rPr>
          <w:rFonts w:hint="eastAsia" w:cs="Times New Roman"/>
          <w:color w:val="000000" w:themeColor="text1"/>
          <w14:textFill>
            <w14:solidFill>
              <w14:schemeClr w14:val="tx1"/>
            </w14:solidFill>
          </w14:textFill>
        </w:rPr>
        <w:t>（一）财务测算结果</w:t>
      </w:r>
    </w:p>
    <w:p>
      <w:pPr>
        <w:ind w:firstLine="560"/>
        <w:rPr>
          <w:rFonts w:cs="Times New Roman"/>
        </w:rPr>
      </w:pPr>
      <w:r>
        <w:rPr>
          <w:rFonts w:hint="eastAsia" w:cs="Times New Roman"/>
        </w:rPr>
        <w:t>根据上述条件以及测算结果，可以求得本项目的相关财务指标如下表：</w:t>
      </w:r>
    </w:p>
    <w:p>
      <w:pPr>
        <w:ind w:firstLine="482"/>
        <w:jc w:val="center"/>
        <w:rPr>
          <w:rFonts w:cs="Times New Roman"/>
          <w:b/>
          <w:bCs/>
          <w:color w:val="000000" w:themeColor="text1"/>
          <w:sz w:val="24"/>
          <w:szCs w:val="24"/>
          <w14:textFill>
            <w14:solidFill>
              <w14:schemeClr w14:val="tx1"/>
            </w14:solidFill>
          </w14:textFill>
        </w:rPr>
      </w:pPr>
      <w:r>
        <w:rPr>
          <w:rFonts w:hint="eastAsia" w:cs="Times New Roman"/>
          <w:b/>
          <w:bCs/>
          <w:color w:val="000000" w:themeColor="text1"/>
          <w:sz w:val="24"/>
          <w:szCs w:val="24"/>
          <w14:textFill>
            <w14:solidFill>
              <w14:schemeClr w14:val="tx1"/>
            </w14:solidFill>
          </w14:textFill>
        </w:rPr>
        <w:t>表</w:t>
      </w:r>
      <w:r>
        <w:rPr>
          <w:rFonts w:cs="Times New Roman"/>
          <w:b/>
          <w:bCs/>
          <w:color w:val="000000" w:themeColor="text1"/>
          <w:sz w:val="24"/>
          <w:szCs w:val="24"/>
          <w14:textFill>
            <w14:solidFill>
              <w14:schemeClr w14:val="tx1"/>
            </w14:solidFill>
          </w14:textFill>
        </w:rPr>
        <w:t>6-3</w:t>
      </w:r>
      <w:r>
        <w:rPr>
          <w:rFonts w:hint="eastAsia" w:cs="Times New Roman"/>
          <w:b/>
          <w:bCs/>
          <w:color w:val="000000" w:themeColor="text1"/>
          <w:sz w:val="24"/>
          <w:szCs w:val="24"/>
          <w14:textFill>
            <w14:solidFill>
              <w14:schemeClr w14:val="tx1"/>
            </w14:solidFill>
          </w14:textFill>
        </w:rPr>
        <w:t>财务测算指标</w:t>
      </w:r>
    </w:p>
    <w:tbl>
      <w:tblPr>
        <w:tblStyle w:val="5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9"/>
        <w:gridCol w:w="3469"/>
        <w:gridCol w:w="1596"/>
        <w:gridCol w:w="32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9" w:type="dxa"/>
            <w:shd w:val="clear" w:color="auto" w:fill="D8D8D8" w:themeFill="background1" w:themeFillShade="D9"/>
            <w:vAlign w:val="center"/>
          </w:tcPr>
          <w:p>
            <w:pPr>
              <w:spacing w:line="264" w:lineRule="auto"/>
              <w:ind w:firstLine="0" w:firstLineChars="0"/>
              <w:jc w:val="center"/>
              <w:rPr>
                <w:rFonts w:cs="Times New Roman"/>
                <w:b/>
                <w:bCs/>
                <w:color w:val="000000" w:themeColor="text1"/>
                <w:kern w:val="0"/>
                <w:sz w:val="24"/>
                <w:szCs w:val="24"/>
                <w14:textFill>
                  <w14:solidFill>
                    <w14:schemeClr w14:val="tx1"/>
                  </w14:solidFill>
                </w14:textFill>
              </w:rPr>
            </w:pPr>
            <w:r>
              <w:rPr>
                <w:rFonts w:hint="eastAsia" w:cs="Times New Roman"/>
                <w:b/>
                <w:bCs/>
                <w:color w:val="000000" w:themeColor="text1"/>
                <w:kern w:val="0"/>
                <w:sz w:val="24"/>
                <w:szCs w:val="24"/>
                <w14:textFill>
                  <w14:solidFill>
                    <w14:schemeClr w14:val="tx1"/>
                  </w14:solidFill>
                </w14:textFill>
              </w:rPr>
              <w:t>序号</w:t>
            </w:r>
          </w:p>
        </w:tc>
        <w:tc>
          <w:tcPr>
            <w:tcW w:w="5065" w:type="dxa"/>
            <w:gridSpan w:val="2"/>
            <w:shd w:val="clear" w:color="auto" w:fill="D8D8D8" w:themeFill="background1" w:themeFillShade="D9"/>
            <w:vAlign w:val="center"/>
          </w:tcPr>
          <w:p>
            <w:pPr>
              <w:spacing w:line="264" w:lineRule="auto"/>
              <w:ind w:firstLine="0" w:firstLineChars="0"/>
              <w:jc w:val="center"/>
              <w:rPr>
                <w:rFonts w:cs="Times New Roman"/>
                <w:b/>
                <w:bCs/>
                <w:color w:val="000000" w:themeColor="text1"/>
                <w:kern w:val="0"/>
                <w:sz w:val="24"/>
                <w:szCs w:val="24"/>
                <w14:textFill>
                  <w14:solidFill>
                    <w14:schemeClr w14:val="tx1"/>
                  </w14:solidFill>
                </w14:textFill>
              </w:rPr>
            </w:pPr>
            <w:r>
              <w:rPr>
                <w:rFonts w:hint="eastAsia" w:cs="Times New Roman"/>
                <w:b/>
                <w:bCs/>
                <w:color w:val="000000" w:themeColor="text1"/>
                <w:kern w:val="0"/>
                <w:sz w:val="24"/>
                <w:szCs w:val="24"/>
                <w14:textFill>
                  <w14:solidFill>
                    <w14:schemeClr w14:val="tx1"/>
                  </w14:solidFill>
                </w14:textFill>
              </w:rPr>
              <w:t>名称</w:t>
            </w:r>
          </w:p>
        </w:tc>
        <w:tc>
          <w:tcPr>
            <w:tcW w:w="3216" w:type="dxa"/>
            <w:shd w:val="clear" w:color="auto" w:fill="D8D8D8" w:themeFill="background1" w:themeFillShade="D9"/>
            <w:vAlign w:val="center"/>
          </w:tcPr>
          <w:p>
            <w:pPr>
              <w:spacing w:line="264" w:lineRule="auto"/>
              <w:ind w:firstLine="0" w:firstLineChars="0"/>
              <w:jc w:val="center"/>
              <w:rPr>
                <w:rFonts w:cs="Times New Roman"/>
                <w:b/>
                <w:bCs/>
                <w:color w:val="000000" w:themeColor="text1"/>
                <w:kern w:val="0"/>
                <w:sz w:val="24"/>
                <w:szCs w:val="24"/>
                <w14:textFill>
                  <w14:solidFill>
                    <w14:schemeClr w14:val="tx1"/>
                  </w14:solidFill>
                </w14:textFill>
              </w:rPr>
            </w:pPr>
            <w:r>
              <w:rPr>
                <w:rFonts w:hint="eastAsia" w:cs="Times New Roman"/>
                <w:b/>
                <w:bCs/>
                <w:color w:val="000000" w:themeColor="text1"/>
                <w:kern w:val="0"/>
                <w:sz w:val="24"/>
                <w:szCs w:val="24"/>
                <w14:textFill>
                  <w14:solidFill>
                    <w14:schemeClr w14:val="tx1"/>
                  </w14:solidFill>
                </w14:textFill>
              </w:rPr>
              <w:t>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9" w:type="dxa"/>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1</w:t>
            </w:r>
          </w:p>
        </w:tc>
        <w:tc>
          <w:tcPr>
            <w:tcW w:w="5065" w:type="dxa"/>
            <w:gridSpan w:val="2"/>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年均营业收入（万元）（新建+存量）</w:t>
            </w:r>
          </w:p>
        </w:tc>
        <w:tc>
          <w:tcPr>
            <w:tcW w:w="3216" w:type="dxa"/>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 xml:space="preserve">10,187.80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9" w:type="dxa"/>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2</w:t>
            </w:r>
          </w:p>
        </w:tc>
        <w:tc>
          <w:tcPr>
            <w:tcW w:w="5065" w:type="dxa"/>
            <w:gridSpan w:val="2"/>
            <w:tcBorders>
              <w:bottom w:val="single" w:color="auto" w:sz="4" w:space="0"/>
            </w:tcBorders>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年均使用者付费（万元）</w:t>
            </w:r>
          </w:p>
        </w:tc>
        <w:tc>
          <w:tcPr>
            <w:tcW w:w="3216" w:type="dxa"/>
            <w:tcBorders>
              <w:bottom w:val="single" w:color="auto" w:sz="4" w:space="0"/>
            </w:tcBorders>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10,187.80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779" w:type="dxa"/>
            <w:vMerge w:val="restart"/>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3</w:t>
            </w:r>
          </w:p>
        </w:tc>
        <w:tc>
          <w:tcPr>
            <w:tcW w:w="3469" w:type="dxa"/>
            <w:vMerge w:val="restart"/>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年度运营成本（万元）</w:t>
            </w:r>
          </w:p>
        </w:tc>
        <w:tc>
          <w:tcPr>
            <w:tcW w:w="1596" w:type="dxa"/>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质保</w:t>
            </w:r>
            <w:r>
              <w:rPr>
                <w:rFonts w:cs="Times New Roman"/>
                <w:color w:val="000000" w:themeColor="text1"/>
                <w:kern w:val="0"/>
                <w:sz w:val="24"/>
                <w:szCs w:val="24"/>
                <w14:textFill>
                  <w14:solidFill>
                    <w14:schemeClr w14:val="tx1"/>
                  </w14:solidFill>
                </w14:textFill>
              </w:rPr>
              <w:t>结束</w:t>
            </w:r>
          </w:p>
        </w:tc>
        <w:tc>
          <w:tcPr>
            <w:tcW w:w="3216" w:type="dxa"/>
            <w:tcBorders>
              <w:bottom w:val="single" w:color="auto" w:sz="4" w:space="0"/>
            </w:tcBorders>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5,736.07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779" w:type="dxa"/>
            <w:vMerge w:val="continue"/>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p>
        </w:tc>
        <w:tc>
          <w:tcPr>
            <w:tcW w:w="3469" w:type="dxa"/>
            <w:vMerge w:val="continue"/>
            <w:tcBorders>
              <w:bottom w:val="nil"/>
            </w:tcBorders>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p>
        </w:tc>
        <w:tc>
          <w:tcPr>
            <w:tcW w:w="1596" w:type="dxa"/>
            <w:tcBorders>
              <w:bottom w:val="nil"/>
            </w:tcBorders>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质保期间</w:t>
            </w:r>
          </w:p>
        </w:tc>
        <w:tc>
          <w:tcPr>
            <w:tcW w:w="3216" w:type="dxa"/>
            <w:tcBorders>
              <w:top w:val="single" w:color="auto" w:sz="4" w:space="0"/>
              <w:bottom w:val="single" w:color="auto" w:sz="4" w:space="0"/>
            </w:tcBorders>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5,209.92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9" w:type="dxa"/>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4</w:t>
            </w:r>
          </w:p>
        </w:tc>
        <w:tc>
          <w:tcPr>
            <w:tcW w:w="5065" w:type="dxa"/>
            <w:gridSpan w:val="2"/>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年均可行性缺口补助（万元）</w:t>
            </w:r>
          </w:p>
        </w:tc>
        <w:tc>
          <w:tcPr>
            <w:tcW w:w="3216" w:type="dxa"/>
            <w:tcBorders>
              <w:top w:val="single" w:color="auto" w:sz="4" w:space="0"/>
            </w:tcBorders>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9" w:type="dxa"/>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5</w:t>
            </w:r>
          </w:p>
        </w:tc>
        <w:tc>
          <w:tcPr>
            <w:tcW w:w="5065" w:type="dxa"/>
            <w:gridSpan w:val="2"/>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结算水价（元/</w:t>
            </w:r>
            <w:r>
              <w:rPr>
                <w:rFonts w:cs="Times New Roman"/>
                <w:color w:val="000000" w:themeColor="text1"/>
                <w:kern w:val="0"/>
                <w:sz w:val="24"/>
                <w:szCs w:val="24"/>
                <w14:textFill>
                  <w14:solidFill>
                    <w14:schemeClr w14:val="tx1"/>
                  </w14:solidFill>
                </w14:textFill>
              </w:rPr>
              <w:t>m</w:t>
            </w:r>
            <w:r>
              <w:rPr>
                <w:rFonts w:cs="Times New Roman"/>
                <w:color w:val="000000" w:themeColor="text1"/>
                <w:kern w:val="0"/>
                <w:sz w:val="24"/>
                <w:szCs w:val="24"/>
                <w:vertAlign w:val="superscript"/>
                <w14:textFill>
                  <w14:solidFill>
                    <w14:schemeClr w14:val="tx1"/>
                  </w14:solidFill>
                </w14:textFill>
              </w:rPr>
              <w:t>3</w:t>
            </w:r>
            <w:r>
              <w:rPr>
                <w:rFonts w:hint="eastAsia" w:cs="Times New Roman"/>
                <w:color w:val="000000" w:themeColor="text1"/>
                <w:kern w:val="0"/>
                <w:sz w:val="24"/>
                <w:szCs w:val="24"/>
                <w14:textFill>
                  <w14:solidFill>
                    <w14:schemeClr w14:val="tx1"/>
                  </w14:solidFill>
                </w14:textFill>
              </w:rPr>
              <w:t>）</w:t>
            </w:r>
          </w:p>
        </w:tc>
        <w:tc>
          <w:tcPr>
            <w:tcW w:w="3216" w:type="dxa"/>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0.766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9" w:type="dxa"/>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6</w:t>
            </w:r>
          </w:p>
        </w:tc>
        <w:tc>
          <w:tcPr>
            <w:tcW w:w="5065" w:type="dxa"/>
            <w:gridSpan w:val="2"/>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全部使用者付费占全部社会资本方收入的比例</w:t>
            </w:r>
          </w:p>
        </w:tc>
        <w:tc>
          <w:tcPr>
            <w:tcW w:w="3216" w:type="dxa"/>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9" w:type="dxa"/>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7</w:t>
            </w:r>
          </w:p>
        </w:tc>
        <w:tc>
          <w:tcPr>
            <w:tcW w:w="5065" w:type="dxa"/>
            <w:gridSpan w:val="2"/>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社会资本方资本金内部收益率（税后）</w:t>
            </w:r>
          </w:p>
        </w:tc>
        <w:tc>
          <w:tcPr>
            <w:tcW w:w="3216" w:type="dxa"/>
            <w:vAlign w:val="center"/>
          </w:tcPr>
          <w:p>
            <w:pPr>
              <w:spacing w:line="264"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5.50%</w:t>
            </w:r>
          </w:p>
        </w:tc>
      </w:tr>
    </w:tbl>
    <w:p>
      <w:pPr>
        <w:ind w:firstLine="482"/>
        <w:jc w:val="center"/>
        <w:rPr>
          <w:rFonts w:cs="Times New Roman"/>
          <w:b/>
          <w:bCs/>
          <w:color w:val="000000" w:themeColor="text1"/>
          <w:sz w:val="24"/>
          <w:szCs w:val="24"/>
          <w14:textFill>
            <w14:solidFill>
              <w14:schemeClr w14:val="tx1"/>
            </w14:solidFill>
          </w14:textFill>
        </w:rPr>
      </w:pPr>
      <w:r>
        <w:rPr>
          <w:rFonts w:hint="eastAsia" w:cs="Times New Roman"/>
          <w:b/>
          <w:bCs/>
          <w:color w:val="000000" w:themeColor="text1"/>
          <w:sz w:val="24"/>
          <w:szCs w:val="24"/>
          <w14:textFill>
            <w14:solidFill>
              <w14:schemeClr w14:val="tx1"/>
            </w14:solidFill>
          </w14:textFill>
        </w:rPr>
        <w:t>表</w:t>
      </w:r>
      <w:r>
        <w:rPr>
          <w:rFonts w:cs="Times New Roman"/>
          <w:b/>
          <w:bCs/>
          <w:color w:val="000000" w:themeColor="text1"/>
          <w:sz w:val="24"/>
          <w:szCs w:val="24"/>
          <w14:textFill>
            <w14:solidFill>
              <w14:schemeClr w14:val="tx1"/>
            </w14:solidFill>
          </w14:textFill>
        </w:rPr>
        <w:t>6-4</w:t>
      </w:r>
      <w:r>
        <w:rPr>
          <w:rFonts w:hint="eastAsia" w:cs="Times New Roman"/>
          <w:b/>
          <w:bCs/>
          <w:color w:val="000000" w:themeColor="text1"/>
          <w:sz w:val="24"/>
          <w:szCs w:val="24"/>
          <w14:textFill>
            <w14:solidFill>
              <w14:schemeClr w14:val="tx1"/>
            </w14:solidFill>
          </w14:textFill>
        </w:rPr>
        <w:t>运营期营业收入金额（单位：万元）</w:t>
      </w:r>
    </w:p>
    <w:tbl>
      <w:tblPr>
        <w:tblStyle w:val="3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4"/>
        <w:gridCol w:w="1588"/>
        <w:gridCol w:w="2043"/>
        <w:gridCol w:w="1016"/>
        <w:gridCol w:w="1597"/>
        <w:gridCol w:w="20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pct"/>
            <w:vAlign w:val="center"/>
          </w:tcPr>
          <w:p>
            <w:pPr>
              <w:spacing w:line="240" w:lineRule="auto"/>
              <w:ind w:firstLine="0" w:firstLineChars="0"/>
              <w:jc w:val="center"/>
              <w:rPr>
                <w:rFonts w:cs="Times New Roman"/>
                <w:b/>
                <w:bCs/>
                <w:sz w:val="24"/>
                <w:szCs w:val="24"/>
              </w:rPr>
            </w:pPr>
            <w:r>
              <w:rPr>
                <w:rFonts w:hint="eastAsia" w:cs="Times New Roman"/>
                <w:b/>
                <w:bCs/>
                <w:sz w:val="24"/>
                <w:szCs w:val="24"/>
              </w:rPr>
              <w:t>运营期</w:t>
            </w:r>
          </w:p>
        </w:tc>
        <w:tc>
          <w:tcPr>
            <w:tcW w:w="855" w:type="pct"/>
            <w:vAlign w:val="center"/>
          </w:tcPr>
          <w:p>
            <w:pPr>
              <w:spacing w:line="240" w:lineRule="auto"/>
              <w:ind w:firstLine="0" w:firstLineChars="0"/>
              <w:jc w:val="center"/>
              <w:rPr>
                <w:rFonts w:cs="Times New Roman"/>
                <w:b/>
                <w:bCs/>
                <w:sz w:val="24"/>
                <w:szCs w:val="24"/>
              </w:rPr>
            </w:pPr>
            <w:r>
              <w:rPr>
                <w:rFonts w:hint="eastAsia" w:cs="Times New Roman"/>
                <w:b/>
                <w:bCs/>
                <w:sz w:val="24"/>
                <w:szCs w:val="24"/>
              </w:rPr>
              <w:t>灌溉收入</w:t>
            </w:r>
          </w:p>
        </w:tc>
        <w:tc>
          <w:tcPr>
            <w:tcW w:w="1100" w:type="pct"/>
            <w:vAlign w:val="center"/>
          </w:tcPr>
          <w:p>
            <w:pPr>
              <w:spacing w:line="240" w:lineRule="auto"/>
              <w:ind w:firstLine="0" w:firstLineChars="0"/>
              <w:jc w:val="center"/>
              <w:rPr>
                <w:rFonts w:cs="Times New Roman"/>
                <w:b/>
                <w:bCs/>
                <w:sz w:val="24"/>
                <w:szCs w:val="24"/>
              </w:rPr>
            </w:pPr>
            <w:r>
              <w:rPr>
                <w:rFonts w:hint="eastAsia" w:cs="Times New Roman"/>
                <w:b/>
                <w:bCs/>
                <w:sz w:val="24"/>
                <w:szCs w:val="24"/>
              </w:rPr>
              <w:t>可行性缺口补助</w:t>
            </w:r>
          </w:p>
        </w:tc>
        <w:tc>
          <w:tcPr>
            <w:tcW w:w="547" w:type="pct"/>
            <w:vAlign w:val="center"/>
          </w:tcPr>
          <w:p>
            <w:pPr>
              <w:spacing w:line="240" w:lineRule="auto"/>
              <w:ind w:firstLine="0" w:firstLineChars="0"/>
              <w:jc w:val="center"/>
              <w:rPr>
                <w:rFonts w:cs="Times New Roman"/>
                <w:b/>
                <w:bCs/>
                <w:sz w:val="24"/>
                <w:szCs w:val="24"/>
              </w:rPr>
            </w:pPr>
            <w:r>
              <w:rPr>
                <w:rFonts w:hint="eastAsia" w:cs="Times New Roman"/>
                <w:b/>
                <w:bCs/>
                <w:sz w:val="24"/>
                <w:szCs w:val="24"/>
              </w:rPr>
              <w:t>运营期</w:t>
            </w:r>
          </w:p>
        </w:tc>
        <w:tc>
          <w:tcPr>
            <w:tcW w:w="860" w:type="pct"/>
            <w:vAlign w:val="center"/>
          </w:tcPr>
          <w:p>
            <w:pPr>
              <w:spacing w:line="240" w:lineRule="auto"/>
              <w:ind w:firstLine="0" w:firstLineChars="0"/>
              <w:jc w:val="center"/>
              <w:rPr>
                <w:rFonts w:cs="Times New Roman"/>
                <w:b/>
                <w:bCs/>
                <w:sz w:val="24"/>
                <w:szCs w:val="24"/>
              </w:rPr>
            </w:pPr>
            <w:r>
              <w:rPr>
                <w:rFonts w:hint="eastAsia" w:cs="Times New Roman"/>
                <w:b/>
                <w:bCs/>
                <w:sz w:val="24"/>
                <w:szCs w:val="24"/>
              </w:rPr>
              <w:t>灌溉收入</w:t>
            </w:r>
          </w:p>
        </w:tc>
        <w:tc>
          <w:tcPr>
            <w:tcW w:w="1087" w:type="pct"/>
            <w:vAlign w:val="center"/>
          </w:tcPr>
          <w:p>
            <w:pPr>
              <w:spacing w:line="240" w:lineRule="auto"/>
              <w:ind w:firstLine="0" w:firstLineChars="0"/>
              <w:jc w:val="center"/>
              <w:rPr>
                <w:rFonts w:cs="Times New Roman"/>
                <w:b/>
                <w:bCs/>
                <w:sz w:val="24"/>
                <w:szCs w:val="24"/>
              </w:rPr>
            </w:pPr>
            <w:r>
              <w:rPr>
                <w:rFonts w:hint="eastAsia" w:cs="Times New Roman"/>
                <w:b/>
                <w:bCs/>
                <w:sz w:val="24"/>
                <w:szCs w:val="24"/>
              </w:rPr>
              <w:t>可行性缺口补助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pct"/>
            <w:vAlign w:val="center"/>
          </w:tcPr>
          <w:p>
            <w:pPr>
              <w:spacing w:line="240" w:lineRule="auto"/>
              <w:ind w:firstLine="0" w:firstLineChars="0"/>
              <w:jc w:val="center"/>
              <w:rPr>
                <w:rFonts w:cs="Times New Roman"/>
                <w:sz w:val="24"/>
                <w:szCs w:val="24"/>
              </w:rPr>
            </w:pPr>
            <w:r>
              <w:rPr>
                <w:rFonts w:cs="Times New Roman"/>
                <w:sz w:val="24"/>
                <w:szCs w:val="24"/>
              </w:rPr>
              <w:t>1</w:t>
            </w:r>
          </w:p>
        </w:tc>
        <w:tc>
          <w:tcPr>
            <w:tcW w:w="855" w:type="pct"/>
          </w:tcPr>
          <w:p>
            <w:pPr>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lang w:bidi="ar"/>
                <w14:textFill>
                  <w14:solidFill>
                    <w14:schemeClr w14:val="tx1"/>
                  </w14:solidFill>
                </w14:textFill>
              </w:rPr>
              <w:t>10,187.80</w:t>
            </w:r>
          </w:p>
        </w:tc>
        <w:tc>
          <w:tcPr>
            <w:tcW w:w="1100" w:type="pct"/>
            <w:vAlign w:val="center"/>
          </w:tcPr>
          <w:p>
            <w:pPr>
              <w:spacing w:line="240" w:lineRule="auto"/>
              <w:ind w:firstLine="0" w:firstLineChars="0"/>
              <w:jc w:val="center"/>
              <w:rPr>
                <w:rFonts w:cs="Times New Roman"/>
                <w:sz w:val="24"/>
                <w:szCs w:val="24"/>
              </w:rPr>
            </w:pPr>
            <w:r>
              <w:rPr>
                <w:sz w:val="24"/>
                <w:szCs w:val="24"/>
              </w:rPr>
              <w:t>0.00</w:t>
            </w:r>
          </w:p>
        </w:tc>
        <w:tc>
          <w:tcPr>
            <w:tcW w:w="547" w:type="pct"/>
            <w:vAlign w:val="center"/>
          </w:tcPr>
          <w:p>
            <w:pPr>
              <w:spacing w:line="240" w:lineRule="auto"/>
              <w:ind w:firstLine="0" w:firstLineChars="0"/>
              <w:jc w:val="center"/>
              <w:rPr>
                <w:rFonts w:cs="Times New Roman"/>
                <w:sz w:val="24"/>
                <w:szCs w:val="24"/>
              </w:rPr>
            </w:pPr>
            <w:r>
              <w:rPr>
                <w:rFonts w:hint="eastAsia" w:cs="Times New Roman"/>
                <w:sz w:val="24"/>
                <w:szCs w:val="24"/>
              </w:rPr>
              <w:t>1</w:t>
            </w:r>
            <w:r>
              <w:rPr>
                <w:rFonts w:cs="Times New Roman"/>
                <w:sz w:val="24"/>
                <w:szCs w:val="24"/>
              </w:rPr>
              <w:t>5</w:t>
            </w:r>
          </w:p>
        </w:tc>
        <w:tc>
          <w:tcPr>
            <w:tcW w:w="860" w:type="pct"/>
          </w:tcPr>
          <w:p>
            <w:pPr>
              <w:spacing w:line="240" w:lineRule="auto"/>
              <w:ind w:firstLine="0" w:firstLineChars="0"/>
              <w:jc w:val="center"/>
            </w:pPr>
            <w:r>
              <w:rPr>
                <w:rFonts w:cs="Times New Roman"/>
                <w:color w:val="000000" w:themeColor="text1"/>
                <w:kern w:val="0"/>
                <w:sz w:val="24"/>
                <w:szCs w:val="24"/>
                <w:lang w:bidi="ar"/>
                <w14:textFill>
                  <w14:solidFill>
                    <w14:schemeClr w14:val="tx1"/>
                  </w14:solidFill>
                </w14:textFill>
              </w:rPr>
              <w:t>10,187.80</w:t>
            </w:r>
          </w:p>
        </w:tc>
        <w:tc>
          <w:tcPr>
            <w:tcW w:w="1087" w:type="pct"/>
            <w:vAlign w:val="center"/>
          </w:tcPr>
          <w:p>
            <w:pPr>
              <w:spacing w:line="240" w:lineRule="auto"/>
              <w:ind w:firstLine="0" w:firstLineChars="0"/>
              <w:jc w:val="center"/>
            </w:pPr>
            <w:r>
              <w:rPr>
                <w:sz w:val="24"/>
                <w:szCs w:val="24"/>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pct"/>
            <w:vAlign w:val="center"/>
          </w:tcPr>
          <w:p>
            <w:pPr>
              <w:spacing w:line="240" w:lineRule="auto"/>
              <w:ind w:firstLine="0" w:firstLineChars="0"/>
              <w:jc w:val="center"/>
              <w:rPr>
                <w:rFonts w:cs="Times New Roman"/>
                <w:sz w:val="24"/>
                <w:szCs w:val="24"/>
              </w:rPr>
            </w:pPr>
            <w:r>
              <w:rPr>
                <w:rFonts w:cs="Times New Roman"/>
                <w:sz w:val="24"/>
                <w:szCs w:val="24"/>
              </w:rPr>
              <w:t>2</w:t>
            </w:r>
          </w:p>
        </w:tc>
        <w:tc>
          <w:tcPr>
            <w:tcW w:w="855" w:type="pct"/>
          </w:tcPr>
          <w:p>
            <w:pPr>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lang w:bidi="ar"/>
                <w14:textFill>
                  <w14:solidFill>
                    <w14:schemeClr w14:val="tx1"/>
                  </w14:solidFill>
                </w14:textFill>
              </w:rPr>
              <w:t>10,187.80</w:t>
            </w:r>
          </w:p>
        </w:tc>
        <w:tc>
          <w:tcPr>
            <w:tcW w:w="1100" w:type="pct"/>
            <w:vAlign w:val="center"/>
          </w:tcPr>
          <w:p>
            <w:pPr>
              <w:spacing w:line="240" w:lineRule="auto"/>
              <w:ind w:firstLine="0" w:firstLineChars="0"/>
              <w:jc w:val="center"/>
            </w:pPr>
            <w:r>
              <w:rPr>
                <w:sz w:val="24"/>
                <w:szCs w:val="24"/>
              </w:rPr>
              <w:t>0.00</w:t>
            </w:r>
          </w:p>
        </w:tc>
        <w:tc>
          <w:tcPr>
            <w:tcW w:w="547" w:type="pct"/>
            <w:vAlign w:val="center"/>
          </w:tcPr>
          <w:p>
            <w:pPr>
              <w:spacing w:line="240" w:lineRule="auto"/>
              <w:ind w:firstLine="0" w:firstLineChars="0"/>
              <w:jc w:val="center"/>
              <w:rPr>
                <w:rFonts w:cs="Times New Roman"/>
                <w:sz w:val="24"/>
                <w:szCs w:val="24"/>
              </w:rPr>
            </w:pPr>
            <w:r>
              <w:rPr>
                <w:rFonts w:cs="Times New Roman"/>
                <w:sz w:val="24"/>
                <w:szCs w:val="24"/>
              </w:rPr>
              <w:t>16</w:t>
            </w:r>
          </w:p>
        </w:tc>
        <w:tc>
          <w:tcPr>
            <w:tcW w:w="860" w:type="pct"/>
          </w:tcPr>
          <w:p>
            <w:pPr>
              <w:spacing w:line="240" w:lineRule="auto"/>
              <w:ind w:firstLine="0" w:firstLineChars="0"/>
              <w:jc w:val="center"/>
            </w:pPr>
            <w:r>
              <w:rPr>
                <w:rFonts w:cs="Times New Roman"/>
                <w:color w:val="000000" w:themeColor="text1"/>
                <w:kern w:val="0"/>
                <w:sz w:val="24"/>
                <w:szCs w:val="24"/>
                <w:lang w:bidi="ar"/>
                <w14:textFill>
                  <w14:solidFill>
                    <w14:schemeClr w14:val="tx1"/>
                  </w14:solidFill>
                </w14:textFill>
              </w:rPr>
              <w:t>10,187.80</w:t>
            </w:r>
          </w:p>
        </w:tc>
        <w:tc>
          <w:tcPr>
            <w:tcW w:w="1087" w:type="pct"/>
            <w:vAlign w:val="center"/>
          </w:tcPr>
          <w:p>
            <w:pPr>
              <w:spacing w:line="240" w:lineRule="auto"/>
              <w:ind w:firstLine="0" w:firstLineChars="0"/>
              <w:jc w:val="center"/>
            </w:pPr>
            <w:r>
              <w:rPr>
                <w:sz w:val="24"/>
                <w:szCs w:val="24"/>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pct"/>
            <w:vAlign w:val="center"/>
          </w:tcPr>
          <w:p>
            <w:pPr>
              <w:spacing w:line="240" w:lineRule="auto"/>
              <w:ind w:firstLine="0" w:firstLineChars="0"/>
              <w:jc w:val="center"/>
              <w:rPr>
                <w:rFonts w:cs="Times New Roman"/>
                <w:sz w:val="24"/>
                <w:szCs w:val="24"/>
              </w:rPr>
            </w:pPr>
            <w:r>
              <w:rPr>
                <w:rFonts w:cs="Times New Roman"/>
                <w:sz w:val="24"/>
                <w:szCs w:val="24"/>
              </w:rPr>
              <w:t>3</w:t>
            </w:r>
          </w:p>
        </w:tc>
        <w:tc>
          <w:tcPr>
            <w:tcW w:w="855" w:type="pct"/>
          </w:tcPr>
          <w:p>
            <w:pPr>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lang w:bidi="ar"/>
                <w14:textFill>
                  <w14:solidFill>
                    <w14:schemeClr w14:val="tx1"/>
                  </w14:solidFill>
                </w14:textFill>
              </w:rPr>
              <w:t>10,187.80</w:t>
            </w:r>
          </w:p>
        </w:tc>
        <w:tc>
          <w:tcPr>
            <w:tcW w:w="1100" w:type="pct"/>
            <w:vAlign w:val="center"/>
          </w:tcPr>
          <w:p>
            <w:pPr>
              <w:spacing w:line="240" w:lineRule="auto"/>
              <w:ind w:firstLine="0" w:firstLineChars="0"/>
              <w:jc w:val="center"/>
            </w:pPr>
            <w:r>
              <w:rPr>
                <w:sz w:val="24"/>
                <w:szCs w:val="24"/>
              </w:rPr>
              <w:t>0.00</w:t>
            </w:r>
          </w:p>
        </w:tc>
        <w:tc>
          <w:tcPr>
            <w:tcW w:w="547" w:type="pct"/>
            <w:vAlign w:val="center"/>
          </w:tcPr>
          <w:p>
            <w:pPr>
              <w:spacing w:line="240" w:lineRule="auto"/>
              <w:ind w:firstLine="0" w:firstLineChars="0"/>
              <w:jc w:val="center"/>
              <w:rPr>
                <w:rFonts w:cs="Times New Roman"/>
                <w:sz w:val="24"/>
                <w:szCs w:val="24"/>
              </w:rPr>
            </w:pPr>
            <w:r>
              <w:rPr>
                <w:rFonts w:cs="Times New Roman"/>
                <w:sz w:val="24"/>
                <w:szCs w:val="24"/>
              </w:rPr>
              <w:t>17</w:t>
            </w:r>
          </w:p>
        </w:tc>
        <w:tc>
          <w:tcPr>
            <w:tcW w:w="860" w:type="pct"/>
          </w:tcPr>
          <w:p>
            <w:pPr>
              <w:spacing w:line="240" w:lineRule="auto"/>
              <w:ind w:firstLine="0" w:firstLineChars="0"/>
              <w:jc w:val="center"/>
            </w:pPr>
            <w:r>
              <w:rPr>
                <w:rFonts w:cs="Times New Roman"/>
                <w:color w:val="000000" w:themeColor="text1"/>
                <w:kern w:val="0"/>
                <w:sz w:val="24"/>
                <w:szCs w:val="24"/>
                <w:lang w:bidi="ar"/>
                <w14:textFill>
                  <w14:solidFill>
                    <w14:schemeClr w14:val="tx1"/>
                  </w14:solidFill>
                </w14:textFill>
              </w:rPr>
              <w:t>10,187.80</w:t>
            </w:r>
          </w:p>
        </w:tc>
        <w:tc>
          <w:tcPr>
            <w:tcW w:w="1087" w:type="pct"/>
            <w:vAlign w:val="center"/>
          </w:tcPr>
          <w:p>
            <w:pPr>
              <w:spacing w:line="240" w:lineRule="auto"/>
              <w:ind w:firstLine="0" w:firstLineChars="0"/>
              <w:jc w:val="center"/>
            </w:pPr>
            <w:r>
              <w:rPr>
                <w:sz w:val="24"/>
                <w:szCs w:val="24"/>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pct"/>
            <w:vAlign w:val="center"/>
          </w:tcPr>
          <w:p>
            <w:pPr>
              <w:spacing w:line="240" w:lineRule="auto"/>
              <w:ind w:firstLine="0" w:firstLineChars="0"/>
              <w:jc w:val="center"/>
              <w:rPr>
                <w:rFonts w:cs="Times New Roman"/>
                <w:sz w:val="24"/>
                <w:szCs w:val="24"/>
              </w:rPr>
            </w:pPr>
            <w:r>
              <w:rPr>
                <w:rFonts w:cs="Times New Roman"/>
                <w:sz w:val="24"/>
                <w:szCs w:val="24"/>
              </w:rPr>
              <w:t>4</w:t>
            </w:r>
          </w:p>
        </w:tc>
        <w:tc>
          <w:tcPr>
            <w:tcW w:w="855" w:type="pct"/>
            <w:vAlign w:val="bottom"/>
          </w:tcPr>
          <w:p>
            <w:pPr>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lang w:bidi="ar"/>
                <w14:textFill>
                  <w14:solidFill>
                    <w14:schemeClr w14:val="tx1"/>
                  </w14:solidFill>
                </w14:textFill>
              </w:rPr>
              <w:t>10,187.80</w:t>
            </w:r>
          </w:p>
        </w:tc>
        <w:tc>
          <w:tcPr>
            <w:tcW w:w="1100" w:type="pct"/>
            <w:vAlign w:val="center"/>
          </w:tcPr>
          <w:p>
            <w:pPr>
              <w:spacing w:line="240" w:lineRule="auto"/>
              <w:ind w:firstLine="0" w:firstLineChars="0"/>
              <w:jc w:val="center"/>
            </w:pPr>
            <w:r>
              <w:rPr>
                <w:sz w:val="24"/>
                <w:szCs w:val="24"/>
              </w:rPr>
              <w:t>0.00</w:t>
            </w:r>
          </w:p>
        </w:tc>
        <w:tc>
          <w:tcPr>
            <w:tcW w:w="547" w:type="pct"/>
            <w:vAlign w:val="center"/>
          </w:tcPr>
          <w:p>
            <w:pPr>
              <w:spacing w:line="240" w:lineRule="auto"/>
              <w:ind w:firstLine="0" w:firstLineChars="0"/>
              <w:jc w:val="center"/>
              <w:rPr>
                <w:rFonts w:cs="Times New Roman"/>
                <w:sz w:val="24"/>
                <w:szCs w:val="24"/>
              </w:rPr>
            </w:pPr>
            <w:r>
              <w:rPr>
                <w:rFonts w:cs="Times New Roman"/>
                <w:sz w:val="24"/>
                <w:szCs w:val="24"/>
              </w:rPr>
              <w:t>18</w:t>
            </w:r>
          </w:p>
        </w:tc>
        <w:tc>
          <w:tcPr>
            <w:tcW w:w="860" w:type="pct"/>
          </w:tcPr>
          <w:p>
            <w:pPr>
              <w:spacing w:line="240" w:lineRule="auto"/>
              <w:ind w:firstLine="0" w:firstLineChars="0"/>
              <w:jc w:val="center"/>
            </w:pPr>
            <w:r>
              <w:rPr>
                <w:rFonts w:cs="Times New Roman"/>
                <w:color w:val="000000" w:themeColor="text1"/>
                <w:kern w:val="0"/>
                <w:sz w:val="24"/>
                <w:szCs w:val="24"/>
                <w:lang w:bidi="ar"/>
                <w14:textFill>
                  <w14:solidFill>
                    <w14:schemeClr w14:val="tx1"/>
                  </w14:solidFill>
                </w14:textFill>
              </w:rPr>
              <w:t>10,187.80</w:t>
            </w:r>
          </w:p>
        </w:tc>
        <w:tc>
          <w:tcPr>
            <w:tcW w:w="1087" w:type="pct"/>
            <w:vAlign w:val="center"/>
          </w:tcPr>
          <w:p>
            <w:pPr>
              <w:spacing w:line="240" w:lineRule="auto"/>
              <w:ind w:firstLine="0" w:firstLineChars="0"/>
              <w:jc w:val="center"/>
            </w:pPr>
            <w:r>
              <w:rPr>
                <w:sz w:val="24"/>
                <w:szCs w:val="24"/>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pct"/>
            <w:vAlign w:val="center"/>
          </w:tcPr>
          <w:p>
            <w:pPr>
              <w:spacing w:line="240" w:lineRule="auto"/>
              <w:ind w:firstLine="0" w:firstLineChars="0"/>
              <w:jc w:val="center"/>
              <w:rPr>
                <w:rFonts w:cs="Times New Roman"/>
                <w:sz w:val="24"/>
                <w:szCs w:val="24"/>
              </w:rPr>
            </w:pPr>
            <w:r>
              <w:rPr>
                <w:rFonts w:cs="Times New Roman"/>
                <w:sz w:val="24"/>
                <w:szCs w:val="24"/>
              </w:rPr>
              <w:t>5</w:t>
            </w:r>
          </w:p>
        </w:tc>
        <w:tc>
          <w:tcPr>
            <w:tcW w:w="855" w:type="pct"/>
          </w:tcPr>
          <w:p>
            <w:pPr>
              <w:spacing w:line="240" w:lineRule="auto"/>
              <w:ind w:firstLine="0" w:firstLineChars="0"/>
              <w:jc w:val="center"/>
            </w:pPr>
            <w:r>
              <w:rPr>
                <w:rFonts w:cs="Times New Roman"/>
                <w:color w:val="000000" w:themeColor="text1"/>
                <w:kern w:val="0"/>
                <w:sz w:val="24"/>
                <w:szCs w:val="24"/>
                <w:lang w:bidi="ar"/>
                <w14:textFill>
                  <w14:solidFill>
                    <w14:schemeClr w14:val="tx1"/>
                  </w14:solidFill>
                </w14:textFill>
              </w:rPr>
              <w:t>10,187.80</w:t>
            </w:r>
          </w:p>
        </w:tc>
        <w:tc>
          <w:tcPr>
            <w:tcW w:w="1100" w:type="pct"/>
            <w:vAlign w:val="center"/>
          </w:tcPr>
          <w:p>
            <w:pPr>
              <w:spacing w:line="240" w:lineRule="auto"/>
              <w:ind w:firstLine="0" w:firstLineChars="0"/>
              <w:jc w:val="center"/>
            </w:pPr>
            <w:r>
              <w:rPr>
                <w:sz w:val="24"/>
                <w:szCs w:val="24"/>
              </w:rPr>
              <w:t>0.00</w:t>
            </w:r>
          </w:p>
        </w:tc>
        <w:tc>
          <w:tcPr>
            <w:tcW w:w="547" w:type="pct"/>
            <w:vAlign w:val="center"/>
          </w:tcPr>
          <w:p>
            <w:pPr>
              <w:spacing w:line="240" w:lineRule="auto"/>
              <w:ind w:firstLine="0" w:firstLineChars="0"/>
              <w:jc w:val="center"/>
              <w:rPr>
                <w:rFonts w:cs="Times New Roman"/>
                <w:sz w:val="24"/>
                <w:szCs w:val="24"/>
              </w:rPr>
            </w:pPr>
            <w:r>
              <w:rPr>
                <w:rFonts w:cs="Times New Roman"/>
                <w:sz w:val="24"/>
                <w:szCs w:val="24"/>
              </w:rPr>
              <w:t>19</w:t>
            </w:r>
          </w:p>
        </w:tc>
        <w:tc>
          <w:tcPr>
            <w:tcW w:w="860" w:type="pct"/>
          </w:tcPr>
          <w:p>
            <w:pPr>
              <w:spacing w:line="240" w:lineRule="auto"/>
              <w:ind w:firstLine="0" w:firstLineChars="0"/>
              <w:jc w:val="center"/>
            </w:pPr>
            <w:r>
              <w:rPr>
                <w:rFonts w:cs="Times New Roman"/>
                <w:color w:val="000000" w:themeColor="text1"/>
                <w:kern w:val="0"/>
                <w:sz w:val="24"/>
                <w:szCs w:val="24"/>
                <w:lang w:bidi="ar"/>
                <w14:textFill>
                  <w14:solidFill>
                    <w14:schemeClr w14:val="tx1"/>
                  </w14:solidFill>
                </w14:textFill>
              </w:rPr>
              <w:t>10,187.80</w:t>
            </w:r>
          </w:p>
        </w:tc>
        <w:tc>
          <w:tcPr>
            <w:tcW w:w="1087" w:type="pct"/>
            <w:vAlign w:val="center"/>
          </w:tcPr>
          <w:p>
            <w:pPr>
              <w:spacing w:line="240" w:lineRule="auto"/>
              <w:ind w:firstLine="0" w:firstLineChars="0"/>
              <w:jc w:val="center"/>
            </w:pPr>
            <w:r>
              <w:rPr>
                <w:sz w:val="24"/>
                <w:szCs w:val="24"/>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pct"/>
            <w:vAlign w:val="center"/>
          </w:tcPr>
          <w:p>
            <w:pPr>
              <w:spacing w:line="240" w:lineRule="auto"/>
              <w:ind w:firstLine="0" w:firstLineChars="0"/>
              <w:jc w:val="center"/>
              <w:rPr>
                <w:rFonts w:cs="Times New Roman"/>
                <w:sz w:val="24"/>
                <w:szCs w:val="24"/>
              </w:rPr>
            </w:pPr>
            <w:r>
              <w:rPr>
                <w:rFonts w:cs="Times New Roman"/>
                <w:sz w:val="24"/>
                <w:szCs w:val="24"/>
              </w:rPr>
              <w:t>6</w:t>
            </w:r>
          </w:p>
        </w:tc>
        <w:tc>
          <w:tcPr>
            <w:tcW w:w="855" w:type="pct"/>
          </w:tcPr>
          <w:p>
            <w:pPr>
              <w:spacing w:line="240" w:lineRule="auto"/>
              <w:ind w:firstLine="0" w:firstLineChars="0"/>
              <w:jc w:val="center"/>
            </w:pPr>
            <w:r>
              <w:rPr>
                <w:rFonts w:cs="Times New Roman"/>
                <w:color w:val="000000" w:themeColor="text1"/>
                <w:kern w:val="0"/>
                <w:sz w:val="24"/>
                <w:szCs w:val="24"/>
                <w:lang w:bidi="ar"/>
                <w14:textFill>
                  <w14:solidFill>
                    <w14:schemeClr w14:val="tx1"/>
                  </w14:solidFill>
                </w14:textFill>
              </w:rPr>
              <w:t>10,187.80</w:t>
            </w:r>
          </w:p>
        </w:tc>
        <w:tc>
          <w:tcPr>
            <w:tcW w:w="1100" w:type="pct"/>
            <w:vAlign w:val="center"/>
          </w:tcPr>
          <w:p>
            <w:pPr>
              <w:spacing w:line="240" w:lineRule="auto"/>
              <w:ind w:firstLine="0" w:firstLineChars="0"/>
              <w:jc w:val="center"/>
            </w:pPr>
            <w:r>
              <w:rPr>
                <w:sz w:val="24"/>
                <w:szCs w:val="24"/>
              </w:rPr>
              <w:t>0.00</w:t>
            </w:r>
          </w:p>
        </w:tc>
        <w:tc>
          <w:tcPr>
            <w:tcW w:w="547" w:type="pct"/>
            <w:vAlign w:val="center"/>
          </w:tcPr>
          <w:p>
            <w:pPr>
              <w:spacing w:line="240" w:lineRule="auto"/>
              <w:ind w:firstLine="0" w:firstLineChars="0"/>
              <w:jc w:val="center"/>
              <w:rPr>
                <w:rFonts w:cs="Times New Roman"/>
                <w:sz w:val="24"/>
                <w:szCs w:val="24"/>
              </w:rPr>
            </w:pPr>
            <w:r>
              <w:rPr>
                <w:rFonts w:cs="Times New Roman"/>
                <w:sz w:val="24"/>
                <w:szCs w:val="24"/>
              </w:rPr>
              <w:t>20</w:t>
            </w:r>
          </w:p>
        </w:tc>
        <w:tc>
          <w:tcPr>
            <w:tcW w:w="860" w:type="pct"/>
          </w:tcPr>
          <w:p>
            <w:pPr>
              <w:spacing w:line="240" w:lineRule="auto"/>
              <w:ind w:firstLine="0" w:firstLineChars="0"/>
              <w:jc w:val="center"/>
            </w:pPr>
            <w:r>
              <w:rPr>
                <w:rFonts w:cs="Times New Roman"/>
                <w:color w:val="000000" w:themeColor="text1"/>
                <w:kern w:val="0"/>
                <w:sz w:val="24"/>
                <w:szCs w:val="24"/>
                <w:lang w:bidi="ar"/>
                <w14:textFill>
                  <w14:solidFill>
                    <w14:schemeClr w14:val="tx1"/>
                  </w14:solidFill>
                </w14:textFill>
              </w:rPr>
              <w:t>10,187.80</w:t>
            </w:r>
          </w:p>
        </w:tc>
        <w:tc>
          <w:tcPr>
            <w:tcW w:w="1087" w:type="pct"/>
            <w:vAlign w:val="center"/>
          </w:tcPr>
          <w:p>
            <w:pPr>
              <w:spacing w:line="240" w:lineRule="auto"/>
              <w:ind w:firstLine="0" w:firstLineChars="0"/>
              <w:jc w:val="center"/>
            </w:pPr>
            <w:r>
              <w:rPr>
                <w:sz w:val="24"/>
                <w:szCs w:val="24"/>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pct"/>
            <w:vAlign w:val="center"/>
          </w:tcPr>
          <w:p>
            <w:pPr>
              <w:spacing w:line="240" w:lineRule="auto"/>
              <w:ind w:firstLine="0" w:firstLineChars="0"/>
              <w:jc w:val="center"/>
              <w:rPr>
                <w:rFonts w:cs="Times New Roman"/>
                <w:sz w:val="24"/>
                <w:szCs w:val="24"/>
              </w:rPr>
            </w:pPr>
            <w:r>
              <w:rPr>
                <w:rFonts w:cs="Times New Roman"/>
                <w:sz w:val="24"/>
                <w:szCs w:val="24"/>
              </w:rPr>
              <w:t>7</w:t>
            </w:r>
          </w:p>
        </w:tc>
        <w:tc>
          <w:tcPr>
            <w:tcW w:w="855" w:type="pct"/>
          </w:tcPr>
          <w:p>
            <w:pPr>
              <w:spacing w:line="240" w:lineRule="auto"/>
              <w:ind w:firstLine="0" w:firstLineChars="0"/>
              <w:jc w:val="center"/>
            </w:pPr>
            <w:r>
              <w:rPr>
                <w:rFonts w:cs="Times New Roman"/>
                <w:color w:val="000000" w:themeColor="text1"/>
                <w:kern w:val="0"/>
                <w:sz w:val="24"/>
                <w:szCs w:val="24"/>
                <w:lang w:bidi="ar"/>
                <w14:textFill>
                  <w14:solidFill>
                    <w14:schemeClr w14:val="tx1"/>
                  </w14:solidFill>
                </w14:textFill>
              </w:rPr>
              <w:t>10,187.80</w:t>
            </w:r>
          </w:p>
        </w:tc>
        <w:tc>
          <w:tcPr>
            <w:tcW w:w="1100" w:type="pct"/>
            <w:vAlign w:val="center"/>
          </w:tcPr>
          <w:p>
            <w:pPr>
              <w:spacing w:line="240" w:lineRule="auto"/>
              <w:ind w:firstLine="0" w:firstLineChars="0"/>
              <w:jc w:val="center"/>
            </w:pPr>
            <w:r>
              <w:rPr>
                <w:sz w:val="24"/>
                <w:szCs w:val="24"/>
              </w:rPr>
              <w:t>0.00</w:t>
            </w:r>
          </w:p>
        </w:tc>
        <w:tc>
          <w:tcPr>
            <w:tcW w:w="547" w:type="pct"/>
            <w:vAlign w:val="center"/>
          </w:tcPr>
          <w:p>
            <w:pPr>
              <w:spacing w:line="240" w:lineRule="auto"/>
              <w:ind w:firstLine="0" w:firstLineChars="0"/>
              <w:jc w:val="center"/>
              <w:rPr>
                <w:rFonts w:cs="Times New Roman"/>
                <w:sz w:val="24"/>
                <w:szCs w:val="24"/>
              </w:rPr>
            </w:pPr>
            <w:r>
              <w:rPr>
                <w:rFonts w:cs="Times New Roman"/>
                <w:sz w:val="24"/>
                <w:szCs w:val="24"/>
              </w:rPr>
              <w:t>21</w:t>
            </w:r>
          </w:p>
        </w:tc>
        <w:tc>
          <w:tcPr>
            <w:tcW w:w="860" w:type="pct"/>
          </w:tcPr>
          <w:p>
            <w:pPr>
              <w:spacing w:line="240" w:lineRule="auto"/>
              <w:ind w:firstLine="0" w:firstLineChars="0"/>
              <w:jc w:val="center"/>
            </w:pPr>
            <w:r>
              <w:rPr>
                <w:rFonts w:cs="Times New Roman"/>
                <w:color w:val="000000" w:themeColor="text1"/>
                <w:kern w:val="0"/>
                <w:sz w:val="24"/>
                <w:szCs w:val="24"/>
                <w:lang w:bidi="ar"/>
                <w14:textFill>
                  <w14:solidFill>
                    <w14:schemeClr w14:val="tx1"/>
                  </w14:solidFill>
                </w14:textFill>
              </w:rPr>
              <w:t>10,187.80</w:t>
            </w:r>
          </w:p>
        </w:tc>
        <w:tc>
          <w:tcPr>
            <w:tcW w:w="1087" w:type="pct"/>
            <w:vAlign w:val="center"/>
          </w:tcPr>
          <w:p>
            <w:pPr>
              <w:spacing w:line="240" w:lineRule="auto"/>
              <w:ind w:firstLine="0" w:firstLineChars="0"/>
              <w:jc w:val="center"/>
            </w:pPr>
            <w:r>
              <w:rPr>
                <w:sz w:val="24"/>
                <w:szCs w:val="24"/>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pct"/>
            <w:vAlign w:val="center"/>
          </w:tcPr>
          <w:p>
            <w:pPr>
              <w:spacing w:line="240" w:lineRule="auto"/>
              <w:ind w:firstLine="0" w:firstLineChars="0"/>
              <w:jc w:val="center"/>
              <w:rPr>
                <w:rFonts w:cs="Times New Roman"/>
                <w:sz w:val="24"/>
                <w:szCs w:val="24"/>
              </w:rPr>
            </w:pPr>
            <w:r>
              <w:rPr>
                <w:rFonts w:cs="Times New Roman"/>
                <w:sz w:val="24"/>
                <w:szCs w:val="24"/>
              </w:rPr>
              <w:t>8</w:t>
            </w:r>
          </w:p>
        </w:tc>
        <w:tc>
          <w:tcPr>
            <w:tcW w:w="855" w:type="pct"/>
          </w:tcPr>
          <w:p>
            <w:pPr>
              <w:spacing w:line="240" w:lineRule="auto"/>
              <w:ind w:firstLine="0" w:firstLineChars="0"/>
              <w:jc w:val="center"/>
            </w:pPr>
            <w:r>
              <w:rPr>
                <w:rFonts w:cs="Times New Roman"/>
                <w:color w:val="000000" w:themeColor="text1"/>
                <w:kern w:val="0"/>
                <w:sz w:val="24"/>
                <w:szCs w:val="24"/>
                <w:lang w:bidi="ar"/>
                <w14:textFill>
                  <w14:solidFill>
                    <w14:schemeClr w14:val="tx1"/>
                  </w14:solidFill>
                </w14:textFill>
              </w:rPr>
              <w:t>10,187.80</w:t>
            </w:r>
          </w:p>
        </w:tc>
        <w:tc>
          <w:tcPr>
            <w:tcW w:w="1100" w:type="pct"/>
            <w:vAlign w:val="center"/>
          </w:tcPr>
          <w:p>
            <w:pPr>
              <w:spacing w:line="240" w:lineRule="auto"/>
              <w:ind w:firstLine="0" w:firstLineChars="0"/>
              <w:jc w:val="center"/>
            </w:pPr>
            <w:r>
              <w:rPr>
                <w:sz w:val="24"/>
                <w:szCs w:val="24"/>
              </w:rPr>
              <w:t>0.00</w:t>
            </w:r>
          </w:p>
        </w:tc>
        <w:tc>
          <w:tcPr>
            <w:tcW w:w="547" w:type="pct"/>
            <w:vAlign w:val="center"/>
          </w:tcPr>
          <w:p>
            <w:pPr>
              <w:spacing w:line="240" w:lineRule="auto"/>
              <w:ind w:firstLine="0" w:firstLineChars="0"/>
              <w:jc w:val="center"/>
              <w:rPr>
                <w:rFonts w:cs="Times New Roman"/>
                <w:sz w:val="24"/>
                <w:szCs w:val="24"/>
              </w:rPr>
            </w:pPr>
            <w:r>
              <w:rPr>
                <w:rFonts w:cs="Times New Roman"/>
                <w:sz w:val="24"/>
                <w:szCs w:val="24"/>
              </w:rPr>
              <w:t>22</w:t>
            </w:r>
          </w:p>
        </w:tc>
        <w:tc>
          <w:tcPr>
            <w:tcW w:w="860" w:type="pct"/>
          </w:tcPr>
          <w:p>
            <w:pPr>
              <w:spacing w:line="240" w:lineRule="auto"/>
              <w:ind w:firstLine="0" w:firstLineChars="0"/>
              <w:jc w:val="center"/>
            </w:pPr>
            <w:r>
              <w:rPr>
                <w:rFonts w:cs="Times New Roman"/>
                <w:color w:val="000000" w:themeColor="text1"/>
                <w:kern w:val="0"/>
                <w:sz w:val="24"/>
                <w:szCs w:val="24"/>
                <w:lang w:bidi="ar"/>
                <w14:textFill>
                  <w14:solidFill>
                    <w14:schemeClr w14:val="tx1"/>
                  </w14:solidFill>
                </w14:textFill>
              </w:rPr>
              <w:t>10,187.80</w:t>
            </w:r>
          </w:p>
        </w:tc>
        <w:tc>
          <w:tcPr>
            <w:tcW w:w="1087" w:type="pct"/>
            <w:vAlign w:val="center"/>
          </w:tcPr>
          <w:p>
            <w:pPr>
              <w:spacing w:line="240" w:lineRule="auto"/>
              <w:ind w:firstLine="0" w:firstLineChars="0"/>
              <w:jc w:val="center"/>
            </w:pPr>
            <w:r>
              <w:rPr>
                <w:sz w:val="24"/>
                <w:szCs w:val="24"/>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pct"/>
            <w:vAlign w:val="center"/>
          </w:tcPr>
          <w:p>
            <w:pPr>
              <w:spacing w:line="240" w:lineRule="auto"/>
              <w:ind w:firstLine="0" w:firstLineChars="0"/>
              <w:jc w:val="center"/>
              <w:rPr>
                <w:rFonts w:cs="Times New Roman"/>
                <w:sz w:val="24"/>
                <w:szCs w:val="24"/>
              </w:rPr>
            </w:pPr>
            <w:r>
              <w:rPr>
                <w:rFonts w:cs="Times New Roman"/>
                <w:sz w:val="24"/>
                <w:szCs w:val="24"/>
              </w:rPr>
              <w:t>9</w:t>
            </w:r>
          </w:p>
        </w:tc>
        <w:tc>
          <w:tcPr>
            <w:tcW w:w="855" w:type="pct"/>
          </w:tcPr>
          <w:p>
            <w:pPr>
              <w:spacing w:line="240" w:lineRule="auto"/>
              <w:ind w:firstLine="0" w:firstLineChars="0"/>
              <w:jc w:val="center"/>
            </w:pPr>
            <w:r>
              <w:rPr>
                <w:rFonts w:cs="Times New Roman"/>
                <w:color w:val="000000" w:themeColor="text1"/>
                <w:kern w:val="0"/>
                <w:sz w:val="24"/>
                <w:szCs w:val="24"/>
                <w:lang w:bidi="ar"/>
                <w14:textFill>
                  <w14:solidFill>
                    <w14:schemeClr w14:val="tx1"/>
                  </w14:solidFill>
                </w14:textFill>
              </w:rPr>
              <w:t>10,187.80</w:t>
            </w:r>
          </w:p>
        </w:tc>
        <w:tc>
          <w:tcPr>
            <w:tcW w:w="1100" w:type="pct"/>
            <w:vAlign w:val="center"/>
          </w:tcPr>
          <w:p>
            <w:pPr>
              <w:spacing w:line="240" w:lineRule="auto"/>
              <w:ind w:firstLine="0" w:firstLineChars="0"/>
              <w:jc w:val="center"/>
            </w:pPr>
            <w:r>
              <w:rPr>
                <w:sz w:val="24"/>
                <w:szCs w:val="24"/>
              </w:rPr>
              <w:t>0.00</w:t>
            </w:r>
          </w:p>
        </w:tc>
        <w:tc>
          <w:tcPr>
            <w:tcW w:w="547" w:type="pct"/>
            <w:vAlign w:val="center"/>
          </w:tcPr>
          <w:p>
            <w:pPr>
              <w:spacing w:line="240" w:lineRule="auto"/>
              <w:ind w:firstLine="0" w:firstLineChars="0"/>
              <w:jc w:val="center"/>
              <w:rPr>
                <w:rFonts w:cs="Times New Roman"/>
                <w:sz w:val="24"/>
                <w:szCs w:val="24"/>
              </w:rPr>
            </w:pPr>
            <w:r>
              <w:rPr>
                <w:rFonts w:cs="Times New Roman"/>
                <w:sz w:val="24"/>
                <w:szCs w:val="24"/>
              </w:rPr>
              <w:t>23</w:t>
            </w:r>
          </w:p>
        </w:tc>
        <w:tc>
          <w:tcPr>
            <w:tcW w:w="860" w:type="pct"/>
          </w:tcPr>
          <w:p>
            <w:pPr>
              <w:spacing w:line="240" w:lineRule="auto"/>
              <w:ind w:firstLine="0" w:firstLineChars="0"/>
              <w:jc w:val="center"/>
            </w:pPr>
            <w:r>
              <w:rPr>
                <w:rFonts w:cs="Times New Roman"/>
                <w:color w:val="000000" w:themeColor="text1"/>
                <w:kern w:val="0"/>
                <w:sz w:val="24"/>
                <w:szCs w:val="24"/>
                <w:lang w:bidi="ar"/>
                <w14:textFill>
                  <w14:solidFill>
                    <w14:schemeClr w14:val="tx1"/>
                  </w14:solidFill>
                </w14:textFill>
              </w:rPr>
              <w:t>10,187.80</w:t>
            </w:r>
          </w:p>
        </w:tc>
        <w:tc>
          <w:tcPr>
            <w:tcW w:w="1087" w:type="pct"/>
            <w:vAlign w:val="center"/>
          </w:tcPr>
          <w:p>
            <w:pPr>
              <w:spacing w:line="240" w:lineRule="auto"/>
              <w:ind w:firstLine="0" w:firstLineChars="0"/>
              <w:jc w:val="center"/>
            </w:pPr>
            <w:r>
              <w:rPr>
                <w:sz w:val="24"/>
                <w:szCs w:val="24"/>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pct"/>
            <w:vAlign w:val="center"/>
          </w:tcPr>
          <w:p>
            <w:pPr>
              <w:spacing w:line="240" w:lineRule="auto"/>
              <w:ind w:firstLine="0" w:firstLineChars="0"/>
              <w:jc w:val="center"/>
              <w:rPr>
                <w:rFonts w:cs="Times New Roman"/>
                <w:sz w:val="24"/>
                <w:szCs w:val="24"/>
              </w:rPr>
            </w:pPr>
            <w:r>
              <w:rPr>
                <w:rFonts w:cs="Times New Roman"/>
                <w:sz w:val="24"/>
                <w:szCs w:val="24"/>
              </w:rPr>
              <w:t>10</w:t>
            </w:r>
          </w:p>
        </w:tc>
        <w:tc>
          <w:tcPr>
            <w:tcW w:w="855" w:type="pct"/>
          </w:tcPr>
          <w:p>
            <w:pPr>
              <w:spacing w:line="240" w:lineRule="auto"/>
              <w:ind w:firstLine="0" w:firstLineChars="0"/>
              <w:jc w:val="center"/>
            </w:pPr>
            <w:r>
              <w:rPr>
                <w:rFonts w:cs="Times New Roman"/>
                <w:color w:val="000000" w:themeColor="text1"/>
                <w:kern w:val="0"/>
                <w:sz w:val="24"/>
                <w:szCs w:val="24"/>
                <w:lang w:bidi="ar"/>
                <w14:textFill>
                  <w14:solidFill>
                    <w14:schemeClr w14:val="tx1"/>
                  </w14:solidFill>
                </w14:textFill>
              </w:rPr>
              <w:t>10,187.80</w:t>
            </w:r>
          </w:p>
        </w:tc>
        <w:tc>
          <w:tcPr>
            <w:tcW w:w="1100" w:type="pct"/>
            <w:vAlign w:val="center"/>
          </w:tcPr>
          <w:p>
            <w:pPr>
              <w:spacing w:line="240" w:lineRule="auto"/>
              <w:ind w:firstLine="0" w:firstLineChars="0"/>
              <w:jc w:val="center"/>
            </w:pPr>
            <w:r>
              <w:rPr>
                <w:sz w:val="24"/>
                <w:szCs w:val="24"/>
              </w:rPr>
              <w:t>0.00</w:t>
            </w:r>
          </w:p>
        </w:tc>
        <w:tc>
          <w:tcPr>
            <w:tcW w:w="547" w:type="pct"/>
            <w:vAlign w:val="center"/>
          </w:tcPr>
          <w:p>
            <w:pPr>
              <w:spacing w:line="240" w:lineRule="auto"/>
              <w:ind w:firstLine="0" w:firstLineChars="0"/>
              <w:jc w:val="center"/>
              <w:rPr>
                <w:rFonts w:cs="Times New Roman"/>
                <w:sz w:val="24"/>
                <w:szCs w:val="24"/>
              </w:rPr>
            </w:pPr>
            <w:r>
              <w:rPr>
                <w:rFonts w:hint="eastAsia" w:cs="Times New Roman"/>
                <w:sz w:val="24"/>
                <w:szCs w:val="24"/>
              </w:rPr>
              <w:t>2</w:t>
            </w:r>
            <w:r>
              <w:rPr>
                <w:rFonts w:cs="Times New Roman"/>
                <w:sz w:val="24"/>
                <w:szCs w:val="24"/>
              </w:rPr>
              <w:t>4</w:t>
            </w:r>
          </w:p>
        </w:tc>
        <w:tc>
          <w:tcPr>
            <w:tcW w:w="860" w:type="pct"/>
          </w:tcPr>
          <w:p>
            <w:pPr>
              <w:spacing w:line="240" w:lineRule="auto"/>
              <w:ind w:firstLine="0" w:firstLineChars="0"/>
              <w:jc w:val="center"/>
              <w:rPr>
                <w:rFonts w:cs="Times New Roman"/>
                <w:sz w:val="24"/>
                <w:szCs w:val="24"/>
              </w:rPr>
            </w:pPr>
            <w:r>
              <w:rPr>
                <w:rFonts w:cs="Times New Roman"/>
                <w:color w:val="000000" w:themeColor="text1"/>
                <w:kern w:val="0"/>
                <w:sz w:val="24"/>
                <w:szCs w:val="24"/>
                <w:lang w:bidi="ar"/>
                <w14:textFill>
                  <w14:solidFill>
                    <w14:schemeClr w14:val="tx1"/>
                  </w14:solidFill>
                </w14:textFill>
              </w:rPr>
              <w:t>10,187.80</w:t>
            </w:r>
          </w:p>
        </w:tc>
        <w:tc>
          <w:tcPr>
            <w:tcW w:w="1087" w:type="pct"/>
            <w:vAlign w:val="center"/>
          </w:tcPr>
          <w:p>
            <w:pPr>
              <w:spacing w:line="240" w:lineRule="auto"/>
              <w:ind w:firstLine="0" w:firstLineChars="0"/>
              <w:jc w:val="center"/>
              <w:rPr>
                <w:rFonts w:cs="Times New Roman"/>
                <w:sz w:val="24"/>
                <w:szCs w:val="24"/>
              </w:rPr>
            </w:pPr>
            <w:r>
              <w:rPr>
                <w:sz w:val="24"/>
                <w:szCs w:val="24"/>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pct"/>
            <w:vAlign w:val="center"/>
          </w:tcPr>
          <w:p>
            <w:pPr>
              <w:spacing w:line="240" w:lineRule="auto"/>
              <w:ind w:firstLine="0" w:firstLineChars="0"/>
              <w:jc w:val="center"/>
              <w:rPr>
                <w:rFonts w:cs="Times New Roman"/>
                <w:sz w:val="24"/>
                <w:szCs w:val="24"/>
              </w:rPr>
            </w:pPr>
            <w:r>
              <w:rPr>
                <w:rFonts w:cs="Times New Roman"/>
                <w:sz w:val="24"/>
                <w:szCs w:val="24"/>
              </w:rPr>
              <w:t>11</w:t>
            </w:r>
          </w:p>
        </w:tc>
        <w:tc>
          <w:tcPr>
            <w:tcW w:w="855" w:type="pct"/>
          </w:tcPr>
          <w:p>
            <w:pPr>
              <w:spacing w:line="240" w:lineRule="auto"/>
              <w:ind w:firstLine="0" w:firstLineChars="0"/>
              <w:jc w:val="center"/>
              <w:rPr>
                <w:rFonts w:cs="Times New Roman"/>
                <w:sz w:val="24"/>
                <w:szCs w:val="24"/>
              </w:rPr>
            </w:pPr>
            <w:r>
              <w:rPr>
                <w:rFonts w:cs="Times New Roman"/>
                <w:color w:val="000000" w:themeColor="text1"/>
                <w:kern w:val="0"/>
                <w:sz w:val="24"/>
                <w:szCs w:val="24"/>
                <w:lang w:bidi="ar"/>
                <w14:textFill>
                  <w14:solidFill>
                    <w14:schemeClr w14:val="tx1"/>
                  </w14:solidFill>
                </w14:textFill>
              </w:rPr>
              <w:t>10,187.80</w:t>
            </w:r>
          </w:p>
        </w:tc>
        <w:tc>
          <w:tcPr>
            <w:tcW w:w="1100" w:type="pct"/>
            <w:vAlign w:val="center"/>
          </w:tcPr>
          <w:p>
            <w:pPr>
              <w:spacing w:line="240" w:lineRule="auto"/>
              <w:ind w:firstLine="0" w:firstLineChars="0"/>
              <w:jc w:val="center"/>
              <w:rPr>
                <w:sz w:val="24"/>
                <w:szCs w:val="24"/>
              </w:rPr>
            </w:pPr>
            <w:r>
              <w:rPr>
                <w:sz w:val="24"/>
                <w:szCs w:val="24"/>
              </w:rPr>
              <w:t>0.00</w:t>
            </w:r>
          </w:p>
        </w:tc>
        <w:tc>
          <w:tcPr>
            <w:tcW w:w="547" w:type="pct"/>
            <w:vAlign w:val="center"/>
          </w:tcPr>
          <w:p>
            <w:pPr>
              <w:spacing w:line="240" w:lineRule="auto"/>
              <w:ind w:firstLine="0" w:firstLineChars="0"/>
              <w:jc w:val="center"/>
              <w:rPr>
                <w:rFonts w:cs="Times New Roman"/>
                <w:sz w:val="24"/>
                <w:szCs w:val="24"/>
              </w:rPr>
            </w:pPr>
            <w:r>
              <w:rPr>
                <w:rFonts w:hint="eastAsia" w:cs="Times New Roman"/>
                <w:sz w:val="24"/>
                <w:szCs w:val="24"/>
              </w:rPr>
              <w:t>2</w:t>
            </w:r>
            <w:r>
              <w:rPr>
                <w:rFonts w:cs="Times New Roman"/>
                <w:sz w:val="24"/>
                <w:szCs w:val="24"/>
              </w:rPr>
              <w:t>5</w:t>
            </w:r>
          </w:p>
        </w:tc>
        <w:tc>
          <w:tcPr>
            <w:tcW w:w="860" w:type="pct"/>
          </w:tcPr>
          <w:p>
            <w:pPr>
              <w:spacing w:line="240" w:lineRule="auto"/>
              <w:ind w:firstLine="0" w:firstLineChars="0"/>
              <w:jc w:val="center"/>
              <w:rPr>
                <w:rFonts w:cs="Times New Roman"/>
                <w:sz w:val="24"/>
                <w:szCs w:val="24"/>
              </w:rPr>
            </w:pPr>
            <w:r>
              <w:rPr>
                <w:rFonts w:cs="Times New Roman"/>
                <w:color w:val="000000" w:themeColor="text1"/>
                <w:kern w:val="0"/>
                <w:sz w:val="24"/>
                <w:szCs w:val="24"/>
                <w:lang w:bidi="ar"/>
                <w14:textFill>
                  <w14:solidFill>
                    <w14:schemeClr w14:val="tx1"/>
                  </w14:solidFill>
                </w14:textFill>
              </w:rPr>
              <w:t>10,187.80</w:t>
            </w:r>
          </w:p>
        </w:tc>
        <w:tc>
          <w:tcPr>
            <w:tcW w:w="1087" w:type="pct"/>
            <w:vAlign w:val="center"/>
          </w:tcPr>
          <w:p>
            <w:pPr>
              <w:spacing w:line="240" w:lineRule="auto"/>
              <w:ind w:firstLine="0" w:firstLineChars="0"/>
              <w:jc w:val="center"/>
              <w:rPr>
                <w:rFonts w:cs="Times New Roman"/>
                <w:sz w:val="24"/>
                <w:szCs w:val="24"/>
              </w:rPr>
            </w:pPr>
            <w:r>
              <w:rPr>
                <w:sz w:val="24"/>
                <w:szCs w:val="24"/>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pct"/>
            <w:vAlign w:val="center"/>
          </w:tcPr>
          <w:p>
            <w:pPr>
              <w:spacing w:line="240" w:lineRule="auto"/>
              <w:ind w:firstLine="0" w:firstLineChars="0"/>
              <w:jc w:val="center"/>
              <w:rPr>
                <w:rFonts w:cs="Times New Roman"/>
                <w:sz w:val="24"/>
                <w:szCs w:val="24"/>
              </w:rPr>
            </w:pPr>
            <w:r>
              <w:rPr>
                <w:rFonts w:cs="Times New Roman"/>
                <w:sz w:val="24"/>
                <w:szCs w:val="24"/>
              </w:rPr>
              <w:t>12</w:t>
            </w:r>
          </w:p>
        </w:tc>
        <w:tc>
          <w:tcPr>
            <w:tcW w:w="855" w:type="pct"/>
          </w:tcPr>
          <w:p>
            <w:pPr>
              <w:spacing w:line="240" w:lineRule="auto"/>
              <w:ind w:firstLine="0" w:firstLineChars="0"/>
              <w:jc w:val="center"/>
              <w:rPr>
                <w:rFonts w:cs="Times New Roman"/>
                <w:sz w:val="24"/>
                <w:szCs w:val="24"/>
              </w:rPr>
            </w:pPr>
            <w:r>
              <w:rPr>
                <w:rFonts w:cs="Times New Roman"/>
                <w:color w:val="000000" w:themeColor="text1"/>
                <w:kern w:val="0"/>
                <w:sz w:val="24"/>
                <w:szCs w:val="24"/>
                <w:lang w:bidi="ar"/>
                <w14:textFill>
                  <w14:solidFill>
                    <w14:schemeClr w14:val="tx1"/>
                  </w14:solidFill>
                </w14:textFill>
              </w:rPr>
              <w:t>10,187.80</w:t>
            </w:r>
          </w:p>
        </w:tc>
        <w:tc>
          <w:tcPr>
            <w:tcW w:w="1100" w:type="pct"/>
            <w:vAlign w:val="center"/>
          </w:tcPr>
          <w:p>
            <w:pPr>
              <w:spacing w:line="240" w:lineRule="auto"/>
              <w:ind w:firstLine="0" w:firstLineChars="0"/>
              <w:jc w:val="center"/>
              <w:rPr>
                <w:sz w:val="24"/>
                <w:szCs w:val="24"/>
              </w:rPr>
            </w:pPr>
            <w:r>
              <w:rPr>
                <w:sz w:val="24"/>
                <w:szCs w:val="24"/>
              </w:rPr>
              <w:t>0.00</w:t>
            </w:r>
          </w:p>
        </w:tc>
        <w:tc>
          <w:tcPr>
            <w:tcW w:w="547" w:type="pct"/>
            <w:vAlign w:val="center"/>
          </w:tcPr>
          <w:p>
            <w:pPr>
              <w:spacing w:line="240" w:lineRule="auto"/>
              <w:ind w:firstLine="0" w:firstLineChars="0"/>
              <w:jc w:val="center"/>
              <w:rPr>
                <w:rFonts w:cs="Times New Roman"/>
                <w:sz w:val="24"/>
                <w:szCs w:val="24"/>
              </w:rPr>
            </w:pPr>
            <w:r>
              <w:rPr>
                <w:rFonts w:hint="eastAsia" w:cs="Times New Roman"/>
                <w:sz w:val="24"/>
                <w:szCs w:val="24"/>
              </w:rPr>
              <w:t>2</w:t>
            </w:r>
            <w:r>
              <w:rPr>
                <w:rFonts w:cs="Times New Roman"/>
                <w:sz w:val="24"/>
                <w:szCs w:val="24"/>
              </w:rPr>
              <w:t>6</w:t>
            </w:r>
          </w:p>
        </w:tc>
        <w:tc>
          <w:tcPr>
            <w:tcW w:w="860" w:type="pct"/>
          </w:tcPr>
          <w:p>
            <w:pPr>
              <w:spacing w:line="240" w:lineRule="auto"/>
              <w:ind w:firstLine="0" w:firstLineChars="0"/>
              <w:jc w:val="center"/>
              <w:rPr>
                <w:rFonts w:cs="Times New Roman"/>
                <w:sz w:val="24"/>
                <w:szCs w:val="24"/>
              </w:rPr>
            </w:pPr>
            <w:r>
              <w:rPr>
                <w:rFonts w:cs="Times New Roman"/>
                <w:color w:val="000000" w:themeColor="text1"/>
                <w:kern w:val="0"/>
                <w:sz w:val="24"/>
                <w:szCs w:val="24"/>
                <w:lang w:bidi="ar"/>
                <w14:textFill>
                  <w14:solidFill>
                    <w14:schemeClr w14:val="tx1"/>
                  </w14:solidFill>
                </w14:textFill>
              </w:rPr>
              <w:t>10,187.80</w:t>
            </w:r>
          </w:p>
        </w:tc>
        <w:tc>
          <w:tcPr>
            <w:tcW w:w="1087" w:type="pct"/>
            <w:vAlign w:val="center"/>
          </w:tcPr>
          <w:p>
            <w:pPr>
              <w:spacing w:line="240" w:lineRule="auto"/>
              <w:ind w:firstLine="0" w:firstLineChars="0"/>
              <w:jc w:val="center"/>
              <w:rPr>
                <w:rFonts w:cs="Times New Roman"/>
                <w:sz w:val="24"/>
                <w:szCs w:val="24"/>
              </w:rPr>
            </w:pPr>
            <w:r>
              <w:rPr>
                <w:sz w:val="24"/>
                <w:szCs w:val="24"/>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pct"/>
            <w:vAlign w:val="center"/>
          </w:tcPr>
          <w:p>
            <w:pPr>
              <w:spacing w:line="240" w:lineRule="auto"/>
              <w:ind w:firstLine="0" w:firstLineChars="0"/>
              <w:jc w:val="center"/>
              <w:rPr>
                <w:rFonts w:cs="Times New Roman"/>
                <w:sz w:val="24"/>
                <w:szCs w:val="24"/>
              </w:rPr>
            </w:pPr>
            <w:r>
              <w:rPr>
                <w:rFonts w:cs="Times New Roman"/>
                <w:sz w:val="24"/>
                <w:szCs w:val="24"/>
              </w:rPr>
              <w:t>13</w:t>
            </w:r>
          </w:p>
        </w:tc>
        <w:tc>
          <w:tcPr>
            <w:tcW w:w="855" w:type="pct"/>
          </w:tcPr>
          <w:p>
            <w:pPr>
              <w:spacing w:line="240" w:lineRule="auto"/>
              <w:ind w:firstLine="0" w:firstLineChars="0"/>
              <w:jc w:val="center"/>
              <w:rPr>
                <w:rFonts w:cs="Times New Roman"/>
                <w:sz w:val="24"/>
                <w:szCs w:val="24"/>
              </w:rPr>
            </w:pPr>
            <w:r>
              <w:rPr>
                <w:rFonts w:cs="Times New Roman"/>
                <w:color w:val="000000" w:themeColor="text1"/>
                <w:kern w:val="0"/>
                <w:sz w:val="24"/>
                <w:szCs w:val="24"/>
                <w:lang w:bidi="ar"/>
                <w14:textFill>
                  <w14:solidFill>
                    <w14:schemeClr w14:val="tx1"/>
                  </w14:solidFill>
                </w14:textFill>
              </w:rPr>
              <w:t>10,187.80</w:t>
            </w:r>
          </w:p>
        </w:tc>
        <w:tc>
          <w:tcPr>
            <w:tcW w:w="1100" w:type="pct"/>
            <w:vAlign w:val="center"/>
          </w:tcPr>
          <w:p>
            <w:pPr>
              <w:spacing w:line="240" w:lineRule="auto"/>
              <w:ind w:firstLine="0" w:firstLineChars="0"/>
              <w:jc w:val="center"/>
              <w:rPr>
                <w:sz w:val="24"/>
                <w:szCs w:val="24"/>
              </w:rPr>
            </w:pPr>
            <w:r>
              <w:rPr>
                <w:sz w:val="24"/>
                <w:szCs w:val="24"/>
              </w:rPr>
              <w:t>0.00</w:t>
            </w:r>
          </w:p>
        </w:tc>
        <w:tc>
          <w:tcPr>
            <w:tcW w:w="547" w:type="pct"/>
            <w:vAlign w:val="center"/>
          </w:tcPr>
          <w:p>
            <w:pPr>
              <w:spacing w:line="240" w:lineRule="auto"/>
              <w:ind w:firstLine="0" w:firstLineChars="0"/>
              <w:jc w:val="center"/>
              <w:rPr>
                <w:rFonts w:cs="Times New Roman"/>
                <w:sz w:val="24"/>
                <w:szCs w:val="24"/>
              </w:rPr>
            </w:pPr>
            <w:r>
              <w:rPr>
                <w:rFonts w:cs="Times New Roman"/>
                <w:sz w:val="24"/>
                <w:szCs w:val="24"/>
              </w:rPr>
              <w:t>27</w:t>
            </w:r>
          </w:p>
        </w:tc>
        <w:tc>
          <w:tcPr>
            <w:tcW w:w="860" w:type="pct"/>
          </w:tcPr>
          <w:p>
            <w:pPr>
              <w:spacing w:line="240" w:lineRule="auto"/>
              <w:ind w:firstLine="0" w:firstLineChars="0"/>
              <w:jc w:val="center"/>
              <w:rPr>
                <w:rFonts w:cs="Times New Roman"/>
                <w:sz w:val="24"/>
                <w:szCs w:val="24"/>
              </w:rPr>
            </w:pPr>
            <w:r>
              <w:rPr>
                <w:rFonts w:cs="Times New Roman"/>
                <w:color w:val="000000" w:themeColor="text1"/>
                <w:kern w:val="0"/>
                <w:sz w:val="24"/>
                <w:szCs w:val="24"/>
                <w:lang w:bidi="ar"/>
                <w14:textFill>
                  <w14:solidFill>
                    <w14:schemeClr w14:val="tx1"/>
                  </w14:solidFill>
                </w14:textFill>
              </w:rPr>
              <w:t>10,187.80</w:t>
            </w:r>
          </w:p>
        </w:tc>
        <w:tc>
          <w:tcPr>
            <w:tcW w:w="1087" w:type="pct"/>
            <w:vAlign w:val="center"/>
          </w:tcPr>
          <w:p>
            <w:pPr>
              <w:spacing w:line="240" w:lineRule="auto"/>
              <w:ind w:firstLine="0" w:firstLineChars="0"/>
              <w:jc w:val="center"/>
              <w:rPr>
                <w:rFonts w:cs="Times New Roman"/>
                <w:sz w:val="24"/>
                <w:szCs w:val="24"/>
              </w:rPr>
            </w:pPr>
            <w:r>
              <w:rPr>
                <w:sz w:val="24"/>
                <w:szCs w:val="24"/>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pct"/>
            <w:vAlign w:val="center"/>
          </w:tcPr>
          <w:p>
            <w:pPr>
              <w:spacing w:line="240" w:lineRule="auto"/>
              <w:ind w:firstLine="0" w:firstLineChars="0"/>
              <w:jc w:val="center"/>
              <w:rPr>
                <w:rFonts w:cs="Times New Roman"/>
                <w:sz w:val="24"/>
                <w:szCs w:val="24"/>
              </w:rPr>
            </w:pPr>
            <w:r>
              <w:rPr>
                <w:rFonts w:cs="Times New Roman"/>
                <w:sz w:val="24"/>
                <w:szCs w:val="24"/>
              </w:rPr>
              <w:t>14</w:t>
            </w:r>
          </w:p>
        </w:tc>
        <w:tc>
          <w:tcPr>
            <w:tcW w:w="855" w:type="pct"/>
          </w:tcPr>
          <w:p>
            <w:pPr>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lang w:bidi="ar"/>
                <w14:textFill>
                  <w14:solidFill>
                    <w14:schemeClr w14:val="tx1"/>
                  </w14:solidFill>
                </w14:textFill>
              </w:rPr>
              <w:t>10,187.80</w:t>
            </w:r>
          </w:p>
        </w:tc>
        <w:tc>
          <w:tcPr>
            <w:tcW w:w="1100" w:type="pct"/>
            <w:vAlign w:val="center"/>
          </w:tcPr>
          <w:p>
            <w:pPr>
              <w:spacing w:line="240" w:lineRule="auto"/>
              <w:ind w:firstLine="0" w:firstLineChars="0"/>
              <w:jc w:val="center"/>
              <w:rPr>
                <w:sz w:val="24"/>
                <w:szCs w:val="24"/>
              </w:rPr>
            </w:pPr>
            <w:r>
              <w:rPr>
                <w:sz w:val="24"/>
                <w:szCs w:val="24"/>
              </w:rPr>
              <w:t>0.00</w:t>
            </w:r>
          </w:p>
        </w:tc>
        <w:tc>
          <w:tcPr>
            <w:tcW w:w="547" w:type="pct"/>
            <w:vAlign w:val="center"/>
          </w:tcPr>
          <w:p>
            <w:pPr>
              <w:spacing w:line="240" w:lineRule="auto"/>
              <w:ind w:firstLine="0" w:firstLineChars="0"/>
              <w:jc w:val="center"/>
              <w:rPr>
                <w:rFonts w:cs="Times New Roman"/>
                <w:sz w:val="24"/>
                <w:szCs w:val="24"/>
              </w:rPr>
            </w:pPr>
          </w:p>
        </w:tc>
        <w:tc>
          <w:tcPr>
            <w:tcW w:w="860" w:type="pct"/>
          </w:tcPr>
          <w:p>
            <w:pPr>
              <w:spacing w:line="240" w:lineRule="auto"/>
              <w:ind w:firstLine="0" w:firstLineChars="0"/>
              <w:jc w:val="center"/>
              <w:rPr>
                <w:rFonts w:cs="Times New Roman"/>
                <w:color w:val="000000" w:themeColor="text1"/>
                <w:kern w:val="0"/>
                <w:sz w:val="24"/>
                <w:szCs w:val="24"/>
                <w14:textFill>
                  <w14:solidFill>
                    <w14:schemeClr w14:val="tx1"/>
                  </w14:solidFill>
                </w14:textFill>
              </w:rPr>
            </w:pPr>
          </w:p>
        </w:tc>
        <w:tc>
          <w:tcPr>
            <w:tcW w:w="1087" w:type="pct"/>
            <w:vAlign w:val="center"/>
          </w:tcPr>
          <w:p>
            <w:pPr>
              <w:spacing w:line="240" w:lineRule="auto"/>
              <w:ind w:firstLine="0" w:firstLineChars="0"/>
              <w:jc w:val="center"/>
              <w:rPr>
                <w:sz w:val="24"/>
                <w:szCs w:val="24"/>
              </w:rPr>
            </w:pPr>
          </w:p>
        </w:tc>
      </w:tr>
      <w:bookmarkEnd w:id="68"/>
    </w:tbl>
    <w:p>
      <w:pPr>
        <w:pStyle w:val="4"/>
        <w:ind w:firstLine="562"/>
      </w:pPr>
      <w:r>
        <w:rPr>
          <w:rFonts w:hint="eastAsia" w:cs="Times New Roman"/>
        </w:rPr>
        <w:t>（二）评价与结论</w:t>
      </w:r>
    </w:p>
    <w:p>
      <w:pPr>
        <w:ind w:firstLine="560"/>
        <w:rPr>
          <w:rFonts w:cs="Times New Roman"/>
        </w:rPr>
      </w:pPr>
      <w:r>
        <w:rPr>
          <w:rFonts w:hint="eastAsia" w:cs="Times New Roman"/>
        </w:rPr>
        <w:t>以上测算结果是基于政府能够协调提升灌溉水价，并且2</w:t>
      </w:r>
      <w:r>
        <w:rPr>
          <w:rFonts w:cs="Times New Roman"/>
        </w:rPr>
        <w:t>027年就</w:t>
      </w:r>
      <w:r>
        <w:rPr>
          <w:rFonts w:hint="eastAsia" w:cs="Times New Roman"/>
        </w:rPr>
        <w:t>能够执行，考虑到本项目是否有可行性缺口补助与灌溉水价密切相关，若项目实施后能够顺利提高农业灌溉水价，就能能够实现无需政府补贴。</w:t>
      </w:r>
    </w:p>
    <w:p>
      <w:pPr>
        <w:ind w:firstLine="560"/>
        <w:rPr>
          <w:rFonts w:cs="Times New Roman"/>
        </w:rPr>
      </w:pPr>
      <w:r>
        <w:rPr>
          <w:rFonts w:hint="eastAsia" w:cs="Times New Roman"/>
        </w:rPr>
        <w:t>以上投资收益控制水平为资本金内部收益率（税后）</w:t>
      </w:r>
      <w:r>
        <w:rPr>
          <w:rFonts w:cs="Times New Roman"/>
        </w:rPr>
        <w:t>5.5%</w:t>
      </w:r>
      <w:r>
        <w:rPr>
          <w:rFonts w:hint="eastAsia" w:cs="Times New Roman"/>
        </w:rPr>
        <w:t>，结合本项目“投建管服”一体化实施，考虑到施工利润后该投资收益在宁夏地区整体投资收益和市场测试反馈结果来看，对社会资本具备较强的吸引力。</w:t>
      </w:r>
    </w:p>
    <w:p>
      <w:pPr>
        <w:ind w:firstLine="560"/>
        <w:rPr>
          <w:rFonts w:cs="Times New Roman"/>
        </w:rPr>
      </w:pPr>
      <w:r>
        <w:rPr>
          <w:rFonts w:hint="eastAsia" w:cs="Times New Roman"/>
        </w:rPr>
        <w:t>必须指出，上述财务测算结果是建立在目前阶段我方通过尽职调查和书面财务信息的基础上，利用科学、合理的财务测算方法所得之结果，仅作为政府方判断在确定的边界条件下社会资本可接受的使用者付费之参考依据，与社会资本实际竞争后的使用者付费金额可能存在一定的差异。我们认为主要存在如下主观因素将导致前述差异：</w:t>
      </w:r>
    </w:p>
    <w:p>
      <w:pPr>
        <w:ind w:firstLine="560"/>
        <w:rPr>
          <w:rFonts w:cs="Times New Roman"/>
        </w:rPr>
      </w:pPr>
      <w:r>
        <w:rPr>
          <w:rFonts w:cs="Times New Roman"/>
        </w:rPr>
        <w:t>1.</w:t>
      </w:r>
      <w:r>
        <w:rPr>
          <w:rFonts w:hint="eastAsia" w:cs="Times New Roman"/>
        </w:rPr>
        <w:t>潜在社会资本对未来期的差异</w:t>
      </w:r>
    </w:p>
    <w:p>
      <w:pPr>
        <w:ind w:firstLine="560"/>
        <w:rPr>
          <w:rFonts w:cs="Times New Roman"/>
        </w:rPr>
      </w:pPr>
      <w:r>
        <w:rPr>
          <w:rFonts w:hint="eastAsia" w:cs="Times New Roman"/>
        </w:rPr>
        <w:t>潜在社会资本对以下方面的未来预期的差异会引起其实际报价对本财务测算结果的偏离。</w:t>
      </w:r>
    </w:p>
    <w:p>
      <w:pPr>
        <w:ind w:firstLine="560"/>
        <w:rPr>
          <w:rFonts w:cs="Times New Roman"/>
        </w:rPr>
      </w:pPr>
      <w:r>
        <w:rPr>
          <w:rFonts w:hint="eastAsia" w:cs="Times New Roman"/>
        </w:rPr>
        <w:t>（</w:t>
      </w:r>
      <w:r>
        <w:rPr>
          <w:rFonts w:cs="Times New Roman"/>
        </w:rPr>
        <w:t>1</w:t>
      </w:r>
      <w:r>
        <w:rPr>
          <w:rFonts w:hint="eastAsia" w:cs="Times New Roman"/>
        </w:rPr>
        <w:t>）项目所在地宏观因素</w:t>
      </w:r>
    </w:p>
    <w:p>
      <w:pPr>
        <w:ind w:firstLine="560"/>
        <w:rPr>
          <w:rFonts w:cs="Times New Roman"/>
        </w:rPr>
      </w:pPr>
      <w:r>
        <w:rPr>
          <w:rFonts w:hint="eastAsia" w:cs="Times New Roman"/>
        </w:rPr>
        <w:t>潜在社会资本对项目所在地经济规模、经济结构、人均收入水平及消费习惯，对项目所在地人口规模等因素的现状及未来趋势的预期不同也会影响潜在社会资本的竞争报价。</w:t>
      </w:r>
    </w:p>
    <w:p>
      <w:pPr>
        <w:ind w:firstLine="560"/>
        <w:rPr>
          <w:rFonts w:cs="Times New Roman"/>
        </w:rPr>
      </w:pPr>
      <w:r>
        <w:rPr>
          <w:rFonts w:hint="eastAsia" w:cs="Times New Roman"/>
        </w:rPr>
        <w:t>（</w:t>
      </w:r>
      <w:r>
        <w:rPr>
          <w:rFonts w:cs="Times New Roman"/>
        </w:rPr>
        <w:t>2</w:t>
      </w:r>
      <w:r>
        <w:rPr>
          <w:rFonts w:hint="eastAsia" w:cs="Times New Roman"/>
        </w:rPr>
        <w:t>）潜在社会资本对于项目运营效率的提高程度</w:t>
      </w:r>
    </w:p>
    <w:p>
      <w:pPr>
        <w:ind w:firstLine="560"/>
        <w:rPr>
          <w:rFonts w:cs="Times New Roman"/>
        </w:rPr>
      </w:pPr>
      <w:r>
        <w:rPr>
          <w:rFonts w:hint="eastAsia" w:cs="Times New Roman"/>
        </w:rPr>
        <w:t>在通过尽职调查、本项目采购文件及其他渠道获得的与本项目相关信息的基础上，潜在社会资本对自身技术实力、管理能力进行评估，并对其运营本项目在效率上的改进空间进行预期，潜在社会资本对这两方面的预期不同，也会影响潜在社会资本的竞争报价。</w:t>
      </w:r>
    </w:p>
    <w:p>
      <w:pPr>
        <w:ind w:firstLine="560"/>
        <w:rPr>
          <w:rFonts w:cs="Times New Roman"/>
        </w:rPr>
      </w:pPr>
      <w:r>
        <w:rPr>
          <w:rFonts w:cs="Times New Roman"/>
        </w:rPr>
        <w:t>2.</w:t>
      </w:r>
      <w:r>
        <w:rPr>
          <w:rFonts w:hint="eastAsia" w:cs="Times New Roman"/>
        </w:rPr>
        <w:t>本项目对潜在社会资本的重要程度</w:t>
      </w:r>
    </w:p>
    <w:p>
      <w:pPr>
        <w:ind w:firstLine="560"/>
        <w:rPr>
          <w:rFonts w:cs="Times New Roman"/>
        </w:rPr>
      </w:pPr>
      <w:r>
        <w:rPr>
          <w:rFonts w:hint="eastAsia" w:cs="Times New Roman"/>
        </w:rPr>
        <w:t>潜在社会资本是出于战略目的还是仅仅出于经济目的而参与项目竞争也会对其报价产生影响。</w:t>
      </w:r>
    </w:p>
    <w:p>
      <w:pPr>
        <w:ind w:firstLine="560"/>
        <w:rPr>
          <w:rFonts w:cs="Times New Roman"/>
        </w:rPr>
      </w:pPr>
      <w:r>
        <w:rPr>
          <w:rFonts w:cs="Times New Roman"/>
        </w:rPr>
        <w:t>3.</w:t>
      </w:r>
      <w:r>
        <w:rPr>
          <w:rFonts w:hint="eastAsia" w:cs="Times New Roman"/>
        </w:rPr>
        <w:t>潜在社会资本的资金实力及融资能力</w:t>
      </w:r>
    </w:p>
    <w:p>
      <w:pPr>
        <w:ind w:firstLine="560"/>
        <w:rPr>
          <w:rFonts w:cs="Times New Roman"/>
        </w:rPr>
      </w:pPr>
      <w:r>
        <w:rPr>
          <w:rFonts w:hint="eastAsia" w:cs="Times New Roman"/>
        </w:rPr>
        <w:t>潜在社会资本自身的资金实力、偿债能力的不同及其融资渠道的宽窄不同均会影响其报价。</w:t>
      </w:r>
    </w:p>
    <w:p>
      <w:pPr>
        <w:ind w:firstLine="560"/>
        <w:rPr>
          <w:rFonts w:cs="Times New Roman"/>
        </w:rPr>
      </w:pPr>
      <w:r>
        <w:rPr>
          <w:rFonts w:cs="Times New Roman"/>
        </w:rPr>
        <w:t>4.</w:t>
      </w:r>
      <w:r>
        <w:rPr>
          <w:rFonts w:hint="eastAsia" w:cs="Times New Roman"/>
        </w:rPr>
        <w:t>本项目的竞争程度</w:t>
      </w:r>
    </w:p>
    <w:p>
      <w:pPr>
        <w:ind w:firstLine="560"/>
        <w:rPr>
          <w:rFonts w:cs="Times New Roman"/>
        </w:rPr>
      </w:pPr>
      <w:r>
        <w:rPr>
          <w:rFonts w:hint="eastAsia" w:cs="Times New Roman"/>
        </w:rPr>
        <w:t>参与本项目竞争的社会资本数量及其实力对比不同所导致本项目的竞争程度，亦将间接地对社会资本的报价产生影响。</w:t>
      </w:r>
    </w:p>
    <w:p>
      <w:pPr>
        <w:widowControl/>
        <w:spacing w:line="240" w:lineRule="auto"/>
        <w:ind w:firstLine="0" w:firstLineChars="0"/>
        <w:jc w:val="left"/>
        <w:rPr>
          <w:rFonts w:cs="Times New Roman"/>
        </w:rPr>
      </w:pPr>
      <w:r>
        <w:rPr>
          <w:rFonts w:cs="Times New Roman"/>
        </w:rPr>
        <w:br w:type="page"/>
      </w:r>
    </w:p>
    <w:p>
      <w:pPr>
        <w:pStyle w:val="2"/>
        <w:spacing w:after="400"/>
        <w:rPr>
          <w:rFonts w:cs="Times New Roman"/>
        </w:rPr>
      </w:pPr>
      <w:bookmarkStart w:id="69" w:name="_Toc148432367"/>
      <w:r>
        <w:rPr>
          <w:rFonts w:hint="eastAsia" w:cs="Times New Roman"/>
        </w:rPr>
        <w:t>第七章 项目风险识别与分配</w:t>
      </w:r>
      <w:bookmarkEnd w:id="69"/>
    </w:p>
    <w:p>
      <w:pPr>
        <w:pStyle w:val="3"/>
        <w:ind w:firstLine="643"/>
        <w:rPr>
          <w:rFonts w:cs="Times New Roman"/>
        </w:rPr>
      </w:pPr>
      <w:bookmarkStart w:id="70" w:name="_Toc97286451"/>
      <w:bookmarkStart w:id="71" w:name="_Toc148432368"/>
      <w:bookmarkStart w:id="72" w:name="_Hlk99549120"/>
      <w:r>
        <w:rPr>
          <w:rFonts w:hint="eastAsia" w:cs="Times New Roman"/>
        </w:rPr>
        <w:t>一、项目风险分配原则</w:t>
      </w:r>
      <w:bookmarkEnd w:id="70"/>
      <w:bookmarkEnd w:id="71"/>
    </w:p>
    <w:p>
      <w:pPr>
        <w:ind w:firstLine="560"/>
        <w:rPr>
          <w:rFonts w:cs="Times New Roman"/>
        </w:rPr>
      </w:pPr>
      <w:r>
        <w:rPr>
          <w:rFonts w:hint="eastAsia" w:cs="Times New Roman"/>
        </w:rPr>
        <w:t>本项目按照风险最优分配、风险与收益对等和风险可控等原则，综合考虑政府风险管理能力、项目回报机制和市场风险等要素，并考虑供水行业的自身特点，在政府和社会资本方之间实现项目风险的合理分配。具体风险分配原则如下：</w:t>
      </w:r>
    </w:p>
    <w:p>
      <w:pPr>
        <w:pStyle w:val="4"/>
        <w:ind w:firstLine="562"/>
        <w:rPr>
          <w:rFonts w:cs="Times New Roman"/>
        </w:rPr>
      </w:pPr>
      <w:bookmarkStart w:id="73" w:name="_Toc88385913"/>
      <w:bookmarkStart w:id="74" w:name="_Toc88582219"/>
      <w:bookmarkStart w:id="75" w:name="_Toc86926642"/>
      <w:r>
        <w:rPr>
          <w:rFonts w:hint="eastAsia" w:cs="Times New Roman"/>
        </w:rPr>
        <w:t>（一）最优风险分配原则</w:t>
      </w:r>
      <w:bookmarkEnd w:id="73"/>
      <w:bookmarkEnd w:id="74"/>
      <w:bookmarkEnd w:id="75"/>
    </w:p>
    <w:p>
      <w:pPr>
        <w:ind w:firstLine="560"/>
        <w:rPr>
          <w:rFonts w:cs="Times New Roman"/>
        </w:rPr>
      </w:pPr>
      <w:r>
        <w:rPr>
          <w:rFonts w:hint="eastAsia" w:cs="Times New Roman"/>
        </w:rPr>
        <w:t>特许经营模式致力于在政府和社会资本方之间实现最优风险分配而非最大限度的政府风险转移，在风险不恰当地分配和转移的情况下，政府可能会因转移了自身可以更有效管理的风险而向社会资本方支付更多的费用，或因留存了社会资本方可以更有效管理的风险而承担更高的成本，从而危及政府和社会资本合作关系的长期稳定性。因此并非所有的风险都会被政府转移给社会资本方或社会资本。在风险转移水平由低至高的区间内，通过最优风险转移水平，确保本项目的目标得以最大限度地实现。</w:t>
      </w:r>
    </w:p>
    <w:p>
      <w:pPr>
        <w:pStyle w:val="4"/>
        <w:ind w:firstLine="562"/>
        <w:rPr>
          <w:rFonts w:cs="Times New Roman"/>
        </w:rPr>
      </w:pPr>
      <w:bookmarkStart w:id="76" w:name="_Toc88582220"/>
      <w:bookmarkStart w:id="77" w:name="_Toc86926643"/>
      <w:bookmarkStart w:id="78" w:name="_Toc88385914"/>
      <w:r>
        <w:rPr>
          <w:rFonts w:hint="eastAsia" w:cs="Times New Roman"/>
        </w:rPr>
        <w:t>（二）风险收益对等原则</w:t>
      </w:r>
      <w:bookmarkEnd w:id="76"/>
      <w:bookmarkEnd w:id="77"/>
      <w:bookmarkEnd w:id="78"/>
    </w:p>
    <w:p>
      <w:pPr>
        <w:ind w:firstLine="560"/>
        <w:rPr>
          <w:rFonts w:cs="Times New Roman"/>
        </w:rPr>
      </w:pPr>
      <w:r>
        <w:rPr>
          <w:rFonts w:hint="eastAsia" w:cs="Times New Roman"/>
        </w:rPr>
        <w:t>特许经营项目在进行风险分配时应遵循风险与收益对等原则，即各方均应既关注风险承担方对于风险管理成本和风险损失的承担，又应尊重其获得与风险相匹配的收益水平的权利。如果风险管理成本大于与之对应的收益，风险转移就不可能在自愿的情况下发生，进而影响到相关各方履约及合作的效率。只有本项目参与各方能够通过风险分担实现对等收益，本方案确定的风险分配原则及方案才有实际落地的可能。</w:t>
      </w:r>
    </w:p>
    <w:p>
      <w:pPr>
        <w:pStyle w:val="4"/>
        <w:ind w:firstLine="562"/>
        <w:rPr>
          <w:rFonts w:cs="Times New Roman"/>
        </w:rPr>
      </w:pPr>
      <w:bookmarkStart w:id="79" w:name="_Toc88385915"/>
      <w:bookmarkStart w:id="80" w:name="_Toc88582221"/>
      <w:bookmarkStart w:id="81" w:name="_Toc86926644"/>
      <w:r>
        <w:rPr>
          <w:rFonts w:hint="eastAsia" w:cs="Times New Roman"/>
        </w:rPr>
        <w:t>（三）风险可控原则</w:t>
      </w:r>
      <w:bookmarkEnd w:id="79"/>
      <w:bookmarkEnd w:id="80"/>
      <w:bookmarkEnd w:id="81"/>
    </w:p>
    <w:p>
      <w:pPr>
        <w:ind w:firstLine="560"/>
        <w:rPr>
          <w:rFonts w:cs="Times New Roman"/>
        </w:rPr>
      </w:pPr>
      <w:r>
        <w:rPr>
          <w:rFonts w:hint="eastAsia" w:cs="Times New Roman"/>
        </w:rPr>
        <w:t>本项目合作期限长，部分风险的影响因素可能会出现政府、社会资本方无法预料的变化，并导致风险发生概率上升或风险发生时财务损失比之前估计的大得多。为保证政府和社会资本方合作关系的长期稳定，《特许经营协议》应根据风险可控原则设计风险分配机制，而不能由某一方单独承担超过其承受能力的风险，否则必将影响本项目各方维持合作关系的积极性，并最终导致社会资本方无法持续、稳定地提供公共产品</w:t>
      </w:r>
      <w:r>
        <w:rPr>
          <w:rFonts w:cs="Times New Roman"/>
        </w:rPr>
        <w:t>/</w:t>
      </w:r>
      <w:r>
        <w:rPr>
          <w:rFonts w:hint="eastAsia" w:cs="Times New Roman"/>
        </w:rPr>
        <w:t>服务。</w:t>
      </w:r>
    </w:p>
    <w:p>
      <w:pPr>
        <w:pStyle w:val="3"/>
        <w:ind w:firstLine="643"/>
        <w:rPr>
          <w:rFonts w:cs="Times New Roman"/>
        </w:rPr>
      </w:pPr>
      <w:bookmarkStart w:id="82" w:name="_Toc97286452"/>
      <w:bookmarkStart w:id="83" w:name="_Toc148432369"/>
      <w:r>
        <w:rPr>
          <w:rFonts w:hint="eastAsia" w:cs="Times New Roman"/>
        </w:rPr>
        <w:t>二、风险分配框架与流程</w:t>
      </w:r>
      <w:bookmarkEnd w:id="82"/>
      <w:bookmarkEnd w:id="83"/>
    </w:p>
    <w:p>
      <w:pPr>
        <w:pStyle w:val="4"/>
        <w:ind w:firstLine="562"/>
        <w:rPr>
          <w:rFonts w:cs="Times New Roman"/>
        </w:rPr>
      </w:pPr>
      <w:bookmarkStart w:id="84" w:name="_Toc88582223"/>
      <w:bookmarkStart w:id="85" w:name="_Toc88385917"/>
      <w:bookmarkStart w:id="86" w:name="_Toc86926646"/>
      <w:r>
        <w:rPr>
          <w:rFonts w:hint="eastAsia" w:cs="Times New Roman"/>
        </w:rPr>
        <w:t>（一）风险分配基础框架</w:t>
      </w:r>
      <w:bookmarkEnd w:id="84"/>
      <w:bookmarkEnd w:id="85"/>
      <w:bookmarkEnd w:id="86"/>
    </w:p>
    <w:p>
      <w:pPr>
        <w:ind w:firstLine="560"/>
        <w:rPr>
          <w:rFonts w:cs="Times New Roman"/>
        </w:rPr>
      </w:pPr>
      <w:r>
        <w:rPr>
          <w:rFonts w:hint="eastAsia" w:cs="Times New Roman"/>
        </w:rPr>
        <w:t>根据上述风险分配原则，考虑政府风险管理能力、项目回报机制、市场风险管理能力等要素，得到以下风险分配基本框架。</w:t>
      </w:r>
    </w:p>
    <w:p>
      <w:pPr>
        <w:pStyle w:val="44"/>
        <w:keepNext/>
        <w:spacing w:line="240" w:lineRule="auto"/>
        <w:ind w:firstLine="0" w:firstLineChars="0"/>
        <w:jc w:val="center"/>
      </w:pPr>
      <w:r>
        <w:drawing>
          <wp:inline distT="0" distB="0" distL="0" distR="0">
            <wp:extent cx="3601085" cy="3387725"/>
            <wp:effectExtent l="0" t="0" r="0" b="317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34" cstate="print">
                      <a:extLst>
                        <a:ext uri="{28A0092B-C50C-407E-A947-70E740481C1C}">
                          <a14:useLocalDpi xmlns:a14="http://schemas.microsoft.com/office/drawing/2010/main" val="0"/>
                        </a:ext>
                      </a:extLst>
                    </a:blip>
                    <a:stretch>
                      <a:fillRect/>
                    </a:stretch>
                  </pic:blipFill>
                  <pic:spPr>
                    <a:xfrm>
                      <a:off x="0" y="0"/>
                      <a:ext cx="3601085" cy="3387725"/>
                    </a:xfrm>
                    <a:prstGeom prst="rect">
                      <a:avLst/>
                    </a:prstGeom>
                  </pic:spPr>
                </pic:pic>
              </a:graphicData>
            </a:graphic>
          </wp:inline>
        </w:drawing>
      </w:r>
    </w:p>
    <w:p>
      <w:pPr>
        <w:pStyle w:val="11"/>
        <w:ind w:firstLine="482"/>
        <w:jc w:val="center"/>
        <w:rPr>
          <w:rFonts w:ascii="仿宋" w:hAnsi="仿宋" w:eastAsia="仿宋"/>
          <w:b/>
          <w:bCs/>
          <w:sz w:val="24"/>
          <w:szCs w:val="24"/>
        </w:rPr>
      </w:pPr>
      <w:r>
        <w:rPr>
          <w:rFonts w:hint="eastAsia" w:ascii="仿宋" w:hAnsi="仿宋" w:eastAsia="仿宋" w:cs="微软雅黑"/>
          <w:b/>
          <w:bCs/>
          <w:sz w:val="24"/>
          <w:szCs w:val="24"/>
        </w:rPr>
        <w:t>图7</w:t>
      </w:r>
      <w:r>
        <w:rPr>
          <w:rFonts w:ascii="仿宋" w:hAnsi="仿宋" w:eastAsia="仿宋" w:cs="微软雅黑"/>
          <w:b/>
          <w:bCs/>
          <w:sz w:val="24"/>
          <w:szCs w:val="24"/>
        </w:rPr>
        <w:t>-</w:t>
      </w:r>
      <w:r>
        <w:rPr>
          <w:rFonts w:ascii="仿宋" w:hAnsi="仿宋" w:eastAsia="仿宋"/>
          <w:b/>
          <w:bCs/>
          <w:sz w:val="24"/>
          <w:szCs w:val="24"/>
        </w:rPr>
        <w:fldChar w:fldCharType="begin"/>
      </w:r>
      <w:r>
        <w:rPr>
          <w:rFonts w:ascii="仿宋" w:hAnsi="仿宋" w:eastAsia="仿宋"/>
          <w:b/>
          <w:bCs/>
          <w:sz w:val="24"/>
          <w:szCs w:val="24"/>
        </w:rPr>
        <w:instrText xml:space="preserve"> </w:instrText>
      </w:r>
      <w:r>
        <w:rPr>
          <w:rFonts w:hint="eastAsia" w:ascii="仿宋" w:hAnsi="仿宋" w:eastAsia="仿宋"/>
          <w:b/>
          <w:bCs/>
          <w:sz w:val="24"/>
          <w:szCs w:val="24"/>
        </w:rPr>
        <w:instrText xml:space="preserve">SEQ 图表 \* ARABIC</w:instrText>
      </w:r>
      <w:r>
        <w:rPr>
          <w:rFonts w:ascii="仿宋" w:hAnsi="仿宋" w:eastAsia="仿宋"/>
          <w:b/>
          <w:bCs/>
          <w:sz w:val="24"/>
          <w:szCs w:val="24"/>
        </w:rPr>
        <w:instrText xml:space="preserve"> </w:instrText>
      </w:r>
      <w:r>
        <w:rPr>
          <w:rFonts w:ascii="仿宋" w:hAnsi="仿宋" w:eastAsia="仿宋"/>
          <w:b/>
          <w:bCs/>
          <w:sz w:val="24"/>
          <w:szCs w:val="24"/>
        </w:rPr>
        <w:fldChar w:fldCharType="separate"/>
      </w:r>
      <w:r>
        <w:rPr>
          <w:rFonts w:ascii="仿宋" w:hAnsi="仿宋" w:eastAsia="仿宋"/>
          <w:b/>
          <w:bCs/>
          <w:sz w:val="24"/>
          <w:szCs w:val="24"/>
        </w:rPr>
        <w:t>1</w:t>
      </w:r>
      <w:r>
        <w:rPr>
          <w:rFonts w:ascii="仿宋" w:hAnsi="仿宋" w:eastAsia="仿宋"/>
          <w:b/>
          <w:bCs/>
          <w:sz w:val="24"/>
          <w:szCs w:val="24"/>
        </w:rPr>
        <w:fldChar w:fldCharType="end"/>
      </w:r>
      <w:r>
        <w:rPr>
          <w:rFonts w:hint="eastAsia" w:ascii="仿宋" w:hAnsi="仿宋" w:eastAsia="仿宋"/>
          <w:b/>
          <w:bCs/>
          <w:sz w:val="24"/>
          <w:szCs w:val="24"/>
        </w:rPr>
        <w:t>风险分配基础框架图</w:t>
      </w:r>
    </w:p>
    <w:p>
      <w:pPr>
        <w:pStyle w:val="4"/>
        <w:ind w:firstLine="562"/>
        <w:rPr>
          <w:rFonts w:cs="Times New Roman"/>
        </w:rPr>
      </w:pPr>
      <w:bookmarkStart w:id="87" w:name="_Toc86926647"/>
      <w:bookmarkStart w:id="88" w:name="_Toc88582224"/>
      <w:bookmarkStart w:id="89" w:name="_Toc88385918"/>
      <w:r>
        <w:rPr>
          <w:rFonts w:hint="eastAsia" w:cs="Times New Roman"/>
        </w:rPr>
        <w:t>（二）风险分配流程</w:t>
      </w:r>
      <w:bookmarkEnd w:id="87"/>
      <w:bookmarkEnd w:id="88"/>
      <w:bookmarkEnd w:id="89"/>
    </w:p>
    <w:p>
      <w:pPr>
        <w:pStyle w:val="44"/>
        <w:ind w:firstLine="560"/>
        <w:rPr>
          <w:rFonts w:ascii="仿宋" w:hAnsi="仿宋" w:eastAsia="仿宋"/>
        </w:rPr>
      </w:pPr>
      <w:r>
        <w:rPr>
          <w:rFonts w:hint="eastAsia" w:ascii="仿宋" w:hAnsi="仿宋" w:eastAsia="仿宋"/>
        </w:rPr>
        <w:t>风险分配流程见下图：</w:t>
      </w:r>
    </w:p>
    <w:p>
      <w:pPr>
        <w:pStyle w:val="44"/>
        <w:spacing w:line="240" w:lineRule="auto"/>
        <w:ind w:firstLine="0" w:firstLineChars="0"/>
        <w:jc w:val="center"/>
        <w:rPr>
          <w:b/>
          <w:bCs w:val="0"/>
          <w:sz w:val="24"/>
          <w:szCs w:val="28"/>
        </w:rPr>
      </w:pPr>
      <w:r>
        <w:rPr>
          <w:b/>
          <w:sz w:val="24"/>
        </w:rPr>
        <w:drawing>
          <wp:inline distT="0" distB="0" distL="0" distR="0">
            <wp:extent cx="3780155" cy="3335020"/>
            <wp:effectExtent l="0" t="0" r="0" b="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a:xfrm>
                      <a:off x="0" y="0"/>
                      <a:ext cx="3780155" cy="3335020"/>
                    </a:xfrm>
                    <a:prstGeom prst="rect">
                      <a:avLst/>
                    </a:prstGeom>
                    <a:noFill/>
                  </pic:spPr>
                </pic:pic>
              </a:graphicData>
            </a:graphic>
          </wp:inline>
        </w:drawing>
      </w:r>
    </w:p>
    <w:p>
      <w:pPr>
        <w:pStyle w:val="11"/>
        <w:ind w:firstLine="482"/>
        <w:jc w:val="center"/>
        <w:rPr>
          <w:rFonts w:ascii="仿宋" w:hAnsi="仿宋" w:eastAsia="仿宋" w:cs="微软雅黑"/>
          <w:b/>
          <w:bCs/>
          <w:sz w:val="24"/>
          <w:szCs w:val="24"/>
        </w:rPr>
      </w:pPr>
      <w:r>
        <w:rPr>
          <w:rFonts w:hint="eastAsia" w:ascii="仿宋" w:hAnsi="仿宋" w:eastAsia="仿宋" w:cs="微软雅黑"/>
          <w:b/>
          <w:bCs/>
          <w:sz w:val="24"/>
          <w:szCs w:val="24"/>
        </w:rPr>
        <w:t>图7</w:t>
      </w:r>
      <w:r>
        <w:rPr>
          <w:rFonts w:ascii="仿宋" w:hAnsi="仿宋" w:eastAsia="仿宋" w:cs="微软雅黑"/>
          <w:b/>
          <w:bCs/>
          <w:sz w:val="24"/>
          <w:szCs w:val="24"/>
        </w:rPr>
        <w:t>-2</w:t>
      </w:r>
      <w:r>
        <w:rPr>
          <w:rFonts w:hint="eastAsia" w:ascii="仿宋" w:hAnsi="仿宋" w:eastAsia="仿宋" w:cs="微软雅黑"/>
          <w:b/>
          <w:bCs/>
          <w:sz w:val="24"/>
          <w:szCs w:val="24"/>
        </w:rPr>
        <w:t>风险分配流程</w:t>
      </w:r>
    </w:p>
    <w:p>
      <w:pPr>
        <w:pStyle w:val="3"/>
        <w:ind w:firstLine="643"/>
        <w:rPr>
          <w:rFonts w:cs="Times New Roman"/>
        </w:rPr>
      </w:pPr>
      <w:bookmarkStart w:id="90" w:name="_Toc97286453"/>
      <w:bookmarkStart w:id="91" w:name="_Toc148432370"/>
      <w:r>
        <w:rPr>
          <w:rFonts w:hint="eastAsia" w:cs="Times New Roman"/>
        </w:rPr>
        <w:t>三、项目风险分配</w:t>
      </w:r>
      <w:bookmarkEnd w:id="90"/>
      <w:r>
        <w:rPr>
          <w:rFonts w:hint="eastAsia" w:cs="Times New Roman"/>
        </w:rPr>
        <w:t>及应对措施</w:t>
      </w:r>
      <w:bookmarkEnd w:id="91"/>
    </w:p>
    <w:p>
      <w:pPr>
        <w:pStyle w:val="4"/>
        <w:ind w:firstLine="562"/>
        <w:rPr>
          <w:rFonts w:cs="Times New Roman"/>
        </w:rPr>
      </w:pPr>
      <w:r>
        <w:rPr>
          <w:rFonts w:hint="eastAsia" w:cs="Times New Roman"/>
        </w:rPr>
        <w:t>（一）风险分配方案</w:t>
      </w:r>
    </w:p>
    <w:p>
      <w:pPr>
        <w:ind w:firstLine="560"/>
        <w:rPr>
          <w:rFonts w:cs="Times New Roman"/>
        </w:rPr>
      </w:pPr>
      <w:r>
        <w:rPr>
          <w:rFonts w:hint="eastAsia" w:cs="Times New Roman"/>
        </w:rPr>
        <w:t>根据农业灌溉行业面临的普遍风险及本项目自身特点，可以将本项目风险大致划分为政治风险、法律和政策调整风险、投融资风险、运营风险、移交风险和不可抗力风险等</w:t>
      </w:r>
      <w:r>
        <w:rPr>
          <w:rFonts w:cs="Times New Roman"/>
        </w:rPr>
        <w:t>7</w:t>
      </w:r>
      <w:r>
        <w:rPr>
          <w:rFonts w:hint="eastAsia" w:cs="Times New Roman"/>
        </w:rPr>
        <w:t>大类</w:t>
      </w:r>
      <w:r>
        <w:rPr>
          <w:rFonts w:cs="Times New Roman"/>
        </w:rPr>
        <w:t>24</w:t>
      </w:r>
      <w:r>
        <w:rPr>
          <w:rFonts w:hint="eastAsia" w:cs="Times New Roman"/>
        </w:rPr>
        <w:t>项风险，依据风险分配原则、框架和流程具体识别、分析，具体风险分配方案如下表：</w:t>
      </w:r>
    </w:p>
    <w:p>
      <w:pPr>
        <w:pStyle w:val="44"/>
        <w:spacing w:before="120" w:beforeLines="50" w:line="360" w:lineRule="auto"/>
        <w:ind w:left="3360" w:firstLine="0" w:firstLineChars="0"/>
        <w:rPr>
          <w:rFonts w:ascii="仿宋" w:hAnsi="仿宋" w:eastAsia="仿宋"/>
          <w:b/>
          <w:bCs w:val="0"/>
          <w:sz w:val="24"/>
          <w:szCs w:val="24"/>
        </w:rPr>
      </w:pPr>
      <w:r>
        <w:rPr>
          <w:rFonts w:hint="eastAsia" w:ascii="仿宋" w:hAnsi="仿宋" w:eastAsia="仿宋"/>
          <w:b/>
          <w:bCs w:val="0"/>
          <w:sz w:val="24"/>
          <w:szCs w:val="24"/>
        </w:rPr>
        <w:t>表</w:t>
      </w:r>
      <w:r>
        <w:rPr>
          <w:rFonts w:ascii="仿宋" w:hAnsi="仿宋" w:eastAsia="仿宋"/>
          <w:b/>
          <w:bCs w:val="0"/>
          <w:sz w:val="24"/>
          <w:szCs w:val="24"/>
        </w:rPr>
        <w:t>7-1</w:t>
      </w:r>
      <w:r>
        <w:rPr>
          <w:rFonts w:hint="eastAsia" w:ascii="仿宋" w:hAnsi="仿宋" w:eastAsia="仿宋"/>
          <w:b/>
          <w:bCs w:val="0"/>
          <w:sz w:val="24"/>
          <w:szCs w:val="24"/>
        </w:rPr>
        <w:t>项目风险分配</w:t>
      </w:r>
    </w:p>
    <w:tbl>
      <w:tblPr>
        <w:tblStyle w:val="30"/>
        <w:tblW w:w="5000" w:type="pct"/>
        <w:jc w:val="center"/>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Layout w:type="autofit"/>
        <w:tblCellMar>
          <w:top w:w="0" w:type="dxa"/>
          <w:left w:w="108" w:type="dxa"/>
          <w:bottom w:w="0" w:type="dxa"/>
          <w:right w:w="108" w:type="dxa"/>
        </w:tblCellMar>
      </w:tblPr>
      <w:tblGrid>
        <w:gridCol w:w="1306"/>
        <w:gridCol w:w="544"/>
        <w:gridCol w:w="3308"/>
        <w:gridCol w:w="936"/>
        <w:gridCol w:w="1308"/>
        <w:gridCol w:w="1161"/>
        <w:gridCol w:w="723"/>
      </w:tblGrid>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tblHeader/>
          <w:jc w:val="center"/>
        </w:trPr>
        <w:tc>
          <w:tcPr>
            <w:tcW w:w="703" w:type="pct"/>
            <w:tcBorders>
              <w:top w:val="single" w:color="auto" w:sz="18" w:space="0"/>
              <w:bottom w:val="single" w:color="auto" w:sz="4" w:space="0"/>
              <w:right w:val="single" w:color="auto" w:sz="4" w:space="0"/>
            </w:tcBorders>
            <w:shd w:val="clear" w:color="auto" w:fill="D8D8D8" w:themeFill="background1" w:themeFillShade="D9"/>
            <w:vAlign w:val="center"/>
          </w:tcPr>
          <w:p>
            <w:pPr>
              <w:spacing w:line="240" w:lineRule="auto"/>
              <w:ind w:firstLine="0" w:firstLineChars="0"/>
              <w:jc w:val="center"/>
              <w:rPr>
                <w:rFonts w:cs="Times New Roman"/>
                <w:b/>
                <w:sz w:val="24"/>
                <w:szCs w:val="24"/>
              </w:rPr>
            </w:pPr>
            <w:r>
              <w:rPr>
                <w:rFonts w:hint="eastAsia" w:cs="Times New Roman"/>
                <w:b/>
                <w:sz w:val="24"/>
                <w:szCs w:val="24"/>
              </w:rPr>
              <w:t>风险类别</w:t>
            </w:r>
          </w:p>
        </w:tc>
        <w:tc>
          <w:tcPr>
            <w:tcW w:w="293" w:type="pct"/>
            <w:tcBorders>
              <w:top w:val="single" w:color="auto" w:sz="18" w:space="0"/>
              <w:bottom w:val="single" w:color="auto" w:sz="4" w:space="0"/>
              <w:right w:val="single" w:color="auto" w:sz="4" w:space="0"/>
            </w:tcBorders>
            <w:shd w:val="clear" w:color="auto" w:fill="D8D8D8" w:themeFill="background1" w:themeFillShade="D9"/>
            <w:vAlign w:val="center"/>
          </w:tcPr>
          <w:p>
            <w:pPr>
              <w:spacing w:line="240" w:lineRule="auto"/>
              <w:ind w:firstLine="0" w:firstLineChars="0"/>
              <w:jc w:val="center"/>
              <w:rPr>
                <w:rFonts w:cs="Times New Roman"/>
                <w:b/>
                <w:sz w:val="24"/>
                <w:szCs w:val="24"/>
              </w:rPr>
            </w:pPr>
            <w:r>
              <w:rPr>
                <w:rFonts w:hint="eastAsia" w:cs="Times New Roman"/>
                <w:b/>
                <w:sz w:val="24"/>
                <w:szCs w:val="24"/>
              </w:rPr>
              <w:t>序号</w:t>
            </w:r>
          </w:p>
        </w:tc>
        <w:tc>
          <w:tcPr>
            <w:tcW w:w="1781" w:type="pct"/>
            <w:tcBorders>
              <w:top w:val="single" w:color="auto" w:sz="18" w:space="0"/>
              <w:left w:val="single" w:color="auto" w:sz="4" w:space="0"/>
              <w:bottom w:val="single" w:color="auto" w:sz="4" w:space="0"/>
            </w:tcBorders>
            <w:shd w:val="clear" w:color="auto" w:fill="D8D8D8" w:themeFill="background1" w:themeFillShade="D9"/>
            <w:vAlign w:val="center"/>
          </w:tcPr>
          <w:p>
            <w:pPr>
              <w:spacing w:line="240" w:lineRule="auto"/>
              <w:ind w:firstLine="0" w:firstLineChars="0"/>
              <w:jc w:val="center"/>
              <w:rPr>
                <w:rFonts w:cs="Times New Roman"/>
                <w:b/>
                <w:sz w:val="24"/>
                <w:szCs w:val="24"/>
              </w:rPr>
            </w:pPr>
            <w:r>
              <w:rPr>
                <w:rFonts w:hint="eastAsia" w:cs="Times New Roman"/>
                <w:b/>
                <w:sz w:val="24"/>
                <w:szCs w:val="24"/>
              </w:rPr>
              <w:t>风险名称</w:t>
            </w:r>
          </w:p>
        </w:tc>
        <w:tc>
          <w:tcPr>
            <w:tcW w:w="504" w:type="pct"/>
            <w:tcBorders>
              <w:top w:val="single" w:color="auto" w:sz="18" w:space="0"/>
              <w:bottom w:val="single" w:color="auto" w:sz="4" w:space="0"/>
            </w:tcBorders>
            <w:shd w:val="clear" w:color="auto" w:fill="D8D8D8" w:themeFill="background1" w:themeFillShade="D9"/>
            <w:vAlign w:val="center"/>
          </w:tcPr>
          <w:p>
            <w:pPr>
              <w:spacing w:line="240" w:lineRule="auto"/>
              <w:ind w:firstLine="0" w:firstLineChars="0"/>
              <w:jc w:val="center"/>
              <w:rPr>
                <w:rFonts w:cs="Times New Roman"/>
                <w:b/>
                <w:sz w:val="24"/>
                <w:szCs w:val="24"/>
              </w:rPr>
            </w:pPr>
            <w:r>
              <w:rPr>
                <w:rFonts w:hint="eastAsia" w:cs="Times New Roman"/>
                <w:b/>
                <w:sz w:val="24"/>
                <w:szCs w:val="24"/>
              </w:rPr>
              <w:t>政府</w:t>
            </w:r>
          </w:p>
          <w:p>
            <w:pPr>
              <w:spacing w:line="240" w:lineRule="auto"/>
              <w:ind w:firstLine="0" w:firstLineChars="0"/>
              <w:jc w:val="center"/>
              <w:rPr>
                <w:rFonts w:cs="Times New Roman"/>
                <w:b/>
                <w:sz w:val="24"/>
                <w:szCs w:val="24"/>
              </w:rPr>
            </w:pPr>
            <w:r>
              <w:rPr>
                <w:rFonts w:hint="eastAsia" w:cs="Times New Roman"/>
                <w:b/>
                <w:sz w:val="24"/>
                <w:szCs w:val="24"/>
              </w:rPr>
              <w:t>承担</w:t>
            </w:r>
          </w:p>
        </w:tc>
        <w:tc>
          <w:tcPr>
            <w:tcW w:w="704" w:type="pct"/>
            <w:tcBorders>
              <w:top w:val="single" w:color="auto" w:sz="18" w:space="0"/>
              <w:bottom w:val="single" w:color="auto" w:sz="4" w:space="0"/>
            </w:tcBorders>
            <w:shd w:val="clear" w:color="auto" w:fill="D8D8D8" w:themeFill="background1" w:themeFillShade="D9"/>
            <w:vAlign w:val="center"/>
          </w:tcPr>
          <w:p>
            <w:pPr>
              <w:spacing w:line="240" w:lineRule="auto"/>
              <w:ind w:firstLine="0" w:firstLineChars="0"/>
              <w:jc w:val="center"/>
              <w:rPr>
                <w:rFonts w:cs="Times New Roman"/>
                <w:b/>
                <w:sz w:val="24"/>
                <w:szCs w:val="24"/>
              </w:rPr>
            </w:pPr>
            <w:r>
              <w:rPr>
                <w:rFonts w:hint="eastAsia" w:cs="Times New Roman"/>
                <w:b/>
                <w:sz w:val="24"/>
                <w:szCs w:val="24"/>
              </w:rPr>
              <w:t>社会资本方承担</w:t>
            </w:r>
          </w:p>
        </w:tc>
        <w:tc>
          <w:tcPr>
            <w:tcW w:w="625" w:type="pct"/>
            <w:tcBorders>
              <w:top w:val="single" w:color="auto" w:sz="18" w:space="0"/>
              <w:bottom w:val="single" w:color="auto" w:sz="4" w:space="0"/>
            </w:tcBorders>
            <w:shd w:val="clear" w:color="auto" w:fill="D8D8D8" w:themeFill="background1" w:themeFillShade="D9"/>
            <w:vAlign w:val="center"/>
          </w:tcPr>
          <w:p>
            <w:pPr>
              <w:spacing w:line="240" w:lineRule="auto"/>
              <w:ind w:firstLine="0" w:firstLineChars="0"/>
              <w:jc w:val="center"/>
              <w:rPr>
                <w:rFonts w:cs="Times New Roman"/>
                <w:b/>
                <w:sz w:val="24"/>
                <w:szCs w:val="24"/>
              </w:rPr>
            </w:pPr>
            <w:r>
              <w:rPr>
                <w:rFonts w:hint="eastAsia" w:cs="Times New Roman"/>
                <w:b/>
                <w:sz w:val="24"/>
                <w:szCs w:val="24"/>
              </w:rPr>
              <w:t>责任方</w:t>
            </w:r>
          </w:p>
          <w:p>
            <w:pPr>
              <w:spacing w:line="240" w:lineRule="auto"/>
              <w:ind w:firstLine="0" w:firstLineChars="0"/>
              <w:jc w:val="center"/>
              <w:rPr>
                <w:rFonts w:cs="Times New Roman"/>
                <w:b/>
                <w:sz w:val="24"/>
                <w:szCs w:val="24"/>
              </w:rPr>
            </w:pPr>
            <w:r>
              <w:rPr>
                <w:rFonts w:hint="eastAsia" w:cs="Times New Roman"/>
                <w:b/>
                <w:sz w:val="24"/>
                <w:szCs w:val="24"/>
              </w:rPr>
              <w:t>承担</w:t>
            </w:r>
          </w:p>
        </w:tc>
        <w:tc>
          <w:tcPr>
            <w:tcW w:w="389" w:type="pct"/>
            <w:tcBorders>
              <w:top w:val="single" w:color="auto" w:sz="18" w:space="0"/>
              <w:bottom w:val="single" w:color="auto" w:sz="4" w:space="0"/>
            </w:tcBorders>
            <w:shd w:val="clear" w:color="auto" w:fill="D8D8D8" w:themeFill="background1" w:themeFillShade="D9"/>
            <w:vAlign w:val="center"/>
          </w:tcPr>
          <w:p>
            <w:pPr>
              <w:spacing w:line="240" w:lineRule="auto"/>
              <w:ind w:firstLine="0" w:firstLineChars="0"/>
              <w:jc w:val="center"/>
              <w:rPr>
                <w:rFonts w:cs="Times New Roman"/>
                <w:b/>
                <w:sz w:val="24"/>
                <w:szCs w:val="24"/>
              </w:rPr>
            </w:pPr>
            <w:r>
              <w:rPr>
                <w:rFonts w:hint="eastAsia" w:cs="Times New Roman"/>
                <w:b/>
                <w:sz w:val="24"/>
                <w:szCs w:val="24"/>
              </w:rPr>
              <w:t>共同承担</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703" w:type="pct"/>
            <w:vMerge w:val="restart"/>
            <w:tcBorders>
              <w:top w:val="single" w:color="auto" w:sz="4" w:space="0"/>
              <w:right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政治风险</w:t>
            </w:r>
          </w:p>
        </w:tc>
        <w:tc>
          <w:tcPr>
            <w:tcW w:w="293" w:type="pct"/>
            <w:tcBorders>
              <w:top w:val="single" w:color="auto" w:sz="4" w:space="0"/>
              <w:right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1</w:t>
            </w:r>
          </w:p>
        </w:tc>
        <w:tc>
          <w:tcPr>
            <w:tcW w:w="1781" w:type="pct"/>
            <w:tcBorders>
              <w:top w:val="single" w:color="auto" w:sz="4" w:space="0"/>
              <w:left w:val="single" w:color="auto" w:sz="4" w:space="0"/>
              <w:bottom w:val="dotted"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征用</w:t>
            </w:r>
            <w:r>
              <w:rPr>
                <w:rFonts w:cs="Times New Roman"/>
                <w:sz w:val="24"/>
                <w:szCs w:val="24"/>
              </w:rPr>
              <w:t>/</w:t>
            </w:r>
            <w:r>
              <w:rPr>
                <w:rFonts w:hint="eastAsia" w:cs="Times New Roman"/>
                <w:sz w:val="24"/>
                <w:szCs w:val="24"/>
              </w:rPr>
              <w:t>公有化风险</w:t>
            </w:r>
          </w:p>
        </w:tc>
        <w:tc>
          <w:tcPr>
            <w:tcW w:w="504" w:type="pct"/>
            <w:tcBorders>
              <w:top w:val="single" w:color="auto" w:sz="4" w:space="0"/>
              <w:bottom w:val="dotted" w:color="auto" w:sz="4" w:space="0"/>
            </w:tcBorders>
            <w:vAlign w:val="center"/>
          </w:tcPr>
          <w:p>
            <w:pPr>
              <w:spacing w:line="240" w:lineRule="auto"/>
              <w:ind w:firstLine="0" w:firstLineChars="0"/>
              <w:jc w:val="center"/>
              <w:rPr>
                <w:rFonts w:cs="Times New Roman"/>
                <w:b/>
                <w:sz w:val="24"/>
                <w:szCs w:val="24"/>
              </w:rPr>
            </w:pPr>
          </w:p>
        </w:tc>
        <w:tc>
          <w:tcPr>
            <w:tcW w:w="704" w:type="pct"/>
            <w:tcBorders>
              <w:top w:val="single" w:color="auto" w:sz="4" w:space="0"/>
              <w:bottom w:val="dotted" w:color="auto" w:sz="4" w:space="0"/>
            </w:tcBorders>
            <w:vAlign w:val="center"/>
          </w:tcPr>
          <w:p>
            <w:pPr>
              <w:spacing w:line="240" w:lineRule="auto"/>
              <w:ind w:firstLine="0" w:firstLineChars="0"/>
              <w:jc w:val="center"/>
              <w:rPr>
                <w:rFonts w:cs="Times New Roman"/>
                <w:sz w:val="24"/>
                <w:szCs w:val="24"/>
              </w:rPr>
            </w:pPr>
          </w:p>
        </w:tc>
        <w:tc>
          <w:tcPr>
            <w:tcW w:w="625" w:type="pct"/>
            <w:tcBorders>
              <w:top w:val="single" w:color="auto" w:sz="4" w:space="0"/>
              <w:bottom w:val="dotted" w:color="auto" w:sz="4" w:space="0"/>
            </w:tcBorders>
            <w:vAlign w:val="center"/>
          </w:tcPr>
          <w:p>
            <w:pPr>
              <w:spacing w:line="240" w:lineRule="auto"/>
              <w:ind w:firstLine="0" w:firstLineChars="0"/>
              <w:jc w:val="center"/>
              <w:rPr>
                <w:rFonts w:cs="Times New Roman"/>
                <w:sz w:val="24"/>
                <w:szCs w:val="24"/>
              </w:rPr>
            </w:pPr>
          </w:p>
        </w:tc>
        <w:tc>
          <w:tcPr>
            <w:tcW w:w="389" w:type="pct"/>
            <w:tcBorders>
              <w:top w:val="single" w:color="auto" w:sz="4" w:space="0"/>
              <w:bottom w:val="dotted" w:color="auto" w:sz="4" w:space="0"/>
            </w:tcBorders>
            <w:vAlign w:val="center"/>
          </w:tcPr>
          <w:p>
            <w:pPr>
              <w:spacing w:line="240" w:lineRule="auto"/>
              <w:ind w:firstLine="0" w:firstLineChars="0"/>
              <w:jc w:val="center"/>
              <w:rPr>
                <w:rFonts w:cs="Times New Roman"/>
                <w:sz w:val="24"/>
                <w:szCs w:val="24"/>
              </w:rPr>
            </w:pPr>
            <w:r>
              <w:rPr>
                <w:rFonts w:hint="eastAsia" w:cs="Times New Roman"/>
                <w:color w:val="000000" w:themeColor="text1"/>
                <w:sz w:val="24"/>
                <w:szCs w:val="24"/>
                <w14:textFill>
                  <w14:solidFill>
                    <w14:schemeClr w14:val="tx1"/>
                  </w14:solidFill>
                </w14:textFill>
              </w:rPr>
              <w:t>√</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703" w:type="pct"/>
            <w:vMerge w:val="continue"/>
            <w:tcBorders>
              <w:right w:val="single" w:color="auto" w:sz="4" w:space="0"/>
            </w:tcBorders>
            <w:vAlign w:val="center"/>
          </w:tcPr>
          <w:p>
            <w:pPr>
              <w:widowControl/>
              <w:spacing w:line="240" w:lineRule="auto"/>
              <w:ind w:firstLine="0" w:firstLineChars="0"/>
              <w:jc w:val="center"/>
              <w:rPr>
                <w:rFonts w:cs="Times New Roman"/>
                <w:sz w:val="24"/>
                <w:szCs w:val="24"/>
              </w:rPr>
            </w:pPr>
          </w:p>
        </w:tc>
        <w:tc>
          <w:tcPr>
            <w:tcW w:w="293" w:type="pct"/>
            <w:tcBorders>
              <w:right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2</w:t>
            </w:r>
          </w:p>
        </w:tc>
        <w:tc>
          <w:tcPr>
            <w:tcW w:w="1781" w:type="pct"/>
            <w:tcBorders>
              <w:top w:val="dotted" w:color="auto" w:sz="4" w:space="0"/>
              <w:left w:val="single" w:color="auto" w:sz="4" w:space="0"/>
              <w:bottom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政府干预风险</w:t>
            </w:r>
          </w:p>
        </w:tc>
        <w:tc>
          <w:tcPr>
            <w:tcW w:w="504"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r>
              <w:rPr>
                <w:rFonts w:hint="eastAsia" w:cs="Times New Roman"/>
                <w:color w:val="000000" w:themeColor="text1"/>
                <w:sz w:val="24"/>
                <w:szCs w:val="24"/>
                <w14:textFill>
                  <w14:solidFill>
                    <w14:schemeClr w14:val="tx1"/>
                  </w14:solidFill>
                </w14:textFill>
              </w:rPr>
              <w:t>√</w:t>
            </w:r>
          </w:p>
        </w:tc>
        <w:tc>
          <w:tcPr>
            <w:tcW w:w="704"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625"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389"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703" w:type="pct"/>
            <w:vMerge w:val="restart"/>
            <w:tcBorders>
              <w:top w:val="single" w:color="auto" w:sz="4" w:space="0"/>
              <w:bottom w:val="dotted" w:color="auto" w:sz="4" w:space="0"/>
              <w:right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法律和政策调整风险</w:t>
            </w:r>
          </w:p>
        </w:tc>
        <w:tc>
          <w:tcPr>
            <w:tcW w:w="293" w:type="pct"/>
            <w:tcBorders>
              <w:top w:val="single" w:color="auto" w:sz="4" w:space="0"/>
              <w:bottom w:val="dotted" w:color="auto" w:sz="4" w:space="0"/>
              <w:right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3</w:t>
            </w:r>
          </w:p>
        </w:tc>
        <w:tc>
          <w:tcPr>
            <w:tcW w:w="1781" w:type="pct"/>
            <w:tcBorders>
              <w:top w:val="single" w:color="auto" w:sz="4" w:space="0"/>
              <w:left w:val="single" w:color="auto" w:sz="4" w:space="0"/>
              <w:bottom w:val="dotted"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不可控法律、政策变更风险</w:t>
            </w:r>
          </w:p>
        </w:tc>
        <w:tc>
          <w:tcPr>
            <w:tcW w:w="504" w:type="pct"/>
            <w:tcBorders>
              <w:top w:val="single" w:color="auto" w:sz="4" w:space="0"/>
              <w:bottom w:val="dotted" w:color="auto" w:sz="4" w:space="0"/>
            </w:tcBorders>
            <w:vAlign w:val="center"/>
          </w:tcPr>
          <w:p>
            <w:pPr>
              <w:spacing w:line="240" w:lineRule="auto"/>
              <w:ind w:firstLine="0" w:firstLineChars="0"/>
              <w:jc w:val="center"/>
              <w:rPr>
                <w:rFonts w:cs="Times New Roman"/>
                <w:b/>
                <w:sz w:val="24"/>
                <w:szCs w:val="24"/>
              </w:rPr>
            </w:pPr>
          </w:p>
        </w:tc>
        <w:tc>
          <w:tcPr>
            <w:tcW w:w="704" w:type="pct"/>
            <w:tcBorders>
              <w:top w:val="single" w:color="auto" w:sz="4" w:space="0"/>
              <w:bottom w:val="dotted" w:color="auto" w:sz="4" w:space="0"/>
            </w:tcBorders>
            <w:vAlign w:val="center"/>
          </w:tcPr>
          <w:p>
            <w:pPr>
              <w:spacing w:line="240" w:lineRule="auto"/>
              <w:ind w:firstLine="0" w:firstLineChars="0"/>
              <w:jc w:val="center"/>
              <w:rPr>
                <w:rFonts w:cs="Times New Roman"/>
                <w:b/>
                <w:sz w:val="24"/>
                <w:szCs w:val="24"/>
              </w:rPr>
            </w:pPr>
          </w:p>
        </w:tc>
        <w:tc>
          <w:tcPr>
            <w:tcW w:w="625" w:type="pct"/>
            <w:tcBorders>
              <w:top w:val="single" w:color="auto" w:sz="4" w:space="0"/>
              <w:bottom w:val="dotted" w:color="auto" w:sz="4" w:space="0"/>
            </w:tcBorders>
            <w:vAlign w:val="center"/>
          </w:tcPr>
          <w:p>
            <w:pPr>
              <w:spacing w:line="240" w:lineRule="auto"/>
              <w:ind w:firstLine="0" w:firstLineChars="0"/>
              <w:jc w:val="center"/>
              <w:rPr>
                <w:rFonts w:cs="Times New Roman"/>
                <w:b/>
                <w:sz w:val="24"/>
                <w:szCs w:val="24"/>
              </w:rPr>
            </w:pPr>
          </w:p>
        </w:tc>
        <w:tc>
          <w:tcPr>
            <w:tcW w:w="389" w:type="pct"/>
            <w:tcBorders>
              <w:top w:val="single" w:color="auto" w:sz="4" w:space="0"/>
              <w:bottom w:val="dotted" w:color="auto" w:sz="4" w:space="0"/>
            </w:tcBorders>
            <w:vAlign w:val="center"/>
          </w:tcPr>
          <w:p>
            <w:pPr>
              <w:spacing w:line="240" w:lineRule="auto"/>
              <w:ind w:firstLine="0" w:firstLineChars="0"/>
              <w:jc w:val="center"/>
              <w:rPr>
                <w:rFonts w:cs="Times New Roman"/>
                <w:b/>
                <w:sz w:val="24"/>
                <w:szCs w:val="24"/>
              </w:rPr>
            </w:pPr>
            <w:r>
              <w:rPr>
                <w:rFonts w:hint="eastAsia" w:cs="Times New Roman"/>
                <w:color w:val="000000" w:themeColor="text1"/>
                <w:sz w:val="24"/>
                <w:szCs w:val="24"/>
                <w14:textFill>
                  <w14:solidFill>
                    <w14:schemeClr w14:val="tx1"/>
                  </w14:solidFill>
                </w14:textFill>
              </w:rPr>
              <w:t>√</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703" w:type="pct"/>
            <w:vMerge w:val="continue"/>
            <w:tcBorders>
              <w:top w:val="dotted" w:color="auto" w:sz="4" w:space="0"/>
              <w:bottom w:val="dotted" w:color="auto" w:sz="4" w:space="0"/>
              <w:right w:val="single" w:color="auto" w:sz="4" w:space="0"/>
            </w:tcBorders>
            <w:vAlign w:val="center"/>
          </w:tcPr>
          <w:p>
            <w:pPr>
              <w:widowControl/>
              <w:spacing w:line="240" w:lineRule="auto"/>
              <w:ind w:firstLine="0" w:firstLineChars="0"/>
              <w:jc w:val="center"/>
              <w:rPr>
                <w:rFonts w:cs="Times New Roman"/>
                <w:sz w:val="24"/>
                <w:szCs w:val="24"/>
              </w:rPr>
            </w:pPr>
          </w:p>
        </w:tc>
        <w:tc>
          <w:tcPr>
            <w:tcW w:w="293" w:type="pct"/>
            <w:tcBorders>
              <w:top w:val="dotted" w:color="auto" w:sz="4" w:space="0"/>
              <w:bottom w:val="dotted" w:color="auto" w:sz="4" w:space="0"/>
              <w:right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4</w:t>
            </w:r>
          </w:p>
        </w:tc>
        <w:tc>
          <w:tcPr>
            <w:tcW w:w="1781" w:type="pct"/>
            <w:tcBorders>
              <w:top w:val="dotted" w:color="auto" w:sz="4" w:space="0"/>
              <w:left w:val="single" w:color="auto" w:sz="4" w:space="0"/>
              <w:bottom w:val="dotted"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可控政策变更风险</w:t>
            </w:r>
          </w:p>
        </w:tc>
        <w:tc>
          <w:tcPr>
            <w:tcW w:w="504" w:type="pct"/>
            <w:tcBorders>
              <w:top w:val="dotted" w:color="auto" w:sz="4" w:space="0"/>
              <w:bottom w:val="dotted" w:color="auto" w:sz="4" w:space="0"/>
            </w:tcBorders>
            <w:vAlign w:val="center"/>
          </w:tcPr>
          <w:p>
            <w:pPr>
              <w:spacing w:line="240" w:lineRule="auto"/>
              <w:ind w:firstLine="0" w:firstLineChars="0"/>
              <w:jc w:val="center"/>
              <w:rPr>
                <w:rFonts w:cs="Times New Roman"/>
                <w:b/>
                <w:sz w:val="24"/>
                <w:szCs w:val="24"/>
              </w:rPr>
            </w:pPr>
            <w:r>
              <w:rPr>
                <w:rFonts w:hint="eastAsia" w:cs="Times New Roman"/>
                <w:color w:val="000000" w:themeColor="text1"/>
                <w:sz w:val="24"/>
                <w:szCs w:val="24"/>
                <w14:textFill>
                  <w14:solidFill>
                    <w14:schemeClr w14:val="tx1"/>
                  </w14:solidFill>
                </w14:textFill>
              </w:rPr>
              <w:t>√</w:t>
            </w:r>
          </w:p>
        </w:tc>
        <w:tc>
          <w:tcPr>
            <w:tcW w:w="704" w:type="pct"/>
            <w:tcBorders>
              <w:top w:val="dotted" w:color="auto" w:sz="4" w:space="0"/>
              <w:bottom w:val="dotted" w:color="auto" w:sz="4" w:space="0"/>
            </w:tcBorders>
            <w:vAlign w:val="center"/>
          </w:tcPr>
          <w:p>
            <w:pPr>
              <w:spacing w:line="240" w:lineRule="auto"/>
              <w:ind w:firstLine="0" w:firstLineChars="0"/>
              <w:jc w:val="center"/>
              <w:rPr>
                <w:rFonts w:cs="Times New Roman"/>
                <w:b/>
                <w:sz w:val="24"/>
                <w:szCs w:val="24"/>
              </w:rPr>
            </w:pPr>
          </w:p>
        </w:tc>
        <w:tc>
          <w:tcPr>
            <w:tcW w:w="625" w:type="pct"/>
            <w:tcBorders>
              <w:top w:val="dotted" w:color="auto" w:sz="4" w:space="0"/>
              <w:bottom w:val="dotted" w:color="auto" w:sz="4" w:space="0"/>
            </w:tcBorders>
            <w:vAlign w:val="center"/>
          </w:tcPr>
          <w:p>
            <w:pPr>
              <w:spacing w:line="240" w:lineRule="auto"/>
              <w:ind w:firstLine="0" w:firstLineChars="0"/>
              <w:jc w:val="center"/>
              <w:rPr>
                <w:rFonts w:cs="Times New Roman"/>
                <w:b/>
                <w:sz w:val="24"/>
                <w:szCs w:val="24"/>
              </w:rPr>
            </w:pPr>
          </w:p>
        </w:tc>
        <w:tc>
          <w:tcPr>
            <w:tcW w:w="389" w:type="pct"/>
            <w:tcBorders>
              <w:top w:val="dotted" w:color="auto" w:sz="4" w:space="0"/>
              <w:bottom w:val="dotted" w:color="auto" w:sz="4" w:space="0"/>
            </w:tcBorders>
            <w:vAlign w:val="center"/>
          </w:tcPr>
          <w:p>
            <w:pPr>
              <w:spacing w:line="240" w:lineRule="auto"/>
              <w:ind w:firstLine="0" w:firstLineChars="0"/>
              <w:jc w:val="center"/>
              <w:rPr>
                <w:rFonts w:cs="Times New Roman"/>
                <w:b/>
                <w:sz w:val="24"/>
                <w:szCs w:val="24"/>
              </w:rPr>
            </w:pP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703" w:type="pct"/>
            <w:vMerge w:val="continue"/>
            <w:tcBorders>
              <w:top w:val="dotted" w:color="auto" w:sz="4" w:space="0"/>
              <w:bottom w:val="single" w:color="auto" w:sz="4" w:space="0"/>
              <w:right w:val="single" w:color="auto" w:sz="4" w:space="0"/>
            </w:tcBorders>
            <w:vAlign w:val="center"/>
          </w:tcPr>
          <w:p>
            <w:pPr>
              <w:widowControl/>
              <w:spacing w:line="240" w:lineRule="auto"/>
              <w:ind w:firstLine="0" w:firstLineChars="0"/>
              <w:jc w:val="center"/>
              <w:rPr>
                <w:rFonts w:cs="Times New Roman"/>
                <w:sz w:val="24"/>
                <w:szCs w:val="24"/>
              </w:rPr>
            </w:pPr>
          </w:p>
        </w:tc>
        <w:tc>
          <w:tcPr>
            <w:tcW w:w="293" w:type="pct"/>
            <w:tcBorders>
              <w:top w:val="dotted" w:color="auto" w:sz="4" w:space="0"/>
              <w:bottom w:val="single" w:color="auto" w:sz="4" w:space="0"/>
              <w:right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5</w:t>
            </w:r>
          </w:p>
        </w:tc>
        <w:tc>
          <w:tcPr>
            <w:tcW w:w="1781" w:type="pct"/>
            <w:tcBorders>
              <w:top w:val="dotted" w:color="auto" w:sz="4" w:space="0"/>
              <w:left w:val="single" w:color="auto" w:sz="4" w:space="0"/>
              <w:bottom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决策审批延误风险</w:t>
            </w:r>
          </w:p>
        </w:tc>
        <w:tc>
          <w:tcPr>
            <w:tcW w:w="504"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704"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625"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r>
              <w:rPr>
                <w:rFonts w:hint="eastAsia" w:cs="Times New Roman"/>
                <w:color w:val="000000" w:themeColor="text1"/>
                <w:sz w:val="24"/>
                <w:szCs w:val="24"/>
                <w14:textFill>
                  <w14:solidFill>
                    <w14:schemeClr w14:val="tx1"/>
                  </w14:solidFill>
                </w14:textFill>
              </w:rPr>
              <w:t>√</w:t>
            </w:r>
          </w:p>
        </w:tc>
        <w:tc>
          <w:tcPr>
            <w:tcW w:w="389"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703" w:type="pct"/>
            <w:vMerge w:val="restart"/>
            <w:tcBorders>
              <w:top w:val="single" w:color="auto" w:sz="4" w:space="0"/>
              <w:bottom w:val="dotted" w:color="auto" w:sz="4" w:space="0"/>
              <w:right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投融资风险</w:t>
            </w:r>
          </w:p>
        </w:tc>
        <w:tc>
          <w:tcPr>
            <w:tcW w:w="293" w:type="pct"/>
            <w:tcBorders>
              <w:top w:val="single" w:color="auto" w:sz="4" w:space="0"/>
              <w:bottom w:val="dotted" w:color="auto" w:sz="4" w:space="0"/>
              <w:right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6</w:t>
            </w:r>
          </w:p>
        </w:tc>
        <w:tc>
          <w:tcPr>
            <w:tcW w:w="1781" w:type="pct"/>
            <w:tcBorders>
              <w:top w:val="single" w:color="auto" w:sz="4" w:space="0"/>
              <w:left w:val="single" w:color="auto" w:sz="4" w:space="0"/>
              <w:bottom w:val="dotted"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融资交割风险</w:t>
            </w:r>
          </w:p>
        </w:tc>
        <w:tc>
          <w:tcPr>
            <w:tcW w:w="504" w:type="pct"/>
            <w:tcBorders>
              <w:top w:val="single" w:color="auto" w:sz="4" w:space="0"/>
              <w:bottom w:val="dotted" w:color="auto" w:sz="4" w:space="0"/>
            </w:tcBorders>
            <w:vAlign w:val="center"/>
          </w:tcPr>
          <w:p>
            <w:pPr>
              <w:spacing w:line="240" w:lineRule="auto"/>
              <w:ind w:firstLine="0" w:firstLineChars="0"/>
              <w:jc w:val="center"/>
              <w:rPr>
                <w:rFonts w:cs="Times New Roman"/>
                <w:b/>
                <w:sz w:val="24"/>
                <w:szCs w:val="24"/>
              </w:rPr>
            </w:pPr>
          </w:p>
        </w:tc>
        <w:tc>
          <w:tcPr>
            <w:tcW w:w="704" w:type="pct"/>
            <w:tcBorders>
              <w:top w:val="single" w:color="auto" w:sz="4" w:space="0"/>
              <w:bottom w:val="dotted" w:color="auto" w:sz="4" w:space="0"/>
            </w:tcBorders>
            <w:vAlign w:val="center"/>
          </w:tcPr>
          <w:p>
            <w:pPr>
              <w:spacing w:line="240" w:lineRule="auto"/>
              <w:ind w:firstLine="0" w:firstLineChars="0"/>
              <w:jc w:val="center"/>
              <w:rPr>
                <w:rFonts w:cs="Times New Roman"/>
                <w:b/>
                <w:sz w:val="24"/>
                <w:szCs w:val="24"/>
              </w:rPr>
            </w:pPr>
            <w:r>
              <w:rPr>
                <w:rFonts w:hint="eastAsia" w:cs="Times New Roman"/>
                <w:color w:val="000000" w:themeColor="text1"/>
                <w:sz w:val="24"/>
                <w:szCs w:val="24"/>
                <w14:textFill>
                  <w14:solidFill>
                    <w14:schemeClr w14:val="tx1"/>
                  </w14:solidFill>
                </w14:textFill>
              </w:rPr>
              <w:t>√</w:t>
            </w:r>
          </w:p>
        </w:tc>
        <w:tc>
          <w:tcPr>
            <w:tcW w:w="625" w:type="pct"/>
            <w:tcBorders>
              <w:top w:val="single" w:color="auto" w:sz="4" w:space="0"/>
              <w:bottom w:val="dotted" w:color="auto" w:sz="4" w:space="0"/>
            </w:tcBorders>
            <w:vAlign w:val="center"/>
          </w:tcPr>
          <w:p>
            <w:pPr>
              <w:spacing w:line="240" w:lineRule="auto"/>
              <w:ind w:firstLine="0" w:firstLineChars="0"/>
              <w:jc w:val="center"/>
              <w:rPr>
                <w:rFonts w:cs="Times New Roman"/>
                <w:b/>
                <w:sz w:val="24"/>
                <w:szCs w:val="24"/>
              </w:rPr>
            </w:pPr>
          </w:p>
        </w:tc>
        <w:tc>
          <w:tcPr>
            <w:tcW w:w="389" w:type="pct"/>
            <w:tcBorders>
              <w:top w:val="single" w:color="auto" w:sz="4" w:space="0"/>
              <w:bottom w:val="dotted" w:color="auto" w:sz="4" w:space="0"/>
            </w:tcBorders>
            <w:vAlign w:val="center"/>
          </w:tcPr>
          <w:p>
            <w:pPr>
              <w:spacing w:line="240" w:lineRule="auto"/>
              <w:ind w:firstLine="0" w:firstLineChars="0"/>
              <w:jc w:val="center"/>
              <w:rPr>
                <w:rFonts w:cs="Times New Roman"/>
                <w:b/>
                <w:sz w:val="24"/>
                <w:szCs w:val="24"/>
              </w:rPr>
            </w:pP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703" w:type="pct"/>
            <w:vMerge w:val="continue"/>
            <w:tcBorders>
              <w:top w:val="dotted" w:color="auto" w:sz="4" w:space="0"/>
              <w:bottom w:val="dotted" w:color="auto" w:sz="4" w:space="0"/>
              <w:right w:val="single" w:color="auto" w:sz="4" w:space="0"/>
            </w:tcBorders>
            <w:vAlign w:val="center"/>
          </w:tcPr>
          <w:p>
            <w:pPr>
              <w:widowControl/>
              <w:spacing w:line="240" w:lineRule="auto"/>
              <w:ind w:firstLine="0" w:firstLineChars="0"/>
              <w:jc w:val="center"/>
              <w:rPr>
                <w:rFonts w:cs="Times New Roman"/>
                <w:sz w:val="24"/>
                <w:szCs w:val="24"/>
              </w:rPr>
            </w:pPr>
          </w:p>
        </w:tc>
        <w:tc>
          <w:tcPr>
            <w:tcW w:w="293" w:type="pct"/>
            <w:tcBorders>
              <w:top w:val="dotted" w:color="auto" w:sz="4" w:space="0"/>
              <w:bottom w:val="dotted" w:color="auto" w:sz="4" w:space="0"/>
              <w:right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7</w:t>
            </w:r>
          </w:p>
        </w:tc>
        <w:tc>
          <w:tcPr>
            <w:tcW w:w="1781" w:type="pct"/>
            <w:tcBorders>
              <w:top w:val="dotted" w:color="auto" w:sz="4" w:space="0"/>
              <w:left w:val="single" w:color="auto" w:sz="4" w:space="0"/>
              <w:bottom w:val="dotted"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利率风险</w:t>
            </w:r>
          </w:p>
        </w:tc>
        <w:tc>
          <w:tcPr>
            <w:tcW w:w="504" w:type="pct"/>
            <w:tcBorders>
              <w:top w:val="dotted" w:color="auto" w:sz="4" w:space="0"/>
              <w:bottom w:val="dotted" w:color="auto" w:sz="4" w:space="0"/>
            </w:tcBorders>
            <w:vAlign w:val="center"/>
          </w:tcPr>
          <w:p>
            <w:pPr>
              <w:spacing w:line="240" w:lineRule="auto"/>
              <w:ind w:firstLine="0" w:firstLineChars="0"/>
              <w:jc w:val="center"/>
              <w:rPr>
                <w:rFonts w:cs="Times New Roman"/>
                <w:b/>
                <w:sz w:val="24"/>
                <w:szCs w:val="24"/>
              </w:rPr>
            </w:pPr>
          </w:p>
        </w:tc>
        <w:tc>
          <w:tcPr>
            <w:tcW w:w="704" w:type="pct"/>
            <w:tcBorders>
              <w:top w:val="dotted" w:color="auto" w:sz="4" w:space="0"/>
              <w:bottom w:val="dotted" w:color="auto" w:sz="4" w:space="0"/>
            </w:tcBorders>
            <w:vAlign w:val="center"/>
          </w:tcPr>
          <w:p>
            <w:pPr>
              <w:spacing w:line="240" w:lineRule="auto"/>
              <w:ind w:firstLine="0" w:firstLineChars="0"/>
              <w:jc w:val="center"/>
              <w:rPr>
                <w:rFonts w:cs="Times New Roman"/>
                <w:b/>
                <w:sz w:val="24"/>
                <w:szCs w:val="24"/>
              </w:rPr>
            </w:pPr>
          </w:p>
        </w:tc>
        <w:tc>
          <w:tcPr>
            <w:tcW w:w="625" w:type="pct"/>
            <w:tcBorders>
              <w:top w:val="dotted" w:color="auto" w:sz="4" w:space="0"/>
              <w:bottom w:val="dotted" w:color="auto" w:sz="4" w:space="0"/>
            </w:tcBorders>
            <w:vAlign w:val="center"/>
          </w:tcPr>
          <w:p>
            <w:pPr>
              <w:spacing w:line="240" w:lineRule="auto"/>
              <w:ind w:firstLine="0" w:firstLineChars="0"/>
              <w:jc w:val="center"/>
              <w:rPr>
                <w:rFonts w:cs="Times New Roman"/>
                <w:b/>
                <w:sz w:val="24"/>
                <w:szCs w:val="24"/>
              </w:rPr>
            </w:pPr>
          </w:p>
        </w:tc>
        <w:tc>
          <w:tcPr>
            <w:tcW w:w="389" w:type="pct"/>
            <w:tcBorders>
              <w:top w:val="dotted" w:color="auto" w:sz="4" w:space="0"/>
              <w:bottom w:val="dotted" w:color="auto" w:sz="4" w:space="0"/>
            </w:tcBorders>
            <w:vAlign w:val="center"/>
          </w:tcPr>
          <w:p>
            <w:pPr>
              <w:spacing w:line="240" w:lineRule="auto"/>
              <w:ind w:firstLine="0" w:firstLineChars="0"/>
              <w:jc w:val="center"/>
              <w:rPr>
                <w:rFonts w:cs="Times New Roman"/>
                <w:b/>
                <w:sz w:val="24"/>
                <w:szCs w:val="24"/>
              </w:rPr>
            </w:pPr>
            <w:r>
              <w:rPr>
                <w:rFonts w:hint="eastAsia" w:cs="Times New Roman"/>
                <w:color w:val="000000" w:themeColor="text1"/>
                <w:sz w:val="24"/>
                <w:szCs w:val="24"/>
                <w14:textFill>
                  <w14:solidFill>
                    <w14:schemeClr w14:val="tx1"/>
                  </w14:solidFill>
                </w14:textFill>
              </w:rPr>
              <w:t>√</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51" w:hRule="atLeast"/>
          <w:jc w:val="center"/>
        </w:trPr>
        <w:tc>
          <w:tcPr>
            <w:tcW w:w="703" w:type="pct"/>
            <w:vMerge w:val="continue"/>
            <w:tcBorders>
              <w:top w:val="dotted" w:color="auto" w:sz="4" w:space="0"/>
              <w:bottom w:val="dotted" w:color="auto" w:sz="4" w:space="0"/>
              <w:right w:val="single" w:color="auto" w:sz="4" w:space="0"/>
            </w:tcBorders>
            <w:vAlign w:val="center"/>
          </w:tcPr>
          <w:p>
            <w:pPr>
              <w:widowControl/>
              <w:spacing w:line="240" w:lineRule="auto"/>
              <w:ind w:firstLine="0" w:firstLineChars="0"/>
              <w:jc w:val="center"/>
              <w:rPr>
                <w:rFonts w:cs="Times New Roman"/>
                <w:sz w:val="24"/>
                <w:szCs w:val="24"/>
              </w:rPr>
            </w:pPr>
          </w:p>
        </w:tc>
        <w:tc>
          <w:tcPr>
            <w:tcW w:w="293" w:type="pct"/>
            <w:tcBorders>
              <w:top w:val="dotted" w:color="auto" w:sz="4" w:space="0"/>
              <w:right w:val="single" w:color="auto" w:sz="4" w:space="0"/>
            </w:tcBorders>
            <w:vAlign w:val="center"/>
          </w:tcPr>
          <w:p>
            <w:pPr>
              <w:spacing w:line="240" w:lineRule="auto"/>
              <w:ind w:firstLine="0" w:firstLineChars="0"/>
              <w:jc w:val="center"/>
              <w:rPr>
                <w:rFonts w:cs="Times New Roman"/>
                <w:sz w:val="24"/>
                <w:szCs w:val="24"/>
              </w:rPr>
            </w:pPr>
            <w:r>
              <w:rPr>
                <w:rFonts w:cs="Times New Roman"/>
                <w:sz w:val="24"/>
                <w:szCs w:val="24"/>
              </w:rPr>
              <w:t>8</w:t>
            </w:r>
          </w:p>
        </w:tc>
        <w:tc>
          <w:tcPr>
            <w:tcW w:w="1781" w:type="pct"/>
            <w:tcBorders>
              <w:top w:val="dotted" w:color="auto" w:sz="4" w:space="0"/>
              <w:left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供应商违约风险</w:t>
            </w:r>
          </w:p>
        </w:tc>
        <w:tc>
          <w:tcPr>
            <w:tcW w:w="504" w:type="pct"/>
            <w:tcBorders>
              <w:top w:val="dotted" w:color="auto" w:sz="4" w:space="0"/>
            </w:tcBorders>
            <w:vAlign w:val="center"/>
          </w:tcPr>
          <w:p>
            <w:pPr>
              <w:spacing w:line="240" w:lineRule="auto"/>
              <w:ind w:firstLine="0" w:firstLineChars="0"/>
              <w:jc w:val="center"/>
              <w:rPr>
                <w:rFonts w:cs="Times New Roman"/>
                <w:b/>
                <w:sz w:val="24"/>
                <w:szCs w:val="24"/>
              </w:rPr>
            </w:pPr>
          </w:p>
        </w:tc>
        <w:tc>
          <w:tcPr>
            <w:tcW w:w="704" w:type="pct"/>
            <w:tcBorders>
              <w:top w:val="dotted" w:color="auto" w:sz="4" w:space="0"/>
            </w:tcBorders>
            <w:vAlign w:val="center"/>
          </w:tcPr>
          <w:p>
            <w:pPr>
              <w:spacing w:line="240" w:lineRule="auto"/>
              <w:ind w:firstLine="0" w:firstLineChars="0"/>
              <w:jc w:val="center"/>
              <w:rPr>
                <w:rFonts w:cs="Times New Roman"/>
                <w:b/>
                <w:sz w:val="24"/>
                <w:szCs w:val="24"/>
              </w:rPr>
            </w:pPr>
            <w:r>
              <w:rPr>
                <w:rFonts w:hint="eastAsia" w:cs="Times New Roman"/>
                <w:color w:val="000000" w:themeColor="text1"/>
                <w:sz w:val="24"/>
                <w:szCs w:val="24"/>
                <w14:textFill>
                  <w14:solidFill>
                    <w14:schemeClr w14:val="tx1"/>
                  </w14:solidFill>
                </w14:textFill>
              </w:rPr>
              <w:t>√</w:t>
            </w:r>
          </w:p>
        </w:tc>
        <w:tc>
          <w:tcPr>
            <w:tcW w:w="625" w:type="pct"/>
            <w:tcBorders>
              <w:top w:val="dotted" w:color="auto" w:sz="4" w:space="0"/>
            </w:tcBorders>
            <w:vAlign w:val="center"/>
          </w:tcPr>
          <w:p>
            <w:pPr>
              <w:spacing w:line="240" w:lineRule="auto"/>
              <w:ind w:firstLine="0" w:firstLineChars="0"/>
              <w:jc w:val="center"/>
              <w:rPr>
                <w:rFonts w:cs="Times New Roman"/>
                <w:b/>
                <w:sz w:val="24"/>
                <w:szCs w:val="24"/>
              </w:rPr>
            </w:pPr>
          </w:p>
        </w:tc>
        <w:tc>
          <w:tcPr>
            <w:tcW w:w="389" w:type="pct"/>
            <w:tcBorders>
              <w:top w:val="dotted" w:color="auto" w:sz="4" w:space="0"/>
            </w:tcBorders>
            <w:vAlign w:val="center"/>
          </w:tcPr>
          <w:p>
            <w:pPr>
              <w:spacing w:line="240" w:lineRule="auto"/>
              <w:ind w:firstLine="0" w:firstLineChars="0"/>
              <w:jc w:val="center"/>
              <w:rPr>
                <w:rFonts w:cs="Times New Roman"/>
                <w:b/>
                <w:sz w:val="24"/>
                <w:szCs w:val="24"/>
              </w:rPr>
            </w:pP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703" w:type="pct"/>
            <w:vMerge w:val="continue"/>
            <w:tcBorders>
              <w:top w:val="dotted" w:color="auto" w:sz="4" w:space="0"/>
              <w:bottom w:val="dotted" w:color="auto" w:sz="4" w:space="0"/>
              <w:right w:val="single" w:color="auto" w:sz="4" w:space="0"/>
            </w:tcBorders>
            <w:vAlign w:val="center"/>
          </w:tcPr>
          <w:p>
            <w:pPr>
              <w:widowControl/>
              <w:spacing w:line="240" w:lineRule="auto"/>
              <w:ind w:firstLine="0" w:firstLineChars="0"/>
              <w:jc w:val="center"/>
              <w:rPr>
                <w:rFonts w:cs="Times New Roman"/>
                <w:sz w:val="24"/>
                <w:szCs w:val="24"/>
              </w:rPr>
            </w:pPr>
          </w:p>
        </w:tc>
        <w:tc>
          <w:tcPr>
            <w:tcW w:w="293" w:type="pct"/>
            <w:tcBorders>
              <w:top w:val="dotted" w:color="auto" w:sz="4" w:space="0"/>
              <w:bottom w:val="dotted" w:color="auto" w:sz="4" w:space="0"/>
              <w:right w:val="single" w:color="auto" w:sz="4" w:space="0"/>
            </w:tcBorders>
            <w:vAlign w:val="center"/>
          </w:tcPr>
          <w:p>
            <w:pPr>
              <w:spacing w:line="240" w:lineRule="auto"/>
              <w:ind w:firstLine="0" w:firstLineChars="0"/>
              <w:jc w:val="center"/>
              <w:rPr>
                <w:rFonts w:cs="Times New Roman"/>
                <w:sz w:val="24"/>
                <w:szCs w:val="24"/>
              </w:rPr>
            </w:pPr>
            <w:r>
              <w:rPr>
                <w:rFonts w:cs="Times New Roman"/>
                <w:sz w:val="24"/>
                <w:szCs w:val="24"/>
              </w:rPr>
              <w:t>9</w:t>
            </w:r>
          </w:p>
        </w:tc>
        <w:tc>
          <w:tcPr>
            <w:tcW w:w="1781" w:type="pct"/>
            <w:tcBorders>
              <w:top w:val="dotted" w:color="auto" w:sz="4" w:space="0"/>
              <w:left w:val="single" w:color="auto" w:sz="4" w:space="0"/>
              <w:bottom w:val="dotted"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环境保护风险</w:t>
            </w:r>
          </w:p>
        </w:tc>
        <w:tc>
          <w:tcPr>
            <w:tcW w:w="504" w:type="pct"/>
            <w:tcBorders>
              <w:top w:val="dotted" w:color="auto" w:sz="4" w:space="0"/>
              <w:bottom w:val="dotted" w:color="auto" w:sz="4" w:space="0"/>
            </w:tcBorders>
            <w:vAlign w:val="center"/>
          </w:tcPr>
          <w:p>
            <w:pPr>
              <w:spacing w:line="240" w:lineRule="auto"/>
              <w:ind w:firstLine="0" w:firstLineChars="0"/>
              <w:jc w:val="center"/>
              <w:rPr>
                <w:rFonts w:cs="Times New Roman"/>
                <w:b/>
                <w:sz w:val="24"/>
                <w:szCs w:val="24"/>
              </w:rPr>
            </w:pPr>
          </w:p>
        </w:tc>
        <w:tc>
          <w:tcPr>
            <w:tcW w:w="704" w:type="pct"/>
            <w:tcBorders>
              <w:top w:val="dotted" w:color="auto" w:sz="4" w:space="0"/>
              <w:bottom w:val="dotted" w:color="auto" w:sz="4" w:space="0"/>
            </w:tcBorders>
            <w:vAlign w:val="center"/>
          </w:tcPr>
          <w:p>
            <w:pPr>
              <w:spacing w:line="240" w:lineRule="auto"/>
              <w:ind w:firstLine="0" w:firstLineChars="0"/>
              <w:jc w:val="center"/>
              <w:rPr>
                <w:rFonts w:cs="Times New Roman"/>
                <w:b/>
                <w:sz w:val="24"/>
                <w:szCs w:val="24"/>
              </w:rPr>
            </w:pPr>
          </w:p>
        </w:tc>
        <w:tc>
          <w:tcPr>
            <w:tcW w:w="625" w:type="pct"/>
            <w:tcBorders>
              <w:top w:val="dotted" w:color="auto" w:sz="4" w:space="0"/>
              <w:bottom w:val="dotted" w:color="auto" w:sz="4" w:space="0"/>
            </w:tcBorders>
            <w:vAlign w:val="center"/>
          </w:tcPr>
          <w:p>
            <w:pPr>
              <w:spacing w:line="240" w:lineRule="auto"/>
              <w:ind w:firstLine="0" w:firstLineChars="0"/>
              <w:jc w:val="center"/>
              <w:rPr>
                <w:rFonts w:cs="Times New Roman"/>
                <w:b/>
                <w:sz w:val="24"/>
                <w:szCs w:val="24"/>
              </w:rPr>
            </w:pPr>
          </w:p>
        </w:tc>
        <w:tc>
          <w:tcPr>
            <w:tcW w:w="389" w:type="pct"/>
            <w:tcBorders>
              <w:top w:val="dotted" w:color="auto" w:sz="4" w:space="0"/>
              <w:bottom w:val="dotted" w:color="auto" w:sz="4" w:space="0"/>
            </w:tcBorders>
            <w:vAlign w:val="center"/>
          </w:tcPr>
          <w:p>
            <w:pPr>
              <w:spacing w:line="240" w:lineRule="auto"/>
              <w:ind w:firstLine="0" w:firstLineChars="0"/>
              <w:jc w:val="center"/>
              <w:rPr>
                <w:rFonts w:cs="Times New Roman"/>
                <w:b/>
                <w:sz w:val="24"/>
                <w:szCs w:val="24"/>
              </w:rPr>
            </w:pPr>
            <w:r>
              <w:rPr>
                <w:rFonts w:hint="eastAsia" w:cs="Times New Roman"/>
                <w:color w:val="000000" w:themeColor="text1"/>
                <w:sz w:val="24"/>
                <w:szCs w:val="24"/>
                <w14:textFill>
                  <w14:solidFill>
                    <w14:schemeClr w14:val="tx1"/>
                  </w14:solidFill>
                </w14:textFill>
              </w:rPr>
              <w:t>√</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49" w:hRule="atLeast"/>
          <w:jc w:val="center"/>
        </w:trPr>
        <w:tc>
          <w:tcPr>
            <w:tcW w:w="703" w:type="pct"/>
            <w:vMerge w:val="continue"/>
            <w:tcBorders>
              <w:top w:val="dotted" w:color="auto" w:sz="4" w:space="0"/>
              <w:bottom w:val="dotted" w:color="auto" w:sz="4" w:space="0"/>
              <w:right w:val="single" w:color="auto" w:sz="4" w:space="0"/>
            </w:tcBorders>
            <w:vAlign w:val="center"/>
          </w:tcPr>
          <w:p>
            <w:pPr>
              <w:widowControl/>
              <w:spacing w:line="240" w:lineRule="auto"/>
              <w:ind w:firstLine="0" w:firstLineChars="0"/>
              <w:jc w:val="center"/>
              <w:rPr>
                <w:rFonts w:cs="Times New Roman"/>
                <w:sz w:val="24"/>
                <w:szCs w:val="24"/>
              </w:rPr>
            </w:pPr>
          </w:p>
        </w:tc>
        <w:tc>
          <w:tcPr>
            <w:tcW w:w="293" w:type="pct"/>
            <w:tcBorders>
              <w:top w:val="dotted" w:color="auto" w:sz="4" w:space="0"/>
              <w:right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1</w:t>
            </w:r>
            <w:r>
              <w:rPr>
                <w:rFonts w:cs="Times New Roman"/>
                <w:sz w:val="24"/>
                <w:szCs w:val="24"/>
              </w:rPr>
              <w:t>0</w:t>
            </w:r>
          </w:p>
        </w:tc>
        <w:tc>
          <w:tcPr>
            <w:tcW w:w="1781" w:type="pct"/>
            <w:tcBorders>
              <w:top w:val="dotted" w:color="auto" w:sz="4" w:space="0"/>
              <w:left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新增投资风险</w:t>
            </w:r>
          </w:p>
        </w:tc>
        <w:tc>
          <w:tcPr>
            <w:tcW w:w="504" w:type="pct"/>
            <w:tcBorders>
              <w:top w:val="dotted" w:color="auto" w:sz="4" w:space="0"/>
            </w:tcBorders>
            <w:vAlign w:val="center"/>
          </w:tcPr>
          <w:p>
            <w:pPr>
              <w:spacing w:line="240" w:lineRule="auto"/>
              <w:ind w:firstLine="0" w:firstLineChars="0"/>
              <w:jc w:val="center"/>
              <w:rPr>
                <w:rFonts w:cs="Times New Roman"/>
                <w:b/>
                <w:sz w:val="24"/>
                <w:szCs w:val="24"/>
              </w:rPr>
            </w:pPr>
          </w:p>
        </w:tc>
        <w:tc>
          <w:tcPr>
            <w:tcW w:w="704" w:type="pct"/>
            <w:tcBorders>
              <w:top w:val="dotted" w:color="auto" w:sz="4" w:space="0"/>
            </w:tcBorders>
            <w:vAlign w:val="center"/>
          </w:tcPr>
          <w:p>
            <w:pPr>
              <w:spacing w:line="240" w:lineRule="auto"/>
              <w:ind w:firstLine="0" w:firstLineChars="0"/>
              <w:jc w:val="center"/>
              <w:rPr>
                <w:rFonts w:cs="Times New Roman"/>
                <w:b/>
                <w:sz w:val="24"/>
                <w:szCs w:val="24"/>
              </w:rPr>
            </w:pPr>
          </w:p>
        </w:tc>
        <w:tc>
          <w:tcPr>
            <w:tcW w:w="625" w:type="pct"/>
            <w:tcBorders>
              <w:top w:val="dotted" w:color="auto" w:sz="4" w:space="0"/>
            </w:tcBorders>
            <w:vAlign w:val="center"/>
          </w:tcPr>
          <w:p>
            <w:pPr>
              <w:spacing w:line="240" w:lineRule="auto"/>
              <w:ind w:firstLine="0" w:firstLineChars="0"/>
              <w:jc w:val="center"/>
              <w:rPr>
                <w:rFonts w:cs="Times New Roman"/>
                <w:b/>
                <w:sz w:val="24"/>
                <w:szCs w:val="24"/>
              </w:rPr>
            </w:pPr>
          </w:p>
        </w:tc>
        <w:tc>
          <w:tcPr>
            <w:tcW w:w="389" w:type="pct"/>
            <w:tcBorders>
              <w:top w:val="dotted" w:color="auto" w:sz="4" w:space="0"/>
            </w:tcBorders>
            <w:vAlign w:val="center"/>
          </w:tcPr>
          <w:p>
            <w:pPr>
              <w:spacing w:line="240" w:lineRule="auto"/>
              <w:ind w:firstLine="0" w:firstLineChars="0"/>
              <w:jc w:val="center"/>
              <w:rPr>
                <w:rFonts w:cs="Times New Roman"/>
                <w:b/>
                <w:sz w:val="24"/>
                <w:szCs w:val="24"/>
              </w:rPr>
            </w:pPr>
            <w:r>
              <w:rPr>
                <w:rFonts w:hint="eastAsia" w:cs="Times New Roman"/>
                <w:color w:val="000000" w:themeColor="text1"/>
                <w:sz w:val="24"/>
                <w:szCs w:val="24"/>
                <w14:textFill>
                  <w14:solidFill>
                    <w14:schemeClr w14:val="tx1"/>
                  </w14:solidFill>
                </w14:textFill>
              </w:rPr>
              <w:t>√</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703" w:type="pct"/>
            <w:vMerge w:val="restart"/>
            <w:tcBorders>
              <w:top w:val="dotted" w:color="auto" w:sz="4" w:space="0"/>
              <w:right w:val="single" w:color="auto" w:sz="4" w:space="0"/>
            </w:tcBorders>
            <w:vAlign w:val="center"/>
          </w:tcPr>
          <w:p>
            <w:pPr>
              <w:widowControl/>
              <w:spacing w:line="240" w:lineRule="auto"/>
              <w:ind w:firstLine="0" w:firstLineChars="0"/>
              <w:jc w:val="center"/>
              <w:rPr>
                <w:rFonts w:cs="Times New Roman"/>
                <w:sz w:val="24"/>
                <w:szCs w:val="24"/>
              </w:rPr>
            </w:pPr>
            <w:r>
              <w:rPr>
                <w:rFonts w:hint="eastAsia" w:cs="Times New Roman"/>
                <w:sz w:val="24"/>
                <w:szCs w:val="24"/>
              </w:rPr>
              <w:t>建设风险</w:t>
            </w:r>
          </w:p>
        </w:tc>
        <w:tc>
          <w:tcPr>
            <w:tcW w:w="293" w:type="pct"/>
            <w:tcBorders>
              <w:top w:val="dotted" w:color="auto" w:sz="4" w:space="0"/>
              <w:right w:val="single" w:color="auto" w:sz="4" w:space="0"/>
            </w:tcBorders>
            <w:vAlign w:val="center"/>
          </w:tcPr>
          <w:p>
            <w:pPr>
              <w:spacing w:line="240" w:lineRule="auto"/>
              <w:ind w:firstLine="0" w:firstLineChars="0"/>
              <w:jc w:val="center"/>
              <w:rPr>
                <w:rFonts w:cs="Times New Roman"/>
                <w:kern w:val="0"/>
                <w:sz w:val="24"/>
                <w:szCs w:val="24"/>
              </w:rPr>
            </w:pPr>
            <w:r>
              <w:rPr>
                <w:rFonts w:hint="eastAsia" w:cs="Times New Roman"/>
                <w:kern w:val="0"/>
                <w:sz w:val="24"/>
                <w:szCs w:val="24"/>
              </w:rPr>
              <w:t>1</w:t>
            </w:r>
            <w:r>
              <w:rPr>
                <w:rFonts w:cs="Times New Roman"/>
                <w:kern w:val="0"/>
                <w:sz w:val="24"/>
                <w:szCs w:val="24"/>
              </w:rPr>
              <w:t>1</w:t>
            </w:r>
          </w:p>
        </w:tc>
        <w:tc>
          <w:tcPr>
            <w:tcW w:w="1781" w:type="pct"/>
            <w:tcBorders>
              <w:top w:val="dotted" w:color="auto" w:sz="4" w:space="0"/>
              <w:left w:val="single" w:color="auto" w:sz="4" w:space="0"/>
              <w:bottom w:val="single" w:color="auto" w:sz="4" w:space="0"/>
            </w:tcBorders>
            <w:vAlign w:val="center"/>
          </w:tcPr>
          <w:p>
            <w:pPr>
              <w:spacing w:line="240" w:lineRule="auto"/>
              <w:ind w:firstLine="0" w:firstLineChars="0"/>
              <w:jc w:val="center"/>
              <w:rPr>
                <w:rFonts w:cs="Times New Roman"/>
                <w:sz w:val="24"/>
                <w:szCs w:val="24"/>
              </w:rPr>
            </w:pPr>
            <w:r>
              <w:rPr>
                <w:rFonts w:hint="eastAsia" w:cs="Times New Roman"/>
                <w:kern w:val="0"/>
                <w:sz w:val="24"/>
                <w:szCs w:val="24"/>
              </w:rPr>
              <w:t>设计风险</w:t>
            </w:r>
          </w:p>
        </w:tc>
        <w:tc>
          <w:tcPr>
            <w:tcW w:w="504"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704"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r>
              <w:rPr>
                <w:rFonts w:cs="Times New Roman"/>
                <w:color w:val="000000" w:themeColor="text1"/>
                <w:sz w:val="24"/>
                <w:szCs w:val="24"/>
                <w14:textFill>
                  <w14:solidFill>
                    <w14:schemeClr w14:val="tx1"/>
                  </w14:solidFill>
                </w14:textFill>
              </w:rPr>
              <w:t>√</w:t>
            </w:r>
          </w:p>
        </w:tc>
        <w:tc>
          <w:tcPr>
            <w:tcW w:w="625"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389" w:type="pct"/>
            <w:tcBorders>
              <w:top w:val="dotted" w:color="auto" w:sz="4" w:space="0"/>
              <w:bottom w:val="single" w:color="auto" w:sz="4" w:space="0"/>
            </w:tcBorders>
            <w:vAlign w:val="center"/>
          </w:tcPr>
          <w:p>
            <w:pPr>
              <w:spacing w:line="240" w:lineRule="auto"/>
              <w:ind w:firstLine="0" w:firstLineChars="0"/>
              <w:jc w:val="center"/>
              <w:rPr>
                <w:rFonts w:cs="Times New Roman"/>
                <w:color w:val="000000" w:themeColor="text1"/>
                <w:sz w:val="24"/>
                <w:szCs w:val="24"/>
                <w14:textFill>
                  <w14:solidFill>
                    <w14:schemeClr w14:val="tx1"/>
                  </w14:solidFill>
                </w14:textFill>
              </w:rPr>
            </w:pP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703" w:type="pct"/>
            <w:vMerge w:val="continue"/>
            <w:tcBorders>
              <w:top w:val="dotted" w:color="auto" w:sz="4" w:space="0"/>
              <w:right w:val="single" w:color="auto" w:sz="4" w:space="0"/>
            </w:tcBorders>
            <w:vAlign w:val="center"/>
          </w:tcPr>
          <w:p>
            <w:pPr>
              <w:widowControl/>
              <w:spacing w:line="240" w:lineRule="auto"/>
              <w:ind w:firstLine="0" w:firstLineChars="0"/>
              <w:jc w:val="center"/>
              <w:rPr>
                <w:rFonts w:cs="Times New Roman"/>
                <w:sz w:val="24"/>
                <w:szCs w:val="24"/>
              </w:rPr>
            </w:pPr>
          </w:p>
        </w:tc>
        <w:tc>
          <w:tcPr>
            <w:tcW w:w="293" w:type="pct"/>
            <w:tcBorders>
              <w:top w:val="dotted" w:color="auto" w:sz="4" w:space="0"/>
              <w:right w:val="single" w:color="auto" w:sz="4" w:space="0"/>
            </w:tcBorders>
            <w:vAlign w:val="center"/>
          </w:tcPr>
          <w:p>
            <w:pPr>
              <w:spacing w:line="240" w:lineRule="auto"/>
              <w:ind w:firstLine="0" w:firstLineChars="0"/>
              <w:jc w:val="center"/>
              <w:rPr>
                <w:rFonts w:cs="Times New Roman"/>
                <w:kern w:val="0"/>
                <w:sz w:val="24"/>
                <w:szCs w:val="24"/>
              </w:rPr>
            </w:pPr>
            <w:r>
              <w:rPr>
                <w:rFonts w:hint="eastAsia" w:cs="Times New Roman"/>
                <w:kern w:val="0"/>
                <w:sz w:val="24"/>
                <w:szCs w:val="24"/>
              </w:rPr>
              <w:t>1</w:t>
            </w:r>
            <w:r>
              <w:rPr>
                <w:rFonts w:cs="Times New Roman"/>
                <w:kern w:val="0"/>
                <w:sz w:val="24"/>
                <w:szCs w:val="24"/>
              </w:rPr>
              <w:t>2</w:t>
            </w:r>
          </w:p>
        </w:tc>
        <w:tc>
          <w:tcPr>
            <w:tcW w:w="1781" w:type="pct"/>
            <w:tcBorders>
              <w:top w:val="dotted" w:color="auto" w:sz="4" w:space="0"/>
              <w:left w:val="single" w:color="auto" w:sz="4" w:space="0"/>
              <w:bottom w:val="single" w:color="auto" w:sz="4" w:space="0"/>
            </w:tcBorders>
            <w:vAlign w:val="center"/>
          </w:tcPr>
          <w:p>
            <w:pPr>
              <w:spacing w:line="240" w:lineRule="auto"/>
              <w:ind w:firstLine="0" w:firstLineChars="0"/>
              <w:jc w:val="center"/>
              <w:rPr>
                <w:rFonts w:cs="Times New Roman"/>
                <w:sz w:val="24"/>
                <w:szCs w:val="24"/>
              </w:rPr>
            </w:pPr>
            <w:r>
              <w:rPr>
                <w:rFonts w:hint="eastAsia" w:cs="Times New Roman"/>
                <w:kern w:val="0"/>
                <w:sz w:val="24"/>
                <w:szCs w:val="24"/>
              </w:rPr>
              <w:t>完工风险</w:t>
            </w:r>
          </w:p>
        </w:tc>
        <w:tc>
          <w:tcPr>
            <w:tcW w:w="504"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704"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r>
              <w:rPr>
                <w:rFonts w:cs="Times New Roman"/>
                <w:color w:val="000000" w:themeColor="text1"/>
                <w:sz w:val="24"/>
                <w:szCs w:val="24"/>
                <w14:textFill>
                  <w14:solidFill>
                    <w14:schemeClr w14:val="tx1"/>
                  </w14:solidFill>
                </w14:textFill>
              </w:rPr>
              <w:t>√</w:t>
            </w:r>
          </w:p>
        </w:tc>
        <w:tc>
          <w:tcPr>
            <w:tcW w:w="625"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389" w:type="pct"/>
            <w:tcBorders>
              <w:top w:val="dotted" w:color="auto" w:sz="4" w:space="0"/>
              <w:bottom w:val="single" w:color="auto" w:sz="4" w:space="0"/>
            </w:tcBorders>
            <w:vAlign w:val="center"/>
          </w:tcPr>
          <w:p>
            <w:pPr>
              <w:spacing w:line="240" w:lineRule="auto"/>
              <w:ind w:firstLine="0" w:firstLineChars="0"/>
              <w:jc w:val="center"/>
              <w:rPr>
                <w:rFonts w:cs="Times New Roman"/>
                <w:color w:val="000000" w:themeColor="text1"/>
                <w:sz w:val="24"/>
                <w:szCs w:val="24"/>
                <w14:textFill>
                  <w14:solidFill>
                    <w14:schemeClr w14:val="tx1"/>
                  </w14:solidFill>
                </w14:textFill>
              </w:rPr>
            </w:pP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703" w:type="pct"/>
            <w:vMerge w:val="continue"/>
            <w:tcBorders>
              <w:top w:val="dotted" w:color="auto" w:sz="4" w:space="0"/>
              <w:right w:val="single" w:color="auto" w:sz="4" w:space="0"/>
            </w:tcBorders>
            <w:vAlign w:val="center"/>
          </w:tcPr>
          <w:p>
            <w:pPr>
              <w:widowControl/>
              <w:spacing w:line="240" w:lineRule="auto"/>
              <w:ind w:firstLine="0" w:firstLineChars="0"/>
              <w:jc w:val="center"/>
              <w:rPr>
                <w:rFonts w:cs="Times New Roman"/>
                <w:sz w:val="24"/>
                <w:szCs w:val="24"/>
              </w:rPr>
            </w:pPr>
          </w:p>
        </w:tc>
        <w:tc>
          <w:tcPr>
            <w:tcW w:w="293" w:type="pct"/>
            <w:tcBorders>
              <w:top w:val="dotted" w:color="auto" w:sz="4" w:space="0"/>
              <w:right w:val="single" w:color="auto" w:sz="4" w:space="0"/>
            </w:tcBorders>
            <w:vAlign w:val="center"/>
          </w:tcPr>
          <w:p>
            <w:pPr>
              <w:spacing w:line="240" w:lineRule="auto"/>
              <w:ind w:firstLine="0" w:firstLineChars="0"/>
              <w:jc w:val="center"/>
              <w:rPr>
                <w:rFonts w:cs="Times New Roman"/>
                <w:kern w:val="0"/>
                <w:sz w:val="24"/>
                <w:szCs w:val="24"/>
              </w:rPr>
            </w:pPr>
            <w:r>
              <w:rPr>
                <w:rFonts w:hint="eastAsia" w:cs="Times New Roman"/>
                <w:kern w:val="0"/>
                <w:sz w:val="24"/>
                <w:szCs w:val="24"/>
              </w:rPr>
              <w:t>1</w:t>
            </w:r>
            <w:r>
              <w:rPr>
                <w:rFonts w:cs="Times New Roman"/>
                <w:kern w:val="0"/>
                <w:sz w:val="24"/>
                <w:szCs w:val="24"/>
              </w:rPr>
              <w:t>3</w:t>
            </w:r>
          </w:p>
        </w:tc>
        <w:tc>
          <w:tcPr>
            <w:tcW w:w="1781" w:type="pct"/>
            <w:tcBorders>
              <w:top w:val="dotted" w:color="auto" w:sz="4" w:space="0"/>
              <w:left w:val="single" w:color="auto" w:sz="4" w:space="0"/>
              <w:bottom w:val="single" w:color="auto" w:sz="4" w:space="0"/>
            </w:tcBorders>
            <w:vAlign w:val="center"/>
          </w:tcPr>
          <w:p>
            <w:pPr>
              <w:spacing w:line="240" w:lineRule="auto"/>
              <w:ind w:firstLine="0" w:firstLineChars="0"/>
              <w:jc w:val="center"/>
              <w:rPr>
                <w:rFonts w:cs="Times New Roman"/>
                <w:sz w:val="24"/>
                <w:szCs w:val="24"/>
              </w:rPr>
            </w:pPr>
            <w:r>
              <w:rPr>
                <w:rFonts w:hint="eastAsia" w:cs="Times New Roman"/>
                <w:kern w:val="0"/>
                <w:sz w:val="24"/>
                <w:szCs w:val="24"/>
              </w:rPr>
              <w:t>技术风险</w:t>
            </w:r>
          </w:p>
        </w:tc>
        <w:tc>
          <w:tcPr>
            <w:tcW w:w="504"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704"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r>
              <w:rPr>
                <w:rFonts w:cs="Times New Roman"/>
                <w:color w:val="000000" w:themeColor="text1"/>
                <w:sz w:val="24"/>
                <w:szCs w:val="24"/>
                <w14:textFill>
                  <w14:solidFill>
                    <w14:schemeClr w14:val="tx1"/>
                  </w14:solidFill>
                </w14:textFill>
              </w:rPr>
              <w:t>√</w:t>
            </w:r>
          </w:p>
        </w:tc>
        <w:tc>
          <w:tcPr>
            <w:tcW w:w="625"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389" w:type="pct"/>
            <w:tcBorders>
              <w:top w:val="dotted" w:color="auto" w:sz="4" w:space="0"/>
              <w:bottom w:val="single" w:color="auto" w:sz="4" w:space="0"/>
            </w:tcBorders>
            <w:vAlign w:val="center"/>
          </w:tcPr>
          <w:p>
            <w:pPr>
              <w:spacing w:line="240" w:lineRule="auto"/>
              <w:ind w:firstLine="0" w:firstLineChars="0"/>
              <w:jc w:val="center"/>
              <w:rPr>
                <w:rFonts w:cs="Times New Roman"/>
                <w:color w:val="000000" w:themeColor="text1"/>
                <w:sz w:val="24"/>
                <w:szCs w:val="24"/>
                <w14:textFill>
                  <w14:solidFill>
                    <w14:schemeClr w14:val="tx1"/>
                  </w14:solidFill>
                </w14:textFill>
              </w:rPr>
            </w:pP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703" w:type="pct"/>
            <w:vMerge w:val="continue"/>
            <w:tcBorders>
              <w:top w:val="dotted" w:color="auto" w:sz="4" w:space="0"/>
              <w:right w:val="single" w:color="auto" w:sz="4" w:space="0"/>
            </w:tcBorders>
            <w:vAlign w:val="center"/>
          </w:tcPr>
          <w:p>
            <w:pPr>
              <w:widowControl/>
              <w:spacing w:line="240" w:lineRule="auto"/>
              <w:ind w:firstLine="0" w:firstLineChars="0"/>
              <w:jc w:val="center"/>
              <w:rPr>
                <w:rFonts w:cs="Times New Roman"/>
                <w:sz w:val="24"/>
                <w:szCs w:val="24"/>
              </w:rPr>
            </w:pPr>
          </w:p>
        </w:tc>
        <w:tc>
          <w:tcPr>
            <w:tcW w:w="293" w:type="pct"/>
            <w:tcBorders>
              <w:top w:val="dotted" w:color="auto" w:sz="4" w:space="0"/>
              <w:right w:val="single" w:color="auto" w:sz="4" w:space="0"/>
            </w:tcBorders>
            <w:vAlign w:val="center"/>
          </w:tcPr>
          <w:p>
            <w:pPr>
              <w:spacing w:line="240" w:lineRule="auto"/>
              <w:ind w:firstLine="0" w:firstLineChars="0"/>
              <w:jc w:val="center"/>
              <w:rPr>
                <w:rFonts w:cs="Times New Roman"/>
                <w:kern w:val="0"/>
                <w:sz w:val="24"/>
                <w:szCs w:val="24"/>
              </w:rPr>
            </w:pPr>
            <w:r>
              <w:rPr>
                <w:rFonts w:hint="eastAsia" w:cs="Times New Roman"/>
                <w:kern w:val="0"/>
                <w:sz w:val="24"/>
                <w:szCs w:val="24"/>
              </w:rPr>
              <w:t>1</w:t>
            </w:r>
            <w:r>
              <w:rPr>
                <w:rFonts w:cs="Times New Roman"/>
                <w:kern w:val="0"/>
                <w:sz w:val="24"/>
                <w:szCs w:val="24"/>
              </w:rPr>
              <w:t>4</w:t>
            </w:r>
          </w:p>
        </w:tc>
        <w:tc>
          <w:tcPr>
            <w:tcW w:w="1781" w:type="pct"/>
            <w:tcBorders>
              <w:top w:val="dotted" w:color="auto" w:sz="4" w:space="0"/>
              <w:left w:val="single" w:color="auto" w:sz="4" w:space="0"/>
              <w:bottom w:val="single" w:color="auto" w:sz="4" w:space="0"/>
            </w:tcBorders>
            <w:vAlign w:val="center"/>
          </w:tcPr>
          <w:p>
            <w:pPr>
              <w:spacing w:line="240" w:lineRule="auto"/>
              <w:ind w:firstLine="0" w:firstLineChars="0"/>
              <w:jc w:val="center"/>
              <w:rPr>
                <w:rFonts w:cs="Times New Roman"/>
                <w:sz w:val="24"/>
                <w:szCs w:val="24"/>
              </w:rPr>
            </w:pPr>
            <w:r>
              <w:rPr>
                <w:rFonts w:hint="eastAsia" w:cs="Times New Roman"/>
                <w:kern w:val="0"/>
                <w:sz w:val="24"/>
                <w:szCs w:val="24"/>
              </w:rPr>
              <w:t>质量风险</w:t>
            </w:r>
          </w:p>
        </w:tc>
        <w:tc>
          <w:tcPr>
            <w:tcW w:w="504"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704"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r>
              <w:rPr>
                <w:rFonts w:cs="Times New Roman"/>
                <w:color w:val="000000" w:themeColor="text1"/>
                <w:sz w:val="24"/>
                <w:szCs w:val="24"/>
                <w14:textFill>
                  <w14:solidFill>
                    <w14:schemeClr w14:val="tx1"/>
                  </w14:solidFill>
                </w14:textFill>
              </w:rPr>
              <w:t>√</w:t>
            </w:r>
          </w:p>
        </w:tc>
        <w:tc>
          <w:tcPr>
            <w:tcW w:w="625"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389" w:type="pct"/>
            <w:tcBorders>
              <w:top w:val="dotted" w:color="auto" w:sz="4" w:space="0"/>
              <w:bottom w:val="single" w:color="auto" w:sz="4" w:space="0"/>
            </w:tcBorders>
            <w:vAlign w:val="center"/>
          </w:tcPr>
          <w:p>
            <w:pPr>
              <w:spacing w:line="240" w:lineRule="auto"/>
              <w:ind w:firstLine="0" w:firstLineChars="0"/>
              <w:jc w:val="center"/>
              <w:rPr>
                <w:rFonts w:cs="Times New Roman"/>
                <w:color w:val="000000" w:themeColor="text1"/>
                <w:sz w:val="24"/>
                <w:szCs w:val="24"/>
                <w14:textFill>
                  <w14:solidFill>
                    <w14:schemeClr w14:val="tx1"/>
                  </w14:solidFill>
                </w14:textFill>
              </w:rPr>
            </w:pP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703" w:type="pct"/>
            <w:vMerge w:val="continue"/>
            <w:tcBorders>
              <w:bottom w:val="single" w:color="auto" w:sz="4" w:space="0"/>
              <w:right w:val="single" w:color="auto" w:sz="4" w:space="0"/>
            </w:tcBorders>
            <w:vAlign w:val="center"/>
          </w:tcPr>
          <w:p>
            <w:pPr>
              <w:widowControl/>
              <w:spacing w:line="240" w:lineRule="auto"/>
              <w:ind w:firstLine="0" w:firstLineChars="0"/>
              <w:jc w:val="center"/>
              <w:rPr>
                <w:rFonts w:cs="Times New Roman"/>
                <w:sz w:val="24"/>
                <w:szCs w:val="24"/>
              </w:rPr>
            </w:pPr>
          </w:p>
        </w:tc>
        <w:tc>
          <w:tcPr>
            <w:tcW w:w="293" w:type="pct"/>
            <w:tcBorders>
              <w:bottom w:val="single" w:color="auto" w:sz="4" w:space="0"/>
              <w:right w:val="single" w:color="auto" w:sz="4" w:space="0"/>
            </w:tcBorders>
            <w:vAlign w:val="center"/>
          </w:tcPr>
          <w:p>
            <w:pPr>
              <w:spacing w:line="240" w:lineRule="auto"/>
              <w:ind w:firstLine="0" w:firstLineChars="0"/>
              <w:jc w:val="center"/>
              <w:rPr>
                <w:rFonts w:cs="Times New Roman"/>
                <w:kern w:val="0"/>
                <w:sz w:val="24"/>
                <w:szCs w:val="24"/>
              </w:rPr>
            </w:pPr>
            <w:r>
              <w:rPr>
                <w:rFonts w:hint="eastAsia" w:cs="Times New Roman"/>
                <w:kern w:val="0"/>
                <w:sz w:val="24"/>
                <w:szCs w:val="24"/>
              </w:rPr>
              <w:t>1</w:t>
            </w:r>
            <w:r>
              <w:rPr>
                <w:rFonts w:cs="Times New Roman"/>
                <w:kern w:val="0"/>
                <w:sz w:val="24"/>
                <w:szCs w:val="24"/>
              </w:rPr>
              <w:t>5</w:t>
            </w:r>
          </w:p>
        </w:tc>
        <w:tc>
          <w:tcPr>
            <w:tcW w:w="1781" w:type="pct"/>
            <w:tcBorders>
              <w:top w:val="dotted" w:color="auto" w:sz="4" w:space="0"/>
              <w:left w:val="single" w:color="auto" w:sz="4" w:space="0"/>
              <w:bottom w:val="single" w:color="auto" w:sz="4" w:space="0"/>
            </w:tcBorders>
            <w:vAlign w:val="center"/>
          </w:tcPr>
          <w:p>
            <w:pPr>
              <w:spacing w:line="240" w:lineRule="auto"/>
              <w:ind w:firstLine="0" w:firstLineChars="0"/>
              <w:jc w:val="center"/>
              <w:rPr>
                <w:rFonts w:cs="Times New Roman"/>
                <w:sz w:val="24"/>
                <w:szCs w:val="24"/>
              </w:rPr>
            </w:pPr>
            <w:r>
              <w:rPr>
                <w:rFonts w:hint="eastAsia" w:cs="Times New Roman"/>
                <w:kern w:val="0"/>
                <w:sz w:val="24"/>
                <w:szCs w:val="24"/>
              </w:rPr>
              <w:t>安全风险</w:t>
            </w:r>
          </w:p>
        </w:tc>
        <w:tc>
          <w:tcPr>
            <w:tcW w:w="504"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704"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r>
              <w:rPr>
                <w:rFonts w:cs="Times New Roman"/>
                <w:color w:val="000000" w:themeColor="text1"/>
                <w:sz w:val="24"/>
                <w:szCs w:val="24"/>
                <w14:textFill>
                  <w14:solidFill>
                    <w14:schemeClr w14:val="tx1"/>
                  </w14:solidFill>
                </w14:textFill>
              </w:rPr>
              <w:t>√</w:t>
            </w:r>
          </w:p>
        </w:tc>
        <w:tc>
          <w:tcPr>
            <w:tcW w:w="625"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389" w:type="pct"/>
            <w:tcBorders>
              <w:top w:val="dotted" w:color="auto" w:sz="4" w:space="0"/>
              <w:bottom w:val="single" w:color="auto" w:sz="4" w:space="0"/>
            </w:tcBorders>
            <w:vAlign w:val="center"/>
          </w:tcPr>
          <w:p>
            <w:pPr>
              <w:spacing w:line="240" w:lineRule="auto"/>
              <w:ind w:firstLine="0" w:firstLineChars="0"/>
              <w:jc w:val="center"/>
              <w:rPr>
                <w:rFonts w:cs="Times New Roman"/>
                <w:color w:val="000000" w:themeColor="text1"/>
                <w:sz w:val="24"/>
                <w:szCs w:val="24"/>
                <w14:textFill>
                  <w14:solidFill>
                    <w14:schemeClr w14:val="tx1"/>
                  </w14:solidFill>
                </w14:textFill>
              </w:rPr>
            </w:pP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703" w:type="pct"/>
            <w:vMerge w:val="restart"/>
            <w:tcBorders>
              <w:right w:val="single" w:color="auto" w:sz="4" w:space="0"/>
            </w:tcBorders>
            <w:vAlign w:val="center"/>
          </w:tcPr>
          <w:p>
            <w:pPr>
              <w:widowControl/>
              <w:spacing w:line="240" w:lineRule="auto"/>
              <w:ind w:firstLine="0" w:firstLineChars="0"/>
              <w:jc w:val="center"/>
              <w:rPr>
                <w:rFonts w:cs="Times New Roman"/>
                <w:sz w:val="24"/>
                <w:szCs w:val="24"/>
              </w:rPr>
            </w:pPr>
            <w:r>
              <w:rPr>
                <w:rFonts w:hint="eastAsia" w:cs="Times New Roman"/>
                <w:sz w:val="24"/>
                <w:szCs w:val="24"/>
              </w:rPr>
              <w:t>运营风险</w:t>
            </w:r>
          </w:p>
        </w:tc>
        <w:tc>
          <w:tcPr>
            <w:tcW w:w="293" w:type="pct"/>
            <w:tcBorders>
              <w:right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1</w:t>
            </w:r>
            <w:r>
              <w:rPr>
                <w:rFonts w:cs="Times New Roman"/>
                <w:sz w:val="24"/>
                <w:szCs w:val="24"/>
              </w:rPr>
              <w:t>6</w:t>
            </w:r>
          </w:p>
        </w:tc>
        <w:tc>
          <w:tcPr>
            <w:tcW w:w="1781" w:type="pct"/>
            <w:tcBorders>
              <w:top w:val="dotted" w:color="auto" w:sz="4" w:space="0"/>
              <w:left w:val="single" w:color="auto" w:sz="4" w:space="0"/>
              <w:bottom w:val="single" w:color="auto" w:sz="4" w:space="0"/>
            </w:tcBorders>
            <w:vAlign w:val="center"/>
          </w:tcPr>
          <w:p>
            <w:pPr>
              <w:spacing w:line="240" w:lineRule="auto"/>
              <w:ind w:firstLine="0" w:firstLineChars="0"/>
              <w:jc w:val="center"/>
              <w:rPr>
                <w:rFonts w:cs="Times New Roman"/>
                <w:kern w:val="0"/>
                <w:sz w:val="24"/>
                <w:szCs w:val="24"/>
              </w:rPr>
            </w:pPr>
            <w:r>
              <w:rPr>
                <w:rFonts w:hint="eastAsia" w:cs="Times New Roman"/>
                <w:kern w:val="0"/>
                <w:sz w:val="24"/>
                <w:szCs w:val="24"/>
              </w:rPr>
              <w:t>技术力量不足风险</w:t>
            </w:r>
          </w:p>
        </w:tc>
        <w:tc>
          <w:tcPr>
            <w:tcW w:w="504"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704" w:type="pct"/>
            <w:tcBorders>
              <w:top w:val="dotted" w:color="auto" w:sz="4" w:space="0"/>
              <w:bottom w:val="single" w:color="auto" w:sz="4" w:space="0"/>
            </w:tcBorders>
            <w:vAlign w:val="center"/>
          </w:tcPr>
          <w:p>
            <w:pPr>
              <w:spacing w:line="240" w:lineRule="auto"/>
              <w:ind w:firstLine="0" w:firstLineChars="0"/>
              <w:jc w:val="center"/>
              <w:rPr>
                <w:rFonts w:cs="Times New Roman"/>
                <w:color w:val="000000" w:themeColor="text1"/>
                <w:sz w:val="24"/>
                <w:szCs w:val="24"/>
                <w14:textFill>
                  <w14:solidFill>
                    <w14:schemeClr w14:val="tx1"/>
                  </w14:solidFill>
                </w14:textFill>
              </w:rPr>
            </w:pPr>
            <w:r>
              <w:rPr>
                <w:rFonts w:hint="eastAsia" w:cs="Times New Roman"/>
                <w:color w:val="000000" w:themeColor="text1"/>
                <w:sz w:val="24"/>
                <w:szCs w:val="24"/>
                <w14:textFill>
                  <w14:solidFill>
                    <w14:schemeClr w14:val="tx1"/>
                  </w14:solidFill>
                </w14:textFill>
              </w:rPr>
              <w:t>√</w:t>
            </w:r>
          </w:p>
        </w:tc>
        <w:tc>
          <w:tcPr>
            <w:tcW w:w="625"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389" w:type="pct"/>
            <w:tcBorders>
              <w:top w:val="dotted" w:color="auto" w:sz="4" w:space="0"/>
              <w:bottom w:val="single" w:color="auto" w:sz="4" w:space="0"/>
            </w:tcBorders>
            <w:vAlign w:val="center"/>
          </w:tcPr>
          <w:p>
            <w:pPr>
              <w:spacing w:line="240" w:lineRule="auto"/>
              <w:ind w:firstLine="0" w:firstLineChars="0"/>
              <w:jc w:val="center"/>
              <w:rPr>
                <w:rFonts w:cs="Times New Roman"/>
                <w:color w:val="000000" w:themeColor="text1"/>
                <w:sz w:val="24"/>
                <w:szCs w:val="24"/>
                <w14:textFill>
                  <w14:solidFill>
                    <w14:schemeClr w14:val="tx1"/>
                  </w14:solidFill>
                </w14:textFill>
              </w:rPr>
            </w:pP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703" w:type="pct"/>
            <w:vMerge w:val="continue"/>
            <w:tcBorders>
              <w:right w:val="single" w:color="auto" w:sz="4" w:space="0"/>
            </w:tcBorders>
            <w:vAlign w:val="center"/>
          </w:tcPr>
          <w:p>
            <w:pPr>
              <w:widowControl/>
              <w:spacing w:line="240" w:lineRule="auto"/>
              <w:ind w:firstLine="0" w:firstLineChars="0"/>
              <w:jc w:val="center"/>
              <w:rPr>
                <w:rFonts w:cs="Times New Roman"/>
                <w:sz w:val="24"/>
                <w:szCs w:val="24"/>
              </w:rPr>
            </w:pPr>
          </w:p>
        </w:tc>
        <w:tc>
          <w:tcPr>
            <w:tcW w:w="293" w:type="pct"/>
            <w:tcBorders>
              <w:right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1</w:t>
            </w:r>
            <w:r>
              <w:rPr>
                <w:rFonts w:cs="Times New Roman"/>
                <w:sz w:val="24"/>
                <w:szCs w:val="24"/>
              </w:rPr>
              <w:t>7</w:t>
            </w:r>
          </w:p>
        </w:tc>
        <w:tc>
          <w:tcPr>
            <w:tcW w:w="1781" w:type="pct"/>
            <w:tcBorders>
              <w:top w:val="dotted" w:color="auto" w:sz="4" w:space="0"/>
              <w:left w:val="single" w:color="auto" w:sz="4" w:space="0"/>
              <w:bottom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运营质量不达标风险</w:t>
            </w:r>
          </w:p>
        </w:tc>
        <w:tc>
          <w:tcPr>
            <w:tcW w:w="504"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704" w:type="pct"/>
            <w:tcBorders>
              <w:top w:val="dotted" w:color="auto" w:sz="4" w:space="0"/>
              <w:bottom w:val="single" w:color="auto" w:sz="4" w:space="0"/>
            </w:tcBorders>
            <w:vAlign w:val="center"/>
          </w:tcPr>
          <w:p>
            <w:pPr>
              <w:spacing w:line="240" w:lineRule="auto"/>
              <w:ind w:firstLine="0" w:firstLineChars="0"/>
              <w:jc w:val="center"/>
              <w:rPr>
                <w:rFonts w:cs="Times New Roman"/>
                <w:color w:val="000000" w:themeColor="text1"/>
                <w:sz w:val="24"/>
                <w:szCs w:val="24"/>
                <w14:textFill>
                  <w14:solidFill>
                    <w14:schemeClr w14:val="tx1"/>
                  </w14:solidFill>
                </w14:textFill>
              </w:rPr>
            </w:pPr>
            <w:r>
              <w:rPr>
                <w:rFonts w:hint="eastAsia" w:cs="Times New Roman"/>
                <w:color w:val="000000" w:themeColor="text1"/>
                <w:sz w:val="24"/>
                <w:szCs w:val="24"/>
                <w14:textFill>
                  <w14:solidFill>
                    <w14:schemeClr w14:val="tx1"/>
                  </w14:solidFill>
                </w14:textFill>
              </w:rPr>
              <w:t>√</w:t>
            </w:r>
          </w:p>
        </w:tc>
        <w:tc>
          <w:tcPr>
            <w:tcW w:w="625"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389" w:type="pct"/>
            <w:tcBorders>
              <w:top w:val="dotted" w:color="auto" w:sz="4" w:space="0"/>
              <w:bottom w:val="single" w:color="auto" w:sz="4" w:space="0"/>
            </w:tcBorders>
            <w:vAlign w:val="center"/>
          </w:tcPr>
          <w:p>
            <w:pPr>
              <w:spacing w:line="240" w:lineRule="auto"/>
              <w:ind w:firstLine="0" w:firstLineChars="0"/>
              <w:jc w:val="center"/>
              <w:rPr>
                <w:rFonts w:cs="Times New Roman"/>
                <w:color w:val="000000" w:themeColor="text1"/>
                <w:sz w:val="24"/>
                <w:szCs w:val="24"/>
                <w14:textFill>
                  <w14:solidFill>
                    <w14:schemeClr w14:val="tx1"/>
                  </w14:solidFill>
                </w14:textFill>
              </w:rPr>
            </w:pP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703" w:type="pct"/>
            <w:vMerge w:val="continue"/>
            <w:tcBorders>
              <w:right w:val="single" w:color="auto" w:sz="4" w:space="0"/>
            </w:tcBorders>
            <w:vAlign w:val="center"/>
          </w:tcPr>
          <w:p>
            <w:pPr>
              <w:widowControl/>
              <w:spacing w:line="240" w:lineRule="auto"/>
              <w:ind w:firstLine="0" w:firstLineChars="0"/>
              <w:jc w:val="center"/>
              <w:rPr>
                <w:rFonts w:cs="Times New Roman"/>
                <w:sz w:val="24"/>
                <w:szCs w:val="24"/>
              </w:rPr>
            </w:pPr>
          </w:p>
        </w:tc>
        <w:tc>
          <w:tcPr>
            <w:tcW w:w="293" w:type="pct"/>
            <w:tcBorders>
              <w:right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1</w:t>
            </w:r>
            <w:r>
              <w:rPr>
                <w:rFonts w:cs="Times New Roman"/>
                <w:sz w:val="24"/>
                <w:szCs w:val="24"/>
              </w:rPr>
              <w:t>8</w:t>
            </w:r>
          </w:p>
        </w:tc>
        <w:tc>
          <w:tcPr>
            <w:tcW w:w="1781" w:type="pct"/>
            <w:tcBorders>
              <w:top w:val="dotted" w:color="auto" w:sz="4" w:space="0"/>
              <w:left w:val="single" w:color="auto" w:sz="4" w:space="0"/>
              <w:bottom w:val="single" w:color="auto" w:sz="4" w:space="0"/>
            </w:tcBorders>
            <w:vAlign w:val="center"/>
          </w:tcPr>
          <w:p>
            <w:pPr>
              <w:spacing w:line="240" w:lineRule="auto"/>
              <w:ind w:firstLine="0" w:firstLineChars="0"/>
              <w:jc w:val="center"/>
              <w:rPr>
                <w:rFonts w:cs="Times New Roman"/>
                <w:kern w:val="0"/>
                <w:sz w:val="24"/>
                <w:szCs w:val="24"/>
              </w:rPr>
            </w:pPr>
            <w:r>
              <w:rPr>
                <w:rFonts w:hint="eastAsia" w:cs="Times New Roman"/>
                <w:sz w:val="24"/>
                <w:szCs w:val="24"/>
              </w:rPr>
              <w:t>运营成本超支风险</w:t>
            </w:r>
          </w:p>
        </w:tc>
        <w:tc>
          <w:tcPr>
            <w:tcW w:w="504"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704" w:type="pct"/>
            <w:tcBorders>
              <w:top w:val="dotted" w:color="auto" w:sz="4" w:space="0"/>
              <w:bottom w:val="single" w:color="auto" w:sz="4" w:space="0"/>
            </w:tcBorders>
            <w:vAlign w:val="center"/>
          </w:tcPr>
          <w:p>
            <w:pPr>
              <w:spacing w:line="240" w:lineRule="auto"/>
              <w:ind w:firstLine="0" w:firstLineChars="0"/>
              <w:jc w:val="center"/>
              <w:rPr>
                <w:rFonts w:cs="Times New Roman"/>
                <w:color w:val="000000" w:themeColor="text1"/>
                <w:sz w:val="24"/>
                <w:szCs w:val="24"/>
                <w14:textFill>
                  <w14:solidFill>
                    <w14:schemeClr w14:val="tx1"/>
                  </w14:solidFill>
                </w14:textFill>
              </w:rPr>
            </w:pPr>
          </w:p>
        </w:tc>
        <w:tc>
          <w:tcPr>
            <w:tcW w:w="625"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r>
              <w:rPr>
                <w:rFonts w:hint="eastAsia" w:cs="Times New Roman"/>
                <w:color w:val="000000" w:themeColor="text1"/>
                <w:sz w:val="24"/>
                <w:szCs w:val="24"/>
                <w14:textFill>
                  <w14:solidFill>
                    <w14:schemeClr w14:val="tx1"/>
                  </w14:solidFill>
                </w14:textFill>
              </w:rPr>
              <w:t>√</w:t>
            </w:r>
          </w:p>
        </w:tc>
        <w:tc>
          <w:tcPr>
            <w:tcW w:w="389" w:type="pct"/>
            <w:tcBorders>
              <w:top w:val="dotted" w:color="auto" w:sz="4" w:space="0"/>
              <w:bottom w:val="single" w:color="auto" w:sz="4" w:space="0"/>
            </w:tcBorders>
            <w:vAlign w:val="center"/>
          </w:tcPr>
          <w:p>
            <w:pPr>
              <w:spacing w:line="240" w:lineRule="auto"/>
              <w:ind w:firstLine="0" w:firstLineChars="0"/>
              <w:jc w:val="center"/>
              <w:rPr>
                <w:rFonts w:cs="Times New Roman"/>
                <w:color w:val="000000" w:themeColor="text1"/>
                <w:sz w:val="24"/>
                <w:szCs w:val="24"/>
                <w14:textFill>
                  <w14:solidFill>
                    <w14:schemeClr w14:val="tx1"/>
                  </w14:solidFill>
                </w14:textFill>
              </w:rPr>
            </w:pP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703" w:type="pct"/>
            <w:vMerge w:val="continue"/>
            <w:tcBorders>
              <w:right w:val="single" w:color="auto" w:sz="4" w:space="0"/>
            </w:tcBorders>
            <w:vAlign w:val="center"/>
          </w:tcPr>
          <w:p>
            <w:pPr>
              <w:widowControl/>
              <w:spacing w:line="240" w:lineRule="auto"/>
              <w:ind w:firstLine="0" w:firstLineChars="0"/>
              <w:jc w:val="center"/>
              <w:rPr>
                <w:rFonts w:cs="Times New Roman"/>
                <w:sz w:val="24"/>
                <w:szCs w:val="24"/>
              </w:rPr>
            </w:pPr>
          </w:p>
        </w:tc>
        <w:tc>
          <w:tcPr>
            <w:tcW w:w="293" w:type="pct"/>
            <w:tcBorders>
              <w:bottom w:val="single" w:color="auto" w:sz="4" w:space="0"/>
              <w:right w:val="single" w:color="auto" w:sz="4" w:space="0"/>
            </w:tcBorders>
            <w:vAlign w:val="center"/>
          </w:tcPr>
          <w:p>
            <w:pPr>
              <w:spacing w:line="240" w:lineRule="auto"/>
              <w:ind w:firstLine="0" w:firstLineChars="0"/>
              <w:jc w:val="center"/>
              <w:rPr>
                <w:rFonts w:cs="Times New Roman"/>
                <w:kern w:val="0"/>
                <w:sz w:val="24"/>
                <w:szCs w:val="24"/>
              </w:rPr>
            </w:pPr>
            <w:r>
              <w:rPr>
                <w:rFonts w:cs="Times New Roman"/>
                <w:kern w:val="0"/>
                <w:sz w:val="24"/>
                <w:szCs w:val="24"/>
              </w:rPr>
              <w:t>19</w:t>
            </w:r>
          </w:p>
        </w:tc>
        <w:tc>
          <w:tcPr>
            <w:tcW w:w="1781" w:type="pct"/>
            <w:tcBorders>
              <w:top w:val="dotted" w:color="auto" w:sz="4" w:space="0"/>
              <w:left w:val="single" w:color="auto" w:sz="4" w:space="0"/>
              <w:bottom w:val="single" w:color="auto" w:sz="4" w:space="0"/>
            </w:tcBorders>
            <w:vAlign w:val="center"/>
          </w:tcPr>
          <w:p>
            <w:pPr>
              <w:spacing w:line="240" w:lineRule="auto"/>
              <w:ind w:firstLine="0" w:firstLineChars="0"/>
              <w:jc w:val="center"/>
              <w:rPr>
                <w:rFonts w:cs="Times New Roman"/>
                <w:kern w:val="0"/>
                <w:sz w:val="24"/>
                <w:szCs w:val="24"/>
              </w:rPr>
            </w:pPr>
            <w:r>
              <w:rPr>
                <w:rFonts w:hint="eastAsia" w:cs="Times New Roman"/>
                <w:kern w:val="0"/>
                <w:sz w:val="24"/>
                <w:szCs w:val="24"/>
              </w:rPr>
              <w:t>供水量不足风险</w:t>
            </w:r>
          </w:p>
        </w:tc>
        <w:tc>
          <w:tcPr>
            <w:tcW w:w="504"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704" w:type="pct"/>
            <w:tcBorders>
              <w:top w:val="dotted" w:color="auto" w:sz="4" w:space="0"/>
              <w:bottom w:val="single" w:color="auto" w:sz="4" w:space="0"/>
            </w:tcBorders>
            <w:vAlign w:val="center"/>
          </w:tcPr>
          <w:p>
            <w:pPr>
              <w:spacing w:line="240" w:lineRule="auto"/>
              <w:ind w:firstLine="0" w:firstLineChars="0"/>
              <w:jc w:val="center"/>
              <w:rPr>
                <w:rFonts w:cs="Times New Roman"/>
                <w:color w:val="000000" w:themeColor="text1"/>
                <w:sz w:val="24"/>
                <w:szCs w:val="24"/>
                <w14:textFill>
                  <w14:solidFill>
                    <w14:schemeClr w14:val="tx1"/>
                  </w14:solidFill>
                </w14:textFill>
              </w:rPr>
            </w:pPr>
            <w:r>
              <w:rPr>
                <w:rFonts w:hint="eastAsia" w:cs="Times New Roman"/>
                <w:color w:val="000000" w:themeColor="text1"/>
                <w:sz w:val="24"/>
                <w:szCs w:val="24"/>
                <w14:textFill>
                  <w14:solidFill>
                    <w14:schemeClr w14:val="tx1"/>
                  </w14:solidFill>
                </w14:textFill>
              </w:rPr>
              <w:t>√</w:t>
            </w:r>
          </w:p>
        </w:tc>
        <w:tc>
          <w:tcPr>
            <w:tcW w:w="625"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389" w:type="pct"/>
            <w:tcBorders>
              <w:top w:val="dotted" w:color="auto" w:sz="4" w:space="0"/>
              <w:bottom w:val="single" w:color="auto" w:sz="4" w:space="0"/>
            </w:tcBorders>
            <w:vAlign w:val="center"/>
          </w:tcPr>
          <w:p>
            <w:pPr>
              <w:spacing w:line="240" w:lineRule="auto"/>
              <w:ind w:firstLine="0" w:firstLineChars="0"/>
              <w:jc w:val="center"/>
              <w:rPr>
                <w:rFonts w:cs="Times New Roman"/>
                <w:color w:val="000000" w:themeColor="text1"/>
                <w:sz w:val="24"/>
                <w:szCs w:val="24"/>
                <w14:textFill>
                  <w14:solidFill>
                    <w14:schemeClr w14:val="tx1"/>
                  </w14:solidFill>
                </w14:textFill>
              </w:rPr>
            </w:pP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703" w:type="pct"/>
            <w:vMerge w:val="continue"/>
            <w:tcBorders>
              <w:bottom w:val="single" w:color="auto" w:sz="4" w:space="0"/>
              <w:right w:val="single" w:color="auto" w:sz="4" w:space="0"/>
            </w:tcBorders>
            <w:vAlign w:val="center"/>
          </w:tcPr>
          <w:p>
            <w:pPr>
              <w:widowControl/>
              <w:spacing w:line="240" w:lineRule="auto"/>
              <w:ind w:firstLine="0" w:firstLineChars="0"/>
              <w:jc w:val="center"/>
              <w:rPr>
                <w:rFonts w:cs="Times New Roman"/>
                <w:sz w:val="24"/>
                <w:szCs w:val="24"/>
              </w:rPr>
            </w:pPr>
          </w:p>
        </w:tc>
        <w:tc>
          <w:tcPr>
            <w:tcW w:w="293" w:type="pct"/>
            <w:tcBorders>
              <w:bottom w:val="single" w:color="auto" w:sz="4" w:space="0"/>
              <w:right w:val="single" w:color="auto" w:sz="4" w:space="0"/>
            </w:tcBorders>
            <w:vAlign w:val="center"/>
          </w:tcPr>
          <w:p>
            <w:pPr>
              <w:spacing w:line="240" w:lineRule="auto"/>
              <w:ind w:firstLine="0" w:firstLineChars="0"/>
              <w:jc w:val="center"/>
              <w:rPr>
                <w:rFonts w:cs="Times New Roman"/>
                <w:sz w:val="24"/>
                <w:szCs w:val="24"/>
              </w:rPr>
            </w:pPr>
            <w:r>
              <w:rPr>
                <w:rFonts w:cs="Times New Roman"/>
                <w:sz w:val="24"/>
                <w:szCs w:val="24"/>
              </w:rPr>
              <w:t>20</w:t>
            </w:r>
          </w:p>
        </w:tc>
        <w:tc>
          <w:tcPr>
            <w:tcW w:w="1781" w:type="pct"/>
            <w:tcBorders>
              <w:top w:val="dotted" w:color="auto" w:sz="4" w:space="0"/>
              <w:left w:val="single" w:color="auto" w:sz="4" w:space="0"/>
              <w:bottom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收入不足风险</w:t>
            </w:r>
          </w:p>
        </w:tc>
        <w:tc>
          <w:tcPr>
            <w:tcW w:w="504"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704"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625"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389"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r>
              <w:rPr>
                <w:rFonts w:hint="eastAsia" w:cs="Times New Roman"/>
                <w:color w:val="000000" w:themeColor="text1"/>
                <w:sz w:val="24"/>
                <w:szCs w:val="24"/>
                <w14:textFill>
                  <w14:solidFill>
                    <w14:schemeClr w14:val="tx1"/>
                  </w14:solidFill>
                </w14:textFill>
              </w:rPr>
              <w:t>√</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703" w:type="pct"/>
            <w:vMerge w:val="restart"/>
            <w:tcBorders>
              <w:top w:val="single" w:color="auto" w:sz="4" w:space="0"/>
              <w:bottom w:val="dotted" w:color="auto" w:sz="4" w:space="0"/>
              <w:right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移交风险</w:t>
            </w:r>
          </w:p>
        </w:tc>
        <w:tc>
          <w:tcPr>
            <w:tcW w:w="293" w:type="pct"/>
            <w:tcBorders>
              <w:top w:val="single" w:color="auto" w:sz="4" w:space="0"/>
              <w:bottom w:val="dotted" w:color="auto" w:sz="4" w:space="0"/>
              <w:right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2</w:t>
            </w:r>
            <w:r>
              <w:rPr>
                <w:rFonts w:cs="Times New Roman"/>
                <w:sz w:val="24"/>
                <w:szCs w:val="24"/>
              </w:rPr>
              <w:t>1</w:t>
            </w:r>
          </w:p>
        </w:tc>
        <w:tc>
          <w:tcPr>
            <w:tcW w:w="1781" w:type="pct"/>
            <w:tcBorders>
              <w:top w:val="single" w:color="auto" w:sz="4" w:space="0"/>
              <w:left w:val="single" w:color="auto" w:sz="4" w:space="0"/>
              <w:bottom w:val="dotted"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资产质量不达标风险</w:t>
            </w:r>
          </w:p>
        </w:tc>
        <w:tc>
          <w:tcPr>
            <w:tcW w:w="504" w:type="pct"/>
            <w:tcBorders>
              <w:top w:val="single" w:color="auto" w:sz="4" w:space="0"/>
              <w:bottom w:val="dotted" w:color="auto" w:sz="4" w:space="0"/>
            </w:tcBorders>
            <w:vAlign w:val="center"/>
          </w:tcPr>
          <w:p>
            <w:pPr>
              <w:spacing w:line="240" w:lineRule="auto"/>
              <w:ind w:firstLine="0" w:firstLineChars="0"/>
              <w:jc w:val="center"/>
              <w:rPr>
                <w:rFonts w:cs="Times New Roman"/>
                <w:b/>
                <w:sz w:val="24"/>
                <w:szCs w:val="24"/>
              </w:rPr>
            </w:pPr>
          </w:p>
        </w:tc>
        <w:tc>
          <w:tcPr>
            <w:tcW w:w="704" w:type="pct"/>
            <w:tcBorders>
              <w:top w:val="single" w:color="auto" w:sz="4" w:space="0"/>
              <w:bottom w:val="dotted" w:color="auto" w:sz="4" w:space="0"/>
            </w:tcBorders>
            <w:vAlign w:val="center"/>
          </w:tcPr>
          <w:p>
            <w:pPr>
              <w:spacing w:line="240" w:lineRule="auto"/>
              <w:ind w:firstLine="0" w:firstLineChars="0"/>
              <w:jc w:val="center"/>
              <w:rPr>
                <w:rFonts w:cs="Times New Roman"/>
                <w:b/>
                <w:sz w:val="24"/>
                <w:szCs w:val="24"/>
              </w:rPr>
            </w:pPr>
            <w:r>
              <w:rPr>
                <w:rFonts w:hint="eastAsia" w:cs="Times New Roman"/>
                <w:color w:val="000000" w:themeColor="text1"/>
                <w:sz w:val="24"/>
                <w:szCs w:val="24"/>
                <w14:textFill>
                  <w14:solidFill>
                    <w14:schemeClr w14:val="tx1"/>
                  </w14:solidFill>
                </w14:textFill>
              </w:rPr>
              <w:t>√</w:t>
            </w:r>
          </w:p>
        </w:tc>
        <w:tc>
          <w:tcPr>
            <w:tcW w:w="625" w:type="pct"/>
            <w:tcBorders>
              <w:top w:val="single" w:color="auto" w:sz="4" w:space="0"/>
              <w:bottom w:val="dotted" w:color="auto" w:sz="4" w:space="0"/>
            </w:tcBorders>
            <w:vAlign w:val="center"/>
          </w:tcPr>
          <w:p>
            <w:pPr>
              <w:spacing w:line="240" w:lineRule="auto"/>
              <w:ind w:firstLine="0" w:firstLineChars="0"/>
              <w:jc w:val="center"/>
              <w:rPr>
                <w:rFonts w:cs="Times New Roman"/>
                <w:b/>
                <w:sz w:val="24"/>
                <w:szCs w:val="24"/>
              </w:rPr>
            </w:pPr>
          </w:p>
        </w:tc>
        <w:tc>
          <w:tcPr>
            <w:tcW w:w="389" w:type="pct"/>
            <w:tcBorders>
              <w:top w:val="single" w:color="auto" w:sz="4" w:space="0"/>
              <w:bottom w:val="dotted" w:color="auto" w:sz="4" w:space="0"/>
            </w:tcBorders>
            <w:vAlign w:val="center"/>
          </w:tcPr>
          <w:p>
            <w:pPr>
              <w:spacing w:line="240" w:lineRule="auto"/>
              <w:ind w:firstLine="0" w:firstLineChars="0"/>
              <w:jc w:val="center"/>
              <w:rPr>
                <w:rFonts w:cs="Times New Roman"/>
                <w:b/>
                <w:sz w:val="24"/>
                <w:szCs w:val="24"/>
              </w:rPr>
            </w:pP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703" w:type="pct"/>
            <w:vMerge w:val="continue"/>
            <w:tcBorders>
              <w:top w:val="dotted" w:color="auto" w:sz="4" w:space="0"/>
              <w:bottom w:val="dotted" w:color="auto" w:sz="4" w:space="0"/>
              <w:right w:val="single" w:color="auto" w:sz="4" w:space="0"/>
            </w:tcBorders>
            <w:vAlign w:val="center"/>
          </w:tcPr>
          <w:p>
            <w:pPr>
              <w:widowControl/>
              <w:spacing w:line="240" w:lineRule="auto"/>
              <w:ind w:firstLine="0" w:firstLineChars="0"/>
              <w:jc w:val="center"/>
              <w:rPr>
                <w:rFonts w:cs="Times New Roman"/>
                <w:sz w:val="24"/>
                <w:szCs w:val="24"/>
              </w:rPr>
            </w:pPr>
          </w:p>
        </w:tc>
        <w:tc>
          <w:tcPr>
            <w:tcW w:w="293" w:type="pct"/>
            <w:tcBorders>
              <w:top w:val="dotted" w:color="auto" w:sz="4" w:space="0"/>
              <w:bottom w:val="dotted" w:color="auto" w:sz="4" w:space="0"/>
              <w:right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2</w:t>
            </w:r>
            <w:r>
              <w:rPr>
                <w:rFonts w:cs="Times New Roman"/>
                <w:sz w:val="24"/>
                <w:szCs w:val="24"/>
              </w:rPr>
              <w:t>2</w:t>
            </w:r>
          </w:p>
        </w:tc>
        <w:tc>
          <w:tcPr>
            <w:tcW w:w="1781" w:type="pct"/>
            <w:tcBorders>
              <w:top w:val="dotted" w:color="auto" w:sz="4" w:space="0"/>
              <w:left w:val="single" w:color="auto" w:sz="4" w:space="0"/>
              <w:bottom w:val="dotted"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资产权属有负担风险</w:t>
            </w:r>
          </w:p>
        </w:tc>
        <w:tc>
          <w:tcPr>
            <w:tcW w:w="504" w:type="pct"/>
            <w:tcBorders>
              <w:top w:val="dotted" w:color="auto" w:sz="4" w:space="0"/>
              <w:bottom w:val="dotted" w:color="auto" w:sz="4" w:space="0"/>
            </w:tcBorders>
            <w:vAlign w:val="center"/>
          </w:tcPr>
          <w:p>
            <w:pPr>
              <w:spacing w:line="240" w:lineRule="auto"/>
              <w:ind w:firstLine="0" w:firstLineChars="0"/>
              <w:jc w:val="center"/>
              <w:rPr>
                <w:rFonts w:cs="Times New Roman"/>
                <w:b/>
                <w:sz w:val="24"/>
                <w:szCs w:val="24"/>
              </w:rPr>
            </w:pPr>
          </w:p>
        </w:tc>
        <w:tc>
          <w:tcPr>
            <w:tcW w:w="704" w:type="pct"/>
            <w:tcBorders>
              <w:top w:val="dotted" w:color="auto" w:sz="4" w:space="0"/>
              <w:bottom w:val="dotted" w:color="auto" w:sz="4" w:space="0"/>
            </w:tcBorders>
            <w:vAlign w:val="center"/>
          </w:tcPr>
          <w:p>
            <w:pPr>
              <w:spacing w:line="240" w:lineRule="auto"/>
              <w:ind w:firstLine="0" w:firstLineChars="0"/>
              <w:jc w:val="center"/>
              <w:rPr>
                <w:rFonts w:cs="Times New Roman"/>
                <w:b/>
                <w:sz w:val="24"/>
                <w:szCs w:val="24"/>
              </w:rPr>
            </w:pPr>
            <w:r>
              <w:rPr>
                <w:rFonts w:hint="eastAsia" w:cs="Times New Roman"/>
                <w:color w:val="000000" w:themeColor="text1"/>
                <w:sz w:val="24"/>
                <w:szCs w:val="24"/>
                <w14:textFill>
                  <w14:solidFill>
                    <w14:schemeClr w14:val="tx1"/>
                  </w14:solidFill>
                </w14:textFill>
              </w:rPr>
              <w:t>√</w:t>
            </w:r>
          </w:p>
        </w:tc>
        <w:tc>
          <w:tcPr>
            <w:tcW w:w="625" w:type="pct"/>
            <w:tcBorders>
              <w:top w:val="dotted" w:color="auto" w:sz="4" w:space="0"/>
              <w:bottom w:val="dotted" w:color="auto" w:sz="4" w:space="0"/>
            </w:tcBorders>
            <w:vAlign w:val="center"/>
          </w:tcPr>
          <w:p>
            <w:pPr>
              <w:spacing w:line="240" w:lineRule="auto"/>
              <w:ind w:firstLine="0" w:firstLineChars="0"/>
              <w:jc w:val="center"/>
              <w:rPr>
                <w:rFonts w:cs="Times New Roman"/>
                <w:b/>
                <w:sz w:val="24"/>
                <w:szCs w:val="24"/>
              </w:rPr>
            </w:pPr>
          </w:p>
        </w:tc>
        <w:tc>
          <w:tcPr>
            <w:tcW w:w="389" w:type="pct"/>
            <w:tcBorders>
              <w:top w:val="dotted" w:color="auto" w:sz="4" w:space="0"/>
              <w:bottom w:val="dotted" w:color="auto" w:sz="4" w:space="0"/>
            </w:tcBorders>
            <w:vAlign w:val="center"/>
          </w:tcPr>
          <w:p>
            <w:pPr>
              <w:spacing w:line="240" w:lineRule="auto"/>
              <w:ind w:firstLine="0" w:firstLineChars="0"/>
              <w:jc w:val="center"/>
              <w:rPr>
                <w:rFonts w:cs="Times New Roman"/>
                <w:b/>
                <w:sz w:val="24"/>
                <w:szCs w:val="24"/>
              </w:rPr>
            </w:pP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703" w:type="pct"/>
            <w:vMerge w:val="continue"/>
            <w:tcBorders>
              <w:top w:val="dotted" w:color="auto" w:sz="4" w:space="0"/>
              <w:bottom w:val="single" w:color="auto" w:sz="4" w:space="0"/>
              <w:right w:val="single" w:color="auto" w:sz="4" w:space="0"/>
            </w:tcBorders>
            <w:vAlign w:val="center"/>
          </w:tcPr>
          <w:p>
            <w:pPr>
              <w:widowControl/>
              <w:spacing w:line="240" w:lineRule="auto"/>
              <w:ind w:firstLine="0" w:firstLineChars="0"/>
              <w:jc w:val="center"/>
              <w:rPr>
                <w:rFonts w:cs="Times New Roman"/>
                <w:sz w:val="24"/>
                <w:szCs w:val="24"/>
              </w:rPr>
            </w:pPr>
          </w:p>
        </w:tc>
        <w:tc>
          <w:tcPr>
            <w:tcW w:w="293" w:type="pct"/>
            <w:tcBorders>
              <w:top w:val="dotted" w:color="auto" w:sz="4" w:space="0"/>
              <w:bottom w:val="single" w:color="auto" w:sz="4" w:space="0"/>
              <w:right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2</w:t>
            </w:r>
            <w:r>
              <w:rPr>
                <w:rFonts w:cs="Times New Roman"/>
                <w:sz w:val="24"/>
                <w:szCs w:val="24"/>
              </w:rPr>
              <w:t>3</w:t>
            </w:r>
          </w:p>
        </w:tc>
        <w:tc>
          <w:tcPr>
            <w:tcW w:w="1781" w:type="pct"/>
            <w:tcBorders>
              <w:top w:val="dotted" w:color="auto" w:sz="4" w:space="0"/>
              <w:left w:val="single" w:color="auto" w:sz="4" w:space="0"/>
              <w:bottom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移交后资产损坏风险</w:t>
            </w:r>
          </w:p>
        </w:tc>
        <w:tc>
          <w:tcPr>
            <w:tcW w:w="504"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704"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r>
              <w:rPr>
                <w:rFonts w:hint="eastAsia" w:cs="Times New Roman"/>
                <w:color w:val="000000" w:themeColor="text1"/>
                <w:sz w:val="24"/>
                <w:szCs w:val="24"/>
                <w14:textFill>
                  <w14:solidFill>
                    <w14:schemeClr w14:val="tx1"/>
                  </w14:solidFill>
                </w14:textFill>
              </w:rPr>
              <w:t>√</w:t>
            </w:r>
          </w:p>
        </w:tc>
        <w:tc>
          <w:tcPr>
            <w:tcW w:w="625"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c>
          <w:tcPr>
            <w:tcW w:w="389" w:type="pct"/>
            <w:tcBorders>
              <w:top w:val="dotted" w:color="auto" w:sz="4" w:space="0"/>
              <w:bottom w:val="single" w:color="auto" w:sz="4" w:space="0"/>
            </w:tcBorders>
            <w:vAlign w:val="center"/>
          </w:tcPr>
          <w:p>
            <w:pPr>
              <w:spacing w:line="240" w:lineRule="auto"/>
              <w:ind w:firstLine="0" w:firstLineChars="0"/>
              <w:jc w:val="center"/>
              <w:rPr>
                <w:rFonts w:cs="Times New Roman"/>
                <w:b/>
                <w:sz w:val="24"/>
                <w:szCs w:val="24"/>
              </w:rPr>
            </w:pP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397" w:hRule="atLeast"/>
          <w:jc w:val="center"/>
        </w:trPr>
        <w:tc>
          <w:tcPr>
            <w:tcW w:w="703" w:type="pct"/>
            <w:tcBorders>
              <w:top w:val="single" w:color="auto" w:sz="4" w:space="0"/>
              <w:bottom w:val="single" w:color="auto" w:sz="18" w:space="0"/>
              <w:right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不可抗力风险</w:t>
            </w:r>
          </w:p>
        </w:tc>
        <w:tc>
          <w:tcPr>
            <w:tcW w:w="293" w:type="pct"/>
            <w:tcBorders>
              <w:top w:val="single" w:color="auto" w:sz="4" w:space="0"/>
              <w:right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2</w:t>
            </w:r>
            <w:r>
              <w:rPr>
                <w:rFonts w:cs="Times New Roman"/>
                <w:sz w:val="24"/>
                <w:szCs w:val="24"/>
              </w:rPr>
              <w:t>4</w:t>
            </w:r>
          </w:p>
        </w:tc>
        <w:tc>
          <w:tcPr>
            <w:tcW w:w="1781" w:type="pct"/>
            <w:tcBorders>
              <w:top w:val="single" w:color="auto" w:sz="4" w:space="0"/>
              <w:left w:val="single" w:color="auto" w:sz="4" w:space="0"/>
            </w:tcBorders>
            <w:vAlign w:val="center"/>
          </w:tcPr>
          <w:p>
            <w:pPr>
              <w:spacing w:line="240" w:lineRule="auto"/>
              <w:ind w:firstLine="0" w:firstLineChars="0"/>
              <w:jc w:val="center"/>
              <w:rPr>
                <w:rFonts w:cs="Times New Roman"/>
                <w:sz w:val="24"/>
                <w:szCs w:val="24"/>
              </w:rPr>
            </w:pPr>
            <w:r>
              <w:rPr>
                <w:rFonts w:hint="eastAsia" w:cs="Times New Roman"/>
                <w:sz w:val="24"/>
                <w:szCs w:val="24"/>
              </w:rPr>
              <w:t>不可抗力风险</w:t>
            </w:r>
          </w:p>
        </w:tc>
        <w:tc>
          <w:tcPr>
            <w:tcW w:w="504" w:type="pct"/>
            <w:tcBorders>
              <w:top w:val="single" w:color="auto" w:sz="4" w:space="0"/>
            </w:tcBorders>
            <w:vAlign w:val="center"/>
          </w:tcPr>
          <w:p>
            <w:pPr>
              <w:spacing w:line="240" w:lineRule="auto"/>
              <w:ind w:firstLine="0" w:firstLineChars="0"/>
              <w:jc w:val="center"/>
              <w:rPr>
                <w:rFonts w:cs="Times New Roman"/>
                <w:b/>
                <w:sz w:val="24"/>
                <w:szCs w:val="24"/>
              </w:rPr>
            </w:pPr>
          </w:p>
        </w:tc>
        <w:tc>
          <w:tcPr>
            <w:tcW w:w="704" w:type="pct"/>
            <w:tcBorders>
              <w:top w:val="single" w:color="auto" w:sz="4" w:space="0"/>
            </w:tcBorders>
            <w:vAlign w:val="center"/>
          </w:tcPr>
          <w:p>
            <w:pPr>
              <w:spacing w:line="240" w:lineRule="auto"/>
              <w:ind w:firstLine="0" w:firstLineChars="0"/>
              <w:jc w:val="center"/>
              <w:rPr>
                <w:rFonts w:cs="Times New Roman"/>
                <w:b/>
                <w:sz w:val="24"/>
                <w:szCs w:val="24"/>
              </w:rPr>
            </w:pPr>
          </w:p>
        </w:tc>
        <w:tc>
          <w:tcPr>
            <w:tcW w:w="625" w:type="pct"/>
            <w:tcBorders>
              <w:top w:val="single" w:color="auto" w:sz="4" w:space="0"/>
            </w:tcBorders>
            <w:vAlign w:val="center"/>
          </w:tcPr>
          <w:p>
            <w:pPr>
              <w:spacing w:line="240" w:lineRule="auto"/>
              <w:ind w:firstLine="0" w:firstLineChars="0"/>
              <w:jc w:val="center"/>
              <w:rPr>
                <w:rFonts w:cs="Times New Roman"/>
                <w:b/>
                <w:sz w:val="24"/>
                <w:szCs w:val="24"/>
              </w:rPr>
            </w:pPr>
          </w:p>
        </w:tc>
        <w:tc>
          <w:tcPr>
            <w:tcW w:w="389" w:type="pct"/>
            <w:tcBorders>
              <w:top w:val="single" w:color="auto" w:sz="4" w:space="0"/>
            </w:tcBorders>
            <w:vAlign w:val="center"/>
          </w:tcPr>
          <w:p>
            <w:pPr>
              <w:spacing w:line="240" w:lineRule="auto"/>
              <w:ind w:firstLine="0" w:firstLineChars="0"/>
              <w:jc w:val="center"/>
              <w:rPr>
                <w:rFonts w:cs="Times New Roman"/>
                <w:b/>
                <w:sz w:val="24"/>
                <w:szCs w:val="24"/>
              </w:rPr>
            </w:pPr>
            <w:r>
              <w:rPr>
                <w:rFonts w:hint="eastAsia" w:cs="Times New Roman"/>
                <w:color w:val="000000" w:themeColor="text1"/>
                <w:sz w:val="24"/>
                <w:szCs w:val="24"/>
                <w14:textFill>
                  <w14:solidFill>
                    <w14:schemeClr w14:val="tx1"/>
                  </w14:solidFill>
                </w14:textFill>
              </w:rPr>
              <w:t>√</w:t>
            </w:r>
          </w:p>
        </w:tc>
      </w:tr>
    </w:tbl>
    <w:p>
      <w:pPr>
        <w:pStyle w:val="4"/>
        <w:ind w:firstLine="600"/>
        <w:rPr>
          <w:rFonts w:ascii="楷体" w:hAnsi="楷体" w:eastAsia="楷体" w:cs="Times New Roman"/>
          <w:b w:val="0"/>
          <w:sz w:val="30"/>
          <w:szCs w:val="30"/>
        </w:rPr>
      </w:pPr>
      <w:r>
        <w:rPr>
          <w:rFonts w:hint="eastAsia" w:ascii="楷体" w:hAnsi="楷体" w:eastAsia="楷体" w:cs="Times New Roman"/>
          <w:b w:val="0"/>
          <w:sz w:val="30"/>
          <w:szCs w:val="30"/>
        </w:rPr>
        <w:t>（二）风险说明及应对措施</w:t>
      </w:r>
    </w:p>
    <w:p>
      <w:pPr>
        <w:pStyle w:val="6"/>
        <w:ind w:firstLine="562"/>
        <w:rPr>
          <w:rFonts w:cs="Times New Roman"/>
        </w:rPr>
      </w:pPr>
      <w:r>
        <w:rPr>
          <w:rFonts w:cs="Times New Roman"/>
        </w:rPr>
        <w:t>1.</w:t>
      </w:r>
      <w:r>
        <w:rPr>
          <w:rFonts w:hint="eastAsia" w:cs="Times New Roman"/>
        </w:rPr>
        <w:t>征用</w:t>
      </w:r>
      <w:r>
        <w:rPr>
          <w:rFonts w:cs="Times New Roman"/>
        </w:rPr>
        <w:t>/</w:t>
      </w:r>
      <w:r>
        <w:rPr>
          <w:rFonts w:hint="eastAsia" w:cs="Times New Roman"/>
        </w:rPr>
        <w:t>公有化风险</w:t>
      </w:r>
    </w:p>
    <w:p>
      <w:pPr>
        <w:ind w:firstLine="560"/>
        <w:rPr>
          <w:rFonts w:cs="Times New Roman"/>
        </w:rPr>
      </w:pPr>
      <w:r>
        <w:rPr>
          <w:rFonts w:hint="eastAsia" w:cs="Times New Roman"/>
        </w:rPr>
        <w:t>因项目被中央或地方政府征收征用、实行国有化等因素导致的合作期提前终止，该风险由双方共同承担。《特许经营协议》中明确各自承担比例。</w:t>
      </w:r>
    </w:p>
    <w:p>
      <w:pPr>
        <w:pStyle w:val="6"/>
        <w:ind w:firstLine="562"/>
        <w:rPr>
          <w:rFonts w:cs="Times New Roman"/>
        </w:rPr>
      </w:pPr>
      <w:r>
        <w:rPr>
          <w:rFonts w:cs="Times New Roman"/>
        </w:rPr>
        <w:t>2.</w:t>
      </w:r>
      <w:r>
        <w:rPr>
          <w:rFonts w:hint="eastAsia" w:cs="Times New Roman"/>
        </w:rPr>
        <w:t>政府干预风险</w:t>
      </w:r>
    </w:p>
    <w:p>
      <w:pPr>
        <w:ind w:firstLine="560"/>
        <w:rPr>
          <w:rFonts w:cs="Times New Roman"/>
        </w:rPr>
      </w:pPr>
      <w:r>
        <w:rPr>
          <w:rFonts w:hint="eastAsia" w:cs="Times New Roman"/>
        </w:rPr>
        <w:t>因政府部门人员更替或政府等因素，干预</w:t>
      </w:r>
      <w:r>
        <w:rPr>
          <w:rFonts w:cs="Times New Roman"/>
        </w:rPr>
        <w:t>/</w:t>
      </w:r>
      <w:r>
        <w:rPr>
          <w:rFonts w:hint="eastAsia" w:cs="Times New Roman"/>
        </w:rPr>
        <w:t>影响到社会资本方的日常经营管理从而影响项目的正常运营，该风险由政府方承担，《特许经营协议》中明确社会资本方自主经营管理的措施，保障项目运营不受政府非正常监管干预影响。</w:t>
      </w:r>
    </w:p>
    <w:p>
      <w:pPr>
        <w:pStyle w:val="6"/>
        <w:ind w:firstLine="562"/>
        <w:rPr>
          <w:rFonts w:cs="Times New Roman"/>
        </w:rPr>
      </w:pPr>
      <w:r>
        <w:rPr>
          <w:rFonts w:cs="Times New Roman"/>
        </w:rPr>
        <w:t>3.</w:t>
      </w:r>
      <w:r>
        <w:rPr>
          <w:rFonts w:hint="eastAsia" w:cs="Times New Roman"/>
        </w:rPr>
        <w:t>不可控法律、政策变更风险</w:t>
      </w:r>
    </w:p>
    <w:p>
      <w:pPr>
        <w:ind w:firstLine="560"/>
        <w:rPr>
          <w:rFonts w:cs="Times New Roman"/>
        </w:rPr>
      </w:pPr>
      <w:r>
        <w:rPr>
          <w:rFonts w:hint="eastAsia" w:cs="Times New Roman"/>
        </w:rPr>
        <w:t>因法律法规、行业强制性规范标准、上级政府颁发的政策发生变更给项目实施带来的风险，本级政府和社会资本方均对该风险缺乏管控措施，按照风险分配原则，该风险由双方共担。《特许经营协议》中明确该风险可能引起的成本变动或项目提前终止的调整和应对机制。</w:t>
      </w:r>
    </w:p>
    <w:p>
      <w:pPr>
        <w:pStyle w:val="6"/>
        <w:ind w:firstLine="562"/>
        <w:rPr>
          <w:rFonts w:cs="Times New Roman"/>
        </w:rPr>
      </w:pPr>
      <w:r>
        <w:rPr>
          <w:rFonts w:cs="Times New Roman"/>
        </w:rPr>
        <w:t>4.</w:t>
      </w:r>
      <w:r>
        <w:rPr>
          <w:rFonts w:hint="eastAsia" w:cs="Times New Roman"/>
        </w:rPr>
        <w:t>可控政策变更风险</w:t>
      </w:r>
    </w:p>
    <w:p>
      <w:pPr>
        <w:ind w:firstLine="560"/>
        <w:rPr>
          <w:rFonts w:cs="Times New Roman"/>
        </w:rPr>
      </w:pPr>
      <w:r>
        <w:rPr>
          <w:rFonts w:hint="eastAsia" w:cs="Times New Roman"/>
        </w:rPr>
        <w:t>因贺兰县人</w:t>
      </w:r>
      <w:r>
        <w:rPr>
          <w:rFonts w:hint="eastAsia" w:cs="Times New Roman"/>
          <w:lang w:val="en-US" w:eastAsia="zh-CN"/>
        </w:rPr>
        <w:t>民</w:t>
      </w:r>
      <w:r>
        <w:rPr>
          <w:rFonts w:hint="eastAsia" w:cs="Times New Roman"/>
        </w:rPr>
        <w:t>政府及其下属单位颁布的政策变更给项目实施带来的风险，本级政府对该风险更具有控制力，按照风险分配原则，该风险由政府方承担。《特许经营协议》中明确因该风险发生可能引起的项目合作条件发生变化，甚至导致项目终止的，政府方应赔偿社会资本方因此而实际遭受的直接损失。</w:t>
      </w:r>
    </w:p>
    <w:p>
      <w:pPr>
        <w:pStyle w:val="6"/>
        <w:ind w:firstLine="562"/>
        <w:rPr>
          <w:rFonts w:cs="Times New Roman"/>
        </w:rPr>
      </w:pPr>
      <w:r>
        <w:rPr>
          <w:rFonts w:cs="Times New Roman"/>
        </w:rPr>
        <w:t>5.</w:t>
      </w:r>
      <w:r>
        <w:rPr>
          <w:rFonts w:hint="eastAsia" w:cs="Times New Roman"/>
        </w:rPr>
        <w:t>决策审批延误风险</w:t>
      </w:r>
    </w:p>
    <w:p>
      <w:pPr>
        <w:ind w:firstLine="560"/>
        <w:rPr>
          <w:rFonts w:cs="Times New Roman"/>
        </w:rPr>
      </w:pPr>
      <w:r>
        <w:rPr>
          <w:rFonts w:hint="eastAsia" w:cs="Times New Roman"/>
        </w:rPr>
        <w:t>因社会资本方资料、手续不齐全、不及时等原因抑或政府机构能力不足、内部机制不完善等原因造成项目决策或审批事项延误，按照风险分配原则，该风险由导致该等情形发生的责任方承担。《特许经营协议》中明确约定政府和社会资本应负责的报审事项和时限，各责任主体对相应的报审事项负责，并明确相应的责任承担方式。</w:t>
      </w:r>
    </w:p>
    <w:p>
      <w:pPr>
        <w:pStyle w:val="6"/>
        <w:ind w:firstLine="562"/>
        <w:rPr>
          <w:rFonts w:cs="Times New Roman"/>
        </w:rPr>
      </w:pPr>
      <w:r>
        <w:rPr>
          <w:rFonts w:cs="Times New Roman"/>
        </w:rPr>
        <w:t>6.</w:t>
      </w:r>
      <w:r>
        <w:rPr>
          <w:rFonts w:hint="eastAsia" w:cs="Times New Roman"/>
        </w:rPr>
        <w:t>融资交割风险</w:t>
      </w:r>
    </w:p>
    <w:p>
      <w:pPr>
        <w:ind w:firstLine="560"/>
        <w:rPr>
          <w:rFonts w:cs="Times New Roman"/>
        </w:rPr>
      </w:pPr>
      <w:r>
        <w:rPr>
          <w:rFonts w:hint="eastAsia" w:cs="Times New Roman"/>
        </w:rPr>
        <w:t>因项目实际融资交割受不同金融机构的贷款政策影响，如政策性银行、国有商业银行、股份制银行或其他金融组织的贷款政策各不相同，如项目资金供应不足或者来源中断导致项目生产延缓甚至被迫中止等风险，应由融资主体社会资本方承担。</w:t>
      </w:r>
    </w:p>
    <w:p>
      <w:pPr>
        <w:pStyle w:val="6"/>
        <w:ind w:firstLine="562"/>
        <w:rPr>
          <w:rFonts w:cs="Times New Roman"/>
        </w:rPr>
      </w:pPr>
      <w:r>
        <w:rPr>
          <w:rFonts w:cs="Times New Roman"/>
        </w:rPr>
        <w:t>7.</w:t>
      </w:r>
      <w:r>
        <w:rPr>
          <w:rFonts w:hint="eastAsia" w:cs="Times New Roman"/>
        </w:rPr>
        <w:t>利率风险</w:t>
      </w:r>
    </w:p>
    <w:p>
      <w:pPr>
        <w:ind w:firstLine="560"/>
        <w:rPr>
          <w:rFonts w:cs="Times New Roman"/>
        </w:rPr>
      </w:pPr>
      <w:r>
        <w:rPr>
          <w:rFonts w:hint="eastAsia" w:cs="Times New Roman"/>
        </w:rPr>
        <w:t>我国目前虽正推行利率市场化改革工作，但贷款基准利率和人民币贷款市场报价利率（</w:t>
      </w:r>
      <w:r>
        <w:rPr>
          <w:rFonts w:cs="Times New Roman"/>
        </w:rPr>
        <w:t>LPR</w:t>
      </w:r>
      <w:r>
        <w:rPr>
          <w:rFonts w:hint="eastAsia" w:cs="Times New Roman"/>
        </w:rPr>
        <w:t>）仍由中国人民银行依据国家货币政策进行合理调控或定期公布，政府和社会资本方均没有影响力和控制力，为保障双方的利益，本项目该风险应由双方共同承担。《特许经营协议》中明确具体共担的机制。</w:t>
      </w:r>
    </w:p>
    <w:p>
      <w:pPr>
        <w:pStyle w:val="6"/>
        <w:ind w:firstLine="562"/>
        <w:rPr>
          <w:rFonts w:cs="Times New Roman"/>
        </w:rPr>
      </w:pPr>
      <w:r>
        <w:rPr>
          <w:rFonts w:cs="Times New Roman"/>
        </w:rPr>
        <w:t>8.</w:t>
      </w:r>
      <w:r>
        <w:rPr>
          <w:rFonts w:hint="eastAsia" w:cs="Times New Roman"/>
        </w:rPr>
        <w:t>供应商违约风险</w:t>
      </w:r>
    </w:p>
    <w:p>
      <w:pPr>
        <w:ind w:firstLine="560"/>
        <w:rPr>
          <w:rFonts w:cs="Times New Roman"/>
        </w:rPr>
      </w:pPr>
      <w:r>
        <w:rPr>
          <w:rFonts w:hint="eastAsia" w:cs="Times New Roman"/>
        </w:rPr>
        <w:t>社会资本方应按照适用法律雇用供应商，包括运营维护过程中的各类设备、服务供应商；社会资本方对于其供应商、他们的代理人或他们直接或间接雇用的任何人的任何职务行为应明确对政府承担全部的责任，视该等行为为社会资本方的行为。</w:t>
      </w:r>
    </w:p>
    <w:p>
      <w:pPr>
        <w:pStyle w:val="6"/>
        <w:ind w:firstLine="562"/>
        <w:rPr>
          <w:rFonts w:cs="Times New Roman"/>
        </w:rPr>
      </w:pPr>
      <w:r>
        <w:rPr>
          <w:rFonts w:cs="Times New Roman"/>
        </w:rPr>
        <w:t>9.</w:t>
      </w:r>
      <w:r>
        <w:rPr>
          <w:rFonts w:hint="eastAsia" w:cs="Times New Roman"/>
        </w:rPr>
        <w:t>环境保护风险</w:t>
      </w:r>
    </w:p>
    <w:p>
      <w:pPr>
        <w:ind w:firstLine="560"/>
        <w:rPr>
          <w:rFonts w:cs="Times New Roman"/>
        </w:rPr>
      </w:pPr>
      <w:r>
        <w:rPr>
          <w:rFonts w:hint="eastAsia" w:cs="Times New Roman"/>
        </w:rPr>
        <w:t>因项目建设、运营维护而造成项目场地或周围环境的环境污染，由社会资本方负全部责任。《特许经营协议》中明确社会资本方应遵守适用法律的各项标准及要求，因社会资本方原因造成的环境污染承担全部直接或间接，但社会资本方对于《特许经营协议》生效日或接手之前存在的环境污染，或者由于政府方原因引起的环境污染不承担责任。</w:t>
      </w:r>
    </w:p>
    <w:p>
      <w:pPr>
        <w:pStyle w:val="6"/>
        <w:ind w:firstLine="562"/>
        <w:rPr>
          <w:rFonts w:cs="Times New Roman"/>
        </w:rPr>
      </w:pPr>
      <w:r>
        <w:rPr>
          <w:rFonts w:cs="Times New Roman"/>
        </w:rPr>
        <w:t>10.</w:t>
      </w:r>
      <w:r>
        <w:rPr>
          <w:rFonts w:hint="eastAsia" w:cs="Times New Roman"/>
        </w:rPr>
        <w:t>新增投资风险</w:t>
      </w:r>
    </w:p>
    <w:p>
      <w:pPr>
        <w:ind w:firstLine="560"/>
        <w:rPr>
          <w:rFonts w:cs="Times New Roman"/>
        </w:rPr>
      </w:pPr>
      <w:r>
        <w:rPr>
          <w:rFonts w:hint="eastAsia" w:cs="Times New Roman"/>
        </w:rPr>
        <w:t>因项目合作期内供水标准提高、处理工艺改进等因素，导致项目需进行改扩建、提标改造或设备设施提升，造成的新增投资费用由政府和社会资本方共担。《特许经营协议》中明确一定投入范围的新增投资由社会资本方自行承担和消化，超出一定范围后的新增投资费用由政府方承担。</w:t>
      </w:r>
    </w:p>
    <w:p>
      <w:pPr>
        <w:pStyle w:val="6"/>
        <w:ind w:firstLine="562"/>
        <w:rPr>
          <w:rFonts w:cs="Times New Roman"/>
        </w:rPr>
      </w:pPr>
      <w:r>
        <w:rPr>
          <w:rFonts w:cs="Times New Roman"/>
        </w:rPr>
        <w:t>11</w:t>
      </w:r>
      <w:r>
        <w:rPr>
          <w:rFonts w:hint="eastAsia" w:cs="Times New Roman"/>
        </w:rPr>
        <w:t>.设计风险</w:t>
      </w:r>
    </w:p>
    <w:p>
      <w:pPr>
        <w:ind w:firstLine="560"/>
        <w:rPr>
          <w:rFonts w:cs="Times New Roman"/>
        </w:rPr>
      </w:pPr>
      <w:r>
        <w:rPr>
          <w:rFonts w:hint="eastAsia" w:cs="Times New Roman"/>
        </w:rPr>
        <w:t>设计中可能会出现错误、不合理、可建造性差等问题。本项目中初步设计和施工图设计由项目公司完成，因此，该风险由社会资本方承担。</w:t>
      </w:r>
    </w:p>
    <w:p>
      <w:pPr>
        <w:pStyle w:val="6"/>
        <w:ind w:firstLine="562"/>
        <w:rPr>
          <w:rFonts w:cs="Times New Roman"/>
        </w:rPr>
      </w:pPr>
      <w:r>
        <w:rPr>
          <w:rFonts w:cs="Times New Roman"/>
        </w:rPr>
        <w:t>12.</w:t>
      </w:r>
      <w:r>
        <w:rPr>
          <w:rFonts w:hint="eastAsia" w:cs="Times New Roman"/>
        </w:rPr>
        <w:t>完工风险</w:t>
      </w:r>
    </w:p>
    <w:p>
      <w:pPr>
        <w:ind w:firstLine="560"/>
        <w:rPr>
          <w:rFonts w:cs="Times New Roman"/>
        </w:rPr>
      </w:pPr>
      <w:r>
        <w:rPr>
          <w:rFonts w:hint="eastAsia" w:cs="Times New Roman"/>
        </w:rPr>
        <w:t>本项目完工风险主要指由于社会资本方效率低下等主观原因导致项目不能如期完工的风险，本项目后续建设工作全部由社会资本方负责实施，该风险由社会资本方承担。</w:t>
      </w:r>
    </w:p>
    <w:p>
      <w:pPr>
        <w:pStyle w:val="6"/>
        <w:ind w:firstLine="562"/>
        <w:rPr>
          <w:rFonts w:cs="Times New Roman"/>
        </w:rPr>
      </w:pPr>
      <w:r>
        <w:rPr>
          <w:rFonts w:cs="Times New Roman"/>
        </w:rPr>
        <w:t>13.</w:t>
      </w:r>
      <w:r>
        <w:rPr>
          <w:rFonts w:hint="eastAsia" w:cs="Times New Roman"/>
        </w:rPr>
        <w:t>技术风险</w:t>
      </w:r>
    </w:p>
    <w:p>
      <w:pPr>
        <w:ind w:firstLine="560"/>
        <w:rPr>
          <w:rFonts w:cs="Times New Roman"/>
        </w:rPr>
      </w:pPr>
      <w:r>
        <w:rPr>
          <w:rFonts w:hint="eastAsia" w:cs="Times New Roman"/>
        </w:rPr>
        <w:t>技术问题可能严重影响工程质量或者增加投资成本。本项目施工完全由社会资本方负责，其对该风险具有完全的控制力，因此该风险由社会资本方承担。</w:t>
      </w:r>
    </w:p>
    <w:p>
      <w:pPr>
        <w:pStyle w:val="6"/>
        <w:ind w:firstLine="562"/>
        <w:rPr>
          <w:rFonts w:cs="Times New Roman"/>
        </w:rPr>
      </w:pPr>
      <w:r>
        <w:rPr>
          <w:rFonts w:cs="Times New Roman"/>
        </w:rPr>
        <w:t>14.</w:t>
      </w:r>
      <w:r>
        <w:rPr>
          <w:rFonts w:hint="eastAsia" w:cs="Times New Roman"/>
        </w:rPr>
        <w:t>质量风险</w:t>
      </w:r>
    </w:p>
    <w:p>
      <w:pPr>
        <w:ind w:firstLine="560"/>
        <w:rPr>
          <w:rFonts w:cs="Times New Roman"/>
        </w:rPr>
      </w:pPr>
      <w:r>
        <w:rPr>
          <w:rFonts w:hint="eastAsia" w:cs="Times New Roman"/>
        </w:rPr>
        <w:t>政府方通过采购社会资本方的形式将建设、运营责任转移给了社会资本方，社会资本方作为项目建设、运营的实际责任单位，对工程质量更具有实际控制力，因此该风险由社会资本方承担。</w:t>
      </w:r>
    </w:p>
    <w:p>
      <w:pPr>
        <w:pStyle w:val="6"/>
        <w:ind w:firstLine="562"/>
        <w:rPr>
          <w:rFonts w:cs="Times New Roman"/>
        </w:rPr>
      </w:pPr>
      <w:r>
        <w:rPr>
          <w:rFonts w:cs="Times New Roman"/>
        </w:rPr>
        <w:t>15.</w:t>
      </w:r>
      <w:r>
        <w:rPr>
          <w:rFonts w:hint="eastAsia" w:cs="Times New Roman"/>
        </w:rPr>
        <w:t>安全风险</w:t>
      </w:r>
    </w:p>
    <w:p>
      <w:pPr>
        <w:ind w:firstLine="560"/>
        <w:rPr>
          <w:rFonts w:cs="Times New Roman"/>
        </w:rPr>
      </w:pPr>
      <w:r>
        <w:rPr>
          <w:rFonts w:hint="eastAsia" w:cs="Times New Roman"/>
        </w:rPr>
        <w:t>本项目的建设和运营责任由社会资本方承担，社会资本方作为项目建设、运营的实际责任单位，本身就负有安全保障义务，且其对安全风险更具有实际控制力，因此本项目中的安全风险应由社会资本方承担。</w:t>
      </w:r>
    </w:p>
    <w:p>
      <w:pPr>
        <w:pStyle w:val="6"/>
        <w:ind w:firstLine="562"/>
        <w:rPr>
          <w:rFonts w:cs="Times New Roman"/>
        </w:rPr>
      </w:pPr>
      <w:r>
        <w:rPr>
          <w:rFonts w:cs="Times New Roman"/>
        </w:rPr>
        <w:t>16.</w:t>
      </w:r>
      <w:r>
        <w:rPr>
          <w:rFonts w:hint="eastAsia" w:cs="Times New Roman"/>
        </w:rPr>
        <w:t>技术力量不足风险</w:t>
      </w:r>
    </w:p>
    <w:p>
      <w:pPr>
        <w:ind w:firstLine="560"/>
        <w:rPr>
          <w:rFonts w:cs="Times New Roman"/>
        </w:rPr>
      </w:pPr>
      <w:r>
        <w:rPr>
          <w:rFonts w:hint="eastAsia" w:cs="Times New Roman"/>
        </w:rPr>
        <w:t>因技术力量不足等问题可能严重影响项目前期融资、运营效率、发生安全生产事件、或者服务质量不达标，该风险由社会资本方承担。《特许经营协议》中明确社会资本方应配置完备的技术力量，确保高效、安全、高质量开展项目运营工作。</w:t>
      </w:r>
    </w:p>
    <w:p>
      <w:pPr>
        <w:pStyle w:val="6"/>
        <w:ind w:firstLine="562"/>
        <w:rPr>
          <w:rFonts w:cs="Times New Roman"/>
        </w:rPr>
      </w:pPr>
      <w:r>
        <w:rPr>
          <w:rFonts w:cs="Times New Roman"/>
        </w:rPr>
        <w:t>17.</w:t>
      </w:r>
      <w:r>
        <w:rPr>
          <w:rFonts w:hint="eastAsia" w:cs="Times New Roman"/>
        </w:rPr>
        <w:t>运营质量不达标风险</w:t>
      </w:r>
    </w:p>
    <w:p>
      <w:pPr>
        <w:ind w:firstLine="560"/>
        <w:rPr>
          <w:rFonts w:cs="Times New Roman"/>
        </w:rPr>
      </w:pPr>
      <w:r>
        <w:rPr>
          <w:rFonts w:hint="eastAsia" w:cs="Times New Roman"/>
        </w:rPr>
        <w:t>特许经营项目中运营维护责任全部由项目公司承担，此风险也应由社会资本方承担。同时，项目公司另行委托</w:t>
      </w:r>
      <w:r>
        <w:rPr>
          <w:rFonts w:cs="Times New Roman"/>
        </w:rPr>
        <w:t>/</w:t>
      </w:r>
      <w:r>
        <w:rPr>
          <w:rFonts w:hint="eastAsia" w:cs="Times New Roman"/>
        </w:rPr>
        <w:t>分包第三方运营维护机构进行运营维护的，此项风险与责任也不因此委托而转移或消灭。《特许经营协议》中明确制定绩效考核办法，对于服务质量不达标且不及时改正的，在合同中还可约定运营维护保函，政府方可以通过提取保函项下金额用于项目运营整改，以此方式约束社会资本方。另一方面，对于服务质量不达标且迟迟不改的，在协议中还可约定惩罚机制，政府可通过罚款方式约束社会资本方。</w:t>
      </w:r>
    </w:p>
    <w:p>
      <w:pPr>
        <w:pStyle w:val="6"/>
        <w:ind w:firstLine="562"/>
        <w:rPr>
          <w:rFonts w:cs="Times New Roman"/>
        </w:rPr>
      </w:pPr>
      <w:r>
        <w:rPr>
          <w:rFonts w:cs="Times New Roman"/>
        </w:rPr>
        <w:t>18.</w:t>
      </w:r>
      <w:r>
        <w:rPr>
          <w:rFonts w:hint="eastAsia" w:cs="Times New Roman"/>
        </w:rPr>
        <w:t>运营成本超支风险</w:t>
      </w:r>
    </w:p>
    <w:p>
      <w:pPr>
        <w:ind w:firstLine="560"/>
        <w:rPr>
          <w:rFonts w:cs="Times New Roman"/>
        </w:rPr>
      </w:pPr>
      <w:r>
        <w:rPr>
          <w:rFonts w:hint="eastAsia" w:cs="Times New Roman"/>
        </w:rPr>
        <w:t>项目运营期内项目运营成本发生较大幅度地增长，视成本超支的原因合理分配该风险。因社会资本方管理经验不足或成本控制不力等原因导致的，由社会资本方自行承担该风险。因合作期内国内或地区通货膨胀（指恶性通货膨胀）引起整体物价和薪酬水平上升，导致各类成本被动上升的风险，由双方共担。《特许经营协议》中明确具体的共担方式和方案（包括该等情形的认定方式、调整方案和共担比例等问题）。</w:t>
      </w:r>
    </w:p>
    <w:p>
      <w:pPr>
        <w:pStyle w:val="6"/>
        <w:ind w:firstLine="562"/>
        <w:rPr>
          <w:rFonts w:cs="Times New Roman"/>
        </w:rPr>
      </w:pPr>
      <w:r>
        <w:rPr>
          <w:rFonts w:cs="Times New Roman"/>
        </w:rPr>
        <w:t>19.</w:t>
      </w:r>
      <w:r>
        <w:rPr>
          <w:rFonts w:hint="eastAsia" w:cs="Times New Roman"/>
        </w:rPr>
        <w:t>供水量不足风险</w:t>
      </w:r>
    </w:p>
    <w:p>
      <w:pPr>
        <w:ind w:firstLine="560"/>
        <w:rPr>
          <w:rFonts w:cs="Times New Roman"/>
        </w:rPr>
      </w:pPr>
      <w:r>
        <w:rPr>
          <w:rFonts w:hint="eastAsia" w:cs="Times New Roman"/>
        </w:rPr>
        <w:t>农业灌溉受时节、气候、农作物调整等因素影响较大，如春季需水量较大。项目公司要根据灌溉时节提早筹备灌溉水量，合理安排用水户用水量。若供水量达不到灌溉要求，该风险应由社会资本方承担，农作物调整属于市场风险，但农作物都要用水，该风险由社会资本承担，在《特许经营协议》中明确供水量不足考核标准和处理方式。</w:t>
      </w:r>
    </w:p>
    <w:p>
      <w:pPr>
        <w:pStyle w:val="6"/>
        <w:ind w:firstLine="562"/>
        <w:rPr>
          <w:rFonts w:cs="Times New Roman"/>
        </w:rPr>
      </w:pPr>
      <w:r>
        <w:rPr>
          <w:rFonts w:cs="Times New Roman"/>
        </w:rPr>
        <w:t>20.</w:t>
      </w:r>
      <w:r>
        <w:rPr>
          <w:rFonts w:hint="eastAsia" w:cs="Times New Roman"/>
        </w:rPr>
        <w:t>收入不足风险</w:t>
      </w:r>
    </w:p>
    <w:p>
      <w:pPr>
        <w:ind w:firstLine="560"/>
        <w:rPr>
          <w:rFonts w:cs="Times New Roman"/>
        </w:rPr>
      </w:pPr>
      <w:r>
        <w:rPr>
          <w:rFonts w:hint="eastAsia" w:cs="Times New Roman"/>
        </w:rPr>
        <w:t>本项目收入为使用者付费收入，该部分收入均受需水量、水价和收缴率影响，需水量一方面受气候、降雨等影响，另一方面受用户种植作物需水量影响。考虑到项目区年降水量有一定的波动，一旦降水量超出年均平均量，会导致灌区需水量下降，进而造成本项目使用者付费下降，社会资本方既要拥有合理收益但也要承担必要的风险。建议由气候、作物种植种类等因素引起的收入不足风险应由双方共担，参照“第五章 四、回报机制”章节设置的与绩效考核相挂钩补足方式补足或者重新核定水价。水价在运营期未达到方案设计值，由于政府对水价具有定价权，该部分风险应由政府承担。收缴率不达标的风险由社会资本方承担。《特许经营协议》中明确具体风险分担机制。</w:t>
      </w:r>
    </w:p>
    <w:p>
      <w:pPr>
        <w:pStyle w:val="6"/>
        <w:ind w:firstLine="562"/>
        <w:rPr>
          <w:rFonts w:cs="Times New Roman"/>
        </w:rPr>
      </w:pPr>
      <w:r>
        <w:rPr>
          <w:rFonts w:cs="Times New Roman"/>
        </w:rPr>
        <w:t>21.</w:t>
      </w:r>
      <w:r>
        <w:rPr>
          <w:rFonts w:hint="eastAsia" w:cs="Times New Roman"/>
        </w:rPr>
        <w:t>资产质量不达标风险</w:t>
      </w:r>
    </w:p>
    <w:p>
      <w:pPr>
        <w:ind w:firstLine="560"/>
        <w:rPr>
          <w:rFonts w:cs="Times New Roman"/>
        </w:rPr>
      </w:pPr>
      <w:r>
        <w:rPr>
          <w:rFonts w:hint="eastAsia" w:cs="Times New Roman"/>
        </w:rPr>
        <w:t>项目运营期内，项目全部资产、设施的运营和维护是由项目公司直接负责且处于社会资本方的完全控制下，因此该风险应由社会资本方承担。《特许经营协议》中约定移交前的检修措施，确保设施处于良好的状态，达到事先约定的移交标准。另一方面，协议中可约定移交保函，在移交资产质量不达标且社会资本方不及时补救的情况下政府方提取保函项下金额用于项目移交整改，以此从方式约束社会资本方。</w:t>
      </w:r>
    </w:p>
    <w:p>
      <w:pPr>
        <w:pStyle w:val="6"/>
        <w:ind w:firstLine="562"/>
        <w:rPr>
          <w:rFonts w:cs="Times New Roman"/>
        </w:rPr>
      </w:pPr>
      <w:r>
        <w:rPr>
          <w:rFonts w:cs="Times New Roman"/>
        </w:rPr>
        <w:t>22.</w:t>
      </w:r>
      <w:r>
        <w:rPr>
          <w:rFonts w:hint="eastAsia" w:cs="Times New Roman"/>
        </w:rPr>
        <w:t>资产权属有负担风险</w:t>
      </w:r>
    </w:p>
    <w:p>
      <w:pPr>
        <w:ind w:firstLine="560"/>
        <w:rPr>
          <w:rFonts w:cs="Times New Roman"/>
        </w:rPr>
      </w:pPr>
      <w:r>
        <w:rPr>
          <w:rFonts w:hint="eastAsia" w:cs="Times New Roman"/>
        </w:rPr>
        <w:t>项目移交前，社会资本方应确保项目资产不存在任何抵押、质押等担保权益或所有权约束，亦不得存在任何种类和性质的其他负担，此项风险由社会资本方承担。《特许经营协议》中明确政府方可通过在合同中约定移交手续的执行必须限期进行资产权利义务负担检查。另一方面，合同中可约定移交保函，在资产有负担且社会资本方不及时解除资产负担的情况下提取保函项下金额，以此方式约束社会资本方。</w:t>
      </w:r>
    </w:p>
    <w:p>
      <w:pPr>
        <w:pStyle w:val="6"/>
        <w:ind w:firstLine="562"/>
        <w:rPr>
          <w:rFonts w:cs="Times New Roman"/>
        </w:rPr>
      </w:pPr>
      <w:r>
        <w:rPr>
          <w:rFonts w:cs="Times New Roman"/>
        </w:rPr>
        <w:t>23.</w:t>
      </w:r>
      <w:r>
        <w:rPr>
          <w:rFonts w:hint="eastAsia" w:cs="Times New Roman"/>
        </w:rPr>
        <w:t>移交后资产损坏风险</w:t>
      </w:r>
    </w:p>
    <w:p>
      <w:pPr>
        <w:ind w:firstLine="560"/>
        <w:rPr>
          <w:rFonts w:cs="Times New Roman"/>
        </w:rPr>
      </w:pPr>
      <w:r>
        <w:rPr>
          <w:rFonts w:hint="eastAsia" w:cs="Times New Roman"/>
        </w:rPr>
        <w:t>项目移交后的一定时期内，项目资产发生自然损坏导致无法使用或质量不达标的情形，由于社会资本方熟悉资产状况并应按照约定将符合性能要求的资产移交给政府方，该风险由社会资本方承担。《特许经营协议》中明确合理的缺陷责任期，该时期内社会资本方须按协议约定履行保修义务，确保资产可用性，但因接受移交的单位使用不当造成的损坏除外。</w:t>
      </w:r>
    </w:p>
    <w:p>
      <w:pPr>
        <w:pStyle w:val="6"/>
        <w:ind w:firstLine="562"/>
        <w:rPr>
          <w:rFonts w:cs="Times New Roman"/>
        </w:rPr>
      </w:pPr>
      <w:r>
        <w:rPr>
          <w:rFonts w:cs="Times New Roman"/>
        </w:rPr>
        <w:t>24.</w:t>
      </w:r>
      <w:r>
        <w:rPr>
          <w:rFonts w:hint="eastAsia" w:cs="Times New Roman"/>
        </w:rPr>
        <w:t>不可抗力风险</w:t>
      </w:r>
    </w:p>
    <w:p>
      <w:pPr>
        <w:ind w:firstLine="560"/>
        <w:rPr>
          <w:rFonts w:cs="Times New Roman"/>
        </w:rPr>
      </w:pPr>
      <w:r>
        <w:rPr>
          <w:rFonts w:hint="eastAsia" w:cs="Times New Roman"/>
        </w:rPr>
        <w:t>因不能预见的自然灾害，例如地震、洪水、极端恶劣气候条件、病疫等或非自然因素导致的不可抗力如战争、暴乱、大规模罢工、政治动荡等相关事件发生所引发的风险，由双方共同承担。在不可抗力风险发生时，双方应尽快明确不可抗力事件，并初步评估事情产生影响，合理共担损失，合力应对事件，尽快恢复项目正常运作。《特许经营协议》中明确因发生不可抗力风险导致项目提前终止的补偿条件和补偿方式。社会资本方应当尽可能通过购买保险转移</w:t>
      </w:r>
      <w:r>
        <w:rPr>
          <w:rFonts w:cs="Times New Roman"/>
        </w:rPr>
        <w:t>/</w:t>
      </w:r>
      <w:r>
        <w:rPr>
          <w:rFonts w:hint="eastAsia" w:cs="Times New Roman"/>
        </w:rPr>
        <w:t>规避不可抗力风险，对于无法投保的风险事项，双方各自承担因此风险发生的额外费用和支出。</w:t>
      </w:r>
    </w:p>
    <w:bookmarkEnd w:id="72"/>
    <w:p>
      <w:pPr>
        <w:ind w:firstLine="560"/>
        <w:rPr>
          <w:rFonts w:cs="Times New Roman"/>
        </w:rPr>
      </w:pPr>
    </w:p>
    <w:p>
      <w:pPr>
        <w:ind w:firstLine="560"/>
        <w:rPr>
          <w:rFonts w:cs="Times New Roman"/>
        </w:rPr>
      </w:pPr>
    </w:p>
    <w:p>
      <w:pPr>
        <w:ind w:firstLine="560"/>
        <w:rPr>
          <w:rFonts w:cs="Times New Roman"/>
        </w:rPr>
      </w:pPr>
      <w:r>
        <w:rPr>
          <w:rFonts w:cs="Times New Roman"/>
        </w:rPr>
        <w:br w:type="page"/>
      </w:r>
    </w:p>
    <w:p>
      <w:pPr>
        <w:pStyle w:val="2"/>
        <w:spacing w:after="400"/>
        <w:rPr>
          <w:rFonts w:cs="Times New Roman"/>
        </w:rPr>
      </w:pPr>
      <w:bookmarkStart w:id="92" w:name="_Toc148432371"/>
      <w:r>
        <w:rPr>
          <w:rFonts w:hint="eastAsia" w:cs="Times New Roman"/>
        </w:rPr>
        <w:t>第八章 特许经营协议框架草案</w:t>
      </w:r>
      <w:bookmarkEnd w:id="92"/>
    </w:p>
    <w:p>
      <w:pPr>
        <w:pStyle w:val="3"/>
        <w:ind w:firstLine="643" w:firstLineChars="200"/>
        <w:rPr>
          <w:rFonts w:cs="Times New Roman"/>
        </w:rPr>
      </w:pPr>
      <w:bookmarkStart w:id="93" w:name="_Toc97286455"/>
      <w:bookmarkStart w:id="94" w:name="_Toc148432372"/>
      <w:r>
        <w:rPr>
          <w:rFonts w:hint="eastAsia" w:cs="Times New Roman"/>
        </w:rPr>
        <w:t>一、协议框架及主要内容</w:t>
      </w:r>
      <w:bookmarkEnd w:id="93"/>
      <w:bookmarkEnd w:id="94"/>
    </w:p>
    <w:p>
      <w:pPr>
        <w:ind w:firstLine="560"/>
        <w:rPr>
          <w:rFonts w:cs="Times New Roman"/>
        </w:rPr>
      </w:pPr>
      <w:r>
        <w:rPr>
          <w:rFonts w:hint="eastAsia" w:cs="Times New Roman"/>
        </w:rPr>
        <w:t>参照《国家发改委关于开展政府和社会资本合作的指导意见》（发改投资〔</w:t>
      </w:r>
      <w:r>
        <w:rPr>
          <w:rFonts w:cs="Times New Roman"/>
        </w:rPr>
        <w:t>2014</w:t>
      </w:r>
      <w:r>
        <w:rPr>
          <w:rFonts w:hint="eastAsia" w:cs="Times New Roman"/>
        </w:rPr>
        <w:t>〕</w:t>
      </w:r>
      <w:r>
        <w:rPr>
          <w:rFonts w:cs="Times New Roman"/>
        </w:rPr>
        <w:t>2724</w:t>
      </w:r>
      <w:r>
        <w:rPr>
          <w:rFonts w:hint="eastAsia" w:cs="Times New Roman"/>
        </w:rPr>
        <w:t>号）中的附件《政府和社会资本合作项目通用合同指南（</w:t>
      </w:r>
      <w:r>
        <w:rPr>
          <w:rFonts w:cs="Times New Roman"/>
        </w:rPr>
        <w:t>2014</w:t>
      </w:r>
      <w:r>
        <w:rPr>
          <w:rFonts w:hint="eastAsia" w:cs="Times New Roman"/>
        </w:rPr>
        <w:t>年版）》以及《财政部关于规范政府和社会资本合作合同管理工作的通知》（财金〔</w:t>
      </w:r>
      <w:r>
        <w:rPr>
          <w:rFonts w:cs="Times New Roman"/>
        </w:rPr>
        <w:t>2014</w:t>
      </w:r>
      <w:r>
        <w:rPr>
          <w:rFonts w:hint="eastAsia" w:cs="Times New Roman"/>
        </w:rPr>
        <w:t>〕</w:t>
      </w:r>
      <w:r>
        <w:rPr>
          <w:rFonts w:cs="Times New Roman"/>
        </w:rPr>
        <w:t>156</w:t>
      </w:r>
      <w:r>
        <w:rPr>
          <w:rFonts w:hint="eastAsia" w:cs="Times New Roman"/>
        </w:rPr>
        <w:t>号）中的附件《</w:t>
      </w:r>
      <w:r>
        <w:rPr>
          <w:rFonts w:cs="Times New Roman"/>
        </w:rPr>
        <w:t>PPP</w:t>
      </w:r>
      <w:r>
        <w:rPr>
          <w:rFonts w:hint="eastAsia" w:cs="Times New Roman"/>
        </w:rPr>
        <w:t>项目合同指南（试行）》，拟定本项目特许经营框架，具体合同条款内容在项目采购阶段进行起草，并对本框架草案进行合理调整。</w:t>
      </w:r>
    </w:p>
    <w:p>
      <w:pPr>
        <w:ind w:firstLine="560"/>
        <w:rPr>
          <w:rFonts w:cs="Times New Roman"/>
        </w:rPr>
      </w:pPr>
      <w:r>
        <w:rPr>
          <w:rFonts w:hint="eastAsia" w:cs="Times New Roman"/>
        </w:rPr>
        <w:t>第一章 特许经营协议概述</w:t>
      </w:r>
    </w:p>
    <w:p>
      <w:pPr>
        <w:ind w:firstLine="560"/>
        <w:rPr>
          <w:rFonts w:cs="Times New Roman"/>
        </w:rPr>
      </w:pPr>
      <w:r>
        <w:rPr>
          <w:rFonts w:hint="eastAsia" w:cs="Times New Roman"/>
        </w:rPr>
        <w:t>第二章 引言、定义和解释</w:t>
      </w:r>
    </w:p>
    <w:p>
      <w:pPr>
        <w:ind w:firstLine="560"/>
        <w:rPr>
          <w:rFonts w:cs="Times New Roman"/>
        </w:rPr>
      </w:pPr>
      <w:r>
        <w:rPr>
          <w:rFonts w:hint="eastAsia" w:cs="Times New Roman"/>
        </w:rPr>
        <w:t>第三章 项目的范围和期限</w:t>
      </w:r>
    </w:p>
    <w:p>
      <w:pPr>
        <w:ind w:firstLine="560"/>
        <w:rPr>
          <w:rFonts w:cs="Times New Roman"/>
        </w:rPr>
      </w:pPr>
      <w:r>
        <w:rPr>
          <w:rFonts w:hint="eastAsia" w:cs="Times New Roman"/>
        </w:rPr>
        <w:t>第四章 前提条件</w:t>
      </w:r>
    </w:p>
    <w:p>
      <w:pPr>
        <w:ind w:firstLine="560"/>
        <w:rPr>
          <w:rFonts w:cs="Times New Roman"/>
        </w:rPr>
      </w:pPr>
      <w:r>
        <w:rPr>
          <w:rFonts w:hint="eastAsia" w:cs="Times New Roman"/>
        </w:rPr>
        <w:t>第五章 项目的融资</w:t>
      </w:r>
    </w:p>
    <w:p>
      <w:pPr>
        <w:ind w:firstLine="560"/>
        <w:rPr>
          <w:rFonts w:cs="Times New Roman"/>
        </w:rPr>
      </w:pPr>
      <w:r>
        <w:rPr>
          <w:rFonts w:hint="eastAsia" w:cs="Times New Roman"/>
        </w:rPr>
        <w:t>第六章 项目的用地</w:t>
      </w:r>
    </w:p>
    <w:p>
      <w:pPr>
        <w:ind w:firstLine="560"/>
        <w:rPr>
          <w:rFonts w:cs="Times New Roman"/>
        </w:rPr>
      </w:pPr>
      <w:r>
        <w:rPr>
          <w:rFonts w:hint="eastAsia" w:cs="Times New Roman"/>
        </w:rPr>
        <w:t>第七章 项目的建设</w:t>
      </w:r>
    </w:p>
    <w:p>
      <w:pPr>
        <w:ind w:firstLine="560"/>
        <w:rPr>
          <w:rFonts w:cs="Times New Roman"/>
        </w:rPr>
      </w:pPr>
      <w:r>
        <w:rPr>
          <w:rFonts w:hint="eastAsia" w:cs="Times New Roman"/>
        </w:rPr>
        <w:t>第八章 项目的运营、维护</w:t>
      </w:r>
    </w:p>
    <w:p>
      <w:pPr>
        <w:ind w:firstLine="560"/>
        <w:rPr>
          <w:rFonts w:cs="Times New Roman"/>
        </w:rPr>
      </w:pPr>
      <w:r>
        <w:rPr>
          <w:rFonts w:hint="eastAsia" w:cs="Times New Roman"/>
        </w:rPr>
        <w:t>第九章 股权变更限制</w:t>
      </w:r>
    </w:p>
    <w:p>
      <w:pPr>
        <w:ind w:firstLine="560"/>
        <w:rPr>
          <w:rFonts w:cs="Times New Roman"/>
        </w:rPr>
      </w:pPr>
      <w:r>
        <w:rPr>
          <w:rFonts w:hint="eastAsia" w:cs="Times New Roman"/>
        </w:rPr>
        <w:t>第十章 付费机制</w:t>
      </w:r>
    </w:p>
    <w:p>
      <w:pPr>
        <w:ind w:firstLine="560"/>
        <w:rPr>
          <w:rFonts w:cs="Times New Roman"/>
        </w:rPr>
      </w:pPr>
      <w:r>
        <w:rPr>
          <w:rFonts w:hint="eastAsia" w:cs="Times New Roman"/>
        </w:rPr>
        <w:t>第十一章 履约担保</w:t>
      </w:r>
    </w:p>
    <w:p>
      <w:pPr>
        <w:ind w:firstLine="560"/>
        <w:rPr>
          <w:rFonts w:cs="Times New Roman"/>
        </w:rPr>
      </w:pPr>
      <w:r>
        <w:rPr>
          <w:rFonts w:hint="eastAsia" w:cs="Times New Roman"/>
        </w:rPr>
        <w:t>第十二章 政府承诺</w:t>
      </w:r>
    </w:p>
    <w:p>
      <w:pPr>
        <w:ind w:firstLine="560"/>
        <w:rPr>
          <w:rFonts w:cs="Times New Roman"/>
        </w:rPr>
      </w:pPr>
      <w:r>
        <w:rPr>
          <w:rFonts w:hint="eastAsia" w:cs="Times New Roman"/>
        </w:rPr>
        <w:t>第十三章 保险</w:t>
      </w:r>
    </w:p>
    <w:p>
      <w:pPr>
        <w:ind w:firstLine="560"/>
        <w:rPr>
          <w:rFonts w:cs="Times New Roman"/>
        </w:rPr>
      </w:pPr>
      <w:r>
        <w:rPr>
          <w:rFonts w:hint="eastAsia" w:cs="Times New Roman"/>
        </w:rPr>
        <w:t>第十四章 守法义务及法律变更</w:t>
      </w:r>
    </w:p>
    <w:p>
      <w:pPr>
        <w:ind w:firstLine="560"/>
        <w:rPr>
          <w:rFonts w:cs="Times New Roman"/>
        </w:rPr>
      </w:pPr>
      <w:r>
        <w:rPr>
          <w:rFonts w:hint="eastAsia" w:cs="Times New Roman"/>
        </w:rPr>
        <w:t>第十五章 不可抗力</w:t>
      </w:r>
    </w:p>
    <w:p>
      <w:pPr>
        <w:ind w:firstLine="560"/>
        <w:rPr>
          <w:rFonts w:cs="Times New Roman"/>
        </w:rPr>
      </w:pPr>
      <w:r>
        <w:rPr>
          <w:rFonts w:hint="eastAsia" w:cs="Times New Roman"/>
        </w:rPr>
        <w:t>第十六章 政府方的监督和介入</w:t>
      </w:r>
    </w:p>
    <w:p>
      <w:pPr>
        <w:ind w:firstLine="560"/>
        <w:rPr>
          <w:rFonts w:cs="Times New Roman"/>
        </w:rPr>
      </w:pPr>
      <w:r>
        <w:rPr>
          <w:rFonts w:hint="eastAsia" w:cs="Times New Roman"/>
        </w:rPr>
        <w:t>第十七章 违约、提前终止及终止后的处理</w:t>
      </w:r>
    </w:p>
    <w:p>
      <w:pPr>
        <w:ind w:firstLine="560"/>
        <w:rPr>
          <w:rFonts w:cs="Times New Roman"/>
        </w:rPr>
      </w:pPr>
      <w:r>
        <w:rPr>
          <w:rFonts w:hint="eastAsia" w:cs="Times New Roman"/>
        </w:rPr>
        <w:t>第十八章 项目的移交</w:t>
      </w:r>
    </w:p>
    <w:p>
      <w:pPr>
        <w:ind w:firstLine="560"/>
        <w:rPr>
          <w:rFonts w:cs="Times New Roman"/>
        </w:rPr>
      </w:pPr>
      <w:r>
        <w:rPr>
          <w:rFonts w:hint="eastAsia" w:cs="Times New Roman"/>
        </w:rPr>
        <w:t>第十九章 适用法律及争议解决</w:t>
      </w:r>
    </w:p>
    <w:p>
      <w:pPr>
        <w:ind w:firstLine="560"/>
        <w:rPr>
          <w:rFonts w:cs="Times New Roman"/>
        </w:rPr>
      </w:pPr>
      <w:r>
        <w:rPr>
          <w:rFonts w:hint="eastAsia" w:cs="Times New Roman"/>
        </w:rPr>
        <w:t>第二十章 合同附件</w:t>
      </w:r>
    </w:p>
    <w:p>
      <w:pPr>
        <w:ind w:firstLine="560"/>
        <w:rPr>
          <w:rFonts w:cs="Times New Roman"/>
        </w:rPr>
      </w:pPr>
      <w:r>
        <w:rPr>
          <w:rFonts w:hint="eastAsia" w:cs="Times New Roman"/>
        </w:rPr>
        <w:t>根据《基础设施和公用事业特许经营管理办法》提出的要求，并结合本项目，明确协议的主要内容。参考如下：（</w:t>
      </w:r>
      <w:r>
        <w:rPr>
          <w:rFonts w:cs="Times New Roman"/>
        </w:rPr>
        <w:t>1</w:t>
      </w:r>
      <w:r>
        <w:rPr>
          <w:rFonts w:hint="eastAsia" w:cs="Times New Roman"/>
        </w:rPr>
        <w:t>）项目名称、内容；（</w:t>
      </w:r>
      <w:r>
        <w:rPr>
          <w:rFonts w:cs="Times New Roman"/>
        </w:rPr>
        <w:t>2</w:t>
      </w:r>
      <w:r>
        <w:rPr>
          <w:rFonts w:hint="eastAsia" w:cs="Times New Roman"/>
        </w:rPr>
        <w:t>）特许经营方式、区域、范围和期限；（</w:t>
      </w:r>
      <w:r>
        <w:rPr>
          <w:rFonts w:cs="Times New Roman"/>
        </w:rPr>
        <w:t>3</w:t>
      </w:r>
      <w:r>
        <w:rPr>
          <w:rFonts w:hint="eastAsia" w:cs="Times New Roman"/>
        </w:rPr>
        <w:t>）社会资本方的经营范围、项目资本金出资比例、股权转让等；（</w:t>
      </w:r>
      <w:r>
        <w:rPr>
          <w:rFonts w:cs="Times New Roman"/>
        </w:rPr>
        <w:t>4</w:t>
      </w:r>
      <w:r>
        <w:rPr>
          <w:rFonts w:hint="eastAsia" w:cs="Times New Roman"/>
        </w:rPr>
        <w:t>）所提供产品或者服务的数量、质量和标准；（</w:t>
      </w:r>
      <w:r>
        <w:rPr>
          <w:rFonts w:cs="Times New Roman"/>
        </w:rPr>
        <w:t>5</w:t>
      </w:r>
      <w:r>
        <w:rPr>
          <w:rFonts w:hint="eastAsia" w:cs="Times New Roman"/>
        </w:rPr>
        <w:t>）设施权属，以及相应的维护和更新改造；（</w:t>
      </w:r>
      <w:r>
        <w:rPr>
          <w:rFonts w:cs="Times New Roman"/>
        </w:rPr>
        <w:t>6</w:t>
      </w:r>
      <w:r>
        <w:rPr>
          <w:rFonts w:hint="eastAsia" w:cs="Times New Roman"/>
        </w:rPr>
        <w:t>）监测评估；（</w:t>
      </w:r>
      <w:r>
        <w:rPr>
          <w:rFonts w:cs="Times New Roman"/>
        </w:rPr>
        <w:t>7</w:t>
      </w:r>
      <w:r>
        <w:rPr>
          <w:rFonts w:hint="eastAsia" w:cs="Times New Roman"/>
        </w:rPr>
        <w:t>）投融资期限和方式；（</w:t>
      </w:r>
      <w:r>
        <w:rPr>
          <w:rFonts w:cs="Times New Roman"/>
        </w:rPr>
        <w:t>8</w:t>
      </w:r>
      <w:r>
        <w:rPr>
          <w:rFonts w:hint="eastAsia" w:cs="Times New Roman"/>
        </w:rPr>
        <w:t>）收益取得方式，价格和收费标准的确定方法以及调整程序；（</w:t>
      </w:r>
      <w:r>
        <w:rPr>
          <w:rFonts w:cs="Times New Roman"/>
        </w:rPr>
        <w:t>9</w:t>
      </w:r>
      <w:r>
        <w:rPr>
          <w:rFonts w:hint="eastAsia" w:cs="Times New Roman"/>
        </w:rPr>
        <w:t>）履约担保；（</w:t>
      </w:r>
      <w:r>
        <w:rPr>
          <w:rFonts w:cs="Times New Roman"/>
        </w:rPr>
        <w:t>10</w:t>
      </w:r>
      <w:r>
        <w:rPr>
          <w:rFonts w:hint="eastAsia" w:cs="Times New Roman"/>
        </w:rPr>
        <w:t>）特许经营期内的风险分担；（</w:t>
      </w:r>
      <w:r>
        <w:rPr>
          <w:rFonts w:cs="Times New Roman"/>
        </w:rPr>
        <w:t>11</w:t>
      </w:r>
      <w:r>
        <w:rPr>
          <w:rFonts w:hint="eastAsia" w:cs="Times New Roman"/>
        </w:rPr>
        <w:t>）政府承诺和保障；（</w:t>
      </w:r>
      <w:r>
        <w:rPr>
          <w:rFonts w:cs="Times New Roman"/>
        </w:rPr>
        <w:t>12</w:t>
      </w:r>
      <w:r>
        <w:rPr>
          <w:rFonts w:hint="eastAsia" w:cs="Times New Roman"/>
        </w:rPr>
        <w:t>）应急预案和临时接管预案；（</w:t>
      </w:r>
      <w:r>
        <w:rPr>
          <w:rFonts w:cs="Times New Roman"/>
        </w:rPr>
        <w:t>13</w:t>
      </w:r>
      <w:r>
        <w:rPr>
          <w:rFonts w:hint="eastAsia" w:cs="Times New Roman"/>
        </w:rPr>
        <w:t>）特许经营期限届满后，项目及资产移交方式、程序和要求等；（</w:t>
      </w:r>
      <w:r>
        <w:rPr>
          <w:rFonts w:cs="Times New Roman"/>
        </w:rPr>
        <w:t>14</w:t>
      </w:r>
      <w:r>
        <w:rPr>
          <w:rFonts w:hint="eastAsia" w:cs="Times New Roman"/>
        </w:rPr>
        <w:t>）变更、提前终止及补偿；（</w:t>
      </w:r>
      <w:r>
        <w:rPr>
          <w:rFonts w:cs="Times New Roman"/>
        </w:rPr>
        <w:t>15</w:t>
      </w:r>
      <w:r>
        <w:rPr>
          <w:rFonts w:hint="eastAsia" w:cs="Times New Roman"/>
        </w:rPr>
        <w:t>）违约责任；（</w:t>
      </w:r>
      <w:r>
        <w:rPr>
          <w:rFonts w:cs="Times New Roman"/>
        </w:rPr>
        <w:t>16</w:t>
      </w:r>
      <w:r>
        <w:rPr>
          <w:rFonts w:hint="eastAsia" w:cs="Times New Roman"/>
        </w:rPr>
        <w:t>）争议解决方式；（</w:t>
      </w:r>
      <w:r>
        <w:rPr>
          <w:rFonts w:cs="Times New Roman"/>
        </w:rPr>
        <w:t>17</w:t>
      </w:r>
      <w:r>
        <w:rPr>
          <w:rFonts w:hint="eastAsia" w:cs="Times New Roman"/>
        </w:rPr>
        <w:t>）需要明确的其他事项。</w:t>
      </w:r>
    </w:p>
    <w:p>
      <w:pPr>
        <w:pStyle w:val="3"/>
        <w:ind w:firstLine="643" w:firstLineChars="200"/>
        <w:rPr>
          <w:rFonts w:cs="Times New Roman"/>
        </w:rPr>
      </w:pPr>
      <w:bookmarkStart w:id="95" w:name="_Toc148432373"/>
      <w:bookmarkStart w:id="96" w:name="_Toc97286456"/>
      <w:r>
        <w:rPr>
          <w:rFonts w:hint="eastAsia" w:cs="Times New Roman"/>
        </w:rPr>
        <w:t>二、合同体系构成</w:t>
      </w:r>
      <w:bookmarkEnd w:id="95"/>
      <w:bookmarkEnd w:id="96"/>
    </w:p>
    <w:p>
      <w:pPr>
        <w:ind w:firstLine="560"/>
        <w:rPr>
          <w:rFonts w:cs="Times New Roman"/>
        </w:rPr>
      </w:pPr>
      <w:r>
        <w:rPr>
          <w:rFonts w:hint="eastAsia" w:cs="Times New Roman"/>
        </w:rPr>
        <w:t>在特许经营项目中，项目参与方通过签订一系列合同来确立和调整彼此之间的权利义务关系，构成特许经营项目的合同体系。特许经营项目的合同通常包括特许经营协议、股东协议、履约合同（包括工程承包合同、运营服务合同、原料供应合同、产品或服务购买合同等）、融资合同和保险合同等。</w:t>
      </w:r>
    </w:p>
    <w:p>
      <w:pPr>
        <w:ind w:firstLine="560"/>
        <w:rPr>
          <w:rFonts w:cs="Times New Roman"/>
        </w:rPr>
      </w:pPr>
      <w:r>
        <w:rPr>
          <w:rFonts w:hint="eastAsia" w:cs="Times New Roman"/>
        </w:rPr>
        <w:t>在特许经营项目合同体系中，各个合同之间并非完全独立、互不影响，而是紧密衔接、相互贯通的，合同之间存在着一定的传导关系，了解特许经营项目的合同体系和各个合同之间的传导关系，有助于对特许经营项目合同进行更加全面准确地把握。</w:t>
      </w:r>
    </w:p>
    <w:p>
      <w:pPr>
        <w:ind w:firstLine="560"/>
        <w:rPr>
          <w:rFonts w:cs="Times New Roman"/>
        </w:rPr>
      </w:pPr>
      <w:r>
        <w:rPr>
          <w:rFonts w:hint="eastAsia" w:cs="Times New Roman"/>
        </w:rPr>
        <w:t>特许经营项目合同体系一般可分为两个层次：</w:t>
      </w:r>
    </w:p>
    <w:p>
      <w:pPr>
        <w:ind w:firstLine="560"/>
        <w:rPr>
          <w:rFonts w:cs="Times New Roman"/>
        </w:rPr>
      </w:pPr>
      <w:r>
        <w:rPr>
          <w:rFonts w:hint="eastAsia" w:cs="Times New Roman"/>
        </w:rPr>
        <w:t>第一层次</w:t>
      </w:r>
      <w:r>
        <w:rPr>
          <w:rFonts w:hint="eastAsia" w:cs="Times New Roman"/>
          <w:lang w:eastAsia="zh-Hans"/>
        </w:rPr>
        <w:t>主要</w:t>
      </w:r>
      <w:r>
        <w:rPr>
          <w:rFonts w:hint="eastAsia" w:cs="Times New Roman"/>
        </w:rPr>
        <w:t>为实施机构与项目公司之间签订的《特许经营协议》，以及项目公司股东之间签订的《股东协议》和《项目公司章程》共同构成的核心合同体系。其中，《特许经营协议》是</w:t>
      </w:r>
      <w:r>
        <w:rPr>
          <w:rFonts w:hint="eastAsia" w:cs="Times New Roman"/>
          <w:lang w:eastAsia="zh-Hans"/>
        </w:rPr>
        <w:t>本项目</w:t>
      </w:r>
      <w:r>
        <w:rPr>
          <w:rFonts w:hint="eastAsia" w:cs="Times New Roman"/>
        </w:rPr>
        <w:t>合同体系的基础和核心。</w:t>
      </w:r>
    </w:p>
    <w:p>
      <w:pPr>
        <w:ind w:firstLine="560"/>
        <w:rPr>
          <w:rFonts w:cs="Times New Roman"/>
        </w:rPr>
      </w:pPr>
      <w:r>
        <w:rPr>
          <w:rFonts w:hint="eastAsia" w:cs="Times New Roman"/>
        </w:rPr>
        <w:t>第二层次为项目公司和本项目推进过程中为保障项目履约与各有关主体签署的合同。包括项目公司与金融机构签署的《融资</w:t>
      </w:r>
      <w:r>
        <w:rPr>
          <w:rFonts w:cs="Times New Roman"/>
        </w:rPr>
        <w:t>/</w:t>
      </w:r>
      <w:r>
        <w:rPr>
          <w:rFonts w:hint="eastAsia" w:cs="Times New Roman"/>
        </w:rPr>
        <w:t>贷款合同》、与施工单位签署的《工程承包合同》、与设备供应商签署的《设备采购合同》、与保险机构之间签署的《保险合同》、与运营商签署的《委托运营合同》、与员工签署的《劳务合同》以及实施机构与监理机构签署的《工程监理合同》等。</w:t>
      </w:r>
    </w:p>
    <w:p>
      <w:pPr>
        <w:ind w:firstLine="560"/>
        <w:rPr>
          <w:rFonts w:cs="Times New Roman"/>
        </w:rPr>
      </w:pPr>
      <w:r>
        <w:rPr>
          <w:rFonts w:hint="eastAsia" w:cs="Times New Roman"/>
        </w:rPr>
        <w:t>特许经营项目合同体系图如下图所示：</w:t>
      </w:r>
    </w:p>
    <w:p>
      <w:pPr>
        <w:ind w:firstLine="0" w:firstLineChars="0"/>
        <w:jc w:val="center"/>
        <w:rPr>
          <w:rFonts w:cs="Times New Roman"/>
        </w:rPr>
      </w:pPr>
      <w:r>
        <w:rPr>
          <w:rFonts w:cs="Times New Roman"/>
        </w:rPr>
        <w:drawing>
          <wp:inline distT="0" distB="0" distL="0" distR="0">
            <wp:extent cx="5149850" cy="3239770"/>
            <wp:effectExtent l="0" t="0" r="0" b="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a:xfrm>
                      <a:off x="0" y="0"/>
                      <a:ext cx="5150157" cy="3240000"/>
                    </a:xfrm>
                    <a:prstGeom prst="rect">
                      <a:avLst/>
                    </a:prstGeom>
                    <a:noFill/>
                    <a:ln>
                      <a:noFill/>
                    </a:ln>
                  </pic:spPr>
                </pic:pic>
              </a:graphicData>
            </a:graphic>
          </wp:inline>
        </w:drawing>
      </w:r>
    </w:p>
    <w:p>
      <w:pPr>
        <w:pStyle w:val="44"/>
        <w:ind w:firstLine="0" w:firstLineChars="0"/>
        <w:jc w:val="center"/>
        <w:rPr>
          <w:rFonts w:ascii="仿宋" w:hAnsi="仿宋" w:eastAsia="仿宋"/>
          <w:b/>
          <w:sz w:val="24"/>
          <w:szCs w:val="24"/>
        </w:rPr>
      </w:pPr>
      <w:r>
        <w:rPr>
          <w:rFonts w:hint="eastAsia" w:ascii="仿宋" w:hAnsi="仿宋" w:eastAsia="仿宋"/>
          <w:b/>
          <w:bCs w:val="0"/>
          <w:sz w:val="24"/>
          <w:szCs w:val="24"/>
        </w:rPr>
        <w:t>图8</w:t>
      </w:r>
      <w:r>
        <w:rPr>
          <w:rFonts w:ascii="仿宋" w:hAnsi="仿宋" w:eastAsia="仿宋"/>
          <w:b/>
          <w:bCs w:val="0"/>
          <w:sz w:val="24"/>
          <w:szCs w:val="24"/>
        </w:rPr>
        <w:t>-1</w:t>
      </w:r>
      <w:r>
        <w:rPr>
          <w:rFonts w:hint="eastAsia" w:ascii="仿宋" w:hAnsi="仿宋" w:eastAsia="仿宋"/>
          <w:b/>
          <w:bCs w:val="0"/>
          <w:sz w:val="24"/>
          <w:szCs w:val="24"/>
        </w:rPr>
        <w:t>特许经营项目合同体系</w:t>
      </w:r>
    </w:p>
    <w:p>
      <w:pPr>
        <w:pStyle w:val="3"/>
        <w:ind w:firstLine="643" w:firstLineChars="200"/>
        <w:rPr>
          <w:rFonts w:cs="Times New Roman"/>
        </w:rPr>
      </w:pPr>
      <w:bookmarkStart w:id="97" w:name="_Toc97286457"/>
      <w:bookmarkStart w:id="98" w:name="_Toc148432374"/>
      <w:r>
        <w:rPr>
          <w:rFonts w:hint="eastAsia" w:cs="Times New Roman"/>
        </w:rPr>
        <w:t>三、协议核心边界条件</w:t>
      </w:r>
      <w:bookmarkEnd w:id="97"/>
      <w:bookmarkEnd w:id="98"/>
    </w:p>
    <w:p>
      <w:pPr>
        <w:pStyle w:val="4"/>
        <w:ind w:firstLine="562"/>
        <w:rPr>
          <w:rFonts w:cs="Times New Roman"/>
        </w:rPr>
      </w:pPr>
      <w:r>
        <w:rPr>
          <w:rFonts w:hint="eastAsia" w:cs="Times New Roman"/>
        </w:rPr>
        <w:t>（一）权</w:t>
      </w:r>
      <w:r>
        <w:rPr>
          <w:rFonts w:hint="eastAsia" w:cs="Times New Roman"/>
          <w:lang w:eastAsia="zh-Hans"/>
        </w:rPr>
        <w:t>利</w:t>
      </w:r>
      <w:r>
        <w:rPr>
          <w:rFonts w:hint="eastAsia" w:cs="Times New Roman"/>
        </w:rPr>
        <w:t>义务边界</w:t>
      </w:r>
    </w:p>
    <w:p>
      <w:pPr>
        <w:pStyle w:val="5"/>
        <w:ind w:firstLine="562"/>
        <w:rPr>
          <w:rFonts w:cs="Times New Roman"/>
        </w:rPr>
      </w:pPr>
      <w:r>
        <w:rPr>
          <w:rFonts w:cs="Times New Roman"/>
        </w:rPr>
        <w:t>1.</w:t>
      </w:r>
      <w:r>
        <w:rPr>
          <w:rFonts w:hint="eastAsia" w:cs="Times New Roman"/>
        </w:rPr>
        <w:t>政府方的主要权利与义务</w:t>
      </w:r>
    </w:p>
    <w:p>
      <w:pPr>
        <w:pStyle w:val="6"/>
        <w:ind w:firstLine="562"/>
        <w:rPr>
          <w:rFonts w:cs="Times New Roman"/>
        </w:rPr>
      </w:pPr>
      <w:r>
        <w:rPr>
          <w:rFonts w:hint="eastAsia" w:cs="Times New Roman"/>
        </w:rPr>
        <w:t>（</w:t>
      </w:r>
      <w:r>
        <w:rPr>
          <w:rFonts w:cs="Times New Roman"/>
        </w:rPr>
        <w:t>1</w:t>
      </w:r>
      <w:r>
        <w:rPr>
          <w:rFonts w:hint="eastAsia" w:cs="Times New Roman"/>
        </w:rPr>
        <w:t>）主要权利</w:t>
      </w:r>
    </w:p>
    <w:p>
      <w:pPr>
        <w:ind w:firstLine="560"/>
        <w:rPr>
          <w:rFonts w:cs="Times New Roman"/>
        </w:rPr>
      </w:pPr>
      <w:r>
        <w:rPr>
          <w:rFonts w:hint="eastAsia" w:ascii="宋体" w:hAnsi="宋体" w:eastAsia="宋体" w:cs="宋体"/>
        </w:rPr>
        <w:t>①</w:t>
      </w:r>
      <w:r>
        <w:rPr>
          <w:rFonts w:hint="eastAsia" w:cs="Times New Roman"/>
        </w:rPr>
        <w:t>按照相关法律政策的要求及《特许经营协议》约定，对本项目投资、建设、运营维护、移交等全过程进行监督、指导和检查的权利；</w:t>
      </w:r>
    </w:p>
    <w:p>
      <w:pPr>
        <w:ind w:firstLine="560"/>
        <w:rPr>
          <w:rFonts w:cs="Times New Roman"/>
        </w:rPr>
      </w:pPr>
      <w:r>
        <w:rPr>
          <w:rFonts w:hint="eastAsia" w:ascii="宋体" w:hAnsi="宋体" w:eastAsia="宋体" w:cs="宋体"/>
        </w:rPr>
        <w:t>②</w:t>
      </w:r>
      <w:r>
        <w:rPr>
          <w:rFonts w:hint="eastAsia" w:cs="Times New Roman"/>
        </w:rPr>
        <w:t>要求社会资本方提交运营和维护记录，并监督项目设施的运营、维护状况；</w:t>
      </w:r>
    </w:p>
    <w:p>
      <w:pPr>
        <w:ind w:firstLine="560"/>
        <w:rPr>
          <w:rFonts w:cs="Times New Roman"/>
        </w:rPr>
      </w:pPr>
      <w:r>
        <w:rPr>
          <w:rFonts w:hint="eastAsia" w:ascii="宋体" w:hAnsi="宋体" w:eastAsia="宋体" w:cs="宋体"/>
        </w:rPr>
        <w:t>③</w:t>
      </w:r>
      <w:r>
        <w:rPr>
          <w:rFonts w:hint="eastAsia" w:cs="Times New Roman"/>
        </w:rPr>
        <w:t>委托第三方判定是否需对项目设施进行中大修、更新重置或升级改造，若需要则由社会资本方负责执行；</w:t>
      </w:r>
    </w:p>
    <w:p>
      <w:pPr>
        <w:ind w:firstLine="560"/>
        <w:rPr>
          <w:rFonts w:cs="Times New Roman"/>
        </w:rPr>
      </w:pPr>
      <w:r>
        <w:rPr>
          <w:rFonts w:hint="eastAsia" w:cs="Times New Roman"/>
        </w:rPr>
        <w:t>④若政府方认为有需要，则可以委托有资质的中介机构对项目开展必要的审计工作；</w:t>
      </w:r>
    </w:p>
    <w:p>
      <w:pPr>
        <w:ind w:firstLine="560"/>
        <w:rPr>
          <w:rFonts w:cs="Times New Roman"/>
        </w:rPr>
      </w:pPr>
      <w:r>
        <w:rPr>
          <w:rFonts w:hint="eastAsia" w:ascii="宋体" w:hAnsi="宋体" w:eastAsia="宋体" w:cs="宋体"/>
        </w:rPr>
        <w:t>⑤</w:t>
      </w:r>
      <w:r>
        <w:rPr>
          <w:rFonts w:hint="eastAsia" w:cs="Times New Roman"/>
        </w:rPr>
        <w:t>依据《特许经营协议》约定在社会资本或社会资本方不履行约定义务或发生紧急事件时，实施对项目的临时接管，暂代社会资本方运营维护本项目；</w:t>
      </w:r>
    </w:p>
    <w:p>
      <w:pPr>
        <w:ind w:firstLine="560"/>
        <w:rPr>
          <w:rFonts w:cs="Times New Roman"/>
        </w:rPr>
      </w:pPr>
      <w:r>
        <w:rPr>
          <w:rFonts w:hint="eastAsia" w:ascii="宋体" w:hAnsi="宋体" w:eastAsia="宋体" w:cs="宋体"/>
        </w:rPr>
        <w:t>⑥</w:t>
      </w:r>
      <w:r>
        <w:rPr>
          <w:rFonts w:hint="eastAsia" w:cs="Times New Roman"/>
        </w:rPr>
        <w:t>发生社会资本方整改或违约的情况时，要求社会资本方限期纠正、提取履约保函或向社会资本方收取违约金、提前终止（收回特许经营权）或采取《特许经营协议》规定的其他措施；</w:t>
      </w:r>
    </w:p>
    <w:p>
      <w:pPr>
        <w:ind w:firstLine="560"/>
        <w:rPr>
          <w:rFonts w:cs="Times New Roman"/>
        </w:rPr>
      </w:pPr>
      <w:r>
        <w:rPr>
          <w:rFonts w:hint="eastAsia" w:ascii="宋体" w:hAnsi="宋体" w:eastAsia="宋体" w:cs="宋体"/>
        </w:rPr>
        <w:t>⑦</w:t>
      </w:r>
      <w:r>
        <w:rPr>
          <w:rFonts w:hint="eastAsia" w:cs="Times New Roman"/>
        </w:rPr>
        <w:t>对社会资本方签署的项目有关合同文件进行监督、抽查和审核；</w:t>
      </w:r>
    </w:p>
    <w:p>
      <w:pPr>
        <w:ind w:firstLine="560"/>
        <w:rPr>
          <w:rFonts w:cs="Times New Roman"/>
        </w:rPr>
      </w:pPr>
      <w:r>
        <w:rPr>
          <w:rFonts w:hint="eastAsia" w:ascii="宋体" w:hAnsi="宋体" w:eastAsia="宋体" w:cs="宋体"/>
        </w:rPr>
        <w:t>⑧</w:t>
      </w:r>
      <w:r>
        <w:rPr>
          <w:rFonts w:hint="eastAsia" w:cs="Times New Roman"/>
        </w:rPr>
        <w:t>制定本项目绩效考核办法，并据此对项目运营维护和移交进行绩效考核；</w:t>
      </w:r>
    </w:p>
    <w:p>
      <w:pPr>
        <w:ind w:firstLine="560"/>
        <w:rPr>
          <w:rFonts w:cs="Times New Roman"/>
        </w:rPr>
      </w:pPr>
      <w:r>
        <w:rPr>
          <w:rFonts w:hint="eastAsia" w:ascii="宋体" w:hAnsi="宋体" w:eastAsia="宋体" w:cs="宋体"/>
        </w:rPr>
        <w:t>⑨</w:t>
      </w:r>
      <w:r>
        <w:rPr>
          <w:rFonts w:hint="eastAsia" w:cs="Times New Roman"/>
        </w:rPr>
        <w:t>项目合作期满时，根据《特许经营协议》约定无偿收回项目经营权并接收本项目全部资产；</w:t>
      </w:r>
    </w:p>
    <w:p>
      <w:pPr>
        <w:ind w:firstLine="560"/>
        <w:rPr>
          <w:rFonts w:cs="Times New Roman"/>
        </w:rPr>
      </w:pPr>
      <w:r>
        <w:rPr>
          <w:rFonts w:hint="eastAsia" w:ascii="宋体" w:hAnsi="宋体" w:eastAsia="宋体" w:cs="宋体"/>
        </w:rPr>
        <w:t>⑩</w:t>
      </w:r>
      <w:r>
        <w:rPr>
          <w:rFonts w:hint="eastAsia" w:cs="Times New Roman"/>
        </w:rPr>
        <w:t>行使法律、法规及《特许经营协议》赋予的其他权利。</w:t>
      </w:r>
    </w:p>
    <w:p>
      <w:pPr>
        <w:pStyle w:val="6"/>
        <w:ind w:firstLine="562"/>
        <w:rPr>
          <w:rFonts w:cs="Times New Roman"/>
        </w:rPr>
      </w:pPr>
      <w:r>
        <w:rPr>
          <w:rFonts w:hint="eastAsia" w:cs="Times New Roman"/>
        </w:rPr>
        <w:t>（</w:t>
      </w:r>
      <w:r>
        <w:rPr>
          <w:rFonts w:cs="Times New Roman"/>
        </w:rPr>
        <w:t>2</w:t>
      </w:r>
      <w:r>
        <w:rPr>
          <w:rFonts w:hint="eastAsia" w:cs="Times New Roman"/>
        </w:rPr>
        <w:t>）主要义务</w:t>
      </w:r>
    </w:p>
    <w:p>
      <w:pPr>
        <w:ind w:firstLine="560"/>
        <w:rPr>
          <w:rFonts w:cs="Times New Roman"/>
        </w:rPr>
      </w:pPr>
      <w:r>
        <w:rPr>
          <w:rFonts w:hint="eastAsia" w:ascii="宋体" w:hAnsi="宋体" w:eastAsia="宋体" w:cs="宋体"/>
        </w:rPr>
        <w:t>①</w:t>
      </w:r>
      <w:r>
        <w:rPr>
          <w:rFonts w:hint="eastAsia" w:cs="Times New Roman"/>
        </w:rPr>
        <w:t>协调社会资本方与其他政府部门间的关系，协助推进项目全生命周期各项行政审批手续的申报和审批工作；</w:t>
      </w:r>
    </w:p>
    <w:p>
      <w:pPr>
        <w:ind w:firstLine="560"/>
        <w:rPr>
          <w:rFonts w:cs="Times New Roman"/>
        </w:rPr>
      </w:pPr>
      <w:r>
        <w:rPr>
          <w:rFonts w:hint="eastAsia" w:ascii="宋体" w:hAnsi="宋体" w:eastAsia="宋体" w:cs="宋体"/>
        </w:rPr>
        <w:t>②</w:t>
      </w:r>
      <w:r>
        <w:rPr>
          <w:rFonts w:hint="eastAsia" w:cs="Times New Roman"/>
        </w:rPr>
        <w:t>按照《特许经营协议》约定，定期对项目建设运营情况进行监测分析，会同有关部门进行绩效评价，根据协议约定和评价结果支付相关补助费用；</w:t>
      </w:r>
    </w:p>
    <w:p>
      <w:pPr>
        <w:ind w:firstLine="560"/>
        <w:rPr>
          <w:rFonts w:cs="Times New Roman"/>
        </w:rPr>
      </w:pPr>
      <w:r>
        <w:rPr>
          <w:rFonts w:hint="eastAsia" w:ascii="宋体" w:hAnsi="宋体" w:eastAsia="宋体" w:cs="宋体"/>
        </w:rPr>
        <w:t>③</w:t>
      </w:r>
      <w:r>
        <w:rPr>
          <w:rFonts w:hint="eastAsia" w:cs="Times New Roman"/>
        </w:rPr>
        <w:t>将政府方的支出责任纳入中期财政规划，在付费年度就该支出纳入预算并取得人大批准；</w:t>
      </w:r>
    </w:p>
    <w:p>
      <w:pPr>
        <w:ind w:firstLine="560"/>
        <w:rPr>
          <w:rFonts w:cs="Times New Roman"/>
        </w:rPr>
      </w:pPr>
      <w:r>
        <w:rPr>
          <w:rFonts w:hint="eastAsia" w:ascii="宋体" w:hAnsi="宋体" w:eastAsia="宋体" w:cs="宋体"/>
        </w:rPr>
        <w:t>④</w:t>
      </w:r>
      <w:r>
        <w:rPr>
          <w:rFonts w:hint="eastAsia" w:cs="Times New Roman"/>
        </w:rPr>
        <w:t>在社会资本方因不可抗力等原因确实无法继续履行项目合同时，应当采取措施，保证持续稳定提供公共产品或公共服务；</w:t>
      </w:r>
    </w:p>
    <w:p>
      <w:pPr>
        <w:ind w:firstLine="560"/>
        <w:rPr>
          <w:rFonts w:cs="Times New Roman"/>
        </w:rPr>
      </w:pPr>
      <w:r>
        <w:rPr>
          <w:rFonts w:hint="eastAsia" w:ascii="宋体" w:hAnsi="宋体" w:eastAsia="宋体" w:cs="宋体"/>
        </w:rPr>
        <w:t>⑤</w:t>
      </w:r>
      <w:r>
        <w:rPr>
          <w:rFonts w:hint="eastAsia" w:cs="Times New Roman"/>
        </w:rPr>
        <w:t>在合作期内，若可能出现相关税费优惠，协助（但不确保）社会资本方享有此类优惠；</w:t>
      </w:r>
    </w:p>
    <w:p>
      <w:pPr>
        <w:ind w:firstLine="560"/>
        <w:rPr>
          <w:rFonts w:cs="Times New Roman"/>
        </w:rPr>
      </w:pPr>
      <w:r>
        <w:rPr>
          <w:rFonts w:hint="eastAsia" w:ascii="宋体" w:hAnsi="宋体" w:eastAsia="宋体" w:cs="宋体"/>
        </w:rPr>
        <w:t>⑥</w:t>
      </w:r>
      <w:r>
        <w:rPr>
          <w:rFonts w:hint="eastAsia" w:cs="Times New Roman"/>
        </w:rPr>
        <w:t>履行法律、法规及《特许经营协议》规定的其他义务。</w:t>
      </w:r>
    </w:p>
    <w:p>
      <w:pPr>
        <w:pStyle w:val="5"/>
        <w:ind w:firstLine="562"/>
        <w:rPr>
          <w:rFonts w:cs="Times New Roman"/>
        </w:rPr>
      </w:pPr>
      <w:r>
        <w:rPr>
          <w:rFonts w:cs="Times New Roman"/>
        </w:rPr>
        <w:t>2.</w:t>
      </w:r>
      <w:r>
        <w:rPr>
          <w:rFonts w:hint="eastAsia" w:cs="Times New Roman"/>
        </w:rPr>
        <w:t>项目公司的主要权利与义务</w:t>
      </w:r>
    </w:p>
    <w:p>
      <w:pPr>
        <w:pStyle w:val="6"/>
        <w:ind w:firstLine="562"/>
      </w:pPr>
      <w:r>
        <w:rPr>
          <w:rFonts w:hint="eastAsia" w:cs="Times New Roman"/>
        </w:rPr>
        <w:t>（</w:t>
      </w:r>
      <w:r>
        <w:rPr>
          <w:rFonts w:cs="Times New Roman"/>
        </w:rPr>
        <w:t>1</w:t>
      </w:r>
      <w:r>
        <w:rPr>
          <w:rFonts w:hint="eastAsia" w:cs="Times New Roman"/>
        </w:rPr>
        <w:t>）主要权</w:t>
      </w:r>
      <w:r>
        <w:rPr>
          <w:rFonts w:hint="eastAsia" w:cs="Times New Roman"/>
          <w:lang w:eastAsia="zh-Hans"/>
        </w:rPr>
        <w:t>利</w:t>
      </w:r>
    </w:p>
    <w:p>
      <w:pPr>
        <w:ind w:firstLine="560"/>
        <w:rPr>
          <w:rFonts w:cs="Times New Roman"/>
        </w:rPr>
      </w:pPr>
      <w:r>
        <w:rPr>
          <w:rFonts w:hint="eastAsia" w:ascii="宋体" w:hAnsi="宋体" w:eastAsia="宋体" w:cs="宋体"/>
        </w:rPr>
        <w:t>①</w:t>
      </w:r>
      <w:r>
        <w:rPr>
          <w:rFonts w:hint="eastAsia" w:cs="Times New Roman"/>
        </w:rPr>
        <w:t>按照《特许经营协议》的约定，排他且独占享有本项目经营权，承担投资（如有）、运营、维护、管理、服务等一体化工作；</w:t>
      </w:r>
    </w:p>
    <w:p>
      <w:pPr>
        <w:ind w:firstLine="560"/>
        <w:rPr>
          <w:rFonts w:cs="Times New Roman"/>
        </w:rPr>
      </w:pPr>
      <w:r>
        <w:rPr>
          <w:rFonts w:hint="eastAsia" w:ascii="宋体" w:hAnsi="宋体" w:eastAsia="宋体" w:cs="宋体"/>
        </w:rPr>
        <w:t>②</w:t>
      </w:r>
      <w:r>
        <w:rPr>
          <w:rFonts w:hint="eastAsia" w:cs="Times New Roman"/>
        </w:rPr>
        <w:t>按照《特许经营协议》的约定，获得可行性缺口补助的权利；</w:t>
      </w:r>
    </w:p>
    <w:p>
      <w:pPr>
        <w:ind w:firstLine="560"/>
        <w:rPr>
          <w:rFonts w:cs="Times New Roman"/>
        </w:rPr>
      </w:pPr>
      <w:r>
        <w:rPr>
          <w:rFonts w:hint="eastAsia" w:ascii="宋体" w:hAnsi="宋体" w:eastAsia="宋体" w:cs="宋体"/>
        </w:rPr>
        <w:t>③</w:t>
      </w:r>
      <w:r>
        <w:rPr>
          <w:rFonts w:hint="eastAsia" w:cs="Times New Roman"/>
        </w:rPr>
        <w:t>根据《特许经营协议》的约定，并在合作期内利用项目设施提供服务并获得灌溉收入的权利；</w:t>
      </w:r>
    </w:p>
    <w:p>
      <w:pPr>
        <w:ind w:firstLine="560"/>
        <w:rPr>
          <w:rFonts w:cs="Times New Roman"/>
        </w:rPr>
      </w:pPr>
      <w:r>
        <w:rPr>
          <w:rFonts w:hint="eastAsia" w:ascii="宋体" w:hAnsi="宋体" w:eastAsia="宋体" w:cs="宋体"/>
        </w:rPr>
        <w:t>④</w:t>
      </w:r>
      <w:r>
        <w:rPr>
          <w:rFonts w:hint="eastAsia" w:cs="Times New Roman"/>
        </w:rPr>
        <w:t>经政府方同意、以本项目融资为目的，项目公司（社会资本）将其《特许经营协议》下的资产经营权、预期收益权设置担保权益；</w:t>
      </w:r>
    </w:p>
    <w:p>
      <w:pPr>
        <w:ind w:firstLine="560"/>
        <w:rPr>
          <w:rFonts w:cs="Times New Roman"/>
        </w:rPr>
      </w:pPr>
      <w:r>
        <w:rPr>
          <w:rFonts w:hint="eastAsia" w:ascii="宋体" w:hAnsi="宋体" w:eastAsia="宋体" w:cs="宋体"/>
        </w:rPr>
        <w:t>⑤</w:t>
      </w:r>
      <w:r>
        <w:rPr>
          <w:rFonts w:hint="eastAsia" w:cs="Times New Roman"/>
        </w:rPr>
        <w:t>经政府方同意，可创新项目融资结构，引入保险资金、特许经营引导基金等，并可通过发行债券、资产证券化、</w:t>
      </w:r>
      <w:r>
        <w:rPr>
          <w:rFonts w:cs="Times New Roman"/>
        </w:rPr>
        <w:t>REITs</w:t>
      </w:r>
      <w:r>
        <w:rPr>
          <w:rFonts w:hint="eastAsia" w:cs="Times New Roman"/>
        </w:rPr>
        <w:t>等方式提高项目可融资性；</w:t>
      </w:r>
    </w:p>
    <w:p>
      <w:pPr>
        <w:ind w:firstLine="560"/>
        <w:rPr>
          <w:rFonts w:cs="Times New Roman"/>
        </w:rPr>
      </w:pPr>
      <w:r>
        <w:rPr>
          <w:rFonts w:hint="eastAsia" w:ascii="宋体" w:hAnsi="宋体" w:eastAsia="宋体" w:cs="宋体"/>
        </w:rPr>
        <w:t>⑥</w:t>
      </w:r>
      <w:r>
        <w:rPr>
          <w:rFonts w:hint="eastAsia" w:cs="Times New Roman"/>
        </w:rPr>
        <w:t>政府方严重违约的情况下，要求提前终止合作并根据《特许经营协议》约定获得相应补偿的权利；</w:t>
      </w:r>
    </w:p>
    <w:p>
      <w:pPr>
        <w:ind w:firstLine="560"/>
        <w:rPr>
          <w:rFonts w:cs="Times New Roman"/>
        </w:rPr>
      </w:pPr>
      <w:r>
        <w:rPr>
          <w:rFonts w:hint="eastAsia" w:ascii="宋体" w:hAnsi="宋体" w:eastAsia="宋体" w:cs="宋体"/>
        </w:rPr>
        <w:t>⑦</w:t>
      </w:r>
      <w:r>
        <w:rPr>
          <w:rFonts w:hint="eastAsia" w:cs="Times New Roman"/>
        </w:rPr>
        <w:t>行使法律、法规及《特许经营协议》赋予的其他权利。</w:t>
      </w:r>
    </w:p>
    <w:p>
      <w:pPr>
        <w:pStyle w:val="6"/>
        <w:ind w:firstLine="562"/>
        <w:rPr>
          <w:rFonts w:cs="Times New Roman"/>
        </w:rPr>
      </w:pPr>
      <w:r>
        <w:rPr>
          <w:rFonts w:hint="eastAsia" w:cs="Times New Roman"/>
        </w:rPr>
        <w:t>（</w:t>
      </w:r>
      <w:r>
        <w:rPr>
          <w:rFonts w:cs="Times New Roman"/>
        </w:rPr>
        <w:t>2</w:t>
      </w:r>
      <w:r>
        <w:rPr>
          <w:rFonts w:hint="eastAsia" w:cs="Times New Roman"/>
        </w:rPr>
        <w:t>）主要义务</w:t>
      </w:r>
    </w:p>
    <w:p>
      <w:pPr>
        <w:ind w:firstLine="560"/>
        <w:rPr>
          <w:rFonts w:cs="Times New Roman"/>
        </w:rPr>
      </w:pPr>
      <w:r>
        <w:rPr>
          <w:rFonts w:hint="eastAsia" w:ascii="宋体" w:hAnsi="宋体" w:eastAsia="宋体" w:cs="宋体"/>
        </w:rPr>
        <w:t>①</w:t>
      </w:r>
      <w:r>
        <w:rPr>
          <w:rFonts w:hint="eastAsia" w:cs="Times New Roman"/>
        </w:rPr>
        <w:t>承继实施机构交接的前期相关工作（包括与第三方签署的合同等），按适用法律、法规及规章的要求及时办理项目尚未完成的前期行政审批手续，并承担相应费用；</w:t>
      </w:r>
    </w:p>
    <w:p>
      <w:pPr>
        <w:ind w:firstLine="560"/>
        <w:rPr>
          <w:rFonts w:cs="Times New Roman"/>
        </w:rPr>
      </w:pPr>
      <w:r>
        <w:rPr>
          <w:rFonts w:hint="eastAsia" w:ascii="宋体" w:hAnsi="宋体" w:eastAsia="宋体" w:cs="宋体"/>
        </w:rPr>
        <w:t>②</w:t>
      </w:r>
      <w:r>
        <w:rPr>
          <w:rFonts w:hint="eastAsia" w:cs="Times New Roman"/>
        </w:rPr>
        <w:t>如有需要，负责筹措本项目新增投资需求的资本金和债务性融资，确保融资交割按时、顺利完成；</w:t>
      </w:r>
    </w:p>
    <w:p>
      <w:pPr>
        <w:ind w:firstLine="560"/>
        <w:rPr>
          <w:rFonts w:cs="Times New Roman"/>
        </w:rPr>
      </w:pPr>
      <w:r>
        <w:rPr>
          <w:rFonts w:hint="eastAsia" w:ascii="宋体" w:hAnsi="宋体" w:eastAsia="宋体" w:cs="宋体"/>
        </w:rPr>
        <w:t>③</w:t>
      </w:r>
      <w:r>
        <w:rPr>
          <w:rFonts w:hint="eastAsia" w:cs="Times New Roman"/>
        </w:rPr>
        <w:t>运营期内，根据《特许经营协议》的规定，自行承担费用、责任和风险，负责本项目的运营、维护管理和服务工作，提交运营期履约保函并购买运营期保险；向灌区用水户提供符合水量要求的供水服务，保障正常供水，落实相应人员，做好水源巡查、工程运行管理、水量检测和维修养护工作，持续稳定地提供符合《特许经营协议》约定标准的服务；</w:t>
      </w:r>
    </w:p>
    <w:p>
      <w:pPr>
        <w:ind w:firstLine="560"/>
        <w:rPr>
          <w:rFonts w:cs="Times New Roman"/>
        </w:rPr>
      </w:pPr>
      <w:r>
        <w:rPr>
          <w:rFonts w:hint="eastAsia" w:ascii="宋体" w:hAnsi="宋体" w:eastAsia="宋体" w:cs="宋体"/>
        </w:rPr>
        <w:t>④</w:t>
      </w:r>
      <w:r>
        <w:rPr>
          <w:rFonts w:hint="eastAsia" w:cs="Times New Roman"/>
        </w:rPr>
        <w:t>在本项目运营维护期内，项目公司应确保项目设施的技术指标符合双方签署的《特许经营协议》及其附件的相关约定，合理控制运营维护成本，提高产出效率；</w:t>
      </w:r>
    </w:p>
    <w:p>
      <w:pPr>
        <w:ind w:firstLine="560"/>
        <w:rPr>
          <w:rFonts w:cs="Times New Roman"/>
        </w:rPr>
      </w:pPr>
      <w:r>
        <w:rPr>
          <w:rFonts w:hint="eastAsia" w:ascii="宋体" w:hAnsi="宋体" w:eastAsia="宋体" w:cs="宋体"/>
        </w:rPr>
        <w:t>⑤</w:t>
      </w:r>
      <w:r>
        <w:rPr>
          <w:rFonts w:hint="eastAsia" w:cs="Times New Roman"/>
        </w:rPr>
        <w:t>根据《特许经营协议》的规定，在发生紧急事件或项目公司不履行约定义务的情况下，接受政府方实施的临时接管，并提供协助；</w:t>
      </w:r>
    </w:p>
    <w:p>
      <w:pPr>
        <w:ind w:firstLine="560"/>
        <w:rPr>
          <w:rFonts w:cs="Times New Roman"/>
        </w:rPr>
      </w:pPr>
      <w:r>
        <w:rPr>
          <w:rFonts w:hint="eastAsia" w:ascii="宋体" w:hAnsi="宋体" w:eastAsia="宋体" w:cs="宋体"/>
        </w:rPr>
        <w:t>⑥</w:t>
      </w:r>
      <w:r>
        <w:rPr>
          <w:rFonts w:hint="eastAsia" w:cs="Times New Roman"/>
        </w:rPr>
        <w:t>接受和配合政府方及其他有关部门对项目运营的监督管理工作，按照政府方要求对项目进行限期整改；整改不到位或构成违约的，按规定补齐履约保函或支付违约金；</w:t>
      </w:r>
    </w:p>
    <w:p>
      <w:pPr>
        <w:ind w:firstLine="560"/>
        <w:rPr>
          <w:rFonts w:cs="Times New Roman"/>
        </w:rPr>
      </w:pPr>
      <w:r>
        <w:rPr>
          <w:rFonts w:hint="eastAsia" w:ascii="宋体" w:hAnsi="宋体" w:eastAsia="宋体" w:cs="宋体"/>
        </w:rPr>
        <w:t>⑦</w:t>
      </w:r>
      <w:r>
        <w:rPr>
          <w:rFonts w:hint="eastAsia" w:cs="Times New Roman"/>
        </w:rPr>
        <w:t>应遵守有关公共卫生和安全的适用法律及《特许经营协议》的规定，履行公共安全和保护环境的责任；</w:t>
      </w:r>
    </w:p>
    <w:p>
      <w:pPr>
        <w:ind w:firstLine="560"/>
        <w:rPr>
          <w:rFonts w:cs="Times New Roman"/>
        </w:rPr>
      </w:pPr>
      <w:r>
        <w:rPr>
          <w:rFonts w:hint="eastAsia" w:ascii="宋体" w:hAnsi="宋体" w:eastAsia="宋体" w:cs="宋体"/>
        </w:rPr>
        <w:t>⑧</w:t>
      </w:r>
      <w:r>
        <w:rPr>
          <w:rFonts w:hint="eastAsia" w:cs="Times New Roman"/>
        </w:rPr>
        <w:t>项目合作期届满后，将项目无偿、完好、无债务、不设定担保地移交给政府或其指定机构；</w:t>
      </w:r>
    </w:p>
    <w:p>
      <w:pPr>
        <w:ind w:firstLine="560"/>
        <w:rPr>
          <w:rFonts w:cs="Times New Roman"/>
        </w:rPr>
      </w:pPr>
      <w:r>
        <w:rPr>
          <w:rFonts w:hint="eastAsia" w:ascii="宋体" w:hAnsi="宋体" w:eastAsia="宋体" w:cs="宋体"/>
        </w:rPr>
        <w:t>⑨</w:t>
      </w:r>
      <w:r>
        <w:rPr>
          <w:rFonts w:hint="eastAsia" w:cs="Times New Roman"/>
        </w:rPr>
        <w:t>履行法律、法规及《特许经营协议》规定的其他义务。</w:t>
      </w:r>
    </w:p>
    <w:p>
      <w:pPr>
        <w:pStyle w:val="5"/>
        <w:ind w:firstLine="562"/>
      </w:pPr>
      <w:r>
        <w:rPr>
          <w:rFonts w:hint="eastAsia"/>
        </w:rPr>
        <w:t>3.社会资本方的主要权利与义务</w:t>
      </w:r>
    </w:p>
    <w:p>
      <w:pPr>
        <w:pStyle w:val="6"/>
        <w:ind w:firstLine="562"/>
      </w:pPr>
      <w:r>
        <w:rPr>
          <w:rFonts w:hint="eastAsia"/>
        </w:rPr>
        <w:t>（1）主要权利</w:t>
      </w:r>
    </w:p>
    <w:p>
      <w:pPr>
        <w:ind w:firstLine="560"/>
      </w:pPr>
      <w:r>
        <w:rPr>
          <w:rFonts w:hint="eastAsia"/>
        </w:rPr>
        <w:t>①</w:t>
      </w:r>
      <w:r>
        <w:t>参与项目公司经营管理，选派项目公司董事会、监事会、经营管理层人员；</w:t>
      </w:r>
    </w:p>
    <w:p>
      <w:pPr>
        <w:ind w:firstLine="560"/>
      </w:pPr>
      <w:r>
        <w:rPr>
          <w:rFonts w:hint="eastAsia"/>
        </w:rPr>
        <w:t>②</w:t>
      </w:r>
      <w:r>
        <w:t>有权按照《公司法》和《项目公司章程》要求参与利润分配；</w:t>
      </w:r>
    </w:p>
    <w:p>
      <w:pPr>
        <w:ind w:firstLine="560"/>
      </w:pPr>
      <w:r>
        <w:rPr>
          <w:rFonts w:hint="eastAsia"/>
        </w:rPr>
        <w:t>③</w:t>
      </w:r>
      <w:r>
        <w:t>行使法律、法规及《特许经营协议》赋予的其他权利。</w:t>
      </w:r>
    </w:p>
    <w:p>
      <w:pPr>
        <w:pStyle w:val="6"/>
        <w:ind w:firstLine="562"/>
      </w:pPr>
      <w:r>
        <w:rPr>
          <w:rFonts w:hint="eastAsia"/>
        </w:rPr>
        <w:t>（2）主要义务</w:t>
      </w:r>
    </w:p>
    <w:p>
      <w:pPr>
        <w:ind w:firstLine="560"/>
      </w:pPr>
      <w:r>
        <w:rPr>
          <w:rFonts w:hint="eastAsia"/>
        </w:rPr>
        <w:t>①</w:t>
      </w:r>
      <w:r>
        <w:t>按《特许经营协议》约定按时缴纳项目公司注册资本，确保应投入的项目资本金按期足额到位；</w:t>
      </w:r>
    </w:p>
    <w:p>
      <w:pPr>
        <w:ind w:firstLine="560"/>
      </w:pPr>
      <w:r>
        <w:rPr>
          <w:rFonts w:hint="eastAsia"/>
        </w:rPr>
        <w:t>②</w:t>
      </w:r>
      <w:r>
        <w:t>按照《股东协议》约定时间和持股比例及时出资到位，成立项目公司，在项目公司融资不足的情况下确保缺口资金到位；</w:t>
      </w:r>
    </w:p>
    <w:p>
      <w:pPr>
        <w:ind w:firstLine="560"/>
        <w:rPr>
          <w:rFonts w:cs="Times New Roman"/>
        </w:rPr>
      </w:pPr>
      <w:r>
        <w:rPr>
          <w:rFonts w:hint="eastAsia"/>
        </w:rPr>
        <w:t>③</w:t>
      </w:r>
      <w:r>
        <w:t>履行法律、法规及《特许经营协议》规定的其他义务。</w:t>
      </w:r>
    </w:p>
    <w:p>
      <w:pPr>
        <w:pStyle w:val="4"/>
        <w:ind w:firstLine="562"/>
        <w:rPr>
          <w:rFonts w:cs="Times New Roman"/>
        </w:rPr>
      </w:pPr>
      <w:bookmarkStart w:id="99" w:name="_Toc88582231"/>
      <w:bookmarkStart w:id="100" w:name="_Toc86926654"/>
      <w:bookmarkStart w:id="101" w:name="_Toc88385925"/>
      <w:r>
        <w:rPr>
          <w:rFonts w:hint="eastAsia" w:cs="Times New Roman"/>
        </w:rPr>
        <w:t>（二）交易条件边界</w:t>
      </w:r>
      <w:bookmarkEnd w:id="99"/>
      <w:bookmarkEnd w:id="100"/>
      <w:bookmarkEnd w:id="101"/>
    </w:p>
    <w:p>
      <w:pPr>
        <w:ind w:firstLine="562"/>
        <w:outlineLvl w:val="3"/>
        <w:rPr>
          <w:b/>
        </w:rPr>
      </w:pPr>
      <w:r>
        <w:rPr>
          <w:b/>
        </w:rPr>
        <w:t>1.</w:t>
      </w:r>
      <w:r>
        <w:rPr>
          <w:rFonts w:hint="eastAsia"/>
          <w:b/>
        </w:rPr>
        <w:t>项目资产权属</w:t>
      </w:r>
    </w:p>
    <w:p>
      <w:pPr>
        <w:ind w:firstLine="560"/>
        <w:rPr>
          <w:rFonts w:cs="Times New Roman"/>
        </w:rPr>
      </w:pPr>
      <w:r>
        <w:rPr>
          <w:rFonts w:hint="eastAsia" w:cs="Times New Roman"/>
        </w:rPr>
        <w:t>本项目采用</w:t>
      </w:r>
      <w:r>
        <w:rPr>
          <w:rFonts w:cs="Times New Roman"/>
        </w:rPr>
        <w:t>O&amp;M+BOT</w:t>
      </w:r>
      <w:r>
        <w:rPr>
          <w:rFonts w:hint="eastAsia" w:cs="Times New Roman"/>
        </w:rPr>
        <w:t>方式运作，运营期间，项目公司拥有新建项目和存量项目资产特许经营权，资产所有权归政府所有。项目合作期内项目特许经营权（包括对资产使用权和收益权）属于项目公司所有。在合作期结束后，项目公司须将项目经营权（包括对资产使用权和收益权）、项目全部资产、设施设备、技术资料等无偿移交给政府或政府指定机构，并保证资产处于良好可使用状态，且项目经营权和全部资产上未设有任何抵押、质押等担保权益或产权约束，亦不得存在任何种类和性质的索赔权。</w:t>
      </w:r>
    </w:p>
    <w:p>
      <w:pPr>
        <w:ind w:firstLine="562"/>
        <w:outlineLvl w:val="3"/>
        <w:rPr>
          <w:b/>
        </w:rPr>
      </w:pPr>
      <w:r>
        <w:rPr>
          <w:b/>
        </w:rPr>
        <w:t>2.</w:t>
      </w:r>
      <w:r>
        <w:rPr>
          <w:rFonts w:hint="eastAsia"/>
          <w:b/>
        </w:rPr>
        <w:t>委托运营标的和范围</w:t>
      </w:r>
    </w:p>
    <w:p>
      <w:pPr>
        <w:ind w:firstLine="560"/>
        <w:rPr>
          <w:rFonts w:cs="Times New Roman"/>
        </w:rPr>
      </w:pPr>
      <w:r>
        <w:rPr>
          <w:rFonts w:hint="eastAsia" w:cs="Times New Roman"/>
        </w:rPr>
        <w:t>本项目委托运营标的为同心县2</w:t>
      </w:r>
      <w:r>
        <w:rPr>
          <w:rFonts w:cs="Times New Roman"/>
        </w:rPr>
        <w:t>024年前已建的41.09万亩高效节灌项目和</w:t>
      </w:r>
      <w:r>
        <w:rPr>
          <w:rFonts w:hint="eastAsia" w:cs="Times New Roman"/>
        </w:rPr>
        <w:t>2</w:t>
      </w:r>
      <w:r>
        <w:rPr>
          <w:rFonts w:cs="Times New Roman"/>
        </w:rPr>
        <w:t>024-2027年新建及改造提升的38.41万亩高效节灌项目的特许经营权。</w:t>
      </w:r>
      <w:r>
        <w:rPr>
          <w:rFonts w:hint="eastAsia" w:cs="Times New Roman"/>
        </w:rPr>
        <w:t>包括对上述资产的使用权和收益权。同心县人民政府授权同心县农业农村局作为本项目实施机构，通过选择一家社会资本组建项目公司，与项目公司签署《特许经营协议》。</w:t>
      </w:r>
    </w:p>
    <w:p>
      <w:pPr>
        <w:pStyle w:val="5"/>
        <w:ind w:firstLine="562"/>
        <w:rPr>
          <w:rFonts w:cs="Times New Roman"/>
        </w:rPr>
      </w:pPr>
      <w:r>
        <w:rPr>
          <w:rFonts w:cs="Times New Roman"/>
        </w:rPr>
        <w:t>3</w:t>
      </w:r>
      <w:r>
        <w:rPr>
          <w:rFonts w:hint="eastAsia" w:cs="Times New Roman"/>
        </w:rPr>
        <w:t>.项目资本金及注册资本</w:t>
      </w:r>
    </w:p>
    <w:p>
      <w:pPr>
        <w:ind w:firstLine="560"/>
        <w:rPr>
          <w:rFonts w:cs="Times New Roman"/>
        </w:rPr>
      </w:pPr>
      <w:r>
        <w:rPr>
          <w:rFonts w:hint="eastAsia" w:cs="Times New Roman"/>
        </w:rPr>
        <w:t>根据《国务院关于加强固定资产投资项目资本金管理的通知》（国发〔</w:t>
      </w:r>
      <w:r>
        <w:rPr>
          <w:rFonts w:cs="Times New Roman"/>
        </w:rPr>
        <w:t>2019</w:t>
      </w:r>
      <w:r>
        <w:rPr>
          <w:rFonts w:hint="eastAsia" w:cs="Times New Roman"/>
        </w:rPr>
        <w:t>〕</w:t>
      </w:r>
      <w:r>
        <w:rPr>
          <w:rFonts w:cs="Times New Roman"/>
        </w:rPr>
        <w:t>26</w:t>
      </w:r>
      <w:r>
        <w:rPr>
          <w:rFonts w:hint="eastAsia" w:cs="Times New Roman"/>
        </w:rPr>
        <w:t>号）相关规定，并保证建设资金充足，本项目资本金比例不低于总投资的</w:t>
      </w:r>
      <w:r>
        <w:rPr>
          <w:rFonts w:cs="Times New Roman"/>
        </w:rPr>
        <w:t>20%</w:t>
      </w:r>
      <w:r>
        <w:rPr>
          <w:rFonts w:hint="eastAsia" w:cs="Times New Roman"/>
        </w:rPr>
        <w:t>，由中标社会资本方和政府方共同组建，政府方持股比例不超过5</w:t>
      </w:r>
      <w:r>
        <w:rPr>
          <w:rFonts w:cs="Times New Roman"/>
        </w:rPr>
        <w:t>0%</w:t>
      </w:r>
      <w:r>
        <w:rPr>
          <w:rFonts w:hint="eastAsia" w:cs="Times New Roman"/>
        </w:rPr>
        <w:t>。</w:t>
      </w:r>
    </w:p>
    <w:p>
      <w:pPr>
        <w:ind w:firstLine="562"/>
        <w:outlineLvl w:val="3"/>
        <w:rPr>
          <w:b/>
        </w:rPr>
      </w:pPr>
      <w:r>
        <w:rPr>
          <w:b/>
        </w:rPr>
        <w:t>4.</w:t>
      </w:r>
      <w:r>
        <w:rPr>
          <w:rFonts w:hint="eastAsia"/>
          <w:b/>
        </w:rPr>
        <w:t>前期工作及费用</w:t>
      </w:r>
    </w:p>
    <w:p>
      <w:pPr>
        <w:ind w:firstLine="560"/>
        <w:rPr>
          <w:rFonts w:cs="Times New Roman"/>
        </w:rPr>
      </w:pPr>
      <w:r>
        <w:rPr>
          <w:rFonts w:hint="eastAsia" w:cs="Times New Roman"/>
        </w:rPr>
        <w:t>实施机构负责完成项目试运行、资产评估、特许经营咨询、社会资本选择等工作，相应的费用最终由项目公司承担，并纳入本项目投资总额。如实施机构已产生前期工作费用，则项目公司需在成立后六十（</w:t>
      </w:r>
      <w:r>
        <w:rPr>
          <w:rFonts w:cs="Times New Roman"/>
        </w:rPr>
        <w:t>60</w:t>
      </w:r>
      <w:r>
        <w:rPr>
          <w:rFonts w:hint="eastAsia" w:cs="Times New Roman"/>
        </w:rPr>
        <w:t>）日内，一次性向实施机构支付相关费用，具体金额以实施机构提供的清单（即票据和合同等）为准。</w:t>
      </w:r>
    </w:p>
    <w:p>
      <w:pPr>
        <w:ind w:firstLine="560"/>
        <w:rPr>
          <w:rFonts w:cs="Times New Roman"/>
        </w:rPr>
      </w:pPr>
      <w:r>
        <w:rPr>
          <w:rFonts w:hint="eastAsia" w:cs="Times New Roman"/>
        </w:rPr>
        <w:t>若政府已经支付完毕且供应商已经开具发票，在项目公司成立后，由项目公司向政府支付该部分前期费用，并计入项目总投资。</w:t>
      </w:r>
    </w:p>
    <w:p>
      <w:pPr>
        <w:ind w:firstLine="560"/>
        <w:rPr>
          <w:rFonts w:cs="Times New Roman"/>
        </w:rPr>
      </w:pPr>
      <w:r>
        <w:rPr>
          <w:rFonts w:hint="eastAsia" w:cs="Times New Roman"/>
        </w:rPr>
        <w:t>若政府已经支付完毕但供应商尚未开具发票，在项目公司成立后并支付相关费用给政府后，由供应商直接开具发票给项目公司。</w:t>
      </w:r>
    </w:p>
    <w:p>
      <w:pPr>
        <w:ind w:firstLine="560"/>
        <w:rPr>
          <w:rFonts w:cs="Times New Roman"/>
        </w:rPr>
      </w:pPr>
      <w:r>
        <w:rPr>
          <w:rFonts w:hint="eastAsia" w:cs="Times New Roman"/>
        </w:rPr>
        <w:t>若政府方前期已与供应商签订合同、执行合同但尚未支付费用，在项目公司成立后，由政府、项目公司和供应商签订三方合同，由项目公司向供应商付款，供应商直接向项目公司开具发票，并计入项目总投资。</w:t>
      </w:r>
    </w:p>
    <w:p>
      <w:pPr>
        <w:ind w:firstLine="562"/>
        <w:outlineLvl w:val="3"/>
        <w:rPr>
          <w:b/>
        </w:rPr>
      </w:pPr>
      <w:r>
        <w:rPr>
          <w:b/>
        </w:rPr>
        <w:t>5.</w:t>
      </w:r>
      <w:r>
        <w:rPr>
          <w:rFonts w:hint="eastAsia"/>
          <w:b/>
        </w:rPr>
        <w:t>大修及不可预见费用</w:t>
      </w:r>
    </w:p>
    <w:p>
      <w:pPr>
        <w:ind w:firstLine="560"/>
        <w:rPr>
          <w:rFonts w:cs="Times New Roman"/>
        </w:rPr>
      </w:pPr>
      <w:r>
        <w:rPr>
          <w:rFonts w:hint="eastAsia" w:cs="Times New Roman"/>
        </w:rPr>
        <w:t>本项目大修采用“一事一议”原则，整体上由项目公司负责，由项目公司在需要时提出申请，由实施机构审核通过，或者实施机构认为需要时提出，项目公司需根据政府确认的大修计划（时间、标准、资金使用预算限额）对本项目进行大修。大修费用以实际发生额度计入年度运营维护费用或者由政府方按实际发生额度以一定的比例另行支付项目公司，该比例由双方协商确定，并在特许经营协议中列明。考虑到大修与日常维护之间有因果关系，为了督促项目公司履行日常维护责任，本项目大修次数应有限定。</w:t>
      </w:r>
    </w:p>
    <w:p>
      <w:pPr>
        <w:ind w:firstLine="562"/>
        <w:outlineLvl w:val="3"/>
        <w:rPr>
          <w:b/>
        </w:rPr>
      </w:pPr>
      <w:r>
        <w:rPr>
          <w:b/>
        </w:rPr>
        <w:t>6.</w:t>
      </w:r>
      <w:r>
        <w:rPr>
          <w:rFonts w:hint="eastAsia"/>
          <w:b/>
        </w:rPr>
        <w:t>税费处理</w:t>
      </w:r>
    </w:p>
    <w:p>
      <w:pPr>
        <w:ind w:firstLine="560"/>
        <w:rPr>
          <w:rFonts w:cs="Times New Roman"/>
        </w:rPr>
      </w:pPr>
      <w:r>
        <w:rPr>
          <w:rFonts w:hint="eastAsia" w:cs="Times New Roman"/>
        </w:rPr>
        <w:t>项目合作期内，项目公司须依法缴纳业务范围内产生的所有税负，包括但不限于增值税及附加税、所得税等。</w:t>
      </w:r>
    </w:p>
    <w:p>
      <w:pPr>
        <w:ind w:firstLine="560"/>
        <w:rPr>
          <w:rFonts w:cs="Times New Roman"/>
        </w:rPr>
      </w:pPr>
      <w:r>
        <w:rPr>
          <w:rFonts w:hint="eastAsia" w:cs="Times New Roman"/>
        </w:rPr>
        <w:t>政府方在招标前确定由项目公司承担的主要税种、税率，如相关税种、税率发生变化，政府方和项目公司协商确定调整办法。原则上，由政府方承担税费风险或享受税收减免优惠。</w:t>
      </w:r>
    </w:p>
    <w:p>
      <w:pPr>
        <w:ind w:firstLine="560"/>
        <w:rPr>
          <w:rFonts w:cs="Times New Roman"/>
        </w:rPr>
      </w:pPr>
      <w:r>
        <w:rPr>
          <w:rFonts w:hint="eastAsia" w:cs="Times New Roman"/>
        </w:rPr>
        <w:t>能够取得增值税发票的项目，必须取得并用于增值税进项抵扣，因项目公司应取得但未取得增值税发票而造成的税负增加，政府方不予补偿。</w:t>
      </w:r>
    </w:p>
    <w:p>
      <w:pPr>
        <w:ind w:firstLine="560"/>
        <w:rPr>
          <w:rFonts w:cs="Times New Roman"/>
        </w:rPr>
      </w:pPr>
      <w:r>
        <w:rPr>
          <w:rFonts w:hint="eastAsia" w:cs="Times New Roman"/>
        </w:rPr>
        <w:t>前期费用发生时，若由项目公司支付给政府方或其指定相关单位，可开具增值税专用发票的，政府方或其指定相关单位应为项目公司开具满足项目公司需求的增值税专用发票，无法开具增值税专用发票的，政府方不承担相应税费补偿责任。</w:t>
      </w:r>
    </w:p>
    <w:p>
      <w:pPr>
        <w:pStyle w:val="5"/>
        <w:ind w:firstLine="562"/>
        <w:rPr>
          <w:rFonts w:cs="Times New Roman"/>
        </w:rPr>
      </w:pPr>
      <w:r>
        <w:rPr>
          <w:rFonts w:cs="Times New Roman"/>
        </w:rPr>
        <w:t>7.灌溉水价确定</w:t>
      </w:r>
    </w:p>
    <w:p>
      <w:pPr>
        <w:ind w:firstLine="560"/>
        <w:rPr>
          <w:rFonts w:cs="Times New Roman"/>
        </w:rPr>
      </w:pPr>
      <w:r>
        <w:rPr>
          <w:rFonts w:cs="Times New Roman"/>
        </w:rPr>
        <w:t>本项目</w:t>
      </w:r>
      <w:r>
        <w:rPr>
          <w:rFonts w:hint="eastAsia" w:cs="Times New Roman"/>
        </w:rPr>
        <w:t>经营</w:t>
      </w:r>
      <w:r>
        <w:rPr>
          <w:rFonts w:cs="Times New Roman"/>
        </w:rPr>
        <w:t>收入是灌溉水费收入，灌溉水价在建设期执行现有标准</w:t>
      </w:r>
      <w:r>
        <w:rPr>
          <w:rFonts w:hint="eastAsia" w:cs="Times New Roman"/>
        </w:rPr>
        <w:t>0</w:t>
      </w:r>
      <w:r>
        <w:rPr>
          <w:rFonts w:cs="Times New Roman"/>
        </w:rPr>
        <w:t>.6元</w:t>
      </w:r>
      <w:r>
        <w:rPr>
          <w:rFonts w:hint="eastAsia" w:cs="Times New Roman"/>
        </w:rPr>
        <w:t>/立方米，进入运营期后</w:t>
      </w:r>
      <w:r>
        <w:rPr>
          <w:rFonts w:cs="Times New Roman"/>
        </w:rPr>
        <w:t>根据政府调价后的全成本灌溉水价0.8215元</w:t>
      </w:r>
      <w:r>
        <w:rPr>
          <w:rFonts w:hint="eastAsia" w:cs="Times New Roman"/>
        </w:rPr>
        <w:t>/立方米。</w:t>
      </w:r>
    </w:p>
    <w:p>
      <w:pPr>
        <w:pStyle w:val="5"/>
        <w:ind w:firstLine="562"/>
        <w:rPr>
          <w:rFonts w:cs="Times New Roman"/>
        </w:rPr>
      </w:pPr>
      <w:r>
        <w:rPr>
          <w:rFonts w:cs="Times New Roman"/>
        </w:rPr>
        <w:t>8.</w:t>
      </w:r>
      <w:r>
        <w:rPr>
          <w:rFonts w:hint="eastAsia" w:cs="Times New Roman"/>
        </w:rPr>
        <w:t>计费方式</w:t>
      </w:r>
    </w:p>
    <w:p>
      <w:pPr>
        <w:ind w:firstLine="560"/>
        <w:rPr>
          <w:rFonts w:cs="Times New Roman"/>
        </w:rPr>
      </w:pPr>
      <w:r>
        <w:rPr>
          <w:rFonts w:hint="eastAsia" w:cs="Times New Roman"/>
        </w:rPr>
        <w:t>本项目没有</w:t>
      </w:r>
      <w:r>
        <w:rPr>
          <w:rFonts w:hint="eastAsia" w:hAnsi="仿宋"/>
        </w:rPr>
        <w:t>可行性缺口</w:t>
      </w:r>
      <w:r>
        <w:rPr>
          <w:rFonts w:hAnsi="仿宋"/>
        </w:rPr>
        <w:t>补助，为使用者付费项目</w:t>
      </w:r>
      <w:r>
        <w:rPr>
          <w:rFonts w:hint="eastAsia" w:hAnsi="仿宋"/>
        </w:rPr>
        <w:t>。全成本水价</w:t>
      </w:r>
      <w:r>
        <w:rPr>
          <w:rFonts w:hint="eastAsia" w:cs="Times New Roman"/>
        </w:rPr>
        <w:t>计算方式为：</w:t>
      </w:r>
    </w:p>
    <w:p>
      <w:pPr>
        <w:ind w:firstLine="560"/>
        <w:rPr>
          <w:rFonts w:cs="Times New Roman"/>
        </w:rPr>
      </w:pPr>
      <w:r>
        <w:rPr>
          <w:rFonts w:cs="Times New Roman"/>
        </w:rPr>
        <w:t>年度</w:t>
      </w:r>
      <w:r>
        <w:rPr>
          <w:rFonts w:hint="eastAsia" w:cs="Times New Roman"/>
        </w:rPr>
        <w:t>使用者付费=年度可用性服务费（GP）</w:t>
      </w:r>
      <w:r>
        <w:rPr>
          <w:rFonts w:cs="Times New Roman"/>
        </w:rPr>
        <w:t>+年度运营</w:t>
      </w:r>
      <w:r>
        <w:rPr>
          <w:rFonts w:hint="eastAsia" w:cs="Times New Roman"/>
        </w:rPr>
        <w:t>成本</w:t>
      </w:r>
      <w:r>
        <w:rPr>
          <w:rFonts w:cs="Times New Roman"/>
        </w:rPr>
        <w:t>（含水源费）</w:t>
      </w:r>
    </w:p>
    <w:p>
      <w:pPr>
        <w:ind w:firstLine="560"/>
        <w:rPr>
          <w:rFonts w:cs="Times New Roman"/>
        </w:rPr>
      </w:pPr>
      <w:r>
        <w:rPr>
          <w:rFonts w:cs="Times New Roman"/>
        </w:rPr>
        <w:t>其中：</w:t>
      </w:r>
    </w:p>
    <w:p>
      <w:pPr>
        <w:ind w:firstLine="560"/>
        <w:rPr>
          <w:rFonts w:cs="Times New Roman"/>
        </w:rPr>
      </w:pPr>
      <w:r>
        <w:rPr>
          <w:rFonts w:cs="Times New Roman"/>
        </w:rPr>
        <w:t>1）年度可用性服务费（GP）</w:t>
      </w:r>
    </w:p>
    <w:p>
      <w:pPr>
        <w:ind w:firstLine="560"/>
        <w:rPr>
          <w:rFonts w:cs="Times New Roman"/>
        </w:rPr>
      </w:pPr>
      <w:r>
        <w:rPr>
          <w:rFonts w:cs="Times New Roman"/>
        </w:rPr>
        <w:t>年度可用性服务费</w:t>
      </w:r>
      <w:r>
        <w:rPr>
          <w:rFonts w:hint="eastAsia" w:cs="Times New Roman"/>
        </w:rPr>
        <w:t>对应项目建设总投资及合理回报，运营期各年的资产可用性补助基数根据等额本息公式计算。</w:t>
      </w:r>
    </w:p>
    <w:p>
      <w:pPr>
        <w:ind w:firstLine="560"/>
        <w:jc w:val="center"/>
        <w:rPr>
          <w:rFonts w:cs="Times New Roman"/>
        </w:rPr>
      </w:pPr>
      <w:r>
        <w:rPr>
          <w:rFonts w:cs="Times New Roman"/>
        </w:rPr>
        <w:drawing>
          <wp:inline distT="0" distB="0" distL="0" distR="0">
            <wp:extent cx="1895475" cy="428625"/>
            <wp:effectExtent l="0" t="0" r="9525" b="952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1895475" cy="428625"/>
                    </a:xfrm>
                    <a:prstGeom prst="rect">
                      <a:avLst/>
                    </a:prstGeom>
                    <a:noFill/>
                    <a:ln>
                      <a:noFill/>
                    </a:ln>
                  </pic:spPr>
                </pic:pic>
              </a:graphicData>
            </a:graphic>
          </wp:inline>
        </w:drawing>
      </w:r>
    </w:p>
    <w:p>
      <w:pPr>
        <w:ind w:firstLine="560"/>
      </w:pPr>
      <w:r>
        <w:rPr>
          <w:rFonts w:cs="Times New Roman"/>
        </w:rPr>
        <w:fldChar w:fldCharType="begin"/>
      </w:r>
      <w:r>
        <w:rPr>
          <w:rFonts w:cs="Times New Roman"/>
        </w:rPr>
        <w:instrText xml:space="preserve"> </w:instrText>
      </w:r>
      <w:r>
        <w:rPr>
          <w:rFonts w:hint="eastAsia" w:cs="Times New Roman"/>
        </w:rPr>
        <w:instrText xml:space="preserve">= 1 \* GB3</w:instrText>
      </w:r>
      <w:r>
        <w:rPr>
          <w:rFonts w:cs="Times New Roman"/>
        </w:rPr>
        <w:instrText xml:space="preserve"> </w:instrText>
      </w:r>
      <w:r>
        <w:rPr>
          <w:rFonts w:cs="Times New Roman"/>
        </w:rPr>
        <w:fldChar w:fldCharType="separate"/>
      </w:r>
      <w:r>
        <w:rPr>
          <w:rFonts w:hint="eastAsia" w:cs="Times New Roman"/>
        </w:rPr>
        <w:t>①</w:t>
      </w:r>
      <w:r>
        <w:rPr>
          <w:rFonts w:cs="Times New Roman"/>
        </w:rPr>
        <w:fldChar w:fldCharType="end"/>
      </w:r>
      <w:r>
        <w:rPr>
          <w:rFonts w:hint="eastAsia" w:cs="Times New Roman"/>
        </w:rPr>
        <w:t>项目</w:t>
      </w:r>
      <w:r>
        <w:rPr>
          <w:rFonts w:cs="Times New Roman"/>
        </w:rPr>
        <w:t>公司投资</w:t>
      </w:r>
      <w:r>
        <w:rPr>
          <w:rFonts w:hint="eastAsia" w:cs="Times New Roman"/>
        </w:rPr>
        <w:t>基数（GI）=经审计工程结算价+经审计的工程建设其它费+建设期利息-政府方支出（含建设期补助、政府方出资资本金金额、政府为本项目发生的前期费等）</w:t>
      </w:r>
      <w:r>
        <w:rPr>
          <w:rFonts w:hint="eastAsia"/>
        </w:rPr>
        <w:t>。</w:t>
      </w:r>
    </w:p>
    <w:p>
      <w:pPr>
        <w:ind w:firstLine="560"/>
      </w:pPr>
      <w:r>
        <w:rPr>
          <w:rFonts w:hint="eastAsia"/>
        </w:rPr>
        <w:t>工程结算价=[建安工程费合同价+工程变更（或签证）+工程索赔（项目公司向政府提出的合理索赔）+人工、材料及机械等价格调整+设备及工器具购置费]*（1-建安工程下浮率）（建安工程下浮率由中标社会资本报价取得）。</w:t>
      </w:r>
    </w:p>
    <w:p>
      <w:pPr>
        <w:ind w:firstLine="560"/>
      </w:pPr>
      <w:r>
        <w:rPr>
          <w:rFonts w:hint="eastAsia"/>
        </w:rPr>
        <w:t>项目投资控制以项目实施机构组织相关部门和聘请专家评审通过的可研概算数为控制数，并报政府同意。但因国家政策调整、价格上涨、地质条件发生重大变化等原因，确需增加投资概算的，或设计预算调整、调剂的，按照规定的程序及有关法律法规核定或办理总投资调整。因社会资本方原因造成建设投资增加的，由社会资本方自行承担，不纳入GI；因政府方原因导致设计变更、建设内容变更，经双方协商一致书面确认后，由此引起的建设投资变化由项目公司承担后纳入GI。同时，项目全部建设成本中的建设期利息以贷款市场报价利率（LPR）下降一定幅度为控制指标。</w:t>
      </w:r>
    </w:p>
    <w:p>
      <w:pPr>
        <w:ind w:firstLine="560"/>
      </w:pPr>
      <w:r>
        <w:rPr>
          <w:rFonts w:hint="eastAsia"/>
        </w:rPr>
        <w:t>A.工程造价标准</w:t>
      </w:r>
    </w:p>
    <w:p>
      <w:pPr>
        <w:ind w:firstLine="560"/>
      </w:pPr>
      <w:r>
        <w:rPr>
          <w:rFonts w:hint="eastAsia"/>
        </w:rPr>
        <w:t>①项目工程造价超过核准申报材料造价5%的，应重新报政府审核。</w:t>
      </w:r>
    </w:p>
    <w:p>
      <w:pPr>
        <w:ind w:firstLine="560"/>
      </w:pPr>
      <w:r>
        <w:rPr>
          <w:rFonts w:hint="eastAsia"/>
        </w:rPr>
        <w:t>②工程量清单编制依据宁夏相关规定。项目计价依据可根据项目实施时正在使用的规范、标准进行调整，其他工程造价详细规定于招标文件和特许经营协议中明确。</w:t>
      </w:r>
    </w:p>
    <w:p>
      <w:pPr>
        <w:ind w:firstLine="560"/>
      </w:pPr>
      <w:r>
        <w:rPr>
          <w:rFonts w:hint="eastAsia"/>
        </w:rPr>
        <w:t>B.经审计的工程建设及其它费用</w:t>
      </w:r>
    </w:p>
    <w:p>
      <w:pPr>
        <w:ind w:firstLine="560"/>
      </w:pPr>
      <w:r>
        <w:rPr>
          <w:rFonts w:hint="eastAsia"/>
        </w:rPr>
        <w:t>工程建设其他费按吴忠市（或宁夏回族自治区/国家）费用内容以及付费范围调整，相关费用按实际发生计入项目总投资。</w:t>
      </w:r>
    </w:p>
    <w:p>
      <w:pPr>
        <w:ind w:firstLine="560"/>
      </w:pPr>
      <w:r>
        <w:rPr>
          <w:rFonts w:hint="eastAsia"/>
        </w:rPr>
        <w:t>C.工程变更</w:t>
      </w:r>
    </w:p>
    <w:p>
      <w:pPr>
        <w:ind w:firstLine="560"/>
      </w:pPr>
      <w:r>
        <w:rPr>
          <w:rFonts w:hint="eastAsia"/>
        </w:rPr>
        <w:t>因以下原因导致工程变更，报经政府方审核通过后，纳入结算范围：</w:t>
      </w:r>
    </w:p>
    <w:p>
      <w:pPr>
        <w:pStyle w:val="59"/>
        <w:numPr>
          <w:ilvl w:val="0"/>
          <w:numId w:val="3"/>
        </w:numPr>
        <w:ind w:firstLineChars="0"/>
      </w:pPr>
      <w:r>
        <w:t></w:t>
      </w:r>
      <w:r>
        <w:rPr>
          <w:rFonts w:hint="eastAsia"/>
        </w:rPr>
        <w:t>因自然灾害等不可抗力造成项目建设条件发生重大变化所引起的变更；</w:t>
      </w:r>
    </w:p>
    <w:p>
      <w:pPr>
        <w:pStyle w:val="59"/>
        <w:numPr>
          <w:ilvl w:val="0"/>
          <w:numId w:val="3"/>
        </w:numPr>
        <w:ind w:firstLineChars="0"/>
      </w:pPr>
      <w:r>
        <w:t></w:t>
      </w:r>
      <w:r>
        <w:rPr>
          <w:rFonts w:hint="eastAsia"/>
        </w:rPr>
        <w:t>因建设规划的调整、征地拆迁等政府方原因或政府方提出工程变更要求导致工程量增减变化，其中如属政府提出的，项目公司及政府方一致同意后可进行调整；</w:t>
      </w:r>
    </w:p>
    <w:p>
      <w:pPr>
        <w:pStyle w:val="59"/>
        <w:numPr>
          <w:ilvl w:val="0"/>
          <w:numId w:val="3"/>
        </w:numPr>
        <w:ind w:firstLineChars="0"/>
      </w:pPr>
      <w:r>
        <w:t></w:t>
      </w:r>
      <w:r>
        <w:rPr>
          <w:rFonts w:hint="eastAsia"/>
        </w:rPr>
        <w:t>法律法规及其它政策性调整引起的工程变更。</w:t>
      </w:r>
    </w:p>
    <w:p>
      <w:pPr>
        <w:ind w:firstLine="560"/>
      </w:pPr>
      <w:r>
        <w:rPr>
          <w:rFonts w:hint="eastAsia"/>
        </w:rPr>
        <w:t>D.建设期利息</w:t>
      </w:r>
    </w:p>
    <w:p>
      <w:pPr>
        <w:ind w:firstLine="560"/>
      </w:pPr>
      <w:r>
        <w:rPr>
          <w:rFonts w:hint="eastAsia"/>
        </w:rPr>
        <w:t>建设期利息=∑（上年未付息贷款本息累计+本年度付息贷款额/2）*融资利率，本项目建设期为</w:t>
      </w:r>
      <w:r>
        <w:t>2</w:t>
      </w:r>
      <w:r>
        <w:rPr>
          <w:rFonts w:hint="eastAsia"/>
        </w:rPr>
        <w:t>年。</w:t>
      </w:r>
    </w:p>
    <w:p>
      <w:pPr>
        <w:ind w:firstLine="560"/>
        <w:rPr>
          <w:rFonts w:cs="Times New Roman"/>
        </w:rPr>
      </w:pPr>
      <w:r>
        <w:rPr>
          <w:rFonts w:cs="Times New Roman"/>
        </w:rPr>
        <w:fldChar w:fldCharType="begin"/>
      </w:r>
      <w:r>
        <w:rPr>
          <w:rFonts w:cs="Times New Roman"/>
        </w:rPr>
        <w:instrText xml:space="preserve"> </w:instrText>
      </w:r>
      <w:r>
        <w:rPr>
          <w:rFonts w:hint="eastAsia" w:cs="Times New Roman"/>
        </w:rPr>
        <w:instrText xml:space="preserve">= 2 \* GB3</w:instrText>
      </w:r>
      <w:r>
        <w:rPr>
          <w:rFonts w:cs="Times New Roman"/>
        </w:rPr>
        <w:instrText xml:space="preserve"> </w:instrText>
      </w:r>
      <w:r>
        <w:rPr>
          <w:rFonts w:cs="Times New Roman"/>
        </w:rPr>
        <w:fldChar w:fldCharType="separate"/>
      </w:r>
      <w:r>
        <w:rPr>
          <w:rFonts w:hint="eastAsia" w:cs="Times New Roman"/>
        </w:rPr>
        <w:t>②</w:t>
      </w:r>
      <w:r>
        <w:rPr>
          <w:rFonts w:cs="Times New Roman"/>
        </w:rPr>
        <w:fldChar w:fldCharType="end"/>
      </w:r>
      <w:r>
        <w:rPr>
          <w:rFonts w:hint="eastAsia" w:cs="Times New Roman"/>
        </w:rPr>
        <w:t>建设投资综合回报率（R）</w:t>
      </w:r>
      <w:r>
        <w:rPr>
          <w:rFonts w:cs="Times New Roman"/>
        </w:rPr>
        <w:t>=[（银行融资额</w:t>
      </w:r>
      <w:r>
        <w:rPr>
          <w:rFonts w:hint="eastAsia" w:cs="Times New Roman"/>
        </w:rPr>
        <w:t>×融资利率</w:t>
      </w:r>
      <w:r>
        <w:rPr>
          <w:rFonts w:cs="Times New Roman"/>
        </w:rPr>
        <w:t>）</w:t>
      </w:r>
      <w:r>
        <w:rPr>
          <w:rFonts w:hint="eastAsia" w:cs="Times New Roman"/>
        </w:rPr>
        <w:t>/</w:t>
      </w:r>
      <w:r>
        <w:rPr>
          <w:rFonts w:cs="Times New Roman"/>
        </w:rPr>
        <w:t>（</w:t>
      </w:r>
      <w:r>
        <w:rPr>
          <w:rFonts w:hint="eastAsia" w:cs="Times New Roman"/>
        </w:rPr>
        <w:t>银行融资额+社会资本方资本金</w:t>
      </w:r>
      <w:r>
        <w:rPr>
          <w:rFonts w:cs="Times New Roman"/>
        </w:rPr>
        <w:t>）</w:t>
      </w:r>
      <w:r>
        <w:rPr>
          <w:rFonts w:hint="eastAsia" w:cs="Times New Roman"/>
        </w:rPr>
        <w:t>+（社会资本方资本金×社会资本方资本金的投资回报率）/（银行融资额+社会资本方资本金）]×1</w:t>
      </w:r>
      <w:r>
        <w:rPr>
          <w:rFonts w:cs="Times New Roman"/>
        </w:rPr>
        <w:t>00%。</w:t>
      </w:r>
    </w:p>
    <w:p>
      <w:pPr>
        <w:ind w:firstLine="560"/>
      </w:pPr>
      <w:r>
        <w:t>2</w:t>
      </w:r>
      <w:r>
        <w:rPr>
          <w:rFonts w:hint="eastAsia"/>
        </w:rPr>
        <w:t>）年度运营成本</w:t>
      </w:r>
    </w:p>
    <w:p>
      <w:pPr>
        <w:ind w:firstLine="560"/>
      </w:pPr>
      <w:r>
        <w:t>年度运营</w:t>
      </w:r>
      <w:r>
        <w:rPr>
          <w:rFonts w:hint="eastAsia"/>
        </w:rPr>
        <w:t>成本</w:t>
      </w:r>
      <w:r>
        <w:t>主要</w:t>
      </w:r>
      <w:r>
        <w:rPr>
          <w:rFonts w:hint="eastAsia"/>
        </w:rPr>
        <w:t>包括存量项目运营成本和新建项目运营成本，主要包括工程维护费、燃料动力费、职工薪酬、管理费及其他费用。本项目</w:t>
      </w:r>
      <w:r>
        <w:rPr>
          <w:rFonts w:hint="eastAsia" w:cs="Times New Roman"/>
        </w:rPr>
        <w:t>投资综合回报率已涵盖社会资本方必要收益，故运营成本不再考虑合理利润。</w:t>
      </w:r>
    </w:p>
    <w:p>
      <w:pPr>
        <w:ind w:firstLine="560"/>
        <w:rPr>
          <w:rFonts w:cs="Times New Roman"/>
        </w:rPr>
      </w:pPr>
      <w:r>
        <w:rPr>
          <w:rFonts w:hint="eastAsia"/>
        </w:rPr>
        <w:t>3）年度使用者付费：本项目经营收入为灌溉水费收入。</w:t>
      </w:r>
    </w:p>
    <w:p>
      <w:pPr>
        <w:ind w:firstLine="562"/>
        <w:outlineLvl w:val="3"/>
        <w:rPr>
          <w:b/>
        </w:rPr>
      </w:pPr>
      <w:r>
        <w:rPr>
          <w:b/>
        </w:rPr>
        <w:t>9.</w:t>
      </w:r>
      <w:r>
        <w:rPr>
          <w:rFonts w:hint="eastAsia"/>
          <w:b/>
        </w:rPr>
        <w:t>项目公司的有关限制</w:t>
      </w:r>
    </w:p>
    <w:p>
      <w:pPr>
        <w:pStyle w:val="6"/>
        <w:ind w:firstLine="562"/>
      </w:pPr>
      <w:r>
        <w:rPr>
          <w:rFonts w:hint="eastAsia"/>
        </w:rPr>
        <w:t>（</w:t>
      </w:r>
      <w:r>
        <w:t>1</w:t>
      </w:r>
      <w:r>
        <w:rPr>
          <w:rFonts w:hint="eastAsia"/>
        </w:rPr>
        <w:t>）股权限制</w:t>
      </w:r>
    </w:p>
    <w:p>
      <w:pPr>
        <w:ind w:firstLine="560"/>
        <w:rPr>
          <w:rFonts w:cs="Times New Roman"/>
        </w:rPr>
      </w:pPr>
      <w:r>
        <w:rPr>
          <w:rFonts w:hint="eastAsia" w:cs="Times New Roman"/>
        </w:rPr>
        <w:t>项目合作期前</w:t>
      </w:r>
      <w:r>
        <w:rPr>
          <w:rFonts w:cs="Times New Roman"/>
        </w:rPr>
        <w:t>3</w:t>
      </w:r>
      <w:r>
        <w:rPr>
          <w:rFonts w:hint="eastAsia" w:cs="Times New Roman"/>
        </w:rPr>
        <w:t>年，项目公司股权不得转让。项目合作期</w:t>
      </w:r>
      <w:r>
        <w:rPr>
          <w:rFonts w:cs="Times New Roman"/>
        </w:rPr>
        <w:t>3</w:t>
      </w:r>
      <w:r>
        <w:rPr>
          <w:rFonts w:hint="eastAsia" w:cs="Times New Roman"/>
        </w:rPr>
        <w:t>年后，经政府方书面同意，项目公司可转让最高不超过</w:t>
      </w:r>
      <w:r>
        <w:rPr>
          <w:rFonts w:cs="Times New Roman"/>
        </w:rPr>
        <w:t>50%</w:t>
      </w:r>
      <w:r>
        <w:rPr>
          <w:rFonts w:hint="eastAsia" w:cs="Times New Roman"/>
        </w:rPr>
        <w:t>股权，受让方应满足《特许经营协议》约定的技术能力、财务信用、运营维护经验等基本条件，并以书面形式明确承继原股东方在项目公司下的权利及义务。同等条件下，由政府方安排的其他主体享有优先受让权。</w:t>
      </w:r>
    </w:p>
    <w:p>
      <w:pPr>
        <w:pStyle w:val="6"/>
        <w:ind w:firstLine="562"/>
      </w:pPr>
      <w:r>
        <w:rPr>
          <w:rFonts w:hint="eastAsia"/>
        </w:rPr>
        <w:t>（</w:t>
      </w:r>
      <w:r>
        <w:t>2</w:t>
      </w:r>
      <w:r>
        <w:rPr>
          <w:rFonts w:hint="eastAsia"/>
        </w:rPr>
        <w:t>）融资限制</w:t>
      </w:r>
    </w:p>
    <w:p>
      <w:pPr>
        <w:ind w:firstLine="560"/>
        <w:rPr>
          <w:rFonts w:cs="Times New Roman"/>
        </w:rPr>
      </w:pPr>
      <w:r>
        <w:rPr>
          <w:rFonts w:hint="eastAsia" w:cs="Times New Roman"/>
        </w:rPr>
        <w:t>未经政府方书面同意，项目公司不得将本项目合作范围的土地、建筑物及设施设备进行抵押、质押或者其他任何形式的担保。</w:t>
      </w:r>
    </w:p>
    <w:p>
      <w:pPr>
        <w:ind w:firstLine="560"/>
        <w:rPr>
          <w:rFonts w:cs="Times New Roman"/>
        </w:rPr>
      </w:pPr>
      <w:r>
        <w:rPr>
          <w:rFonts w:hint="eastAsia" w:cs="Times New Roman"/>
        </w:rPr>
        <w:t>项目公司仅拥有对《特许经营协议》约定的项目投资、建设及项目设施运营维护进行融资的权利，不允许项目公司以除此以外的任何目的进行融资，且融资不得影响项目的正常建设和运营维护。</w:t>
      </w:r>
    </w:p>
    <w:p>
      <w:pPr>
        <w:ind w:firstLine="560"/>
        <w:rPr>
          <w:rFonts w:cs="Times New Roman"/>
        </w:rPr>
      </w:pPr>
      <w:r>
        <w:rPr>
          <w:rFonts w:hint="eastAsia" w:cs="Times New Roman"/>
        </w:rPr>
        <w:t>项目公司的所有资本金及其他融入资金只能用于《特许经营协议》规定的本项目的建设及运营维护等活动中，禁止项目公司将资金用于其他用途。</w:t>
      </w:r>
    </w:p>
    <w:p>
      <w:pPr>
        <w:pStyle w:val="6"/>
        <w:ind w:firstLine="562"/>
      </w:pPr>
      <w:r>
        <w:rPr>
          <w:rFonts w:hint="eastAsia"/>
        </w:rPr>
        <w:t>（</w:t>
      </w:r>
      <w:r>
        <w:t>3</w:t>
      </w:r>
      <w:r>
        <w:rPr>
          <w:rFonts w:hint="eastAsia"/>
        </w:rPr>
        <w:t>）经营限制</w:t>
      </w:r>
    </w:p>
    <w:p>
      <w:pPr>
        <w:ind w:firstLine="560"/>
        <w:rPr>
          <w:rFonts w:cs="Times New Roman"/>
        </w:rPr>
      </w:pPr>
      <w:r>
        <w:rPr>
          <w:rFonts w:hint="eastAsia" w:cs="Times New Roman"/>
        </w:rPr>
        <w:t>项目运营维护期内，项目公司对项目的经营范围及内容、管理规范、质量标准等变化须提前经政府方的书面同意。</w:t>
      </w:r>
    </w:p>
    <w:p>
      <w:pPr>
        <w:ind w:firstLine="560"/>
        <w:rPr>
          <w:rFonts w:cs="Times New Roman"/>
        </w:rPr>
      </w:pPr>
      <w:r>
        <w:rPr>
          <w:rFonts w:hint="eastAsia" w:cs="Times New Roman"/>
        </w:rPr>
        <w:t>未经政府方事先书面同意，在合作期限内项目公司不得从事项目协议所约定的授权经营范围以外的其他任何经营活动。</w:t>
      </w:r>
    </w:p>
    <w:p>
      <w:pPr>
        <w:ind w:firstLine="560"/>
        <w:rPr>
          <w:rFonts w:cs="Times New Roman"/>
        </w:rPr>
      </w:pPr>
      <w:r>
        <w:rPr>
          <w:rFonts w:hint="eastAsia" w:cs="Times New Roman"/>
        </w:rPr>
        <w:t>未经政府方书面同意，项目公司不得擅自将运营、维护业务转包给任何第三方，且不得为任何第三方提供相关服务。</w:t>
      </w:r>
    </w:p>
    <w:p>
      <w:pPr>
        <w:ind w:firstLine="560"/>
        <w:rPr>
          <w:rFonts w:cs="Times New Roman"/>
        </w:rPr>
      </w:pPr>
      <w:r>
        <w:rPr>
          <w:rFonts w:hint="eastAsia" w:cs="Times New Roman"/>
        </w:rPr>
        <w:t>在此前提下，项目公司享有项目的经营权和收益权，政府方不干预项目公司的运营维护及管理，除非此种干预是为保护公共利益及安全所必须的。</w:t>
      </w:r>
    </w:p>
    <w:p>
      <w:pPr>
        <w:pStyle w:val="6"/>
        <w:ind w:firstLine="562"/>
      </w:pPr>
      <w:r>
        <w:rPr>
          <w:rFonts w:hint="eastAsia"/>
        </w:rPr>
        <w:t>（4）委派公益董事</w:t>
      </w:r>
    </w:p>
    <w:p>
      <w:pPr>
        <w:ind w:firstLine="560"/>
      </w:pPr>
      <w:r>
        <w:rPr>
          <w:rFonts w:hint="eastAsia"/>
        </w:rPr>
        <w:t>在社会资本建设、运营过程中，通过向项目公司派驻公益董事或监督员参与项目公司运营管理，监督特许经营项目协议执行情况，如发现董事会决策与特许经营项目协议相违背或危及公共利益，公益董事具有一票否决权。</w:t>
      </w:r>
    </w:p>
    <w:p>
      <w:pPr>
        <w:ind w:firstLine="560"/>
        <w:rPr>
          <w:rFonts w:cs="Times New Roman"/>
        </w:rPr>
      </w:pPr>
      <w:r>
        <w:rPr>
          <w:rFonts w:hint="eastAsia"/>
        </w:rPr>
        <w:t>公益董事的主要权力包括：（1）公益董事有权参加项目公司董事会；（2）公益董事对项目公司可能影响社会公共利益或社会公共安全的重大决策及经营活动可以行使一票否决权；（3）监督员有权随时进入项目公司进行监督检查，项目公司不得以任何理由干涉阻挠。</w:t>
      </w:r>
    </w:p>
    <w:p>
      <w:pPr>
        <w:ind w:firstLine="562"/>
        <w:outlineLvl w:val="3"/>
        <w:rPr>
          <w:b/>
        </w:rPr>
      </w:pPr>
      <w:r>
        <w:rPr>
          <w:b/>
        </w:rPr>
        <w:t>10.</w:t>
      </w:r>
      <w:r>
        <w:rPr>
          <w:rFonts w:hint="eastAsia"/>
          <w:b/>
        </w:rPr>
        <w:t>项目移交</w:t>
      </w:r>
    </w:p>
    <w:p>
      <w:pPr>
        <w:ind w:firstLine="560"/>
        <w:rPr>
          <w:rFonts w:cs="Times New Roman"/>
        </w:rPr>
      </w:pPr>
      <w:r>
        <w:rPr>
          <w:rFonts w:hint="eastAsia" w:cs="Times New Roman"/>
        </w:rPr>
        <w:t>合作期满的前</w:t>
      </w:r>
      <w:r>
        <w:rPr>
          <w:rFonts w:cs="Times New Roman"/>
        </w:rPr>
        <w:t>12</w:t>
      </w:r>
      <w:r>
        <w:rPr>
          <w:rFonts w:hint="eastAsia" w:cs="Times New Roman"/>
        </w:rPr>
        <w:t>个月内，政府方和项目公司应共同成立移交委员会，负责有关合作期满后项目移交的相关事宜。移交委员会应适时举行会议，商定项目设施移交的详细程序、培训计划的实施和将移交的设备、设施、物品、零配件和备件等的详细清单，以及移交的方式。本项目移交方案坚持以下原则，具体的移交内容在《特许经营协议》中约定。</w:t>
      </w:r>
    </w:p>
    <w:p>
      <w:pPr>
        <w:ind w:firstLine="560"/>
      </w:pPr>
      <w:r>
        <w:rPr>
          <w:rFonts w:hint="eastAsia"/>
        </w:rPr>
        <w:t>（</w:t>
      </w:r>
      <w:r>
        <w:t>1</w:t>
      </w:r>
      <w:r>
        <w:rPr>
          <w:rFonts w:hint="eastAsia"/>
        </w:rPr>
        <w:t>）无偿移交</w:t>
      </w:r>
    </w:p>
    <w:p>
      <w:pPr>
        <w:ind w:firstLine="560"/>
        <w:rPr>
          <w:rFonts w:cs="Times New Roman"/>
        </w:rPr>
      </w:pPr>
      <w:r>
        <w:rPr>
          <w:rFonts w:hint="eastAsia" w:cs="Times New Roman"/>
        </w:rPr>
        <w:t>合作期满，项目公司将项目设施无偿移交给政府方指定机构，项目公司不再享有相关权益。届时项目公司向政府方移交资产如果产生税费，双方可根据相应的税收政策，遵循合理避税原则，协商一致选择股权移交或其他方式，实现社会资本无偿移交项目。</w:t>
      </w:r>
    </w:p>
    <w:p>
      <w:pPr>
        <w:ind w:firstLine="560"/>
      </w:pPr>
      <w:r>
        <w:rPr>
          <w:rFonts w:hint="eastAsia"/>
        </w:rPr>
        <w:t>（</w:t>
      </w:r>
      <w:r>
        <w:t>2</w:t>
      </w:r>
      <w:r>
        <w:rPr>
          <w:rFonts w:hint="eastAsia"/>
        </w:rPr>
        <w:t>）移交资产的相关权责方面</w:t>
      </w:r>
    </w:p>
    <w:p>
      <w:pPr>
        <w:ind w:firstLine="560"/>
        <w:rPr>
          <w:rFonts w:cs="Times New Roman"/>
        </w:rPr>
      </w:pPr>
      <w:r>
        <w:rPr>
          <w:rFonts w:hint="eastAsia" w:cs="Times New Roman"/>
        </w:rPr>
        <w:t>项目公司应确保移交的项目设施不存在任何抵押、质押等担保权益或所有权约束，亦不得存在任何种类和性质的索赔权。若采取股权移交形式的，应确保项目公司所有股权不存在任何抵押、质押等担保权益或所有权约束，亦不得存在任何种类和性质的索赔权。</w:t>
      </w:r>
    </w:p>
    <w:p>
      <w:pPr>
        <w:ind w:firstLine="560"/>
      </w:pPr>
      <w:r>
        <w:rPr>
          <w:rFonts w:hint="eastAsia"/>
        </w:rPr>
        <w:t>（</w:t>
      </w:r>
      <w:r>
        <w:t>3</w:t>
      </w:r>
      <w:r>
        <w:rPr>
          <w:rFonts w:hint="eastAsia"/>
        </w:rPr>
        <w:t>）项目移交的其它方面</w:t>
      </w:r>
    </w:p>
    <w:p>
      <w:pPr>
        <w:ind w:firstLine="560"/>
        <w:rPr>
          <w:rFonts w:cs="Times New Roman"/>
        </w:rPr>
      </w:pPr>
      <w:r>
        <w:rPr>
          <w:rFonts w:hint="eastAsia" w:cs="Times New Roman"/>
        </w:rPr>
        <w:t>移交工作计划方面：成立移交委员会，确定移交范围、移交方式、移交时间等安排。</w:t>
      </w:r>
    </w:p>
    <w:p>
      <w:pPr>
        <w:ind w:firstLine="560"/>
        <w:rPr>
          <w:rFonts w:cs="Times New Roman"/>
        </w:rPr>
      </w:pPr>
      <w:r>
        <w:rPr>
          <w:rFonts w:hint="eastAsia" w:cs="Times New Roman"/>
        </w:rPr>
        <w:t>移交验收计划方面：确定验收内容、验收方式等安排，出具验收报告。</w:t>
      </w:r>
    </w:p>
    <w:p>
      <w:pPr>
        <w:ind w:firstLine="560"/>
        <w:rPr>
          <w:rFonts w:cs="Times New Roman"/>
        </w:rPr>
      </w:pPr>
      <w:r>
        <w:rPr>
          <w:rFonts w:hint="eastAsia" w:cs="Times New Roman"/>
        </w:rPr>
        <w:t>移交资产的质量保证方面：项目公司应保证移交的所有设施、设备、材料、系统等所有涉及运营维护的均应当保证符合城镇综合开发有关法律法规、强制性标准、行业标准，且与竣工文件基本一致，符合正常运营维护的需要。</w:t>
      </w:r>
    </w:p>
    <w:p>
      <w:pPr>
        <w:ind w:firstLine="560"/>
        <w:rPr>
          <w:rFonts w:cs="Times New Roman"/>
        </w:rPr>
      </w:pPr>
      <w:r>
        <w:rPr>
          <w:rFonts w:hint="eastAsia" w:cs="Times New Roman"/>
        </w:rPr>
        <w:t>人员培训计划方面：项目公司应向政府方报批一份详细的就项目的运营维护、养护和维修对政府方人员开展的培训计划，并指定受训人员共同参与项目的运营维护养护和维修工作。</w:t>
      </w:r>
    </w:p>
    <w:p>
      <w:pPr>
        <w:ind w:firstLine="562"/>
        <w:outlineLvl w:val="3"/>
        <w:rPr>
          <w:b/>
        </w:rPr>
      </w:pPr>
      <w:r>
        <w:rPr>
          <w:b/>
        </w:rPr>
        <w:t>11.</w:t>
      </w:r>
      <w:r>
        <w:rPr>
          <w:rFonts w:hint="eastAsia"/>
          <w:b/>
        </w:rPr>
        <w:t>绩效考核</w:t>
      </w:r>
    </w:p>
    <w:p>
      <w:pPr>
        <w:ind w:firstLine="560"/>
        <w:rPr>
          <w:rFonts w:cs="Times New Roman"/>
        </w:rPr>
      </w:pPr>
      <w:r>
        <w:rPr>
          <w:rFonts w:hint="eastAsia" w:cs="Times New Roman"/>
        </w:rPr>
        <w:t>项目合作期内，政府方负责对项目公司的运营、维护、管理和服务绩效进行考核，具体考核标准见</w:t>
      </w:r>
      <w:r>
        <w:rPr>
          <w:rFonts w:cs="Times New Roman"/>
        </w:rPr>
        <w:t>“第</w:t>
      </w:r>
      <w:r>
        <w:rPr>
          <w:rFonts w:hint="eastAsia" w:cs="Times New Roman"/>
        </w:rPr>
        <w:t>十二章、绩效考核方案</w:t>
      </w:r>
      <w:r>
        <w:rPr>
          <w:rFonts w:cs="Times New Roman"/>
        </w:rPr>
        <w:t>”</w:t>
      </w:r>
      <w:r>
        <w:rPr>
          <w:rFonts w:hint="eastAsia" w:cs="Times New Roman"/>
        </w:rPr>
        <w:t>。</w:t>
      </w:r>
    </w:p>
    <w:p>
      <w:pPr>
        <w:ind w:firstLine="560"/>
        <w:rPr>
          <w:rFonts w:cs="Times New Roman"/>
        </w:rPr>
      </w:pPr>
      <w:r>
        <w:rPr>
          <w:rFonts w:hint="eastAsia" w:cs="Times New Roman"/>
        </w:rPr>
        <w:t>本项目已设置全面合理的绩效考核机制，且运营期政府无需支付补贴，不存在通过降低考核标准等方式，提前锁定、固化政府支出责任的情况，故不会形成政府隐性债务。</w:t>
      </w:r>
    </w:p>
    <w:p>
      <w:pPr>
        <w:keepNext/>
        <w:ind w:firstLine="562"/>
        <w:outlineLvl w:val="3"/>
        <w:rPr>
          <w:b/>
        </w:rPr>
      </w:pPr>
      <w:r>
        <w:rPr>
          <w:b/>
        </w:rPr>
        <w:t>12.</w:t>
      </w:r>
      <w:r>
        <w:rPr>
          <w:rFonts w:hint="eastAsia"/>
          <w:b/>
        </w:rPr>
        <w:t>上级政府补贴</w:t>
      </w:r>
    </w:p>
    <w:p>
      <w:pPr>
        <w:ind w:firstLine="560"/>
        <w:rPr>
          <w:rFonts w:cs="Times New Roman"/>
        </w:rPr>
      </w:pPr>
      <w:r>
        <w:rPr>
          <w:rFonts w:hint="eastAsia" w:cs="Times New Roman"/>
        </w:rPr>
        <w:t>项目合作期内，实施机构或项目公司应积极主动寻求国家或省市对项目的各种政府补助或专项补贴，补助资金归政府方支配，按照相关政策使用。如无特殊规定，项目建设期内争取到的补助资金用于项目建设，同时降低项目融资比例；运营期内争取到的补助资金用于项目更新改造或大中修。</w:t>
      </w:r>
    </w:p>
    <w:p>
      <w:pPr>
        <w:ind w:firstLine="562"/>
        <w:outlineLvl w:val="3"/>
        <w:rPr>
          <w:b/>
        </w:rPr>
      </w:pPr>
      <w:bookmarkStart w:id="102" w:name="_Toc86926655"/>
      <w:bookmarkStart w:id="103" w:name="_Toc88582232"/>
      <w:bookmarkStart w:id="104" w:name="_Toc88385926"/>
      <w:r>
        <w:rPr>
          <w:b/>
        </w:rPr>
        <w:t>13.</w:t>
      </w:r>
      <w:r>
        <w:rPr>
          <w:rFonts w:hint="eastAsia"/>
          <w:b/>
        </w:rPr>
        <w:t>灌溉</w:t>
      </w:r>
      <w:r>
        <w:rPr>
          <w:b/>
        </w:rPr>
        <w:t>水价的调整机制</w:t>
      </w:r>
    </w:p>
    <w:p>
      <w:pPr>
        <w:keepNext/>
        <w:keepLines/>
        <w:ind w:firstLine="562"/>
        <w:outlineLvl w:val="4"/>
        <w:rPr>
          <w:rFonts w:cs="Times New Roman"/>
          <w:b/>
          <w:bCs/>
          <w:szCs w:val="28"/>
        </w:rPr>
      </w:pPr>
      <w:r>
        <w:rPr>
          <w:rFonts w:cs="Times New Roman"/>
          <w:b/>
          <w:bCs/>
          <w:szCs w:val="28"/>
        </w:rPr>
        <w:t>（1）灌溉水价的</w:t>
      </w:r>
      <w:r>
        <w:rPr>
          <w:rFonts w:hint="eastAsia" w:cs="Times New Roman"/>
          <w:b/>
          <w:bCs/>
          <w:szCs w:val="28"/>
        </w:rPr>
        <w:t>核定</w:t>
      </w:r>
    </w:p>
    <w:p>
      <w:pPr>
        <w:ind w:firstLine="560"/>
        <w:rPr>
          <w:rFonts w:cs="Times New Roman"/>
        </w:rPr>
      </w:pPr>
      <w:r>
        <w:rPr>
          <w:rFonts w:cs="Times New Roman"/>
        </w:rPr>
        <w:t>项目进入正式运营后，直接运营成本和实际供水量如发生较大变化，则可能给项目实际收益情况造成较大影响。因此确保政企双方合理权益的前提下，本项目在正式进入运营期后引入成本监审机制。由实施机构自行或委托</w:t>
      </w:r>
      <w:r>
        <w:rPr>
          <w:rFonts w:hint="eastAsia" w:cs="Times New Roman"/>
        </w:rPr>
        <w:t>社会资本</w:t>
      </w:r>
      <w:r>
        <w:rPr>
          <w:rFonts w:cs="Times New Roman"/>
        </w:rPr>
        <w:t>认可的第三方专业机构对项目首个运营年度开展成本监审工作，</w:t>
      </w:r>
      <w:r>
        <w:rPr>
          <w:rFonts w:hint="eastAsia" w:cs="Times New Roman"/>
        </w:rPr>
        <w:t>主要对项目运营过程中的燃料动力费、水源费、工资及福利费、管理费及其他费用进行核查确认</w:t>
      </w:r>
      <w:r>
        <w:rPr>
          <w:rFonts w:cs="Times New Roman"/>
        </w:rPr>
        <w:t>。运营成本和水量较方案偏差较大确需调整的，双方根据确定的财务内部收益率（税后）、核定的运营成本和供水量情况确定重新确定供水服务价格。</w:t>
      </w:r>
    </w:p>
    <w:p>
      <w:pPr>
        <w:keepNext/>
        <w:keepLines/>
        <w:ind w:firstLine="562"/>
        <w:outlineLvl w:val="4"/>
        <w:rPr>
          <w:rFonts w:cs="Times New Roman"/>
          <w:b/>
          <w:bCs/>
          <w:szCs w:val="28"/>
        </w:rPr>
      </w:pPr>
      <w:r>
        <w:rPr>
          <w:rFonts w:cs="Times New Roman"/>
          <w:b/>
          <w:bCs/>
          <w:szCs w:val="28"/>
        </w:rPr>
        <w:t>（2）水价的调整机制</w:t>
      </w:r>
    </w:p>
    <w:p>
      <w:pPr>
        <w:ind w:firstLine="560"/>
        <w:rPr>
          <w:rFonts w:cs="Times New Roman"/>
        </w:rPr>
      </w:pPr>
      <w:r>
        <w:rPr>
          <w:rFonts w:cs="Times New Roman"/>
        </w:rPr>
        <w:t>本项目协议期限长达30年，为了反映对宏观经济风险的合理共担，需设定水费单价的常规调价机制。在《特许经营协议》中明确调价机制对水费进行调整，公式包括</w:t>
      </w:r>
      <w:r>
        <w:rPr>
          <w:rFonts w:hint="eastAsia" w:cs="Times New Roman"/>
        </w:rPr>
        <w:t>燃料动力费、原材料费、水源费、工资及福利费、维修费</w:t>
      </w:r>
      <w:r>
        <w:rPr>
          <w:rFonts w:cs="Times New Roman"/>
        </w:rPr>
        <w:t>及其他直接经营成本等与通货膨胀相关因素。</w:t>
      </w:r>
    </w:p>
    <w:p>
      <w:pPr>
        <w:ind w:firstLine="560"/>
        <w:rPr>
          <w:rFonts w:cs="Times New Roman"/>
        </w:rPr>
      </w:pPr>
      <w:r>
        <w:rPr>
          <w:rFonts w:cs="Times New Roman"/>
        </w:rPr>
        <w:t>调价因素：针对水</w:t>
      </w:r>
      <w:r>
        <w:rPr>
          <w:rFonts w:hint="eastAsia" w:cs="Times New Roman"/>
        </w:rPr>
        <w:t>费</w:t>
      </w:r>
      <w:r>
        <w:rPr>
          <w:rFonts w:cs="Times New Roman"/>
        </w:rPr>
        <w:t>单价中的</w:t>
      </w:r>
      <w:r>
        <w:rPr>
          <w:rFonts w:hint="eastAsia" w:cs="Times New Roman"/>
        </w:rPr>
        <w:t>燃料动力费、原材料费、水源费、工资及福利费、维修费</w:t>
      </w:r>
      <w:r>
        <w:rPr>
          <w:rFonts w:cs="Times New Roman"/>
        </w:rPr>
        <w:t>、企业所得税、其他因素部分分别参照电力费用指数、《</w:t>
      </w:r>
      <w:r>
        <w:rPr>
          <w:rFonts w:hint="eastAsia" w:cs="Times New Roman"/>
        </w:rPr>
        <w:t>吴忠市</w:t>
      </w:r>
      <w:r>
        <w:rPr>
          <w:rFonts w:cs="Times New Roman"/>
        </w:rPr>
        <w:t>统计年鉴》中相应职工平均工资、《</w:t>
      </w:r>
      <w:r>
        <w:rPr>
          <w:rFonts w:hint="eastAsia" w:cs="Times New Roman"/>
        </w:rPr>
        <w:t>吴忠市</w:t>
      </w:r>
      <w:r>
        <w:rPr>
          <w:rFonts w:cs="Times New Roman"/>
        </w:rPr>
        <w:t>统计年鉴》中相应化工原料类商品零售价格指数、本项目适用税率、及</w:t>
      </w:r>
      <w:r>
        <w:rPr>
          <w:rFonts w:hint="eastAsia" w:cs="Times New Roman"/>
        </w:rPr>
        <w:t>吴忠市</w:t>
      </w:r>
      <w:r>
        <w:rPr>
          <w:rFonts w:cs="Times New Roman"/>
        </w:rPr>
        <w:t>居民消费价格指数值的历年变化，按照各部分在水</w:t>
      </w:r>
      <w:r>
        <w:rPr>
          <w:rFonts w:hint="eastAsia" w:cs="Times New Roman"/>
        </w:rPr>
        <w:t>费</w:t>
      </w:r>
      <w:r>
        <w:rPr>
          <w:rFonts w:cs="Times New Roman"/>
        </w:rPr>
        <w:t>中的占比形成供水单价的调整系数。</w:t>
      </w:r>
    </w:p>
    <w:p>
      <w:pPr>
        <w:ind w:firstLine="560"/>
        <w:rPr>
          <w:rFonts w:cs="Times New Roman"/>
        </w:rPr>
      </w:pPr>
      <w:r>
        <w:rPr>
          <w:rFonts w:cs="Times New Roman"/>
        </w:rPr>
        <w:t>调价频次：自调价基准年起，之后每间隔满两年即可启动常规调价机制，若约定的调价因素触发《特许经营协议》约定的供水单价常规调价机制时，</w:t>
      </w:r>
      <w:r>
        <w:rPr>
          <w:rFonts w:hint="eastAsia" w:cs="Times New Roman"/>
        </w:rPr>
        <w:t>社会资本</w:t>
      </w:r>
      <w:r>
        <w:rPr>
          <w:rFonts w:cs="Times New Roman"/>
        </w:rPr>
        <w:t>可向政府方申请对供水单价进行调整。通过常规调价确定的单价在下一个常规调价年到来之前维持不变。无论在何种情形下，供水单价的常规调价间至少应间隔满</w:t>
      </w:r>
      <w:r>
        <w:rPr>
          <w:rFonts w:hint="eastAsia" w:cs="Times New Roman"/>
        </w:rPr>
        <w:t>两</w:t>
      </w:r>
      <w:r>
        <w:rPr>
          <w:rFonts w:cs="Times New Roman"/>
        </w:rPr>
        <w:t>年。</w:t>
      </w:r>
    </w:p>
    <w:p>
      <w:pPr>
        <w:ind w:firstLine="560"/>
        <w:rPr>
          <w:rFonts w:cs="Times New Roman"/>
        </w:rPr>
      </w:pPr>
      <w:r>
        <w:rPr>
          <w:rFonts w:cs="Times New Roman"/>
        </w:rPr>
        <w:t>触发条件：触发供水单价常规调价机制的条件为：当供水单价调价系数（K）的绝对值超过5%时，即自上一次常规调价之后供水成本影响因素综合指标累计涨跌幅超过±5%时。</w:t>
      </w:r>
    </w:p>
    <w:p>
      <w:pPr>
        <w:ind w:firstLine="560"/>
        <w:rPr>
          <w:rFonts w:cs="Times New Roman"/>
        </w:rPr>
      </w:pPr>
      <w:r>
        <w:rPr>
          <w:rFonts w:cs="Times New Roman"/>
        </w:rPr>
        <w:t>调价公式：</w:t>
      </w:r>
    </w:p>
    <w:p>
      <w:pPr>
        <w:ind w:firstLine="560"/>
        <w:jc w:val="center"/>
        <w:rPr>
          <w:rFonts w:cs="Times New Roman"/>
        </w:rPr>
      </w:pPr>
      <m:oMathPara>
        <m:oMath>
          <m:sSub>
            <m:sSubPr>
              <m:ctrlPr>
                <w:rPr>
                  <w:rFonts w:ascii="Cambria Math" w:hAnsi="Cambria Math" w:cs="Times New Roman"/>
                  <w:i/>
                </w:rPr>
              </m:ctrlPr>
            </m:sSubPr>
            <m:e>
              <m:r>
                <m:rPr/>
                <w:rPr>
                  <w:rFonts w:ascii="Cambria Math" w:hAnsi="Cambria Math" w:cs="Times New Roman"/>
                </w:rPr>
                <m:t>P</m:t>
              </m:r>
              <m:ctrlPr>
                <w:rPr>
                  <w:rFonts w:ascii="Cambria Math" w:hAnsi="Cambria Math" w:cs="Times New Roman"/>
                  <w:i/>
                </w:rPr>
              </m:ctrlPr>
            </m:e>
            <m:sub>
              <m:r>
                <m:rPr/>
                <w:rPr>
                  <w:rFonts w:ascii="Cambria Math" w:hAnsi="Cambria Math" w:cs="Times New Roman"/>
                </w:rPr>
                <m:t>n</m:t>
              </m:r>
              <m:ctrlPr>
                <w:rPr>
                  <w:rFonts w:ascii="Cambria Math" w:hAnsi="Cambria Math" w:cs="Times New Roman"/>
                  <w:i/>
                </w:rPr>
              </m:ctrlPr>
            </m:sub>
          </m:sSub>
          <m:r>
            <m:rPr/>
            <w:rPr>
              <w:rFonts w:ascii="Cambria Math" w:hAnsi="Cambria Math" w:cs="Times New Roman"/>
            </w:rPr>
            <m:t>= K×</m:t>
          </m:r>
          <m:sSub>
            <m:sSubPr>
              <m:ctrlPr>
                <w:rPr>
                  <w:rFonts w:ascii="Cambria Math" w:hAnsi="Cambria Math" w:cs="Times New Roman"/>
                  <w:i/>
                </w:rPr>
              </m:ctrlPr>
            </m:sSubPr>
            <m:e>
              <m:r>
                <m:rPr/>
                <w:rPr>
                  <w:rFonts w:ascii="Cambria Math" w:hAnsi="Cambria Math" w:cs="Times New Roman"/>
                </w:rPr>
                <m:t>P</m:t>
              </m:r>
              <m:ctrlPr>
                <w:rPr>
                  <w:rFonts w:ascii="Cambria Math" w:hAnsi="Cambria Math" w:cs="Times New Roman"/>
                  <w:i/>
                </w:rPr>
              </m:ctrlPr>
            </m:e>
            <m:sub>
              <m:r>
                <m:rPr/>
                <w:rPr>
                  <w:rFonts w:ascii="Cambria Math" w:hAnsi="Cambria Math" w:cs="Times New Roman"/>
                </w:rPr>
                <m:t>0</m:t>
              </m:r>
              <m:ctrlPr>
                <w:rPr>
                  <w:rFonts w:ascii="Cambria Math" w:hAnsi="Cambria Math" w:cs="Times New Roman"/>
                  <w:i/>
                </w:rPr>
              </m:ctrlPr>
            </m:sub>
          </m:sSub>
        </m:oMath>
      </m:oMathPara>
    </w:p>
    <w:p>
      <w:pPr>
        <w:ind w:firstLine="560"/>
        <w:rPr>
          <w:rFonts w:cs="Times New Roman"/>
        </w:rPr>
      </w:pPr>
      <w:r>
        <w:rPr>
          <w:rFonts w:cs="Times New Roman"/>
        </w:rPr>
        <w:fldChar w:fldCharType="begin"/>
      </w:r>
      <w:r>
        <w:rPr>
          <w:rFonts w:cs="Times New Roman"/>
        </w:rPr>
        <w:instrText xml:space="preserve"> QUOTE Pn </w:instrText>
      </w:r>
      <w:r>
        <w:rPr>
          <w:rFonts w:cs="Times New Roman"/>
        </w:rPr>
        <w:fldChar w:fldCharType="separate"/>
      </w:r>
      <m:oMath>
        <m:sSub>
          <m:sSubPr>
            <m:ctrlPr>
              <w:rPr>
                <w:rFonts w:ascii="Cambria Math" w:hAnsi="Cambria Math" w:cs="Times New Roman"/>
                <w:i/>
              </w:rPr>
            </m:ctrlPr>
          </m:sSubPr>
          <m:e>
            <m:r>
              <m:rPr>
                <m:sty m:val="p"/>
              </m:rPr>
              <w:rPr>
                <w:rFonts w:ascii="Cambria Math" w:hAnsi="Cambria Math" w:cs="Times New Roman"/>
              </w:rPr>
              <m:t>P</m:t>
            </m:r>
            <m:ctrlPr>
              <w:rPr>
                <w:rFonts w:ascii="Cambria Math" w:hAnsi="Cambria Math" w:cs="Times New Roman"/>
                <w:i/>
              </w:rPr>
            </m:ctrlPr>
          </m:e>
          <m:sub>
            <m:r>
              <m:rPr>
                <m:sty m:val="p"/>
              </m:rPr>
              <w:rPr>
                <w:rFonts w:ascii="Cambria Math" w:hAnsi="Cambria Math" w:cs="Times New Roman"/>
              </w:rPr>
              <m:t>n</m:t>
            </m:r>
            <m:ctrlPr>
              <w:rPr>
                <w:rFonts w:ascii="Cambria Math" w:hAnsi="Cambria Math" w:cs="Times New Roman"/>
                <w:i/>
              </w:rPr>
            </m:ctrlPr>
          </m:sub>
        </m:sSub>
      </m:oMath>
      <w:r>
        <w:rPr>
          <w:rFonts w:cs="Times New Roman"/>
        </w:rPr>
        <w:fldChar w:fldCharType="end"/>
      </w:r>
      <w:r>
        <w:rPr>
          <w:rFonts w:cs="Times New Roman"/>
        </w:rPr>
        <w:t>：第n年调整后的灌溉水费价格;</w:t>
      </w:r>
    </w:p>
    <w:p>
      <w:pPr>
        <w:ind w:firstLine="560"/>
        <w:rPr>
          <w:rFonts w:cs="Times New Roman"/>
        </w:rPr>
      </w:pPr>
      <w:r>
        <w:rPr>
          <w:rFonts w:cs="Times New Roman"/>
        </w:rPr>
        <w:fldChar w:fldCharType="begin"/>
      </w:r>
      <w:r>
        <w:rPr>
          <w:rFonts w:cs="Times New Roman"/>
        </w:rPr>
        <w:instrText xml:space="preserve"> QUOTE P0 </w:instrText>
      </w:r>
      <w:r>
        <w:rPr>
          <w:rFonts w:cs="Times New Roman"/>
        </w:rPr>
        <w:fldChar w:fldCharType="separate"/>
      </w:r>
      <m:oMath>
        <m:sSub>
          <m:sSubPr>
            <m:ctrlPr>
              <w:rPr>
                <w:rFonts w:ascii="Cambria Math" w:hAnsi="Cambria Math" w:cs="Times New Roman"/>
                <w:i/>
              </w:rPr>
            </m:ctrlPr>
          </m:sSubPr>
          <m:e>
            <m:r>
              <m:rPr>
                <m:sty m:val="p"/>
              </m:rPr>
              <w:rPr>
                <w:rFonts w:ascii="Cambria Math" w:hAnsi="Cambria Math" w:cs="Times New Roman"/>
              </w:rPr>
              <m:t>P</m:t>
            </m:r>
            <m:ctrlPr>
              <w:rPr>
                <w:rFonts w:ascii="Cambria Math" w:hAnsi="Cambria Math" w:cs="Times New Roman"/>
                <w:i/>
              </w:rPr>
            </m:ctrlPr>
          </m:e>
          <m:sub>
            <m:r>
              <m:rPr>
                <m:sty m:val="p"/>
              </m:rPr>
              <w:rPr>
                <w:rFonts w:ascii="Cambria Math" w:hAnsi="Cambria Math" w:cs="Times New Roman"/>
              </w:rPr>
              <m:t>0</m:t>
            </m:r>
            <m:ctrlPr>
              <w:rPr>
                <w:rFonts w:ascii="Cambria Math" w:hAnsi="Cambria Math" w:cs="Times New Roman"/>
                <w:i/>
              </w:rPr>
            </m:ctrlPr>
          </m:sub>
        </m:sSub>
      </m:oMath>
      <w:r>
        <w:rPr>
          <w:rFonts w:cs="Times New Roman"/>
        </w:rPr>
        <w:fldChar w:fldCharType="end"/>
      </w:r>
      <w:r>
        <w:rPr>
          <w:rFonts w:cs="Times New Roman"/>
        </w:rPr>
        <w:t>：基准</w:t>
      </w:r>
      <w:r>
        <w:rPr>
          <w:rFonts w:hint="eastAsia" w:cs="Times New Roman"/>
        </w:rPr>
        <w:t>灌溉</w:t>
      </w:r>
      <w:r>
        <w:rPr>
          <w:rFonts w:cs="Times New Roman"/>
        </w:rPr>
        <w:t>水费价格，本项目初始基准灌溉水费价格为中标社会资本报价的水费价格；运营期间任意一调价时P</w:t>
      </w:r>
      <w:r>
        <w:rPr>
          <w:rFonts w:cs="Times New Roman"/>
          <w:vertAlign w:val="subscript"/>
        </w:rPr>
        <w:t>0</w:t>
      </w:r>
      <w:r>
        <w:rPr>
          <w:rFonts w:cs="Times New Roman"/>
        </w:rPr>
        <w:t>对应上一次调价后确定的水价；</w:t>
      </w:r>
    </w:p>
    <w:p>
      <w:pPr>
        <w:ind w:firstLine="560"/>
        <w:rPr>
          <w:rFonts w:cs="Times New Roman"/>
        </w:rPr>
      </w:pPr>
      <w:r>
        <w:rPr>
          <w:rFonts w:cs="Times New Roman"/>
        </w:rPr>
        <w:t>K为调价系数：</w:t>
      </w:r>
    </w:p>
    <w:p>
      <w:pPr>
        <w:ind w:firstLine="560"/>
        <w:rPr>
          <w:rFonts w:cs="Times New Roman"/>
        </w:rPr>
      </w:pPr>
      <m:oMathPara>
        <m:oMathParaPr>
          <m:jc m:val="center"/>
        </m:oMathParaPr>
        <m:oMath>
          <m:r>
            <m:rPr/>
            <w:rPr>
              <w:rFonts w:ascii="Cambria Math" w:hAnsi="Cambria Math" w:cs="Times New Roman"/>
            </w:rPr>
            <m:t>K=a×</m:t>
          </m:r>
          <m:sSub>
            <m:sSubPr>
              <m:ctrlPr>
                <w:rPr>
                  <w:rFonts w:ascii="Cambria Math" w:hAnsi="Cambria Math" w:cs="Times New Roman"/>
                  <w:i/>
                </w:rPr>
              </m:ctrlPr>
            </m:sSubPr>
            <m:e>
              <m:r>
                <m:rPr/>
                <w:rPr>
                  <w:rFonts w:ascii="Cambria Math" w:hAnsi="Cambria Math" w:cs="Times New Roman"/>
                </w:rPr>
                <m:t>F</m:t>
              </m:r>
              <m:ctrlPr>
                <w:rPr>
                  <w:rFonts w:ascii="Cambria Math" w:hAnsi="Cambria Math" w:cs="Times New Roman"/>
                  <w:i/>
                </w:rPr>
              </m:ctrlPr>
            </m:e>
            <m:sub>
              <m:r>
                <m:rPr/>
                <w:rPr>
                  <w:rFonts w:ascii="Cambria Math" w:hAnsi="Cambria Math" w:cs="Times New Roman"/>
                </w:rPr>
                <m:t>n</m:t>
              </m:r>
              <m:ctrlPr>
                <w:rPr>
                  <w:rFonts w:ascii="Cambria Math" w:hAnsi="Cambria Math" w:cs="Times New Roman"/>
                  <w:i/>
                </w:rPr>
              </m:ctrlPr>
            </m:sub>
          </m:sSub>
          <m:r>
            <m:rPr/>
            <w:rPr>
              <w:rFonts w:ascii="Cambria Math" w:hAnsi="Cambria Math" w:cs="Times New Roman"/>
            </w:rPr>
            <m:t>/</m:t>
          </m:r>
          <m:sSub>
            <m:sSubPr>
              <m:ctrlPr>
                <w:rPr>
                  <w:rFonts w:ascii="Cambria Math" w:hAnsi="Cambria Math" w:cs="Times New Roman"/>
                  <w:i/>
                </w:rPr>
              </m:ctrlPr>
            </m:sSubPr>
            <m:e>
              <m:r>
                <m:rPr/>
                <w:rPr>
                  <w:rFonts w:ascii="Cambria Math" w:hAnsi="Cambria Math" w:cs="Times New Roman"/>
                </w:rPr>
                <m:t>F</m:t>
              </m:r>
              <m:ctrlPr>
                <w:rPr>
                  <w:rFonts w:ascii="Cambria Math" w:hAnsi="Cambria Math" w:cs="Times New Roman"/>
                  <w:i/>
                </w:rPr>
              </m:ctrlPr>
            </m:e>
            <m:sub>
              <m:r>
                <m:rPr/>
                <w:rPr>
                  <w:rFonts w:ascii="Cambria Math" w:hAnsi="Cambria Math" w:cs="Times New Roman"/>
                </w:rPr>
                <m:t>n−3</m:t>
              </m:r>
              <m:ctrlPr>
                <w:rPr>
                  <w:rFonts w:ascii="Cambria Math" w:hAnsi="Cambria Math" w:cs="Times New Roman"/>
                  <w:i/>
                </w:rPr>
              </m:ctrlPr>
            </m:sub>
          </m:sSub>
          <m:r>
            <m:rPr/>
            <w:rPr>
              <w:rFonts w:ascii="Cambria Math" w:hAnsi="Cambria Math" w:cs="Times New Roman"/>
            </w:rPr>
            <m:t>+b×</m:t>
          </m:r>
          <m:sSub>
            <m:sSubPr>
              <m:ctrlPr>
                <w:rPr>
                  <w:rFonts w:ascii="Cambria Math" w:hAnsi="Cambria Math" w:cs="Times New Roman"/>
                  <w:i/>
                </w:rPr>
              </m:ctrlPr>
            </m:sSubPr>
            <m:e>
              <m:r>
                <m:rPr/>
                <w:rPr>
                  <w:rFonts w:ascii="Cambria Math" w:hAnsi="Cambria Math" w:cs="Times New Roman"/>
                </w:rPr>
                <m:t>L</m:t>
              </m:r>
              <m:ctrlPr>
                <w:rPr>
                  <w:rFonts w:ascii="Cambria Math" w:hAnsi="Cambria Math" w:cs="Times New Roman"/>
                  <w:i/>
                </w:rPr>
              </m:ctrlPr>
            </m:e>
            <m:sub>
              <m:r>
                <m:rPr/>
                <w:rPr>
                  <w:rFonts w:ascii="Cambria Math" w:hAnsi="Cambria Math" w:cs="Times New Roman"/>
                </w:rPr>
                <m:t>n</m:t>
              </m:r>
              <m:ctrlPr>
                <w:rPr>
                  <w:rFonts w:ascii="Cambria Math" w:hAnsi="Cambria Math" w:cs="Times New Roman"/>
                  <w:i/>
                </w:rPr>
              </m:ctrlPr>
            </m:sub>
          </m:sSub>
          <m:r>
            <m:rPr/>
            <w:rPr>
              <w:rFonts w:ascii="Cambria Math" w:hAnsi="Cambria Math" w:cs="Times New Roman"/>
            </w:rPr>
            <m:t>/</m:t>
          </m:r>
          <m:sSub>
            <m:sSubPr>
              <m:ctrlPr>
                <w:rPr>
                  <w:rFonts w:ascii="Cambria Math" w:hAnsi="Cambria Math" w:cs="Times New Roman"/>
                  <w:i/>
                </w:rPr>
              </m:ctrlPr>
            </m:sSubPr>
            <m:e>
              <m:r>
                <m:rPr/>
                <w:rPr>
                  <w:rFonts w:ascii="Cambria Math" w:hAnsi="Cambria Math" w:cs="Times New Roman"/>
                </w:rPr>
                <m:t>L</m:t>
              </m:r>
              <m:ctrlPr>
                <w:rPr>
                  <w:rFonts w:ascii="Cambria Math" w:hAnsi="Cambria Math" w:cs="Times New Roman"/>
                  <w:i/>
                </w:rPr>
              </m:ctrlPr>
            </m:e>
            <m:sub>
              <m:r>
                <m:rPr/>
                <w:rPr>
                  <w:rFonts w:ascii="Cambria Math" w:hAnsi="Cambria Math" w:cs="Times New Roman"/>
                </w:rPr>
                <m:t>n−3</m:t>
              </m:r>
              <m:ctrlPr>
                <w:rPr>
                  <w:rFonts w:ascii="Cambria Math" w:hAnsi="Cambria Math" w:cs="Times New Roman"/>
                  <w:i/>
                </w:rPr>
              </m:ctrlPr>
            </m:sub>
          </m:sSub>
          <m:r>
            <m:rPr/>
            <w:rPr>
              <w:rFonts w:ascii="Cambria Math" w:hAnsi="Cambria Math" w:cs="Times New Roman"/>
            </w:rPr>
            <m:t>+c×</m:t>
          </m:r>
          <m:sSub>
            <m:sSubPr>
              <m:ctrlPr>
                <w:rPr>
                  <w:rFonts w:ascii="Cambria Math" w:hAnsi="Cambria Math" w:cs="Times New Roman"/>
                  <w:i/>
                </w:rPr>
              </m:ctrlPr>
            </m:sSubPr>
            <m:e>
              <m:r>
                <m:rPr/>
                <w:rPr>
                  <w:rFonts w:ascii="Cambria Math" w:hAnsi="Cambria Math" w:cs="Times New Roman"/>
                </w:rPr>
                <m:t>Y</m:t>
              </m:r>
              <m:ctrlPr>
                <w:rPr>
                  <w:rFonts w:ascii="Cambria Math" w:hAnsi="Cambria Math" w:cs="Times New Roman"/>
                  <w:i/>
                </w:rPr>
              </m:ctrlPr>
            </m:e>
            <m:sub>
              <m:r>
                <m:rPr/>
                <w:rPr>
                  <w:rFonts w:ascii="Cambria Math" w:hAnsi="Cambria Math" w:cs="Times New Roman"/>
                </w:rPr>
                <m:t>n</m:t>
              </m:r>
              <m:ctrlPr>
                <w:rPr>
                  <w:rFonts w:ascii="Cambria Math" w:hAnsi="Cambria Math" w:cs="Times New Roman"/>
                  <w:i/>
                </w:rPr>
              </m:ctrlPr>
            </m:sub>
          </m:sSub>
          <m:r>
            <m:rPr/>
            <w:rPr>
              <w:rFonts w:ascii="Cambria Math" w:hAnsi="Cambria Math" w:cs="Times New Roman"/>
            </w:rPr>
            <m:t>/</m:t>
          </m:r>
          <m:sSub>
            <m:sSubPr>
              <m:ctrlPr>
                <w:rPr>
                  <w:rFonts w:ascii="Cambria Math" w:hAnsi="Cambria Math" w:cs="Times New Roman"/>
                  <w:i/>
                </w:rPr>
              </m:ctrlPr>
            </m:sSubPr>
            <m:e>
              <m:r>
                <m:rPr/>
                <w:rPr>
                  <w:rFonts w:ascii="Cambria Math" w:hAnsi="Cambria Math" w:cs="Times New Roman"/>
                </w:rPr>
                <m:t>Y</m:t>
              </m:r>
              <m:ctrlPr>
                <w:rPr>
                  <w:rFonts w:ascii="Cambria Math" w:hAnsi="Cambria Math" w:cs="Times New Roman"/>
                  <w:i/>
                </w:rPr>
              </m:ctrlPr>
            </m:e>
            <m:sub>
              <m:r>
                <m:rPr/>
                <w:rPr>
                  <w:rFonts w:ascii="Cambria Math" w:hAnsi="Cambria Math" w:cs="Times New Roman"/>
                </w:rPr>
                <m:t>n−3</m:t>
              </m:r>
              <m:ctrlPr>
                <w:rPr>
                  <w:rFonts w:ascii="Cambria Math" w:hAnsi="Cambria Math" w:cs="Times New Roman"/>
                  <w:i/>
                </w:rPr>
              </m:ctrlPr>
            </m:sub>
          </m:sSub>
          <m:r>
            <m:rPr/>
            <w:rPr>
              <w:rFonts w:ascii="Cambria Math" w:hAnsi="Cambria Math" w:cs="Times New Roman"/>
            </w:rPr>
            <m:t>+d</m:t>
          </m:r>
          <m:sSub>
            <m:sSubPr>
              <m:ctrlPr>
                <w:rPr>
                  <w:rFonts w:ascii="Cambria Math" w:hAnsi="Cambria Math" w:cs="Times New Roman"/>
                  <w:i/>
                </w:rPr>
              </m:ctrlPr>
            </m:sSubPr>
            <m:e>
              <m:r>
                <m:rPr/>
                <w:rPr>
                  <w:rFonts w:ascii="Cambria Math" w:hAnsi="Cambria Math" w:cs="Times New Roman"/>
                </w:rPr>
                <m:t>∗</m:t>
              </m:r>
              <m:sSub>
                <m:sSubPr>
                  <m:ctrlPr>
                    <w:rPr>
                      <w:rFonts w:ascii="Cambria Math" w:hAnsi="Cambria Math" w:cs="Times New Roman"/>
                      <w:i/>
                    </w:rPr>
                  </m:ctrlPr>
                </m:sSubPr>
                <m:e>
                  <m:r>
                    <m:rPr/>
                    <w:rPr>
                      <w:rFonts w:ascii="Cambria Math" w:hAnsi="Cambria Math" w:cs="Times New Roman"/>
                    </w:rPr>
                    <m:t>CPI</m:t>
                  </m:r>
                  <m:ctrlPr>
                    <w:rPr>
                      <w:rFonts w:ascii="Cambria Math" w:hAnsi="Cambria Math" w:cs="Times New Roman"/>
                      <w:i/>
                    </w:rPr>
                  </m:ctrlPr>
                </m:e>
                <m:sub>
                  <m:r>
                    <m:rPr/>
                    <w:rPr>
                      <w:rFonts w:ascii="Cambria Math" w:hAnsi="Cambria Math" w:cs="Times New Roman"/>
                    </w:rPr>
                    <m:t>n−3</m:t>
                  </m:r>
                  <m:ctrlPr>
                    <w:rPr>
                      <w:rFonts w:ascii="Cambria Math" w:hAnsi="Cambria Math" w:cs="Times New Roman"/>
                      <w:i/>
                    </w:rPr>
                  </m:ctrlPr>
                </m:sub>
              </m:sSub>
              <m:r>
                <m:rPr/>
                <w:rPr>
                  <w:rFonts w:ascii="Cambria Math" w:hAnsi="Cambria Math" w:cs="Times New Roman"/>
                </w:rPr>
                <m:t>∗</m:t>
              </m:r>
              <m:sSub>
                <m:sSubPr>
                  <m:ctrlPr>
                    <w:rPr>
                      <w:rFonts w:ascii="Cambria Math" w:hAnsi="Cambria Math" w:cs="Times New Roman"/>
                      <w:i/>
                    </w:rPr>
                  </m:ctrlPr>
                </m:sSubPr>
                <m:e>
                  <m:r>
                    <m:rPr/>
                    <w:rPr>
                      <w:rFonts w:ascii="Cambria Math" w:hAnsi="Cambria Math" w:cs="Times New Roman"/>
                    </w:rPr>
                    <m:t>CPI</m:t>
                  </m:r>
                  <m:ctrlPr>
                    <w:rPr>
                      <w:rFonts w:ascii="Cambria Math" w:hAnsi="Cambria Math" w:cs="Times New Roman"/>
                      <w:i/>
                    </w:rPr>
                  </m:ctrlPr>
                </m:e>
                <m:sub>
                  <m:r>
                    <m:rPr/>
                    <w:rPr>
                      <w:rFonts w:ascii="Cambria Math" w:hAnsi="Cambria Math" w:cs="Times New Roman"/>
                    </w:rPr>
                    <m:t>n−2</m:t>
                  </m:r>
                  <m:ctrlPr>
                    <w:rPr>
                      <w:rFonts w:ascii="Cambria Math" w:hAnsi="Cambria Math" w:cs="Times New Roman"/>
                      <w:i/>
                    </w:rPr>
                  </m:ctrlPr>
                </m:sub>
              </m:sSub>
              <m:r>
                <m:rPr/>
                <w:rPr>
                  <w:rFonts w:ascii="Cambria Math" w:hAnsi="Cambria Math" w:cs="Times New Roman"/>
                </w:rPr>
                <m:t>∗CPI</m:t>
              </m:r>
              <m:ctrlPr>
                <w:rPr>
                  <w:rFonts w:ascii="Cambria Math" w:hAnsi="Cambria Math" w:cs="Times New Roman"/>
                  <w:i/>
                </w:rPr>
              </m:ctrlPr>
            </m:e>
            <m:sub>
              <m:r>
                <m:rPr/>
                <w:rPr>
                  <w:rFonts w:ascii="Cambria Math" w:hAnsi="Cambria Math" w:cs="Times New Roman"/>
                </w:rPr>
                <m:t>n−1</m:t>
              </m:r>
              <m:ctrlPr>
                <w:rPr>
                  <w:rFonts w:ascii="Cambria Math" w:hAnsi="Cambria Math" w:cs="Times New Roman"/>
                  <w:i/>
                </w:rPr>
              </m:ctrlPr>
            </m:sub>
          </m:sSub>
        </m:oMath>
      </m:oMathPara>
    </w:p>
    <w:p>
      <w:pPr>
        <w:pStyle w:val="11"/>
        <w:ind w:firstLine="400"/>
        <w:rPr>
          <w:rFonts w:ascii="Times New Roman" w:hAnsi="Times New Roman" w:cs="Times New Roman"/>
        </w:rPr>
      </w:pPr>
      <w:bookmarkStart w:id="105" w:name="_Toc91499558"/>
      <w:r>
        <w:rPr>
          <w:rFonts w:ascii="Times New Roman" w:hAnsi="Times New Roman" w:cs="Times New Roman"/>
        </w:rPr>
        <w:t>表</w:t>
      </w:r>
      <w:r>
        <w:rPr>
          <w:rFonts w:ascii="Times New Roman" w:hAnsi="Times New Roman" w:cs="Times New Roman"/>
        </w:rPr>
        <w:fldChar w:fldCharType="begin"/>
      </w:r>
      <w:r>
        <w:rPr>
          <w:rFonts w:ascii="Times New Roman" w:hAnsi="Times New Roman" w:cs="Times New Roman"/>
        </w:rPr>
        <w:instrText xml:space="preserve"> SEQ 表 \* ARABIC </w:instrText>
      </w:r>
      <w:r>
        <w:rPr>
          <w:rFonts w:ascii="Times New Roman" w:hAnsi="Times New Roman" w:cs="Times New Roman"/>
        </w:rPr>
        <w:fldChar w:fldCharType="separate"/>
      </w:r>
      <w:r>
        <w:rPr>
          <w:rFonts w:ascii="Times New Roman" w:hAnsi="Times New Roman" w:cs="Times New Roman"/>
        </w:rPr>
        <w:t>1</w:t>
      </w:r>
      <w:r>
        <w:rPr>
          <w:rFonts w:ascii="Times New Roman" w:hAnsi="Times New Roman" w:cs="Times New Roman"/>
        </w:rPr>
        <w:fldChar w:fldCharType="end"/>
      </w:r>
      <w:r>
        <w:rPr>
          <w:rFonts w:ascii="Times New Roman" w:hAnsi="Times New Roman" w:cs="Times New Roman"/>
        </w:rPr>
        <w:t>-1 项目调价公式符号释义</w:t>
      </w:r>
      <w:bookmarkEnd w:id="105"/>
    </w:p>
    <w:tbl>
      <w:tblPr>
        <w:tblStyle w:val="30"/>
        <w:tblW w:w="84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0"/>
        <w:gridCol w:w="70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jc w:val="center"/>
        </w:trPr>
        <w:tc>
          <w:tcPr>
            <w:tcW w:w="1410" w:type="dxa"/>
            <w:vAlign w:val="center"/>
          </w:tcPr>
          <w:p>
            <w:pPr>
              <w:spacing w:line="240" w:lineRule="auto"/>
              <w:ind w:firstLine="0" w:firstLineChars="0"/>
              <w:jc w:val="center"/>
              <w:rPr>
                <w:rFonts w:cs="Times New Roman"/>
                <w:sz w:val="24"/>
                <w:szCs w:val="24"/>
              </w:rPr>
            </w:pPr>
            <w:r>
              <w:rPr>
                <w:rFonts w:cs="Times New Roman"/>
                <w:sz w:val="24"/>
                <w:szCs w:val="24"/>
              </w:rPr>
              <w:t>a</w:t>
            </w:r>
          </w:p>
        </w:tc>
        <w:tc>
          <w:tcPr>
            <w:tcW w:w="7011" w:type="dxa"/>
            <w:vAlign w:val="center"/>
          </w:tcPr>
          <w:p>
            <w:pPr>
              <w:spacing w:line="240" w:lineRule="auto"/>
              <w:ind w:firstLine="0" w:firstLineChars="0"/>
              <w:rPr>
                <w:rFonts w:cs="Times New Roman"/>
                <w:sz w:val="24"/>
                <w:szCs w:val="24"/>
              </w:rPr>
            </w:pPr>
            <w:r>
              <w:rPr>
                <w:rFonts w:cs="Times New Roman"/>
                <w:sz w:val="24"/>
                <w:szCs w:val="24"/>
              </w:rPr>
              <w:t>是</w:t>
            </w:r>
            <w:r>
              <w:rPr>
                <w:rFonts w:hint="eastAsia" w:cs="Times New Roman"/>
                <w:sz w:val="24"/>
                <w:szCs w:val="24"/>
              </w:rPr>
              <w:t>燃料动力费</w:t>
            </w:r>
            <w:r>
              <w:rPr>
                <w:rFonts w:cs="Times New Roman"/>
                <w:sz w:val="24"/>
                <w:szCs w:val="24"/>
              </w:rPr>
              <w:t>在水费价格构成中所占的比例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jc w:val="center"/>
        </w:trPr>
        <w:tc>
          <w:tcPr>
            <w:tcW w:w="1410" w:type="dxa"/>
            <w:vAlign w:val="center"/>
          </w:tcPr>
          <w:p>
            <w:pPr>
              <w:spacing w:line="240" w:lineRule="auto"/>
              <w:ind w:firstLine="0" w:firstLineChars="0"/>
              <w:jc w:val="center"/>
              <w:rPr>
                <w:rFonts w:cs="Times New Roman"/>
                <w:sz w:val="24"/>
                <w:szCs w:val="24"/>
              </w:rPr>
            </w:pPr>
            <w:r>
              <w:rPr>
                <w:rFonts w:cs="Times New Roman"/>
                <w:sz w:val="24"/>
                <w:szCs w:val="24"/>
              </w:rPr>
              <w:t>b</w:t>
            </w:r>
          </w:p>
        </w:tc>
        <w:tc>
          <w:tcPr>
            <w:tcW w:w="7011" w:type="dxa"/>
            <w:vAlign w:val="center"/>
          </w:tcPr>
          <w:p>
            <w:pPr>
              <w:spacing w:line="240" w:lineRule="auto"/>
              <w:ind w:firstLine="0" w:firstLineChars="0"/>
              <w:rPr>
                <w:rFonts w:cs="Times New Roman"/>
                <w:sz w:val="24"/>
                <w:szCs w:val="24"/>
              </w:rPr>
            </w:pPr>
            <w:r>
              <w:rPr>
                <w:rFonts w:cs="Times New Roman"/>
                <w:sz w:val="24"/>
                <w:szCs w:val="24"/>
              </w:rPr>
              <w:t>是</w:t>
            </w:r>
            <w:r>
              <w:rPr>
                <w:rFonts w:hint="eastAsia" w:cs="Times New Roman"/>
                <w:sz w:val="24"/>
                <w:szCs w:val="24"/>
              </w:rPr>
              <w:t>工资及福利</w:t>
            </w:r>
            <w:r>
              <w:rPr>
                <w:rFonts w:cs="Times New Roman"/>
                <w:sz w:val="24"/>
                <w:szCs w:val="24"/>
              </w:rPr>
              <w:t>费用在水费价格构成中所占的比例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jc w:val="center"/>
        </w:trPr>
        <w:tc>
          <w:tcPr>
            <w:tcW w:w="1410" w:type="dxa"/>
            <w:vAlign w:val="center"/>
          </w:tcPr>
          <w:p>
            <w:pPr>
              <w:spacing w:line="240" w:lineRule="auto"/>
              <w:ind w:firstLine="0" w:firstLineChars="0"/>
              <w:jc w:val="center"/>
              <w:rPr>
                <w:rFonts w:cs="Times New Roman"/>
                <w:sz w:val="24"/>
                <w:szCs w:val="24"/>
              </w:rPr>
            </w:pPr>
            <w:r>
              <w:rPr>
                <w:rFonts w:cs="Times New Roman"/>
                <w:sz w:val="24"/>
                <w:szCs w:val="24"/>
              </w:rPr>
              <w:t>c</w:t>
            </w:r>
          </w:p>
        </w:tc>
        <w:tc>
          <w:tcPr>
            <w:tcW w:w="7011" w:type="dxa"/>
            <w:vAlign w:val="center"/>
          </w:tcPr>
          <w:p>
            <w:pPr>
              <w:spacing w:line="240" w:lineRule="auto"/>
              <w:ind w:firstLine="0" w:firstLineChars="0"/>
              <w:rPr>
                <w:rFonts w:cs="Times New Roman"/>
                <w:sz w:val="24"/>
                <w:szCs w:val="24"/>
              </w:rPr>
            </w:pPr>
            <w:r>
              <w:rPr>
                <w:rFonts w:cs="Times New Roman"/>
                <w:sz w:val="24"/>
                <w:szCs w:val="24"/>
              </w:rPr>
              <w:t>是</w:t>
            </w:r>
            <w:r>
              <w:rPr>
                <w:rFonts w:hint="eastAsia" w:cs="Times New Roman"/>
                <w:sz w:val="24"/>
                <w:szCs w:val="24"/>
              </w:rPr>
              <w:t>水源费</w:t>
            </w:r>
            <w:r>
              <w:rPr>
                <w:rFonts w:cs="Times New Roman"/>
                <w:sz w:val="24"/>
                <w:szCs w:val="24"/>
              </w:rPr>
              <w:t>和</w:t>
            </w:r>
            <w:r>
              <w:rPr>
                <w:rFonts w:hint="eastAsia" w:cs="Times New Roman"/>
                <w:sz w:val="24"/>
                <w:szCs w:val="24"/>
              </w:rPr>
              <w:t>原材料费</w:t>
            </w:r>
            <w:r>
              <w:rPr>
                <w:rFonts w:cs="Times New Roman"/>
                <w:sz w:val="24"/>
                <w:szCs w:val="24"/>
              </w:rPr>
              <w:t>在水费价格构成中所占的比例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jc w:val="center"/>
        </w:trPr>
        <w:tc>
          <w:tcPr>
            <w:tcW w:w="1410" w:type="dxa"/>
            <w:vAlign w:val="center"/>
          </w:tcPr>
          <w:p>
            <w:pPr>
              <w:spacing w:line="240" w:lineRule="auto"/>
              <w:ind w:firstLine="0" w:firstLineChars="0"/>
              <w:jc w:val="center"/>
              <w:rPr>
                <w:rFonts w:cs="Times New Roman"/>
                <w:sz w:val="24"/>
                <w:szCs w:val="24"/>
              </w:rPr>
            </w:pPr>
            <w:r>
              <w:rPr>
                <w:rFonts w:cs="Times New Roman"/>
                <w:sz w:val="24"/>
                <w:szCs w:val="24"/>
              </w:rPr>
              <w:t>d</w:t>
            </w:r>
          </w:p>
        </w:tc>
        <w:tc>
          <w:tcPr>
            <w:tcW w:w="7011" w:type="dxa"/>
            <w:vAlign w:val="center"/>
          </w:tcPr>
          <w:p>
            <w:pPr>
              <w:spacing w:line="240" w:lineRule="auto"/>
              <w:ind w:firstLine="0" w:firstLineChars="0"/>
              <w:rPr>
                <w:rFonts w:cs="Times New Roman"/>
                <w:sz w:val="24"/>
                <w:szCs w:val="24"/>
              </w:rPr>
            </w:pPr>
            <w:r>
              <w:rPr>
                <w:rFonts w:cs="Times New Roman"/>
                <w:sz w:val="24"/>
                <w:szCs w:val="24"/>
              </w:rPr>
              <w:t>是除</w:t>
            </w:r>
            <w:r>
              <w:rPr>
                <w:rFonts w:hint="eastAsia" w:cs="Times New Roman"/>
                <w:sz w:val="24"/>
                <w:szCs w:val="24"/>
              </w:rPr>
              <w:t>燃料动力费</w:t>
            </w:r>
            <w:r>
              <w:rPr>
                <w:rFonts w:cs="Times New Roman"/>
                <w:sz w:val="24"/>
                <w:szCs w:val="24"/>
              </w:rPr>
              <w:t>、</w:t>
            </w:r>
            <w:r>
              <w:rPr>
                <w:rFonts w:hint="eastAsia" w:cs="Times New Roman"/>
                <w:sz w:val="24"/>
                <w:szCs w:val="24"/>
              </w:rPr>
              <w:t>工资及福利</w:t>
            </w:r>
            <w:r>
              <w:rPr>
                <w:rFonts w:cs="Times New Roman"/>
                <w:sz w:val="24"/>
                <w:szCs w:val="24"/>
              </w:rPr>
              <w:t>、</w:t>
            </w:r>
            <w:r>
              <w:rPr>
                <w:rFonts w:hint="eastAsia" w:cs="Times New Roman"/>
                <w:sz w:val="24"/>
                <w:szCs w:val="24"/>
              </w:rPr>
              <w:t>水源费</w:t>
            </w:r>
            <w:r>
              <w:rPr>
                <w:rFonts w:cs="Times New Roman"/>
                <w:sz w:val="24"/>
                <w:szCs w:val="24"/>
              </w:rPr>
              <w:t>外的其他部分在水费价格中所占的比例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jc w:val="center"/>
        </w:trPr>
        <w:tc>
          <w:tcPr>
            <w:tcW w:w="1410" w:type="dxa"/>
            <w:vAlign w:val="center"/>
          </w:tcPr>
          <w:p>
            <w:pPr>
              <w:spacing w:line="240" w:lineRule="auto"/>
              <w:ind w:firstLine="0" w:firstLineChars="0"/>
              <w:jc w:val="center"/>
              <w:rPr>
                <w:rFonts w:cs="Times New Roman"/>
                <w:sz w:val="24"/>
                <w:szCs w:val="24"/>
              </w:rPr>
            </w:pPr>
            <w:r>
              <w:rPr>
                <w:rFonts w:cs="Times New Roman"/>
                <w:sz w:val="24"/>
                <w:szCs w:val="24"/>
              </w:rPr>
              <w:t>n</w:t>
            </w:r>
          </w:p>
        </w:tc>
        <w:tc>
          <w:tcPr>
            <w:tcW w:w="7011" w:type="dxa"/>
            <w:vAlign w:val="center"/>
          </w:tcPr>
          <w:p>
            <w:pPr>
              <w:spacing w:line="240" w:lineRule="auto"/>
              <w:ind w:firstLine="0" w:firstLineChars="0"/>
              <w:rPr>
                <w:rFonts w:cs="Times New Roman"/>
                <w:sz w:val="24"/>
                <w:szCs w:val="24"/>
              </w:rPr>
            </w:pPr>
            <w:r>
              <w:rPr>
                <w:rFonts w:cs="Times New Roman"/>
                <w:sz w:val="24"/>
                <w:szCs w:val="24"/>
              </w:rPr>
              <w:t>是调整水费价格的当年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jc w:val="center"/>
        </w:trPr>
        <w:tc>
          <w:tcPr>
            <w:tcW w:w="1410" w:type="dxa"/>
            <w:vAlign w:val="center"/>
          </w:tcPr>
          <w:p>
            <w:pPr>
              <w:spacing w:line="240" w:lineRule="auto"/>
              <w:ind w:firstLine="0" w:firstLineChars="0"/>
              <w:rPr>
                <w:rFonts w:cs="Times New Roman"/>
                <w:sz w:val="24"/>
                <w:szCs w:val="24"/>
              </w:rPr>
            </w:pPr>
            <m:oMathPara>
              <m:oMath>
                <m:sSub>
                  <m:sSubPr>
                    <m:ctrlPr>
                      <w:rPr>
                        <w:rFonts w:ascii="Cambria Math" w:hAnsi="Cambria Math" w:cs="Times New Roman"/>
                        <w:sz w:val="24"/>
                        <w:szCs w:val="24"/>
                      </w:rPr>
                    </m:ctrlPr>
                  </m:sSubPr>
                  <m:e>
                    <m:r>
                      <m:rPr/>
                      <w:rPr>
                        <w:rFonts w:ascii="Cambria Math" w:hAnsi="Cambria Math" w:cs="Times New Roman"/>
                        <w:sz w:val="24"/>
                        <w:szCs w:val="24"/>
                      </w:rPr>
                      <m:t>F</m:t>
                    </m:r>
                    <m:ctrlPr>
                      <w:rPr>
                        <w:rFonts w:ascii="Cambria Math" w:hAnsi="Cambria Math" w:cs="Times New Roman"/>
                        <w:sz w:val="24"/>
                        <w:szCs w:val="24"/>
                      </w:rPr>
                    </m:ctrlPr>
                  </m:e>
                  <m:sub>
                    <m:r>
                      <m:rPr/>
                      <w:rPr>
                        <w:rFonts w:ascii="Cambria Math" w:hAnsi="Cambria Math" w:cs="Times New Roman"/>
                        <w:sz w:val="24"/>
                        <w:szCs w:val="24"/>
                      </w:rPr>
                      <m:t>n</m:t>
                    </m:r>
                    <m:r>
                      <m:rPr>
                        <m:sty m:val="p"/>
                      </m:rPr>
                      <w:rPr>
                        <w:rFonts w:ascii="Cambria Math" w:hAnsi="Cambria Math" w:cs="Times New Roman"/>
                        <w:sz w:val="24"/>
                        <w:szCs w:val="24"/>
                      </w:rPr>
                      <m:t>−3</m:t>
                    </m:r>
                    <m:ctrlPr>
                      <w:rPr>
                        <w:rFonts w:ascii="Cambria Math" w:hAnsi="Cambria Math" w:cs="Times New Roman"/>
                        <w:sz w:val="24"/>
                        <w:szCs w:val="24"/>
                      </w:rPr>
                    </m:ctrlPr>
                  </m:sub>
                </m:sSub>
              </m:oMath>
            </m:oMathPara>
          </w:p>
        </w:tc>
        <w:tc>
          <w:tcPr>
            <w:tcW w:w="7011" w:type="dxa"/>
            <w:vAlign w:val="center"/>
          </w:tcPr>
          <w:p>
            <w:pPr>
              <w:spacing w:line="240" w:lineRule="auto"/>
              <w:ind w:firstLine="0" w:firstLineChars="0"/>
              <w:rPr>
                <w:rFonts w:cs="Times New Roman"/>
                <w:sz w:val="24"/>
                <w:szCs w:val="24"/>
              </w:rPr>
            </w:pPr>
            <w:r>
              <w:rPr>
                <w:rFonts w:cs="Times New Roman"/>
                <w:sz w:val="24"/>
                <w:szCs w:val="24"/>
              </w:rPr>
              <w:t>是第n-3年水费价格中电价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jc w:val="center"/>
        </w:trPr>
        <w:tc>
          <w:tcPr>
            <w:tcW w:w="1410" w:type="dxa"/>
            <w:vAlign w:val="center"/>
          </w:tcPr>
          <w:p>
            <w:pPr>
              <w:spacing w:line="240" w:lineRule="auto"/>
              <w:ind w:firstLine="0" w:firstLineChars="0"/>
              <w:rPr>
                <w:rFonts w:cs="Times New Roman"/>
                <w:sz w:val="24"/>
                <w:szCs w:val="24"/>
              </w:rPr>
            </w:pPr>
            <m:oMathPara>
              <m:oMath>
                <m:sSub>
                  <m:sSubPr>
                    <m:ctrlPr>
                      <w:rPr>
                        <w:rFonts w:ascii="Cambria Math" w:hAnsi="Cambria Math" w:cs="Times New Roman"/>
                        <w:sz w:val="24"/>
                        <w:szCs w:val="24"/>
                      </w:rPr>
                    </m:ctrlPr>
                  </m:sSubPr>
                  <m:e>
                    <m:r>
                      <m:rPr/>
                      <w:rPr>
                        <w:rFonts w:ascii="Cambria Math" w:hAnsi="Cambria Math" w:cs="Times New Roman"/>
                        <w:sz w:val="24"/>
                        <w:szCs w:val="24"/>
                      </w:rPr>
                      <m:t>F</m:t>
                    </m:r>
                    <m:ctrlPr>
                      <w:rPr>
                        <w:rFonts w:ascii="Cambria Math" w:hAnsi="Cambria Math" w:cs="Times New Roman"/>
                        <w:sz w:val="24"/>
                        <w:szCs w:val="24"/>
                      </w:rPr>
                    </m:ctrlPr>
                  </m:e>
                  <m:sub>
                    <m:r>
                      <m:rPr/>
                      <w:rPr>
                        <w:rFonts w:ascii="Cambria Math" w:hAnsi="Cambria Math" w:cs="Times New Roman"/>
                        <w:sz w:val="24"/>
                        <w:szCs w:val="24"/>
                      </w:rPr>
                      <m:t>n</m:t>
                    </m:r>
                    <m:ctrlPr>
                      <w:rPr>
                        <w:rFonts w:ascii="Cambria Math" w:hAnsi="Cambria Math" w:cs="Times New Roman"/>
                        <w:sz w:val="24"/>
                        <w:szCs w:val="24"/>
                      </w:rPr>
                    </m:ctrlPr>
                  </m:sub>
                </m:sSub>
              </m:oMath>
            </m:oMathPara>
          </w:p>
        </w:tc>
        <w:tc>
          <w:tcPr>
            <w:tcW w:w="7011" w:type="dxa"/>
            <w:vAlign w:val="center"/>
          </w:tcPr>
          <w:p>
            <w:pPr>
              <w:spacing w:line="240" w:lineRule="auto"/>
              <w:ind w:firstLine="0" w:firstLineChars="0"/>
              <w:rPr>
                <w:rFonts w:cs="Times New Roman"/>
                <w:sz w:val="24"/>
                <w:szCs w:val="24"/>
              </w:rPr>
            </w:pPr>
            <w:r>
              <w:rPr>
                <w:rFonts w:cs="Times New Roman"/>
                <w:sz w:val="24"/>
                <w:szCs w:val="24"/>
              </w:rPr>
              <w:t>是第n年水费价格中的电价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jc w:val="center"/>
        </w:trPr>
        <w:tc>
          <w:tcPr>
            <w:tcW w:w="1410" w:type="dxa"/>
            <w:vAlign w:val="center"/>
          </w:tcPr>
          <w:p>
            <w:pPr>
              <w:spacing w:line="240" w:lineRule="auto"/>
              <w:ind w:firstLine="0" w:firstLineChars="0"/>
              <w:rPr>
                <w:rFonts w:cs="Times New Roman"/>
                <w:sz w:val="24"/>
                <w:szCs w:val="24"/>
              </w:rPr>
            </w:pPr>
            <m:oMathPara>
              <m:oMath>
                <m:sSub>
                  <m:sSubPr>
                    <m:ctrlPr>
                      <w:rPr>
                        <w:rFonts w:ascii="Cambria Math" w:hAnsi="Cambria Math" w:cs="Times New Roman"/>
                        <w:sz w:val="24"/>
                        <w:szCs w:val="24"/>
                      </w:rPr>
                    </m:ctrlPr>
                  </m:sSubPr>
                  <m:e>
                    <m:r>
                      <m:rPr/>
                      <w:rPr>
                        <w:rFonts w:ascii="Cambria Math" w:hAnsi="Cambria Math" w:cs="Times New Roman"/>
                        <w:sz w:val="24"/>
                        <w:szCs w:val="24"/>
                      </w:rPr>
                      <m:t>L</m:t>
                    </m:r>
                    <m:ctrlPr>
                      <w:rPr>
                        <w:rFonts w:ascii="Cambria Math" w:hAnsi="Cambria Math" w:cs="Times New Roman"/>
                        <w:sz w:val="24"/>
                        <w:szCs w:val="24"/>
                      </w:rPr>
                    </m:ctrlPr>
                  </m:e>
                  <m:sub>
                    <m:r>
                      <m:rPr/>
                      <w:rPr>
                        <w:rFonts w:ascii="Cambria Math" w:hAnsi="Cambria Math" w:cs="Times New Roman"/>
                        <w:sz w:val="24"/>
                        <w:szCs w:val="24"/>
                      </w:rPr>
                      <m:t>n</m:t>
                    </m:r>
                    <m:r>
                      <m:rPr>
                        <m:sty m:val="p"/>
                      </m:rPr>
                      <w:rPr>
                        <w:rFonts w:ascii="Cambria Math" w:hAnsi="Cambria Math" w:cs="Times New Roman"/>
                        <w:sz w:val="24"/>
                        <w:szCs w:val="24"/>
                      </w:rPr>
                      <m:t>−3</m:t>
                    </m:r>
                    <m:ctrlPr>
                      <w:rPr>
                        <w:rFonts w:ascii="Cambria Math" w:hAnsi="Cambria Math" w:cs="Times New Roman"/>
                        <w:sz w:val="24"/>
                        <w:szCs w:val="24"/>
                      </w:rPr>
                    </m:ctrlPr>
                  </m:sub>
                </m:sSub>
              </m:oMath>
            </m:oMathPara>
          </w:p>
        </w:tc>
        <w:tc>
          <w:tcPr>
            <w:tcW w:w="7011" w:type="dxa"/>
            <w:vAlign w:val="center"/>
          </w:tcPr>
          <w:p>
            <w:pPr>
              <w:spacing w:line="240" w:lineRule="auto"/>
              <w:ind w:firstLine="0" w:firstLineChars="0"/>
              <w:rPr>
                <w:rFonts w:cs="Times New Roman"/>
                <w:sz w:val="24"/>
                <w:szCs w:val="24"/>
              </w:rPr>
            </w:pPr>
            <w:r>
              <w:rPr>
                <w:rFonts w:cs="Times New Roman"/>
                <w:sz w:val="24"/>
                <w:szCs w:val="24"/>
              </w:rPr>
              <w:t>是第n-3年时</w:t>
            </w:r>
            <w:r>
              <w:rPr>
                <w:rFonts w:hint="eastAsia" w:cs="Times New Roman"/>
                <w:sz w:val="24"/>
                <w:szCs w:val="24"/>
              </w:rPr>
              <w:t>当地</w:t>
            </w:r>
            <w:r>
              <w:rPr>
                <w:rFonts w:cs="Times New Roman"/>
                <w:sz w:val="24"/>
                <w:szCs w:val="24"/>
              </w:rPr>
              <w:t>统计局编制的《统计年鉴》中公布的“《劳动力和职工工资》-《按国民经济行业分组的在岗职工年平均工资》-《全市总计》”对应的第n-2年全部职工平均工资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jc w:val="center"/>
        </w:trPr>
        <w:tc>
          <w:tcPr>
            <w:tcW w:w="1410" w:type="dxa"/>
            <w:vAlign w:val="center"/>
          </w:tcPr>
          <w:p>
            <w:pPr>
              <w:spacing w:line="240" w:lineRule="auto"/>
              <w:ind w:firstLine="0" w:firstLineChars="0"/>
              <w:rPr>
                <w:rFonts w:cs="Times New Roman"/>
                <w:sz w:val="24"/>
                <w:szCs w:val="24"/>
              </w:rPr>
            </w:pPr>
            <m:oMathPara>
              <m:oMath>
                <m:sSub>
                  <m:sSubPr>
                    <m:ctrlPr>
                      <w:rPr>
                        <w:rFonts w:ascii="Cambria Math" w:hAnsi="Cambria Math" w:cs="Times New Roman"/>
                        <w:sz w:val="24"/>
                        <w:szCs w:val="24"/>
                      </w:rPr>
                    </m:ctrlPr>
                  </m:sSubPr>
                  <m:e>
                    <m:r>
                      <m:rPr/>
                      <w:rPr>
                        <w:rFonts w:ascii="Cambria Math" w:hAnsi="Cambria Math" w:cs="Times New Roman"/>
                        <w:sz w:val="24"/>
                        <w:szCs w:val="24"/>
                      </w:rPr>
                      <m:t>L</m:t>
                    </m:r>
                    <m:ctrlPr>
                      <w:rPr>
                        <w:rFonts w:ascii="Cambria Math" w:hAnsi="Cambria Math" w:cs="Times New Roman"/>
                        <w:sz w:val="24"/>
                        <w:szCs w:val="24"/>
                      </w:rPr>
                    </m:ctrlPr>
                  </m:e>
                  <m:sub>
                    <m:r>
                      <m:rPr/>
                      <w:rPr>
                        <w:rFonts w:ascii="Cambria Math" w:hAnsi="Cambria Math" w:cs="Times New Roman"/>
                        <w:sz w:val="24"/>
                        <w:szCs w:val="24"/>
                      </w:rPr>
                      <m:t>n</m:t>
                    </m:r>
                    <m:ctrlPr>
                      <w:rPr>
                        <w:rFonts w:ascii="Cambria Math" w:hAnsi="Cambria Math" w:cs="Times New Roman"/>
                        <w:sz w:val="24"/>
                        <w:szCs w:val="24"/>
                      </w:rPr>
                    </m:ctrlPr>
                  </m:sub>
                </m:sSub>
              </m:oMath>
            </m:oMathPara>
          </w:p>
        </w:tc>
        <w:tc>
          <w:tcPr>
            <w:tcW w:w="7011" w:type="dxa"/>
            <w:vAlign w:val="center"/>
          </w:tcPr>
          <w:p>
            <w:pPr>
              <w:spacing w:line="240" w:lineRule="auto"/>
              <w:ind w:firstLine="0" w:firstLineChars="0"/>
              <w:rPr>
                <w:rFonts w:cs="Times New Roman"/>
                <w:sz w:val="24"/>
                <w:szCs w:val="24"/>
              </w:rPr>
            </w:pPr>
            <w:r>
              <w:rPr>
                <w:rFonts w:cs="Times New Roman"/>
                <w:sz w:val="24"/>
                <w:szCs w:val="24"/>
              </w:rPr>
              <w:t>是第n年时</w:t>
            </w:r>
            <w:r>
              <w:rPr>
                <w:rFonts w:hint="eastAsia" w:cs="Times New Roman"/>
                <w:sz w:val="24"/>
                <w:szCs w:val="24"/>
              </w:rPr>
              <w:t>本地</w:t>
            </w:r>
            <w:r>
              <w:rPr>
                <w:rFonts w:cs="Times New Roman"/>
                <w:sz w:val="24"/>
                <w:szCs w:val="24"/>
              </w:rPr>
              <w:t>统计局编制的《统计年鉴》中公布的“《劳动力和职工工资》-《按国民经济行业分组的在岗职工年平均工资》-《全市总计》”对应的</w:t>
            </w:r>
            <w:r>
              <w:rPr>
                <w:rFonts w:hint="eastAsia" w:cs="Times New Roman"/>
                <w:sz w:val="24"/>
                <w:szCs w:val="24"/>
              </w:rPr>
              <w:t>n-1</w:t>
            </w:r>
            <w:r>
              <w:rPr>
                <w:rFonts w:cs="Times New Roman"/>
                <w:sz w:val="24"/>
                <w:szCs w:val="24"/>
              </w:rPr>
              <w:t>年全部职工平均工资。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jc w:val="center"/>
        </w:trPr>
        <w:tc>
          <w:tcPr>
            <w:tcW w:w="1410" w:type="dxa"/>
            <w:vAlign w:val="center"/>
          </w:tcPr>
          <w:p>
            <w:pPr>
              <w:spacing w:line="240" w:lineRule="auto"/>
              <w:ind w:firstLine="0" w:firstLineChars="0"/>
              <w:rPr>
                <w:rFonts w:cs="Times New Roman"/>
                <w:sz w:val="24"/>
                <w:szCs w:val="24"/>
              </w:rPr>
            </w:pPr>
            <m:oMathPara>
              <m:oMath>
                <m:sSub>
                  <m:sSubPr>
                    <m:ctrlPr>
                      <w:rPr>
                        <w:rFonts w:ascii="Cambria Math" w:hAnsi="Cambria Math" w:cs="Times New Roman"/>
                        <w:sz w:val="24"/>
                        <w:szCs w:val="24"/>
                      </w:rPr>
                    </m:ctrlPr>
                  </m:sSubPr>
                  <m:e>
                    <m:r>
                      <m:rPr/>
                      <w:rPr>
                        <w:rFonts w:ascii="Cambria Math" w:hAnsi="Cambria Math" w:cs="Times New Roman"/>
                        <w:sz w:val="24"/>
                        <w:szCs w:val="24"/>
                      </w:rPr>
                      <m:t>Y</m:t>
                    </m:r>
                    <m:ctrlPr>
                      <w:rPr>
                        <w:rFonts w:ascii="Cambria Math" w:hAnsi="Cambria Math" w:cs="Times New Roman"/>
                        <w:sz w:val="24"/>
                        <w:szCs w:val="24"/>
                      </w:rPr>
                    </m:ctrlPr>
                  </m:e>
                  <m:sub>
                    <m:r>
                      <m:rPr/>
                      <w:rPr>
                        <w:rFonts w:ascii="Cambria Math" w:hAnsi="Cambria Math" w:cs="Times New Roman"/>
                        <w:sz w:val="24"/>
                        <w:szCs w:val="24"/>
                      </w:rPr>
                      <m:t>n</m:t>
                    </m:r>
                    <m:ctrlPr>
                      <w:rPr>
                        <w:rFonts w:ascii="Cambria Math" w:hAnsi="Cambria Math" w:cs="Times New Roman"/>
                        <w:sz w:val="24"/>
                        <w:szCs w:val="24"/>
                      </w:rPr>
                    </m:ctrlPr>
                  </m:sub>
                </m:sSub>
              </m:oMath>
            </m:oMathPara>
          </w:p>
        </w:tc>
        <w:tc>
          <w:tcPr>
            <w:tcW w:w="7011" w:type="dxa"/>
            <w:vAlign w:val="center"/>
          </w:tcPr>
          <w:p>
            <w:pPr>
              <w:spacing w:line="240" w:lineRule="auto"/>
              <w:ind w:firstLine="0" w:firstLineChars="0"/>
              <w:rPr>
                <w:rFonts w:cs="Times New Roman"/>
                <w:sz w:val="24"/>
                <w:szCs w:val="24"/>
              </w:rPr>
            </w:pPr>
            <w:r>
              <w:rPr>
                <w:rFonts w:cs="Times New Roman"/>
                <w:sz w:val="24"/>
                <w:szCs w:val="24"/>
              </w:rPr>
              <w:t>第n年时水费价格中的</w:t>
            </w:r>
            <w:r>
              <w:rPr>
                <w:rFonts w:hint="eastAsia" w:cs="Times New Roman"/>
                <w:sz w:val="24"/>
                <w:szCs w:val="24"/>
              </w:rPr>
              <w:t>水源费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jc w:val="center"/>
        </w:trPr>
        <w:tc>
          <w:tcPr>
            <w:tcW w:w="1410" w:type="dxa"/>
            <w:vAlign w:val="center"/>
          </w:tcPr>
          <w:p>
            <w:pPr>
              <w:spacing w:line="240" w:lineRule="auto"/>
              <w:ind w:firstLine="0" w:firstLineChars="0"/>
              <w:rPr>
                <w:rFonts w:cs="Times New Roman"/>
                <w:sz w:val="24"/>
                <w:szCs w:val="24"/>
              </w:rPr>
            </w:pPr>
            <m:oMathPara>
              <m:oMath>
                <m:sSub>
                  <m:sSubPr>
                    <m:ctrlPr>
                      <w:rPr>
                        <w:rFonts w:ascii="Cambria Math" w:hAnsi="Cambria Math" w:cs="Times New Roman"/>
                        <w:sz w:val="24"/>
                        <w:szCs w:val="24"/>
                      </w:rPr>
                    </m:ctrlPr>
                  </m:sSubPr>
                  <m:e>
                    <m:r>
                      <m:rPr/>
                      <w:rPr>
                        <w:rFonts w:ascii="Cambria Math" w:hAnsi="Cambria Math" w:cs="Times New Roman"/>
                        <w:sz w:val="24"/>
                        <w:szCs w:val="24"/>
                      </w:rPr>
                      <m:t>Y</m:t>
                    </m:r>
                    <m:ctrlPr>
                      <w:rPr>
                        <w:rFonts w:ascii="Cambria Math" w:hAnsi="Cambria Math" w:cs="Times New Roman"/>
                        <w:sz w:val="24"/>
                        <w:szCs w:val="24"/>
                      </w:rPr>
                    </m:ctrlPr>
                  </m:e>
                  <m:sub>
                    <m:r>
                      <m:rPr/>
                      <w:rPr>
                        <w:rFonts w:ascii="Cambria Math" w:hAnsi="Cambria Math" w:cs="Times New Roman"/>
                        <w:sz w:val="24"/>
                        <w:szCs w:val="24"/>
                      </w:rPr>
                      <m:t>n</m:t>
                    </m:r>
                    <m:r>
                      <m:rPr>
                        <m:sty m:val="p"/>
                      </m:rPr>
                      <w:rPr>
                        <w:rFonts w:ascii="Cambria Math" w:hAnsi="Cambria Math" w:cs="Times New Roman"/>
                        <w:sz w:val="24"/>
                        <w:szCs w:val="24"/>
                      </w:rPr>
                      <m:t>−3</m:t>
                    </m:r>
                    <m:ctrlPr>
                      <w:rPr>
                        <w:rFonts w:ascii="Cambria Math" w:hAnsi="Cambria Math" w:cs="Times New Roman"/>
                        <w:sz w:val="24"/>
                        <w:szCs w:val="24"/>
                      </w:rPr>
                    </m:ctrlPr>
                  </m:sub>
                </m:sSub>
              </m:oMath>
            </m:oMathPara>
          </w:p>
        </w:tc>
        <w:tc>
          <w:tcPr>
            <w:tcW w:w="7011" w:type="dxa"/>
            <w:vAlign w:val="center"/>
          </w:tcPr>
          <w:p>
            <w:pPr>
              <w:spacing w:line="240" w:lineRule="auto"/>
              <w:ind w:firstLine="0" w:firstLineChars="0"/>
              <w:rPr>
                <w:rFonts w:cs="Times New Roman"/>
                <w:sz w:val="24"/>
                <w:szCs w:val="24"/>
              </w:rPr>
            </w:pPr>
            <w:r>
              <w:rPr>
                <w:rFonts w:cs="Times New Roman"/>
                <w:sz w:val="24"/>
                <w:szCs w:val="24"/>
              </w:rPr>
              <w:t>第n-3年时水费价格中的</w:t>
            </w:r>
            <w:r>
              <w:rPr>
                <w:rFonts w:hint="eastAsia" w:cs="Times New Roman"/>
                <w:sz w:val="24"/>
                <w:szCs w:val="24"/>
              </w:rPr>
              <w:t>水源费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jc w:val="center"/>
        </w:trPr>
        <w:tc>
          <w:tcPr>
            <w:tcW w:w="1410" w:type="dxa"/>
            <w:vAlign w:val="center"/>
          </w:tcPr>
          <w:p>
            <w:pPr>
              <w:spacing w:line="240" w:lineRule="auto"/>
              <w:ind w:firstLine="0" w:firstLineChars="0"/>
              <w:rPr>
                <w:rFonts w:cs="Times New Roman"/>
                <w:sz w:val="24"/>
                <w:szCs w:val="24"/>
              </w:rPr>
            </w:pPr>
            <m:oMathPara>
              <m:oMath>
                <m:sSub>
                  <m:sSubPr>
                    <m:ctrlPr>
                      <w:rPr>
                        <w:rFonts w:ascii="Cambria Math" w:hAnsi="Cambria Math" w:cs="Times New Roman"/>
                        <w:sz w:val="24"/>
                        <w:szCs w:val="24"/>
                      </w:rPr>
                    </m:ctrlPr>
                  </m:sSubPr>
                  <m:e>
                    <m:r>
                      <m:rPr/>
                      <w:rPr>
                        <w:rFonts w:ascii="Cambria Math" w:hAnsi="Cambria Math" w:cs="Times New Roman"/>
                        <w:sz w:val="24"/>
                        <w:szCs w:val="24"/>
                      </w:rPr>
                      <m:t>CPI</m:t>
                    </m:r>
                    <m:ctrlPr>
                      <w:rPr>
                        <w:rFonts w:ascii="Cambria Math" w:hAnsi="Cambria Math" w:cs="Times New Roman"/>
                        <w:sz w:val="24"/>
                        <w:szCs w:val="24"/>
                      </w:rPr>
                    </m:ctrlPr>
                  </m:e>
                  <m:sub>
                    <m:r>
                      <m:rPr/>
                      <w:rPr>
                        <w:rFonts w:ascii="Cambria Math" w:hAnsi="Cambria Math" w:cs="Times New Roman"/>
                        <w:sz w:val="24"/>
                        <w:szCs w:val="24"/>
                      </w:rPr>
                      <m:t>n</m:t>
                    </m:r>
                    <m:r>
                      <m:rPr>
                        <m:sty m:val="p"/>
                      </m:rPr>
                      <w:rPr>
                        <w:rFonts w:ascii="Cambria Math" w:hAnsi="Cambria Math" w:cs="Times New Roman"/>
                        <w:sz w:val="24"/>
                        <w:szCs w:val="24"/>
                      </w:rPr>
                      <m:t>−1</m:t>
                    </m:r>
                    <m:ctrlPr>
                      <w:rPr>
                        <w:rFonts w:ascii="Cambria Math" w:hAnsi="Cambria Math" w:cs="Times New Roman"/>
                        <w:sz w:val="24"/>
                        <w:szCs w:val="24"/>
                      </w:rPr>
                    </m:ctrlPr>
                  </m:sub>
                </m:sSub>
              </m:oMath>
            </m:oMathPara>
          </w:p>
        </w:tc>
        <w:tc>
          <w:tcPr>
            <w:tcW w:w="7011" w:type="dxa"/>
            <w:vAlign w:val="center"/>
          </w:tcPr>
          <w:p>
            <w:pPr>
              <w:spacing w:line="240" w:lineRule="auto"/>
              <w:ind w:firstLine="0" w:firstLineChars="0"/>
              <w:rPr>
                <w:rFonts w:cs="Times New Roman"/>
                <w:sz w:val="24"/>
                <w:szCs w:val="24"/>
              </w:rPr>
            </w:pPr>
            <w:r>
              <w:rPr>
                <w:rFonts w:cs="Times New Roman"/>
                <w:sz w:val="24"/>
                <w:szCs w:val="24"/>
              </w:rPr>
              <w:t>是第n年时国家统计局公布的第n-1年的居民消费价格总指数（百分比指数）。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jc w:val="center"/>
        </w:trPr>
        <w:tc>
          <w:tcPr>
            <w:tcW w:w="1410" w:type="dxa"/>
            <w:vAlign w:val="center"/>
          </w:tcPr>
          <w:p>
            <w:pPr>
              <w:spacing w:line="240" w:lineRule="auto"/>
              <w:ind w:firstLine="0" w:firstLineChars="0"/>
              <w:rPr>
                <w:rFonts w:cs="Times New Roman"/>
                <w:sz w:val="24"/>
                <w:szCs w:val="24"/>
              </w:rPr>
            </w:pPr>
            <m:oMathPara>
              <m:oMath>
                <m:sSub>
                  <m:sSubPr>
                    <m:ctrlPr>
                      <w:rPr>
                        <w:rFonts w:ascii="Cambria Math" w:hAnsi="Cambria Math" w:cs="Times New Roman"/>
                        <w:sz w:val="24"/>
                        <w:szCs w:val="24"/>
                      </w:rPr>
                    </m:ctrlPr>
                  </m:sSubPr>
                  <m:e>
                    <m:r>
                      <m:rPr/>
                      <w:rPr>
                        <w:rFonts w:ascii="Cambria Math" w:hAnsi="Cambria Math" w:cs="Times New Roman"/>
                        <w:sz w:val="24"/>
                        <w:szCs w:val="24"/>
                      </w:rPr>
                      <m:t>CPI</m:t>
                    </m:r>
                    <m:ctrlPr>
                      <w:rPr>
                        <w:rFonts w:ascii="Cambria Math" w:hAnsi="Cambria Math" w:cs="Times New Roman"/>
                        <w:sz w:val="24"/>
                        <w:szCs w:val="24"/>
                      </w:rPr>
                    </m:ctrlPr>
                  </m:e>
                  <m:sub>
                    <m:r>
                      <m:rPr/>
                      <w:rPr>
                        <w:rFonts w:ascii="Cambria Math" w:hAnsi="Cambria Math" w:cs="Times New Roman"/>
                        <w:sz w:val="24"/>
                        <w:szCs w:val="24"/>
                      </w:rPr>
                      <m:t>n</m:t>
                    </m:r>
                    <m:r>
                      <m:rPr>
                        <m:sty m:val="p"/>
                      </m:rPr>
                      <w:rPr>
                        <w:rFonts w:ascii="Cambria Math" w:hAnsi="Cambria Math" w:cs="Times New Roman"/>
                        <w:sz w:val="24"/>
                        <w:szCs w:val="24"/>
                      </w:rPr>
                      <m:t>−2</m:t>
                    </m:r>
                    <m:ctrlPr>
                      <w:rPr>
                        <w:rFonts w:ascii="Cambria Math" w:hAnsi="Cambria Math" w:cs="Times New Roman"/>
                        <w:sz w:val="24"/>
                        <w:szCs w:val="24"/>
                      </w:rPr>
                    </m:ctrlPr>
                  </m:sub>
                </m:sSub>
              </m:oMath>
            </m:oMathPara>
          </w:p>
        </w:tc>
        <w:tc>
          <w:tcPr>
            <w:tcW w:w="7011" w:type="dxa"/>
            <w:vAlign w:val="center"/>
          </w:tcPr>
          <w:p>
            <w:pPr>
              <w:spacing w:line="240" w:lineRule="auto"/>
              <w:ind w:firstLine="0" w:firstLineChars="0"/>
              <w:rPr>
                <w:rFonts w:cs="Times New Roman"/>
                <w:sz w:val="24"/>
                <w:szCs w:val="24"/>
              </w:rPr>
            </w:pPr>
            <w:r>
              <w:rPr>
                <w:rFonts w:cs="Times New Roman"/>
                <w:sz w:val="24"/>
                <w:szCs w:val="24"/>
              </w:rPr>
              <w:t>是第n-1年时国家统计局公布的第n-2年的居民消费价格总指数（百分比指数）。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jc w:val="center"/>
        </w:trPr>
        <w:tc>
          <w:tcPr>
            <w:tcW w:w="1410" w:type="dxa"/>
            <w:vAlign w:val="center"/>
          </w:tcPr>
          <w:p>
            <w:pPr>
              <w:spacing w:line="240" w:lineRule="auto"/>
              <w:ind w:firstLine="0" w:firstLineChars="0"/>
              <w:rPr>
                <w:rFonts w:cs="Times New Roman"/>
                <w:sz w:val="24"/>
                <w:szCs w:val="24"/>
              </w:rPr>
            </w:pPr>
            <m:oMathPara>
              <m:oMath>
                <m:sSub>
                  <m:sSubPr>
                    <m:ctrlPr>
                      <w:rPr>
                        <w:rFonts w:ascii="Cambria Math" w:hAnsi="Cambria Math" w:cs="Times New Roman"/>
                        <w:sz w:val="24"/>
                        <w:szCs w:val="24"/>
                      </w:rPr>
                    </m:ctrlPr>
                  </m:sSubPr>
                  <m:e>
                    <m:r>
                      <m:rPr/>
                      <w:rPr>
                        <w:rFonts w:ascii="Cambria Math" w:hAnsi="Cambria Math" w:cs="Times New Roman"/>
                        <w:sz w:val="24"/>
                        <w:szCs w:val="24"/>
                      </w:rPr>
                      <m:t>CPI</m:t>
                    </m:r>
                    <m:ctrlPr>
                      <w:rPr>
                        <w:rFonts w:ascii="Cambria Math" w:hAnsi="Cambria Math" w:cs="Times New Roman"/>
                        <w:sz w:val="24"/>
                        <w:szCs w:val="24"/>
                      </w:rPr>
                    </m:ctrlPr>
                  </m:e>
                  <m:sub>
                    <m:r>
                      <m:rPr/>
                      <w:rPr>
                        <w:rFonts w:ascii="Cambria Math" w:hAnsi="Cambria Math" w:cs="Times New Roman"/>
                        <w:sz w:val="24"/>
                        <w:szCs w:val="24"/>
                      </w:rPr>
                      <m:t>n</m:t>
                    </m:r>
                    <m:r>
                      <m:rPr>
                        <m:sty m:val="p"/>
                      </m:rPr>
                      <w:rPr>
                        <w:rFonts w:ascii="Cambria Math" w:hAnsi="Cambria Math" w:cs="Times New Roman"/>
                        <w:sz w:val="24"/>
                        <w:szCs w:val="24"/>
                      </w:rPr>
                      <m:t>−3</m:t>
                    </m:r>
                    <m:ctrlPr>
                      <w:rPr>
                        <w:rFonts w:ascii="Cambria Math" w:hAnsi="Cambria Math" w:cs="Times New Roman"/>
                        <w:sz w:val="24"/>
                        <w:szCs w:val="24"/>
                      </w:rPr>
                    </m:ctrlPr>
                  </m:sub>
                </m:sSub>
              </m:oMath>
            </m:oMathPara>
          </w:p>
        </w:tc>
        <w:tc>
          <w:tcPr>
            <w:tcW w:w="7011" w:type="dxa"/>
            <w:vAlign w:val="center"/>
          </w:tcPr>
          <w:p>
            <w:pPr>
              <w:spacing w:line="240" w:lineRule="auto"/>
              <w:ind w:firstLine="0" w:firstLineChars="0"/>
              <w:rPr>
                <w:rFonts w:cs="Times New Roman"/>
                <w:sz w:val="24"/>
                <w:szCs w:val="24"/>
              </w:rPr>
            </w:pPr>
            <w:r>
              <w:rPr>
                <w:rFonts w:cs="Times New Roman"/>
                <w:sz w:val="24"/>
                <w:szCs w:val="24"/>
              </w:rPr>
              <w:t>是第n-2年时国家统计局公布的第n-3年的居民消费价格总指数（百分比指数）。</w:t>
            </w:r>
          </w:p>
        </w:tc>
      </w:tr>
    </w:tbl>
    <w:p>
      <w:pPr>
        <w:ind w:firstLine="560"/>
        <w:rPr>
          <w:rFonts w:cs="Times New Roman"/>
        </w:rPr>
      </w:pPr>
      <w:r>
        <w:rPr>
          <w:rFonts w:cs="Times New Roman"/>
        </w:rPr>
        <w:t>其中：a + b + c + d = 100%</w:t>
      </w:r>
    </w:p>
    <w:p>
      <w:pPr>
        <w:ind w:firstLine="560"/>
        <w:rPr>
          <w:rFonts w:cs="Times New Roman"/>
        </w:rPr>
      </w:pPr>
      <w:r>
        <w:rPr>
          <w:rFonts w:cs="Times New Roman"/>
        </w:rPr>
        <w:t>如国家法律法规及政策发生重大变化，或者因技术改造升级，导致</w:t>
      </w:r>
      <w:r>
        <w:rPr>
          <w:rFonts w:hint="eastAsia" w:cs="Times New Roman"/>
        </w:rPr>
        <w:t>社会资本的</w:t>
      </w:r>
      <w:r>
        <w:rPr>
          <w:rFonts w:cs="Times New Roman"/>
        </w:rPr>
        <w:t>资本性支付及实际运营成本发生重大变化时，</w:t>
      </w:r>
      <w:r>
        <w:rPr>
          <w:rFonts w:hint="eastAsia" w:cs="Times New Roman"/>
        </w:rPr>
        <w:t>社会资本</w:t>
      </w:r>
      <w:r>
        <w:rPr>
          <w:rFonts w:cs="Times New Roman"/>
        </w:rPr>
        <w:t>可向实施机构提出调价申请，并接受价格主管部门的监审。实施机构会同财政部门和发改部门审核其申请，就价格调整做出决定，若作出的价格调整未能使</w:t>
      </w:r>
      <w:r>
        <w:rPr>
          <w:rFonts w:hint="eastAsia" w:cs="Times New Roman"/>
        </w:rPr>
        <w:t>社会资本</w:t>
      </w:r>
      <w:r>
        <w:rPr>
          <w:rFonts w:cs="Times New Roman"/>
        </w:rPr>
        <w:t>达到中标时的合理收益要求，实施机构通过一次性足额补偿等方式予以弥补。具体事宜，届时由双方协商签订补充协议</w:t>
      </w:r>
    </w:p>
    <w:p>
      <w:pPr>
        <w:ind w:firstLine="560"/>
        <w:rPr>
          <w:rFonts w:cs="Times New Roman"/>
        </w:rPr>
      </w:pPr>
      <w:r>
        <w:rPr>
          <w:rFonts w:cs="Times New Roman"/>
        </w:rPr>
        <w:t>特殊情况：项目特许经营期内，因</w:t>
      </w:r>
      <w:r>
        <w:rPr>
          <w:rFonts w:hint="eastAsia" w:cs="Times New Roman"/>
        </w:rPr>
        <w:t>项目公司</w:t>
      </w:r>
      <w:r>
        <w:rPr>
          <w:rFonts w:cs="Times New Roman"/>
        </w:rPr>
        <w:t>经营管理不善导致项目无法满足既定的各项运营目标或运营费用大幅上升的，政府方有权根据实际情况，调减或者不调增</w:t>
      </w:r>
      <w:r>
        <w:rPr>
          <w:rFonts w:hint="eastAsia" w:cs="Times New Roman"/>
        </w:rPr>
        <w:t>水费</w:t>
      </w:r>
      <w:r>
        <w:rPr>
          <w:rFonts w:cs="Times New Roman"/>
        </w:rPr>
        <w:t>单价，具体调整机制在《特许经营协议》中进一步明确。</w:t>
      </w:r>
    </w:p>
    <w:p>
      <w:pPr>
        <w:pStyle w:val="4"/>
        <w:ind w:firstLine="562"/>
        <w:rPr>
          <w:rFonts w:cs="Times New Roman"/>
        </w:rPr>
      </w:pPr>
      <w:r>
        <w:rPr>
          <w:rFonts w:hint="eastAsia" w:cs="Times New Roman"/>
        </w:rPr>
        <w:t>（三）履约保障边界</w:t>
      </w:r>
      <w:bookmarkEnd w:id="102"/>
      <w:bookmarkEnd w:id="103"/>
      <w:bookmarkEnd w:id="104"/>
    </w:p>
    <w:p>
      <w:pPr>
        <w:pStyle w:val="5"/>
        <w:ind w:firstLine="562"/>
        <w:rPr>
          <w:rFonts w:cs="Times New Roman"/>
        </w:rPr>
      </w:pPr>
      <w:r>
        <w:rPr>
          <w:rFonts w:cs="Times New Roman"/>
        </w:rPr>
        <w:t>1.</w:t>
      </w:r>
      <w:r>
        <w:rPr>
          <w:rFonts w:hint="eastAsia" w:cs="Times New Roman"/>
        </w:rPr>
        <w:t>强制保险方案</w:t>
      </w:r>
    </w:p>
    <w:p>
      <w:pPr>
        <w:ind w:firstLine="560"/>
        <w:rPr>
          <w:rFonts w:cs="Times New Roman"/>
        </w:rPr>
      </w:pPr>
      <w:r>
        <w:rPr>
          <w:rFonts w:hint="eastAsia" w:cs="Times New Roman"/>
        </w:rPr>
        <w:t>本项目合作期限内可能遇到不可预期或不可控制的风险，项目公司应按照《特许经营协议》的约定以及适用法律的要求自费购买并维持合理的保险，确保其有效且达到合同约定的最低保险金额、主要包括：财产一切险、第三者责任险、根据谨慎运营维护惯例应购买的相应险种以及政府方认为必要的其他险种等。</w:t>
      </w:r>
    </w:p>
    <w:p>
      <w:pPr>
        <w:ind w:firstLine="560"/>
        <w:rPr>
          <w:rFonts w:cs="Times New Roman"/>
        </w:rPr>
      </w:pPr>
      <w:r>
        <w:rPr>
          <w:rFonts w:hint="eastAsia" w:cs="Times New Roman"/>
        </w:rPr>
        <w:t>如果项目公司不购买或维持《特许经营协议》中所要求的保险，则政府有权购买该保险，并且有权根据合同约定从履约保函或维护保函款中提取需支付的保险费金额。</w:t>
      </w:r>
    </w:p>
    <w:p>
      <w:pPr>
        <w:pStyle w:val="5"/>
        <w:ind w:firstLine="562"/>
        <w:rPr>
          <w:rFonts w:cs="Times New Roman"/>
        </w:rPr>
      </w:pPr>
      <w:r>
        <w:rPr>
          <w:rFonts w:cs="Times New Roman"/>
        </w:rPr>
        <w:t>2.</w:t>
      </w:r>
      <w:r>
        <w:rPr>
          <w:rFonts w:hint="eastAsia" w:cs="Times New Roman"/>
        </w:rPr>
        <w:t>履约担保体系</w:t>
      </w:r>
    </w:p>
    <w:p>
      <w:pPr>
        <w:ind w:firstLine="560"/>
        <w:rPr>
          <w:rFonts w:cs="Times New Roman"/>
        </w:rPr>
      </w:pPr>
      <w:bookmarkStart w:id="106" w:name="_Hlk130124789"/>
      <w:r>
        <w:rPr>
          <w:rFonts w:hint="eastAsia" w:cs="Times New Roman"/>
        </w:rPr>
        <w:t>根据特许经营相关政策要求和行业操作惯例，项目实施机构应当要求社会资本缴纳参与本特许经营项目的投标保证金和履约保证金，以保证社会资本严格依照其投标响应内容和《特许经营协议》的约定履行其义务。本项目主要通过投标保证金（或保函）、履约保函和移交保函构成履约担保体系。在本项目采购、执行和移交阶段中，如果项目公司未能履行投标响应内容或《特许经营协议》中约定的义务，实施机构有权兑取保函相应金额。</w:t>
      </w:r>
    </w:p>
    <w:p>
      <w:pPr>
        <w:ind w:firstLine="560"/>
        <w:rPr>
          <w:rFonts w:cs="Times New Roman"/>
        </w:rPr>
      </w:pPr>
      <w:r>
        <w:rPr>
          <w:rFonts w:hint="eastAsia" w:cs="Times New Roman"/>
        </w:rPr>
        <w:t>参照《财政部政府和社会资本合作项目政府采购管理办法》（财库〔</w:t>
      </w:r>
      <w:r>
        <w:rPr>
          <w:rFonts w:cs="Times New Roman"/>
        </w:rPr>
        <w:t>2014</w:t>
      </w:r>
      <w:r>
        <w:rPr>
          <w:rFonts w:hint="eastAsia" w:cs="Times New Roman"/>
        </w:rPr>
        <w:t>〕</w:t>
      </w:r>
      <w:r>
        <w:rPr>
          <w:rFonts w:cs="Times New Roman"/>
        </w:rPr>
        <w:t>215</w:t>
      </w:r>
      <w:r>
        <w:rPr>
          <w:rFonts w:hint="eastAsia" w:cs="Times New Roman"/>
        </w:rPr>
        <w:t>号）第二十一条：</w:t>
      </w:r>
      <w:r>
        <w:rPr>
          <w:rFonts w:cs="Times New Roman"/>
        </w:rPr>
        <w:t>“</w:t>
      </w:r>
      <w:r>
        <w:rPr>
          <w:rFonts w:hint="eastAsia" w:cs="Times New Roman"/>
        </w:rPr>
        <w:t>参加采购活动的保证金数额不得超过项目预算金额的</w:t>
      </w:r>
      <w:r>
        <w:rPr>
          <w:rFonts w:cs="Times New Roman"/>
        </w:rPr>
        <w:t>2%</w:t>
      </w:r>
      <w:r>
        <w:rPr>
          <w:rFonts w:hint="eastAsia" w:cs="Times New Roman"/>
        </w:rPr>
        <w:t>。履约保证金的数额不得超过项目初始投资总额或者资产评估值的</w:t>
      </w:r>
      <w:r>
        <w:rPr>
          <w:rFonts w:cs="Times New Roman"/>
        </w:rPr>
        <w:t>10%”</w:t>
      </w:r>
      <w:r>
        <w:rPr>
          <w:rFonts w:hint="eastAsia" w:cs="Times New Roman"/>
        </w:rPr>
        <w:t>，本项目履约担保体系详见下表：</w:t>
      </w:r>
      <w:bookmarkEnd w:id="106"/>
    </w:p>
    <w:p>
      <w:pPr>
        <w:pStyle w:val="44"/>
        <w:ind w:firstLine="0" w:firstLineChars="0"/>
        <w:jc w:val="center"/>
        <w:rPr>
          <w:rFonts w:ascii="仿宋" w:hAnsi="仿宋" w:eastAsia="仿宋"/>
          <w:b/>
          <w:bCs w:val="0"/>
          <w:sz w:val="24"/>
          <w:szCs w:val="24"/>
        </w:rPr>
      </w:pPr>
      <w:r>
        <w:rPr>
          <w:rFonts w:hint="eastAsia" w:ascii="仿宋" w:hAnsi="仿宋" w:eastAsia="仿宋"/>
          <w:b/>
          <w:bCs w:val="0"/>
          <w:sz w:val="24"/>
          <w:szCs w:val="24"/>
        </w:rPr>
        <w:t>表</w:t>
      </w:r>
      <w:r>
        <w:rPr>
          <w:rFonts w:ascii="仿宋" w:hAnsi="仿宋" w:eastAsia="仿宋"/>
          <w:b/>
          <w:bCs w:val="0"/>
          <w:sz w:val="24"/>
          <w:szCs w:val="24"/>
        </w:rPr>
        <w:t>8-2</w:t>
      </w:r>
      <w:r>
        <w:rPr>
          <w:rFonts w:hint="eastAsia" w:ascii="仿宋" w:hAnsi="仿宋" w:eastAsia="仿宋"/>
          <w:b/>
          <w:bCs w:val="0"/>
          <w:sz w:val="24"/>
          <w:szCs w:val="24"/>
        </w:rPr>
        <w:t>履约担保体系表</w:t>
      </w:r>
    </w:p>
    <w:tbl>
      <w:tblPr>
        <w:tblStyle w:val="30"/>
        <w:tblW w:w="8720" w:type="dxa"/>
        <w:jc w:val="center"/>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
      <w:tblGrid>
        <w:gridCol w:w="1469"/>
        <w:gridCol w:w="2492"/>
        <w:gridCol w:w="2342"/>
        <w:gridCol w:w="2417"/>
      </w:tblGrid>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cantSplit/>
          <w:trHeight w:val="567" w:hRule="atLeast"/>
          <w:jc w:val="center"/>
        </w:trPr>
        <w:tc>
          <w:tcPr>
            <w:tcW w:w="1469" w:type="dxa"/>
            <w:tcBorders>
              <w:top w:val="single" w:color="auto" w:sz="18" w:space="0"/>
              <w:bottom w:val="single" w:color="auto" w:sz="4" w:space="0"/>
            </w:tcBorders>
            <w:shd w:val="clear" w:color="auto" w:fill="D8D8D8" w:themeFill="background1" w:themeFillShade="D9"/>
            <w:vAlign w:val="center"/>
          </w:tcPr>
          <w:p>
            <w:pPr>
              <w:widowControl/>
              <w:adjustRightInd w:val="0"/>
              <w:snapToGrid w:val="0"/>
              <w:spacing w:line="240" w:lineRule="auto"/>
              <w:ind w:firstLine="0" w:firstLineChars="0"/>
              <w:jc w:val="center"/>
              <w:rPr>
                <w:rFonts w:cs="Times New Roman"/>
                <w:b/>
                <w:color w:val="000000"/>
                <w:kern w:val="0"/>
                <w:sz w:val="24"/>
                <w:szCs w:val="24"/>
              </w:rPr>
            </w:pPr>
            <w:bookmarkStart w:id="107" w:name="_Hlk130124814"/>
            <w:r>
              <w:rPr>
                <w:rFonts w:hint="eastAsia" w:cs="Times New Roman"/>
                <w:b/>
                <w:color w:val="000000"/>
                <w:kern w:val="0"/>
                <w:sz w:val="24"/>
                <w:szCs w:val="24"/>
              </w:rPr>
              <w:t>条款</w:t>
            </w:r>
          </w:p>
        </w:tc>
        <w:tc>
          <w:tcPr>
            <w:tcW w:w="2492" w:type="dxa"/>
            <w:tcBorders>
              <w:top w:val="single" w:color="auto" w:sz="18" w:space="0"/>
              <w:bottom w:val="single" w:color="auto" w:sz="4" w:space="0"/>
            </w:tcBorders>
            <w:shd w:val="clear" w:color="auto" w:fill="D8D8D8" w:themeFill="background1" w:themeFillShade="D9"/>
            <w:vAlign w:val="center"/>
          </w:tcPr>
          <w:p>
            <w:pPr>
              <w:widowControl/>
              <w:adjustRightInd w:val="0"/>
              <w:snapToGrid w:val="0"/>
              <w:spacing w:line="240" w:lineRule="auto"/>
              <w:ind w:firstLine="0" w:firstLineChars="0"/>
              <w:jc w:val="center"/>
              <w:rPr>
                <w:rFonts w:cs="Times New Roman"/>
                <w:b/>
                <w:color w:val="000000"/>
                <w:kern w:val="0"/>
                <w:sz w:val="24"/>
                <w:szCs w:val="24"/>
              </w:rPr>
            </w:pPr>
            <w:r>
              <w:rPr>
                <w:rFonts w:hint="eastAsia" w:cs="Times New Roman"/>
                <w:b/>
                <w:color w:val="000000"/>
                <w:kern w:val="0"/>
                <w:sz w:val="24"/>
                <w:szCs w:val="24"/>
              </w:rPr>
              <w:t>投标保证金</w:t>
            </w:r>
            <w:r>
              <w:rPr>
                <w:rFonts w:cs="Times New Roman"/>
                <w:b/>
                <w:color w:val="000000"/>
                <w:kern w:val="0"/>
                <w:sz w:val="24"/>
                <w:szCs w:val="24"/>
              </w:rPr>
              <w:t>/</w:t>
            </w:r>
            <w:r>
              <w:rPr>
                <w:rFonts w:hint="eastAsia" w:cs="Times New Roman"/>
                <w:b/>
                <w:color w:val="000000"/>
                <w:kern w:val="0"/>
                <w:sz w:val="24"/>
                <w:szCs w:val="24"/>
              </w:rPr>
              <w:t>投标保函</w:t>
            </w:r>
          </w:p>
        </w:tc>
        <w:tc>
          <w:tcPr>
            <w:tcW w:w="2342" w:type="dxa"/>
            <w:tcBorders>
              <w:top w:val="single" w:color="auto" w:sz="18" w:space="0"/>
              <w:bottom w:val="single" w:color="auto" w:sz="4" w:space="0"/>
            </w:tcBorders>
            <w:shd w:val="clear" w:color="auto" w:fill="D8D8D8" w:themeFill="background1" w:themeFillShade="D9"/>
            <w:vAlign w:val="center"/>
          </w:tcPr>
          <w:p>
            <w:pPr>
              <w:widowControl/>
              <w:adjustRightInd w:val="0"/>
              <w:snapToGrid w:val="0"/>
              <w:spacing w:line="240" w:lineRule="auto"/>
              <w:ind w:firstLine="0" w:firstLineChars="0"/>
              <w:jc w:val="center"/>
              <w:rPr>
                <w:rFonts w:cs="Times New Roman"/>
                <w:b/>
                <w:color w:val="000000"/>
                <w:kern w:val="0"/>
                <w:sz w:val="24"/>
                <w:szCs w:val="24"/>
              </w:rPr>
            </w:pPr>
            <w:r>
              <w:rPr>
                <w:rFonts w:hint="eastAsia" w:cs="Times New Roman"/>
                <w:b/>
                <w:color w:val="000000"/>
                <w:kern w:val="0"/>
                <w:sz w:val="24"/>
                <w:szCs w:val="24"/>
              </w:rPr>
              <w:t>履约保函</w:t>
            </w:r>
          </w:p>
        </w:tc>
        <w:tc>
          <w:tcPr>
            <w:tcW w:w="2417" w:type="dxa"/>
            <w:tcBorders>
              <w:top w:val="single" w:color="auto" w:sz="18" w:space="0"/>
              <w:bottom w:val="single" w:color="auto" w:sz="4" w:space="0"/>
            </w:tcBorders>
            <w:shd w:val="clear" w:color="auto" w:fill="D8D8D8" w:themeFill="background1" w:themeFillShade="D9"/>
            <w:vAlign w:val="center"/>
          </w:tcPr>
          <w:p>
            <w:pPr>
              <w:widowControl/>
              <w:adjustRightInd w:val="0"/>
              <w:snapToGrid w:val="0"/>
              <w:spacing w:line="240" w:lineRule="auto"/>
              <w:ind w:firstLine="0" w:firstLineChars="0"/>
              <w:jc w:val="center"/>
              <w:rPr>
                <w:rFonts w:cs="Times New Roman"/>
                <w:b/>
                <w:color w:val="000000"/>
                <w:kern w:val="0"/>
                <w:sz w:val="24"/>
                <w:szCs w:val="24"/>
              </w:rPr>
            </w:pPr>
            <w:bookmarkStart w:id="108" w:name="_Hlk489469615"/>
            <w:r>
              <w:rPr>
                <w:rFonts w:hint="eastAsia" w:cs="Times New Roman"/>
                <w:b/>
                <w:color w:val="000000"/>
                <w:kern w:val="0"/>
                <w:sz w:val="24"/>
                <w:szCs w:val="24"/>
              </w:rPr>
              <w:t>移交</w:t>
            </w:r>
            <w:bookmarkEnd w:id="108"/>
            <w:r>
              <w:rPr>
                <w:rFonts w:hint="eastAsia" w:cs="Times New Roman"/>
                <w:b/>
                <w:color w:val="000000"/>
                <w:kern w:val="0"/>
                <w:sz w:val="24"/>
                <w:szCs w:val="24"/>
              </w:rPr>
              <w:t>保函</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cantSplit/>
          <w:trHeight w:val="567" w:hRule="atLeast"/>
          <w:jc w:val="center"/>
        </w:trPr>
        <w:tc>
          <w:tcPr>
            <w:tcW w:w="1469" w:type="dxa"/>
            <w:tcBorders>
              <w:top w:val="single" w:color="auto" w:sz="4" w:space="0"/>
            </w:tcBorders>
            <w:vAlign w:val="center"/>
          </w:tcPr>
          <w:p>
            <w:pPr>
              <w:widowControl/>
              <w:adjustRightInd w:val="0"/>
              <w:snapToGrid w:val="0"/>
              <w:spacing w:line="240" w:lineRule="auto"/>
              <w:ind w:firstLine="0" w:firstLineChars="0"/>
              <w:jc w:val="center"/>
              <w:rPr>
                <w:rFonts w:cs="Times New Roman"/>
                <w:color w:val="000000"/>
                <w:kern w:val="0"/>
                <w:sz w:val="24"/>
                <w:szCs w:val="24"/>
              </w:rPr>
            </w:pPr>
            <w:r>
              <w:rPr>
                <w:rFonts w:hint="eastAsia" w:cs="Times New Roman"/>
                <w:color w:val="000000"/>
                <w:kern w:val="0"/>
                <w:sz w:val="24"/>
                <w:szCs w:val="24"/>
              </w:rPr>
              <w:t>提交主体</w:t>
            </w:r>
          </w:p>
        </w:tc>
        <w:tc>
          <w:tcPr>
            <w:tcW w:w="2492" w:type="dxa"/>
            <w:tcBorders>
              <w:top w:val="single" w:color="auto" w:sz="4" w:space="0"/>
            </w:tcBorders>
            <w:vAlign w:val="center"/>
          </w:tcPr>
          <w:p>
            <w:pPr>
              <w:widowControl/>
              <w:adjustRightInd w:val="0"/>
              <w:snapToGrid w:val="0"/>
              <w:spacing w:line="240" w:lineRule="auto"/>
              <w:ind w:firstLine="0" w:firstLineChars="0"/>
              <w:jc w:val="center"/>
              <w:rPr>
                <w:rFonts w:cs="Times New Roman"/>
                <w:color w:val="000000"/>
                <w:kern w:val="0"/>
                <w:sz w:val="24"/>
                <w:szCs w:val="24"/>
              </w:rPr>
            </w:pPr>
            <w:r>
              <w:rPr>
                <w:rFonts w:hint="eastAsia" w:cs="Times New Roman"/>
                <w:color w:val="000000"/>
                <w:kern w:val="0"/>
                <w:sz w:val="24"/>
                <w:szCs w:val="24"/>
              </w:rPr>
              <w:t>社会资本</w:t>
            </w:r>
          </w:p>
        </w:tc>
        <w:tc>
          <w:tcPr>
            <w:tcW w:w="2342" w:type="dxa"/>
            <w:tcBorders>
              <w:top w:val="single" w:color="auto" w:sz="4" w:space="0"/>
            </w:tcBorders>
            <w:vAlign w:val="center"/>
          </w:tcPr>
          <w:p>
            <w:pPr>
              <w:widowControl/>
              <w:adjustRightInd w:val="0"/>
              <w:snapToGrid w:val="0"/>
              <w:spacing w:line="240" w:lineRule="auto"/>
              <w:ind w:firstLine="0" w:firstLineChars="0"/>
              <w:jc w:val="center"/>
              <w:rPr>
                <w:rFonts w:cs="Times New Roman"/>
                <w:color w:val="000000"/>
                <w:kern w:val="0"/>
                <w:sz w:val="24"/>
                <w:szCs w:val="24"/>
              </w:rPr>
            </w:pPr>
            <w:r>
              <w:rPr>
                <w:rFonts w:hint="eastAsia" w:cs="Times New Roman"/>
                <w:color w:val="000000"/>
                <w:kern w:val="0"/>
                <w:sz w:val="24"/>
                <w:szCs w:val="24"/>
              </w:rPr>
              <w:t>项目公司</w:t>
            </w:r>
          </w:p>
        </w:tc>
        <w:tc>
          <w:tcPr>
            <w:tcW w:w="2417" w:type="dxa"/>
            <w:tcBorders>
              <w:top w:val="single" w:color="auto" w:sz="4" w:space="0"/>
            </w:tcBorders>
            <w:vAlign w:val="center"/>
          </w:tcPr>
          <w:p>
            <w:pPr>
              <w:widowControl/>
              <w:adjustRightInd w:val="0"/>
              <w:snapToGrid w:val="0"/>
              <w:spacing w:line="240" w:lineRule="auto"/>
              <w:ind w:firstLine="0" w:firstLineChars="0"/>
              <w:jc w:val="center"/>
              <w:rPr>
                <w:rFonts w:cs="Times New Roman"/>
                <w:color w:val="000000"/>
                <w:kern w:val="0"/>
                <w:sz w:val="24"/>
                <w:szCs w:val="24"/>
              </w:rPr>
            </w:pPr>
            <w:r>
              <w:rPr>
                <w:rFonts w:hint="eastAsia" w:cs="Times New Roman"/>
                <w:color w:val="000000"/>
                <w:kern w:val="0"/>
                <w:sz w:val="24"/>
                <w:szCs w:val="24"/>
              </w:rPr>
              <w:t>社会资本</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cantSplit/>
          <w:trHeight w:val="567" w:hRule="atLeast"/>
          <w:jc w:val="center"/>
        </w:trPr>
        <w:tc>
          <w:tcPr>
            <w:tcW w:w="1469" w:type="dxa"/>
            <w:vAlign w:val="center"/>
          </w:tcPr>
          <w:p>
            <w:pPr>
              <w:widowControl/>
              <w:adjustRightInd w:val="0"/>
              <w:snapToGrid w:val="0"/>
              <w:spacing w:line="240" w:lineRule="auto"/>
              <w:ind w:firstLine="0" w:firstLineChars="0"/>
              <w:jc w:val="center"/>
              <w:rPr>
                <w:rFonts w:cs="Times New Roman"/>
                <w:color w:val="000000"/>
                <w:kern w:val="0"/>
                <w:sz w:val="24"/>
                <w:szCs w:val="24"/>
              </w:rPr>
            </w:pPr>
            <w:r>
              <w:rPr>
                <w:rFonts w:hint="eastAsia" w:cs="Times New Roman"/>
                <w:color w:val="000000"/>
                <w:kern w:val="0"/>
                <w:sz w:val="24"/>
                <w:szCs w:val="24"/>
              </w:rPr>
              <w:t>提交时间</w:t>
            </w:r>
          </w:p>
        </w:tc>
        <w:tc>
          <w:tcPr>
            <w:tcW w:w="2492" w:type="dxa"/>
            <w:vAlign w:val="center"/>
          </w:tcPr>
          <w:p>
            <w:pPr>
              <w:widowControl/>
              <w:adjustRightInd w:val="0"/>
              <w:snapToGrid w:val="0"/>
              <w:spacing w:line="240" w:lineRule="auto"/>
              <w:ind w:firstLine="0" w:firstLineChars="0"/>
              <w:jc w:val="center"/>
              <w:rPr>
                <w:rFonts w:cs="Times New Roman"/>
                <w:color w:val="000000"/>
                <w:kern w:val="0"/>
                <w:sz w:val="24"/>
                <w:szCs w:val="24"/>
              </w:rPr>
            </w:pPr>
            <w:r>
              <w:rPr>
                <w:rFonts w:hint="eastAsia" w:cs="Times New Roman"/>
                <w:color w:val="000000"/>
                <w:kern w:val="0"/>
                <w:sz w:val="24"/>
                <w:szCs w:val="24"/>
              </w:rPr>
              <w:t>递交投标文件前</w:t>
            </w:r>
          </w:p>
        </w:tc>
        <w:tc>
          <w:tcPr>
            <w:tcW w:w="2342" w:type="dxa"/>
            <w:vAlign w:val="center"/>
          </w:tcPr>
          <w:p>
            <w:pPr>
              <w:widowControl/>
              <w:adjustRightInd w:val="0"/>
              <w:snapToGrid w:val="0"/>
              <w:spacing w:line="240" w:lineRule="auto"/>
              <w:ind w:firstLine="0" w:firstLineChars="0"/>
              <w:jc w:val="center"/>
              <w:rPr>
                <w:rFonts w:cs="Times New Roman"/>
                <w:color w:val="000000"/>
                <w:kern w:val="0"/>
                <w:sz w:val="24"/>
                <w:szCs w:val="24"/>
              </w:rPr>
            </w:pPr>
            <w:r>
              <w:rPr>
                <w:rFonts w:hint="eastAsia" w:cs="Times New Roman"/>
                <w:color w:val="000000"/>
                <w:kern w:val="0"/>
                <w:sz w:val="24"/>
                <w:szCs w:val="24"/>
              </w:rPr>
              <w:t>正式签署《特许经营协议》后三十日内</w:t>
            </w:r>
          </w:p>
        </w:tc>
        <w:tc>
          <w:tcPr>
            <w:tcW w:w="2417" w:type="dxa"/>
            <w:vAlign w:val="center"/>
          </w:tcPr>
          <w:p>
            <w:pPr>
              <w:widowControl/>
              <w:adjustRightInd w:val="0"/>
              <w:snapToGrid w:val="0"/>
              <w:spacing w:line="240" w:lineRule="auto"/>
              <w:ind w:firstLine="0" w:firstLineChars="0"/>
              <w:jc w:val="center"/>
              <w:rPr>
                <w:rFonts w:cs="Times New Roman"/>
                <w:color w:val="000000"/>
                <w:kern w:val="0"/>
                <w:sz w:val="24"/>
                <w:szCs w:val="24"/>
              </w:rPr>
            </w:pPr>
            <w:r>
              <w:rPr>
                <w:rFonts w:hint="eastAsia" w:cs="Times New Roman"/>
                <w:color w:val="000000"/>
                <w:kern w:val="0"/>
                <w:sz w:val="24"/>
                <w:szCs w:val="24"/>
              </w:rPr>
              <w:t>项目合作期届满日十二个月之前</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PrEx>
        <w:trPr>
          <w:cantSplit/>
          <w:trHeight w:val="567" w:hRule="atLeast"/>
          <w:jc w:val="center"/>
        </w:trPr>
        <w:tc>
          <w:tcPr>
            <w:tcW w:w="1469" w:type="dxa"/>
            <w:vAlign w:val="center"/>
          </w:tcPr>
          <w:p>
            <w:pPr>
              <w:widowControl/>
              <w:adjustRightInd w:val="0"/>
              <w:snapToGrid w:val="0"/>
              <w:spacing w:line="240" w:lineRule="auto"/>
              <w:ind w:firstLine="0" w:firstLineChars="0"/>
              <w:jc w:val="center"/>
              <w:rPr>
                <w:rFonts w:cs="Times New Roman"/>
                <w:color w:val="000000"/>
                <w:kern w:val="0"/>
                <w:sz w:val="24"/>
                <w:szCs w:val="24"/>
              </w:rPr>
            </w:pPr>
            <w:r>
              <w:rPr>
                <w:rFonts w:hint="eastAsia" w:cs="Times New Roman"/>
                <w:color w:val="000000"/>
                <w:kern w:val="0"/>
                <w:sz w:val="24"/>
                <w:szCs w:val="24"/>
              </w:rPr>
              <w:t>退还时间</w:t>
            </w:r>
          </w:p>
        </w:tc>
        <w:tc>
          <w:tcPr>
            <w:tcW w:w="2492" w:type="dxa"/>
            <w:vAlign w:val="center"/>
          </w:tcPr>
          <w:p>
            <w:pPr>
              <w:widowControl/>
              <w:adjustRightInd w:val="0"/>
              <w:snapToGrid w:val="0"/>
              <w:spacing w:line="240" w:lineRule="auto"/>
              <w:ind w:firstLine="0" w:firstLineChars="0"/>
              <w:jc w:val="center"/>
              <w:rPr>
                <w:rFonts w:cs="Times New Roman"/>
                <w:color w:val="000000"/>
                <w:kern w:val="0"/>
                <w:sz w:val="24"/>
                <w:szCs w:val="24"/>
              </w:rPr>
            </w:pPr>
            <w:r>
              <w:rPr>
                <w:rFonts w:hint="eastAsia" w:cs="Times New Roman"/>
                <w:color w:val="000000"/>
                <w:kern w:val="0"/>
                <w:sz w:val="24"/>
                <w:szCs w:val="24"/>
              </w:rPr>
              <w:t>项目公司递交履约保函起满</w:t>
            </w:r>
            <w:r>
              <w:rPr>
                <w:rFonts w:cs="Times New Roman"/>
                <w:color w:val="000000"/>
                <w:kern w:val="0"/>
                <w:sz w:val="24"/>
                <w:szCs w:val="24"/>
              </w:rPr>
              <w:t>5</w:t>
            </w:r>
            <w:r>
              <w:rPr>
                <w:rFonts w:hint="eastAsia" w:cs="Times New Roman"/>
                <w:color w:val="000000"/>
                <w:kern w:val="0"/>
                <w:sz w:val="24"/>
                <w:szCs w:val="24"/>
              </w:rPr>
              <w:t>日止</w:t>
            </w:r>
          </w:p>
        </w:tc>
        <w:tc>
          <w:tcPr>
            <w:tcW w:w="2342" w:type="dxa"/>
            <w:vAlign w:val="center"/>
          </w:tcPr>
          <w:p>
            <w:pPr>
              <w:widowControl/>
              <w:adjustRightInd w:val="0"/>
              <w:snapToGrid w:val="0"/>
              <w:spacing w:line="240" w:lineRule="auto"/>
              <w:ind w:firstLine="0" w:firstLineChars="0"/>
              <w:jc w:val="center"/>
              <w:rPr>
                <w:rFonts w:cs="Times New Roman"/>
                <w:color w:val="000000"/>
                <w:kern w:val="0"/>
                <w:sz w:val="24"/>
                <w:szCs w:val="24"/>
              </w:rPr>
            </w:pPr>
            <w:r>
              <w:rPr>
                <w:rFonts w:hint="eastAsia" w:cs="Times New Roman"/>
                <w:color w:val="000000"/>
                <w:kern w:val="0"/>
                <w:sz w:val="24"/>
                <w:szCs w:val="24"/>
              </w:rPr>
              <w:t>项目公司递交移交保函起满</w:t>
            </w:r>
            <w:r>
              <w:rPr>
                <w:rFonts w:cs="Times New Roman"/>
                <w:color w:val="000000"/>
                <w:kern w:val="0"/>
                <w:sz w:val="24"/>
                <w:szCs w:val="24"/>
              </w:rPr>
              <w:t>5</w:t>
            </w:r>
            <w:r>
              <w:rPr>
                <w:rFonts w:hint="eastAsia" w:cs="Times New Roman"/>
                <w:color w:val="000000"/>
                <w:kern w:val="0"/>
                <w:sz w:val="24"/>
                <w:szCs w:val="24"/>
              </w:rPr>
              <w:t>日止</w:t>
            </w:r>
          </w:p>
        </w:tc>
        <w:tc>
          <w:tcPr>
            <w:tcW w:w="2417" w:type="dxa"/>
            <w:vAlign w:val="center"/>
          </w:tcPr>
          <w:p>
            <w:pPr>
              <w:widowControl/>
              <w:adjustRightInd w:val="0"/>
              <w:snapToGrid w:val="0"/>
              <w:spacing w:line="240" w:lineRule="auto"/>
              <w:ind w:firstLine="0" w:firstLineChars="0"/>
              <w:jc w:val="center"/>
              <w:rPr>
                <w:rFonts w:cs="Times New Roman"/>
                <w:color w:val="000000"/>
                <w:kern w:val="0"/>
                <w:sz w:val="24"/>
                <w:szCs w:val="24"/>
              </w:rPr>
            </w:pPr>
            <w:r>
              <w:rPr>
                <w:rFonts w:hint="eastAsia" w:cs="Times New Roman"/>
                <w:color w:val="000000"/>
                <w:kern w:val="0"/>
                <w:sz w:val="24"/>
                <w:szCs w:val="24"/>
              </w:rPr>
              <w:t>项目正式移交一年后</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cantSplit/>
          <w:trHeight w:val="567" w:hRule="atLeast"/>
          <w:jc w:val="center"/>
        </w:trPr>
        <w:tc>
          <w:tcPr>
            <w:tcW w:w="1469" w:type="dxa"/>
            <w:vAlign w:val="center"/>
          </w:tcPr>
          <w:p>
            <w:pPr>
              <w:widowControl/>
              <w:adjustRightInd w:val="0"/>
              <w:snapToGrid w:val="0"/>
              <w:spacing w:line="240" w:lineRule="auto"/>
              <w:ind w:firstLine="0" w:firstLineChars="0"/>
              <w:jc w:val="center"/>
              <w:rPr>
                <w:rFonts w:cs="Times New Roman"/>
                <w:color w:val="000000"/>
                <w:kern w:val="0"/>
                <w:sz w:val="24"/>
                <w:szCs w:val="24"/>
              </w:rPr>
            </w:pPr>
            <w:r>
              <w:rPr>
                <w:rFonts w:hint="eastAsia" w:cs="Times New Roman"/>
                <w:color w:val="000000"/>
                <w:kern w:val="0"/>
                <w:sz w:val="24"/>
                <w:szCs w:val="24"/>
              </w:rPr>
              <w:t>受益人</w:t>
            </w:r>
          </w:p>
        </w:tc>
        <w:tc>
          <w:tcPr>
            <w:tcW w:w="2492" w:type="dxa"/>
            <w:vAlign w:val="center"/>
          </w:tcPr>
          <w:p>
            <w:pPr>
              <w:widowControl/>
              <w:adjustRightInd w:val="0"/>
              <w:snapToGrid w:val="0"/>
              <w:spacing w:line="240" w:lineRule="auto"/>
              <w:ind w:firstLine="0" w:firstLineChars="0"/>
              <w:jc w:val="center"/>
              <w:rPr>
                <w:rFonts w:cs="Times New Roman"/>
                <w:color w:val="000000"/>
                <w:kern w:val="0"/>
                <w:sz w:val="24"/>
                <w:szCs w:val="24"/>
              </w:rPr>
            </w:pPr>
            <w:r>
              <w:rPr>
                <w:rFonts w:hint="eastAsia" w:cs="Times New Roman"/>
                <w:color w:val="000000"/>
                <w:kern w:val="0"/>
                <w:sz w:val="24"/>
                <w:szCs w:val="24"/>
              </w:rPr>
              <w:t>实施机构</w:t>
            </w:r>
          </w:p>
        </w:tc>
        <w:tc>
          <w:tcPr>
            <w:tcW w:w="2342" w:type="dxa"/>
            <w:vAlign w:val="center"/>
          </w:tcPr>
          <w:p>
            <w:pPr>
              <w:widowControl/>
              <w:adjustRightInd w:val="0"/>
              <w:snapToGrid w:val="0"/>
              <w:spacing w:line="240" w:lineRule="auto"/>
              <w:ind w:firstLine="0" w:firstLineChars="0"/>
              <w:jc w:val="center"/>
              <w:rPr>
                <w:rFonts w:cs="Times New Roman"/>
                <w:color w:val="000000"/>
                <w:kern w:val="0"/>
                <w:sz w:val="24"/>
                <w:szCs w:val="24"/>
              </w:rPr>
            </w:pPr>
            <w:r>
              <w:rPr>
                <w:rFonts w:hint="eastAsia" w:cs="Times New Roman"/>
                <w:color w:val="000000"/>
                <w:kern w:val="0"/>
                <w:sz w:val="24"/>
                <w:szCs w:val="24"/>
              </w:rPr>
              <w:t>实施机构</w:t>
            </w:r>
          </w:p>
        </w:tc>
        <w:tc>
          <w:tcPr>
            <w:tcW w:w="2417" w:type="dxa"/>
            <w:vAlign w:val="center"/>
          </w:tcPr>
          <w:p>
            <w:pPr>
              <w:widowControl/>
              <w:adjustRightInd w:val="0"/>
              <w:snapToGrid w:val="0"/>
              <w:spacing w:line="240" w:lineRule="auto"/>
              <w:ind w:firstLine="0" w:firstLineChars="0"/>
              <w:jc w:val="center"/>
              <w:rPr>
                <w:rFonts w:cs="Times New Roman"/>
                <w:color w:val="000000"/>
                <w:kern w:val="0"/>
                <w:sz w:val="24"/>
                <w:szCs w:val="24"/>
              </w:rPr>
            </w:pPr>
            <w:r>
              <w:rPr>
                <w:rFonts w:hint="eastAsia" w:cs="Times New Roman"/>
                <w:color w:val="000000"/>
                <w:kern w:val="0"/>
                <w:sz w:val="24"/>
                <w:szCs w:val="24"/>
              </w:rPr>
              <w:t>实施机构</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cantSplit/>
          <w:trHeight w:val="567" w:hRule="atLeast"/>
          <w:jc w:val="center"/>
        </w:trPr>
        <w:tc>
          <w:tcPr>
            <w:tcW w:w="1469" w:type="dxa"/>
            <w:vAlign w:val="center"/>
          </w:tcPr>
          <w:p>
            <w:pPr>
              <w:widowControl/>
              <w:adjustRightInd w:val="0"/>
              <w:snapToGrid w:val="0"/>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金额</w:t>
            </w:r>
          </w:p>
          <w:p>
            <w:pPr>
              <w:widowControl/>
              <w:adjustRightInd w:val="0"/>
              <w:snapToGrid w:val="0"/>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（人民币）</w:t>
            </w:r>
          </w:p>
        </w:tc>
        <w:tc>
          <w:tcPr>
            <w:tcW w:w="2492" w:type="dxa"/>
            <w:vAlign w:val="center"/>
          </w:tcPr>
          <w:p>
            <w:pPr>
              <w:widowControl/>
              <w:adjustRightInd w:val="0"/>
              <w:snapToGrid w:val="0"/>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【80】</w:t>
            </w:r>
            <w:r>
              <w:rPr>
                <w:rFonts w:hint="eastAsia" w:cs="Times New Roman"/>
                <w:color w:val="000000" w:themeColor="text1"/>
                <w:kern w:val="0"/>
                <w:sz w:val="24"/>
                <w:szCs w:val="24"/>
                <w14:textFill>
                  <w14:solidFill>
                    <w14:schemeClr w14:val="tx1"/>
                  </w14:solidFill>
                </w14:textFill>
              </w:rPr>
              <w:t>万元</w:t>
            </w:r>
          </w:p>
        </w:tc>
        <w:tc>
          <w:tcPr>
            <w:tcW w:w="2342" w:type="dxa"/>
            <w:vAlign w:val="center"/>
          </w:tcPr>
          <w:p>
            <w:pPr>
              <w:widowControl/>
              <w:adjustRightInd w:val="0"/>
              <w:snapToGrid w:val="0"/>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【5000】</w:t>
            </w:r>
            <w:r>
              <w:rPr>
                <w:rFonts w:hint="eastAsia" w:cs="Times New Roman"/>
                <w:color w:val="000000" w:themeColor="text1"/>
                <w:kern w:val="0"/>
                <w:sz w:val="24"/>
                <w:szCs w:val="24"/>
                <w14:textFill>
                  <w14:solidFill>
                    <w14:schemeClr w14:val="tx1"/>
                  </w14:solidFill>
                </w14:textFill>
              </w:rPr>
              <w:t>万元</w:t>
            </w:r>
          </w:p>
        </w:tc>
        <w:tc>
          <w:tcPr>
            <w:tcW w:w="2417" w:type="dxa"/>
            <w:vAlign w:val="center"/>
          </w:tcPr>
          <w:p>
            <w:pPr>
              <w:widowControl/>
              <w:adjustRightInd w:val="0"/>
              <w:snapToGrid w:val="0"/>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【5000】</w:t>
            </w:r>
            <w:r>
              <w:rPr>
                <w:rFonts w:hint="eastAsia" w:cs="Times New Roman"/>
                <w:color w:val="000000" w:themeColor="text1"/>
                <w:kern w:val="0"/>
                <w:sz w:val="24"/>
                <w:szCs w:val="24"/>
                <w14:textFill>
                  <w14:solidFill>
                    <w14:schemeClr w14:val="tx1"/>
                  </w14:solidFill>
                </w14:textFill>
              </w:rPr>
              <w:t>万元</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cantSplit/>
          <w:trHeight w:val="567" w:hRule="atLeast"/>
          <w:jc w:val="center"/>
        </w:trPr>
        <w:tc>
          <w:tcPr>
            <w:tcW w:w="1469" w:type="dxa"/>
            <w:vAlign w:val="center"/>
          </w:tcPr>
          <w:p>
            <w:pPr>
              <w:widowControl/>
              <w:adjustRightInd w:val="0"/>
              <w:snapToGrid w:val="0"/>
              <w:spacing w:line="240" w:lineRule="auto"/>
              <w:ind w:firstLine="0" w:firstLineChars="0"/>
              <w:jc w:val="center"/>
              <w:rPr>
                <w:rFonts w:cs="Times New Roman"/>
                <w:color w:val="000000"/>
                <w:kern w:val="0"/>
                <w:sz w:val="24"/>
                <w:szCs w:val="24"/>
              </w:rPr>
            </w:pPr>
            <w:r>
              <w:rPr>
                <w:rFonts w:hint="eastAsia" w:cs="Times New Roman"/>
                <w:color w:val="000000"/>
                <w:kern w:val="0"/>
                <w:sz w:val="24"/>
                <w:szCs w:val="24"/>
              </w:rPr>
              <w:t>担保事项</w:t>
            </w:r>
          </w:p>
        </w:tc>
        <w:tc>
          <w:tcPr>
            <w:tcW w:w="2492" w:type="dxa"/>
            <w:vAlign w:val="center"/>
          </w:tcPr>
          <w:p>
            <w:pPr>
              <w:widowControl/>
              <w:adjustRightInd w:val="0"/>
              <w:snapToGrid w:val="0"/>
              <w:spacing w:line="240" w:lineRule="auto"/>
              <w:ind w:firstLine="0" w:firstLineChars="0"/>
              <w:rPr>
                <w:rFonts w:cs="Times New Roman"/>
                <w:color w:val="000000"/>
                <w:kern w:val="0"/>
                <w:sz w:val="24"/>
                <w:szCs w:val="24"/>
              </w:rPr>
            </w:pPr>
            <w:r>
              <w:rPr>
                <w:rFonts w:hint="eastAsia" w:cs="Times New Roman"/>
                <w:color w:val="000000"/>
                <w:kern w:val="0"/>
                <w:sz w:val="24"/>
                <w:szCs w:val="24"/>
              </w:rPr>
              <w:t>中标项目后草签《特许经营协议》；</w:t>
            </w:r>
          </w:p>
          <w:p>
            <w:pPr>
              <w:widowControl/>
              <w:adjustRightInd w:val="0"/>
              <w:snapToGrid w:val="0"/>
              <w:spacing w:line="240" w:lineRule="auto"/>
              <w:ind w:firstLine="0" w:firstLineChars="0"/>
              <w:rPr>
                <w:rFonts w:cs="Times New Roman"/>
                <w:color w:val="000000"/>
                <w:kern w:val="0"/>
                <w:sz w:val="24"/>
                <w:szCs w:val="24"/>
              </w:rPr>
            </w:pPr>
            <w:r>
              <w:rPr>
                <w:rFonts w:hint="eastAsia" w:cs="Times New Roman"/>
                <w:color w:val="000000"/>
                <w:kern w:val="0"/>
                <w:sz w:val="24"/>
                <w:szCs w:val="24"/>
              </w:rPr>
              <w:t>按约定设立项目公司并承继《特许经营协议》；</w:t>
            </w:r>
          </w:p>
          <w:p>
            <w:pPr>
              <w:widowControl/>
              <w:adjustRightInd w:val="0"/>
              <w:snapToGrid w:val="0"/>
              <w:spacing w:line="240" w:lineRule="auto"/>
              <w:ind w:firstLine="0" w:firstLineChars="0"/>
              <w:rPr>
                <w:rFonts w:cs="Times New Roman"/>
                <w:color w:val="000000"/>
                <w:kern w:val="0"/>
                <w:sz w:val="24"/>
                <w:szCs w:val="24"/>
              </w:rPr>
            </w:pPr>
            <w:r>
              <w:rPr>
                <w:rFonts w:hint="eastAsia" w:cs="Times New Roman"/>
                <w:color w:val="000000"/>
                <w:kern w:val="0"/>
                <w:sz w:val="24"/>
                <w:szCs w:val="24"/>
              </w:rPr>
              <w:t>履约保函提交等。</w:t>
            </w:r>
          </w:p>
        </w:tc>
        <w:tc>
          <w:tcPr>
            <w:tcW w:w="2342" w:type="dxa"/>
            <w:vAlign w:val="center"/>
          </w:tcPr>
          <w:p>
            <w:pPr>
              <w:widowControl/>
              <w:adjustRightInd w:val="0"/>
              <w:snapToGrid w:val="0"/>
              <w:spacing w:line="240" w:lineRule="auto"/>
              <w:ind w:firstLine="0" w:firstLineChars="0"/>
              <w:rPr>
                <w:rFonts w:cs="Times New Roman"/>
                <w:color w:val="000000"/>
                <w:kern w:val="0"/>
                <w:sz w:val="24"/>
                <w:szCs w:val="24"/>
              </w:rPr>
            </w:pPr>
            <w:r>
              <w:rPr>
                <w:rFonts w:hint="eastAsia" w:cs="Times New Roman"/>
                <w:color w:val="000000"/>
                <w:kern w:val="0"/>
                <w:sz w:val="24"/>
                <w:szCs w:val="24"/>
              </w:rPr>
              <w:t>提供持续、稳定、符合产出要求和标准的公共服务；</w:t>
            </w:r>
          </w:p>
          <w:p>
            <w:pPr>
              <w:widowControl/>
              <w:adjustRightInd w:val="0"/>
              <w:snapToGrid w:val="0"/>
              <w:spacing w:line="240" w:lineRule="auto"/>
              <w:ind w:firstLine="0" w:firstLineChars="0"/>
              <w:rPr>
                <w:rFonts w:cs="Times New Roman"/>
                <w:color w:val="000000"/>
                <w:kern w:val="0"/>
                <w:sz w:val="24"/>
                <w:szCs w:val="24"/>
              </w:rPr>
            </w:pPr>
            <w:r>
              <w:rPr>
                <w:rFonts w:hint="eastAsia" w:cs="Times New Roman"/>
                <w:color w:val="000000"/>
                <w:kern w:val="0"/>
                <w:sz w:val="24"/>
                <w:szCs w:val="24"/>
              </w:rPr>
              <w:t>保障安全生产、项目设施设备的日常维护及大中修、更新改造（如有）等；</w:t>
            </w:r>
          </w:p>
          <w:p>
            <w:pPr>
              <w:widowControl/>
              <w:adjustRightInd w:val="0"/>
              <w:snapToGrid w:val="0"/>
              <w:spacing w:line="240" w:lineRule="auto"/>
              <w:ind w:firstLine="0" w:firstLineChars="0"/>
              <w:rPr>
                <w:rFonts w:cs="Times New Roman"/>
                <w:color w:val="000000"/>
                <w:kern w:val="0"/>
                <w:sz w:val="24"/>
                <w:szCs w:val="24"/>
              </w:rPr>
            </w:pPr>
            <w:r>
              <w:rPr>
                <w:rFonts w:hint="eastAsia" w:cs="Times New Roman"/>
                <w:color w:val="000000"/>
                <w:kern w:val="0"/>
                <w:sz w:val="24"/>
                <w:szCs w:val="24"/>
              </w:rPr>
              <w:t>移交保函提交等。</w:t>
            </w:r>
          </w:p>
        </w:tc>
        <w:tc>
          <w:tcPr>
            <w:tcW w:w="2417" w:type="dxa"/>
            <w:vAlign w:val="center"/>
          </w:tcPr>
          <w:p>
            <w:pPr>
              <w:widowControl/>
              <w:adjustRightInd w:val="0"/>
              <w:snapToGrid w:val="0"/>
              <w:spacing w:line="240" w:lineRule="auto"/>
              <w:ind w:firstLine="0" w:firstLineChars="0"/>
              <w:rPr>
                <w:rFonts w:cs="Times New Roman"/>
                <w:color w:val="000000"/>
                <w:kern w:val="0"/>
                <w:sz w:val="24"/>
                <w:szCs w:val="24"/>
              </w:rPr>
            </w:pPr>
            <w:r>
              <w:rPr>
                <w:rFonts w:hint="eastAsia" w:cs="Times New Roman"/>
                <w:color w:val="000000"/>
                <w:kern w:val="0"/>
                <w:sz w:val="24"/>
                <w:szCs w:val="24"/>
              </w:rPr>
              <w:t>项目设施恢复性大修、主要设备移交标准、全套项目文档及知识产权移交、人员培训；</w:t>
            </w:r>
          </w:p>
          <w:p>
            <w:pPr>
              <w:widowControl/>
              <w:adjustRightInd w:val="0"/>
              <w:snapToGrid w:val="0"/>
              <w:spacing w:line="240" w:lineRule="auto"/>
              <w:ind w:firstLine="0" w:firstLineChars="0"/>
              <w:rPr>
                <w:rFonts w:cs="Times New Roman"/>
                <w:color w:val="000000"/>
                <w:kern w:val="0"/>
                <w:sz w:val="24"/>
                <w:szCs w:val="24"/>
              </w:rPr>
            </w:pPr>
            <w:r>
              <w:rPr>
                <w:rFonts w:hint="eastAsia" w:cs="Times New Roman"/>
                <w:color w:val="000000"/>
                <w:kern w:val="0"/>
                <w:sz w:val="24"/>
                <w:szCs w:val="24"/>
              </w:rPr>
              <w:t>项目设施存在隐蔽性缺陷、对设施的运营不善所造成的瑕疵等。</w:t>
            </w:r>
          </w:p>
        </w:tc>
      </w:tr>
      <w:bookmarkEnd w:id="107"/>
    </w:tbl>
    <w:p>
      <w:pPr>
        <w:ind w:firstLine="560"/>
        <w:rPr>
          <w:rFonts w:cs="Times New Roman"/>
        </w:rPr>
      </w:pPr>
      <w:r>
        <w:rPr>
          <w:rFonts w:hint="eastAsia" w:cs="Times New Roman"/>
        </w:rPr>
        <w:t>如果项目因为特定情形导致提前中，则保函应在违约金完全支付的前提下在提前终止日后一定期限内退还。</w:t>
      </w:r>
    </w:p>
    <w:p>
      <w:pPr>
        <w:pStyle w:val="5"/>
        <w:ind w:firstLine="562"/>
        <w:rPr>
          <w:rFonts w:cs="Times New Roman"/>
        </w:rPr>
      </w:pPr>
      <w:r>
        <w:rPr>
          <w:rFonts w:cs="Times New Roman"/>
        </w:rPr>
        <w:t>3.</w:t>
      </w:r>
      <w:r>
        <w:rPr>
          <w:rFonts w:hint="eastAsia" w:cs="Times New Roman"/>
        </w:rPr>
        <w:t>资金监管和财务审计</w:t>
      </w:r>
    </w:p>
    <w:p>
      <w:pPr>
        <w:ind w:firstLine="560"/>
        <w:rPr>
          <w:rFonts w:cs="Times New Roman"/>
        </w:rPr>
      </w:pPr>
      <w:r>
        <w:rPr>
          <w:rFonts w:hint="eastAsia" w:cs="Times New Roman"/>
        </w:rPr>
        <w:t>项目合作期内，项目公司应按照中国法律和会计准则处理其业务或相关的会计事务并接受政府方的财务监管。政府方有权自负费用聘请中介机构，定期对项目公司经营财务状况进行专项审计。</w:t>
      </w:r>
    </w:p>
    <w:p>
      <w:pPr>
        <w:pStyle w:val="4"/>
        <w:ind w:firstLine="562"/>
        <w:rPr>
          <w:rFonts w:cs="Times New Roman"/>
        </w:rPr>
      </w:pPr>
      <w:bookmarkStart w:id="109" w:name="_Toc86926656"/>
      <w:bookmarkStart w:id="110" w:name="_Toc88385927"/>
      <w:bookmarkStart w:id="111" w:name="_Toc88582233"/>
      <w:r>
        <w:rPr>
          <w:rFonts w:hint="eastAsia" w:cs="Times New Roman"/>
        </w:rPr>
        <w:t>（四）调整衔接边界</w:t>
      </w:r>
      <w:bookmarkEnd w:id="109"/>
      <w:bookmarkEnd w:id="110"/>
      <w:bookmarkEnd w:id="111"/>
    </w:p>
    <w:p>
      <w:pPr>
        <w:pStyle w:val="5"/>
        <w:ind w:firstLine="562"/>
        <w:rPr>
          <w:rFonts w:cs="Times New Roman"/>
        </w:rPr>
      </w:pPr>
      <w:r>
        <w:rPr>
          <w:rFonts w:cs="Times New Roman"/>
        </w:rPr>
        <w:t>1.</w:t>
      </w:r>
      <w:r>
        <w:rPr>
          <w:rFonts w:hint="eastAsia" w:cs="Times New Roman"/>
        </w:rPr>
        <w:t>应急处置和临时接管预案</w:t>
      </w:r>
    </w:p>
    <w:p>
      <w:pPr>
        <w:ind w:firstLine="560"/>
        <w:rPr>
          <w:rFonts w:cs="Times New Roman"/>
        </w:rPr>
      </w:pPr>
      <w:r>
        <w:rPr>
          <w:rFonts w:hint="eastAsia" w:cs="Times New Roman"/>
        </w:rPr>
        <w:t>项目公司须在运营维护手册中，制定应对重大事故、环境公害以及人为破坏等原因发生的事故的应急预案和现场处置方案，包括报告程序、应急指挥及处置措施等内容。项目公司制定的应急预案应当征求政府方的意见并报政府方同意后实施，突发事件发生后，项目公司须按应急预案要求及时启动应急措施。</w:t>
      </w:r>
    </w:p>
    <w:p>
      <w:pPr>
        <w:pStyle w:val="5"/>
        <w:ind w:firstLine="562"/>
        <w:rPr>
          <w:rFonts w:cs="Times New Roman"/>
        </w:rPr>
      </w:pPr>
      <w:r>
        <w:rPr>
          <w:rFonts w:cs="Times New Roman"/>
        </w:rPr>
        <w:t>2.</w:t>
      </w:r>
      <w:r>
        <w:rPr>
          <w:rFonts w:hint="eastAsia" w:cs="Times New Roman"/>
        </w:rPr>
        <w:t>临时接管</w:t>
      </w:r>
    </w:p>
    <w:p>
      <w:pPr>
        <w:ind w:firstLine="560"/>
        <w:rPr>
          <w:rFonts w:cs="Times New Roman"/>
        </w:rPr>
      </w:pPr>
      <w:r>
        <w:rPr>
          <w:rFonts w:hint="eastAsia" w:cs="Times New Roman"/>
        </w:rPr>
        <w:t>项目公司在合作期间有下列行为之一的，政府方有权（但无义务）自行或指定第三方对本项目进行全面或部分临时接管，项目公司及项目公司股东对此应予以全面、及时的配合，不得以任何方式或理由加以拖延或阻碍。临时接管后，政府方可采取相关措施对相关问题进行处理。如短期内项目公司违约等情况消除，并经确认其具有继续实施本项目的能力时，政府方可将项目交回给项目公司；否则，政府方有权提前终止《特许经营协议》。临时接管期间项目公司无权取得相应运营维护服务费，并需要向政府方支付为处理相关问题所发生的一切费用。</w:t>
      </w:r>
    </w:p>
    <w:p>
      <w:pPr>
        <w:ind w:firstLine="560"/>
        <w:rPr>
          <w:rFonts w:cs="Times New Roman"/>
        </w:rPr>
      </w:pPr>
      <w:r>
        <w:rPr>
          <w:rFonts w:hint="eastAsia"/>
        </w:rPr>
        <w:t>①项目公司放弃或视为放弃项目</w:t>
      </w:r>
      <w:r>
        <w:rPr>
          <w:rFonts w:hint="eastAsia" w:cs="Times New Roman"/>
        </w:rPr>
        <w:t>建设；</w:t>
      </w:r>
    </w:p>
    <w:p>
      <w:pPr>
        <w:ind w:firstLine="560"/>
        <w:rPr>
          <w:rFonts w:cs="Times New Roman"/>
        </w:rPr>
      </w:pPr>
      <w:r>
        <w:rPr>
          <w:rFonts w:hint="eastAsia" w:ascii="宋体" w:hAnsi="宋体" w:eastAsia="宋体" w:cs="宋体"/>
        </w:rPr>
        <w:t>②</w:t>
      </w:r>
      <w:r>
        <w:rPr>
          <w:rFonts w:hint="eastAsia" w:cs="Times New Roman"/>
        </w:rPr>
        <w:t>擅自转让、出租经营权的；</w:t>
      </w:r>
    </w:p>
    <w:p>
      <w:pPr>
        <w:ind w:firstLine="560"/>
        <w:rPr>
          <w:rFonts w:cs="Times New Roman"/>
        </w:rPr>
      </w:pPr>
      <w:r>
        <w:rPr>
          <w:rFonts w:hint="eastAsia" w:ascii="宋体" w:hAnsi="宋体" w:eastAsia="宋体" w:cs="宋体"/>
        </w:rPr>
        <w:t>③</w:t>
      </w:r>
      <w:r>
        <w:rPr>
          <w:rFonts w:hint="eastAsia" w:cs="Times New Roman"/>
        </w:rPr>
        <w:t>擅自将所经营的资产或本项目的其他权益进行处置或者抵押的；</w:t>
      </w:r>
    </w:p>
    <w:p>
      <w:pPr>
        <w:ind w:firstLine="560"/>
        <w:rPr>
          <w:rFonts w:cs="Times New Roman"/>
        </w:rPr>
      </w:pPr>
      <w:r>
        <w:rPr>
          <w:rFonts w:hint="eastAsia" w:ascii="宋体" w:hAnsi="宋体" w:eastAsia="宋体" w:cs="宋体"/>
        </w:rPr>
        <w:t>④</w:t>
      </w:r>
      <w:r>
        <w:rPr>
          <w:rFonts w:hint="eastAsia" w:cs="Times New Roman"/>
        </w:rPr>
        <w:t>因管理不善，发生重大质量、生产安全事故的；</w:t>
      </w:r>
    </w:p>
    <w:p>
      <w:pPr>
        <w:ind w:firstLine="560"/>
        <w:rPr>
          <w:rFonts w:cs="Times New Roman"/>
        </w:rPr>
      </w:pPr>
      <w:r>
        <w:rPr>
          <w:rFonts w:hint="eastAsia" w:ascii="宋体" w:hAnsi="宋体" w:eastAsia="宋体" w:cs="宋体"/>
        </w:rPr>
        <w:t>⑤</w:t>
      </w:r>
      <w:r>
        <w:rPr>
          <w:rFonts w:hint="eastAsia" w:cs="Times New Roman"/>
        </w:rPr>
        <w:t>项目出现重大经营或财务风险，威胁或侵害公众利益；</w:t>
      </w:r>
    </w:p>
    <w:p>
      <w:pPr>
        <w:ind w:firstLine="560"/>
        <w:rPr>
          <w:rFonts w:cs="Times New Roman"/>
        </w:rPr>
      </w:pPr>
      <w:r>
        <w:rPr>
          <w:rFonts w:hint="eastAsia" w:ascii="宋体" w:hAnsi="宋体" w:eastAsia="宋体" w:cs="宋体"/>
        </w:rPr>
        <w:t>⑥</w:t>
      </w:r>
      <w:r>
        <w:rPr>
          <w:rFonts w:hint="eastAsia" w:cs="Times New Roman"/>
        </w:rPr>
        <w:t>擅自停业、歇业，严重影响到社会公共利益和安全的；</w:t>
      </w:r>
    </w:p>
    <w:p>
      <w:pPr>
        <w:ind w:firstLine="560"/>
        <w:rPr>
          <w:rFonts w:cs="Times New Roman"/>
        </w:rPr>
      </w:pPr>
      <w:r>
        <w:rPr>
          <w:rFonts w:hint="eastAsia" w:ascii="宋体" w:hAnsi="宋体" w:eastAsia="宋体" w:cs="宋体"/>
        </w:rPr>
        <w:t>⑦</w:t>
      </w:r>
      <w:r>
        <w:rPr>
          <w:rFonts w:hint="eastAsia" w:cs="Times New Roman"/>
        </w:rPr>
        <w:t>适用法律规定或双方约定禁止的其他行为。</w:t>
      </w:r>
    </w:p>
    <w:p>
      <w:pPr>
        <w:ind w:firstLine="560"/>
        <w:rPr>
          <w:rFonts w:cs="Times New Roman"/>
        </w:rPr>
      </w:pPr>
      <w:r>
        <w:rPr>
          <w:rFonts w:hint="eastAsia" w:cs="Times New Roman"/>
        </w:rPr>
        <w:t>合作期内，如发生紧急事件或在合理预期出现紧急事件或导致政府方不临时接管，即将危及公共利益或公共安全时，政府方有权对项目设施进行临时接管，项目公司应对此予以完全的配合与协助，由此发生的相关费用由政府方承担。</w:t>
      </w:r>
    </w:p>
    <w:p>
      <w:pPr>
        <w:pStyle w:val="5"/>
        <w:ind w:firstLine="562"/>
        <w:rPr>
          <w:rFonts w:cs="Times New Roman"/>
        </w:rPr>
      </w:pPr>
      <w:r>
        <w:rPr>
          <w:rFonts w:cs="Times New Roman"/>
        </w:rPr>
        <w:t>3.</w:t>
      </w:r>
      <w:r>
        <w:rPr>
          <w:rFonts w:hint="eastAsia" w:cs="Times New Roman"/>
        </w:rPr>
        <w:t>项目新增改扩建需求</w:t>
      </w:r>
    </w:p>
    <w:p>
      <w:pPr>
        <w:ind w:firstLine="560"/>
        <w:rPr>
          <w:rFonts w:cs="Times New Roman"/>
        </w:rPr>
      </w:pPr>
      <w:r>
        <w:rPr>
          <w:rFonts w:hint="eastAsia" w:cs="Times New Roman"/>
        </w:rPr>
        <w:t>如果未来政府方基于规划调整、技术更新优化、功能性调整等目的要对进行项目改扩建的，在不违反届时适用法律规定且项目公司履约记录良好的前提下，报实施机构书面批准后，可由项目公司直接承担项目的改扩建建设工作。</w:t>
      </w:r>
    </w:p>
    <w:p>
      <w:pPr>
        <w:ind w:firstLine="560"/>
        <w:rPr>
          <w:rFonts w:cs="Times New Roman"/>
        </w:rPr>
      </w:pPr>
      <w:r>
        <w:rPr>
          <w:rFonts w:hint="eastAsia" w:cs="Times New Roman"/>
        </w:rPr>
        <w:t>因项目改扩建导致的增加资本性支出或运营成本的，由项目公司与实施机构按照适用法律的规定，通过另行支付相应费用或双方认可的其他方式予以平衡。</w:t>
      </w:r>
    </w:p>
    <w:p>
      <w:pPr>
        <w:pStyle w:val="5"/>
        <w:ind w:firstLine="562"/>
        <w:rPr>
          <w:rFonts w:cs="Times New Roman"/>
        </w:rPr>
      </w:pPr>
      <w:r>
        <w:rPr>
          <w:rFonts w:cs="Times New Roman"/>
        </w:rPr>
        <w:t>4.</w:t>
      </w:r>
      <w:r>
        <w:rPr>
          <w:rFonts w:hint="eastAsia" w:cs="Times New Roman"/>
        </w:rPr>
        <w:t>合同变更与展期</w:t>
      </w:r>
    </w:p>
    <w:p>
      <w:pPr>
        <w:ind w:firstLine="560"/>
        <w:rPr>
          <w:rFonts w:cs="Times New Roman"/>
        </w:rPr>
      </w:pPr>
      <w:r>
        <w:rPr>
          <w:rFonts w:hint="eastAsia" w:cs="Times New Roman"/>
        </w:rPr>
        <w:t>除适用法律另有规定或《特许经营协议》另有约定外，《特许经营协议》各当事人在项目合作期限内不得单方提出解除合同。出现法律法规规定或项目合同约定的情形，项目确需提前终止的，合同任何一方均有权依法或依约定要求赔偿。</w:t>
      </w:r>
    </w:p>
    <w:p>
      <w:pPr>
        <w:ind w:firstLine="560"/>
        <w:rPr>
          <w:rFonts w:cs="Times New Roman"/>
        </w:rPr>
      </w:pPr>
      <w:r>
        <w:rPr>
          <w:rFonts w:hint="eastAsia" w:cs="Times New Roman"/>
        </w:rPr>
        <w:t>项目合作期限内，实施机构或项目公司可根据社会经济环境、公共产品和服务的需求量及结构等条件的变化，按照《特许经营协议》约定的条件和程序，合同当事人应在协商一致的基础上签订补充协议。项目合作期限期满后确有必要延长的，各方当事人应当协商一致，并报本级人民政府批准后执行。</w:t>
      </w:r>
    </w:p>
    <w:p>
      <w:pPr>
        <w:pStyle w:val="5"/>
        <w:ind w:firstLine="562"/>
        <w:rPr>
          <w:rFonts w:cs="Times New Roman"/>
        </w:rPr>
      </w:pPr>
      <w:r>
        <w:rPr>
          <w:rFonts w:cs="Times New Roman"/>
        </w:rPr>
        <w:t>5.</w:t>
      </w:r>
      <w:r>
        <w:rPr>
          <w:rFonts w:hint="eastAsia" w:cs="Times New Roman"/>
        </w:rPr>
        <w:t>提前终止和补偿</w:t>
      </w:r>
    </w:p>
    <w:p>
      <w:pPr>
        <w:ind w:firstLine="560"/>
      </w:pPr>
      <w:r>
        <w:rPr>
          <w:rFonts w:hint="eastAsia"/>
        </w:rPr>
        <w:t>（</w:t>
      </w:r>
      <w:r>
        <w:t>1</w:t>
      </w:r>
      <w:r>
        <w:rPr>
          <w:rFonts w:hint="eastAsia"/>
        </w:rPr>
        <w:t>）导致终止的项目公司违约事件</w:t>
      </w:r>
    </w:p>
    <w:p>
      <w:pPr>
        <w:ind w:firstLine="560"/>
        <w:rPr>
          <w:rFonts w:cs="Times New Roman"/>
        </w:rPr>
      </w:pPr>
      <w:r>
        <w:rPr>
          <w:rFonts w:hint="eastAsia" w:cs="Times New Roman"/>
        </w:rPr>
        <w:t>项目公司有下列情形之一，如果不是由于政府方违约或不可抗力所致并且未在允许的时间内得到改正，应视为项目公司违约事件，政府方有权立即发出终止意向通知，具体以《特许经营协议》约定为准：</w:t>
      </w:r>
    </w:p>
    <w:p>
      <w:pPr>
        <w:ind w:firstLine="560"/>
      </w:pPr>
      <w:r>
        <w:rPr>
          <w:rFonts w:hint="eastAsia" w:ascii="仿宋" w:hAnsi="仿宋" w:cs="宋体"/>
        </w:rPr>
        <w:t>①</w:t>
      </w:r>
      <w:r>
        <w:rPr>
          <w:rFonts w:hint="eastAsia"/>
        </w:rPr>
        <w:t>在《特许经营协议》中所作的陈述和声明被证明严重有误，使项目公司履行《特许经营协议》的能力受到严重不利影响，或使政府方在特许经营项目合同下的权利受到严重不利影响；</w:t>
      </w:r>
    </w:p>
    <w:p>
      <w:pPr>
        <w:ind w:firstLine="560"/>
      </w:pPr>
      <w:r>
        <w:rPr>
          <w:rFonts w:hint="eastAsia" w:ascii="仿宋" w:hAnsi="仿宋" w:cs="宋体"/>
        </w:rPr>
        <w:t>②</w:t>
      </w:r>
      <w:r>
        <w:rPr>
          <w:rFonts w:hint="eastAsia"/>
        </w:rPr>
        <w:t>项目公司履行《特许经营协议》项下的任何义务所必需的任何政府批准、许可、执照被取消或不再有效；</w:t>
      </w:r>
    </w:p>
    <w:p>
      <w:pPr>
        <w:ind w:firstLine="560"/>
        <w:rPr>
          <w:rFonts w:ascii="仿宋" w:hAnsi="仿宋" w:cs="宋体"/>
        </w:rPr>
      </w:pPr>
      <w:r>
        <w:rPr>
          <w:rFonts w:hint="eastAsia" w:ascii="仿宋" w:hAnsi="仿宋" w:cs="宋体"/>
        </w:rPr>
        <w:t>③项目公司放弃项目或被视为放弃项目；</w:t>
      </w:r>
    </w:p>
    <w:p>
      <w:pPr>
        <w:ind w:firstLine="560"/>
      </w:pPr>
      <w:r>
        <w:rPr>
          <w:rFonts w:hint="eastAsia" w:ascii="仿宋" w:hAnsi="仿宋" w:cs="宋体"/>
        </w:rPr>
        <w:t>④</w:t>
      </w:r>
      <w:r>
        <w:rPr>
          <w:rFonts w:hint="eastAsia"/>
        </w:rPr>
        <w:t>项目连续</w:t>
      </w:r>
      <w:r>
        <w:t>3</w:t>
      </w:r>
      <w:r>
        <w:rPr>
          <w:rFonts w:hint="eastAsia"/>
        </w:rPr>
        <w:t>年在灌溉时间节点供水量不达标的；</w:t>
      </w:r>
    </w:p>
    <w:p>
      <w:pPr>
        <w:ind w:firstLine="560"/>
      </w:pPr>
      <w:r>
        <w:rPr>
          <w:rFonts w:hint="eastAsia" w:ascii="仿宋" w:hAnsi="仿宋" w:cs="宋体"/>
        </w:rPr>
        <w:t>⑤</w:t>
      </w:r>
      <w:r>
        <w:rPr>
          <w:rFonts w:hint="eastAsia"/>
        </w:rPr>
        <w:t>因经营管理不善，造成重大质量安全责任事故或者环境污染事故，严重影响公众利益的；</w:t>
      </w:r>
    </w:p>
    <w:p>
      <w:pPr>
        <w:ind w:firstLine="560"/>
      </w:pPr>
      <w:r>
        <w:rPr>
          <w:rFonts w:hint="eastAsia" w:ascii="仿宋" w:hAnsi="仿宋" w:cs="宋体"/>
        </w:rPr>
        <w:t>⑥</w:t>
      </w:r>
      <w:r>
        <w:rPr>
          <w:rFonts w:hint="eastAsia"/>
        </w:rPr>
        <w:t>因经营管理原因，财务状况严重恶化，无法继续履行本合同，擅自停业、歇业、未履行本合同约定的义务和责任，严重影响农户利益的；</w:t>
      </w:r>
    </w:p>
    <w:p>
      <w:pPr>
        <w:ind w:firstLine="560"/>
      </w:pPr>
      <w:r>
        <w:rPr>
          <w:rFonts w:hint="eastAsia" w:ascii="仿宋" w:hAnsi="仿宋" w:cs="宋体"/>
        </w:rPr>
        <w:t>⑦</w:t>
      </w:r>
      <w:r>
        <w:rPr>
          <w:rFonts w:hint="eastAsia"/>
        </w:rPr>
        <w:t>项目公司违反《特许经营协议》规定，擅自转让特许经营项目合同或合同项下任何权利或义务，或其任何资产，或者改变项目公司内部的股权比例；</w:t>
      </w:r>
    </w:p>
    <w:p>
      <w:pPr>
        <w:ind w:firstLine="560"/>
      </w:pPr>
      <w:r>
        <w:rPr>
          <w:rFonts w:hint="eastAsia" w:ascii="仿宋" w:hAnsi="仿宋" w:cs="宋体"/>
        </w:rPr>
        <w:t>⑧</w:t>
      </w:r>
      <w:r>
        <w:rPr>
          <w:rFonts w:hint="eastAsia"/>
        </w:rPr>
        <w:t>项目公司利用本项目进行欺诈等违法活动；</w:t>
      </w:r>
    </w:p>
    <w:p>
      <w:pPr>
        <w:ind w:firstLine="560"/>
      </w:pPr>
      <w:r>
        <w:rPr>
          <w:rFonts w:hint="eastAsia" w:ascii="仿宋" w:hAnsi="仿宋" w:cs="宋体"/>
        </w:rPr>
        <w:t>⑨</w:t>
      </w:r>
      <w:r>
        <w:rPr>
          <w:rFonts w:hint="eastAsia"/>
        </w:rPr>
        <w:t>项目公司不愿或无力继续经营，或发生清算、不能支付到期债务、破产；</w:t>
      </w:r>
    </w:p>
    <w:p>
      <w:pPr>
        <w:ind w:firstLine="560"/>
      </w:pPr>
      <w:r>
        <w:rPr>
          <w:rFonts w:hint="eastAsia" w:ascii="仿宋" w:hAnsi="仿宋" w:cs="宋体"/>
        </w:rPr>
        <w:t>⑩</w:t>
      </w:r>
      <w:r>
        <w:rPr>
          <w:rFonts w:hint="eastAsia"/>
        </w:rPr>
        <w:t>根据法律法规或《特许经营协议》规定，其他政府方可提前解除合同的情形。</w:t>
      </w:r>
    </w:p>
    <w:p>
      <w:pPr>
        <w:ind w:firstLine="560"/>
      </w:pPr>
      <w:r>
        <w:rPr>
          <w:rFonts w:hint="eastAsia"/>
        </w:rPr>
        <w:t>（</w:t>
      </w:r>
      <w:r>
        <w:t>2</w:t>
      </w:r>
      <w:r>
        <w:rPr>
          <w:rFonts w:hint="eastAsia"/>
        </w:rPr>
        <w:t>）导致终止的政府方违约事件</w:t>
      </w:r>
    </w:p>
    <w:p>
      <w:pPr>
        <w:ind w:firstLine="560"/>
        <w:rPr>
          <w:rFonts w:cs="Times New Roman"/>
        </w:rPr>
      </w:pPr>
      <w:r>
        <w:rPr>
          <w:rFonts w:hint="eastAsia" w:cs="Times New Roman"/>
        </w:rPr>
        <w:t>政府方有下列情形之一，如果不是由于项目公司违约事件或不可抗力所致，并且未能在允许的时间内得到补救，应视为政府方违约事件，项目公司有权立即发出终止意向通知，具体以特许经营项目合同约定为准：</w:t>
      </w:r>
    </w:p>
    <w:p>
      <w:pPr>
        <w:ind w:firstLine="560"/>
        <w:rPr>
          <w:rFonts w:cs="Times New Roman"/>
        </w:rPr>
      </w:pPr>
      <w:r>
        <w:rPr>
          <w:rFonts w:hint="eastAsia" w:ascii="宋体" w:hAnsi="宋体" w:eastAsia="宋体" w:cs="宋体"/>
        </w:rPr>
        <w:t>①</w:t>
      </w:r>
      <w:r>
        <w:rPr>
          <w:rFonts w:hint="eastAsia" w:cs="Times New Roman"/>
        </w:rPr>
        <w:t>在《特许经营协议》中所作的陈述和声明被证明严重有误，使政府方履行《特许经营协议》的能力受到严重不利影响，或使项目公司在特许经营项目合同下的权利受到严重不利影响的；</w:t>
      </w:r>
    </w:p>
    <w:p>
      <w:pPr>
        <w:ind w:firstLine="560"/>
        <w:rPr>
          <w:rFonts w:cs="Times New Roman"/>
        </w:rPr>
      </w:pPr>
      <w:r>
        <w:rPr>
          <w:rFonts w:hint="eastAsia" w:ascii="宋体" w:hAnsi="宋体" w:eastAsia="宋体" w:cs="宋体"/>
        </w:rPr>
        <w:t>②</w:t>
      </w:r>
      <w:r>
        <w:rPr>
          <w:rFonts w:hint="eastAsia" w:cs="Times New Roman"/>
        </w:rPr>
        <w:t>擅自撤销项目公司的经营权或将该经营权授予第三方或将自行实施全部或部分项目经营权；</w:t>
      </w:r>
    </w:p>
    <w:p>
      <w:pPr>
        <w:ind w:firstLine="560"/>
        <w:rPr>
          <w:rFonts w:cs="Times New Roman"/>
        </w:rPr>
      </w:pPr>
      <w:r>
        <w:rPr>
          <w:rFonts w:hint="eastAsia" w:ascii="宋体" w:hAnsi="宋体" w:eastAsia="宋体" w:cs="宋体"/>
        </w:rPr>
        <w:t>③</w:t>
      </w:r>
      <w:r>
        <w:rPr>
          <w:rFonts w:hint="eastAsia" w:cs="Times New Roman"/>
        </w:rPr>
        <w:t>政府方严重违反《特许经营协议》项下的义务，并在收到项目公司发出说明此违约的书面通知和要求政府方就此进行补救的书面通知后整改期限内，政府方未能补救；</w:t>
      </w:r>
    </w:p>
    <w:p>
      <w:pPr>
        <w:ind w:firstLine="560"/>
        <w:rPr>
          <w:rFonts w:cs="Times New Roman"/>
        </w:rPr>
      </w:pPr>
      <w:r>
        <w:rPr>
          <w:rFonts w:hint="eastAsia" w:ascii="宋体" w:hAnsi="宋体" w:eastAsia="宋体" w:cs="宋体"/>
        </w:rPr>
        <w:t>④</w:t>
      </w:r>
      <w:r>
        <w:rPr>
          <w:rFonts w:hint="eastAsia" w:cs="Times New Roman"/>
        </w:rPr>
        <w:t>根据法律法规或特许经营项目合同规定，其他项目公司可提前解除合同的情形。</w:t>
      </w:r>
    </w:p>
    <w:p>
      <w:pPr>
        <w:ind w:firstLine="560"/>
      </w:pPr>
      <w:r>
        <w:rPr>
          <w:rFonts w:hint="eastAsia"/>
        </w:rPr>
        <w:t>（</w:t>
      </w:r>
      <w:r>
        <w:t>3</w:t>
      </w:r>
      <w:r>
        <w:rPr>
          <w:rFonts w:hint="eastAsia"/>
        </w:rPr>
        <w:t>）其他提前终止情况</w:t>
      </w:r>
    </w:p>
    <w:p>
      <w:pPr>
        <w:ind w:firstLine="560"/>
        <w:rPr>
          <w:rFonts w:cs="Times New Roman"/>
        </w:rPr>
      </w:pPr>
      <w:r>
        <w:rPr>
          <w:rFonts w:hint="eastAsia" w:cs="Times New Roman"/>
        </w:rPr>
        <w:t>其他提前终止情况还包括：</w:t>
      </w:r>
    </w:p>
    <w:p>
      <w:pPr>
        <w:ind w:firstLine="560"/>
        <w:rPr>
          <w:rFonts w:cs="Times New Roman"/>
        </w:rPr>
      </w:pPr>
      <w:r>
        <w:rPr>
          <w:rFonts w:hint="eastAsia" w:ascii="宋体" w:hAnsi="宋体" w:eastAsia="宋体" w:cs="宋体"/>
        </w:rPr>
        <w:t>①</w:t>
      </w:r>
      <w:r>
        <w:rPr>
          <w:rFonts w:hint="eastAsia" w:cs="Times New Roman"/>
        </w:rPr>
        <w:t>经政府方与项目公司协商一致，可提前终止《特许经营协议》；</w:t>
      </w:r>
    </w:p>
    <w:p>
      <w:pPr>
        <w:ind w:firstLine="560"/>
        <w:rPr>
          <w:rFonts w:cs="Times New Roman"/>
        </w:rPr>
      </w:pPr>
      <w:r>
        <w:rPr>
          <w:rFonts w:hint="eastAsia" w:ascii="宋体" w:hAnsi="宋体" w:eastAsia="宋体" w:cs="宋体"/>
        </w:rPr>
        <w:t>②</w:t>
      </w:r>
      <w:r>
        <w:rPr>
          <w:rFonts w:hint="eastAsia" w:cs="Times New Roman"/>
        </w:rPr>
        <w:t>不可抗力导致特许经营项目合同无法继续履行，《特许经营协议》可提前终止；</w:t>
      </w:r>
    </w:p>
    <w:p>
      <w:pPr>
        <w:ind w:firstLine="560"/>
        <w:rPr>
          <w:rFonts w:cs="Times New Roman"/>
        </w:rPr>
      </w:pPr>
      <w:r>
        <w:rPr>
          <w:rFonts w:hint="eastAsia" w:ascii="宋体" w:hAnsi="宋体" w:eastAsia="宋体" w:cs="宋体"/>
        </w:rPr>
        <w:t>③</w:t>
      </w:r>
      <w:r>
        <w:rPr>
          <w:rFonts w:hint="eastAsia" w:cs="Times New Roman"/>
        </w:rPr>
        <w:t>其他《特许经营协议》中约定的提前终止情况。</w:t>
      </w:r>
    </w:p>
    <w:p>
      <w:pPr>
        <w:ind w:firstLine="560"/>
      </w:pPr>
      <w:r>
        <w:rPr>
          <w:rFonts w:hint="eastAsia"/>
        </w:rPr>
        <w:t>（</w:t>
      </w:r>
      <w:r>
        <w:t>4</w:t>
      </w:r>
      <w:r>
        <w:rPr>
          <w:rFonts w:hint="eastAsia"/>
        </w:rPr>
        <w:t>）提前终止的补偿原则</w:t>
      </w:r>
    </w:p>
    <w:p>
      <w:pPr>
        <w:ind w:firstLine="560"/>
        <w:rPr>
          <w:rFonts w:cs="Times New Roman"/>
        </w:rPr>
      </w:pPr>
      <w:r>
        <w:rPr>
          <w:rFonts w:hint="eastAsia" w:cs="Times New Roman"/>
        </w:rPr>
        <w:t>项目合作期内，因不可抗力、不可预见因素、法律变更或一方出现严重违约、双方协商一致而导致项目不能继续进行，则《特许经营协议》提前终止。</w:t>
      </w:r>
    </w:p>
    <w:p>
      <w:pPr>
        <w:ind w:firstLine="560"/>
        <w:rPr>
          <w:rFonts w:cs="Times New Roman"/>
        </w:rPr>
      </w:pPr>
      <w:r>
        <w:rPr>
          <w:rFonts w:hint="eastAsia" w:cs="Times New Roman"/>
        </w:rPr>
        <w:t>《特许经营协议》提前终止，政府或其指定机构应按照《特许经营协议》的规定接收项目设施，政府按照不同情况向项目公司支付相应提前终止补偿金，具体的提前补偿原则和补偿标准以《特许经营协议》约定为准。</w:t>
      </w:r>
    </w:p>
    <w:p>
      <w:pPr>
        <w:pStyle w:val="5"/>
        <w:ind w:firstLine="562"/>
        <w:rPr>
          <w:rFonts w:cs="Times New Roman"/>
        </w:rPr>
      </w:pPr>
      <w:r>
        <w:rPr>
          <w:rFonts w:cs="Times New Roman"/>
        </w:rPr>
        <w:t>6.</w:t>
      </w:r>
      <w:r>
        <w:rPr>
          <w:rFonts w:hint="eastAsia" w:cs="Times New Roman"/>
        </w:rPr>
        <w:t>违约处理</w:t>
      </w:r>
    </w:p>
    <w:p>
      <w:pPr>
        <w:ind w:firstLine="560"/>
        <w:rPr>
          <w:rFonts w:cs="Times New Roman"/>
        </w:rPr>
      </w:pPr>
      <w:r>
        <w:rPr>
          <w:rFonts w:hint="eastAsia" w:cs="Times New Roman"/>
        </w:rPr>
        <w:t>项目建设及运营维护过程中，社会资本未按照《特许经营协议》履行约定义务的，应承担相应的违约责任，包括停止侵害、消除影响、支付违约金、赔偿损失和解除合同等。当项目公司发生严重违约情形或危及社会安全和公共利益时，政府相关部门有权临时接管项目或提前终止合同。</w:t>
      </w:r>
    </w:p>
    <w:p>
      <w:pPr>
        <w:pStyle w:val="5"/>
        <w:ind w:firstLine="562"/>
        <w:rPr>
          <w:rFonts w:cs="Times New Roman"/>
        </w:rPr>
      </w:pPr>
      <w:r>
        <w:rPr>
          <w:rFonts w:cs="Times New Roman"/>
        </w:rPr>
        <w:t>7.</w:t>
      </w:r>
      <w:r>
        <w:rPr>
          <w:rFonts w:hint="eastAsia" w:cs="Times New Roman"/>
        </w:rPr>
        <w:t>争议解决</w:t>
      </w:r>
    </w:p>
    <w:p>
      <w:pPr>
        <w:ind w:firstLine="560"/>
        <w:rPr>
          <w:rFonts w:cs="Times New Roman"/>
        </w:rPr>
      </w:pPr>
      <w:r>
        <w:rPr>
          <w:rFonts w:hint="eastAsia" w:cs="Times New Roman"/>
        </w:rPr>
        <w:t>本项目合作期间，项目实施机构和项目公司因《特许经营协议》引起或有关的任何争议、分歧或索赔，则应尽力通过协商友好解决。执行特许经营项目合同过程中，合同双方若存在无法通过友好协商解决的情况，采取在项目所在地诉讼的方式解决。</w:t>
      </w:r>
    </w:p>
    <w:p>
      <w:pPr>
        <w:ind w:firstLine="560"/>
      </w:pPr>
      <w:r>
        <w:rPr>
          <w:rFonts w:hint="eastAsia"/>
        </w:rPr>
        <w:t>在争议解决过程中，当事各方应当继续履行特许经营项目合同下的各项义务，保证公共服务的持续性和稳定性。</w:t>
      </w:r>
    </w:p>
    <w:p>
      <w:pPr>
        <w:pStyle w:val="5"/>
        <w:ind w:firstLine="562"/>
        <w:rPr>
          <w:rFonts w:cs="Times New Roman"/>
        </w:rPr>
      </w:pPr>
      <w:r>
        <w:rPr>
          <w:rFonts w:cs="Times New Roman"/>
        </w:rPr>
        <w:t>8.</w:t>
      </w:r>
      <w:r>
        <w:rPr>
          <w:rFonts w:hint="eastAsia" w:cs="Times New Roman"/>
        </w:rPr>
        <w:t>项目参建单位的选择与管理</w:t>
      </w:r>
    </w:p>
    <w:p>
      <w:pPr>
        <w:ind w:firstLine="560"/>
      </w:pPr>
      <w:r>
        <w:rPr>
          <w:rFonts w:hint="eastAsia"/>
        </w:rPr>
        <w:t>（</w:t>
      </w:r>
      <w:r>
        <w:t>1</w:t>
      </w:r>
      <w:r>
        <w:rPr>
          <w:rFonts w:hint="eastAsia"/>
        </w:rPr>
        <w:t>）关于勘察设计单位的确定</w:t>
      </w:r>
    </w:p>
    <w:p>
      <w:pPr>
        <w:ind w:firstLine="560"/>
      </w:pPr>
      <w:r>
        <w:rPr>
          <w:rFonts w:hint="eastAsia"/>
        </w:rPr>
        <w:t>本项目勘察设计单位由实施机构按照适用法规选定，设计单位承担本项目的设计，包括初步设计、施工图设计以及后期设计优化、移交竣工验收等有关设计方面的工作；勘察单位负责本项目的勘察工作。实施机构先与勘察设计单位签订服务合同，待项目公司成立后，由项目公司与实施机构和勘察设计单位签订三方协议，明确仅转让给项目公司付费的义务，即勘察设计费用由项目公司承担并计入本项目的总投资。</w:t>
      </w:r>
    </w:p>
    <w:p>
      <w:pPr>
        <w:ind w:firstLine="560"/>
      </w:pPr>
      <w:r>
        <w:rPr>
          <w:rFonts w:hint="eastAsia"/>
        </w:rPr>
        <w:t>（</w:t>
      </w:r>
      <w:r>
        <w:t>2</w:t>
      </w:r>
      <w:r>
        <w:rPr>
          <w:rFonts w:hint="eastAsia"/>
        </w:rPr>
        <w:t>）关于监理及跟踪审计单位的确定</w:t>
      </w:r>
    </w:p>
    <w:p>
      <w:pPr>
        <w:ind w:firstLine="560"/>
      </w:pPr>
      <w:r>
        <w:rPr>
          <w:rFonts w:hint="eastAsia"/>
        </w:rPr>
        <w:t>本项目的监理机构由政府方依法选定，监理费纳入本次特许经营项目总投资，由项目公司支付。监理机构必须依据委托人的授权，按照国家和地方的有关法律、法规、相关技术要求和质量验收标准，对工作进度、质量、安全、文明施工等方面进行监理，公正的维护各方的合法权益。</w:t>
      </w:r>
    </w:p>
    <w:p>
      <w:pPr>
        <w:ind w:firstLine="560"/>
      </w:pPr>
      <w:r>
        <w:rPr>
          <w:rFonts w:hint="eastAsia"/>
        </w:rPr>
        <w:t>本项目的政府审计部门对项目的建设全过程进行跟踪审计，对项目建设实施过程的合法性、真实性、规范性进行跟踪审计监督，如审计部门聘请第三方负责跟踪审计，相关费用由项目公司支付，计入项目总投资。</w:t>
      </w:r>
    </w:p>
    <w:p>
      <w:pPr>
        <w:ind w:firstLine="560"/>
      </w:pPr>
      <w:r>
        <w:rPr>
          <w:rFonts w:hint="eastAsia"/>
        </w:rPr>
        <w:t>（</w:t>
      </w:r>
      <w:r>
        <w:t>3</w:t>
      </w:r>
      <w:r>
        <w:rPr>
          <w:rFonts w:hint="eastAsia"/>
        </w:rPr>
        <w:t>）关于施工单位的确定</w:t>
      </w:r>
    </w:p>
    <w:p>
      <w:pPr>
        <w:ind w:firstLine="560"/>
      </w:pPr>
      <w:r>
        <w:rPr>
          <w:rFonts w:hint="eastAsia"/>
        </w:rPr>
        <w:t>根据《招标投标法实施条例》第九条的规定，满足“已通过招标方式选定的特许经营项目投资人依法能够自行建设、生产或者提供”条件的，可以不进行招标。同时《关于在公共服务领域深入推进政府和社会资本合作工作的通知》（财金〔</w:t>
      </w:r>
      <w:r>
        <w:t>2016</w:t>
      </w:r>
      <w:r>
        <w:rPr>
          <w:rFonts w:hint="eastAsia"/>
        </w:rPr>
        <w:t>〕</w:t>
      </w:r>
      <w:r>
        <w:t>90</w:t>
      </w:r>
      <w:r>
        <w:rPr>
          <w:rFonts w:hint="eastAsia"/>
        </w:rPr>
        <w:t>号）第九条的规定，“对于涉及工程建设、设备采购、或服务外包的特许经营项目，已经依据政府采购法选定社会资本合作方的，合作方依法能够自行建设、生产或者提供服务的，可以不进行招标”。即满足条件的社会资本可负责项目的施工建设，项目公司无需再通过招标选择施工单位。</w:t>
      </w:r>
    </w:p>
    <w:p>
      <w:pPr>
        <w:ind w:firstLine="560"/>
      </w:pPr>
      <w:r>
        <w:rPr>
          <w:rFonts w:hint="eastAsia"/>
        </w:rPr>
        <w:t>本项目拟通过公开招标的方式选择具备相应施工总承包资质、能力及经验的社会资本，并在当地组建项目公司。中选社会资本如能满足自行建设的条件，项目公司可以不需再进行施工单位招标。</w:t>
      </w:r>
    </w:p>
    <w:p>
      <w:pPr>
        <w:ind w:firstLine="560"/>
      </w:pPr>
      <w:r>
        <w:rPr>
          <w:rFonts w:hint="eastAsia"/>
        </w:rPr>
        <w:t>（</w:t>
      </w:r>
      <w:r>
        <w:t>4</w:t>
      </w:r>
      <w:r>
        <w:rPr>
          <w:rFonts w:hint="eastAsia"/>
        </w:rPr>
        <w:t>）设备供应商的确定</w:t>
      </w:r>
    </w:p>
    <w:p>
      <w:pPr>
        <w:ind w:firstLine="560"/>
      </w:pPr>
      <w:r>
        <w:rPr>
          <w:rFonts w:hint="eastAsia"/>
        </w:rPr>
        <w:t>本项目的设备供应商由项目公司依法选定，设备购置费用纳入本次特许经营项目总投资，由项目公司支付</w:t>
      </w:r>
      <w:r>
        <w:t>。</w:t>
      </w:r>
    </w:p>
    <w:p>
      <w:pPr>
        <w:ind w:firstLine="560"/>
        <w:rPr>
          <w:rFonts w:cs="Times New Roman"/>
        </w:rPr>
      </w:pPr>
      <w:r>
        <w:rPr>
          <w:rFonts w:cs="Times New Roman"/>
        </w:rPr>
        <w:br w:type="page"/>
      </w:r>
    </w:p>
    <w:p>
      <w:pPr>
        <w:pStyle w:val="2"/>
        <w:spacing w:after="400"/>
        <w:rPr>
          <w:rFonts w:cs="Times New Roman"/>
        </w:rPr>
      </w:pPr>
      <w:bookmarkStart w:id="112" w:name="_Toc148432375"/>
      <w:r>
        <w:rPr>
          <w:rFonts w:hint="eastAsia" w:cs="Times New Roman"/>
        </w:rPr>
        <w:t>第九章 特许经营者应具备的条件与选择方式</w:t>
      </w:r>
      <w:bookmarkEnd w:id="112"/>
    </w:p>
    <w:p>
      <w:pPr>
        <w:pStyle w:val="3"/>
        <w:ind w:firstLine="643" w:firstLineChars="200"/>
        <w:rPr>
          <w:rFonts w:cs="Times New Roman"/>
        </w:rPr>
      </w:pPr>
      <w:bookmarkStart w:id="113" w:name="_Toc148432376"/>
      <w:bookmarkStart w:id="114" w:name="_Toc97286459"/>
      <w:r>
        <w:rPr>
          <w:rFonts w:hint="eastAsia" w:cs="Times New Roman"/>
        </w:rPr>
        <w:t>一、特许经营者的选择方式</w:t>
      </w:r>
      <w:bookmarkEnd w:id="113"/>
      <w:bookmarkEnd w:id="114"/>
    </w:p>
    <w:p>
      <w:pPr>
        <w:ind w:firstLine="560"/>
        <w:rPr>
          <w:rFonts w:cs="Times New Roman"/>
        </w:rPr>
      </w:pPr>
      <w:r>
        <w:rPr>
          <w:rFonts w:hint="eastAsia" w:cs="Times New Roman"/>
        </w:rPr>
        <w:t>根据《基础设施和公用事业特许经营管理办法》，“实施机构根据经审定的特许经营项目实施方案，应当通过招标、竞争性谈判等竞争方式选择特许经营者”。</w:t>
      </w:r>
    </w:p>
    <w:p>
      <w:pPr>
        <w:ind w:firstLine="560"/>
        <w:rPr>
          <w:rFonts w:cs="Times New Roman"/>
        </w:rPr>
      </w:pPr>
      <w:r>
        <w:rPr>
          <w:rFonts w:hint="eastAsia" w:cs="Times New Roman"/>
        </w:rPr>
        <w:t>因此，根据上述规定及《中华人民共和国政府采购法》（中华人民共和国主席令〔</w:t>
      </w:r>
      <w:r>
        <w:rPr>
          <w:rFonts w:cs="Times New Roman"/>
        </w:rPr>
        <w:t>2002</w:t>
      </w:r>
      <w:r>
        <w:rPr>
          <w:rFonts w:hint="eastAsia" w:cs="Times New Roman"/>
        </w:rPr>
        <w:t>〕第</w:t>
      </w:r>
      <w:r>
        <w:rPr>
          <w:rFonts w:cs="Times New Roman"/>
        </w:rPr>
        <w:t>68</w:t>
      </w:r>
      <w:r>
        <w:rPr>
          <w:rFonts w:hint="eastAsia" w:cs="Times New Roman"/>
        </w:rPr>
        <w:t>号）《中华人民共和国政府采购法实施条例》（国务院令第</w:t>
      </w:r>
      <w:r>
        <w:rPr>
          <w:rFonts w:cs="Times New Roman"/>
        </w:rPr>
        <w:t>658</w:t>
      </w:r>
      <w:r>
        <w:rPr>
          <w:rFonts w:hint="eastAsia" w:cs="Times New Roman"/>
        </w:rPr>
        <w:t>号）《政府采购货物和服务招标投标管理办法》（财政部令第</w:t>
      </w:r>
      <w:r>
        <w:rPr>
          <w:rFonts w:cs="Times New Roman"/>
        </w:rPr>
        <w:t>18</w:t>
      </w:r>
      <w:r>
        <w:rPr>
          <w:rFonts w:hint="eastAsia" w:cs="Times New Roman"/>
        </w:rPr>
        <w:t>号）等有关规定，实施机构根据经审定的特许经营项目实施方案，可通过公开招标、邀请招标、竞争性谈判、竞争性磋商等竞争方式选择特许经营者。</w:t>
      </w:r>
    </w:p>
    <w:p>
      <w:pPr>
        <w:pStyle w:val="4"/>
        <w:ind w:firstLine="562"/>
        <w:rPr>
          <w:rFonts w:cs="Times New Roman"/>
        </w:rPr>
      </w:pPr>
      <w:r>
        <w:rPr>
          <w:rFonts w:hint="eastAsia" w:cs="Times New Roman"/>
        </w:rPr>
        <w:t>（一）公开招标</w:t>
      </w:r>
    </w:p>
    <w:p>
      <w:pPr>
        <w:ind w:firstLine="560"/>
        <w:rPr>
          <w:rFonts w:cs="Times New Roman"/>
        </w:rPr>
      </w:pPr>
      <w:r>
        <w:rPr>
          <w:rFonts w:hint="eastAsia" w:cs="Times New Roman"/>
        </w:rPr>
        <w:t>公开招标是指招标人在公开媒介上以招标公告的方式邀请不特定的法人或其他组织参与投标，并向符合条件的投标人中择优选择中标人的一种招标方式。</w:t>
      </w:r>
    </w:p>
    <w:p>
      <w:pPr>
        <w:ind w:firstLine="560"/>
        <w:rPr>
          <w:rFonts w:cs="Times New Roman"/>
        </w:rPr>
      </w:pPr>
      <w:r>
        <w:rPr>
          <w:rFonts w:hint="eastAsia" w:cs="Times New Roman"/>
        </w:rPr>
        <w:t>公开招标主要适用于核心边界条件和技术经济参数明确、完整、符合国家法律法规和政府采购政策，且采购中不作更改的项目。公开招标能够在最大限度内选择投标商，竞争性更强，择优率更高，同时也可以在较大程度上避免招标活动中的贿标行为。</w:t>
      </w:r>
    </w:p>
    <w:p>
      <w:pPr>
        <w:pStyle w:val="4"/>
        <w:ind w:firstLine="562"/>
        <w:rPr>
          <w:rFonts w:cs="Times New Roman"/>
        </w:rPr>
      </w:pPr>
      <w:r>
        <w:rPr>
          <w:rFonts w:hint="eastAsia" w:cs="Times New Roman"/>
        </w:rPr>
        <w:t>（二）邀请招标</w:t>
      </w:r>
    </w:p>
    <w:p>
      <w:pPr>
        <w:ind w:firstLine="560"/>
        <w:rPr>
          <w:rFonts w:cs="Times New Roman"/>
        </w:rPr>
      </w:pPr>
      <w:r>
        <w:rPr>
          <w:rFonts w:hint="eastAsia" w:cs="Times New Roman"/>
        </w:rPr>
        <w:t>邀请招标是指招标方根据供应商或承包商的资信和业绩，选择若干供应商或承包商（不能少于三家），向其发出投标邀请，由被邀请的供应商、承包商投标竞争，从中选定中标者的招标方式。</w:t>
      </w:r>
    </w:p>
    <w:p>
      <w:pPr>
        <w:ind w:firstLine="560"/>
        <w:rPr>
          <w:rFonts w:cs="Times New Roman"/>
        </w:rPr>
      </w:pPr>
      <w:r>
        <w:rPr>
          <w:rFonts w:hint="eastAsia" w:cs="Times New Roman"/>
        </w:rPr>
        <w:t>邀请招标主要适用于：（一）技术复杂、有特殊要求或者受自然环境限制，只有少量潜在投标人可供选择；（二）采用公开招标方式的费用占项目合同金额的比例过大邀请招标与公开招标时间大致相同（约</w:t>
      </w:r>
      <w:r>
        <w:rPr>
          <w:rFonts w:cs="Times New Roman"/>
        </w:rPr>
        <w:t>20</w:t>
      </w:r>
      <w:r>
        <w:rPr>
          <w:rFonts w:hint="eastAsia" w:cs="Times New Roman"/>
        </w:rPr>
        <w:t>天），招标费用相对低一些，但是需要专门的审批条件，且竞争性弱，容易出现陪标现象。</w:t>
      </w:r>
    </w:p>
    <w:p>
      <w:pPr>
        <w:pStyle w:val="4"/>
        <w:ind w:firstLine="562"/>
        <w:rPr>
          <w:rFonts w:cs="Times New Roman"/>
        </w:rPr>
      </w:pPr>
      <w:r>
        <w:rPr>
          <w:rFonts w:hint="eastAsia" w:cs="Times New Roman"/>
        </w:rPr>
        <w:t>（三）竞争性谈判</w:t>
      </w:r>
    </w:p>
    <w:p>
      <w:pPr>
        <w:ind w:firstLine="560"/>
        <w:rPr>
          <w:rFonts w:cs="Times New Roman"/>
        </w:rPr>
      </w:pPr>
      <w:r>
        <w:rPr>
          <w:rFonts w:hint="eastAsia" w:cs="Times New Roman"/>
        </w:rPr>
        <w:t>竞争性谈判是指采购人或者采购代理机构直接邀请三家以上供应商就采购事宜进行谈判的方式。</w:t>
      </w:r>
    </w:p>
    <w:p>
      <w:pPr>
        <w:ind w:firstLine="560"/>
        <w:rPr>
          <w:rFonts w:cs="Times New Roman"/>
        </w:rPr>
      </w:pPr>
      <w:r>
        <w:rPr>
          <w:rFonts w:hint="eastAsia" w:cs="Times New Roman"/>
        </w:rPr>
        <w:t>竞争性谈判主要适用于：（一）招标后没有供应商投标、没有合格标的或者重新招标未能成立的；（二）技术复杂或性质特殊，不能规定详细规格或者具体要求的；（三）采用招标所需时间不能满足用户紧急需要的；（四）不能事先计算出价格总额的。竞争性谈判方式具有采购周期短（不低于</w:t>
      </w:r>
      <w:r>
        <w:rPr>
          <w:rFonts w:cs="Times New Roman"/>
        </w:rPr>
        <w:t>5</w:t>
      </w:r>
      <w:r>
        <w:rPr>
          <w:rFonts w:hint="eastAsia" w:cs="Times New Roman"/>
        </w:rPr>
        <w:t>天）、采购成本低，方便灵活等优点，但也存在独家谈判容易造成厂家抬高价格；违反自由竞争精神；秘密谈判，容易给参与者或操作人员造成串通舞弊的机会等缺点。</w:t>
      </w:r>
    </w:p>
    <w:p>
      <w:pPr>
        <w:pStyle w:val="4"/>
        <w:ind w:firstLine="562"/>
        <w:rPr>
          <w:rFonts w:cs="Times New Roman"/>
        </w:rPr>
      </w:pPr>
      <w:r>
        <w:rPr>
          <w:rFonts w:hint="eastAsia" w:cs="Times New Roman"/>
        </w:rPr>
        <w:t>（四）竞争性磋商</w:t>
      </w:r>
    </w:p>
    <w:p>
      <w:pPr>
        <w:ind w:firstLine="560"/>
        <w:rPr>
          <w:rFonts w:cs="Times New Roman"/>
        </w:rPr>
      </w:pPr>
      <w:r>
        <w:rPr>
          <w:rFonts w:hint="eastAsia" w:cs="Times New Roman"/>
        </w:rPr>
        <w:t>竞争性磋商采购方式是财政部首次依法创新的采购方式，核心内容是</w:t>
      </w:r>
      <w:r>
        <w:rPr>
          <w:rFonts w:cs="Times New Roman"/>
        </w:rPr>
        <w:t>“</w:t>
      </w:r>
      <w:r>
        <w:rPr>
          <w:rFonts w:hint="eastAsia" w:cs="Times New Roman"/>
        </w:rPr>
        <w:t>先明确采购需求、后竞争报价</w:t>
      </w:r>
      <w:r>
        <w:rPr>
          <w:rFonts w:cs="Times New Roman"/>
        </w:rPr>
        <w:t>”</w:t>
      </w:r>
      <w:r>
        <w:rPr>
          <w:rFonts w:hint="eastAsia" w:cs="Times New Roman"/>
        </w:rPr>
        <w:t>的两阶段采购模式，倡导</w:t>
      </w:r>
      <w:r>
        <w:rPr>
          <w:rFonts w:cs="Times New Roman"/>
        </w:rPr>
        <w:t>“</w:t>
      </w:r>
      <w:r>
        <w:rPr>
          <w:rFonts w:hint="eastAsia" w:cs="Times New Roman"/>
        </w:rPr>
        <w:t>物有所值</w:t>
      </w:r>
      <w:r>
        <w:rPr>
          <w:rFonts w:cs="Times New Roman"/>
        </w:rPr>
        <w:t>”</w:t>
      </w:r>
      <w:r>
        <w:rPr>
          <w:rFonts w:hint="eastAsia" w:cs="Times New Roman"/>
        </w:rPr>
        <w:t>的价值目标。</w:t>
      </w:r>
    </w:p>
    <w:p>
      <w:pPr>
        <w:ind w:firstLine="560"/>
        <w:rPr>
          <w:rFonts w:cs="Times New Roman"/>
        </w:rPr>
      </w:pPr>
      <w:r>
        <w:rPr>
          <w:rFonts w:hint="eastAsia" w:cs="Times New Roman"/>
        </w:rPr>
        <w:t>竞争性磋商主要适用于：（一）政府购买服务项目；（二）技术复杂或者性质特殊，不能确定详细规格或者具体要求的；（三）因艺术品采购、专利、专有技术或者服务的时间、数量事先不能确定等原因不能事先计算出价格总额的；（四）市场竞争不充分的科研项目，以及需要扶持的科技成果转化项目；（五）按照招标投标法及其实施条例必须进行招标的工程建设项目以外的工程建设项目。</w:t>
      </w:r>
    </w:p>
    <w:p>
      <w:pPr>
        <w:ind w:firstLine="560"/>
        <w:rPr>
          <w:rFonts w:cs="Times New Roman"/>
          <w:color w:val="000000" w:themeColor="text1"/>
          <w14:textFill>
            <w14:solidFill>
              <w14:schemeClr w14:val="tx1"/>
            </w14:solidFill>
          </w14:textFill>
        </w:rPr>
      </w:pPr>
      <w:r>
        <w:rPr>
          <w:rFonts w:hint="eastAsia" w:cs="Times New Roman"/>
          <w:color w:val="000000" w:themeColor="text1"/>
          <w14:textFill>
            <w14:solidFill>
              <w14:schemeClr w14:val="tx1"/>
            </w14:solidFill>
          </w14:textFill>
        </w:rPr>
        <w:t>目前特许经营项目常用的采购方法是公开招标和竞争性磋商两种方式，结合本项目特点，</w:t>
      </w:r>
      <w:r>
        <w:rPr>
          <w:rFonts w:hint="eastAsia" w:cs="Times New Roman"/>
          <w:b/>
          <w:color w:val="000000" w:themeColor="text1"/>
          <w14:textFill>
            <w14:solidFill>
              <w14:schemeClr w14:val="tx1"/>
            </w14:solidFill>
          </w14:textFill>
        </w:rPr>
        <w:t>本项目拟采取公开招标的方式选择社会资本。项目实施机构将作为本项目的采购人，并在符合要求的媒体上发布招标公告。</w:t>
      </w:r>
    </w:p>
    <w:p>
      <w:pPr>
        <w:pStyle w:val="3"/>
        <w:ind w:firstLine="643" w:firstLineChars="200"/>
        <w:rPr>
          <w:rFonts w:cs="Times New Roman"/>
        </w:rPr>
      </w:pPr>
      <w:bookmarkStart w:id="115" w:name="_Toc97286460"/>
      <w:bookmarkStart w:id="116" w:name="_Toc148432377"/>
      <w:r>
        <w:rPr>
          <w:rFonts w:hint="eastAsia" w:cs="Times New Roman"/>
        </w:rPr>
        <w:t>二、特许经营者的资格条件</w:t>
      </w:r>
      <w:bookmarkEnd w:id="115"/>
      <w:bookmarkEnd w:id="116"/>
    </w:p>
    <w:p>
      <w:pPr>
        <w:ind w:firstLine="560"/>
        <w:rPr>
          <w:rFonts w:cs="Times New Roman"/>
        </w:rPr>
      </w:pPr>
      <w:r>
        <w:rPr>
          <w:rFonts w:hint="eastAsia" w:cs="Times New Roman"/>
        </w:rPr>
        <w:t>本项目将围绕主体资格条件、财务实力、运营经验和施工能力要求选择到合适的社会资本方，以下拟定资格条件将在下一步社会资本选择环节的选择文件中进一步完善：</w:t>
      </w:r>
    </w:p>
    <w:p>
      <w:pPr>
        <w:ind w:firstLine="560"/>
        <w:rPr>
          <w:rFonts w:cs="Times New Roman"/>
          <w:sz w:val="24"/>
          <w:szCs w:val="24"/>
        </w:rPr>
      </w:pPr>
      <w:r>
        <w:rPr>
          <w:rFonts w:cs="Times New Roman"/>
        </w:rPr>
        <w:t>1.</w:t>
      </w:r>
      <w:r>
        <w:rPr>
          <w:rFonts w:hint="eastAsia" w:cs="Times New Roman"/>
        </w:rPr>
        <w:t>除符合《政府采购法》第二十二条的规定外，必须是持有有效的营业执照的独立企业法人。</w:t>
      </w:r>
    </w:p>
    <w:p>
      <w:pPr>
        <w:ind w:firstLine="560"/>
        <w:rPr>
          <w:rFonts w:cs="Times New Roman"/>
        </w:rPr>
      </w:pPr>
      <w:r>
        <w:rPr>
          <w:rFonts w:cs="Times New Roman"/>
        </w:rPr>
        <w:t>2.</w:t>
      </w:r>
      <w:r>
        <w:rPr>
          <w:rFonts w:hint="eastAsia" w:cs="Times New Roman"/>
        </w:rPr>
        <w:t>具有良好的商业信誉，参加政府采购活动前三年内没有重大违法记录，未被“信用中国”网站（</w:t>
      </w:r>
      <w:r>
        <w:rPr>
          <w:rFonts w:cs="Times New Roman"/>
        </w:rPr>
        <w:t>www.creditchina.gov.cn</w:t>
      </w:r>
      <w:r>
        <w:rPr>
          <w:rFonts w:hint="eastAsia" w:cs="Times New Roman"/>
        </w:rPr>
        <w:t>）、中国政府采购网（</w:t>
      </w:r>
      <w:r>
        <w:rPr>
          <w:rFonts w:cs="Times New Roman"/>
        </w:rPr>
        <w:t>www.ccgp.gov.cn</w:t>
      </w:r>
      <w:r>
        <w:rPr>
          <w:rFonts w:hint="eastAsia" w:cs="Times New Roman"/>
        </w:rPr>
        <w:t>）列入失信被执行人名单、重大税收违法案件当事人名单及政府采购严重违法失信行为记录名单。提供网站查询结果网页截图。</w:t>
      </w:r>
    </w:p>
    <w:p>
      <w:pPr>
        <w:ind w:firstLine="560"/>
        <w:rPr>
          <w:rFonts w:cs="Times New Roman"/>
        </w:rPr>
      </w:pPr>
      <w:r>
        <w:rPr>
          <w:rFonts w:cs="Times New Roman"/>
        </w:rPr>
        <w:t>3.</w:t>
      </w:r>
      <w:r>
        <w:rPr>
          <w:rFonts w:hint="eastAsia" w:cs="Times New Roman"/>
        </w:rPr>
        <w:t>无行贿犯罪查询结果。申请人需提供中国裁判文书网（</w:t>
      </w:r>
      <w:r>
        <w:rPr>
          <w:rFonts w:cs="Times New Roman"/>
        </w:rPr>
        <w:t>http://wenshu.court.gov.cn/</w:t>
      </w:r>
      <w:r>
        <w:rPr>
          <w:rFonts w:hint="eastAsia" w:cs="Times New Roman"/>
        </w:rPr>
        <w:t>）上按照“案由为单位行贿或行贿”的查询结果网页截图（加盖公章），查询对象包括企业和法定代表人。</w:t>
      </w:r>
    </w:p>
    <w:p>
      <w:pPr>
        <w:ind w:firstLine="560"/>
        <w:rPr>
          <w:rFonts w:cs="Times New Roman"/>
        </w:rPr>
      </w:pPr>
      <w:r>
        <w:rPr>
          <w:rFonts w:cs="Times New Roman"/>
        </w:rPr>
        <w:t>4.</w:t>
      </w:r>
      <w:r>
        <w:rPr>
          <w:rFonts w:hint="eastAsia" w:cs="Times New Roman"/>
        </w:rPr>
        <w:t>具有健全的财务会计制度，没有处于被责令停业或破产状态，且资产未被重组、接管和冻结。</w:t>
      </w:r>
    </w:p>
    <w:p>
      <w:pPr>
        <w:ind w:firstLine="560"/>
        <w:rPr>
          <w:rFonts w:cs="Times New Roman"/>
        </w:rPr>
      </w:pPr>
      <w:r>
        <w:rPr>
          <w:rFonts w:cs="Times New Roman"/>
        </w:rPr>
        <w:t>5.</w:t>
      </w:r>
      <w:r>
        <w:rPr>
          <w:rFonts w:hint="eastAsia" w:cs="Times New Roman"/>
        </w:rPr>
        <w:t>法律、行政法规规定的其他条件。</w:t>
      </w:r>
    </w:p>
    <w:p>
      <w:pPr>
        <w:ind w:firstLine="560"/>
        <w:rPr>
          <w:rFonts w:cs="Times New Roman"/>
        </w:rPr>
      </w:pPr>
      <w:r>
        <w:rPr>
          <w:rFonts w:cs="Times New Roman"/>
        </w:rPr>
        <w:t>6.</w:t>
      </w:r>
      <w:r>
        <w:rPr>
          <w:rFonts w:hint="eastAsia" w:cs="Times New Roman"/>
        </w:rPr>
        <w:t>本次招标接受联合体。</w:t>
      </w:r>
    </w:p>
    <w:p>
      <w:pPr>
        <w:pStyle w:val="3"/>
        <w:ind w:firstLine="643" w:firstLineChars="200"/>
      </w:pPr>
      <w:bookmarkStart w:id="117" w:name="_Toc97286461"/>
      <w:bookmarkStart w:id="118" w:name="_Toc148432378"/>
      <w:r>
        <w:rPr>
          <w:rFonts w:hint="eastAsia"/>
        </w:rPr>
        <w:t>三、</w:t>
      </w:r>
      <w:r>
        <w:t>特许经营者的</w:t>
      </w:r>
      <w:bookmarkEnd w:id="117"/>
      <w:r>
        <w:t>选择</w:t>
      </w:r>
      <w:bookmarkEnd w:id="118"/>
    </w:p>
    <w:p>
      <w:pPr>
        <w:pStyle w:val="4"/>
        <w:ind w:firstLine="562"/>
      </w:pPr>
      <w:bookmarkStart w:id="119" w:name="_Toc88582238"/>
      <w:bookmarkStart w:id="120" w:name="_Toc88385932"/>
      <w:bookmarkStart w:id="121" w:name="_Toc86926661"/>
      <w:r>
        <w:rPr>
          <w:rFonts w:hint="eastAsia"/>
        </w:rPr>
        <w:t>（一）</w:t>
      </w:r>
      <w:bookmarkEnd w:id="119"/>
      <w:bookmarkEnd w:id="120"/>
      <w:bookmarkEnd w:id="121"/>
      <w:r>
        <w:rPr>
          <w:rFonts w:hint="eastAsia"/>
        </w:rPr>
        <w:t>选择方式</w:t>
      </w:r>
    </w:p>
    <w:p>
      <w:pPr>
        <w:ind w:firstLine="560"/>
      </w:pPr>
      <w:r>
        <w:rPr>
          <w:rFonts w:hint="eastAsia"/>
        </w:rPr>
        <w:t>目前特许经营项目常用的采购方法是公开招标和竞争性磋商两种方式，结合本项目特点，本项目拟采取</w:t>
      </w:r>
      <w:r>
        <w:rPr>
          <w:rFonts w:hint="eastAsia"/>
          <w:b/>
        </w:rPr>
        <w:t>公开招标</w:t>
      </w:r>
      <w:r>
        <w:rPr>
          <w:rFonts w:hint="eastAsia"/>
        </w:rPr>
        <w:t>的方式选择社会资本。项目实施机构将作为本项目采购人，在符合要求的媒体上发布招标公告。</w:t>
      </w:r>
    </w:p>
    <w:p>
      <w:pPr>
        <w:pStyle w:val="4"/>
        <w:ind w:firstLine="562"/>
        <w:rPr>
          <w:rFonts w:cs="Times New Roman"/>
        </w:rPr>
      </w:pPr>
      <w:bookmarkStart w:id="122" w:name="_Toc86926662"/>
      <w:bookmarkStart w:id="123" w:name="_Toc88582239"/>
      <w:bookmarkStart w:id="124" w:name="_Toc88385933"/>
      <w:r>
        <w:rPr>
          <w:rFonts w:hint="eastAsia" w:cs="Times New Roman"/>
        </w:rPr>
        <w:t>（二）选择程序</w:t>
      </w:r>
      <w:bookmarkEnd w:id="122"/>
      <w:bookmarkEnd w:id="123"/>
      <w:bookmarkEnd w:id="124"/>
    </w:p>
    <w:p>
      <w:pPr>
        <w:ind w:firstLine="560"/>
        <w:rPr>
          <w:rFonts w:cs="Times New Roman"/>
        </w:rPr>
      </w:pPr>
      <w:r>
        <w:rPr>
          <w:rFonts w:hint="eastAsia" w:cs="Times New Roman"/>
        </w:rPr>
        <w:t>依据《招标投标法》《招标投标法实施条例》等相关法律，《传统基础设施领域实施政府和社会资本合作项目工作导则》等部门规章，本项目选择工作的开展安排如下：</w:t>
      </w:r>
    </w:p>
    <w:p>
      <w:pPr>
        <w:ind w:firstLine="560"/>
      </w:pPr>
      <w:r>
        <w:t>1.</w:t>
      </w:r>
      <w:r>
        <w:rPr>
          <w:rFonts w:hint="eastAsia"/>
        </w:rPr>
        <w:t>编制招标文件</w:t>
      </w:r>
    </w:p>
    <w:p>
      <w:pPr>
        <w:ind w:firstLine="560"/>
      </w:pPr>
      <w:r>
        <w:rPr>
          <w:rFonts w:hint="eastAsia"/>
        </w:rPr>
        <w:t>实施机构需依据政府批复的实施方案完成招标</w:t>
      </w:r>
      <w:r>
        <w:t>/</w:t>
      </w:r>
      <w:r>
        <w:rPr>
          <w:rFonts w:hint="eastAsia"/>
        </w:rPr>
        <w:t>选择文件的编制工作，特许经营协议草案等法律文件应作为招标</w:t>
      </w:r>
      <w:r>
        <w:t>/</w:t>
      </w:r>
      <w:r>
        <w:rPr>
          <w:rFonts w:hint="eastAsia"/>
        </w:rPr>
        <w:t>采购文件的附件。</w:t>
      </w:r>
    </w:p>
    <w:p>
      <w:pPr>
        <w:ind w:firstLine="560"/>
      </w:pPr>
      <w:r>
        <w:t>2.</w:t>
      </w:r>
      <w:r>
        <w:rPr>
          <w:rFonts w:hint="eastAsia"/>
        </w:rPr>
        <w:t>发售招标文件</w:t>
      </w:r>
    </w:p>
    <w:p>
      <w:pPr>
        <w:ind w:firstLine="560"/>
      </w:pPr>
      <w:r>
        <w:rPr>
          <w:rFonts w:hint="eastAsia"/>
        </w:rPr>
        <w:t>发改局完成实施方案审批后项目进入</w:t>
      </w:r>
      <w:r>
        <w:t>“</w:t>
      </w:r>
      <w:r>
        <w:rPr>
          <w:rFonts w:hint="eastAsia"/>
        </w:rPr>
        <w:t>采购阶段</w:t>
      </w:r>
      <w:r>
        <w:t>”</w:t>
      </w:r>
      <w:r>
        <w:rPr>
          <w:rFonts w:hint="eastAsia"/>
        </w:rPr>
        <w:t>，由实施机构同心县农业农村局委托招标代理于</w:t>
      </w:r>
      <w:r>
        <w:t>25</w:t>
      </w:r>
      <w:r>
        <w:rPr>
          <w:rFonts w:hint="eastAsia"/>
        </w:rPr>
        <w:t>日内完成社会资本方的选择。</w:t>
      </w:r>
    </w:p>
    <w:p>
      <w:pPr>
        <w:ind w:firstLine="560"/>
      </w:pPr>
      <w:r>
        <w:t>3.</w:t>
      </w:r>
      <w:r>
        <w:rPr>
          <w:rFonts w:hint="eastAsia"/>
        </w:rPr>
        <w:t>答疑、澄清、修改招标</w:t>
      </w:r>
      <w:r>
        <w:t>/</w:t>
      </w:r>
      <w:r>
        <w:rPr>
          <w:rFonts w:hint="eastAsia"/>
        </w:rPr>
        <w:t>选择文件</w:t>
      </w:r>
    </w:p>
    <w:p>
      <w:pPr>
        <w:ind w:firstLine="560"/>
      </w:pPr>
      <w:r>
        <w:rPr>
          <w:rFonts w:hint="eastAsia"/>
        </w:rPr>
        <w:t>项目实施机构依法对已发出的采购文件进行必要的澄清或修改，澄清或修改的内容应作为选择文件的组成部分。</w:t>
      </w:r>
    </w:p>
    <w:p>
      <w:pPr>
        <w:ind w:firstLine="560"/>
      </w:pPr>
      <w:r>
        <w:rPr>
          <w:rFonts w:hint="eastAsia"/>
        </w:rPr>
        <w:t>项目实施机构应组织社会资本进行现场考察或召开选择前答疑会，但不得单独或分别组织只有一个社会资本参加的现场考察和答疑会。</w:t>
      </w:r>
    </w:p>
    <w:p>
      <w:pPr>
        <w:ind w:firstLine="560"/>
      </w:pPr>
      <w:r>
        <w:t>4.</w:t>
      </w:r>
      <w:r>
        <w:rPr>
          <w:rFonts w:hint="eastAsia"/>
        </w:rPr>
        <w:t>组建评审小组</w:t>
      </w:r>
    </w:p>
    <w:p>
      <w:pPr>
        <w:ind w:firstLine="560"/>
      </w:pPr>
      <w:r>
        <w:rPr>
          <w:rFonts w:hint="eastAsia"/>
        </w:rPr>
        <w:t>评审小组由项目实施机构代表和评审专家共</w:t>
      </w:r>
      <w:r>
        <w:t>5</w:t>
      </w:r>
      <w:r>
        <w:rPr>
          <w:rFonts w:hint="eastAsia"/>
        </w:rPr>
        <w:t>人以上单数组成，其中评审专家人数不得少于评审小组成员总数的</w:t>
      </w:r>
      <w:r>
        <w:t>2/3</w:t>
      </w:r>
      <w:r>
        <w:rPr>
          <w:rFonts w:hint="eastAsia"/>
        </w:rPr>
        <w:t>。评审专家可以由项目实施机构自行选定，但评审专家中应至少包含</w:t>
      </w:r>
      <w:r>
        <w:t>1</w:t>
      </w:r>
      <w:r>
        <w:rPr>
          <w:rFonts w:hint="eastAsia"/>
        </w:rPr>
        <w:t>名财务专家和</w:t>
      </w:r>
      <w:r>
        <w:t>1</w:t>
      </w:r>
      <w:r>
        <w:rPr>
          <w:rFonts w:hint="eastAsia"/>
        </w:rPr>
        <w:t>名法律专家。项目实施机构代表不得以评审专家身份参加项目的评审。</w:t>
      </w:r>
    </w:p>
    <w:p>
      <w:pPr>
        <w:ind w:firstLine="560"/>
      </w:pPr>
      <w:r>
        <w:rPr>
          <w:rFonts w:hint="eastAsia"/>
        </w:rPr>
        <w:t>评审专家宜首先通过专家库随机抽选生成或由实施机构直接选定。县（区）本级公共资源交易中心已不具备符合随机抽选要求的专家库的，可使用市本级、自治区本级相关专家库或重新组建专家库。采用直接选定方式的需依法做好论证、公示工作。</w:t>
      </w:r>
    </w:p>
    <w:p>
      <w:pPr>
        <w:ind w:firstLine="560"/>
      </w:pPr>
      <w:r>
        <w:t>5.</w:t>
      </w:r>
      <w:r>
        <w:rPr>
          <w:rFonts w:hint="eastAsia"/>
        </w:rPr>
        <w:t>评审投标</w:t>
      </w:r>
      <w:r>
        <w:t>/</w:t>
      </w:r>
      <w:r>
        <w:rPr>
          <w:rFonts w:hint="eastAsia"/>
        </w:rPr>
        <w:t>响应文件</w:t>
      </w:r>
    </w:p>
    <w:p>
      <w:pPr>
        <w:ind w:firstLine="560"/>
      </w:pPr>
      <w:r>
        <w:rPr>
          <w:rFonts w:hint="eastAsia"/>
        </w:rPr>
        <w:t>评审小组宜对投标</w:t>
      </w:r>
      <w:r>
        <w:t>/</w:t>
      </w:r>
      <w:r>
        <w:rPr>
          <w:rFonts w:hint="eastAsia"/>
        </w:rPr>
        <w:t>响应文件进行两阶段评审。第一阶段由评审小组在对社会资本进行资格审查。第二阶段由评审小组对通过资格审查的投标</w:t>
      </w:r>
      <w:r>
        <w:t>/</w:t>
      </w:r>
      <w:r>
        <w:rPr>
          <w:rFonts w:hint="eastAsia"/>
        </w:rPr>
        <w:t>响应文件进行综合评分，编写评审报告并向项目实施机构提交候选社会资本的排序名单。</w:t>
      </w:r>
    </w:p>
    <w:p>
      <w:pPr>
        <w:ind w:firstLine="560"/>
      </w:pPr>
      <w:r>
        <w:t>6.</w:t>
      </w:r>
      <w:r>
        <w:rPr>
          <w:rFonts w:hint="eastAsia"/>
        </w:rPr>
        <w:t>合同确认谈判</w:t>
      </w:r>
    </w:p>
    <w:p>
      <w:pPr>
        <w:ind w:firstLine="560"/>
      </w:pPr>
      <w:r>
        <w:rPr>
          <w:rFonts w:hint="eastAsia"/>
        </w:rPr>
        <w:t>实施机构根据需要组织项目谈判小组，必要时邀请第三方专业机构提供专业支持。</w:t>
      </w:r>
    </w:p>
    <w:p>
      <w:pPr>
        <w:ind w:firstLine="560"/>
      </w:pPr>
      <w:r>
        <w:rPr>
          <w:rFonts w:hint="eastAsia"/>
        </w:rPr>
        <w:t>谈判小组按照候选社会资本方的排名，依次与候选社会资本方进行合同确认谈判，率先达成一致的即为中选社会资本方。项目实施机构应与中选社会资本方签署确认谈判备忘录，并根据信息公开相关规定，公示合同文本及相关文件。</w:t>
      </w:r>
    </w:p>
    <w:p>
      <w:pPr>
        <w:ind w:firstLine="560"/>
      </w:pPr>
      <w:r>
        <w:t>7.</w:t>
      </w:r>
      <w:r>
        <w:rPr>
          <w:rFonts w:hint="eastAsia"/>
        </w:rPr>
        <w:t>合同签约</w:t>
      </w:r>
    </w:p>
    <w:p>
      <w:pPr>
        <w:ind w:firstLine="560"/>
      </w:pPr>
      <w:r>
        <w:rPr>
          <w:rFonts w:hint="eastAsia"/>
        </w:rPr>
        <w:t>实施机构应将招标结果和根据采购文件、响应文件、补遗文件和确认谈判备忘录拟定的特许经营协议文本进行公示，做好公示期间异议的解释、澄清和回复等工作。公示期满无异议的，由项目实施机构会同发改、财政部门等部门将合同报送当地政府审核。政府审核同意后，由项目实施机构与中选社会资本方正式签署的特许经营协议。</w:t>
      </w:r>
    </w:p>
    <w:p>
      <w:pPr>
        <w:pStyle w:val="4"/>
        <w:ind w:firstLine="562"/>
        <w:rPr>
          <w:rFonts w:cs="Times New Roman"/>
        </w:rPr>
      </w:pPr>
      <w:r>
        <w:rPr>
          <w:rFonts w:hint="eastAsia" w:cs="Times New Roman"/>
        </w:rPr>
        <w:t>（三）综合评审办法</w:t>
      </w:r>
    </w:p>
    <w:p>
      <w:pPr>
        <w:ind w:firstLine="560"/>
      </w:pPr>
      <w:r>
        <w:rPr>
          <w:rFonts w:hint="eastAsia"/>
        </w:rPr>
        <w:t>投标</w:t>
      </w:r>
      <w:r>
        <w:t>/</w:t>
      </w:r>
      <w:r>
        <w:rPr>
          <w:rFonts w:hint="eastAsia"/>
        </w:rPr>
        <w:t>响应文件评审宜采用综合评审办法，重点从社会资本的综合实力、建设施工能力、运营管理能力和商务报价等若干个方面进行综合考察，公平择优选择具有相应管理经验、专业能力、融资实力以及信用状况良好的法人或者其他组织作为特许经营者。</w:t>
      </w:r>
    </w:p>
    <w:p>
      <w:pPr>
        <w:ind w:firstLine="560"/>
      </w:pPr>
      <w:r>
        <w:rPr>
          <w:rFonts w:hint="eastAsia"/>
        </w:rPr>
        <w:t>投标</w:t>
      </w:r>
      <w:r>
        <w:t>/</w:t>
      </w:r>
      <w:r>
        <w:rPr>
          <w:rFonts w:hint="eastAsia"/>
        </w:rPr>
        <w:t>响应文件一般包括资信文件、技术文件和报价文件，并分设评审标准。</w:t>
      </w:r>
    </w:p>
    <w:p>
      <w:pPr>
        <w:ind w:firstLine="560"/>
      </w:pPr>
      <w:r>
        <w:t>1.</w:t>
      </w:r>
      <w:r>
        <w:rPr>
          <w:rFonts w:hint="eastAsia"/>
        </w:rPr>
        <w:t>资信文件</w:t>
      </w:r>
    </w:p>
    <w:p>
      <w:pPr>
        <w:ind w:firstLine="560"/>
      </w:pPr>
      <w:r>
        <w:rPr>
          <w:rFonts w:hint="eastAsia"/>
        </w:rPr>
        <w:t>资信文件主要体现社会资本方投、建、管、服一体化的综合实力，包括投融资能力和财务状况、施工资质和业绩、运营经验和业绩、获奖和示范项目等。</w:t>
      </w:r>
    </w:p>
    <w:p>
      <w:pPr>
        <w:ind w:firstLine="560"/>
      </w:pPr>
      <w:r>
        <w:rPr>
          <w:rFonts w:hint="eastAsia"/>
        </w:rPr>
        <w:t>具体考察标准宜在招投标阶段根据经批复的实施方案确定的目标和原则进一步细化和明确。</w:t>
      </w:r>
    </w:p>
    <w:p>
      <w:pPr>
        <w:ind w:firstLine="560"/>
      </w:pPr>
      <w:r>
        <w:t>2.</w:t>
      </w:r>
      <w:r>
        <w:rPr>
          <w:rFonts w:hint="eastAsia"/>
        </w:rPr>
        <w:t>技术文件</w:t>
      </w:r>
    </w:p>
    <w:p>
      <w:pPr>
        <w:ind w:firstLine="560"/>
      </w:pPr>
      <w:r>
        <w:rPr>
          <w:rFonts w:hint="eastAsia"/>
        </w:rPr>
        <w:t>技术文件主要体现社会资本方投、建、管、服一体化的技术实力，主要包括社会资本方组建与管理方案、项目投融资方案、项目建设管理方案、运营服务管理方案、移交方案、财务方案和法律方案等。</w:t>
      </w:r>
    </w:p>
    <w:p>
      <w:pPr>
        <w:ind w:firstLine="560"/>
      </w:pPr>
      <w:r>
        <w:rPr>
          <w:rFonts w:hint="eastAsia"/>
        </w:rPr>
        <w:t>具体考察标准宜在招投标阶段根据经批复的实施方案确定的目标和原则进一步细化和明确。</w:t>
      </w:r>
    </w:p>
    <w:p>
      <w:pPr>
        <w:ind w:firstLine="560"/>
      </w:pPr>
      <w:r>
        <w:t>3.</w:t>
      </w:r>
      <w:r>
        <w:rPr>
          <w:rFonts w:hint="eastAsia"/>
        </w:rPr>
        <w:t>商务报价</w:t>
      </w:r>
    </w:p>
    <w:p>
      <w:pPr>
        <w:ind w:firstLine="560"/>
      </w:pPr>
    </w:p>
    <w:p>
      <w:pPr>
        <w:ind w:firstLine="560"/>
        <w:rPr>
          <w:rFonts w:cs="Times New Roman"/>
        </w:rPr>
      </w:pPr>
      <w:r>
        <w:rPr>
          <w:rFonts w:cs="Times New Roman"/>
        </w:rPr>
        <w:br w:type="page"/>
      </w:r>
    </w:p>
    <w:p>
      <w:pPr>
        <w:pStyle w:val="2"/>
        <w:spacing w:after="400"/>
        <w:rPr>
          <w:rFonts w:cs="Times New Roman"/>
        </w:rPr>
      </w:pPr>
      <w:bookmarkStart w:id="125" w:name="_Toc148432379"/>
      <w:r>
        <w:rPr>
          <w:rFonts w:hint="eastAsia" w:cs="Times New Roman"/>
        </w:rPr>
        <w:t>第十章 政府承诺与保障</w:t>
      </w:r>
      <w:bookmarkEnd w:id="125"/>
    </w:p>
    <w:p>
      <w:pPr>
        <w:pStyle w:val="3"/>
        <w:ind w:firstLine="643" w:firstLineChars="200"/>
        <w:rPr>
          <w:rFonts w:cs="Times New Roman"/>
        </w:rPr>
      </w:pPr>
      <w:bookmarkStart w:id="126" w:name="_Toc148432380"/>
      <w:r>
        <w:rPr>
          <w:rFonts w:hint="eastAsia" w:cs="Times New Roman"/>
        </w:rPr>
        <w:t>一、特许经营权的有效性</w:t>
      </w:r>
      <w:bookmarkEnd w:id="126"/>
    </w:p>
    <w:p>
      <w:pPr>
        <w:ind w:firstLine="560"/>
        <w:rPr>
          <w:rFonts w:cs="Times New Roman"/>
        </w:rPr>
      </w:pPr>
      <w:r>
        <w:rPr>
          <w:rFonts w:hint="eastAsia" w:cs="Times New Roman"/>
        </w:rPr>
        <w:t>在中标社会资本严格执行特许经营协议的前提下，政府应保证其特许经营权在整个特许经营期内始终持续有效和完整，不可抗力除外。</w:t>
      </w:r>
    </w:p>
    <w:p>
      <w:pPr>
        <w:pStyle w:val="3"/>
        <w:ind w:firstLine="643" w:firstLineChars="200"/>
        <w:rPr>
          <w:rFonts w:cs="Times New Roman"/>
        </w:rPr>
      </w:pPr>
      <w:bookmarkStart w:id="127" w:name="_Toc148432381"/>
      <w:r>
        <w:rPr>
          <w:rFonts w:hint="eastAsia" w:cs="Times New Roman"/>
        </w:rPr>
        <w:t>二、协调与政府部门的联系</w:t>
      </w:r>
      <w:bookmarkEnd w:id="127"/>
    </w:p>
    <w:p>
      <w:pPr>
        <w:ind w:firstLine="560"/>
        <w:rPr>
          <w:rFonts w:cs="Times New Roman"/>
        </w:rPr>
      </w:pPr>
      <w:r>
        <w:rPr>
          <w:rFonts w:hint="eastAsia" w:cs="Times New Roman"/>
        </w:rPr>
        <w:t>实施机构应成立项目筹建办公室，在项目建设期，负责协调社会资本方与政府有关部门的沟通。</w:t>
      </w:r>
    </w:p>
    <w:p>
      <w:pPr>
        <w:pStyle w:val="3"/>
        <w:ind w:firstLine="643" w:firstLineChars="200"/>
        <w:rPr>
          <w:rFonts w:cs="Times New Roman"/>
        </w:rPr>
      </w:pPr>
      <w:bookmarkStart w:id="128" w:name="_Toc148432382"/>
      <w:r>
        <w:rPr>
          <w:rFonts w:hint="eastAsia" w:cs="Times New Roman"/>
        </w:rPr>
        <w:t>三、加强能力建设</w:t>
      </w:r>
      <w:bookmarkEnd w:id="128"/>
    </w:p>
    <w:p>
      <w:pPr>
        <w:ind w:firstLine="560"/>
        <w:rPr>
          <w:rFonts w:cs="Times New Roman"/>
        </w:rPr>
      </w:pPr>
      <w:r>
        <w:rPr>
          <w:rFonts w:hint="eastAsia" w:cs="Times New Roman"/>
        </w:rPr>
        <w:t>通过专题培训、政策解读等措施，统一思想，提高政府各部门、社会资本和社会公众对本项目的认识，营造良好的环境氛围。同时，聘请专业咨询机构为项目全生命期提供财务、法律、技术和商务支持，为本项目顺利推进保驾护航。</w:t>
      </w:r>
    </w:p>
    <w:p>
      <w:pPr>
        <w:pStyle w:val="3"/>
        <w:ind w:firstLine="643" w:firstLineChars="200"/>
        <w:rPr>
          <w:rFonts w:cs="Times New Roman"/>
        </w:rPr>
      </w:pPr>
      <w:bookmarkStart w:id="129" w:name="_Toc148432383"/>
      <w:r>
        <w:rPr>
          <w:rFonts w:hint="eastAsia" w:cs="Times New Roman"/>
        </w:rPr>
        <w:t>四、争取政策支持</w:t>
      </w:r>
      <w:bookmarkEnd w:id="129"/>
    </w:p>
    <w:p>
      <w:pPr>
        <w:ind w:firstLine="560"/>
        <w:rPr>
          <w:rFonts w:cs="Times New Roman"/>
        </w:rPr>
      </w:pPr>
      <w:r>
        <w:rPr>
          <w:rFonts w:hint="eastAsia" w:cs="Times New Roman"/>
        </w:rPr>
        <w:t>充分整合、有效利用现有资源和政策，争取特许经营项目配套政策支持；同时，积极争取国家和省有关部门的各类支持。</w:t>
      </w:r>
    </w:p>
    <w:p>
      <w:pPr>
        <w:pStyle w:val="3"/>
        <w:ind w:firstLine="643" w:firstLineChars="200"/>
        <w:rPr>
          <w:rFonts w:cs="Times New Roman"/>
        </w:rPr>
      </w:pPr>
      <w:bookmarkStart w:id="130" w:name="_Toc148432384"/>
      <w:r>
        <w:rPr>
          <w:rFonts w:hint="eastAsia" w:cs="Times New Roman"/>
        </w:rPr>
        <w:t>五、完善监管制度</w:t>
      </w:r>
      <w:bookmarkEnd w:id="130"/>
    </w:p>
    <w:p>
      <w:pPr>
        <w:ind w:firstLine="560"/>
        <w:rPr>
          <w:rFonts w:cs="Times New Roman"/>
        </w:rPr>
      </w:pPr>
      <w:r>
        <w:rPr>
          <w:rFonts w:hint="eastAsia" w:cs="Times New Roman"/>
        </w:rPr>
        <w:t>研究并完善本项目监管体系，对本项目进行全流程履约管理。本项目的监管体系如下：</w:t>
      </w:r>
    </w:p>
    <w:p>
      <w:pPr>
        <w:pStyle w:val="4"/>
        <w:ind w:firstLine="562"/>
        <w:rPr>
          <w:rFonts w:cs="Times New Roman"/>
        </w:rPr>
      </w:pPr>
      <w:r>
        <w:rPr>
          <w:rFonts w:hint="eastAsia" w:cs="Times New Roman"/>
        </w:rPr>
        <w:t>（一）授权关系</w:t>
      </w:r>
    </w:p>
    <w:p>
      <w:pPr>
        <w:ind w:firstLine="560"/>
        <w:rPr>
          <w:rFonts w:cs="Times New Roman"/>
        </w:rPr>
      </w:pPr>
      <w:r>
        <w:rPr>
          <w:rFonts w:hint="eastAsia" w:cs="Times New Roman"/>
        </w:rPr>
        <w:t>政府授权农业农村局作为项目实施机构，具体负责本项目组织实施和各项具体工作的安排。</w:t>
      </w:r>
    </w:p>
    <w:p>
      <w:pPr>
        <w:pStyle w:val="4"/>
        <w:ind w:firstLine="562"/>
        <w:rPr>
          <w:rFonts w:cs="Times New Roman"/>
        </w:rPr>
      </w:pPr>
      <w:r>
        <w:rPr>
          <w:rFonts w:hint="eastAsia" w:cs="Times New Roman"/>
        </w:rPr>
        <w:t>（二）监管体系</w:t>
      </w:r>
    </w:p>
    <w:p>
      <w:pPr>
        <w:ind w:firstLine="560"/>
        <w:rPr>
          <w:rFonts w:cs="Times New Roman"/>
        </w:rPr>
      </w:pPr>
      <w:r>
        <w:rPr>
          <w:rFonts w:hint="eastAsia" w:cs="Times New Roman"/>
        </w:rPr>
        <w:t>本项目的监管体系主要由项目实施机构对本项目的履约管理、相关行政主管部门对本项目的行政监管以及社会公众对本项目的公众监督三部分构成，以此形成全方位的监管合力，确保公共利益得到充分保障。</w:t>
      </w:r>
    </w:p>
    <w:p>
      <w:pPr>
        <w:pStyle w:val="4"/>
        <w:ind w:firstLine="562"/>
        <w:rPr>
          <w:rFonts w:cs="Times New Roman"/>
        </w:rPr>
      </w:pPr>
      <w:r>
        <w:rPr>
          <w:rFonts w:hint="eastAsia" w:cs="Times New Roman"/>
        </w:rPr>
        <w:t>（三）监管方式</w:t>
      </w:r>
    </w:p>
    <w:p>
      <w:pPr>
        <w:ind w:firstLine="560"/>
        <w:rPr>
          <w:rFonts w:cs="Times New Roman"/>
        </w:rPr>
      </w:pPr>
      <w:r>
        <w:rPr>
          <w:rFonts w:hint="eastAsia" w:cs="Times New Roman"/>
        </w:rPr>
        <w:t>项目实施机构或政府指定的其他机构对项目公司在特许经营期内的合同履行情况进行监督管理，定期对项目公司经营情况进行评估和考核。重点管理以下几个方面：</w:t>
      </w:r>
    </w:p>
    <w:p>
      <w:pPr>
        <w:ind w:firstLine="562"/>
        <w:rPr>
          <w:b/>
        </w:rPr>
      </w:pPr>
      <w:r>
        <w:rPr>
          <w:b/>
        </w:rPr>
        <w:t>1.</w:t>
      </w:r>
      <w:r>
        <w:rPr>
          <w:rFonts w:hint="eastAsia"/>
          <w:b/>
        </w:rPr>
        <w:t>履约监管</w:t>
      </w:r>
    </w:p>
    <w:p>
      <w:pPr>
        <w:ind w:firstLine="562"/>
      </w:pPr>
      <w:r>
        <w:rPr>
          <w:rFonts w:hint="eastAsia"/>
          <w:b/>
          <w:bCs/>
        </w:rPr>
        <w:t>（</w:t>
      </w:r>
      <w:r>
        <w:rPr>
          <w:b/>
          <w:bCs/>
        </w:rPr>
        <w:t>1</w:t>
      </w:r>
      <w:r>
        <w:rPr>
          <w:rFonts w:hint="eastAsia"/>
          <w:b/>
          <w:bCs/>
        </w:rPr>
        <w:t>）建设管理：</w:t>
      </w:r>
      <w:r>
        <w:rPr>
          <w:rFonts w:hint="eastAsia"/>
        </w:rPr>
        <w:t>本项目由项目公司负责项目建设管理工作，项目监理单位由项目实施机构选定，施工组织工作由项目公司负责。项目公司施工方、材料供应商或劳务分包商签订供应或承包合同，必须向项目实施机构进行备案，重大事项需要经项目实施机构同意。</w:t>
      </w:r>
    </w:p>
    <w:p>
      <w:pPr>
        <w:ind w:firstLine="562"/>
      </w:pPr>
      <w:r>
        <w:rPr>
          <w:rFonts w:hint="eastAsia"/>
          <w:b/>
          <w:bCs/>
        </w:rPr>
        <w:t>（</w:t>
      </w:r>
      <w:r>
        <w:rPr>
          <w:b/>
          <w:bCs/>
        </w:rPr>
        <w:t>2</w:t>
      </w:r>
      <w:r>
        <w:rPr>
          <w:rFonts w:hint="eastAsia"/>
          <w:b/>
          <w:bCs/>
        </w:rPr>
        <w:t>）质量与安全监管：</w:t>
      </w:r>
      <w:r>
        <w:rPr>
          <w:rFonts w:hint="eastAsia"/>
        </w:rPr>
        <w:t>项目实施机构在不影响项目建设和正常运营的情况下，可以进场监督、检查项目设施的建设、运营和维护状况，检查项目的工程质量、安全及施工情况，检验项目公司的运营管理效果和效率。</w:t>
      </w:r>
    </w:p>
    <w:p>
      <w:pPr>
        <w:ind w:firstLine="562"/>
      </w:pPr>
      <w:r>
        <w:rPr>
          <w:rFonts w:hint="eastAsia"/>
          <w:b/>
          <w:bCs/>
        </w:rPr>
        <w:t>（</w:t>
      </w:r>
      <w:r>
        <w:rPr>
          <w:b/>
          <w:bCs/>
        </w:rPr>
        <w:t>3</w:t>
      </w:r>
      <w:r>
        <w:rPr>
          <w:rFonts w:hint="eastAsia"/>
          <w:b/>
          <w:bCs/>
        </w:rPr>
        <w:t>）绩效考核：</w:t>
      </w:r>
      <w:r>
        <w:rPr>
          <w:rFonts w:hint="eastAsia"/>
        </w:rPr>
        <w:t>本项目需按照特许经营协议约定的绩效评价标准，由项目实施机构定期对项目公司进行绩效考核，考核采取日常考核、定期考核和抽检抽查相结合的方式，主要从相关规章制度执行情况、服务水平和项目设施的运营维护状况进行考核。</w:t>
      </w:r>
    </w:p>
    <w:p>
      <w:pPr>
        <w:ind w:firstLine="562"/>
      </w:pPr>
      <w:r>
        <w:rPr>
          <w:rFonts w:hint="eastAsia"/>
          <w:b/>
          <w:bCs/>
        </w:rPr>
        <w:t>（</w:t>
      </w:r>
      <w:r>
        <w:rPr>
          <w:b/>
          <w:bCs/>
        </w:rPr>
        <w:t>4</w:t>
      </w:r>
      <w:r>
        <w:rPr>
          <w:rFonts w:hint="eastAsia"/>
          <w:b/>
          <w:bCs/>
        </w:rPr>
        <w:t>）成本费用监管：</w:t>
      </w:r>
      <w:r>
        <w:rPr>
          <w:rFonts w:hint="eastAsia"/>
        </w:rPr>
        <w:t>项目公司应定期如实向项目实施机构提交年度财务报告等财务资料，便于项目实施机构对项目公司的成本费用进行监管。</w:t>
      </w:r>
    </w:p>
    <w:p>
      <w:pPr>
        <w:ind w:firstLine="562"/>
      </w:pPr>
      <w:r>
        <w:rPr>
          <w:rFonts w:hint="eastAsia"/>
          <w:b/>
          <w:bCs/>
        </w:rPr>
        <w:t>（</w:t>
      </w:r>
      <w:r>
        <w:rPr>
          <w:b/>
          <w:bCs/>
        </w:rPr>
        <w:t>5</w:t>
      </w:r>
      <w:r>
        <w:rPr>
          <w:rFonts w:hint="eastAsia"/>
          <w:b/>
          <w:bCs/>
        </w:rPr>
        <w:t>）计划、统计报表和报告制度：</w:t>
      </w:r>
      <w:r>
        <w:rPr>
          <w:rFonts w:hint="eastAsia"/>
        </w:rPr>
        <w:t>项目公司应按照国家相关规定执行计划、统计报表和报告制度，将相关报表、报告按季度、年完成并报相关主管部门审核。项目实施机构对项目公司运营期内的履约情况进行监督管理。</w:t>
      </w:r>
    </w:p>
    <w:p>
      <w:pPr>
        <w:ind w:firstLine="562"/>
      </w:pPr>
      <w:r>
        <w:rPr>
          <w:rFonts w:hint="eastAsia"/>
          <w:b/>
          <w:bCs/>
        </w:rPr>
        <w:t>（</w:t>
      </w:r>
      <w:r>
        <w:rPr>
          <w:b/>
          <w:bCs/>
        </w:rPr>
        <w:t>6</w:t>
      </w:r>
      <w:r>
        <w:rPr>
          <w:rFonts w:hint="eastAsia"/>
          <w:b/>
          <w:bCs/>
        </w:rPr>
        <w:t>）合法合规监管：</w:t>
      </w:r>
      <w:r>
        <w:rPr>
          <w:rFonts w:hint="eastAsia"/>
        </w:rPr>
        <w:t>项目公司应按照特许经营协议的约定就行政审批、采购、保险等相关文件向项目实施机构备案。</w:t>
      </w:r>
    </w:p>
    <w:p>
      <w:pPr>
        <w:ind w:firstLine="562"/>
      </w:pPr>
      <w:r>
        <w:rPr>
          <w:rFonts w:hint="eastAsia"/>
          <w:b/>
          <w:bCs/>
        </w:rPr>
        <w:t>（</w:t>
      </w:r>
      <w:r>
        <w:rPr>
          <w:b/>
          <w:bCs/>
        </w:rPr>
        <w:t>7</w:t>
      </w:r>
      <w:r>
        <w:rPr>
          <w:rFonts w:hint="eastAsia"/>
          <w:b/>
          <w:bCs/>
        </w:rPr>
        <w:t>）中期评估：</w:t>
      </w:r>
      <w:r>
        <w:rPr>
          <w:rFonts w:hint="eastAsia"/>
        </w:rPr>
        <w:t>为保障项目长期稳定运营，政府方应定期对本项目开展中期评估，及时发现项目当前面临的问题，帮助政府全面掌握项目各阶段的运行状况，发现监管工作的漏洞和不足，有针对性的调整监管工作范围和工作重点，切实提高监管工作效率和效果。项目实施机构应组织专家或委托第三方专业机构，定期（具体评估周期根据项目实际情况确定）对项目运营进行周期评估，客观评价项目公司的运营维护质量和效率，重点分析项目运行状况和项目合同的合规性、适应性和合理性以及项目合同的执行情况。通过定期评估及时评估已发现问题的风险，制订相应措施。中期评估内容建议如下：</w:t>
      </w:r>
    </w:p>
    <w:p>
      <w:pPr>
        <w:ind w:firstLine="560"/>
      </w:pPr>
      <w:r>
        <w:rPr>
          <w:rFonts w:hint="eastAsia"/>
        </w:rPr>
        <w:t>项目的运行是否达到环保要求；</w:t>
      </w:r>
    </w:p>
    <w:p>
      <w:pPr>
        <w:ind w:firstLine="560"/>
      </w:pPr>
      <w:r>
        <w:rPr>
          <w:rFonts w:hint="eastAsia"/>
        </w:rPr>
        <w:t>项目的运营是否符合监管细则的要求；</w:t>
      </w:r>
    </w:p>
    <w:p>
      <w:pPr>
        <w:ind w:firstLine="560"/>
      </w:pPr>
      <w:r>
        <w:rPr>
          <w:rFonts w:hint="eastAsia"/>
        </w:rPr>
        <w:t>特许经营协议等法律协议的遵守情况；</w:t>
      </w:r>
    </w:p>
    <w:p>
      <w:pPr>
        <w:ind w:firstLine="560"/>
      </w:pPr>
      <w:r>
        <w:rPr>
          <w:rFonts w:hint="eastAsia"/>
        </w:rPr>
        <w:t>项目的建设是否依据规定的基本建设程序和规划要求执行；</w:t>
      </w:r>
    </w:p>
    <w:p>
      <w:pPr>
        <w:ind w:firstLine="560"/>
      </w:pPr>
      <w:r>
        <w:rPr>
          <w:rFonts w:hint="eastAsia"/>
        </w:rPr>
        <w:t>项目的建设和投资是否满足项目的需要；</w:t>
      </w:r>
    </w:p>
    <w:p>
      <w:pPr>
        <w:ind w:firstLine="560"/>
      </w:pPr>
      <w:r>
        <w:rPr>
          <w:rFonts w:hint="eastAsia"/>
        </w:rPr>
        <w:t>提供的产品和服务是否满足各类标准和规范的要求；</w:t>
      </w:r>
    </w:p>
    <w:p>
      <w:pPr>
        <w:ind w:firstLine="560"/>
      </w:pPr>
      <w:r>
        <w:rPr>
          <w:rFonts w:hint="eastAsia"/>
        </w:rPr>
        <w:t>项目服务质量和用户投诉处理情况；</w:t>
      </w:r>
    </w:p>
    <w:p>
      <w:pPr>
        <w:ind w:firstLine="560"/>
      </w:pPr>
      <w:r>
        <w:rPr>
          <w:rFonts w:hint="eastAsia"/>
        </w:rPr>
        <w:t>应急预案的制定、执行情况；</w:t>
      </w:r>
    </w:p>
    <w:p>
      <w:pPr>
        <w:ind w:firstLine="560"/>
      </w:pPr>
      <w:r>
        <w:rPr>
          <w:rFonts w:hint="eastAsia"/>
        </w:rPr>
        <w:t>成本、价格的控制和执行情况；</w:t>
      </w:r>
    </w:p>
    <w:p>
      <w:pPr>
        <w:ind w:firstLine="560"/>
      </w:pPr>
      <w:r>
        <w:rPr>
          <w:rFonts w:hint="eastAsia"/>
        </w:rPr>
        <w:t>重要设备、设施的完好情况；</w:t>
      </w:r>
    </w:p>
    <w:p>
      <w:pPr>
        <w:ind w:firstLine="560"/>
      </w:pPr>
      <w:r>
        <w:rPr>
          <w:rFonts w:hint="eastAsia"/>
        </w:rPr>
        <w:t>安全经营和管理情况；</w:t>
      </w:r>
    </w:p>
    <w:p>
      <w:pPr>
        <w:ind w:firstLine="560"/>
      </w:pPr>
      <w:r>
        <w:rPr>
          <w:rFonts w:hint="eastAsia"/>
        </w:rPr>
        <w:t>项目实施机构认为需要评估的其他事项。</w:t>
      </w:r>
    </w:p>
    <w:p>
      <w:pPr>
        <w:ind w:firstLine="562"/>
        <w:rPr>
          <w:b/>
        </w:rPr>
      </w:pPr>
      <w:r>
        <w:rPr>
          <w:b/>
        </w:rPr>
        <w:t>2.</w:t>
      </w:r>
      <w:r>
        <w:rPr>
          <w:rFonts w:hint="eastAsia"/>
          <w:b/>
        </w:rPr>
        <w:t>行政监管</w:t>
      </w:r>
    </w:p>
    <w:p>
      <w:pPr>
        <w:ind w:firstLine="560"/>
      </w:pPr>
      <w:r>
        <w:rPr>
          <w:rFonts w:hint="eastAsia"/>
        </w:rPr>
        <w:t>政府相关职能部门应根据国家相关法律法规对项目履行行政监管职责，重点关注公共产品和服务质量、价格和收费机制、安全生产、环境保护和劳动者权益等。</w:t>
      </w:r>
    </w:p>
    <w:p>
      <w:pPr>
        <w:ind w:firstLine="560"/>
      </w:pPr>
      <w:r>
        <w:rPr>
          <w:rFonts w:hint="eastAsia"/>
        </w:rPr>
        <w:t>县农业农村局作为实施主体，发改、财政、自然资源和规划、市场监督管理、卫生、公安、生态环境、交通、农业农村等职能部门协助，共同作为本项目特许经营过程的监督管理部门，监督管理内容包括项目运营过程的处理标准监管、环境标准监管、财务状况监管和安全监管。监管部门根据合同和相关规范制定监管实施细则，并明确相应的处罚措施。</w:t>
      </w:r>
    </w:p>
    <w:p>
      <w:pPr>
        <w:ind w:firstLine="562"/>
        <w:rPr>
          <w:b/>
        </w:rPr>
      </w:pPr>
      <w:r>
        <w:rPr>
          <w:b/>
        </w:rPr>
        <w:t>3.</w:t>
      </w:r>
      <w:r>
        <w:rPr>
          <w:rFonts w:hint="eastAsia"/>
          <w:b/>
        </w:rPr>
        <w:t>公众监管</w:t>
      </w:r>
    </w:p>
    <w:p>
      <w:pPr>
        <w:ind w:firstLine="560"/>
      </w:pPr>
      <w:r>
        <w:rPr>
          <w:rFonts w:hint="eastAsia"/>
        </w:rPr>
        <w:t>社会公众有权对本项目的经营活动进行监督，向有关监管部门投诉，或者向项目公司提出意见建议。项目公司应按照适用法律要求，建立公众监督机制，依法公开披露相关信息，接受公众监督。</w:t>
      </w:r>
    </w:p>
    <w:p>
      <w:pPr>
        <w:pStyle w:val="4"/>
        <w:ind w:firstLine="562"/>
        <w:rPr>
          <w:rFonts w:cs="Times New Roman"/>
        </w:rPr>
      </w:pPr>
      <w:r>
        <w:rPr>
          <w:rFonts w:hint="eastAsia" w:cs="Times New Roman"/>
        </w:rPr>
        <w:t>（四）关于评审</w:t>
      </w:r>
    </w:p>
    <w:p>
      <w:pPr>
        <w:ind w:firstLine="560"/>
        <w:rPr>
          <w:rFonts w:cs="Times New Roman"/>
        </w:rPr>
      </w:pPr>
      <w:r>
        <w:rPr>
          <w:rFonts w:hint="eastAsia" w:cs="Times New Roman"/>
        </w:rPr>
        <w:t>本项目概（预）算审查工作由政府相关部门负责。</w:t>
      </w:r>
    </w:p>
    <w:p>
      <w:pPr>
        <w:pStyle w:val="4"/>
        <w:ind w:firstLine="562"/>
        <w:rPr>
          <w:rFonts w:cs="Times New Roman"/>
        </w:rPr>
      </w:pPr>
      <w:r>
        <w:rPr>
          <w:rFonts w:hint="eastAsia" w:cs="Times New Roman"/>
        </w:rPr>
        <w:t>（五）关于审计</w:t>
      </w:r>
    </w:p>
    <w:p>
      <w:pPr>
        <w:ind w:firstLine="560"/>
        <w:rPr>
          <w:rFonts w:cs="Times New Roman"/>
        </w:rPr>
      </w:pPr>
      <w:r>
        <w:rPr>
          <w:rFonts w:hint="eastAsia" w:cs="Times New Roman"/>
        </w:rPr>
        <w:t>本项目完工后竣工验收财务决算审计工作由政府方和社会资本方（或项目公司）共同委托第三方进行。</w:t>
      </w:r>
    </w:p>
    <w:p>
      <w:pPr>
        <w:ind w:firstLine="560"/>
        <w:rPr>
          <w:rFonts w:cs="Times New Roman"/>
        </w:rPr>
      </w:pPr>
      <w:r>
        <w:rPr>
          <w:rFonts w:hint="eastAsia" w:cs="Times New Roman"/>
        </w:rPr>
        <w:t>本项目的项目全部建设成本以最终的竣工财务决算审计报告确认的数额为准。同时，项目全部建设成本中的建设期利息以贷款市场报价利率（LPR）为控制指标。</w:t>
      </w:r>
    </w:p>
    <w:p>
      <w:pPr>
        <w:widowControl/>
        <w:spacing w:line="240" w:lineRule="auto"/>
        <w:ind w:firstLine="0" w:firstLineChars="0"/>
        <w:jc w:val="left"/>
        <w:rPr>
          <w:rFonts w:cs="Times New Roman"/>
        </w:rPr>
      </w:pPr>
      <w:r>
        <w:rPr>
          <w:rFonts w:cs="Times New Roman"/>
        </w:rPr>
        <w:br w:type="page"/>
      </w:r>
    </w:p>
    <w:p>
      <w:pPr>
        <w:pStyle w:val="2"/>
        <w:spacing w:after="400"/>
        <w:rPr>
          <w:rFonts w:cs="Times New Roman"/>
        </w:rPr>
      </w:pPr>
      <w:bookmarkStart w:id="131" w:name="_Toc148432385"/>
      <w:r>
        <w:rPr>
          <w:rFonts w:hint="eastAsia" w:cs="Times New Roman"/>
        </w:rPr>
        <w:t>第十一章 特许经营期满后资产处置方式</w:t>
      </w:r>
      <w:bookmarkEnd w:id="131"/>
    </w:p>
    <w:p>
      <w:pPr>
        <w:pStyle w:val="3"/>
        <w:ind w:firstLine="643" w:firstLineChars="200"/>
        <w:rPr>
          <w:rFonts w:cs="Times New Roman"/>
        </w:rPr>
      </w:pPr>
      <w:bookmarkStart w:id="132" w:name="_Toc148432386"/>
      <w:r>
        <w:rPr>
          <w:rFonts w:hint="eastAsia" w:cs="Times New Roman"/>
        </w:rPr>
        <w:t>一、移交日期</w:t>
      </w:r>
      <w:bookmarkEnd w:id="132"/>
    </w:p>
    <w:p>
      <w:pPr>
        <w:ind w:firstLine="560"/>
        <w:rPr>
          <w:rFonts w:cs="Times New Roman"/>
        </w:rPr>
      </w:pPr>
      <w:r>
        <w:rPr>
          <w:rFonts w:hint="eastAsia" w:cs="Times New Roman"/>
        </w:rPr>
        <w:t>移交日为项目合作期满当日。</w:t>
      </w:r>
    </w:p>
    <w:p>
      <w:pPr>
        <w:pStyle w:val="3"/>
        <w:ind w:firstLine="643" w:firstLineChars="200"/>
        <w:rPr>
          <w:rFonts w:cs="Times New Roman"/>
        </w:rPr>
      </w:pPr>
      <w:bookmarkStart w:id="133" w:name="_Toc148432387"/>
      <w:r>
        <w:rPr>
          <w:rFonts w:hint="eastAsia" w:cs="Times New Roman"/>
        </w:rPr>
        <w:t>二、移交范围</w:t>
      </w:r>
      <w:bookmarkEnd w:id="133"/>
    </w:p>
    <w:p>
      <w:pPr>
        <w:ind w:firstLine="560"/>
        <w:rPr>
          <w:rFonts w:cs="Times New Roman"/>
        </w:rPr>
      </w:pPr>
      <w:r>
        <w:rPr>
          <w:rFonts w:hint="eastAsia" w:cs="Times New Roman"/>
        </w:rPr>
        <w:t>在移交日，项目公司应向实施机构或其指定的机构完好移交本项目设施设备、其他权利和权益、各类管理章程和运营手册等文件和资料，且应清除本项目设施设备的一切债务和或然债务（包括抵押、质押或任何形式的担保），具体包括以下内容（社会资本方或项目公司的银行存款以及债权、债务不在移交之列）：</w:t>
      </w:r>
    </w:p>
    <w:p>
      <w:pPr>
        <w:ind w:firstLine="560"/>
        <w:rPr>
          <w:rFonts w:cs="Times New Roman"/>
        </w:rPr>
      </w:pPr>
      <w:r>
        <w:rPr>
          <w:rFonts w:cs="Times New Roman"/>
        </w:rPr>
        <w:t>1.</w:t>
      </w:r>
      <w:r>
        <w:rPr>
          <w:rFonts w:hint="eastAsia" w:cs="Times New Roman"/>
        </w:rPr>
        <w:t>本项目全部建筑物、构筑物、设备、设施；</w:t>
      </w:r>
    </w:p>
    <w:p>
      <w:pPr>
        <w:ind w:firstLine="560"/>
        <w:rPr>
          <w:rFonts w:cs="Times New Roman"/>
        </w:rPr>
      </w:pPr>
      <w:r>
        <w:rPr>
          <w:rFonts w:cs="Times New Roman"/>
        </w:rPr>
        <w:t>2.</w:t>
      </w:r>
      <w:r>
        <w:rPr>
          <w:rFonts w:hint="eastAsia" w:cs="Times New Roman"/>
        </w:rPr>
        <w:t>与本项目建设有关的施工、工程监理及工程竣工验收、监测数据，及其他资料等；</w:t>
      </w:r>
    </w:p>
    <w:p>
      <w:pPr>
        <w:ind w:firstLine="560"/>
        <w:rPr>
          <w:rFonts w:cs="Times New Roman"/>
        </w:rPr>
      </w:pPr>
      <w:r>
        <w:rPr>
          <w:rFonts w:cs="Times New Roman"/>
        </w:rPr>
        <w:t>3.</w:t>
      </w:r>
      <w:r>
        <w:rPr>
          <w:rFonts w:hint="eastAsia" w:cs="Times New Roman"/>
        </w:rPr>
        <w:t>与本项目运维有关的手册、制度、财务账目和凭证等文件资料；</w:t>
      </w:r>
    </w:p>
    <w:p>
      <w:pPr>
        <w:ind w:firstLine="560"/>
        <w:rPr>
          <w:rFonts w:cs="Times New Roman"/>
        </w:rPr>
      </w:pPr>
      <w:r>
        <w:rPr>
          <w:rFonts w:cs="Times New Roman"/>
        </w:rPr>
        <w:t>4.</w:t>
      </w:r>
      <w:r>
        <w:rPr>
          <w:rFonts w:hint="eastAsia" w:cs="Times New Roman"/>
        </w:rPr>
        <w:t>本项目建设、运营和维护期间所产生的记录、档案资料等；</w:t>
      </w:r>
    </w:p>
    <w:p>
      <w:pPr>
        <w:ind w:firstLine="560"/>
        <w:rPr>
          <w:rFonts w:cs="Times New Roman"/>
        </w:rPr>
      </w:pPr>
      <w:r>
        <w:rPr>
          <w:rFonts w:cs="Times New Roman"/>
        </w:rPr>
        <w:t>5.</w:t>
      </w:r>
      <w:r>
        <w:rPr>
          <w:rFonts w:hint="eastAsia" w:cs="Times New Roman"/>
        </w:rPr>
        <w:t>项目公司在运营期间为设施运营而购置和取得的资产等；</w:t>
      </w:r>
    </w:p>
    <w:p>
      <w:pPr>
        <w:ind w:firstLine="560"/>
        <w:rPr>
          <w:rFonts w:cs="Times New Roman"/>
        </w:rPr>
      </w:pPr>
      <w:r>
        <w:rPr>
          <w:rFonts w:cs="Times New Roman"/>
        </w:rPr>
        <w:t>6.</w:t>
      </w:r>
      <w:r>
        <w:rPr>
          <w:rFonts w:hint="eastAsia" w:cs="Times New Roman"/>
        </w:rPr>
        <w:t>法律法规规定及双方约定的其他内容。</w:t>
      </w:r>
    </w:p>
    <w:p>
      <w:pPr>
        <w:pStyle w:val="3"/>
        <w:ind w:firstLine="643" w:firstLineChars="200"/>
        <w:rPr>
          <w:rFonts w:cs="Times New Roman"/>
        </w:rPr>
      </w:pPr>
      <w:bookmarkStart w:id="134" w:name="_Toc148432388"/>
      <w:r>
        <w:rPr>
          <w:rFonts w:hint="eastAsia" w:cs="Times New Roman"/>
        </w:rPr>
        <w:t>三、移交程序</w:t>
      </w:r>
      <w:bookmarkEnd w:id="134"/>
    </w:p>
    <w:p>
      <w:pPr>
        <w:ind w:firstLine="560"/>
        <w:rPr>
          <w:rFonts w:cs="Times New Roman"/>
        </w:rPr>
      </w:pPr>
      <w:r>
        <w:rPr>
          <w:rFonts w:cs="Times New Roman"/>
        </w:rPr>
        <w:t>1.</w:t>
      </w:r>
      <w:r>
        <w:rPr>
          <w:rFonts w:hint="eastAsia" w:cs="Times New Roman"/>
        </w:rPr>
        <w:t>在不迟于本项目《特许经营协议》期满前</w:t>
      </w:r>
      <w:r>
        <w:rPr>
          <w:rFonts w:cs="Times New Roman"/>
        </w:rPr>
        <w:t>12</w:t>
      </w:r>
      <w:r>
        <w:rPr>
          <w:rFonts w:hint="eastAsia" w:cs="Times New Roman"/>
        </w:rPr>
        <w:t>个月，由实施机构或其指定机构代表政府处理相关移交事宜。实施机构与项目公司就移交方案、移交范围、移交标准及性能测试、备品备件等内容进行商议，并不迟于移交日前</w:t>
      </w:r>
      <w:r>
        <w:rPr>
          <w:rFonts w:cs="Times New Roman"/>
        </w:rPr>
        <w:t>6</w:t>
      </w:r>
      <w:r>
        <w:rPr>
          <w:rFonts w:hint="eastAsia" w:cs="Times New Roman"/>
        </w:rPr>
        <w:t>个月确定项目移交的具体办法。</w:t>
      </w:r>
    </w:p>
    <w:p>
      <w:pPr>
        <w:ind w:firstLine="560"/>
        <w:rPr>
          <w:rFonts w:cs="Times New Roman"/>
        </w:rPr>
      </w:pPr>
      <w:r>
        <w:rPr>
          <w:rFonts w:cs="Times New Roman"/>
        </w:rPr>
        <w:t>2.</w:t>
      </w:r>
      <w:r>
        <w:rPr>
          <w:rFonts w:hint="eastAsia" w:cs="Times New Roman"/>
        </w:rPr>
        <w:t>项目实施机构或其委托的专门机构有权对与移交有关的，或可能影响移交的事宜进行监督。项目公司有义务为其提供一切方便，但实施机构或其指定机构不应直接干预项目公司的运行。</w:t>
      </w:r>
    </w:p>
    <w:p>
      <w:pPr>
        <w:ind w:firstLine="560"/>
        <w:rPr>
          <w:rFonts w:cs="Times New Roman"/>
        </w:rPr>
      </w:pPr>
      <w:r>
        <w:rPr>
          <w:rFonts w:cs="Times New Roman"/>
        </w:rPr>
        <w:t>3.</w:t>
      </w:r>
      <w:r>
        <w:rPr>
          <w:rFonts w:hint="eastAsia" w:cs="Times New Roman"/>
        </w:rPr>
        <w:t>如果项目移交时不能达到移交标准，实施机构或其指定机构应有权要求项目公司进行修复或政府方自行修复后由项目公司承担相应费用（应向项目公司提供所发生的支出详细记录）。</w:t>
      </w:r>
    </w:p>
    <w:p>
      <w:pPr>
        <w:ind w:firstLine="560"/>
        <w:rPr>
          <w:rFonts w:cs="Times New Roman"/>
        </w:rPr>
      </w:pPr>
      <w:r>
        <w:rPr>
          <w:rFonts w:cs="Times New Roman"/>
        </w:rPr>
        <w:t>4.</w:t>
      </w:r>
      <w:r>
        <w:rPr>
          <w:rFonts w:hint="eastAsia" w:cs="Times New Roman"/>
        </w:rPr>
        <w:t>如项目公司不能或不愿进行移交前修复，视作项目公司违约，政府方有权终止合同。</w:t>
      </w:r>
    </w:p>
    <w:p>
      <w:pPr>
        <w:pStyle w:val="3"/>
        <w:ind w:firstLine="482" w:firstLineChars="150"/>
        <w:rPr>
          <w:rFonts w:cs="Times New Roman"/>
        </w:rPr>
      </w:pPr>
      <w:bookmarkStart w:id="135" w:name="_Toc148432389"/>
      <w:r>
        <w:rPr>
          <w:rFonts w:hint="eastAsia" w:cs="Times New Roman"/>
        </w:rPr>
        <w:t>四、移交的条件和标准</w:t>
      </w:r>
      <w:bookmarkEnd w:id="135"/>
    </w:p>
    <w:p>
      <w:pPr>
        <w:ind w:firstLine="560"/>
        <w:rPr>
          <w:rFonts w:cs="Times New Roman"/>
        </w:rPr>
      </w:pPr>
      <w:r>
        <w:rPr>
          <w:rFonts w:hint="eastAsia" w:cs="Times New Roman"/>
        </w:rPr>
        <w:t>合作期满或发生项目合同提前终止的情况时，项目公司须将本项目下全部设施及相关权益无偿移交给同心县农业农村局，同时依照同心县农业农村局的要求编制项目设施资产清单。项目设施资产清单经核验无误、双方签字后，政府即无偿收回项目设施及经营权、收益权。</w:t>
      </w:r>
    </w:p>
    <w:p>
      <w:pPr>
        <w:ind w:firstLine="560"/>
        <w:rPr>
          <w:rFonts w:cs="Times New Roman"/>
        </w:rPr>
      </w:pPr>
      <w:r>
        <w:rPr>
          <w:rFonts w:hint="eastAsia" w:cs="Times New Roman"/>
        </w:rPr>
        <w:t>为确保移交的项目符合政府方的预期，《特许经营协议》约定项目移交的条件和标准：</w:t>
      </w:r>
    </w:p>
    <w:p>
      <w:pPr>
        <w:ind w:firstLine="560"/>
        <w:rPr>
          <w:rFonts w:cs="Times New Roman"/>
        </w:rPr>
      </w:pPr>
      <w:r>
        <w:rPr>
          <w:rFonts w:cs="Times New Roman"/>
        </w:rPr>
        <w:t>1.</w:t>
      </w:r>
      <w:r>
        <w:rPr>
          <w:rFonts w:hint="eastAsia" w:cs="Times New Roman"/>
        </w:rPr>
        <w:t>权利方面的条件和标准</w:t>
      </w:r>
    </w:p>
    <w:p>
      <w:pPr>
        <w:ind w:firstLine="560"/>
        <w:rPr>
          <w:rFonts w:cs="Times New Roman"/>
        </w:rPr>
      </w:pPr>
      <w:r>
        <w:rPr>
          <w:rFonts w:hint="eastAsia" w:cs="Times New Roman"/>
        </w:rPr>
        <w:t>项目设施和所涉及的任何资产不存在权利瑕疵，其上未设置任何担保及其他第三人的权利。但在提前终止移交的情形下，如移交时尚有未清偿的项目贷款，就该未清偿贷款所设置的担保除外。</w:t>
      </w:r>
    </w:p>
    <w:p>
      <w:pPr>
        <w:ind w:firstLine="560"/>
        <w:rPr>
          <w:rFonts w:cs="Times New Roman"/>
        </w:rPr>
      </w:pPr>
      <w:r>
        <w:rPr>
          <w:rFonts w:cs="Times New Roman"/>
        </w:rPr>
        <w:t>2.</w:t>
      </w:r>
      <w:r>
        <w:rPr>
          <w:rFonts w:hint="eastAsia" w:cs="Times New Roman"/>
        </w:rPr>
        <w:t>技术方面的条件和标准</w:t>
      </w:r>
    </w:p>
    <w:p>
      <w:pPr>
        <w:ind w:firstLine="560"/>
        <w:rPr>
          <w:rFonts w:cs="Times New Roman"/>
        </w:rPr>
      </w:pPr>
      <w:r>
        <w:rPr>
          <w:rFonts w:hint="eastAsia" w:cs="Times New Roman"/>
        </w:rPr>
        <w:t>项目设施应符合下列标准及双方约定的技术、安全和环保标准，并处于良好的运营状态。项目公司应在无偿移交前确保资产处于最佳状态，项目移交标准通过《特许经营协议》约定。</w:t>
      </w:r>
    </w:p>
    <w:p>
      <w:pPr>
        <w:pStyle w:val="3"/>
        <w:ind w:firstLine="643" w:firstLineChars="200"/>
        <w:rPr>
          <w:rFonts w:cs="Times New Roman"/>
        </w:rPr>
      </w:pPr>
      <w:bookmarkStart w:id="136" w:name="_Toc148432390"/>
      <w:r>
        <w:rPr>
          <w:rFonts w:hint="eastAsia" w:cs="Times New Roman"/>
        </w:rPr>
        <w:t>五、合同转移</w:t>
      </w:r>
      <w:bookmarkEnd w:id="136"/>
    </w:p>
    <w:p>
      <w:pPr>
        <w:ind w:firstLine="560"/>
        <w:rPr>
          <w:rFonts w:cs="Times New Roman"/>
        </w:rPr>
      </w:pPr>
      <w:r>
        <w:rPr>
          <w:rFonts w:hint="eastAsia" w:cs="Times New Roman"/>
        </w:rPr>
        <w:t>移交时，项目公司应将与项目设施有关的所有未履行完毕的合同转移给实施机构或其指定机构，由其承接项目公司在该等合同项下的全部权益，但因法律规定、合同性质或特别约定无法转移的合同除外。</w:t>
      </w:r>
    </w:p>
    <w:p>
      <w:pPr>
        <w:ind w:firstLine="560"/>
        <w:rPr>
          <w:rFonts w:cs="Times New Roman"/>
        </w:rPr>
      </w:pPr>
      <w:r>
        <w:rPr>
          <w:rFonts w:hint="eastAsia" w:cs="Times New Roman"/>
        </w:rPr>
        <w:t>如项目公司未履行完毕其在该等合同项下的付款义务，项目公司应继续履行。在任何情况下，该等付款义务不由实施机构或其指定机构承担。</w:t>
      </w:r>
    </w:p>
    <w:p>
      <w:pPr>
        <w:ind w:firstLine="560"/>
        <w:rPr>
          <w:rFonts w:cs="Times New Roman"/>
        </w:rPr>
      </w:pPr>
      <w:r>
        <w:rPr>
          <w:rFonts w:hint="eastAsia" w:cs="Times New Roman"/>
        </w:rPr>
        <w:t>如项目公司未履行完毕其在该等合同项下的其他义务，项目公司应继续履行。如需实施机构或其指定机构为项目公司履行该等义务提供必要的协助的，由此导致该机构或部门增加开支、费用的，该费用全部由项目公司承担。</w:t>
      </w:r>
    </w:p>
    <w:p>
      <w:pPr>
        <w:pStyle w:val="3"/>
        <w:ind w:firstLine="643" w:firstLineChars="200"/>
        <w:rPr>
          <w:rFonts w:cs="Times New Roman"/>
        </w:rPr>
      </w:pPr>
      <w:bookmarkStart w:id="137" w:name="_Toc148432391"/>
      <w:r>
        <w:rPr>
          <w:rFonts w:hint="eastAsia" w:cs="Times New Roman"/>
        </w:rPr>
        <w:t>六、移交费用</w:t>
      </w:r>
      <w:bookmarkEnd w:id="137"/>
    </w:p>
    <w:p>
      <w:pPr>
        <w:ind w:firstLine="560"/>
        <w:rPr>
          <w:rFonts w:cs="Times New Roman"/>
        </w:rPr>
      </w:pPr>
      <w:r>
        <w:rPr>
          <w:rFonts w:cs="Times New Roman"/>
        </w:rPr>
        <w:t>1.</w:t>
      </w:r>
      <w:r>
        <w:rPr>
          <w:rFonts w:hint="eastAsia" w:cs="Times New Roman"/>
        </w:rPr>
        <w:t>实施机构或其指定机构不承担项目公司在项目合作期内的任何债务或负债（包括任何形式的抵押、质押、担保等）。</w:t>
      </w:r>
    </w:p>
    <w:p>
      <w:pPr>
        <w:ind w:firstLine="560"/>
        <w:rPr>
          <w:rFonts w:cs="Times New Roman"/>
        </w:rPr>
      </w:pPr>
      <w:r>
        <w:rPr>
          <w:rFonts w:cs="Times New Roman"/>
        </w:rPr>
        <w:t>2.</w:t>
      </w:r>
      <w:r>
        <w:rPr>
          <w:rFonts w:hint="eastAsia" w:cs="Times New Roman"/>
        </w:rPr>
        <w:t>项目公司负责办理移交相关的资产过户和合同转让等手续，双方应各自承担各自为移交所支付的税费。如果因为一方违约事件导致项目终止而需要提前移交，则由违约方来承担移交税费。</w:t>
      </w:r>
    </w:p>
    <w:p>
      <w:pPr>
        <w:ind w:firstLine="560"/>
        <w:rPr>
          <w:rFonts w:cs="Times New Roman"/>
        </w:rPr>
      </w:pPr>
      <w:r>
        <w:rPr>
          <w:rFonts w:cs="Times New Roman"/>
        </w:rPr>
        <w:t>3.</w:t>
      </w:r>
      <w:r>
        <w:rPr>
          <w:rFonts w:hint="eastAsia" w:cs="Times New Roman"/>
        </w:rPr>
        <w:t>从移交完毕当日起，实施机构或其指定机构即开始负责项目运营维护并承担项目运行费用和管理费用。</w:t>
      </w:r>
    </w:p>
    <w:p>
      <w:pPr>
        <w:pStyle w:val="3"/>
        <w:ind w:firstLine="643" w:firstLineChars="200"/>
        <w:rPr>
          <w:rFonts w:cs="Times New Roman"/>
        </w:rPr>
      </w:pPr>
      <w:bookmarkStart w:id="138" w:name="_Toc148432392"/>
      <w:r>
        <w:rPr>
          <w:rFonts w:hint="eastAsia" w:cs="Times New Roman"/>
        </w:rPr>
        <w:t>七、非正常移交</w:t>
      </w:r>
      <w:bookmarkEnd w:id="138"/>
    </w:p>
    <w:p>
      <w:pPr>
        <w:ind w:firstLine="560"/>
        <w:rPr>
          <w:rFonts w:cs="Times New Roman"/>
        </w:rPr>
      </w:pPr>
      <w:r>
        <w:rPr>
          <w:rFonts w:hint="eastAsia" w:cs="Times New Roman"/>
        </w:rPr>
        <w:t>其他原因导致特许经营项目合同提前终止的，应遵守以下规定：</w:t>
      </w:r>
    </w:p>
    <w:p>
      <w:pPr>
        <w:ind w:firstLine="560"/>
        <w:rPr>
          <w:rFonts w:cs="Times New Roman"/>
        </w:rPr>
      </w:pPr>
      <w:r>
        <w:rPr>
          <w:rFonts w:cs="Times New Roman"/>
        </w:rPr>
        <w:t>1.</w:t>
      </w:r>
      <w:r>
        <w:rPr>
          <w:rFonts w:hint="eastAsia" w:cs="Times New Roman"/>
        </w:rPr>
        <w:t>项目公司有义务对项目工程做好整体的移交准备工作，应将与本项目有关的全部文件资料、物件移交给实施机构或其指定机构。</w:t>
      </w:r>
    </w:p>
    <w:p>
      <w:pPr>
        <w:ind w:firstLine="560"/>
        <w:rPr>
          <w:rFonts w:cs="Times New Roman"/>
        </w:rPr>
      </w:pPr>
      <w:r>
        <w:rPr>
          <w:rFonts w:cs="Times New Roman"/>
        </w:rPr>
        <w:t>2.</w:t>
      </w:r>
      <w:r>
        <w:rPr>
          <w:rFonts w:hint="eastAsia" w:cs="Times New Roman"/>
        </w:rPr>
        <w:t>实施机构或其指定机构接管项目前，项目公司方对外签订的与本项目有关的一切合同，对实施机构或其指定机构无约束力，以项目公司方名义发生的一切债券、债务由项目公司方承担。</w:t>
      </w:r>
    </w:p>
    <w:p>
      <w:pPr>
        <w:widowControl/>
        <w:spacing w:line="240" w:lineRule="auto"/>
        <w:ind w:firstLine="0" w:firstLineChars="0"/>
        <w:jc w:val="left"/>
        <w:rPr>
          <w:rFonts w:cs="Times New Roman"/>
        </w:rPr>
      </w:pPr>
      <w:r>
        <w:rPr>
          <w:rFonts w:cs="Times New Roman"/>
        </w:rPr>
        <w:br w:type="page"/>
      </w:r>
    </w:p>
    <w:p>
      <w:pPr>
        <w:pStyle w:val="2"/>
        <w:spacing w:after="400"/>
        <w:rPr>
          <w:rFonts w:cs="Times New Roman"/>
        </w:rPr>
      </w:pPr>
      <w:bookmarkStart w:id="139" w:name="_Toc148432393"/>
      <w:r>
        <w:rPr>
          <w:rFonts w:hint="eastAsia" w:cs="Times New Roman"/>
        </w:rPr>
        <w:t>第十二章 绩效考核方案</w:t>
      </w:r>
      <w:bookmarkEnd w:id="139"/>
    </w:p>
    <w:p>
      <w:pPr>
        <w:keepNext/>
        <w:keepLines/>
        <w:spacing w:before="120" w:after="120"/>
        <w:ind w:firstLine="643"/>
        <w:outlineLvl w:val="1"/>
        <w:rPr>
          <w:rFonts w:asciiTheme="majorHAnsi" w:hAnsiTheme="majorHAnsi" w:cstheme="majorBidi"/>
          <w:b/>
          <w:bCs/>
          <w:sz w:val="32"/>
          <w:szCs w:val="32"/>
        </w:rPr>
      </w:pPr>
      <w:bookmarkStart w:id="140" w:name="_Toc148432394"/>
      <w:bookmarkStart w:id="141" w:name="_Toc99750976"/>
      <w:r>
        <w:rPr>
          <w:rFonts w:hint="eastAsia" w:asciiTheme="majorHAnsi" w:hAnsiTheme="majorHAnsi" w:cstheme="majorBidi"/>
          <w:b/>
          <w:bCs/>
          <w:sz w:val="32"/>
          <w:szCs w:val="32"/>
        </w:rPr>
        <w:t>一、绩效考核政策依据</w:t>
      </w:r>
      <w:bookmarkEnd w:id="140"/>
      <w:bookmarkEnd w:id="141"/>
    </w:p>
    <w:p>
      <w:pPr>
        <w:ind w:firstLine="560"/>
        <w:rPr>
          <w:rFonts w:cs="Times New Roman"/>
        </w:rPr>
      </w:pPr>
      <w:r>
        <w:rPr>
          <w:rFonts w:hint="eastAsia" w:cs="Times New Roman"/>
        </w:rPr>
        <w:t>根据《基础设施和公用事业特许经营管理办法》（发改等6部委25号令）第四十三条规定，实施机构应当根据特许经营协议，定期对特许经营项目建设运营情况进行监测分析，会同有关部门进行绩效评价，并建立根据绩效评价结果、按照特许经营协议约定对价格或财政补贴进行调整的机制，保障所提供公共产品或公共服务的质量和效率。</w:t>
      </w:r>
    </w:p>
    <w:p>
      <w:pPr>
        <w:ind w:firstLine="560"/>
        <w:rPr>
          <w:rFonts w:cs="Times New Roman"/>
        </w:rPr>
      </w:pPr>
      <w:r>
        <w:rPr>
          <w:rFonts w:hint="eastAsia" w:cs="Times New Roman"/>
        </w:rPr>
        <w:t>根据《财政部关于推进政府和社会资本合作规范发展的实施意见》（财金〔2019〕10号），要求“建立完全与项目产出绩效相挂钩的付费机制，不得通过降低考核标准等方式，提前锁定、固化政府支出责任”。</w:t>
      </w:r>
    </w:p>
    <w:p>
      <w:pPr>
        <w:ind w:firstLine="560"/>
        <w:rPr>
          <w:rFonts w:cs="Times New Roman"/>
        </w:rPr>
      </w:pPr>
      <w:r>
        <w:rPr>
          <w:rFonts w:hint="eastAsia" w:cs="Times New Roman"/>
        </w:rPr>
        <w:t>参考《政府和社会资本合作（PPP）项目绩效管理操作指引》（财金〔2020〕13号），“政府付费和可行性缺口补助项目，政府承担的年度运营补贴支出应与当年项目公司（社会资本）绩效评价结果完全挂钩”。</w:t>
      </w:r>
    </w:p>
    <w:p>
      <w:pPr>
        <w:keepNext/>
        <w:keepLines/>
        <w:spacing w:before="120" w:after="120"/>
        <w:ind w:firstLine="643"/>
        <w:outlineLvl w:val="1"/>
        <w:rPr>
          <w:rFonts w:asciiTheme="majorHAnsi" w:hAnsiTheme="majorHAnsi" w:cstheme="majorBidi"/>
          <w:b/>
          <w:bCs/>
          <w:sz w:val="32"/>
          <w:szCs w:val="32"/>
        </w:rPr>
      </w:pPr>
      <w:bookmarkStart w:id="142" w:name="_Toc148432395"/>
      <w:bookmarkStart w:id="143" w:name="_Toc99750977"/>
      <w:r>
        <w:rPr>
          <w:rFonts w:hint="eastAsia" w:asciiTheme="majorHAnsi" w:hAnsiTheme="majorHAnsi" w:cstheme="majorBidi"/>
          <w:b/>
          <w:bCs/>
          <w:sz w:val="32"/>
          <w:szCs w:val="32"/>
        </w:rPr>
        <w:t>二、绩效考核原则与方法</w:t>
      </w:r>
      <w:bookmarkEnd w:id="142"/>
      <w:bookmarkEnd w:id="143"/>
    </w:p>
    <w:p>
      <w:pPr>
        <w:keepNext/>
        <w:keepLines/>
        <w:spacing w:before="120" w:after="120"/>
        <w:ind w:firstLine="562"/>
        <w:outlineLvl w:val="2"/>
        <w:rPr>
          <w:b/>
          <w:bCs/>
          <w:szCs w:val="32"/>
        </w:rPr>
      </w:pPr>
      <w:r>
        <w:rPr>
          <w:rFonts w:hint="eastAsia"/>
          <w:b/>
          <w:bCs/>
          <w:szCs w:val="32"/>
        </w:rPr>
        <w:t>（一）考核原则</w:t>
      </w:r>
    </w:p>
    <w:p>
      <w:pPr>
        <w:ind w:firstLine="560"/>
        <w:rPr>
          <w:rFonts w:cs="Times New Roman"/>
        </w:rPr>
      </w:pPr>
      <w:r>
        <w:rPr>
          <w:rFonts w:hint="eastAsia" w:cs="Times New Roman"/>
        </w:rPr>
        <w:t>本次评价以财政资金使用效益为导向，评价过程中不仅关注项目建设运营完成情况，还侧重对各级财政资金尤其是中央财政资金使用效益进行评价；坚持合规与风险评价，不仅关注项目立项以来各项工作开展的合规性，还对项目实施以来对各方尤其是当地财政造成的风险进行系统评价；坚持客观全面原则，协调相关政府部门和社会资本共同参与，以实施为依据，采用定量与定性分析相结合的方式开展。</w:t>
      </w:r>
    </w:p>
    <w:p>
      <w:pPr>
        <w:keepNext/>
        <w:keepLines/>
        <w:spacing w:before="120" w:after="120"/>
        <w:ind w:firstLine="562"/>
        <w:outlineLvl w:val="2"/>
        <w:rPr>
          <w:b/>
          <w:bCs/>
          <w:szCs w:val="32"/>
        </w:rPr>
      </w:pPr>
      <w:r>
        <w:rPr>
          <w:rFonts w:hint="eastAsia"/>
          <w:b/>
          <w:bCs/>
          <w:szCs w:val="32"/>
        </w:rPr>
        <w:t>（二）考核方法</w:t>
      </w:r>
    </w:p>
    <w:p>
      <w:pPr>
        <w:ind w:firstLine="560"/>
        <w:rPr>
          <w:rFonts w:cs="Times New Roman"/>
        </w:rPr>
      </w:pPr>
      <w:r>
        <w:rPr>
          <w:rFonts w:hint="eastAsia" w:cs="Times New Roman"/>
        </w:rPr>
        <w:t>评价工作主要采用了成本效益分析法、实地调查法、比较法、因素分析法、专家评议法。其中调查方式主要包括两类，一是与当地财政、环保、特许经营指挥部等部门进行座谈，二是进入供水厂现场调查供水量和出水达标情况。</w:t>
      </w:r>
    </w:p>
    <w:p>
      <w:pPr>
        <w:keepNext/>
        <w:keepLines/>
        <w:spacing w:before="120" w:after="120"/>
        <w:ind w:firstLine="562"/>
        <w:outlineLvl w:val="2"/>
        <w:rPr>
          <w:b/>
          <w:bCs/>
          <w:szCs w:val="32"/>
        </w:rPr>
      </w:pPr>
      <w:r>
        <w:rPr>
          <w:rFonts w:hint="eastAsia"/>
          <w:b/>
          <w:bCs/>
          <w:szCs w:val="32"/>
        </w:rPr>
        <w:t>（三）评价标准</w:t>
      </w:r>
    </w:p>
    <w:p>
      <w:pPr>
        <w:ind w:firstLine="560"/>
        <w:rPr>
          <w:rFonts w:cs="Times New Roman"/>
        </w:rPr>
      </w:pPr>
      <w:r>
        <w:rPr>
          <w:rFonts w:hint="eastAsia" w:cs="Times New Roman"/>
        </w:rPr>
        <w:t>本次绩效评价结果采取评分和评级相结合的方式，具体分值和等级可根据不同评价内容设定。总体评价分值满分为100分，85分为合格，根据项目总体评价分值，评价结果划分为优秀、合格、较差三个等级，具体分值及对应等级如下表所示：</w:t>
      </w:r>
    </w:p>
    <w:p>
      <w:pPr>
        <w:ind w:firstLine="482"/>
        <w:jc w:val="center"/>
        <w:rPr>
          <w:rFonts w:cs="Times New Roman"/>
          <w:b/>
          <w:bCs/>
          <w:sz w:val="24"/>
          <w:szCs w:val="24"/>
        </w:rPr>
      </w:pPr>
      <w:r>
        <w:rPr>
          <w:rFonts w:hint="eastAsia" w:cs="Times New Roman"/>
          <w:b/>
          <w:bCs/>
          <w:sz w:val="24"/>
          <w:szCs w:val="24"/>
        </w:rPr>
        <w:t>表1</w:t>
      </w:r>
      <w:r>
        <w:rPr>
          <w:rFonts w:cs="Times New Roman"/>
          <w:b/>
          <w:bCs/>
          <w:sz w:val="24"/>
          <w:szCs w:val="24"/>
        </w:rPr>
        <w:t>2</w:t>
      </w:r>
      <w:r>
        <w:rPr>
          <w:rFonts w:hint="eastAsia" w:cs="Times New Roman"/>
          <w:b/>
          <w:bCs/>
          <w:sz w:val="24"/>
          <w:szCs w:val="24"/>
        </w:rPr>
        <w:t>-</w:t>
      </w:r>
      <w:r>
        <w:rPr>
          <w:rFonts w:cs="Times New Roman"/>
          <w:b/>
          <w:bCs/>
          <w:sz w:val="24"/>
          <w:szCs w:val="24"/>
        </w:rPr>
        <w:t xml:space="preserve">1 </w:t>
      </w:r>
      <w:r>
        <w:rPr>
          <w:rFonts w:hint="eastAsia" w:cs="Times New Roman"/>
          <w:b/>
          <w:bCs/>
          <w:sz w:val="24"/>
          <w:szCs w:val="24"/>
        </w:rPr>
        <w:t>评价分值及等级对应表</w:t>
      </w:r>
    </w:p>
    <w:tbl>
      <w:tblPr>
        <w:tblStyle w:val="52"/>
        <w:tblW w:w="5000" w:type="pct"/>
        <w:tblInd w:w="0" w:type="dxa"/>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Layout w:type="autofit"/>
        <w:tblCellMar>
          <w:top w:w="0" w:type="dxa"/>
          <w:left w:w="108" w:type="dxa"/>
          <w:bottom w:w="0" w:type="dxa"/>
          <w:right w:w="108" w:type="dxa"/>
        </w:tblCellMar>
      </w:tblPr>
      <w:tblGrid>
        <w:gridCol w:w="2321"/>
        <w:gridCol w:w="2321"/>
        <w:gridCol w:w="2322"/>
        <w:gridCol w:w="2322"/>
      </w:tblGrid>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737" w:hRule="atLeast"/>
        </w:trPr>
        <w:tc>
          <w:tcPr>
            <w:tcW w:w="1250" w:type="pct"/>
            <w:tcBorders>
              <w:top w:val="single" w:color="auto" w:sz="18" w:space="0"/>
              <w:bottom w:val="single" w:color="auto" w:sz="4" w:space="0"/>
            </w:tcBorders>
            <w:shd w:val="clear" w:color="auto" w:fill="D8D8D8" w:themeFill="background1" w:themeFillShade="D9"/>
            <w:vAlign w:val="center"/>
          </w:tcPr>
          <w:p>
            <w:pPr>
              <w:ind w:left="561" w:firstLine="0" w:firstLineChars="0"/>
              <w:jc w:val="center"/>
              <w:rPr>
                <w:rFonts w:cs="Times New Roman"/>
                <w:bCs/>
                <w:color w:val="000000"/>
                <w:sz w:val="24"/>
                <w:szCs w:val="24"/>
              </w:rPr>
            </w:pPr>
            <w:r>
              <w:rPr>
                <w:rFonts w:hint="eastAsia" w:cs="Times New Roman"/>
                <w:bCs/>
                <w:color w:val="000000"/>
                <w:sz w:val="24"/>
                <w:szCs w:val="24"/>
              </w:rPr>
              <w:t>评价等级</w:t>
            </w:r>
          </w:p>
        </w:tc>
        <w:tc>
          <w:tcPr>
            <w:tcW w:w="1250" w:type="pct"/>
            <w:tcBorders>
              <w:top w:val="single" w:color="auto" w:sz="18" w:space="0"/>
              <w:bottom w:val="single" w:color="auto" w:sz="4" w:space="0"/>
            </w:tcBorders>
            <w:shd w:val="clear" w:color="auto" w:fill="D8D8D8" w:themeFill="background1" w:themeFillShade="D9"/>
            <w:vAlign w:val="center"/>
          </w:tcPr>
          <w:p>
            <w:pPr>
              <w:ind w:left="561" w:firstLine="0" w:firstLineChars="0"/>
              <w:jc w:val="center"/>
              <w:rPr>
                <w:rFonts w:cs="Times New Roman"/>
                <w:bCs/>
                <w:color w:val="000000"/>
                <w:sz w:val="24"/>
                <w:szCs w:val="24"/>
              </w:rPr>
            </w:pPr>
            <w:r>
              <w:rPr>
                <w:rFonts w:hint="eastAsia" w:cs="Times New Roman"/>
                <w:bCs/>
                <w:color w:val="000000"/>
                <w:sz w:val="24"/>
                <w:szCs w:val="24"/>
              </w:rPr>
              <w:t>优秀</w:t>
            </w:r>
          </w:p>
        </w:tc>
        <w:tc>
          <w:tcPr>
            <w:tcW w:w="1250" w:type="pct"/>
            <w:tcBorders>
              <w:top w:val="single" w:color="auto" w:sz="18" w:space="0"/>
              <w:bottom w:val="single" w:color="auto" w:sz="4" w:space="0"/>
            </w:tcBorders>
            <w:shd w:val="clear" w:color="auto" w:fill="D8D8D8" w:themeFill="background1" w:themeFillShade="D9"/>
            <w:vAlign w:val="center"/>
          </w:tcPr>
          <w:p>
            <w:pPr>
              <w:ind w:left="561" w:firstLine="0" w:firstLineChars="0"/>
              <w:jc w:val="center"/>
              <w:rPr>
                <w:rFonts w:cs="Times New Roman"/>
                <w:bCs/>
                <w:color w:val="000000"/>
                <w:sz w:val="24"/>
                <w:szCs w:val="24"/>
              </w:rPr>
            </w:pPr>
            <w:r>
              <w:rPr>
                <w:rFonts w:hint="eastAsia" w:cs="Times New Roman"/>
                <w:bCs/>
                <w:color w:val="000000"/>
                <w:sz w:val="24"/>
                <w:szCs w:val="24"/>
              </w:rPr>
              <w:t>合格</w:t>
            </w:r>
          </w:p>
        </w:tc>
        <w:tc>
          <w:tcPr>
            <w:tcW w:w="1250" w:type="pct"/>
            <w:tcBorders>
              <w:top w:val="single" w:color="auto" w:sz="18" w:space="0"/>
              <w:bottom w:val="single" w:color="auto" w:sz="4" w:space="0"/>
            </w:tcBorders>
            <w:shd w:val="clear" w:color="auto" w:fill="D8D8D8" w:themeFill="background1" w:themeFillShade="D9"/>
            <w:vAlign w:val="center"/>
          </w:tcPr>
          <w:p>
            <w:pPr>
              <w:ind w:left="561" w:firstLine="0" w:firstLineChars="0"/>
              <w:jc w:val="center"/>
              <w:rPr>
                <w:rFonts w:cs="Times New Roman"/>
                <w:bCs/>
                <w:color w:val="000000"/>
                <w:sz w:val="24"/>
                <w:szCs w:val="24"/>
              </w:rPr>
            </w:pPr>
            <w:r>
              <w:rPr>
                <w:rFonts w:hint="eastAsia" w:cs="Times New Roman"/>
                <w:bCs/>
                <w:color w:val="000000"/>
                <w:sz w:val="24"/>
                <w:szCs w:val="24"/>
              </w:rPr>
              <w:t>较差</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737" w:hRule="atLeast"/>
        </w:trPr>
        <w:tc>
          <w:tcPr>
            <w:tcW w:w="1250" w:type="pct"/>
            <w:tcBorders>
              <w:top w:val="single" w:color="auto" w:sz="4" w:space="0"/>
            </w:tcBorders>
            <w:vAlign w:val="center"/>
          </w:tcPr>
          <w:p>
            <w:pPr>
              <w:ind w:left="561" w:firstLine="0" w:firstLineChars="0"/>
              <w:jc w:val="center"/>
              <w:rPr>
                <w:rFonts w:cs="Times New Roman"/>
                <w:bCs/>
                <w:color w:val="000000"/>
                <w:sz w:val="24"/>
                <w:szCs w:val="24"/>
              </w:rPr>
            </w:pPr>
            <w:r>
              <w:rPr>
                <w:rFonts w:hint="eastAsia" w:cs="Times New Roman"/>
                <w:bCs/>
                <w:color w:val="000000"/>
                <w:sz w:val="24"/>
                <w:szCs w:val="24"/>
              </w:rPr>
              <w:t>评价分值</w:t>
            </w:r>
          </w:p>
        </w:tc>
        <w:tc>
          <w:tcPr>
            <w:tcW w:w="1250" w:type="pct"/>
            <w:tcBorders>
              <w:top w:val="single" w:color="auto" w:sz="4" w:space="0"/>
            </w:tcBorders>
            <w:vAlign w:val="center"/>
          </w:tcPr>
          <w:p>
            <w:pPr>
              <w:ind w:left="561" w:firstLine="0" w:firstLineChars="0"/>
              <w:jc w:val="center"/>
              <w:rPr>
                <w:rFonts w:cs="Times New Roman"/>
                <w:bCs/>
                <w:color w:val="000000"/>
                <w:sz w:val="24"/>
                <w:szCs w:val="24"/>
              </w:rPr>
            </w:pPr>
            <w:r>
              <w:rPr>
                <w:rFonts w:cs="Times New Roman"/>
                <w:b/>
                <w:color w:val="000000"/>
                <w:sz w:val="24"/>
                <w:szCs w:val="24"/>
              </w:rPr>
              <w:t>[95,100]</w:t>
            </w:r>
          </w:p>
        </w:tc>
        <w:tc>
          <w:tcPr>
            <w:tcW w:w="1250" w:type="pct"/>
            <w:tcBorders>
              <w:top w:val="single" w:color="auto" w:sz="4" w:space="0"/>
            </w:tcBorders>
            <w:vAlign w:val="center"/>
          </w:tcPr>
          <w:p>
            <w:pPr>
              <w:ind w:left="561" w:firstLine="0" w:firstLineChars="0"/>
              <w:jc w:val="center"/>
              <w:rPr>
                <w:rFonts w:cs="Times New Roman"/>
                <w:bCs/>
                <w:color w:val="000000"/>
                <w:sz w:val="24"/>
                <w:szCs w:val="24"/>
              </w:rPr>
            </w:pPr>
            <w:r>
              <w:rPr>
                <w:rFonts w:cs="Times New Roman"/>
                <w:b/>
                <w:color w:val="000000"/>
                <w:sz w:val="24"/>
                <w:szCs w:val="24"/>
              </w:rPr>
              <w:t>[85,95)</w:t>
            </w:r>
          </w:p>
        </w:tc>
        <w:tc>
          <w:tcPr>
            <w:tcW w:w="1250" w:type="pct"/>
            <w:tcBorders>
              <w:top w:val="single" w:color="auto" w:sz="4" w:space="0"/>
            </w:tcBorders>
            <w:vAlign w:val="center"/>
          </w:tcPr>
          <w:p>
            <w:pPr>
              <w:ind w:left="561" w:firstLine="0" w:firstLineChars="0"/>
              <w:jc w:val="center"/>
              <w:rPr>
                <w:rFonts w:cs="Times New Roman"/>
                <w:bCs/>
                <w:color w:val="000000"/>
                <w:sz w:val="24"/>
                <w:szCs w:val="24"/>
              </w:rPr>
            </w:pPr>
            <w:r>
              <w:rPr>
                <w:rFonts w:cs="Times New Roman"/>
                <w:b/>
                <w:color w:val="000000"/>
                <w:sz w:val="24"/>
                <w:szCs w:val="24"/>
              </w:rPr>
              <w:t>[0,85)</w:t>
            </w:r>
          </w:p>
        </w:tc>
      </w:tr>
    </w:tbl>
    <w:p>
      <w:pPr>
        <w:keepNext/>
        <w:keepLines/>
        <w:spacing w:before="120" w:after="120"/>
        <w:ind w:firstLine="643"/>
        <w:outlineLvl w:val="1"/>
        <w:rPr>
          <w:rFonts w:asciiTheme="majorHAnsi" w:hAnsiTheme="majorHAnsi" w:cstheme="majorBidi"/>
          <w:b/>
          <w:bCs/>
          <w:sz w:val="32"/>
          <w:szCs w:val="32"/>
        </w:rPr>
      </w:pPr>
      <w:bookmarkStart w:id="144" w:name="_Toc148432396"/>
      <w:bookmarkStart w:id="145" w:name="_Toc99750978"/>
      <w:r>
        <w:rPr>
          <w:rFonts w:hint="eastAsia" w:asciiTheme="majorHAnsi" w:hAnsiTheme="majorHAnsi" w:cstheme="majorBidi"/>
          <w:b/>
          <w:bCs/>
          <w:sz w:val="32"/>
          <w:szCs w:val="32"/>
        </w:rPr>
        <w:t>三、绩效考核办法设计</w:t>
      </w:r>
      <w:bookmarkEnd w:id="144"/>
      <w:bookmarkEnd w:id="145"/>
    </w:p>
    <w:p>
      <w:pPr>
        <w:keepNext/>
        <w:keepLines/>
        <w:spacing w:before="120" w:after="120"/>
        <w:ind w:firstLine="562"/>
        <w:outlineLvl w:val="2"/>
        <w:rPr>
          <w:b/>
          <w:bCs/>
          <w:szCs w:val="32"/>
        </w:rPr>
      </w:pPr>
      <w:r>
        <w:rPr>
          <w:rFonts w:hint="eastAsia"/>
          <w:b/>
          <w:bCs/>
          <w:szCs w:val="32"/>
        </w:rPr>
        <w:t>（一）绩效考核目的</w:t>
      </w:r>
    </w:p>
    <w:p>
      <w:pPr>
        <w:ind w:firstLine="560"/>
        <w:rPr>
          <w:rFonts w:cs="Times New Roman"/>
        </w:rPr>
      </w:pPr>
      <w:r>
        <w:rPr>
          <w:rFonts w:hint="eastAsia" w:cs="Times New Roman"/>
        </w:rPr>
        <w:t>通过对本项目开展绩效评价，摸清项目实施的规范程度和绩效目标的实现情况，分析项目实施过程中存在的问题与风险并提出合理建议，以实现提高特许经营项目财政资金使用效益和评估特许经营模式给地方财政带来的风险等目标。</w:t>
      </w:r>
    </w:p>
    <w:p>
      <w:pPr>
        <w:keepNext/>
        <w:keepLines/>
        <w:spacing w:before="120" w:after="120"/>
        <w:ind w:firstLine="562"/>
        <w:outlineLvl w:val="2"/>
        <w:rPr>
          <w:b/>
          <w:bCs/>
          <w:szCs w:val="32"/>
        </w:rPr>
      </w:pPr>
      <w:r>
        <w:rPr>
          <w:rFonts w:hint="eastAsia"/>
          <w:b/>
          <w:bCs/>
          <w:szCs w:val="32"/>
        </w:rPr>
        <w:t>（二）绩效考核主体</w:t>
      </w:r>
    </w:p>
    <w:p>
      <w:pPr>
        <w:ind w:firstLine="560"/>
        <w:rPr>
          <w:rFonts w:cs="Times New Roman"/>
        </w:rPr>
      </w:pPr>
      <w:r>
        <w:rPr>
          <w:rFonts w:hint="eastAsia" w:cs="Times New Roman"/>
        </w:rPr>
        <w:t>参考《政府和社会资本合作（PPP）项目绩效管理操作指引》（以下简称“《操作指引》”）的要求，特许经营项目应由项目实施机构在项目所属行业主管部门的指导下开展本项目的绩效考核工作，必要时可委托第三方机构协助。具体到本项目，由实施机构同心县农业农村局牵头并会同同心县财政局、发展和改革局、审计局等相关部门成立绩效考核小组，组织实施本项目绩效考核工作，考核小组构成和具体考核职责分工由实施机构根据考核工作需要进行动态调整。</w:t>
      </w:r>
    </w:p>
    <w:p>
      <w:pPr>
        <w:keepNext/>
        <w:keepLines/>
        <w:spacing w:before="120" w:after="120"/>
        <w:ind w:firstLine="562"/>
        <w:outlineLvl w:val="2"/>
        <w:rPr>
          <w:b/>
          <w:bCs/>
          <w:szCs w:val="32"/>
        </w:rPr>
      </w:pPr>
      <w:r>
        <w:rPr>
          <w:rFonts w:hint="eastAsia"/>
          <w:b/>
          <w:bCs/>
          <w:szCs w:val="32"/>
        </w:rPr>
        <w:t>（三）绩效考核方式</w:t>
      </w:r>
    </w:p>
    <w:p>
      <w:pPr>
        <w:ind w:firstLine="560"/>
      </w:pPr>
      <w:r>
        <w:rPr>
          <w:rFonts w:hint="eastAsia"/>
        </w:rPr>
        <w:t>绩效考核分为建设期绩效考核和运营维护期绩效考核，本项目为使用者付费项目，</w:t>
      </w:r>
      <w:r>
        <w:rPr>
          <w:rFonts w:hint="eastAsia" w:cs="Times New Roman"/>
        </w:rPr>
        <w:t>项目公司</w:t>
      </w:r>
      <w:r>
        <w:rPr>
          <w:rFonts w:hint="eastAsia"/>
        </w:rPr>
        <w:t>建设期和运营期绩效考核结果是政府方是否执行罚款的前提条件。绩效考核小组负责对本项目进行检查及绩效考核打分，考核结果报同心县财政局备案，实施机构依据考核得分决定是否执行罚款。</w:t>
      </w:r>
    </w:p>
    <w:p>
      <w:pPr>
        <w:ind w:firstLine="560"/>
        <w:rPr>
          <w:rFonts w:cs="Times New Roman"/>
        </w:rPr>
      </w:pPr>
      <w:r>
        <w:rPr>
          <w:rFonts w:hint="eastAsia" w:cs="Times New Roman"/>
        </w:rPr>
        <w:t>本项目提取履约保函的比例与建设期绩效和运营期绩效考核挂钩，根据建设期绩效考核结果（</w:t>
      </w:r>
      <w:r>
        <w:rPr>
          <w:rFonts w:cs="Times New Roman"/>
        </w:rPr>
        <w:t>E</w:t>
      </w:r>
      <w:r>
        <w:rPr>
          <w:rFonts w:cs="Times New Roman"/>
          <w:vertAlign w:val="subscript"/>
        </w:rPr>
        <w:t>1</w:t>
      </w:r>
      <w:r>
        <w:rPr>
          <w:rFonts w:hint="eastAsia" w:cs="Times New Roman"/>
        </w:rPr>
        <w:t>）和运营期年度绩效考核结果（</w:t>
      </w:r>
      <w:r>
        <w:rPr>
          <w:rFonts w:cs="Times New Roman"/>
        </w:rPr>
        <w:t>E</w:t>
      </w:r>
      <w:r>
        <w:rPr>
          <w:rFonts w:cs="Times New Roman"/>
          <w:vertAlign w:val="subscript"/>
        </w:rPr>
        <w:t>2</w:t>
      </w:r>
      <w:r>
        <w:rPr>
          <w:rFonts w:hint="eastAsia" w:cs="Times New Roman"/>
        </w:rPr>
        <w:t>）设置复核机制，确定项目运营期内各年度的履约保函提取比例（</w:t>
      </w:r>
      <w:r>
        <w:rPr>
          <w:rFonts w:cs="Times New Roman"/>
        </w:rPr>
        <w:t>K</w:t>
      </w:r>
      <w:r>
        <w:rPr>
          <w:rFonts w:cs="Times New Roman"/>
          <w:vertAlign w:val="subscript"/>
        </w:rPr>
        <w:t>n</w:t>
      </w:r>
      <w:r>
        <w:rPr>
          <w:rFonts w:hint="eastAsia" w:cs="Times New Roman"/>
        </w:rPr>
        <w:t>）。复核计算公式如下：</w:t>
      </w:r>
    </w:p>
    <w:p>
      <w:pPr>
        <w:ind w:firstLine="0" w:firstLineChars="0"/>
        <w:jc w:val="center"/>
        <w:rPr>
          <w:rFonts w:cs="Times New Roman"/>
          <w:highlight w:val="yellow"/>
        </w:rPr>
      </w:pPr>
      <m:oMathPara>
        <m:oMath>
          <m:sSub>
            <m:sSubPr>
              <m:ctrlPr>
                <w:rPr>
                  <w:rFonts w:ascii="Cambria Math" w:hAnsi="Cambria Math" w:cs="Times New Roman"/>
                </w:rPr>
              </m:ctrlPr>
            </m:sSubPr>
            <m:e>
              <m:r>
                <m:rPr>
                  <m:nor/>
                  <m:sty m:val="p"/>
                </m:rPr>
                <w:rPr>
                  <w:rFonts w:cs="Times New Roman"/>
                </w:rPr>
                <m:t>K</m:t>
              </m:r>
              <m:ctrlPr>
                <w:rPr>
                  <w:rFonts w:ascii="Cambria Math" w:hAnsi="Cambria Math" w:cs="Times New Roman"/>
                </w:rPr>
              </m:ctrlPr>
            </m:e>
            <m:sub>
              <m:r>
                <m:rPr>
                  <m:nor/>
                  <m:sty m:val="p"/>
                </m:rPr>
                <w:rPr>
                  <w:rFonts w:cs="Times New Roman"/>
                </w:rPr>
                <m:t>n</m:t>
              </m:r>
              <m:ctrlPr>
                <w:rPr>
                  <w:rFonts w:ascii="Cambria Math" w:hAnsi="Cambria Math" w:cs="Times New Roman"/>
                </w:rPr>
              </m:ctrlPr>
            </m:sub>
          </m:sSub>
          <m:r>
            <m:rPr>
              <m:nor/>
              <m:sty m:val="p"/>
            </m:rPr>
            <w:rPr>
              <w:rFonts w:cs="Times New Roman"/>
            </w:rPr>
            <m:t>=1-（30%×</m:t>
          </m:r>
          <m:sSub>
            <m:sSubPr>
              <m:ctrlPr>
                <w:rPr>
                  <w:rFonts w:ascii="Cambria Math" w:hAnsi="Cambria Math" w:cs="Times New Roman"/>
                </w:rPr>
              </m:ctrlPr>
            </m:sSubPr>
            <m:e>
              <m:r>
                <m:rPr>
                  <m:nor/>
                  <m:sty m:val="p"/>
                </m:rPr>
                <w:rPr>
                  <w:rFonts w:cs="Times New Roman"/>
                </w:rPr>
                <m:t>E</m:t>
              </m:r>
              <m:ctrlPr>
                <w:rPr>
                  <w:rFonts w:ascii="Cambria Math" w:hAnsi="Cambria Math" w:cs="Times New Roman"/>
                </w:rPr>
              </m:ctrlPr>
            </m:e>
            <m:sub>
              <m:r>
                <m:rPr>
                  <m:nor/>
                  <m:sty m:val="p"/>
                </m:rPr>
                <w:rPr>
                  <w:rFonts w:cs="Times New Roman"/>
                </w:rPr>
                <m:t>1</m:t>
              </m:r>
              <m:ctrlPr>
                <w:rPr>
                  <w:rFonts w:ascii="Cambria Math" w:hAnsi="Cambria Math" w:cs="Times New Roman"/>
                </w:rPr>
              </m:ctrlPr>
            </m:sub>
          </m:sSub>
          <m:r>
            <m:rPr>
              <m:nor/>
              <m:sty m:val="p"/>
            </m:rPr>
            <w:rPr>
              <w:rFonts w:cs="Times New Roman"/>
            </w:rPr>
            <m:t>+70%×</m:t>
          </m:r>
          <m:sSub>
            <m:sSubPr>
              <m:ctrlPr>
                <w:rPr>
                  <w:rFonts w:ascii="Cambria Math" w:hAnsi="Cambria Math" w:cs="Times New Roman"/>
                </w:rPr>
              </m:ctrlPr>
            </m:sSubPr>
            <m:e>
              <m:r>
                <m:rPr>
                  <m:nor/>
                  <m:sty m:val="p"/>
                </m:rPr>
                <w:rPr>
                  <w:rFonts w:cs="Times New Roman"/>
                </w:rPr>
                <m:t>E</m:t>
              </m:r>
              <m:ctrlPr>
                <w:rPr>
                  <w:rFonts w:ascii="Cambria Math" w:hAnsi="Cambria Math" w:cs="Times New Roman"/>
                </w:rPr>
              </m:ctrlPr>
            </m:e>
            <m:sub>
              <m:r>
                <m:rPr>
                  <m:nor/>
                  <m:sty m:val="p"/>
                </m:rPr>
                <w:rPr>
                  <w:rFonts w:cs="Times New Roman"/>
                </w:rPr>
                <m:t>1</m:t>
              </m:r>
              <m:ctrlPr>
                <w:rPr>
                  <w:rFonts w:ascii="Cambria Math" w:hAnsi="Cambria Math" w:cs="Times New Roman"/>
                </w:rPr>
              </m:ctrlPr>
            </m:sub>
          </m:sSub>
          <m:r>
            <m:rPr>
              <m:nor/>
              <m:sty m:val="p"/>
            </m:rPr>
            <w:rPr>
              <w:rFonts w:cs="Times New Roman"/>
            </w:rPr>
            <m:t>）</m:t>
          </m:r>
        </m:oMath>
      </m:oMathPara>
    </w:p>
    <w:p>
      <w:pPr>
        <w:keepNext/>
        <w:keepLines/>
        <w:spacing w:before="120" w:after="120"/>
        <w:ind w:firstLine="643"/>
        <w:outlineLvl w:val="1"/>
        <w:rPr>
          <w:rFonts w:asciiTheme="majorHAnsi" w:hAnsiTheme="majorHAnsi" w:cstheme="majorBidi"/>
          <w:b/>
          <w:bCs/>
          <w:sz w:val="32"/>
          <w:szCs w:val="32"/>
        </w:rPr>
      </w:pPr>
      <w:bookmarkStart w:id="146" w:name="_Toc99750979"/>
      <w:bookmarkStart w:id="147" w:name="_Toc148432397"/>
      <w:r>
        <w:rPr>
          <w:rFonts w:hint="eastAsia" w:asciiTheme="majorHAnsi" w:hAnsiTheme="majorHAnsi" w:cstheme="majorBidi"/>
          <w:b/>
          <w:bCs/>
          <w:sz w:val="32"/>
          <w:szCs w:val="32"/>
        </w:rPr>
        <w:t>四、建设期绩效考核</w:t>
      </w:r>
      <w:bookmarkEnd w:id="146"/>
      <w:bookmarkEnd w:id="147"/>
    </w:p>
    <w:p>
      <w:pPr>
        <w:keepNext/>
        <w:keepLines/>
        <w:spacing w:before="120" w:after="120"/>
        <w:ind w:firstLine="562"/>
        <w:outlineLvl w:val="2"/>
        <w:rPr>
          <w:b/>
          <w:bCs/>
          <w:szCs w:val="32"/>
        </w:rPr>
      </w:pPr>
      <w:r>
        <w:rPr>
          <w:rFonts w:hint="eastAsia"/>
          <w:b/>
          <w:bCs/>
          <w:szCs w:val="32"/>
        </w:rPr>
        <w:t>（一）建设期绩效考核时间</w:t>
      </w:r>
    </w:p>
    <w:p>
      <w:pPr>
        <w:ind w:firstLine="560"/>
        <w:rPr>
          <w:rFonts w:cs="Times New Roman"/>
        </w:rPr>
      </w:pPr>
      <w:r>
        <w:rPr>
          <w:rFonts w:hint="eastAsia" w:cs="Times New Roman"/>
        </w:rPr>
        <w:t>参考《操作指引》</w:t>
      </w:r>
      <w:r>
        <w:rPr>
          <w:rFonts w:hint="eastAsia"/>
        </w:rPr>
        <w:t>，特许经营项目在建设期应结合竣工验收开展一次绩效评价，分期建设的项目应当结合各期子项目竣工验收开展绩效评价。本项目建设期绩效考核在项目竣工验收或投入使用时按照国家、宁夏回族自治区及吴忠市、同心县相关法律法规、政策文件进行考核、验收。</w:t>
      </w:r>
    </w:p>
    <w:p>
      <w:pPr>
        <w:keepNext/>
        <w:keepLines/>
        <w:spacing w:before="120" w:after="120"/>
        <w:ind w:firstLine="562"/>
        <w:outlineLvl w:val="2"/>
        <w:rPr>
          <w:b/>
          <w:bCs/>
          <w:szCs w:val="32"/>
        </w:rPr>
      </w:pPr>
      <w:r>
        <w:rPr>
          <w:rFonts w:hint="eastAsia"/>
          <w:b/>
          <w:bCs/>
          <w:szCs w:val="32"/>
        </w:rPr>
        <w:t>（二）建设期绩效考核说明</w:t>
      </w:r>
    </w:p>
    <w:p>
      <w:pPr>
        <w:ind w:firstLine="560"/>
      </w:pPr>
      <w:r>
        <w:rPr>
          <w:rFonts w:hint="eastAsia"/>
        </w:rPr>
        <w:t>1、本项目建设期绩效考核从产出、效果、管理三个方面出发，下设二级、三级指标，从竣工验收、社会影响、生态影响、可持续性、满意度、组织管理、资金管理、档案管理、信息公开等方面进行考核。</w:t>
      </w:r>
    </w:p>
    <w:p>
      <w:pPr>
        <w:ind w:firstLine="560"/>
      </w:pPr>
      <w:r>
        <w:rPr>
          <w:rFonts w:hint="eastAsia"/>
        </w:rPr>
        <w:t>2、考核时扣分不超过每项的标准分，对每一扣分项，在政府方允许的约定期限内修复的，可不扣分。修复费用由</w:t>
      </w:r>
      <w:r>
        <w:rPr>
          <w:rFonts w:hint="eastAsia" w:cs="Times New Roman"/>
        </w:rPr>
        <w:t>社会资本</w:t>
      </w:r>
      <w:r>
        <w:rPr>
          <w:rFonts w:hint="eastAsia"/>
        </w:rPr>
        <w:t>自行承担，不计入总投资。</w:t>
      </w:r>
    </w:p>
    <w:p>
      <w:pPr>
        <w:ind w:firstLine="560"/>
      </w:pPr>
      <w:r>
        <w:rPr>
          <w:rFonts w:hint="eastAsia"/>
        </w:rPr>
        <w:t>3、政府方将根据建设期考核指标得分（T</w:t>
      </w:r>
      <w:r>
        <w:rPr>
          <w:vertAlign w:val="subscript"/>
        </w:rPr>
        <w:t>1</w:t>
      </w:r>
      <w:r>
        <w:rPr>
          <w:rFonts w:hint="eastAsia"/>
        </w:rPr>
        <w:t>）作为对项目公司奖惩的参数之一。根据建设期绩效考核指标得分（T</w:t>
      </w:r>
      <w:r>
        <w:rPr>
          <w:vertAlign w:val="subscript"/>
        </w:rPr>
        <w:t>1</w:t>
      </w:r>
      <w:r>
        <w:rPr>
          <w:rFonts w:hint="eastAsia"/>
        </w:rPr>
        <w:t>）确定的考核结果（E</w:t>
      </w:r>
      <w:r>
        <w:rPr>
          <w:vertAlign w:val="subscript"/>
        </w:rPr>
        <w:t>1</w:t>
      </w:r>
      <w:r>
        <w:rPr>
          <w:rFonts w:hint="eastAsia"/>
        </w:rPr>
        <w:t>）如下表所示。</w:t>
      </w:r>
    </w:p>
    <w:p>
      <w:pPr>
        <w:ind w:firstLine="482"/>
        <w:jc w:val="center"/>
        <w:rPr>
          <w:rFonts w:cs="Times New Roman"/>
          <w:b/>
          <w:bCs/>
          <w:sz w:val="24"/>
          <w:szCs w:val="24"/>
        </w:rPr>
      </w:pPr>
      <w:r>
        <w:rPr>
          <w:rFonts w:hint="eastAsia" w:cs="Times New Roman"/>
          <w:b/>
          <w:bCs/>
          <w:sz w:val="24"/>
          <w:szCs w:val="24"/>
        </w:rPr>
        <w:t>表1</w:t>
      </w:r>
      <w:r>
        <w:rPr>
          <w:rFonts w:cs="Times New Roman"/>
          <w:b/>
          <w:bCs/>
          <w:sz w:val="24"/>
          <w:szCs w:val="24"/>
        </w:rPr>
        <w:t>2</w:t>
      </w:r>
      <w:r>
        <w:rPr>
          <w:rFonts w:hint="eastAsia" w:cs="Times New Roman"/>
          <w:b/>
          <w:bCs/>
          <w:sz w:val="24"/>
          <w:szCs w:val="24"/>
        </w:rPr>
        <w:t>-</w:t>
      </w:r>
      <w:r>
        <w:rPr>
          <w:rFonts w:cs="Times New Roman"/>
          <w:b/>
          <w:bCs/>
          <w:sz w:val="24"/>
          <w:szCs w:val="24"/>
        </w:rPr>
        <w:t xml:space="preserve">2 </w:t>
      </w:r>
      <w:r>
        <w:rPr>
          <w:rFonts w:hint="eastAsia" w:cs="Times New Roman"/>
          <w:b/>
          <w:bCs/>
          <w:sz w:val="24"/>
          <w:szCs w:val="24"/>
        </w:rPr>
        <w:t>建设期绩效考核结果对应表</w:t>
      </w:r>
    </w:p>
    <w:tbl>
      <w:tblPr>
        <w:tblStyle w:val="30"/>
        <w:tblW w:w="5000" w:type="pct"/>
        <w:jc w:val="center"/>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Layout w:type="autofit"/>
        <w:tblCellMar>
          <w:top w:w="0" w:type="dxa"/>
          <w:left w:w="108" w:type="dxa"/>
          <w:bottom w:w="0" w:type="dxa"/>
          <w:right w:w="108" w:type="dxa"/>
        </w:tblCellMar>
      </w:tblPr>
      <w:tblGrid>
        <w:gridCol w:w="5713"/>
        <w:gridCol w:w="3573"/>
      </w:tblGrid>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567" w:hRule="atLeast"/>
          <w:jc w:val="center"/>
        </w:trPr>
        <w:tc>
          <w:tcPr>
            <w:tcW w:w="3076" w:type="pct"/>
            <w:tcBorders>
              <w:top w:val="single" w:color="auto" w:sz="18" w:space="0"/>
              <w:bottom w:val="single" w:color="auto" w:sz="4" w:space="0"/>
            </w:tcBorders>
            <w:shd w:val="clear" w:color="auto" w:fill="D8D8D8" w:themeFill="background1" w:themeFillShade="D9"/>
            <w:vAlign w:val="center"/>
          </w:tcPr>
          <w:p>
            <w:pPr>
              <w:ind w:firstLine="0" w:firstLineChars="0"/>
              <w:jc w:val="center"/>
              <w:rPr>
                <w:rFonts w:cs="Times New Roman"/>
                <w:b/>
                <w:bCs/>
                <w:sz w:val="24"/>
                <w:szCs w:val="24"/>
              </w:rPr>
            </w:pPr>
            <w:r>
              <w:rPr>
                <w:rFonts w:hint="eastAsia" w:cs="Times New Roman"/>
                <w:b/>
                <w:bCs/>
                <w:sz w:val="24"/>
                <w:szCs w:val="24"/>
              </w:rPr>
              <w:t>建设期绩效考核指标得分</w:t>
            </w:r>
            <w:r>
              <w:rPr>
                <w:rFonts w:cs="Times New Roman"/>
                <w:b/>
                <w:bCs/>
                <w:sz w:val="24"/>
                <w:szCs w:val="24"/>
              </w:rPr>
              <w:t>T</w:t>
            </w:r>
            <w:r>
              <w:rPr>
                <w:rFonts w:cs="Times New Roman"/>
                <w:b/>
                <w:bCs/>
                <w:sz w:val="24"/>
                <w:szCs w:val="24"/>
                <w:vertAlign w:val="subscript"/>
              </w:rPr>
              <w:t>1</w:t>
            </w:r>
          </w:p>
        </w:tc>
        <w:tc>
          <w:tcPr>
            <w:tcW w:w="1924" w:type="pct"/>
            <w:tcBorders>
              <w:top w:val="single" w:color="auto" w:sz="18" w:space="0"/>
              <w:bottom w:val="single" w:color="auto" w:sz="4" w:space="0"/>
            </w:tcBorders>
            <w:shd w:val="clear" w:color="auto" w:fill="D8D8D8" w:themeFill="background1" w:themeFillShade="D9"/>
            <w:vAlign w:val="center"/>
          </w:tcPr>
          <w:p>
            <w:pPr>
              <w:ind w:firstLine="0" w:firstLineChars="0"/>
              <w:jc w:val="center"/>
              <w:rPr>
                <w:rFonts w:cs="Times New Roman"/>
                <w:b/>
                <w:bCs/>
                <w:sz w:val="24"/>
                <w:szCs w:val="24"/>
              </w:rPr>
            </w:pPr>
            <w:r>
              <w:rPr>
                <w:rFonts w:cs="Times New Roman"/>
                <w:b/>
                <w:bCs/>
                <w:sz w:val="24"/>
                <w:szCs w:val="24"/>
              </w:rPr>
              <w:t>E</w:t>
            </w:r>
            <w:r>
              <w:rPr>
                <w:rFonts w:cs="Times New Roman"/>
                <w:b/>
                <w:bCs/>
                <w:sz w:val="24"/>
                <w:szCs w:val="24"/>
                <w:vertAlign w:val="subscript"/>
              </w:rPr>
              <w:t>1</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567" w:hRule="atLeast"/>
          <w:jc w:val="center"/>
        </w:trPr>
        <w:tc>
          <w:tcPr>
            <w:tcW w:w="3076" w:type="pct"/>
            <w:tcBorders>
              <w:top w:val="single" w:color="auto" w:sz="4" w:space="0"/>
            </w:tcBorders>
            <w:vAlign w:val="center"/>
          </w:tcPr>
          <w:p>
            <w:pPr>
              <w:ind w:firstLine="0" w:firstLineChars="0"/>
              <w:jc w:val="center"/>
              <w:rPr>
                <w:rFonts w:cs="Times New Roman"/>
                <w:sz w:val="24"/>
                <w:szCs w:val="24"/>
              </w:rPr>
            </w:pPr>
            <w:r>
              <w:rPr>
                <w:rFonts w:cs="Times New Roman"/>
                <w:sz w:val="24"/>
                <w:szCs w:val="24"/>
              </w:rPr>
              <w:t>85</w:t>
            </w:r>
            <w:r>
              <w:rPr>
                <w:rFonts w:hint="eastAsia" w:cs="Times New Roman"/>
                <w:sz w:val="24"/>
                <w:szCs w:val="24"/>
              </w:rPr>
              <w:t>≤</w:t>
            </w:r>
            <w:r>
              <w:rPr>
                <w:rFonts w:cs="Times New Roman"/>
                <w:sz w:val="24"/>
                <w:szCs w:val="24"/>
              </w:rPr>
              <w:t>T</w:t>
            </w:r>
            <w:r>
              <w:rPr>
                <w:rFonts w:cs="Times New Roman"/>
                <w:sz w:val="24"/>
                <w:szCs w:val="24"/>
                <w:vertAlign w:val="subscript"/>
              </w:rPr>
              <w:t>1</w:t>
            </w:r>
            <w:r>
              <w:rPr>
                <w:rFonts w:hint="eastAsia" w:cs="Times New Roman"/>
                <w:sz w:val="24"/>
                <w:szCs w:val="24"/>
              </w:rPr>
              <w:t>≤</w:t>
            </w:r>
            <w:r>
              <w:rPr>
                <w:rFonts w:cs="Times New Roman"/>
                <w:sz w:val="24"/>
                <w:szCs w:val="24"/>
              </w:rPr>
              <w:t>100</w:t>
            </w:r>
          </w:p>
        </w:tc>
        <w:tc>
          <w:tcPr>
            <w:tcW w:w="1924" w:type="pct"/>
            <w:tcBorders>
              <w:top w:val="single" w:color="auto" w:sz="4" w:space="0"/>
            </w:tcBorders>
            <w:vAlign w:val="center"/>
          </w:tcPr>
          <w:p>
            <w:pPr>
              <w:ind w:firstLine="0" w:firstLineChars="0"/>
              <w:jc w:val="center"/>
              <w:rPr>
                <w:rFonts w:cs="Times New Roman"/>
                <w:sz w:val="24"/>
                <w:szCs w:val="24"/>
              </w:rPr>
            </w:pPr>
            <w:r>
              <w:rPr>
                <w:rFonts w:cs="Times New Roman"/>
                <w:sz w:val="24"/>
                <w:szCs w:val="24"/>
              </w:rPr>
              <w:t>100%</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567" w:hRule="atLeast"/>
          <w:jc w:val="center"/>
        </w:trPr>
        <w:tc>
          <w:tcPr>
            <w:tcW w:w="3076" w:type="pct"/>
            <w:vAlign w:val="center"/>
          </w:tcPr>
          <w:p>
            <w:pPr>
              <w:ind w:firstLine="0" w:firstLineChars="0"/>
              <w:jc w:val="center"/>
              <w:rPr>
                <w:rFonts w:cs="Times New Roman"/>
                <w:sz w:val="24"/>
                <w:szCs w:val="24"/>
              </w:rPr>
            </w:pPr>
            <w:r>
              <w:rPr>
                <w:rFonts w:cs="Times New Roman"/>
                <w:sz w:val="24"/>
                <w:szCs w:val="24"/>
              </w:rPr>
              <w:t>60</w:t>
            </w:r>
            <w:r>
              <w:rPr>
                <w:rFonts w:hint="eastAsia" w:cs="Times New Roman"/>
                <w:sz w:val="24"/>
                <w:szCs w:val="24"/>
              </w:rPr>
              <w:t>≤</w:t>
            </w:r>
            <w:r>
              <w:rPr>
                <w:rFonts w:cs="Times New Roman"/>
                <w:sz w:val="24"/>
                <w:szCs w:val="24"/>
              </w:rPr>
              <w:t>T</w:t>
            </w:r>
            <w:r>
              <w:rPr>
                <w:rFonts w:cs="Times New Roman"/>
                <w:sz w:val="24"/>
                <w:szCs w:val="24"/>
                <w:vertAlign w:val="subscript"/>
              </w:rPr>
              <w:t>1</w:t>
            </w:r>
            <w:r>
              <w:rPr>
                <w:rFonts w:hint="eastAsia" w:cs="Times New Roman"/>
                <w:sz w:val="24"/>
                <w:szCs w:val="24"/>
              </w:rPr>
              <w:t>＜</w:t>
            </w:r>
            <w:r>
              <w:rPr>
                <w:rFonts w:cs="Times New Roman"/>
                <w:sz w:val="24"/>
                <w:szCs w:val="24"/>
              </w:rPr>
              <w:t>85</w:t>
            </w:r>
          </w:p>
        </w:tc>
        <w:tc>
          <w:tcPr>
            <w:tcW w:w="1924" w:type="pct"/>
            <w:vAlign w:val="center"/>
          </w:tcPr>
          <w:p>
            <w:pPr>
              <w:ind w:firstLine="0" w:firstLineChars="0"/>
              <w:jc w:val="center"/>
              <w:rPr>
                <w:rFonts w:cs="Times New Roman"/>
                <w:sz w:val="24"/>
                <w:szCs w:val="24"/>
              </w:rPr>
            </w:pPr>
            <w:r>
              <w:rPr>
                <w:rFonts w:hint="eastAsia" w:cs="Times New Roman"/>
                <w:sz w:val="24"/>
                <w:szCs w:val="24"/>
              </w:rPr>
              <w:t>（</w:t>
            </w:r>
            <w:r>
              <w:rPr>
                <w:rFonts w:cs="Times New Roman"/>
                <w:sz w:val="24"/>
                <w:szCs w:val="24"/>
              </w:rPr>
              <w:t>T</w:t>
            </w:r>
            <w:r>
              <w:rPr>
                <w:rFonts w:cs="Times New Roman"/>
                <w:sz w:val="24"/>
                <w:szCs w:val="24"/>
                <w:vertAlign w:val="subscript"/>
              </w:rPr>
              <w:t>1</w:t>
            </w:r>
            <w:r>
              <w:rPr>
                <w:rFonts w:cs="Times New Roman"/>
                <w:sz w:val="24"/>
                <w:szCs w:val="24"/>
              </w:rPr>
              <w:t>+10</w:t>
            </w:r>
            <w:r>
              <w:rPr>
                <w:rFonts w:hint="eastAsia" w:cs="Times New Roman"/>
                <w:sz w:val="24"/>
                <w:szCs w:val="24"/>
              </w:rPr>
              <w:t>）</w:t>
            </w:r>
            <w:r>
              <w:rPr>
                <w:rFonts w:cs="Times New Roman"/>
                <w:sz w:val="24"/>
                <w:szCs w:val="24"/>
              </w:rPr>
              <w:t>/100</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108" w:type="dxa"/>
            <w:bottom w:w="0" w:type="dxa"/>
            <w:right w:w="108" w:type="dxa"/>
          </w:tblCellMar>
        </w:tblPrEx>
        <w:trPr>
          <w:trHeight w:val="567" w:hRule="atLeast"/>
          <w:jc w:val="center"/>
        </w:trPr>
        <w:tc>
          <w:tcPr>
            <w:tcW w:w="3076" w:type="pct"/>
            <w:vAlign w:val="center"/>
          </w:tcPr>
          <w:p>
            <w:pPr>
              <w:ind w:firstLine="0" w:firstLineChars="0"/>
              <w:jc w:val="center"/>
              <w:rPr>
                <w:rFonts w:cs="Times New Roman"/>
                <w:sz w:val="24"/>
                <w:szCs w:val="24"/>
              </w:rPr>
            </w:pPr>
            <w:r>
              <w:rPr>
                <w:rFonts w:cs="Times New Roman"/>
                <w:sz w:val="24"/>
                <w:szCs w:val="24"/>
              </w:rPr>
              <w:t>T</w:t>
            </w:r>
            <w:r>
              <w:rPr>
                <w:rFonts w:cs="Times New Roman"/>
                <w:sz w:val="24"/>
                <w:szCs w:val="24"/>
                <w:vertAlign w:val="subscript"/>
              </w:rPr>
              <w:t>1</w:t>
            </w:r>
            <w:r>
              <w:rPr>
                <w:rFonts w:hint="eastAsia" w:cs="Times New Roman"/>
                <w:sz w:val="24"/>
                <w:szCs w:val="24"/>
              </w:rPr>
              <w:t>＜</w:t>
            </w:r>
            <w:r>
              <w:rPr>
                <w:rFonts w:cs="Times New Roman"/>
                <w:sz w:val="24"/>
                <w:szCs w:val="24"/>
              </w:rPr>
              <w:t>60</w:t>
            </w:r>
          </w:p>
        </w:tc>
        <w:tc>
          <w:tcPr>
            <w:tcW w:w="1924" w:type="pct"/>
            <w:vAlign w:val="center"/>
          </w:tcPr>
          <w:p>
            <w:pPr>
              <w:ind w:firstLine="0" w:firstLineChars="0"/>
              <w:jc w:val="center"/>
              <w:rPr>
                <w:rFonts w:cs="Times New Roman"/>
                <w:sz w:val="24"/>
                <w:szCs w:val="24"/>
              </w:rPr>
            </w:pPr>
            <w:r>
              <w:rPr>
                <w:rFonts w:cs="Times New Roman"/>
                <w:sz w:val="24"/>
                <w:szCs w:val="24"/>
              </w:rPr>
              <w:t>0</w:t>
            </w:r>
          </w:p>
        </w:tc>
      </w:tr>
    </w:tbl>
    <w:p>
      <w:pPr>
        <w:ind w:firstLine="560"/>
      </w:pPr>
      <w:r>
        <w:t>当建设期绩效考核结果得分＜60分，或</w:t>
      </w:r>
      <w:r>
        <w:rPr>
          <w:rFonts w:hint="eastAsia" w:cs="Times New Roman"/>
        </w:rPr>
        <w:t>社会资本</w:t>
      </w:r>
      <w:r>
        <w:t>在建设期内发生建设期绩效考核指标中规定的特定事项时，考核等级直接评定为不合格。如</w:t>
      </w:r>
      <w:r>
        <w:rPr>
          <w:rFonts w:hint="eastAsia" w:cs="Times New Roman"/>
        </w:rPr>
        <w:t>社会资本</w:t>
      </w:r>
      <w:r>
        <w:t>建设期考核结果出现不合格的，</w:t>
      </w:r>
      <w:r>
        <w:rPr>
          <w:rFonts w:hint="eastAsia" w:cs="Times New Roman"/>
        </w:rPr>
        <w:t>社会资本</w:t>
      </w:r>
      <w:r>
        <w:t>需提交书面说明并提出解决办法，情节严重的，政府方有权根据约定提前终止《特许经营协议》，由此造成政府方的经济损失全部由</w:t>
      </w:r>
      <w:r>
        <w:rPr>
          <w:rFonts w:hint="eastAsia" w:cs="Times New Roman"/>
        </w:rPr>
        <w:t>项目公司</w:t>
      </w:r>
      <w:r>
        <w:t>承担，社会资本</w:t>
      </w:r>
      <w:r>
        <w:rPr>
          <w:rFonts w:hint="eastAsia"/>
        </w:rPr>
        <w:t>承担</w:t>
      </w:r>
      <w:r>
        <w:t>连带责任。</w:t>
      </w:r>
    </w:p>
    <w:p>
      <w:pPr>
        <w:keepNext/>
        <w:keepLines/>
        <w:spacing w:before="120" w:after="120"/>
        <w:ind w:firstLine="562"/>
        <w:outlineLvl w:val="2"/>
        <w:rPr>
          <w:b/>
          <w:bCs/>
          <w:szCs w:val="32"/>
        </w:rPr>
      </w:pPr>
      <w:bookmarkStart w:id="148" w:name="_Toc88582270"/>
      <w:bookmarkStart w:id="149" w:name="_Toc86926694"/>
      <w:bookmarkStart w:id="150" w:name="_Toc94190779"/>
      <w:bookmarkStart w:id="151" w:name="_Toc88385964"/>
      <w:r>
        <w:rPr>
          <w:rFonts w:hint="eastAsia"/>
          <w:b/>
          <w:bCs/>
          <w:szCs w:val="32"/>
        </w:rPr>
        <w:t>（三）</w:t>
      </w:r>
      <w:r>
        <w:rPr>
          <w:b/>
          <w:bCs/>
          <w:szCs w:val="32"/>
        </w:rPr>
        <w:t>建设期绩效考核评分标准</w:t>
      </w:r>
      <w:bookmarkEnd w:id="148"/>
      <w:bookmarkEnd w:id="149"/>
      <w:bookmarkEnd w:id="150"/>
      <w:bookmarkEnd w:id="151"/>
    </w:p>
    <w:p>
      <w:pPr>
        <w:spacing w:line="500" w:lineRule="exact"/>
        <w:ind w:firstLine="560"/>
        <w:sectPr>
          <w:pgSz w:w="11906" w:h="16838"/>
          <w:pgMar w:top="1440" w:right="1418" w:bottom="1440" w:left="1418" w:header="567" w:footer="992" w:gutter="0"/>
          <w:cols w:space="425" w:num="1"/>
          <w:docGrid w:linePitch="381" w:charSpace="0"/>
        </w:sectPr>
      </w:pPr>
      <w:r>
        <w:t>建设期绩效考核评分标准见下表：</w:t>
      </w:r>
    </w:p>
    <w:p>
      <w:pPr>
        <w:ind w:firstLine="482"/>
        <w:jc w:val="center"/>
        <w:rPr>
          <w:rFonts w:cs="Times New Roman"/>
          <w:b/>
          <w:bCs/>
          <w:sz w:val="24"/>
          <w:szCs w:val="28"/>
        </w:rPr>
      </w:pPr>
      <w:r>
        <w:rPr>
          <w:rFonts w:hint="eastAsia" w:cs="Times New Roman"/>
          <w:b/>
          <w:bCs/>
          <w:sz w:val="24"/>
          <w:szCs w:val="28"/>
        </w:rPr>
        <w:t>表1</w:t>
      </w:r>
      <w:r>
        <w:rPr>
          <w:rFonts w:cs="Times New Roman"/>
          <w:b/>
          <w:bCs/>
          <w:sz w:val="24"/>
          <w:szCs w:val="28"/>
        </w:rPr>
        <w:t>2</w:t>
      </w:r>
      <w:r>
        <w:rPr>
          <w:rFonts w:hint="eastAsia" w:cs="Times New Roman"/>
          <w:b/>
          <w:bCs/>
          <w:sz w:val="24"/>
          <w:szCs w:val="28"/>
        </w:rPr>
        <w:t>-3</w:t>
      </w:r>
      <w:r>
        <w:rPr>
          <w:rFonts w:cs="Times New Roman"/>
          <w:b/>
          <w:bCs/>
          <w:sz w:val="24"/>
          <w:szCs w:val="28"/>
        </w:rPr>
        <w:t xml:space="preserve"> 建设期绩效考核指标体系</w:t>
      </w:r>
    </w:p>
    <w:tbl>
      <w:tblPr>
        <w:tblStyle w:val="30"/>
        <w:tblW w:w="140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8"/>
        <w:gridCol w:w="1275"/>
        <w:gridCol w:w="1276"/>
        <w:gridCol w:w="1418"/>
        <w:gridCol w:w="850"/>
        <w:gridCol w:w="3402"/>
        <w:gridCol w:w="48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988" w:type="dxa"/>
            <w:shd w:val="clear" w:color="auto" w:fill="auto"/>
            <w:vAlign w:val="center"/>
          </w:tcPr>
          <w:p>
            <w:pPr>
              <w:widowControl/>
              <w:spacing w:line="240" w:lineRule="auto"/>
              <w:ind w:firstLine="0" w:firstLineChars="0"/>
              <w:jc w:val="center"/>
              <w:rPr>
                <w:rFonts w:cs="Times New Roman"/>
                <w:b/>
                <w:bCs/>
                <w:color w:val="000000"/>
                <w:kern w:val="0"/>
                <w:sz w:val="24"/>
                <w:szCs w:val="24"/>
              </w:rPr>
            </w:pPr>
            <w:r>
              <w:rPr>
                <w:rFonts w:cs="Times New Roman"/>
                <w:b/>
                <w:bCs/>
                <w:color w:val="000000"/>
                <w:kern w:val="0"/>
                <w:sz w:val="24"/>
                <w:szCs w:val="24"/>
              </w:rPr>
              <w:t>一级指标</w:t>
            </w:r>
          </w:p>
        </w:tc>
        <w:tc>
          <w:tcPr>
            <w:tcW w:w="1275" w:type="dxa"/>
            <w:shd w:val="clear" w:color="auto" w:fill="auto"/>
            <w:vAlign w:val="center"/>
          </w:tcPr>
          <w:p>
            <w:pPr>
              <w:widowControl/>
              <w:spacing w:line="240" w:lineRule="auto"/>
              <w:ind w:firstLine="0" w:firstLineChars="0"/>
              <w:jc w:val="center"/>
              <w:rPr>
                <w:rFonts w:cs="Times New Roman"/>
                <w:b/>
                <w:bCs/>
                <w:color w:val="000000"/>
                <w:kern w:val="0"/>
                <w:sz w:val="24"/>
                <w:szCs w:val="24"/>
              </w:rPr>
            </w:pPr>
            <w:r>
              <w:rPr>
                <w:rFonts w:cs="Times New Roman"/>
                <w:b/>
                <w:bCs/>
                <w:color w:val="000000"/>
                <w:kern w:val="0"/>
                <w:sz w:val="24"/>
                <w:szCs w:val="24"/>
              </w:rPr>
              <w:t>二级指标</w:t>
            </w:r>
          </w:p>
        </w:tc>
        <w:tc>
          <w:tcPr>
            <w:tcW w:w="1276" w:type="dxa"/>
            <w:shd w:val="clear" w:color="auto" w:fill="auto"/>
            <w:vAlign w:val="center"/>
          </w:tcPr>
          <w:p>
            <w:pPr>
              <w:widowControl/>
              <w:spacing w:line="240" w:lineRule="auto"/>
              <w:ind w:firstLine="0" w:firstLineChars="0"/>
              <w:jc w:val="center"/>
              <w:rPr>
                <w:rFonts w:cs="Times New Roman"/>
                <w:b/>
                <w:bCs/>
                <w:color w:val="000000"/>
                <w:kern w:val="0"/>
                <w:sz w:val="24"/>
                <w:szCs w:val="24"/>
              </w:rPr>
            </w:pPr>
            <w:r>
              <w:rPr>
                <w:rFonts w:cs="Times New Roman"/>
                <w:b/>
                <w:bCs/>
                <w:color w:val="000000"/>
                <w:kern w:val="0"/>
                <w:sz w:val="24"/>
                <w:szCs w:val="24"/>
              </w:rPr>
              <w:t>三级指标</w:t>
            </w:r>
          </w:p>
        </w:tc>
        <w:tc>
          <w:tcPr>
            <w:tcW w:w="1418" w:type="dxa"/>
            <w:shd w:val="clear" w:color="auto" w:fill="auto"/>
            <w:vAlign w:val="center"/>
          </w:tcPr>
          <w:p>
            <w:pPr>
              <w:widowControl/>
              <w:spacing w:line="240" w:lineRule="auto"/>
              <w:ind w:firstLine="0" w:firstLineChars="0"/>
              <w:jc w:val="center"/>
              <w:rPr>
                <w:rFonts w:cs="Times New Roman"/>
                <w:b/>
                <w:bCs/>
                <w:color w:val="000000"/>
                <w:kern w:val="0"/>
                <w:sz w:val="24"/>
                <w:szCs w:val="24"/>
              </w:rPr>
            </w:pPr>
            <w:r>
              <w:rPr>
                <w:rFonts w:cs="Times New Roman"/>
                <w:b/>
                <w:bCs/>
                <w:color w:val="000000"/>
                <w:kern w:val="0"/>
                <w:sz w:val="24"/>
                <w:szCs w:val="24"/>
              </w:rPr>
              <w:t>指标解释</w:t>
            </w:r>
          </w:p>
        </w:tc>
        <w:tc>
          <w:tcPr>
            <w:tcW w:w="850" w:type="dxa"/>
            <w:shd w:val="clear" w:color="auto" w:fill="auto"/>
            <w:vAlign w:val="center"/>
          </w:tcPr>
          <w:p>
            <w:pPr>
              <w:widowControl/>
              <w:spacing w:line="240" w:lineRule="auto"/>
              <w:ind w:firstLine="0" w:firstLineChars="0"/>
              <w:jc w:val="center"/>
              <w:rPr>
                <w:rFonts w:cs="Times New Roman"/>
                <w:b/>
                <w:bCs/>
                <w:color w:val="000000"/>
                <w:kern w:val="0"/>
                <w:sz w:val="24"/>
                <w:szCs w:val="24"/>
              </w:rPr>
            </w:pPr>
            <w:r>
              <w:rPr>
                <w:rFonts w:cs="Times New Roman"/>
                <w:b/>
                <w:bCs/>
                <w:color w:val="000000"/>
                <w:kern w:val="0"/>
                <w:sz w:val="24"/>
                <w:szCs w:val="24"/>
              </w:rPr>
              <w:t>分值</w:t>
            </w:r>
          </w:p>
        </w:tc>
        <w:tc>
          <w:tcPr>
            <w:tcW w:w="3402" w:type="dxa"/>
            <w:shd w:val="clear" w:color="auto" w:fill="auto"/>
            <w:vAlign w:val="center"/>
          </w:tcPr>
          <w:p>
            <w:pPr>
              <w:widowControl/>
              <w:spacing w:line="240" w:lineRule="auto"/>
              <w:ind w:firstLine="0" w:firstLineChars="0"/>
              <w:jc w:val="center"/>
              <w:rPr>
                <w:rFonts w:cs="Times New Roman"/>
                <w:b/>
                <w:bCs/>
                <w:color w:val="000000"/>
                <w:kern w:val="0"/>
                <w:sz w:val="24"/>
                <w:szCs w:val="24"/>
              </w:rPr>
            </w:pPr>
            <w:r>
              <w:rPr>
                <w:rFonts w:cs="Times New Roman"/>
                <w:b/>
                <w:bCs/>
                <w:color w:val="000000"/>
                <w:kern w:val="0"/>
                <w:sz w:val="24"/>
                <w:szCs w:val="24"/>
              </w:rPr>
              <w:t>评价标准</w:t>
            </w:r>
          </w:p>
        </w:tc>
        <w:tc>
          <w:tcPr>
            <w:tcW w:w="4820" w:type="dxa"/>
            <w:shd w:val="clear" w:color="auto" w:fill="auto"/>
            <w:vAlign w:val="center"/>
          </w:tcPr>
          <w:p>
            <w:pPr>
              <w:widowControl/>
              <w:spacing w:line="240" w:lineRule="auto"/>
              <w:ind w:firstLine="0" w:firstLineChars="0"/>
              <w:jc w:val="center"/>
              <w:rPr>
                <w:rFonts w:cs="Times New Roman"/>
                <w:b/>
                <w:bCs/>
                <w:color w:val="000000"/>
                <w:kern w:val="0"/>
                <w:sz w:val="24"/>
                <w:szCs w:val="24"/>
              </w:rPr>
            </w:pPr>
            <w:r>
              <w:rPr>
                <w:rFonts w:cs="Times New Roman"/>
                <w:b/>
                <w:bCs/>
                <w:color w:val="000000"/>
                <w:kern w:val="0"/>
                <w:sz w:val="24"/>
                <w:szCs w:val="24"/>
              </w:rPr>
              <w:t>评价方法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restart"/>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产出</w:t>
            </w:r>
            <w:r>
              <w:rPr>
                <w:rFonts w:hint="eastAsia" w:cs="Times New Roman"/>
                <w:color w:val="000000"/>
                <w:kern w:val="0"/>
                <w:sz w:val="24"/>
                <w:szCs w:val="24"/>
              </w:rPr>
              <w:t>(</w:t>
            </w:r>
            <w:r>
              <w:rPr>
                <w:rFonts w:cs="Times New Roman"/>
                <w:color w:val="000000"/>
                <w:kern w:val="0"/>
                <w:sz w:val="24"/>
                <w:szCs w:val="24"/>
              </w:rPr>
              <w:t>80分</w:t>
            </w:r>
            <w:r>
              <w:rPr>
                <w:rFonts w:hint="eastAsia" w:cs="Times New Roman"/>
                <w:color w:val="000000"/>
                <w:kern w:val="0"/>
                <w:sz w:val="24"/>
                <w:szCs w:val="24"/>
              </w:rPr>
              <w:t>)</w:t>
            </w:r>
          </w:p>
        </w:tc>
        <w:tc>
          <w:tcPr>
            <w:tcW w:w="1275" w:type="dxa"/>
            <w:vMerge w:val="restart"/>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竣工验收</w:t>
            </w:r>
            <w:r>
              <w:rPr>
                <w:rFonts w:cs="Times New Roman"/>
                <w:color w:val="000000"/>
                <w:kern w:val="0"/>
                <w:sz w:val="24"/>
                <w:szCs w:val="24"/>
              </w:rPr>
              <w:br w:type="textWrapping"/>
            </w:r>
            <w:r>
              <w:rPr>
                <w:rFonts w:cs="Times New Roman"/>
                <w:color w:val="000000"/>
                <w:kern w:val="0"/>
                <w:sz w:val="24"/>
                <w:szCs w:val="24"/>
              </w:rPr>
              <w:t>（80分）</w:t>
            </w:r>
          </w:p>
        </w:tc>
        <w:tc>
          <w:tcPr>
            <w:tcW w:w="1276"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工程质量</w:t>
            </w:r>
          </w:p>
        </w:tc>
        <w:tc>
          <w:tcPr>
            <w:tcW w:w="1418"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评价项目工程质量</w:t>
            </w:r>
          </w:p>
        </w:tc>
        <w:tc>
          <w:tcPr>
            <w:tcW w:w="850"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40</w:t>
            </w:r>
          </w:p>
        </w:tc>
        <w:tc>
          <w:tcPr>
            <w:tcW w:w="3402"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项目符合国家、宁夏回族自治区及</w:t>
            </w:r>
            <w:r>
              <w:rPr>
                <w:rFonts w:hint="eastAsia" w:cs="Times New Roman"/>
                <w:color w:val="000000"/>
                <w:kern w:val="0"/>
                <w:sz w:val="24"/>
                <w:szCs w:val="24"/>
              </w:rPr>
              <w:t>吴忠市</w:t>
            </w:r>
            <w:r>
              <w:rPr>
                <w:rFonts w:cs="Times New Roman"/>
                <w:color w:val="000000"/>
                <w:kern w:val="0"/>
                <w:sz w:val="24"/>
                <w:szCs w:val="24"/>
              </w:rPr>
              <w:t>相应工程验收规范，并做到一次性验收合格。</w:t>
            </w:r>
          </w:p>
        </w:tc>
        <w:tc>
          <w:tcPr>
            <w:tcW w:w="4820"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 xml:space="preserve">实地调研后考核小组打分： </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工程质量：每项工程每次（包含每阶段）验收不合格，扣2分，单项工程分项验收累计扣分上限为10分，所有工程累计扣分上限为40分；</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本项累计扣分之和，以40分为上限，超过部分不予计算。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5"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6"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hint="eastAsia" w:cs="Times New Roman"/>
                <w:color w:val="000000"/>
                <w:kern w:val="0"/>
                <w:sz w:val="24"/>
                <w:szCs w:val="24"/>
              </w:rPr>
              <w:t>工程</w:t>
            </w:r>
            <w:r>
              <w:rPr>
                <w:rFonts w:cs="Times New Roman"/>
                <w:color w:val="000000"/>
                <w:kern w:val="0"/>
                <w:sz w:val="24"/>
                <w:szCs w:val="24"/>
              </w:rPr>
              <w:t>计划进度</w:t>
            </w:r>
          </w:p>
        </w:tc>
        <w:tc>
          <w:tcPr>
            <w:tcW w:w="1418"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评价是否按照要求工期按实完工</w:t>
            </w:r>
          </w:p>
        </w:tc>
        <w:tc>
          <w:tcPr>
            <w:tcW w:w="850"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5</w:t>
            </w:r>
          </w:p>
        </w:tc>
        <w:tc>
          <w:tcPr>
            <w:tcW w:w="3402"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在</w:t>
            </w:r>
            <w:r>
              <w:rPr>
                <w:rFonts w:hint="eastAsia" w:cs="Times New Roman"/>
                <w:color w:val="000000"/>
                <w:kern w:val="0"/>
                <w:sz w:val="24"/>
                <w:szCs w:val="24"/>
              </w:rPr>
              <w:t>计划</w:t>
            </w:r>
            <w:r>
              <w:rPr>
                <w:rFonts w:cs="Times New Roman"/>
                <w:color w:val="000000"/>
                <w:kern w:val="0"/>
                <w:sz w:val="24"/>
                <w:szCs w:val="24"/>
              </w:rPr>
              <w:t>的建设期内完工。</w:t>
            </w:r>
          </w:p>
        </w:tc>
        <w:tc>
          <w:tcPr>
            <w:tcW w:w="4820"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实地调研后考核小组打分：</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在规定的建设期内完工得5分；</w:t>
            </w:r>
            <w:r>
              <w:rPr>
                <w:rFonts w:cs="Times New Roman"/>
                <w:color w:val="000000"/>
                <w:kern w:val="0"/>
                <w:sz w:val="24"/>
                <w:szCs w:val="24"/>
              </w:rPr>
              <w:br w:type="textWrapping"/>
            </w:r>
            <w:r>
              <w:rPr>
                <w:rFonts w:cs="Times New Roman"/>
                <w:color w:val="000000"/>
                <w:kern w:val="0"/>
                <w:sz w:val="24"/>
                <w:szCs w:val="24"/>
              </w:rPr>
              <w:t>每提前10天完工另加0.5分；</w:t>
            </w:r>
            <w:r>
              <w:rPr>
                <w:rFonts w:cs="Times New Roman"/>
                <w:color w:val="000000"/>
                <w:kern w:val="0"/>
                <w:sz w:val="24"/>
                <w:szCs w:val="24"/>
              </w:rPr>
              <w:br w:type="textWrapping"/>
            </w:r>
            <w:r>
              <w:rPr>
                <w:rFonts w:cs="Times New Roman"/>
                <w:color w:val="000000"/>
                <w:kern w:val="0"/>
                <w:sz w:val="24"/>
                <w:szCs w:val="24"/>
              </w:rPr>
              <w:t>因</w:t>
            </w:r>
            <w:r>
              <w:rPr>
                <w:rFonts w:hint="eastAsia" w:cs="Times New Roman"/>
                <w:color w:val="000000"/>
                <w:kern w:val="0"/>
                <w:sz w:val="24"/>
                <w:szCs w:val="24"/>
              </w:rPr>
              <w:t>项目公司</w:t>
            </w:r>
            <w:r>
              <w:rPr>
                <w:rFonts w:cs="Times New Roman"/>
                <w:color w:val="000000"/>
                <w:kern w:val="0"/>
                <w:sz w:val="24"/>
                <w:szCs w:val="24"/>
              </w:rPr>
              <w:t>原因未能在规定的建设期内完工，每延迟10</w:t>
            </w:r>
            <w:r>
              <w:rPr>
                <w:rFonts w:hint="eastAsia" w:cs="Times New Roman"/>
                <w:color w:val="000000"/>
                <w:kern w:val="0"/>
                <w:sz w:val="24"/>
                <w:szCs w:val="24"/>
              </w:rPr>
              <w:t>天</w:t>
            </w:r>
            <w:r>
              <w:rPr>
                <w:rFonts w:cs="Times New Roman"/>
                <w:color w:val="000000"/>
                <w:kern w:val="0"/>
                <w:sz w:val="24"/>
                <w:szCs w:val="24"/>
              </w:rPr>
              <w:t>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5"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6"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安全生产</w:t>
            </w:r>
          </w:p>
        </w:tc>
        <w:tc>
          <w:tcPr>
            <w:tcW w:w="1418"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评价是否建立相关制度，落实安全生产相关规定</w:t>
            </w:r>
          </w:p>
        </w:tc>
        <w:tc>
          <w:tcPr>
            <w:tcW w:w="850"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5</w:t>
            </w:r>
          </w:p>
        </w:tc>
        <w:tc>
          <w:tcPr>
            <w:tcW w:w="3402"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不发生重大安全事故。</w:t>
            </w:r>
          </w:p>
        </w:tc>
        <w:tc>
          <w:tcPr>
            <w:tcW w:w="4820"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实地调研后考核小组打分：</w:t>
            </w:r>
          </w:p>
          <w:p>
            <w:pPr>
              <w:widowControl/>
              <w:spacing w:line="240" w:lineRule="auto"/>
              <w:ind w:firstLine="0" w:firstLineChars="0"/>
              <w:rPr>
                <w:rFonts w:cs="Times New Roman"/>
                <w:color w:val="000000"/>
                <w:kern w:val="0"/>
                <w:sz w:val="24"/>
                <w:szCs w:val="24"/>
              </w:rPr>
            </w:pPr>
            <w:r>
              <w:rPr>
                <w:rFonts w:hint="eastAsia" w:cs="Times New Roman"/>
                <w:color w:val="000000"/>
                <w:kern w:val="0"/>
                <w:sz w:val="24"/>
                <w:szCs w:val="24"/>
              </w:rPr>
              <w:t>经安检行政部门认定的安全生产责任事故：一般事故（造成3人以下死亡的），扣</w:t>
            </w:r>
            <w:r>
              <w:rPr>
                <w:rFonts w:cs="Times New Roman"/>
                <w:color w:val="000000"/>
                <w:kern w:val="0"/>
                <w:sz w:val="24"/>
                <w:szCs w:val="24"/>
              </w:rPr>
              <w:t>2</w:t>
            </w:r>
            <w:r>
              <w:rPr>
                <w:rFonts w:hint="eastAsia" w:cs="Times New Roman"/>
                <w:color w:val="000000"/>
                <w:kern w:val="0"/>
                <w:sz w:val="24"/>
                <w:szCs w:val="24"/>
              </w:rPr>
              <w:t>分，扣完为止；一旦发生较大事故及以上扣</w:t>
            </w:r>
            <w:r>
              <w:rPr>
                <w:rFonts w:cs="Times New Roman"/>
                <w:color w:val="000000"/>
                <w:kern w:val="0"/>
                <w:sz w:val="24"/>
                <w:szCs w:val="24"/>
              </w:rPr>
              <w:t>5</w:t>
            </w:r>
            <w:r>
              <w:rPr>
                <w:rFonts w:hint="eastAsia" w:cs="Times New Roman"/>
                <w:color w:val="000000"/>
                <w:kern w:val="0"/>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5"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6"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环境保护及文明施工</w:t>
            </w:r>
          </w:p>
        </w:tc>
        <w:tc>
          <w:tcPr>
            <w:tcW w:w="1418"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评价是否按照文明施工要求进行施工</w:t>
            </w:r>
          </w:p>
        </w:tc>
        <w:tc>
          <w:tcPr>
            <w:tcW w:w="850"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5</w:t>
            </w:r>
          </w:p>
        </w:tc>
        <w:tc>
          <w:tcPr>
            <w:tcW w:w="3402"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1、施工过程中落实文明施工规范要求。</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2、建设过程中未因文明施工被行业主管部门行政处罚。</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3.施工过程中落实水土保持方案、环境影响报告中的相关评价要求。</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4.建设过程中未因环境保护问题被相关主管部门行政处罚。</w:t>
            </w:r>
          </w:p>
        </w:tc>
        <w:tc>
          <w:tcPr>
            <w:tcW w:w="4820"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实地调研后考核小组打分：</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因</w:t>
            </w:r>
            <w:r>
              <w:rPr>
                <w:rFonts w:hint="eastAsia" w:cs="Times New Roman"/>
                <w:color w:val="000000"/>
                <w:kern w:val="0"/>
                <w:sz w:val="24"/>
                <w:szCs w:val="24"/>
              </w:rPr>
              <w:t>社会资本</w:t>
            </w:r>
            <w:r>
              <w:rPr>
                <w:rFonts w:cs="Times New Roman"/>
                <w:color w:val="000000"/>
                <w:kern w:val="0"/>
                <w:sz w:val="24"/>
                <w:szCs w:val="24"/>
              </w:rPr>
              <w:t>原因被行业主管部门、实施机构处罚的：每次扣1分。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5"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6"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应急处置</w:t>
            </w:r>
          </w:p>
        </w:tc>
        <w:tc>
          <w:tcPr>
            <w:tcW w:w="1418"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评价</w:t>
            </w:r>
            <w:r>
              <w:rPr>
                <w:rFonts w:hint="eastAsia" w:cs="Times New Roman"/>
                <w:color w:val="000000"/>
                <w:kern w:val="0"/>
                <w:sz w:val="24"/>
                <w:szCs w:val="24"/>
              </w:rPr>
              <w:t>社会资本</w:t>
            </w:r>
            <w:r>
              <w:rPr>
                <w:rFonts w:cs="Times New Roman"/>
                <w:color w:val="000000"/>
                <w:kern w:val="0"/>
                <w:sz w:val="24"/>
                <w:szCs w:val="24"/>
              </w:rPr>
              <w:t>应急处置制度及</w:t>
            </w:r>
          </w:p>
        </w:tc>
        <w:tc>
          <w:tcPr>
            <w:tcW w:w="850"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5</w:t>
            </w:r>
          </w:p>
        </w:tc>
        <w:tc>
          <w:tcPr>
            <w:tcW w:w="3402"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1、按照要求设置应急处理制度及相关预案。</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2、按照要求进行应急处置演练。</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3、按相关法律法规及自治区政府要求，及时组织应急救援，处理和应对项目工程范围内的突发事件。</w:t>
            </w:r>
          </w:p>
        </w:tc>
        <w:tc>
          <w:tcPr>
            <w:tcW w:w="4820"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实地调研后考核小组打分：</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应急处理制度不健全，无应急预案，超过整改要求的整改期未能完成整改或整改不合格的：扣2分。</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未按照要求进行应急处置演练的，超过整改要求的整改期未能完成整改或整改不合格的：扣2分。</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未及时按规定处理项目工程范围内的突发事件的，超过整改要求的整改期未能完成整改或整改不合格的，扣5分。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5"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6"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成本控制</w:t>
            </w:r>
          </w:p>
        </w:tc>
        <w:tc>
          <w:tcPr>
            <w:tcW w:w="1418"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评价项目成本管理与控制</w:t>
            </w:r>
            <w:r>
              <w:rPr>
                <w:rFonts w:hint="eastAsia" w:cs="Times New Roman"/>
                <w:color w:val="000000"/>
                <w:kern w:val="0"/>
                <w:sz w:val="24"/>
                <w:szCs w:val="24"/>
              </w:rPr>
              <w:t>成果</w:t>
            </w:r>
            <w:r>
              <w:rPr>
                <w:rFonts w:cs="Times New Roman"/>
                <w:color w:val="000000"/>
                <w:kern w:val="0"/>
                <w:sz w:val="24"/>
                <w:szCs w:val="24"/>
              </w:rPr>
              <w:t>。</w:t>
            </w:r>
          </w:p>
        </w:tc>
        <w:tc>
          <w:tcPr>
            <w:tcW w:w="850"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10</w:t>
            </w:r>
          </w:p>
        </w:tc>
        <w:tc>
          <w:tcPr>
            <w:tcW w:w="3402" w:type="dxa"/>
            <w:shd w:val="clear" w:color="auto" w:fill="auto"/>
            <w:vAlign w:val="center"/>
          </w:tcPr>
          <w:p>
            <w:pPr>
              <w:widowControl/>
              <w:spacing w:line="240" w:lineRule="auto"/>
              <w:ind w:firstLine="0" w:firstLineChars="0"/>
              <w:rPr>
                <w:rFonts w:cs="Times New Roman"/>
                <w:color w:val="000000"/>
                <w:kern w:val="0"/>
                <w:sz w:val="24"/>
                <w:szCs w:val="24"/>
              </w:rPr>
            </w:pPr>
            <w:r>
              <w:rPr>
                <w:rFonts w:hint="eastAsia" w:cs="Times New Roman"/>
                <w:color w:val="000000"/>
                <w:kern w:val="0"/>
                <w:sz w:val="24"/>
                <w:szCs w:val="24"/>
              </w:rPr>
              <w:t>对建安工程费用、设备购置费、工程建设其他费用进行考核。计价依据为:1）国家发展和改革委员会、建设部《建设项目经济评价方法与参数》（第三版）（发改投资〔20</w:t>
            </w:r>
            <w:r>
              <w:rPr>
                <w:rFonts w:cs="Times New Roman"/>
                <w:color w:val="000000"/>
                <w:kern w:val="0"/>
                <w:sz w:val="24"/>
                <w:szCs w:val="24"/>
              </w:rPr>
              <w:t>0</w:t>
            </w:r>
            <w:r>
              <w:rPr>
                <w:rFonts w:hint="eastAsia" w:cs="Times New Roman"/>
                <w:color w:val="000000"/>
                <w:kern w:val="0"/>
                <w:sz w:val="24"/>
                <w:szCs w:val="24"/>
              </w:rPr>
              <w:t>6〕1325号）；2）水利部《水利建设项目经济评价规范》《SL72-2013)。</w:t>
            </w:r>
          </w:p>
        </w:tc>
        <w:tc>
          <w:tcPr>
            <w:tcW w:w="4820"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实地调研后考核小组打分：</w:t>
            </w:r>
          </w:p>
          <w:p>
            <w:pPr>
              <w:widowControl/>
              <w:spacing w:line="240" w:lineRule="auto"/>
              <w:ind w:firstLine="0" w:firstLineChars="0"/>
              <w:rPr>
                <w:rFonts w:cs="Times New Roman"/>
                <w:color w:val="000000"/>
                <w:kern w:val="0"/>
                <w:sz w:val="24"/>
                <w:szCs w:val="24"/>
              </w:rPr>
            </w:pPr>
            <w:r>
              <w:rPr>
                <w:rFonts w:hint="eastAsia" w:cs="Times New Roman"/>
                <w:color w:val="000000"/>
                <w:kern w:val="0"/>
                <w:sz w:val="24"/>
                <w:szCs w:val="24"/>
              </w:rPr>
              <w:t>1、建设工程费用中不得无理由且未经审核超过概算批复，每超过10</w:t>
            </w:r>
            <w:r>
              <w:rPr>
                <w:rFonts w:cs="Times New Roman"/>
                <w:color w:val="000000"/>
                <w:kern w:val="0"/>
                <w:sz w:val="24"/>
                <w:szCs w:val="24"/>
              </w:rPr>
              <w:t>%</w:t>
            </w:r>
            <w:r>
              <w:rPr>
                <w:rFonts w:hint="eastAsia" w:cs="Times New Roman"/>
                <w:color w:val="000000"/>
                <w:kern w:val="0"/>
                <w:sz w:val="24"/>
                <w:szCs w:val="24"/>
              </w:rPr>
              <w:t>扣4分；2、设备购置费不得无理由且未经审核超过概算批复，每超过10%扣1分；3、工程建设其他费用中不得无理由且未经审核超过概算批复，每超过10%扣1分。本项扣分最高扣1</w:t>
            </w:r>
            <w:r>
              <w:rPr>
                <w:rFonts w:cs="Times New Roman"/>
                <w:color w:val="000000"/>
                <w:kern w:val="0"/>
                <w:sz w:val="24"/>
                <w:szCs w:val="24"/>
              </w:rPr>
              <w:t>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5"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6"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工程款支付进度</w:t>
            </w:r>
          </w:p>
        </w:tc>
        <w:tc>
          <w:tcPr>
            <w:tcW w:w="1418"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评价项目建设工程款项支付是否合规</w:t>
            </w:r>
          </w:p>
        </w:tc>
        <w:tc>
          <w:tcPr>
            <w:tcW w:w="850"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10</w:t>
            </w:r>
          </w:p>
        </w:tc>
        <w:tc>
          <w:tcPr>
            <w:tcW w:w="3402"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工程款支付有是否完整的审批程序和手续并且符合项目预算或合同规定用途</w:t>
            </w:r>
          </w:p>
        </w:tc>
        <w:tc>
          <w:tcPr>
            <w:tcW w:w="4820"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实地调研后考核小组打分：</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工程款支付有完整的审批程序和手续得5分；符合项目预算或合同规定用途得5分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restart"/>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效果</w:t>
            </w:r>
          </w:p>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(10分)</w:t>
            </w:r>
          </w:p>
        </w:tc>
        <w:tc>
          <w:tcPr>
            <w:tcW w:w="1275" w:type="dxa"/>
            <w:vMerge w:val="restart"/>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社会影响</w:t>
            </w:r>
            <w:r>
              <w:rPr>
                <w:rFonts w:cs="Times New Roman"/>
                <w:color w:val="000000"/>
                <w:kern w:val="0"/>
                <w:sz w:val="24"/>
                <w:szCs w:val="24"/>
              </w:rPr>
              <w:br w:type="textWrapping"/>
            </w:r>
            <w:r>
              <w:rPr>
                <w:rFonts w:cs="Times New Roman"/>
                <w:color w:val="000000"/>
                <w:kern w:val="0"/>
                <w:sz w:val="24"/>
                <w:szCs w:val="24"/>
              </w:rPr>
              <w:t>（3分）</w:t>
            </w:r>
          </w:p>
        </w:tc>
        <w:tc>
          <w:tcPr>
            <w:tcW w:w="1276"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社会荣誉</w:t>
            </w:r>
          </w:p>
        </w:tc>
        <w:tc>
          <w:tcPr>
            <w:tcW w:w="1418"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评价项目获得的社会荣誉情况</w:t>
            </w:r>
          </w:p>
        </w:tc>
        <w:tc>
          <w:tcPr>
            <w:tcW w:w="850" w:type="dxa"/>
            <w:shd w:val="clear" w:color="auto" w:fill="auto"/>
            <w:noWrap/>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2</w:t>
            </w:r>
          </w:p>
        </w:tc>
        <w:tc>
          <w:tcPr>
            <w:tcW w:w="3402"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获得县（区）级及以上部门颁发的奖项或获得本级或以上级别政府表彰、奖励或被当地或国内主流媒体（网络、报纸）公开表扬、宣传的，酌情进行加分。</w:t>
            </w:r>
          </w:p>
        </w:tc>
        <w:tc>
          <w:tcPr>
            <w:tcW w:w="4820"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实地调研后考核小组打分：</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获得市级及以上部门颁发的奖项的：3分；</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获得县或以上级别政府表彰、奖励的：2分；</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被当地或国内主流媒体（网络、报纸）公开表扬、宣传的：1分。</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本项最高得3分。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5"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6"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重大诉讼、公众舆情与群体性事件</w:t>
            </w:r>
          </w:p>
        </w:tc>
        <w:tc>
          <w:tcPr>
            <w:tcW w:w="1418"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评价项目是否发生具有重大社会影响的其他情况</w:t>
            </w:r>
          </w:p>
        </w:tc>
        <w:tc>
          <w:tcPr>
            <w:tcW w:w="850" w:type="dxa"/>
            <w:shd w:val="clear" w:color="auto" w:fill="auto"/>
            <w:noWrap/>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1</w:t>
            </w:r>
          </w:p>
        </w:tc>
        <w:tc>
          <w:tcPr>
            <w:tcW w:w="3402"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不发生重大诉讼、公众舆情与群体性事件，影响项目按期竣工。</w:t>
            </w:r>
          </w:p>
        </w:tc>
        <w:tc>
          <w:tcPr>
            <w:tcW w:w="4820" w:type="dxa"/>
            <w:shd w:val="clear" w:color="auto" w:fill="auto"/>
            <w:vAlign w:val="center"/>
          </w:tcPr>
          <w:p>
            <w:pPr>
              <w:widowControl/>
              <w:spacing w:line="240" w:lineRule="auto"/>
              <w:ind w:firstLine="0" w:firstLineChars="0"/>
              <w:rPr>
                <w:rFonts w:cs="Times New Roman"/>
                <w:color w:val="000000"/>
                <w:kern w:val="0"/>
                <w:sz w:val="24"/>
                <w:szCs w:val="24"/>
              </w:rPr>
            </w:pPr>
            <w:r>
              <w:rPr>
                <w:rFonts w:hint="eastAsia" w:cs="Times New Roman"/>
                <w:color w:val="000000"/>
                <w:kern w:val="0"/>
                <w:sz w:val="24"/>
                <w:szCs w:val="24"/>
              </w:rPr>
              <w:t>实地调研后考核小组打分：</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因</w:t>
            </w:r>
            <w:r>
              <w:rPr>
                <w:rFonts w:hint="eastAsia" w:cs="Times New Roman"/>
                <w:color w:val="000000"/>
                <w:kern w:val="0"/>
                <w:sz w:val="24"/>
                <w:szCs w:val="24"/>
              </w:rPr>
              <w:t>社会资本</w:t>
            </w:r>
            <w:r>
              <w:rPr>
                <w:rFonts w:cs="Times New Roman"/>
                <w:color w:val="000000"/>
                <w:kern w:val="0"/>
                <w:sz w:val="24"/>
                <w:szCs w:val="24"/>
              </w:rPr>
              <w:t>原因，引发重大诉讼、公众舆情与群体性事件的，超过整改要求的整改期未能完成整改或整改不合格的，每延迟一天扣0.2分。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5"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生态影响</w:t>
            </w:r>
            <w:r>
              <w:rPr>
                <w:rFonts w:cs="Times New Roman"/>
                <w:color w:val="000000"/>
                <w:kern w:val="0"/>
                <w:sz w:val="24"/>
                <w:szCs w:val="24"/>
              </w:rPr>
              <w:br w:type="textWrapping"/>
            </w:r>
            <w:r>
              <w:rPr>
                <w:rFonts w:cs="Times New Roman"/>
                <w:color w:val="000000"/>
                <w:kern w:val="0"/>
                <w:sz w:val="24"/>
                <w:szCs w:val="24"/>
              </w:rPr>
              <w:t>（2分）</w:t>
            </w:r>
          </w:p>
        </w:tc>
        <w:tc>
          <w:tcPr>
            <w:tcW w:w="1276"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环保处罚</w:t>
            </w:r>
          </w:p>
        </w:tc>
        <w:tc>
          <w:tcPr>
            <w:tcW w:w="1418"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评价项目是否发生环保处罚事项</w:t>
            </w:r>
          </w:p>
        </w:tc>
        <w:tc>
          <w:tcPr>
            <w:tcW w:w="850" w:type="dxa"/>
            <w:shd w:val="clear" w:color="auto" w:fill="auto"/>
            <w:noWrap/>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2</w:t>
            </w:r>
          </w:p>
        </w:tc>
        <w:tc>
          <w:tcPr>
            <w:tcW w:w="3402"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不发生环保处罚事项。</w:t>
            </w:r>
          </w:p>
        </w:tc>
        <w:tc>
          <w:tcPr>
            <w:tcW w:w="4820"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实地调研后考核小组打分：</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因</w:t>
            </w:r>
            <w:r>
              <w:rPr>
                <w:rFonts w:hint="eastAsia" w:cs="Times New Roman"/>
                <w:color w:val="000000"/>
                <w:kern w:val="0"/>
                <w:sz w:val="24"/>
                <w:szCs w:val="24"/>
              </w:rPr>
              <w:t>社会资本</w:t>
            </w:r>
            <w:r>
              <w:rPr>
                <w:rFonts w:cs="Times New Roman"/>
                <w:color w:val="000000"/>
                <w:kern w:val="0"/>
                <w:sz w:val="24"/>
                <w:szCs w:val="24"/>
              </w:rPr>
              <w:t>原因发生环保处罚事件的：发生一件扣0.5分。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5" w:type="dxa"/>
            <w:vMerge w:val="restart"/>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可持续性</w:t>
            </w:r>
            <w:r>
              <w:rPr>
                <w:rFonts w:cs="Times New Roman"/>
                <w:color w:val="000000"/>
                <w:kern w:val="0"/>
                <w:sz w:val="24"/>
                <w:szCs w:val="24"/>
              </w:rPr>
              <w:br w:type="textWrapping"/>
            </w:r>
            <w:r>
              <w:rPr>
                <w:rFonts w:cs="Times New Roman"/>
                <w:color w:val="000000"/>
                <w:kern w:val="0"/>
                <w:sz w:val="24"/>
                <w:szCs w:val="24"/>
              </w:rPr>
              <w:t>（2分）</w:t>
            </w:r>
          </w:p>
        </w:tc>
        <w:tc>
          <w:tcPr>
            <w:tcW w:w="1276"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运营准备</w:t>
            </w:r>
          </w:p>
        </w:tc>
        <w:tc>
          <w:tcPr>
            <w:tcW w:w="1418"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评价是否做好项目运营准备工作</w:t>
            </w:r>
          </w:p>
        </w:tc>
        <w:tc>
          <w:tcPr>
            <w:tcW w:w="850" w:type="dxa"/>
            <w:shd w:val="clear" w:color="auto" w:fill="auto"/>
            <w:noWrap/>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1</w:t>
            </w:r>
          </w:p>
        </w:tc>
        <w:tc>
          <w:tcPr>
            <w:tcW w:w="3402"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运营团队组建及时，为运营维护做好充足准备。</w:t>
            </w:r>
          </w:p>
        </w:tc>
        <w:tc>
          <w:tcPr>
            <w:tcW w:w="4820"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实地调研后考核小组打分：</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能够及时组建运营团队、做好运营维护准备工作的得3分；</w:t>
            </w:r>
            <w:r>
              <w:rPr>
                <w:rFonts w:cs="Times New Roman"/>
                <w:color w:val="000000"/>
                <w:kern w:val="0"/>
                <w:sz w:val="24"/>
                <w:szCs w:val="24"/>
              </w:rPr>
              <w:br w:type="textWrapping"/>
            </w:r>
            <w:r>
              <w:rPr>
                <w:rFonts w:cs="Times New Roman"/>
                <w:color w:val="000000"/>
                <w:kern w:val="0"/>
                <w:sz w:val="24"/>
                <w:szCs w:val="24"/>
              </w:rPr>
              <w:t>未及时组建运营团队、做好运营维护准备工作，应按要求进行整改，超过整改要求的整改期未能完成整改或整改不合格的，每延迟一天扣0.2分。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5"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6"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潜在风险及沟通协调机制</w:t>
            </w:r>
          </w:p>
        </w:tc>
        <w:tc>
          <w:tcPr>
            <w:tcW w:w="1418"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评价是否识别潜在风险及建立沟通协调机制</w:t>
            </w:r>
          </w:p>
        </w:tc>
        <w:tc>
          <w:tcPr>
            <w:tcW w:w="850" w:type="dxa"/>
            <w:shd w:val="clear" w:color="auto" w:fill="auto"/>
            <w:noWrap/>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1</w:t>
            </w:r>
          </w:p>
        </w:tc>
        <w:tc>
          <w:tcPr>
            <w:tcW w:w="3402"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对运营维护期风险识别充分，提前做好风险准备工作，建立有效、及时的沟通协调机制。</w:t>
            </w:r>
          </w:p>
        </w:tc>
        <w:tc>
          <w:tcPr>
            <w:tcW w:w="4820"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实地调研后考核小组打分：</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能够提前对运营期风险识别、做好风险准备工作，沟通协调机制建立健全得2分；</w:t>
            </w:r>
            <w:r>
              <w:rPr>
                <w:rFonts w:cs="Times New Roman"/>
                <w:color w:val="000000"/>
                <w:kern w:val="0"/>
                <w:sz w:val="24"/>
                <w:szCs w:val="24"/>
              </w:rPr>
              <w:br w:type="textWrapping"/>
            </w:r>
            <w:r>
              <w:rPr>
                <w:rFonts w:cs="Times New Roman"/>
                <w:color w:val="000000"/>
                <w:kern w:val="0"/>
                <w:sz w:val="24"/>
                <w:szCs w:val="24"/>
              </w:rPr>
              <w:t>未提前对运营期风险识别、做好风险准备工作，沟通协调机制建立不健全，应按要求进行整改，超过整改要求的整改期未能完成整改或整改不合格的，每延迟一天扣0.2分。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5" w:type="dxa"/>
            <w:vMerge w:val="restart"/>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满意度</w:t>
            </w:r>
            <w:r>
              <w:rPr>
                <w:rFonts w:cs="Times New Roman"/>
                <w:color w:val="000000"/>
                <w:kern w:val="0"/>
                <w:sz w:val="24"/>
                <w:szCs w:val="24"/>
              </w:rPr>
              <w:br w:type="textWrapping"/>
            </w:r>
            <w:r>
              <w:rPr>
                <w:rFonts w:cs="Times New Roman"/>
                <w:color w:val="000000"/>
                <w:kern w:val="0"/>
                <w:sz w:val="24"/>
                <w:szCs w:val="24"/>
              </w:rPr>
              <w:t>（3分）</w:t>
            </w:r>
          </w:p>
        </w:tc>
        <w:tc>
          <w:tcPr>
            <w:tcW w:w="1276"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政府相关部门满意度</w:t>
            </w:r>
          </w:p>
        </w:tc>
        <w:tc>
          <w:tcPr>
            <w:tcW w:w="1418"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评价政府相关部门对</w:t>
            </w:r>
            <w:r>
              <w:rPr>
                <w:rFonts w:hint="eastAsia" w:cs="Times New Roman"/>
                <w:color w:val="000000"/>
                <w:kern w:val="0"/>
                <w:sz w:val="24"/>
                <w:szCs w:val="24"/>
              </w:rPr>
              <w:t>社会资本</w:t>
            </w:r>
            <w:r>
              <w:rPr>
                <w:rFonts w:cs="Times New Roman"/>
                <w:color w:val="000000"/>
                <w:kern w:val="0"/>
                <w:sz w:val="24"/>
                <w:szCs w:val="24"/>
              </w:rPr>
              <w:t>建设产出质量和效率的满意程度</w:t>
            </w:r>
          </w:p>
        </w:tc>
        <w:tc>
          <w:tcPr>
            <w:tcW w:w="850" w:type="dxa"/>
            <w:shd w:val="clear" w:color="auto" w:fill="auto"/>
            <w:noWrap/>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1</w:t>
            </w:r>
          </w:p>
        </w:tc>
        <w:tc>
          <w:tcPr>
            <w:tcW w:w="3402"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政府相关部门对社会资本建设产出质量和效率的满意程度达到80%及以上。</w:t>
            </w:r>
          </w:p>
        </w:tc>
        <w:tc>
          <w:tcPr>
            <w:tcW w:w="4820"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实地调研后考核小组打分：</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满意率每低1%扣0.1分。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5"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6"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实施机构满意度</w:t>
            </w:r>
          </w:p>
        </w:tc>
        <w:tc>
          <w:tcPr>
            <w:tcW w:w="1418"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评价项目实施机构对</w:t>
            </w:r>
            <w:r>
              <w:rPr>
                <w:rFonts w:hint="eastAsia" w:cs="Times New Roman"/>
                <w:color w:val="000000"/>
                <w:kern w:val="0"/>
                <w:sz w:val="24"/>
                <w:szCs w:val="24"/>
              </w:rPr>
              <w:t>社会资本</w:t>
            </w:r>
            <w:r>
              <w:rPr>
                <w:rFonts w:cs="Times New Roman"/>
                <w:color w:val="000000"/>
                <w:kern w:val="0"/>
                <w:sz w:val="24"/>
                <w:szCs w:val="24"/>
              </w:rPr>
              <w:t>建设产出质量和效率的满意程度</w:t>
            </w:r>
          </w:p>
        </w:tc>
        <w:tc>
          <w:tcPr>
            <w:tcW w:w="850" w:type="dxa"/>
            <w:shd w:val="clear" w:color="auto" w:fill="auto"/>
            <w:noWrap/>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1</w:t>
            </w:r>
          </w:p>
        </w:tc>
        <w:tc>
          <w:tcPr>
            <w:tcW w:w="3402"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项目实施机构对社会资本建设产出质量和效率的满意程度达到80%及以上。</w:t>
            </w:r>
          </w:p>
        </w:tc>
        <w:tc>
          <w:tcPr>
            <w:tcW w:w="4820"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实地调研后考核小组打分：</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满意率每低1%扣0.2分。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5"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6"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社会公众（服务对象）满意度</w:t>
            </w:r>
          </w:p>
        </w:tc>
        <w:tc>
          <w:tcPr>
            <w:tcW w:w="1418"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评价社会公众（服务对象）对</w:t>
            </w:r>
            <w:r>
              <w:rPr>
                <w:rFonts w:hint="eastAsia" w:cs="Times New Roman"/>
                <w:color w:val="000000"/>
                <w:kern w:val="0"/>
                <w:sz w:val="24"/>
                <w:szCs w:val="24"/>
              </w:rPr>
              <w:t>社会资本</w:t>
            </w:r>
            <w:r>
              <w:rPr>
                <w:rFonts w:cs="Times New Roman"/>
                <w:color w:val="000000"/>
                <w:kern w:val="0"/>
                <w:sz w:val="24"/>
                <w:szCs w:val="24"/>
              </w:rPr>
              <w:t>建设产出质量和效率的满意程度</w:t>
            </w:r>
          </w:p>
        </w:tc>
        <w:tc>
          <w:tcPr>
            <w:tcW w:w="850" w:type="dxa"/>
            <w:shd w:val="clear" w:color="auto" w:fill="auto"/>
            <w:noWrap/>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1</w:t>
            </w:r>
          </w:p>
        </w:tc>
        <w:tc>
          <w:tcPr>
            <w:tcW w:w="3402"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社会公众（服务对象）对社会资本建设产出质量和效率的满意程度达到80%及以上。</w:t>
            </w:r>
          </w:p>
        </w:tc>
        <w:tc>
          <w:tcPr>
            <w:tcW w:w="4820"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实地调研后考核小组打分：</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满意率每低1%扣0.2分。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restart"/>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管理</w:t>
            </w:r>
          </w:p>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(10分)</w:t>
            </w:r>
          </w:p>
        </w:tc>
        <w:tc>
          <w:tcPr>
            <w:tcW w:w="1275" w:type="dxa"/>
            <w:vMerge w:val="restart"/>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组织管理</w:t>
            </w:r>
            <w:r>
              <w:rPr>
                <w:rFonts w:cs="Times New Roman"/>
                <w:color w:val="000000"/>
                <w:kern w:val="0"/>
                <w:sz w:val="24"/>
                <w:szCs w:val="24"/>
              </w:rPr>
              <w:br w:type="textWrapping"/>
            </w:r>
            <w:r>
              <w:rPr>
                <w:rFonts w:cs="Times New Roman"/>
                <w:color w:val="000000"/>
                <w:kern w:val="0"/>
                <w:sz w:val="24"/>
                <w:szCs w:val="24"/>
              </w:rPr>
              <w:t>（3分）</w:t>
            </w:r>
          </w:p>
        </w:tc>
        <w:tc>
          <w:tcPr>
            <w:tcW w:w="1276"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组织架构</w:t>
            </w:r>
          </w:p>
        </w:tc>
        <w:tc>
          <w:tcPr>
            <w:tcW w:w="1418"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评价项目组织架构设置合理性</w:t>
            </w:r>
          </w:p>
        </w:tc>
        <w:tc>
          <w:tcPr>
            <w:tcW w:w="850" w:type="dxa"/>
            <w:shd w:val="clear" w:color="auto" w:fill="auto"/>
            <w:noWrap/>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1</w:t>
            </w:r>
          </w:p>
        </w:tc>
        <w:tc>
          <w:tcPr>
            <w:tcW w:w="3402"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机构设置健全，管理构架清晰。</w:t>
            </w:r>
          </w:p>
        </w:tc>
        <w:tc>
          <w:tcPr>
            <w:tcW w:w="4820"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实地调研后考核小组打分：</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组织机构设置不健全，应按要求进行整改，超过整改要求的整改期未能完成整改或整改不合格的，</w:t>
            </w:r>
            <w:r>
              <w:rPr>
                <w:rFonts w:hint="eastAsia" w:cs="Times New Roman"/>
                <w:color w:val="000000"/>
                <w:kern w:val="0"/>
                <w:sz w:val="24"/>
                <w:szCs w:val="24"/>
              </w:rPr>
              <w:t>扣1</w:t>
            </w:r>
            <w:r>
              <w:rPr>
                <w:rFonts w:cs="Times New Roman"/>
                <w:color w:val="000000"/>
                <w:kern w:val="0"/>
                <w:sz w:val="24"/>
                <w:szCs w:val="24"/>
              </w:rPr>
              <w:t>分，</w:t>
            </w:r>
            <w:r>
              <w:rPr>
                <w:rFonts w:hint="eastAsia" w:cs="Times New Roman"/>
                <w:color w:val="000000"/>
                <w:kern w:val="0"/>
                <w:sz w:val="24"/>
                <w:szCs w:val="24"/>
              </w:rPr>
              <w:t>否则不扣分</w:t>
            </w:r>
            <w:r>
              <w:rPr>
                <w:rFonts w:cs="Times New Roman"/>
                <w:color w:val="000000"/>
                <w:kern w:val="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5"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6"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人员管理</w:t>
            </w:r>
          </w:p>
        </w:tc>
        <w:tc>
          <w:tcPr>
            <w:tcW w:w="1418"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评价项目人员管理合理性</w:t>
            </w:r>
          </w:p>
        </w:tc>
        <w:tc>
          <w:tcPr>
            <w:tcW w:w="850" w:type="dxa"/>
            <w:shd w:val="clear" w:color="auto" w:fill="auto"/>
            <w:noWrap/>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1</w:t>
            </w:r>
          </w:p>
        </w:tc>
        <w:tc>
          <w:tcPr>
            <w:tcW w:w="3402"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制定人员管理制度</w:t>
            </w:r>
          </w:p>
        </w:tc>
        <w:tc>
          <w:tcPr>
            <w:tcW w:w="4820"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实地调研后考核小组打分：</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人员管理制度不健全，应按要求进行整改，超过整改要求的整改期未能完成整改或整改不合格的</w:t>
            </w:r>
            <w:r>
              <w:rPr>
                <w:rFonts w:hint="eastAsia" w:cs="Times New Roman"/>
                <w:color w:val="000000"/>
                <w:kern w:val="0"/>
                <w:sz w:val="24"/>
                <w:szCs w:val="24"/>
              </w:rPr>
              <w:t>：扣1分。否则不扣分。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5"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6"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决策审批流程</w:t>
            </w:r>
          </w:p>
        </w:tc>
        <w:tc>
          <w:tcPr>
            <w:tcW w:w="1418"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评价项目决策审批流程合理性</w:t>
            </w:r>
          </w:p>
        </w:tc>
        <w:tc>
          <w:tcPr>
            <w:tcW w:w="850" w:type="dxa"/>
            <w:shd w:val="clear" w:color="auto" w:fill="auto"/>
            <w:noWrap/>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1</w:t>
            </w:r>
          </w:p>
        </w:tc>
        <w:tc>
          <w:tcPr>
            <w:tcW w:w="3402"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制定</w:t>
            </w:r>
            <w:r>
              <w:rPr>
                <w:rFonts w:hint="eastAsia" w:cs="Times New Roman"/>
                <w:color w:val="000000"/>
                <w:kern w:val="0"/>
                <w:sz w:val="24"/>
                <w:szCs w:val="24"/>
              </w:rPr>
              <w:t>社会资本</w:t>
            </w:r>
            <w:r>
              <w:rPr>
                <w:rFonts w:cs="Times New Roman"/>
                <w:color w:val="000000"/>
                <w:kern w:val="0"/>
                <w:sz w:val="24"/>
                <w:szCs w:val="24"/>
              </w:rPr>
              <w:t>决策审批制度体系，做到逻辑清晰、流程明确。</w:t>
            </w:r>
          </w:p>
        </w:tc>
        <w:tc>
          <w:tcPr>
            <w:tcW w:w="4820"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实地调研后考核小组打分：</w:t>
            </w:r>
          </w:p>
          <w:p>
            <w:pPr>
              <w:widowControl/>
              <w:spacing w:line="240" w:lineRule="auto"/>
              <w:ind w:firstLine="0" w:firstLineChars="0"/>
              <w:rPr>
                <w:rFonts w:cs="Times New Roman"/>
                <w:color w:val="000000"/>
                <w:kern w:val="0"/>
                <w:sz w:val="24"/>
                <w:szCs w:val="24"/>
              </w:rPr>
            </w:pPr>
            <w:r>
              <w:rPr>
                <w:rFonts w:hint="eastAsia" w:cs="Times New Roman"/>
                <w:color w:val="000000"/>
                <w:kern w:val="0"/>
                <w:sz w:val="24"/>
                <w:szCs w:val="24"/>
              </w:rPr>
              <w:t>决策审批制度不健全，应按要求进行整改，超过整改通知书要求的整改期未能完成整改或整改不合格的：扣1分，否则不扣分。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5" w:type="dxa"/>
            <w:vMerge w:val="restart"/>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资金管理</w:t>
            </w:r>
            <w:r>
              <w:rPr>
                <w:rFonts w:cs="Times New Roman"/>
                <w:color w:val="000000"/>
                <w:kern w:val="0"/>
                <w:sz w:val="24"/>
                <w:szCs w:val="24"/>
              </w:rPr>
              <w:br w:type="textWrapping"/>
            </w:r>
            <w:r>
              <w:rPr>
                <w:rFonts w:cs="Times New Roman"/>
                <w:color w:val="000000"/>
                <w:kern w:val="0"/>
                <w:sz w:val="24"/>
                <w:szCs w:val="24"/>
              </w:rPr>
              <w:t>（4分）</w:t>
            </w:r>
          </w:p>
        </w:tc>
        <w:tc>
          <w:tcPr>
            <w:tcW w:w="1276"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资本金</w:t>
            </w:r>
          </w:p>
        </w:tc>
        <w:tc>
          <w:tcPr>
            <w:tcW w:w="1418"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评价资本金到位率及时性</w:t>
            </w:r>
          </w:p>
        </w:tc>
        <w:tc>
          <w:tcPr>
            <w:tcW w:w="850" w:type="dxa"/>
            <w:shd w:val="clear" w:color="auto" w:fill="auto"/>
            <w:noWrap/>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1</w:t>
            </w:r>
          </w:p>
        </w:tc>
        <w:tc>
          <w:tcPr>
            <w:tcW w:w="3402"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项目资本金按实足额到位。</w:t>
            </w:r>
          </w:p>
        </w:tc>
        <w:tc>
          <w:tcPr>
            <w:tcW w:w="4820"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实地调研后考核小组打分：</w:t>
            </w:r>
          </w:p>
          <w:p>
            <w:pPr>
              <w:widowControl/>
              <w:spacing w:line="240" w:lineRule="auto"/>
              <w:ind w:firstLine="0" w:firstLineChars="0"/>
              <w:rPr>
                <w:rFonts w:cs="Times New Roman"/>
                <w:color w:val="000000"/>
                <w:kern w:val="0"/>
                <w:sz w:val="24"/>
                <w:szCs w:val="24"/>
              </w:rPr>
            </w:pPr>
            <w:r>
              <w:rPr>
                <w:rFonts w:hint="eastAsia" w:cs="Times New Roman"/>
                <w:color w:val="000000"/>
                <w:kern w:val="0"/>
                <w:sz w:val="24"/>
                <w:szCs w:val="24"/>
              </w:rPr>
              <w:t>未足额到位影响工程进度的，每延迟</w:t>
            </w:r>
            <w:r>
              <w:rPr>
                <w:rFonts w:cs="Times New Roman"/>
                <w:color w:val="000000"/>
                <w:kern w:val="0"/>
                <w:sz w:val="24"/>
                <w:szCs w:val="24"/>
              </w:rPr>
              <w:t>10天</w:t>
            </w:r>
            <w:r>
              <w:rPr>
                <w:rFonts w:hint="eastAsia" w:cs="Times New Roman"/>
                <w:color w:val="000000"/>
                <w:kern w:val="0"/>
                <w:sz w:val="24"/>
                <w:szCs w:val="24"/>
              </w:rPr>
              <w:t>扣0.1分。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5"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6"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融资资金</w:t>
            </w:r>
          </w:p>
        </w:tc>
        <w:tc>
          <w:tcPr>
            <w:tcW w:w="1418"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评价</w:t>
            </w:r>
            <w:r>
              <w:rPr>
                <w:rFonts w:hint="eastAsia" w:cs="Times New Roman"/>
                <w:color w:val="000000"/>
                <w:kern w:val="0"/>
                <w:sz w:val="24"/>
                <w:szCs w:val="24"/>
              </w:rPr>
              <w:t>社会资本</w:t>
            </w:r>
            <w:r>
              <w:rPr>
                <w:rFonts w:cs="Times New Roman"/>
                <w:color w:val="000000"/>
                <w:kern w:val="0"/>
                <w:sz w:val="24"/>
                <w:szCs w:val="24"/>
              </w:rPr>
              <w:t>融资资金的到位率和及时性</w:t>
            </w:r>
          </w:p>
        </w:tc>
        <w:tc>
          <w:tcPr>
            <w:tcW w:w="850" w:type="dxa"/>
            <w:shd w:val="clear" w:color="auto" w:fill="auto"/>
            <w:noWrap/>
            <w:vAlign w:val="center"/>
          </w:tcPr>
          <w:p>
            <w:pPr>
              <w:widowControl/>
              <w:spacing w:line="240" w:lineRule="auto"/>
              <w:ind w:firstLine="0" w:firstLineChars="0"/>
              <w:jc w:val="center"/>
              <w:rPr>
                <w:rFonts w:cs="Times New Roman"/>
                <w:color w:val="000000"/>
                <w:kern w:val="0"/>
                <w:sz w:val="24"/>
                <w:szCs w:val="24"/>
              </w:rPr>
            </w:pPr>
            <w:r>
              <w:rPr>
                <w:rFonts w:hint="eastAsia" w:cs="Times New Roman"/>
                <w:color w:val="000000"/>
                <w:kern w:val="0"/>
                <w:sz w:val="24"/>
                <w:szCs w:val="24"/>
              </w:rPr>
              <w:t>1</w:t>
            </w:r>
          </w:p>
        </w:tc>
        <w:tc>
          <w:tcPr>
            <w:tcW w:w="3402"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项目融资资金按实足额到位。</w:t>
            </w:r>
          </w:p>
        </w:tc>
        <w:tc>
          <w:tcPr>
            <w:tcW w:w="4820"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实地调研后考核小组打分：</w:t>
            </w:r>
          </w:p>
          <w:p>
            <w:pPr>
              <w:widowControl/>
              <w:spacing w:line="240" w:lineRule="auto"/>
              <w:ind w:firstLine="0" w:firstLineChars="0"/>
              <w:rPr>
                <w:rFonts w:cs="Times New Roman"/>
                <w:color w:val="000000"/>
                <w:kern w:val="0"/>
                <w:sz w:val="24"/>
                <w:szCs w:val="24"/>
              </w:rPr>
            </w:pPr>
            <w:r>
              <w:rPr>
                <w:rFonts w:hint="eastAsia" w:cs="Times New Roman"/>
                <w:color w:val="000000"/>
                <w:kern w:val="0"/>
                <w:sz w:val="24"/>
                <w:szCs w:val="24"/>
              </w:rPr>
              <w:t>按照融资计划，每少融资10%，扣0.2分</w:t>
            </w:r>
          </w:p>
          <w:p>
            <w:pPr>
              <w:widowControl/>
              <w:spacing w:line="240" w:lineRule="auto"/>
              <w:ind w:firstLine="0" w:firstLineChars="0"/>
              <w:rPr>
                <w:rFonts w:cs="Times New Roman"/>
                <w:color w:val="000000"/>
                <w:kern w:val="0"/>
                <w:sz w:val="24"/>
                <w:szCs w:val="24"/>
              </w:rPr>
            </w:pPr>
            <w:r>
              <w:rPr>
                <w:rFonts w:hint="eastAsia" w:cs="Times New Roman"/>
                <w:color w:val="000000"/>
                <w:kern w:val="0"/>
                <w:sz w:val="24"/>
                <w:szCs w:val="24"/>
              </w:rPr>
              <w:t>未足额到位影响工程进度的，每延迟</w:t>
            </w:r>
            <w:r>
              <w:rPr>
                <w:rFonts w:cs="Times New Roman"/>
                <w:color w:val="000000"/>
                <w:kern w:val="0"/>
                <w:sz w:val="24"/>
                <w:szCs w:val="24"/>
              </w:rPr>
              <w:t>10天</w:t>
            </w:r>
            <w:r>
              <w:rPr>
                <w:rFonts w:hint="eastAsia" w:cs="Times New Roman"/>
                <w:color w:val="000000"/>
                <w:kern w:val="0"/>
                <w:sz w:val="24"/>
                <w:szCs w:val="24"/>
              </w:rPr>
              <w:t>扣0.2分。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continue"/>
            <w:vAlign w:val="center"/>
          </w:tcPr>
          <w:p>
            <w:pPr>
              <w:widowControl/>
              <w:spacing w:line="240" w:lineRule="auto"/>
              <w:ind w:firstLine="0" w:firstLineChars="0"/>
              <w:jc w:val="left"/>
              <w:rPr>
                <w:rFonts w:cs="Times New Roman"/>
                <w:color w:val="000000" w:themeColor="text1"/>
                <w:kern w:val="0"/>
                <w:sz w:val="24"/>
                <w:szCs w:val="24"/>
                <w14:textFill>
                  <w14:solidFill>
                    <w14:schemeClr w14:val="tx1"/>
                  </w14:solidFill>
                </w14:textFill>
              </w:rPr>
            </w:pPr>
          </w:p>
        </w:tc>
        <w:tc>
          <w:tcPr>
            <w:tcW w:w="1275" w:type="dxa"/>
            <w:vMerge w:val="continue"/>
            <w:vAlign w:val="center"/>
          </w:tcPr>
          <w:p>
            <w:pPr>
              <w:widowControl/>
              <w:spacing w:line="240" w:lineRule="auto"/>
              <w:ind w:firstLine="0" w:firstLineChars="0"/>
              <w:jc w:val="left"/>
              <w:rPr>
                <w:rFonts w:cs="Times New Roman"/>
                <w:color w:val="000000" w:themeColor="text1"/>
                <w:kern w:val="0"/>
                <w:sz w:val="24"/>
                <w:szCs w:val="24"/>
                <w14:textFill>
                  <w14:solidFill>
                    <w14:schemeClr w14:val="tx1"/>
                  </w14:solidFill>
                </w14:textFill>
              </w:rPr>
            </w:pPr>
          </w:p>
        </w:tc>
        <w:tc>
          <w:tcPr>
            <w:tcW w:w="1276" w:type="dxa"/>
            <w:shd w:val="clear" w:color="auto" w:fill="auto"/>
            <w:vAlign w:val="center"/>
          </w:tcPr>
          <w:p>
            <w:pPr>
              <w:widowControl/>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财政专项资金</w:t>
            </w:r>
          </w:p>
        </w:tc>
        <w:tc>
          <w:tcPr>
            <w:tcW w:w="1418" w:type="dxa"/>
            <w:shd w:val="clear" w:color="auto" w:fill="auto"/>
            <w:vAlign w:val="center"/>
          </w:tcPr>
          <w:p>
            <w:pPr>
              <w:widowControl/>
              <w:spacing w:line="240" w:lineRule="auto"/>
              <w:ind w:firstLine="0" w:firstLineChars="0"/>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评价财政专项资金</w:t>
            </w:r>
            <w:r>
              <w:rPr>
                <w:rFonts w:hint="eastAsia" w:cs="Times New Roman"/>
                <w:color w:val="000000" w:themeColor="text1"/>
                <w:kern w:val="0"/>
                <w:sz w:val="24"/>
                <w:szCs w:val="24"/>
                <w14:textFill>
                  <w14:solidFill>
                    <w14:schemeClr w14:val="tx1"/>
                  </w14:solidFill>
                </w14:textFill>
              </w:rPr>
              <w:t>使用与管理的合规性</w:t>
            </w:r>
          </w:p>
        </w:tc>
        <w:tc>
          <w:tcPr>
            <w:tcW w:w="850" w:type="dxa"/>
            <w:shd w:val="clear" w:color="auto" w:fill="auto"/>
            <w:noWrap/>
            <w:vAlign w:val="center"/>
          </w:tcPr>
          <w:p>
            <w:pPr>
              <w:widowControl/>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1</w:t>
            </w:r>
          </w:p>
        </w:tc>
        <w:tc>
          <w:tcPr>
            <w:tcW w:w="3402" w:type="dxa"/>
            <w:shd w:val="clear" w:color="auto" w:fill="auto"/>
            <w:vAlign w:val="center"/>
          </w:tcPr>
          <w:p>
            <w:pPr>
              <w:widowControl/>
              <w:spacing w:line="240" w:lineRule="auto"/>
              <w:ind w:firstLine="0" w:firstLineChars="0"/>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高效节水农业项目专项资金使用是否按照相关政策规定的用途使用，是否存在违规使用及管理问题，是否符合相关的财务管理制度。</w:t>
            </w:r>
          </w:p>
        </w:tc>
        <w:tc>
          <w:tcPr>
            <w:tcW w:w="4820" w:type="dxa"/>
            <w:shd w:val="clear" w:color="auto" w:fill="auto"/>
            <w:vAlign w:val="center"/>
          </w:tcPr>
          <w:p>
            <w:pPr>
              <w:widowControl/>
              <w:spacing w:line="240" w:lineRule="auto"/>
              <w:ind w:firstLine="0" w:firstLineChars="0"/>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实地调研后考核小组打分：</w:t>
            </w:r>
          </w:p>
          <w:p>
            <w:pPr>
              <w:widowControl/>
              <w:spacing w:line="240" w:lineRule="auto"/>
              <w:ind w:firstLine="0" w:firstLineChars="0"/>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①是否按照政策规定使用；②是否违规购买、更新小汽车，新建办公楼、培训中心，用于“楼堂馆所”“政绩工程”“形象工程”等；③是否存在被媒体公开披露及中央和省级领导批示并查证实属违规的问题；④是否符合国家财经法规和财务管理制度以及有关专项资金管理办法的规定。</w:t>
            </w:r>
          </w:p>
          <w:p>
            <w:pPr>
              <w:widowControl/>
              <w:spacing w:line="240" w:lineRule="auto"/>
              <w:ind w:firstLine="0" w:firstLineChars="0"/>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以上</w:t>
            </w:r>
            <w:r>
              <w:rPr>
                <w:rFonts w:hint="eastAsia" w:cs="Times New Roman"/>
                <w:color w:val="000000" w:themeColor="text1"/>
                <w:kern w:val="0"/>
                <w:sz w:val="24"/>
                <w:szCs w:val="24"/>
                <w14:textFill>
                  <w14:solidFill>
                    <w14:schemeClr w14:val="tx1"/>
                  </w14:solidFill>
                </w14:textFill>
              </w:rPr>
              <w:t>情况若存在其中任何一项，扣1分。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continue"/>
            <w:vAlign w:val="center"/>
          </w:tcPr>
          <w:p>
            <w:pPr>
              <w:widowControl/>
              <w:spacing w:line="240" w:lineRule="auto"/>
              <w:ind w:firstLine="0" w:firstLineChars="0"/>
              <w:jc w:val="left"/>
              <w:rPr>
                <w:rFonts w:cs="Times New Roman"/>
                <w:color w:val="000000" w:themeColor="text1"/>
                <w:kern w:val="0"/>
                <w:sz w:val="24"/>
                <w:szCs w:val="24"/>
                <w14:textFill>
                  <w14:solidFill>
                    <w14:schemeClr w14:val="tx1"/>
                  </w14:solidFill>
                </w14:textFill>
              </w:rPr>
            </w:pPr>
          </w:p>
        </w:tc>
        <w:tc>
          <w:tcPr>
            <w:tcW w:w="1275" w:type="dxa"/>
            <w:vMerge w:val="continue"/>
            <w:vAlign w:val="center"/>
          </w:tcPr>
          <w:p>
            <w:pPr>
              <w:widowControl/>
              <w:spacing w:line="240" w:lineRule="auto"/>
              <w:ind w:firstLine="0" w:firstLineChars="0"/>
              <w:jc w:val="left"/>
              <w:rPr>
                <w:rFonts w:cs="Times New Roman"/>
                <w:color w:val="000000" w:themeColor="text1"/>
                <w:kern w:val="0"/>
                <w:sz w:val="24"/>
                <w:szCs w:val="24"/>
                <w14:textFill>
                  <w14:solidFill>
                    <w14:schemeClr w14:val="tx1"/>
                  </w14:solidFill>
                </w14:textFill>
              </w:rPr>
            </w:pPr>
          </w:p>
        </w:tc>
        <w:tc>
          <w:tcPr>
            <w:tcW w:w="1276" w:type="dxa"/>
            <w:shd w:val="clear" w:color="auto" w:fill="auto"/>
            <w:vAlign w:val="center"/>
          </w:tcPr>
          <w:p>
            <w:pPr>
              <w:widowControl/>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专项债券资金</w:t>
            </w:r>
          </w:p>
        </w:tc>
        <w:tc>
          <w:tcPr>
            <w:tcW w:w="1418" w:type="dxa"/>
            <w:shd w:val="clear" w:color="auto" w:fill="auto"/>
            <w:vAlign w:val="center"/>
          </w:tcPr>
          <w:p>
            <w:pPr>
              <w:widowControl/>
              <w:spacing w:line="240" w:lineRule="auto"/>
              <w:ind w:firstLine="0" w:firstLineChars="0"/>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评价</w:t>
            </w:r>
            <w:r>
              <w:rPr>
                <w:rFonts w:hint="eastAsia" w:cs="Times New Roman"/>
                <w:color w:val="000000" w:themeColor="text1"/>
                <w:kern w:val="0"/>
                <w:sz w:val="24"/>
                <w:szCs w:val="24"/>
                <w14:textFill>
                  <w14:solidFill>
                    <w14:schemeClr w14:val="tx1"/>
                  </w14:solidFill>
                </w14:textFill>
              </w:rPr>
              <w:t>专项债券</w:t>
            </w:r>
            <w:r>
              <w:rPr>
                <w:rFonts w:cs="Times New Roman"/>
                <w:color w:val="000000" w:themeColor="text1"/>
                <w:kern w:val="0"/>
                <w:sz w:val="24"/>
                <w:szCs w:val="24"/>
                <w14:textFill>
                  <w14:solidFill>
                    <w14:schemeClr w14:val="tx1"/>
                  </w14:solidFill>
                </w14:textFill>
              </w:rPr>
              <w:t>资金</w:t>
            </w:r>
            <w:r>
              <w:rPr>
                <w:rFonts w:hint="eastAsia" w:cs="Times New Roman"/>
                <w:color w:val="000000" w:themeColor="text1"/>
                <w:kern w:val="0"/>
                <w:sz w:val="24"/>
                <w:szCs w:val="24"/>
                <w14:textFill>
                  <w14:solidFill>
                    <w14:schemeClr w14:val="tx1"/>
                  </w14:solidFill>
                </w14:textFill>
              </w:rPr>
              <w:t>使用与管理的合规性</w:t>
            </w:r>
          </w:p>
        </w:tc>
        <w:tc>
          <w:tcPr>
            <w:tcW w:w="850" w:type="dxa"/>
            <w:shd w:val="clear" w:color="auto" w:fill="auto"/>
            <w:noWrap/>
            <w:vAlign w:val="center"/>
          </w:tcPr>
          <w:p>
            <w:pPr>
              <w:widowControl/>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1</w:t>
            </w:r>
          </w:p>
        </w:tc>
        <w:tc>
          <w:tcPr>
            <w:tcW w:w="3402" w:type="dxa"/>
            <w:shd w:val="clear" w:color="auto" w:fill="auto"/>
            <w:vAlign w:val="center"/>
          </w:tcPr>
          <w:p>
            <w:pPr>
              <w:widowControl/>
              <w:spacing w:line="240" w:lineRule="auto"/>
              <w:ind w:firstLine="0" w:firstLineChars="0"/>
              <w:rPr>
                <w:rFonts w:cs="Times New Roman"/>
                <w:color w:val="000000" w:themeColor="text1"/>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专项债券资金使用①是否符合相关的财务管理制度规定②是否按规定用途使用。</w:t>
            </w:r>
          </w:p>
        </w:tc>
        <w:tc>
          <w:tcPr>
            <w:tcW w:w="4820" w:type="dxa"/>
            <w:shd w:val="clear" w:color="auto" w:fill="auto"/>
            <w:vAlign w:val="center"/>
          </w:tcPr>
          <w:p>
            <w:pPr>
              <w:widowControl/>
              <w:spacing w:line="240" w:lineRule="auto"/>
              <w:ind w:firstLine="0" w:firstLineChars="0"/>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①是否符合相关的财务管理制度规定②是否按规定用途使用。</w:t>
            </w:r>
          </w:p>
          <w:p>
            <w:pPr>
              <w:widowControl/>
              <w:spacing w:line="240" w:lineRule="auto"/>
              <w:ind w:firstLine="0" w:firstLineChars="0"/>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以上</w:t>
            </w:r>
            <w:r>
              <w:rPr>
                <w:rFonts w:hint="eastAsia" w:cs="Times New Roman"/>
                <w:color w:val="000000" w:themeColor="text1"/>
                <w:kern w:val="0"/>
                <w:sz w:val="24"/>
                <w:szCs w:val="24"/>
                <w14:textFill>
                  <w14:solidFill>
                    <w14:schemeClr w14:val="tx1"/>
                  </w14:solidFill>
                </w14:textFill>
              </w:rPr>
              <w:t>情况若存在其中任何一项，扣1分。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continue"/>
            <w:vAlign w:val="center"/>
          </w:tcPr>
          <w:p>
            <w:pPr>
              <w:widowControl/>
              <w:spacing w:line="240" w:lineRule="auto"/>
              <w:ind w:firstLine="0" w:firstLineChars="0"/>
              <w:jc w:val="left"/>
              <w:rPr>
                <w:rFonts w:cs="Times New Roman"/>
                <w:color w:val="000000" w:themeColor="text1"/>
                <w:kern w:val="0"/>
                <w:sz w:val="24"/>
                <w:szCs w:val="24"/>
                <w14:textFill>
                  <w14:solidFill>
                    <w14:schemeClr w14:val="tx1"/>
                  </w14:solidFill>
                </w14:textFill>
              </w:rPr>
            </w:pPr>
          </w:p>
        </w:tc>
        <w:tc>
          <w:tcPr>
            <w:tcW w:w="1275" w:type="dxa"/>
            <w:vMerge w:val="restart"/>
            <w:shd w:val="clear" w:color="auto" w:fill="auto"/>
            <w:vAlign w:val="center"/>
          </w:tcPr>
          <w:p>
            <w:pPr>
              <w:widowControl/>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预算执行</w:t>
            </w:r>
          </w:p>
          <w:p>
            <w:pPr>
              <w:widowControl/>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w:t>
            </w:r>
            <w:r>
              <w:rPr>
                <w:rFonts w:cs="Times New Roman"/>
                <w:color w:val="000000" w:themeColor="text1"/>
                <w:kern w:val="0"/>
                <w:sz w:val="24"/>
                <w:szCs w:val="24"/>
                <w14:textFill>
                  <w14:solidFill>
                    <w14:schemeClr w14:val="tx1"/>
                  </w14:solidFill>
                </w14:textFill>
              </w:rPr>
              <w:t>1</w:t>
            </w:r>
            <w:r>
              <w:rPr>
                <w:rFonts w:hint="eastAsia" w:cs="Times New Roman"/>
                <w:color w:val="000000" w:themeColor="text1"/>
                <w:kern w:val="0"/>
                <w:sz w:val="24"/>
                <w:szCs w:val="24"/>
                <w14:textFill>
                  <w14:solidFill>
                    <w14:schemeClr w14:val="tx1"/>
                  </w14:solidFill>
                </w14:textFill>
              </w:rPr>
              <w:t>分）</w:t>
            </w:r>
          </w:p>
        </w:tc>
        <w:tc>
          <w:tcPr>
            <w:tcW w:w="1276" w:type="dxa"/>
            <w:shd w:val="clear" w:color="auto" w:fill="auto"/>
            <w:vAlign w:val="center"/>
          </w:tcPr>
          <w:p>
            <w:pPr>
              <w:widowControl/>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财政专项资金预算执行率</w:t>
            </w:r>
          </w:p>
        </w:tc>
        <w:tc>
          <w:tcPr>
            <w:tcW w:w="1418" w:type="dxa"/>
            <w:shd w:val="clear" w:color="auto" w:fill="auto"/>
            <w:vAlign w:val="center"/>
          </w:tcPr>
          <w:p>
            <w:pPr>
              <w:widowControl/>
              <w:spacing w:line="240" w:lineRule="auto"/>
              <w:ind w:firstLine="0" w:firstLineChars="0"/>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财政专项资金是否按照计划执行</w:t>
            </w:r>
          </w:p>
        </w:tc>
        <w:tc>
          <w:tcPr>
            <w:tcW w:w="850" w:type="dxa"/>
            <w:shd w:val="clear" w:color="auto" w:fill="auto"/>
            <w:noWrap/>
            <w:vAlign w:val="center"/>
          </w:tcPr>
          <w:p>
            <w:pPr>
              <w:widowControl/>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0</w:t>
            </w:r>
            <w:r>
              <w:rPr>
                <w:rFonts w:cs="Times New Roman"/>
                <w:color w:val="000000" w:themeColor="text1"/>
                <w:kern w:val="0"/>
                <w:sz w:val="24"/>
                <w:szCs w:val="24"/>
                <w14:textFill>
                  <w14:solidFill>
                    <w14:schemeClr w14:val="tx1"/>
                  </w14:solidFill>
                </w14:textFill>
              </w:rPr>
              <w:t>.5</w:t>
            </w:r>
          </w:p>
        </w:tc>
        <w:tc>
          <w:tcPr>
            <w:tcW w:w="3402" w:type="dxa"/>
            <w:shd w:val="clear" w:color="auto" w:fill="auto"/>
            <w:vAlign w:val="center"/>
          </w:tcPr>
          <w:p>
            <w:pPr>
              <w:widowControl/>
              <w:spacing w:line="240" w:lineRule="auto"/>
              <w:ind w:firstLine="0" w:firstLineChars="0"/>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预算执行率=（实际支出资金/实际到位资金）×100%。</w:t>
            </w:r>
          </w:p>
          <w:p>
            <w:pPr>
              <w:widowControl/>
              <w:spacing w:line="240" w:lineRule="auto"/>
              <w:ind w:firstLine="0" w:firstLineChars="0"/>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实际支出资金：建设期内项目实际拨付的资金。</w:t>
            </w:r>
          </w:p>
        </w:tc>
        <w:tc>
          <w:tcPr>
            <w:tcW w:w="4820" w:type="dxa"/>
            <w:shd w:val="clear" w:color="auto" w:fill="auto"/>
            <w:vAlign w:val="center"/>
          </w:tcPr>
          <w:p>
            <w:pPr>
              <w:widowControl/>
              <w:spacing w:line="240" w:lineRule="auto"/>
              <w:ind w:firstLine="0" w:firstLineChars="0"/>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资金执行率100%得满分，实际得分=执行率*满分分值0</w:t>
            </w:r>
            <w:r>
              <w:rPr>
                <w:rFonts w:cs="Times New Roman"/>
                <w:color w:val="000000" w:themeColor="text1"/>
                <w:kern w:val="0"/>
                <w:sz w:val="24"/>
                <w:szCs w:val="24"/>
                <w14:textFill>
                  <w14:solidFill>
                    <w14:schemeClr w14:val="tx1"/>
                  </w14:solidFill>
                </w14:textFill>
              </w:rPr>
              <w:t>.5</w:t>
            </w:r>
            <w:r>
              <w:rPr>
                <w:rFonts w:hint="eastAsia" w:cs="Times New Roman"/>
                <w:color w:val="000000" w:themeColor="text1"/>
                <w:kern w:val="0"/>
                <w:sz w:val="24"/>
                <w:szCs w:val="24"/>
                <w14:textFill>
                  <w14:solidFill>
                    <w14:schemeClr w14:val="tx1"/>
                  </w14:solidFill>
                </w14:textFill>
              </w:rPr>
              <w:t>计算所得。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continue"/>
            <w:vAlign w:val="center"/>
          </w:tcPr>
          <w:p>
            <w:pPr>
              <w:widowControl/>
              <w:spacing w:line="240" w:lineRule="auto"/>
              <w:ind w:firstLine="0" w:firstLineChars="0"/>
              <w:jc w:val="left"/>
              <w:rPr>
                <w:rFonts w:cs="Times New Roman"/>
                <w:color w:val="000000" w:themeColor="text1"/>
                <w:kern w:val="0"/>
                <w:sz w:val="24"/>
                <w:szCs w:val="24"/>
                <w14:textFill>
                  <w14:solidFill>
                    <w14:schemeClr w14:val="tx1"/>
                  </w14:solidFill>
                </w14:textFill>
              </w:rPr>
            </w:pPr>
          </w:p>
        </w:tc>
        <w:tc>
          <w:tcPr>
            <w:tcW w:w="1275" w:type="dxa"/>
            <w:vMerge w:val="continue"/>
            <w:shd w:val="clear" w:color="auto" w:fill="auto"/>
            <w:vAlign w:val="center"/>
          </w:tcPr>
          <w:p>
            <w:pPr>
              <w:widowControl/>
              <w:spacing w:line="240" w:lineRule="auto"/>
              <w:ind w:firstLine="0" w:firstLineChars="0"/>
              <w:jc w:val="center"/>
              <w:rPr>
                <w:rFonts w:cs="Times New Roman"/>
                <w:color w:val="000000" w:themeColor="text1"/>
                <w:kern w:val="0"/>
                <w:sz w:val="24"/>
                <w:szCs w:val="24"/>
                <w14:textFill>
                  <w14:solidFill>
                    <w14:schemeClr w14:val="tx1"/>
                  </w14:solidFill>
                </w14:textFill>
              </w:rPr>
            </w:pPr>
          </w:p>
        </w:tc>
        <w:tc>
          <w:tcPr>
            <w:tcW w:w="1276" w:type="dxa"/>
            <w:shd w:val="clear" w:color="auto" w:fill="auto"/>
            <w:vAlign w:val="center"/>
          </w:tcPr>
          <w:p>
            <w:pPr>
              <w:widowControl/>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cs="Times New Roman"/>
                <w:color w:val="000000" w:themeColor="text1"/>
                <w:kern w:val="0"/>
                <w:sz w:val="24"/>
                <w:szCs w:val="24"/>
                <w14:textFill>
                  <w14:solidFill>
                    <w14:schemeClr w14:val="tx1"/>
                  </w14:solidFill>
                </w14:textFill>
              </w:rPr>
              <w:t>专项债券资金支付进度情况</w:t>
            </w:r>
          </w:p>
        </w:tc>
        <w:tc>
          <w:tcPr>
            <w:tcW w:w="1418" w:type="dxa"/>
            <w:shd w:val="clear" w:color="auto" w:fill="auto"/>
            <w:vAlign w:val="center"/>
          </w:tcPr>
          <w:p>
            <w:pPr>
              <w:widowControl/>
              <w:spacing w:line="240" w:lineRule="auto"/>
              <w:ind w:firstLine="0" w:firstLineChars="0"/>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专项债券资金、项目预算资金是否按照计划使用，有无闲置情况</w:t>
            </w:r>
          </w:p>
        </w:tc>
        <w:tc>
          <w:tcPr>
            <w:tcW w:w="850" w:type="dxa"/>
            <w:shd w:val="clear" w:color="auto" w:fill="auto"/>
            <w:noWrap/>
            <w:vAlign w:val="center"/>
          </w:tcPr>
          <w:p>
            <w:pPr>
              <w:widowControl/>
              <w:spacing w:line="240" w:lineRule="auto"/>
              <w:ind w:firstLine="0" w:firstLineChars="0"/>
              <w:jc w:val="center"/>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0</w:t>
            </w:r>
            <w:r>
              <w:rPr>
                <w:rFonts w:cs="Times New Roman"/>
                <w:color w:val="000000" w:themeColor="text1"/>
                <w:kern w:val="0"/>
                <w:sz w:val="24"/>
                <w:szCs w:val="24"/>
                <w14:textFill>
                  <w14:solidFill>
                    <w14:schemeClr w14:val="tx1"/>
                  </w14:solidFill>
                </w14:textFill>
              </w:rPr>
              <w:t>.5</w:t>
            </w:r>
          </w:p>
        </w:tc>
        <w:tc>
          <w:tcPr>
            <w:tcW w:w="3402" w:type="dxa"/>
            <w:shd w:val="clear" w:color="auto" w:fill="auto"/>
            <w:vAlign w:val="center"/>
          </w:tcPr>
          <w:p>
            <w:pPr>
              <w:widowControl/>
              <w:spacing w:line="240" w:lineRule="auto"/>
              <w:ind w:firstLine="0" w:firstLineChars="0"/>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资金使用率=（实际使用资金/实际到位资金）×100%</w:t>
            </w:r>
          </w:p>
          <w:p>
            <w:pPr>
              <w:widowControl/>
              <w:spacing w:line="240" w:lineRule="auto"/>
              <w:ind w:firstLine="0" w:firstLineChars="0"/>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实际使用资金：一定时期（本年度或项目期）内项目单位实际使用的专项债券资金等项目预算资金</w:t>
            </w:r>
          </w:p>
          <w:p>
            <w:pPr>
              <w:widowControl/>
              <w:spacing w:line="240" w:lineRule="auto"/>
              <w:ind w:firstLine="0" w:firstLineChars="0"/>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实际到位资金：一定时期（本年度或项目期）内项目单位实际到位的专项债券资金等项目预算资金</w:t>
            </w:r>
          </w:p>
        </w:tc>
        <w:tc>
          <w:tcPr>
            <w:tcW w:w="4820" w:type="dxa"/>
            <w:shd w:val="clear" w:color="auto" w:fill="auto"/>
            <w:vAlign w:val="center"/>
          </w:tcPr>
          <w:p>
            <w:pPr>
              <w:widowControl/>
              <w:spacing w:line="240" w:lineRule="auto"/>
              <w:ind w:firstLine="0" w:firstLineChars="0"/>
              <w:rPr>
                <w:rFonts w:cs="Times New Roman"/>
                <w:color w:val="000000" w:themeColor="text1"/>
                <w:kern w:val="0"/>
                <w:sz w:val="24"/>
                <w:szCs w:val="24"/>
                <w14:textFill>
                  <w14:solidFill>
                    <w14:schemeClr w14:val="tx1"/>
                  </w14:solidFill>
                </w14:textFill>
              </w:rPr>
            </w:pPr>
            <w:r>
              <w:rPr>
                <w:rFonts w:hint="eastAsia" w:cs="Times New Roman"/>
                <w:color w:val="000000" w:themeColor="text1"/>
                <w:kern w:val="0"/>
                <w:sz w:val="24"/>
                <w:szCs w:val="24"/>
                <w14:textFill>
                  <w14:solidFill>
                    <w14:schemeClr w14:val="tx1"/>
                  </w14:solidFill>
                </w14:textFill>
              </w:rPr>
              <w:t>资金使用率100%得满分，实际得分=使用率*满分分值0</w:t>
            </w:r>
            <w:r>
              <w:rPr>
                <w:rFonts w:cs="Times New Roman"/>
                <w:color w:val="000000" w:themeColor="text1"/>
                <w:kern w:val="0"/>
                <w:sz w:val="24"/>
                <w:szCs w:val="24"/>
                <w14:textFill>
                  <w14:solidFill>
                    <w14:schemeClr w14:val="tx1"/>
                  </w14:solidFill>
                </w14:textFill>
              </w:rPr>
              <w:t>.5</w:t>
            </w:r>
            <w:r>
              <w:rPr>
                <w:rFonts w:hint="eastAsia" w:cs="Times New Roman"/>
                <w:color w:val="000000" w:themeColor="text1"/>
                <w:kern w:val="0"/>
                <w:sz w:val="24"/>
                <w:szCs w:val="24"/>
                <w14:textFill>
                  <w14:solidFill>
                    <w14:schemeClr w14:val="tx1"/>
                  </w14:solidFill>
                </w14:textFill>
              </w:rPr>
              <w:t>计算所得。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5"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档案管理</w:t>
            </w:r>
            <w:r>
              <w:rPr>
                <w:rFonts w:cs="Times New Roman"/>
                <w:color w:val="000000"/>
                <w:kern w:val="0"/>
                <w:sz w:val="24"/>
                <w:szCs w:val="24"/>
              </w:rPr>
              <w:br w:type="textWrapping"/>
            </w:r>
            <w:r>
              <w:rPr>
                <w:rFonts w:cs="Times New Roman"/>
                <w:color w:val="000000"/>
                <w:kern w:val="0"/>
                <w:sz w:val="24"/>
                <w:szCs w:val="24"/>
              </w:rPr>
              <w:t>（1分）</w:t>
            </w:r>
          </w:p>
        </w:tc>
        <w:tc>
          <w:tcPr>
            <w:tcW w:w="1276"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档案管理</w:t>
            </w:r>
          </w:p>
        </w:tc>
        <w:tc>
          <w:tcPr>
            <w:tcW w:w="1418"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评价项目建设相关资料的完整性、真实性以及归集整理的及时性</w:t>
            </w:r>
          </w:p>
        </w:tc>
        <w:tc>
          <w:tcPr>
            <w:tcW w:w="850" w:type="dxa"/>
            <w:shd w:val="clear" w:color="auto" w:fill="auto"/>
            <w:noWrap/>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1</w:t>
            </w:r>
          </w:p>
        </w:tc>
        <w:tc>
          <w:tcPr>
            <w:tcW w:w="3402"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有较完善的建设档案管理规定，档案资料保存真实、完整，档案归集整理及时。</w:t>
            </w:r>
          </w:p>
        </w:tc>
        <w:tc>
          <w:tcPr>
            <w:tcW w:w="4820"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实地调研后考核小组打分：</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档案管理规定不完善，档案归集整理不及时、不完整，应按要求进行整改，超过整改要求的整改期未能完成整改或整改不合格的，每延迟一天扣0.2分。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88" w:type="dxa"/>
            <w:vMerge w:val="continue"/>
            <w:vAlign w:val="center"/>
          </w:tcPr>
          <w:p>
            <w:pPr>
              <w:widowControl/>
              <w:spacing w:line="240" w:lineRule="auto"/>
              <w:ind w:firstLine="0" w:firstLineChars="0"/>
              <w:jc w:val="left"/>
              <w:rPr>
                <w:rFonts w:cs="Times New Roman"/>
                <w:color w:val="000000"/>
                <w:kern w:val="0"/>
                <w:sz w:val="24"/>
                <w:szCs w:val="24"/>
              </w:rPr>
            </w:pPr>
          </w:p>
        </w:tc>
        <w:tc>
          <w:tcPr>
            <w:tcW w:w="1275"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信息公开</w:t>
            </w:r>
            <w:r>
              <w:rPr>
                <w:rFonts w:cs="Times New Roman"/>
                <w:color w:val="000000"/>
                <w:kern w:val="0"/>
                <w:sz w:val="24"/>
                <w:szCs w:val="24"/>
              </w:rPr>
              <w:br w:type="textWrapping"/>
            </w:r>
            <w:r>
              <w:rPr>
                <w:rFonts w:cs="Times New Roman"/>
                <w:color w:val="000000"/>
                <w:kern w:val="0"/>
                <w:sz w:val="24"/>
                <w:szCs w:val="24"/>
              </w:rPr>
              <w:t>（</w:t>
            </w:r>
            <w:r>
              <w:rPr>
                <w:rFonts w:hint="eastAsia" w:cs="Times New Roman"/>
                <w:color w:val="000000"/>
                <w:kern w:val="0"/>
                <w:sz w:val="24"/>
                <w:szCs w:val="24"/>
              </w:rPr>
              <w:t>1</w:t>
            </w:r>
            <w:r>
              <w:rPr>
                <w:rFonts w:cs="Times New Roman"/>
                <w:color w:val="000000"/>
                <w:kern w:val="0"/>
                <w:sz w:val="24"/>
                <w:szCs w:val="24"/>
              </w:rPr>
              <w:t>分）</w:t>
            </w:r>
          </w:p>
        </w:tc>
        <w:tc>
          <w:tcPr>
            <w:tcW w:w="1276" w:type="dxa"/>
            <w:shd w:val="clear" w:color="auto" w:fill="auto"/>
            <w:vAlign w:val="center"/>
          </w:tcPr>
          <w:p>
            <w:pPr>
              <w:widowControl/>
              <w:spacing w:line="240" w:lineRule="auto"/>
              <w:ind w:firstLine="0" w:firstLineChars="0"/>
              <w:jc w:val="center"/>
              <w:rPr>
                <w:rFonts w:cs="Times New Roman"/>
                <w:color w:val="000000"/>
                <w:kern w:val="0"/>
                <w:sz w:val="24"/>
                <w:szCs w:val="24"/>
              </w:rPr>
            </w:pPr>
            <w:r>
              <w:rPr>
                <w:rFonts w:cs="Times New Roman"/>
                <w:color w:val="000000"/>
                <w:kern w:val="0"/>
                <w:sz w:val="24"/>
                <w:szCs w:val="24"/>
              </w:rPr>
              <w:t>信息公开</w:t>
            </w:r>
          </w:p>
        </w:tc>
        <w:tc>
          <w:tcPr>
            <w:tcW w:w="1418"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评价履行信息公开义务的及时性与准确性</w:t>
            </w:r>
          </w:p>
        </w:tc>
        <w:tc>
          <w:tcPr>
            <w:tcW w:w="850" w:type="dxa"/>
            <w:shd w:val="clear" w:color="auto" w:fill="auto"/>
            <w:noWrap/>
            <w:vAlign w:val="center"/>
          </w:tcPr>
          <w:p>
            <w:pPr>
              <w:widowControl/>
              <w:spacing w:line="240" w:lineRule="auto"/>
              <w:ind w:firstLine="0" w:firstLineChars="0"/>
              <w:jc w:val="center"/>
              <w:rPr>
                <w:rFonts w:cs="Times New Roman"/>
                <w:color w:val="000000"/>
                <w:kern w:val="0"/>
                <w:sz w:val="24"/>
                <w:szCs w:val="24"/>
              </w:rPr>
            </w:pPr>
            <w:r>
              <w:rPr>
                <w:rFonts w:hint="eastAsia" w:cs="Times New Roman"/>
                <w:color w:val="000000"/>
                <w:kern w:val="0"/>
                <w:sz w:val="24"/>
                <w:szCs w:val="24"/>
              </w:rPr>
              <w:t>1</w:t>
            </w:r>
          </w:p>
        </w:tc>
        <w:tc>
          <w:tcPr>
            <w:tcW w:w="3402" w:type="dxa"/>
            <w:shd w:val="clear" w:color="auto" w:fill="auto"/>
            <w:noWrap/>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依法公开披露项目相关信息，保障公共知情权，接受社会公众的监督。</w:t>
            </w:r>
          </w:p>
        </w:tc>
        <w:tc>
          <w:tcPr>
            <w:tcW w:w="4820" w:type="dxa"/>
            <w:shd w:val="clear" w:color="auto" w:fill="auto"/>
            <w:vAlign w:val="center"/>
          </w:tcPr>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实地调研后考核小组打分：</w:t>
            </w:r>
          </w:p>
          <w:p>
            <w:pPr>
              <w:widowControl/>
              <w:spacing w:line="240" w:lineRule="auto"/>
              <w:ind w:firstLine="0" w:firstLineChars="0"/>
              <w:rPr>
                <w:rFonts w:cs="Times New Roman"/>
                <w:color w:val="000000"/>
                <w:kern w:val="0"/>
                <w:sz w:val="24"/>
                <w:szCs w:val="24"/>
              </w:rPr>
            </w:pPr>
            <w:r>
              <w:rPr>
                <w:rFonts w:cs="Times New Roman"/>
                <w:color w:val="000000"/>
                <w:kern w:val="0"/>
                <w:sz w:val="24"/>
                <w:szCs w:val="24"/>
              </w:rPr>
              <w:t>信息公开不及时，应按要求进行整改，超过整改要求的整改期未能完成整改或整改不合格的，每延迟一天扣0.2分。</w:t>
            </w:r>
          </w:p>
        </w:tc>
      </w:tr>
    </w:tbl>
    <w:p>
      <w:pPr>
        <w:ind w:firstLine="0" w:firstLineChars="0"/>
      </w:pPr>
    </w:p>
    <w:p>
      <w:pPr>
        <w:ind w:firstLine="723"/>
        <w:jc w:val="center"/>
        <w:rPr>
          <w:rFonts w:cs="Times New Roman"/>
          <w:b/>
          <w:bCs/>
          <w:sz w:val="36"/>
          <w:szCs w:val="40"/>
        </w:rPr>
      </w:pPr>
    </w:p>
    <w:p>
      <w:pPr>
        <w:widowControl/>
        <w:ind w:firstLine="723"/>
        <w:jc w:val="left"/>
        <w:rPr>
          <w:rFonts w:cs="Times New Roman"/>
          <w:b/>
          <w:bCs/>
          <w:sz w:val="36"/>
          <w:szCs w:val="40"/>
        </w:rPr>
        <w:sectPr>
          <w:pgSz w:w="16838" w:h="11906" w:orient="landscape"/>
          <w:pgMar w:top="1800" w:right="1440" w:bottom="1800" w:left="1440" w:header="851" w:footer="992" w:gutter="0"/>
          <w:cols w:space="425" w:num="1"/>
          <w:docGrid w:linePitch="312" w:charSpace="0"/>
        </w:sectPr>
      </w:pPr>
    </w:p>
    <w:p>
      <w:pPr>
        <w:keepNext/>
        <w:keepLines/>
        <w:spacing w:before="120" w:after="120"/>
        <w:ind w:firstLine="643"/>
        <w:outlineLvl w:val="1"/>
        <w:rPr>
          <w:rFonts w:asciiTheme="majorHAnsi" w:hAnsiTheme="majorHAnsi" w:cstheme="majorBidi"/>
          <w:b/>
          <w:bCs/>
          <w:sz w:val="32"/>
          <w:szCs w:val="32"/>
        </w:rPr>
      </w:pPr>
      <w:bookmarkStart w:id="152" w:name="_Toc99750980"/>
      <w:bookmarkStart w:id="153" w:name="_Toc148432398"/>
      <w:r>
        <w:rPr>
          <w:rFonts w:hint="eastAsia" w:asciiTheme="majorHAnsi" w:hAnsiTheme="majorHAnsi" w:cstheme="majorBidi"/>
          <w:b/>
          <w:bCs/>
          <w:sz w:val="32"/>
          <w:szCs w:val="32"/>
        </w:rPr>
        <w:t>五、运营期绩效考核</w:t>
      </w:r>
      <w:bookmarkEnd w:id="152"/>
      <w:bookmarkEnd w:id="153"/>
    </w:p>
    <w:p>
      <w:pPr>
        <w:keepNext/>
        <w:keepLines/>
        <w:spacing w:before="120" w:after="120"/>
        <w:ind w:firstLine="562"/>
        <w:outlineLvl w:val="2"/>
        <w:rPr>
          <w:b/>
          <w:bCs/>
          <w:szCs w:val="32"/>
        </w:rPr>
      </w:pPr>
      <w:r>
        <w:rPr>
          <w:rFonts w:hint="eastAsia"/>
          <w:b/>
          <w:bCs/>
          <w:szCs w:val="32"/>
        </w:rPr>
        <w:t>（一）运营期绩效考核时间</w:t>
      </w:r>
    </w:p>
    <w:p>
      <w:pPr>
        <w:ind w:firstLine="560"/>
        <w:rPr>
          <w:rFonts w:cs="Times New Roman"/>
        </w:rPr>
      </w:pPr>
      <w:r>
        <w:rPr>
          <w:rFonts w:hint="eastAsia" w:cs="Times New Roman"/>
        </w:rPr>
        <w:t>参考《操作指引》“项目运营维护期每年度应至少开展一次绩效评价”。因此本项目运营维护期内，拟通过常规绩效考核和临时绩效考核的方式对社会资本服务、产出和管理水平进行考核。</w:t>
      </w:r>
    </w:p>
    <w:p>
      <w:pPr>
        <w:keepNext/>
        <w:keepLines/>
        <w:spacing w:before="120" w:after="120"/>
        <w:ind w:firstLine="562"/>
        <w:outlineLvl w:val="2"/>
        <w:rPr>
          <w:b/>
          <w:bCs/>
          <w:szCs w:val="32"/>
        </w:rPr>
      </w:pPr>
      <w:r>
        <w:rPr>
          <w:rFonts w:hint="eastAsia"/>
          <w:b/>
          <w:bCs/>
          <w:szCs w:val="32"/>
        </w:rPr>
        <w:t>（二）运营期绩效考核说明</w:t>
      </w:r>
    </w:p>
    <w:p>
      <w:pPr>
        <w:ind w:firstLine="560"/>
      </w:pPr>
      <w:r>
        <w:rPr>
          <w:rFonts w:hint="eastAsia"/>
        </w:rPr>
        <w:t>1</w:t>
      </w:r>
      <w:r>
        <w:t>.</w:t>
      </w:r>
      <w:r>
        <w:rPr>
          <w:rFonts w:hint="eastAsia"/>
        </w:rPr>
        <w:t>本项目运营期绩效考核从产出、效果、管理三个方面出发，下设二级指标十四项，分别从项目运营、项目维护、成本效益、安全保障、经济影响、生态影响、社会影响、可持续性、满意度、组织管理、财务管理、制度管理、档案管理、信息公开等方面进行考核。</w:t>
      </w:r>
    </w:p>
    <w:p>
      <w:pPr>
        <w:ind w:firstLine="560"/>
      </w:pPr>
      <w:r>
        <w:rPr>
          <w:rFonts w:hint="eastAsia"/>
        </w:rPr>
        <w:t>2</w:t>
      </w:r>
      <w:r>
        <w:t>.</w:t>
      </w:r>
      <w:r>
        <w:rPr>
          <w:rFonts w:hint="eastAsia"/>
        </w:rPr>
        <w:t>运营期绩效考核采用百分制考核评分办法，扣分项目扣至单项零分为止。绩效考核指标共设定三级指标。</w:t>
      </w:r>
    </w:p>
    <w:p>
      <w:pPr>
        <w:ind w:firstLine="560"/>
      </w:pPr>
      <w:r>
        <w:rPr>
          <w:rFonts w:hint="eastAsia"/>
        </w:rPr>
        <w:t>年度运营绩效考核最终得分（T</w:t>
      </w:r>
      <w:r>
        <w:rPr>
          <w:vertAlign w:val="subscript"/>
        </w:rPr>
        <w:t>2</w:t>
      </w:r>
      <w:r>
        <w:rPr>
          <w:rFonts w:hint="eastAsia"/>
        </w:rPr>
        <w:t>）评分值小于60分的（不含），考核评定等级为不合格。考核结果不合格的，</w:t>
      </w:r>
      <w:r>
        <w:rPr>
          <w:rFonts w:hint="eastAsia" w:cs="Times New Roman"/>
        </w:rPr>
        <w:t>社会资本</w:t>
      </w:r>
      <w:r>
        <w:rPr>
          <w:rFonts w:hint="eastAsia"/>
        </w:rPr>
        <w:t>应在政府方规定的整改期限内进行整改，整改完成后向政府方申请整改验收，经政府方验收整改合格的，政府方按照约定暂不兑取履约保函。如整改后考核等级为不合格的，政府方可通过罚款、兑取保函金额等形式进行处罚。</w:t>
      </w:r>
    </w:p>
    <w:p>
      <w:pPr>
        <w:ind w:firstLine="560"/>
      </w:pPr>
      <w:r>
        <w:rPr>
          <w:rFonts w:hint="eastAsia"/>
        </w:rPr>
        <w:t>3</w:t>
      </w:r>
      <w:r>
        <w:t>.</w:t>
      </w:r>
      <w:r>
        <w:rPr>
          <w:rFonts w:hint="eastAsia"/>
        </w:rPr>
        <w:t>项目合作期内连续二次考核评定等级为不合格或累计三次考核评定等级为不合格的，</w:t>
      </w:r>
      <w:r>
        <w:rPr>
          <w:rFonts w:hint="eastAsia" w:cs="Times New Roman"/>
        </w:rPr>
        <w:t>社会资本</w:t>
      </w:r>
      <w:r>
        <w:rPr>
          <w:rFonts w:hint="eastAsia"/>
        </w:rPr>
        <w:t>需提交书面说明并提出解决办法，情节严重的，政府方有权根据《特许经营协议》的约定介入项目的运营维护或要求</w:t>
      </w:r>
      <w:r>
        <w:rPr>
          <w:rFonts w:hint="eastAsia" w:cs="Times New Roman"/>
        </w:rPr>
        <w:t>社会资本</w:t>
      </w:r>
      <w:r>
        <w:rPr>
          <w:rFonts w:hint="eastAsia"/>
        </w:rPr>
        <w:t>更换委托运营单位（如有）或提前终止《特许经营协议》，由此造成政府方的经济损失全部由</w:t>
      </w:r>
      <w:r>
        <w:rPr>
          <w:rFonts w:hint="eastAsia" w:cs="Times New Roman"/>
        </w:rPr>
        <w:t>社会资本</w:t>
      </w:r>
      <w:r>
        <w:rPr>
          <w:rFonts w:hint="eastAsia"/>
        </w:rPr>
        <w:t>承担。</w:t>
      </w:r>
    </w:p>
    <w:p>
      <w:pPr>
        <w:ind w:firstLine="560"/>
      </w:pPr>
      <w:r>
        <w:rPr>
          <w:rFonts w:hint="eastAsia"/>
        </w:rPr>
        <w:t>4</w:t>
      </w:r>
      <w:r>
        <w:t>.</w:t>
      </w:r>
      <w:r>
        <w:rPr>
          <w:rFonts w:hint="eastAsia"/>
        </w:rPr>
        <w:t>根据《操作指引》，“原则上不低于80分才可全额付费”。根据项目年度运营绩效考核最终得分（T</w:t>
      </w:r>
      <w:r>
        <w:rPr>
          <w:vertAlign w:val="subscript"/>
        </w:rPr>
        <w:t>2</w:t>
      </w:r>
      <w:r>
        <w:rPr>
          <w:rFonts w:hint="eastAsia"/>
        </w:rPr>
        <w:t>）确定的运营期年度绩效考核结果（E</w:t>
      </w:r>
      <w:r>
        <w:rPr>
          <w:vertAlign w:val="subscript"/>
        </w:rPr>
        <w:t>2</w:t>
      </w:r>
      <w:r>
        <w:rPr>
          <w:rFonts w:hint="eastAsia"/>
        </w:rPr>
        <w:t>）如下表所示：</w:t>
      </w:r>
    </w:p>
    <w:p>
      <w:pPr>
        <w:spacing w:before="120" w:beforeLines="50"/>
        <w:ind w:firstLine="482"/>
        <w:jc w:val="center"/>
        <w:rPr>
          <w:rFonts w:cs="Times New Roman"/>
          <w:b/>
          <w:bCs/>
          <w:sz w:val="24"/>
          <w:szCs w:val="24"/>
        </w:rPr>
      </w:pPr>
      <w:r>
        <w:rPr>
          <w:rFonts w:hint="eastAsia" w:cs="Times New Roman"/>
          <w:b/>
          <w:bCs/>
          <w:sz w:val="24"/>
          <w:szCs w:val="24"/>
        </w:rPr>
        <w:t>表1</w:t>
      </w:r>
      <w:r>
        <w:rPr>
          <w:rFonts w:cs="Times New Roman"/>
          <w:b/>
          <w:bCs/>
          <w:sz w:val="24"/>
          <w:szCs w:val="24"/>
        </w:rPr>
        <w:t>2</w:t>
      </w:r>
      <w:r>
        <w:rPr>
          <w:rFonts w:hint="eastAsia" w:cs="Times New Roman"/>
          <w:b/>
          <w:bCs/>
          <w:sz w:val="24"/>
          <w:szCs w:val="24"/>
        </w:rPr>
        <w:t>-</w:t>
      </w:r>
      <w:r>
        <w:rPr>
          <w:rFonts w:cs="Times New Roman"/>
          <w:b/>
          <w:bCs/>
          <w:sz w:val="24"/>
          <w:szCs w:val="24"/>
        </w:rPr>
        <w:t xml:space="preserve">4 </w:t>
      </w:r>
      <w:r>
        <w:rPr>
          <w:rFonts w:hint="eastAsia" w:cs="Times New Roman"/>
          <w:b/>
          <w:bCs/>
          <w:sz w:val="24"/>
          <w:szCs w:val="24"/>
        </w:rPr>
        <w:t>运营期绩效考核结果对应表</w:t>
      </w:r>
    </w:p>
    <w:tbl>
      <w:tblPr>
        <w:tblStyle w:val="30"/>
        <w:tblW w:w="0" w:type="auto"/>
        <w:jc w:val="center"/>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Layout w:type="fixed"/>
        <w:tblCellMar>
          <w:top w:w="0" w:type="dxa"/>
          <w:left w:w="0" w:type="dxa"/>
          <w:bottom w:w="0" w:type="dxa"/>
          <w:right w:w="0" w:type="dxa"/>
        </w:tblCellMar>
      </w:tblPr>
      <w:tblGrid>
        <w:gridCol w:w="2294"/>
        <w:gridCol w:w="2300"/>
        <w:gridCol w:w="3702"/>
      </w:tblGrid>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0" w:type="dxa"/>
            <w:bottom w:w="0" w:type="dxa"/>
            <w:right w:w="0" w:type="dxa"/>
          </w:tblCellMar>
        </w:tblPrEx>
        <w:trPr>
          <w:trHeight w:val="567" w:hRule="atLeast"/>
          <w:jc w:val="center"/>
        </w:trPr>
        <w:tc>
          <w:tcPr>
            <w:tcW w:w="2294" w:type="dxa"/>
            <w:tcBorders>
              <w:top w:val="single" w:color="auto" w:sz="18" w:space="0"/>
              <w:bottom w:val="single" w:color="auto" w:sz="4" w:space="0"/>
            </w:tcBorders>
            <w:vAlign w:val="center"/>
          </w:tcPr>
          <w:p>
            <w:pPr>
              <w:kinsoku w:val="0"/>
              <w:overflowPunct w:val="0"/>
              <w:spacing w:line="240" w:lineRule="auto"/>
              <w:ind w:firstLine="0" w:firstLineChars="0"/>
              <w:jc w:val="center"/>
              <w:rPr>
                <w:rFonts w:cs="Times New Roman"/>
                <w:b/>
                <w:bCs/>
                <w:kern w:val="0"/>
                <w:sz w:val="24"/>
                <w:szCs w:val="24"/>
              </w:rPr>
            </w:pPr>
            <w:r>
              <w:rPr>
                <w:rFonts w:hint="eastAsia" w:cs="Times New Roman"/>
                <w:b/>
                <w:bCs/>
                <w:kern w:val="0"/>
                <w:sz w:val="24"/>
                <w:szCs w:val="24"/>
              </w:rPr>
              <w:t>考核得分（</w:t>
            </w:r>
            <w:r>
              <w:rPr>
                <w:rFonts w:cs="Times New Roman"/>
                <w:b/>
                <w:bCs/>
                <w:kern w:val="0"/>
                <w:sz w:val="24"/>
                <w:szCs w:val="24"/>
              </w:rPr>
              <w:t>T</w:t>
            </w:r>
            <w:r>
              <w:rPr>
                <w:rFonts w:cs="Times New Roman"/>
                <w:b/>
                <w:bCs/>
                <w:kern w:val="0"/>
                <w:sz w:val="24"/>
                <w:szCs w:val="24"/>
                <w:vertAlign w:val="subscript"/>
              </w:rPr>
              <w:t>2</w:t>
            </w:r>
            <w:r>
              <w:rPr>
                <w:rFonts w:hint="eastAsia" w:cs="Times New Roman"/>
                <w:b/>
                <w:bCs/>
                <w:kern w:val="0"/>
                <w:sz w:val="24"/>
                <w:szCs w:val="24"/>
              </w:rPr>
              <w:t>）</w:t>
            </w:r>
          </w:p>
        </w:tc>
        <w:tc>
          <w:tcPr>
            <w:tcW w:w="2300" w:type="dxa"/>
            <w:tcBorders>
              <w:top w:val="single" w:color="auto" w:sz="18" w:space="0"/>
              <w:bottom w:val="single" w:color="auto" w:sz="4" w:space="0"/>
            </w:tcBorders>
            <w:vAlign w:val="center"/>
          </w:tcPr>
          <w:p>
            <w:pPr>
              <w:kinsoku w:val="0"/>
              <w:overflowPunct w:val="0"/>
              <w:spacing w:line="240" w:lineRule="auto"/>
              <w:ind w:firstLine="0" w:firstLineChars="0"/>
              <w:jc w:val="center"/>
              <w:rPr>
                <w:rFonts w:cs="Times New Roman"/>
                <w:b/>
                <w:bCs/>
                <w:kern w:val="0"/>
                <w:sz w:val="24"/>
                <w:szCs w:val="24"/>
              </w:rPr>
            </w:pPr>
            <w:r>
              <w:rPr>
                <w:rFonts w:hint="eastAsia" w:cs="Times New Roman"/>
                <w:b/>
                <w:bCs/>
                <w:kern w:val="0"/>
                <w:sz w:val="24"/>
                <w:szCs w:val="24"/>
              </w:rPr>
              <w:t>考核结果（</w:t>
            </w:r>
            <w:r>
              <w:rPr>
                <w:rFonts w:cs="Times New Roman"/>
                <w:b/>
                <w:bCs/>
                <w:kern w:val="0"/>
                <w:sz w:val="24"/>
                <w:szCs w:val="24"/>
              </w:rPr>
              <w:t>E</w:t>
            </w:r>
            <w:r>
              <w:rPr>
                <w:rFonts w:cs="Times New Roman"/>
                <w:b/>
                <w:bCs/>
                <w:kern w:val="0"/>
                <w:sz w:val="24"/>
                <w:szCs w:val="24"/>
                <w:vertAlign w:val="subscript"/>
              </w:rPr>
              <w:t>2</w:t>
            </w:r>
            <w:r>
              <w:rPr>
                <w:rFonts w:hint="eastAsia" w:cs="Times New Roman"/>
                <w:b/>
                <w:bCs/>
                <w:kern w:val="0"/>
                <w:sz w:val="24"/>
                <w:szCs w:val="24"/>
              </w:rPr>
              <w:t>）</w:t>
            </w:r>
          </w:p>
        </w:tc>
        <w:tc>
          <w:tcPr>
            <w:tcW w:w="3702" w:type="dxa"/>
            <w:tcBorders>
              <w:top w:val="single" w:color="auto" w:sz="18" w:space="0"/>
              <w:bottom w:val="single" w:color="auto" w:sz="4" w:space="0"/>
            </w:tcBorders>
            <w:vAlign w:val="center"/>
          </w:tcPr>
          <w:p>
            <w:pPr>
              <w:kinsoku w:val="0"/>
              <w:overflowPunct w:val="0"/>
              <w:spacing w:line="240" w:lineRule="auto"/>
              <w:ind w:firstLine="0" w:firstLineChars="0"/>
              <w:jc w:val="center"/>
              <w:rPr>
                <w:rFonts w:cs="Times New Roman"/>
                <w:b/>
                <w:bCs/>
                <w:kern w:val="0"/>
                <w:sz w:val="24"/>
                <w:szCs w:val="24"/>
              </w:rPr>
            </w:pPr>
            <w:r>
              <w:rPr>
                <w:rFonts w:hint="eastAsia" w:cs="Times New Roman"/>
                <w:b/>
                <w:bCs/>
                <w:kern w:val="0"/>
                <w:sz w:val="24"/>
                <w:szCs w:val="24"/>
              </w:rPr>
              <w:t>备注</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0" w:type="dxa"/>
            <w:bottom w:w="0" w:type="dxa"/>
            <w:right w:w="0" w:type="dxa"/>
          </w:tblCellMar>
        </w:tblPrEx>
        <w:trPr>
          <w:trHeight w:val="567" w:hRule="atLeast"/>
          <w:jc w:val="center"/>
        </w:trPr>
        <w:tc>
          <w:tcPr>
            <w:tcW w:w="2294" w:type="dxa"/>
            <w:tcBorders>
              <w:top w:val="single" w:color="auto" w:sz="4" w:space="0"/>
            </w:tcBorders>
            <w:vAlign w:val="center"/>
          </w:tcPr>
          <w:p>
            <w:pPr>
              <w:widowControl/>
              <w:spacing w:line="240" w:lineRule="auto"/>
              <w:ind w:firstLine="0" w:firstLineChars="0"/>
              <w:jc w:val="center"/>
              <w:textAlignment w:val="center"/>
              <w:rPr>
                <w:rFonts w:cs="Times New Roman"/>
                <w:sz w:val="24"/>
                <w:szCs w:val="24"/>
              </w:rPr>
            </w:pPr>
            <w:r>
              <w:rPr>
                <w:rFonts w:cs="Times New Roman"/>
                <w:sz w:val="24"/>
                <w:szCs w:val="24"/>
              </w:rPr>
              <w:t>X</w:t>
            </w:r>
            <w:r>
              <w:rPr>
                <w:rFonts w:hint="eastAsia" w:cs="Times New Roman"/>
                <w:sz w:val="24"/>
                <w:szCs w:val="24"/>
              </w:rPr>
              <w:t>≥</w:t>
            </w:r>
            <w:r>
              <w:rPr>
                <w:rFonts w:cs="Times New Roman"/>
                <w:sz w:val="24"/>
                <w:szCs w:val="24"/>
              </w:rPr>
              <w:t>80</w:t>
            </w:r>
            <w:r>
              <w:rPr>
                <w:rFonts w:hint="eastAsia" w:cs="Times New Roman"/>
                <w:sz w:val="24"/>
                <w:szCs w:val="24"/>
              </w:rPr>
              <w:t>分</w:t>
            </w:r>
          </w:p>
        </w:tc>
        <w:tc>
          <w:tcPr>
            <w:tcW w:w="2300" w:type="dxa"/>
            <w:tcBorders>
              <w:top w:val="single" w:color="auto" w:sz="4" w:space="0"/>
            </w:tcBorders>
            <w:vAlign w:val="center"/>
          </w:tcPr>
          <w:p>
            <w:pPr>
              <w:widowControl/>
              <w:spacing w:line="240" w:lineRule="auto"/>
              <w:ind w:firstLine="0" w:firstLineChars="0"/>
              <w:jc w:val="center"/>
              <w:textAlignment w:val="center"/>
              <w:rPr>
                <w:rFonts w:cs="Times New Roman"/>
                <w:sz w:val="24"/>
                <w:szCs w:val="24"/>
              </w:rPr>
            </w:pPr>
            <w:r>
              <w:rPr>
                <w:rFonts w:cs="Times New Roman"/>
                <w:sz w:val="24"/>
                <w:szCs w:val="24"/>
              </w:rPr>
              <w:t>100%</w:t>
            </w:r>
          </w:p>
        </w:tc>
        <w:tc>
          <w:tcPr>
            <w:tcW w:w="3702" w:type="dxa"/>
            <w:vMerge w:val="restart"/>
            <w:tcBorders>
              <w:top w:val="single" w:color="auto" w:sz="4" w:space="0"/>
            </w:tcBorders>
            <w:vAlign w:val="center"/>
          </w:tcPr>
          <w:p>
            <w:pPr>
              <w:widowControl/>
              <w:spacing w:line="240" w:lineRule="auto"/>
              <w:ind w:firstLine="0" w:firstLineChars="0"/>
              <w:jc w:val="center"/>
              <w:textAlignment w:val="center"/>
              <w:rPr>
                <w:rFonts w:cs="Times New Roman"/>
                <w:sz w:val="24"/>
                <w:szCs w:val="24"/>
              </w:rPr>
            </w:pPr>
            <w:r>
              <w:rPr>
                <w:rFonts w:hint="eastAsia" w:cs="Times New Roman"/>
                <w:sz w:val="24"/>
                <w:szCs w:val="24"/>
              </w:rPr>
              <w:t>内插法计算</w:t>
            </w: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0" w:type="dxa"/>
            <w:bottom w:w="0" w:type="dxa"/>
            <w:right w:w="0" w:type="dxa"/>
          </w:tblCellMar>
        </w:tblPrEx>
        <w:trPr>
          <w:trHeight w:val="567" w:hRule="atLeast"/>
          <w:jc w:val="center"/>
        </w:trPr>
        <w:tc>
          <w:tcPr>
            <w:tcW w:w="2294" w:type="dxa"/>
            <w:vAlign w:val="center"/>
          </w:tcPr>
          <w:p>
            <w:pPr>
              <w:widowControl/>
              <w:spacing w:line="240" w:lineRule="auto"/>
              <w:ind w:firstLine="0" w:firstLineChars="0"/>
              <w:jc w:val="center"/>
              <w:textAlignment w:val="center"/>
              <w:rPr>
                <w:rFonts w:cs="Times New Roman"/>
                <w:sz w:val="24"/>
                <w:szCs w:val="24"/>
              </w:rPr>
            </w:pPr>
            <w:r>
              <w:rPr>
                <w:rFonts w:cs="Times New Roman"/>
                <w:sz w:val="24"/>
                <w:szCs w:val="24"/>
              </w:rPr>
              <w:t>75</w:t>
            </w:r>
            <w:r>
              <w:rPr>
                <w:rFonts w:hint="eastAsia" w:cs="Times New Roman"/>
                <w:sz w:val="24"/>
                <w:szCs w:val="24"/>
              </w:rPr>
              <w:t>分≤</w:t>
            </w:r>
            <w:r>
              <w:rPr>
                <w:rFonts w:cs="Times New Roman"/>
                <w:sz w:val="24"/>
                <w:szCs w:val="24"/>
              </w:rPr>
              <w:t>X</w:t>
            </w:r>
            <w:r>
              <w:rPr>
                <w:rFonts w:hint="eastAsia" w:cs="Times New Roman"/>
                <w:sz w:val="24"/>
                <w:szCs w:val="24"/>
              </w:rPr>
              <w:t>＜</w:t>
            </w:r>
            <w:r>
              <w:rPr>
                <w:rFonts w:cs="Times New Roman"/>
                <w:sz w:val="24"/>
                <w:szCs w:val="24"/>
              </w:rPr>
              <w:t>80</w:t>
            </w:r>
            <w:r>
              <w:rPr>
                <w:rFonts w:hint="eastAsia" w:cs="Times New Roman"/>
                <w:sz w:val="24"/>
                <w:szCs w:val="24"/>
              </w:rPr>
              <w:t>分</w:t>
            </w:r>
          </w:p>
        </w:tc>
        <w:tc>
          <w:tcPr>
            <w:tcW w:w="2300" w:type="dxa"/>
            <w:vAlign w:val="center"/>
          </w:tcPr>
          <w:p>
            <w:pPr>
              <w:widowControl/>
              <w:spacing w:line="240" w:lineRule="auto"/>
              <w:ind w:firstLine="0" w:firstLineChars="0"/>
              <w:jc w:val="center"/>
              <w:textAlignment w:val="center"/>
              <w:rPr>
                <w:rFonts w:cs="Times New Roman"/>
                <w:sz w:val="24"/>
                <w:szCs w:val="24"/>
              </w:rPr>
            </w:pPr>
            <w:r>
              <w:rPr>
                <w:rFonts w:cs="Times New Roman"/>
                <w:sz w:val="24"/>
                <w:szCs w:val="24"/>
              </w:rPr>
              <w:t>95%-100%</w:t>
            </w:r>
            <w:r>
              <w:rPr>
                <w:rFonts w:hint="eastAsia" w:cs="Times New Roman"/>
                <w:sz w:val="24"/>
                <w:szCs w:val="24"/>
              </w:rPr>
              <w:t>（不含）</w:t>
            </w:r>
          </w:p>
        </w:tc>
        <w:tc>
          <w:tcPr>
            <w:tcW w:w="3702" w:type="dxa"/>
            <w:vMerge w:val="continue"/>
            <w:vAlign w:val="center"/>
          </w:tcPr>
          <w:p>
            <w:pPr>
              <w:widowControl/>
              <w:spacing w:line="240" w:lineRule="auto"/>
              <w:ind w:firstLine="0" w:firstLineChars="0"/>
              <w:jc w:val="left"/>
              <w:rPr>
                <w:rFonts w:cs="Times New Roman"/>
                <w:sz w:val="24"/>
                <w:szCs w:val="24"/>
              </w:rPr>
            </w:pP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0" w:type="dxa"/>
            <w:bottom w:w="0" w:type="dxa"/>
            <w:right w:w="0" w:type="dxa"/>
          </w:tblCellMar>
        </w:tblPrEx>
        <w:trPr>
          <w:trHeight w:val="567" w:hRule="atLeast"/>
          <w:jc w:val="center"/>
        </w:trPr>
        <w:tc>
          <w:tcPr>
            <w:tcW w:w="2294" w:type="dxa"/>
            <w:vAlign w:val="center"/>
          </w:tcPr>
          <w:p>
            <w:pPr>
              <w:widowControl/>
              <w:spacing w:line="240" w:lineRule="auto"/>
              <w:ind w:firstLine="0" w:firstLineChars="0"/>
              <w:jc w:val="center"/>
              <w:textAlignment w:val="center"/>
              <w:rPr>
                <w:rFonts w:cs="Times New Roman"/>
                <w:sz w:val="24"/>
                <w:szCs w:val="24"/>
              </w:rPr>
            </w:pPr>
            <w:r>
              <w:rPr>
                <w:rFonts w:cs="Times New Roman"/>
                <w:sz w:val="24"/>
                <w:szCs w:val="24"/>
              </w:rPr>
              <w:t>70</w:t>
            </w:r>
            <w:r>
              <w:rPr>
                <w:rFonts w:hint="eastAsia" w:cs="Times New Roman"/>
                <w:sz w:val="24"/>
                <w:szCs w:val="24"/>
              </w:rPr>
              <w:t>分≤</w:t>
            </w:r>
            <w:r>
              <w:rPr>
                <w:rFonts w:cs="Times New Roman"/>
                <w:sz w:val="24"/>
                <w:szCs w:val="24"/>
              </w:rPr>
              <w:t>X</w:t>
            </w:r>
            <w:r>
              <w:rPr>
                <w:rFonts w:hint="eastAsia" w:cs="Times New Roman"/>
                <w:sz w:val="24"/>
                <w:szCs w:val="24"/>
              </w:rPr>
              <w:t>＜</w:t>
            </w:r>
            <w:r>
              <w:rPr>
                <w:rFonts w:cs="Times New Roman"/>
                <w:sz w:val="24"/>
                <w:szCs w:val="24"/>
              </w:rPr>
              <w:t>75</w:t>
            </w:r>
            <w:r>
              <w:rPr>
                <w:rFonts w:hint="eastAsia" w:cs="Times New Roman"/>
                <w:sz w:val="24"/>
                <w:szCs w:val="24"/>
              </w:rPr>
              <w:t>分</w:t>
            </w:r>
          </w:p>
        </w:tc>
        <w:tc>
          <w:tcPr>
            <w:tcW w:w="2300" w:type="dxa"/>
            <w:vAlign w:val="center"/>
          </w:tcPr>
          <w:p>
            <w:pPr>
              <w:widowControl/>
              <w:spacing w:line="240" w:lineRule="auto"/>
              <w:ind w:firstLine="0" w:firstLineChars="0"/>
              <w:jc w:val="center"/>
              <w:textAlignment w:val="center"/>
              <w:rPr>
                <w:rFonts w:cs="Times New Roman"/>
                <w:sz w:val="24"/>
                <w:szCs w:val="24"/>
              </w:rPr>
            </w:pPr>
            <w:r>
              <w:rPr>
                <w:rFonts w:cs="Times New Roman"/>
                <w:sz w:val="24"/>
                <w:szCs w:val="24"/>
              </w:rPr>
              <w:t>90%-95%</w:t>
            </w:r>
            <w:r>
              <w:rPr>
                <w:rFonts w:hint="eastAsia" w:cs="Times New Roman"/>
                <w:sz w:val="24"/>
                <w:szCs w:val="24"/>
              </w:rPr>
              <w:t>（不含）</w:t>
            </w:r>
          </w:p>
        </w:tc>
        <w:tc>
          <w:tcPr>
            <w:tcW w:w="3702" w:type="dxa"/>
            <w:vMerge w:val="continue"/>
            <w:vAlign w:val="center"/>
          </w:tcPr>
          <w:p>
            <w:pPr>
              <w:widowControl/>
              <w:spacing w:line="240" w:lineRule="auto"/>
              <w:ind w:firstLine="0" w:firstLineChars="0"/>
              <w:jc w:val="left"/>
              <w:rPr>
                <w:rFonts w:cs="Times New Roman"/>
                <w:sz w:val="24"/>
                <w:szCs w:val="24"/>
              </w:rPr>
            </w:pP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0" w:type="dxa"/>
            <w:bottom w:w="0" w:type="dxa"/>
            <w:right w:w="0" w:type="dxa"/>
          </w:tblCellMar>
        </w:tblPrEx>
        <w:trPr>
          <w:trHeight w:val="567" w:hRule="atLeast"/>
          <w:jc w:val="center"/>
        </w:trPr>
        <w:tc>
          <w:tcPr>
            <w:tcW w:w="2294" w:type="dxa"/>
            <w:vAlign w:val="center"/>
          </w:tcPr>
          <w:p>
            <w:pPr>
              <w:widowControl/>
              <w:spacing w:line="240" w:lineRule="auto"/>
              <w:ind w:firstLine="0" w:firstLineChars="0"/>
              <w:jc w:val="center"/>
              <w:textAlignment w:val="center"/>
              <w:rPr>
                <w:rFonts w:cs="Times New Roman"/>
                <w:sz w:val="24"/>
                <w:szCs w:val="24"/>
              </w:rPr>
            </w:pPr>
            <w:r>
              <w:rPr>
                <w:rFonts w:cs="Times New Roman"/>
                <w:sz w:val="24"/>
                <w:szCs w:val="24"/>
              </w:rPr>
              <w:t>65</w:t>
            </w:r>
            <w:r>
              <w:rPr>
                <w:rFonts w:hint="eastAsia" w:cs="Times New Roman"/>
                <w:sz w:val="24"/>
                <w:szCs w:val="24"/>
              </w:rPr>
              <w:t>分≤</w:t>
            </w:r>
            <w:r>
              <w:rPr>
                <w:rFonts w:cs="Times New Roman"/>
                <w:sz w:val="24"/>
                <w:szCs w:val="24"/>
              </w:rPr>
              <w:t>X</w:t>
            </w:r>
            <w:r>
              <w:rPr>
                <w:rFonts w:hint="eastAsia" w:cs="Times New Roman"/>
                <w:sz w:val="24"/>
                <w:szCs w:val="24"/>
              </w:rPr>
              <w:t>＜</w:t>
            </w:r>
            <w:r>
              <w:rPr>
                <w:rFonts w:cs="Times New Roman"/>
                <w:sz w:val="24"/>
                <w:szCs w:val="24"/>
              </w:rPr>
              <w:t>70</w:t>
            </w:r>
            <w:r>
              <w:rPr>
                <w:rFonts w:hint="eastAsia" w:cs="Times New Roman"/>
                <w:sz w:val="24"/>
                <w:szCs w:val="24"/>
              </w:rPr>
              <w:t>分</w:t>
            </w:r>
          </w:p>
        </w:tc>
        <w:tc>
          <w:tcPr>
            <w:tcW w:w="2300" w:type="dxa"/>
            <w:vAlign w:val="center"/>
          </w:tcPr>
          <w:p>
            <w:pPr>
              <w:widowControl/>
              <w:spacing w:line="240" w:lineRule="auto"/>
              <w:ind w:firstLine="0" w:firstLineChars="0"/>
              <w:jc w:val="center"/>
              <w:textAlignment w:val="center"/>
              <w:rPr>
                <w:rFonts w:cs="Times New Roman"/>
                <w:sz w:val="24"/>
                <w:szCs w:val="24"/>
              </w:rPr>
            </w:pPr>
            <w:r>
              <w:rPr>
                <w:rFonts w:cs="Times New Roman"/>
                <w:sz w:val="24"/>
                <w:szCs w:val="24"/>
              </w:rPr>
              <w:t>85%-90%</w:t>
            </w:r>
            <w:r>
              <w:rPr>
                <w:rFonts w:hint="eastAsia" w:cs="Times New Roman"/>
                <w:sz w:val="24"/>
                <w:szCs w:val="24"/>
              </w:rPr>
              <w:t>（不含）</w:t>
            </w:r>
          </w:p>
        </w:tc>
        <w:tc>
          <w:tcPr>
            <w:tcW w:w="3702" w:type="dxa"/>
            <w:vMerge w:val="continue"/>
            <w:vAlign w:val="center"/>
          </w:tcPr>
          <w:p>
            <w:pPr>
              <w:widowControl/>
              <w:spacing w:line="240" w:lineRule="auto"/>
              <w:ind w:firstLine="0" w:firstLineChars="0"/>
              <w:jc w:val="left"/>
              <w:rPr>
                <w:rFonts w:cs="Times New Roman"/>
                <w:sz w:val="24"/>
                <w:szCs w:val="24"/>
              </w:rPr>
            </w:pP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0" w:type="dxa"/>
            <w:bottom w:w="0" w:type="dxa"/>
            <w:right w:w="0" w:type="dxa"/>
          </w:tblCellMar>
        </w:tblPrEx>
        <w:trPr>
          <w:trHeight w:val="567" w:hRule="atLeast"/>
          <w:jc w:val="center"/>
        </w:trPr>
        <w:tc>
          <w:tcPr>
            <w:tcW w:w="2294" w:type="dxa"/>
            <w:vAlign w:val="center"/>
          </w:tcPr>
          <w:p>
            <w:pPr>
              <w:widowControl/>
              <w:spacing w:line="240" w:lineRule="auto"/>
              <w:ind w:firstLine="0" w:firstLineChars="0"/>
              <w:jc w:val="center"/>
              <w:textAlignment w:val="center"/>
              <w:rPr>
                <w:rFonts w:cs="Times New Roman"/>
                <w:sz w:val="24"/>
                <w:szCs w:val="24"/>
              </w:rPr>
            </w:pPr>
            <w:r>
              <w:rPr>
                <w:rFonts w:cs="Times New Roman"/>
                <w:sz w:val="24"/>
                <w:szCs w:val="24"/>
              </w:rPr>
              <w:t>60</w:t>
            </w:r>
            <w:r>
              <w:rPr>
                <w:rFonts w:hint="eastAsia" w:cs="Times New Roman"/>
                <w:sz w:val="24"/>
                <w:szCs w:val="24"/>
              </w:rPr>
              <w:t>分≤</w:t>
            </w:r>
            <w:r>
              <w:rPr>
                <w:rFonts w:cs="Times New Roman"/>
                <w:sz w:val="24"/>
                <w:szCs w:val="24"/>
              </w:rPr>
              <w:t>X</w:t>
            </w:r>
            <w:r>
              <w:rPr>
                <w:rFonts w:hint="eastAsia" w:cs="Times New Roman"/>
                <w:sz w:val="24"/>
                <w:szCs w:val="24"/>
              </w:rPr>
              <w:t>＜</w:t>
            </w:r>
            <w:r>
              <w:rPr>
                <w:rFonts w:cs="Times New Roman"/>
                <w:sz w:val="24"/>
                <w:szCs w:val="24"/>
              </w:rPr>
              <w:t>65</w:t>
            </w:r>
            <w:r>
              <w:rPr>
                <w:rFonts w:hint="eastAsia" w:cs="Times New Roman"/>
                <w:sz w:val="24"/>
                <w:szCs w:val="24"/>
              </w:rPr>
              <w:t>分</w:t>
            </w:r>
          </w:p>
        </w:tc>
        <w:tc>
          <w:tcPr>
            <w:tcW w:w="2300" w:type="dxa"/>
            <w:vAlign w:val="center"/>
          </w:tcPr>
          <w:p>
            <w:pPr>
              <w:widowControl/>
              <w:spacing w:line="240" w:lineRule="auto"/>
              <w:ind w:firstLine="0" w:firstLineChars="0"/>
              <w:jc w:val="center"/>
              <w:textAlignment w:val="center"/>
              <w:rPr>
                <w:rFonts w:cs="Times New Roman"/>
                <w:sz w:val="24"/>
                <w:szCs w:val="24"/>
              </w:rPr>
            </w:pPr>
            <w:r>
              <w:rPr>
                <w:rFonts w:cs="Times New Roman"/>
                <w:sz w:val="24"/>
                <w:szCs w:val="24"/>
              </w:rPr>
              <w:t>80%-85%</w:t>
            </w:r>
            <w:r>
              <w:rPr>
                <w:rFonts w:hint="eastAsia" w:cs="Times New Roman"/>
                <w:sz w:val="24"/>
                <w:szCs w:val="24"/>
              </w:rPr>
              <w:t>（不含）</w:t>
            </w:r>
          </w:p>
        </w:tc>
        <w:tc>
          <w:tcPr>
            <w:tcW w:w="3702" w:type="dxa"/>
            <w:vMerge w:val="continue"/>
            <w:vAlign w:val="center"/>
          </w:tcPr>
          <w:p>
            <w:pPr>
              <w:widowControl/>
              <w:spacing w:line="240" w:lineRule="auto"/>
              <w:ind w:firstLine="0" w:firstLineChars="0"/>
              <w:jc w:val="left"/>
              <w:rPr>
                <w:rFonts w:cs="Times New Roman"/>
                <w:sz w:val="24"/>
                <w:szCs w:val="24"/>
              </w:rPr>
            </w:pPr>
          </w:p>
        </w:tc>
      </w:tr>
      <w:tr>
        <w:tblPrEx>
          <w:tblBorders>
            <w:top w:val="single" w:color="auto" w:sz="18" w:space="0"/>
            <w:left w:val="none" w:color="auto" w:sz="0" w:space="0"/>
            <w:bottom w:val="single" w:color="auto" w:sz="18" w:space="0"/>
            <w:right w:val="none" w:color="auto" w:sz="0" w:space="0"/>
            <w:insideH w:val="dotted" w:color="auto" w:sz="4" w:space="0"/>
            <w:insideV w:val="dotted" w:color="auto" w:sz="4" w:space="0"/>
          </w:tblBorders>
          <w:tblCellMar>
            <w:top w:w="0" w:type="dxa"/>
            <w:left w:w="0" w:type="dxa"/>
            <w:bottom w:w="0" w:type="dxa"/>
            <w:right w:w="0" w:type="dxa"/>
          </w:tblCellMar>
        </w:tblPrEx>
        <w:trPr>
          <w:trHeight w:val="1387" w:hRule="atLeast"/>
          <w:jc w:val="center"/>
        </w:trPr>
        <w:tc>
          <w:tcPr>
            <w:tcW w:w="2294" w:type="dxa"/>
            <w:vAlign w:val="center"/>
          </w:tcPr>
          <w:p>
            <w:pPr>
              <w:widowControl/>
              <w:spacing w:line="240" w:lineRule="auto"/>
              <w:ind w:firstLine="0" w:firstLineChars="0"/>
              <w:jc w:val="center"/>
              <w:textAlignment w:val="center"/>
              <w:rPr>
                <w:rFonts w:cs="Times New Roman"/>
                <w:sz w:val="24"/>
                <w:szCs w:val="24"/>
              </w:rPr>
            </w:pPr>
            <w:r>
              <w:rPr>
                <w:rFonts w:cs="Times New Roman"/>
                <w:sz w:val="24"/>
                <w:szCs w:val="24"/>
              </w:rPr>
              <w:t>X</w:t>
            </w:r>
            <w:r>
              <w:rPr>
                <w:rFonts w:hint="eastAsia" w:cs="Times New Roman"/>
                <w:sz w:val="24"/>
                <w:szCs w:val="24"/>
              </w:rPr>
              <w:t>＜</w:t>
            </w:r>
            <w:r>
              <w:rPr>
                <w:rFonts w:cs="Times New Roman"/>
                <w:sz w:val="24"/>
                <w:szCs w:val="24"/>
              </w:rPr>
              <w:t>60</w:t>
            </w:r>
            <w:r>
              <w:rPr>
                <w:rFonts w:hint="eastAsia" w:cs="Times New Roman"/>
                <w:sz w:val="24"/>
                <w:szCs w:val="24"/>
              </w:rPr>
              <w:t>分</w:t>
            </w:r>
          </w:p>
        </w:tc>
        <w:tc>
          <w:tcPr>
            <w:tcW w:w="2300" w:type="dxa"/>
            <w:vAlign w:val="center"/>
          </w:tcPr>
          <w:p>
            <w:pPr>
              <w:widowControl/>
              <w:spacing w:line="240" w:lineRule="auto"/>
              <w:ind w:firstLine="0" w:firstLineChars="0"/>
              <w:jc w:val="center"/>
              <w:textAlignment w:val="center"/>
              <w:rPr>
                <w:rFonts w:cs="Times New Roman"/>
                <w:sz w:val="24"/>
                <w:szCs w:val="24"/>
              </w:rPr>
            </w:pPr>
            <w:r>
              <w:rPr>
                <w:rFonts w:cs="Times New Roman"/>
                <w:sz w:val="24"/>
                <w:szCs w:val="24"/>
              </w:rPr>
              <w:t>0-80%</w:t>
            </w:r>
            <w:r>
              <w:rPr>
                <w:rFonts w:hint="eastAsia" w:cs="Times New Roman"/>
                <w:sz w:val="24"/>
                <w:szCs w:val="24"/>
              </w:rPr>
              <w:t>（不含）</w:t>
            </w:r>
          </w:p>
        </w:tc>
        <w:tc>
          <w:tcPr>
            <w:tcW w:w="3702" w:type="dxa"/>
            <w:vAlign w:val="center"/>
          </w:tcPr>
          <w:p>
            <w:pPr>
              <w:widowControl/>
              <w:spacing w:line="240" w:lineRule="auto"/>
              <w:ind w:firstLine="0" w:firstLineChars="0"/>
              <w:jc w:val="center"/>
              <w:textAlignment w:val="center"/>
              <w:rPr>
                <w:rFonts w:cs="Times New Roman"/>
                <w:sz w:val="24"/>
                <w:szCs w:val="24"/>
              </w:rPr>
            </w:pPr>
            <w:r>
              <w:rPr>
                <w:rFonts w:hint="eastAsia" w:cs="Times New Roman"/>
                <w:sz w:val="24"/>
                <w:szCs w:val="24"/>
              </w:rPr>
              <w:t>由项目公司进行整改，整改之后政府方重新对运营维护方进行考核，以整改后考核分数为准</w:t>
            </w:r>
          </w:p>
        </w:tc>
      </w:tr>
    </w:tbl>
    <w:p>
      <w:pPr>
        <w:ind w:firstLine="560"/>
      </w:pPr>
      <w:r>
        <w:rPr>
          <w:rFonts w:hint="eastAsia"/>
        </w:rPr>
        <w:t>注明：</w:t>
      </w:r>
    </w:p>
    <w:p>
      <w:pPr>
        <w:ind w:firstLine="560"/>
      </w:pPr>
      <w:r>
        <w:rPr>
          <w:rFonts w:hint="eastAsia"/>
        </w:rPr>
        <w:t>得分＜60分的视为不合格的，社会资本方必须进行整改，整改之后政府方重新进行考核，按两次考核的算术平均分计算支付比例。整改费用和重新考核费用由社会资本方承担。若连续两次整改不合格，政府有权兑取运营维护履约保函，若有政府补助的情况下并暂停支付当期政府付费金额，整改合格后，立即按照前两次考核结果的平均分，支付当期政府付费金额。</w:t>
      </w:r>
    </w:p>
    <w:p>
      <w:pPr>
        <w:ind w:firstLine="560"/>
      </w:pPr>
      <w:r>
        <w:rPr>
          <w:rFonts w:hint="eastAsia"/>
        </w:rPr>
        <w:t>若年度内未进行临时绩效考核，则年度运营绩效考核最终得分（T2）=常规绩效考核得分。</w:t>
      </w:r>
    </w:p>
    <w:p>
      <w:pPr>
        <w:ind w:firstLine="560"/>
      </w:pPr>
      <w:r>
        <w:rPr>
          <w:rFonts w:hint="eastAsia"/>
        </w:rPr>
        <w:t>若年度内进行过临时绩效考核，则年度运营绩效考核得分（T</w:t>
      </w:r>
      <w:r>
        <w:rPr>
          <w:vertAlign w:val="subscript"/>
        </w:rPr>
        <w:t>2</w:t>
      </w:r>
      <w:r>
        <w:rPr>
          <w:rFonts w:hint="eastAsia"/>
        </w:rPr>
        <w:t>）＝（临时绩效考核得分之和/抽查次数）×40%+常规绩效考核得分×60%。</w:t>
      </w:r>
    </w:p>
    <w:p>
      <w:pPr>
        <w:ind w:firstLine="560"/>
      </w:pPr>
      <w:r>
        <w:t>5.</w:t>
      </w:r>
      <w:r>
        <w:rPr>
          <w:rFonts w:hint="eastAsia"/>
        </w:rPr>
        <w:t>本运营期绩效考核办法中未明确的部分，按照实际考核期内国家、宁夏回族自治区、吴忠市、同心县的相关法规规范执行；项目合作期内，本运营期绩效考核办法由实施机构负责解释，实施机构有权根据项目区域内的最终规划设计文件、建设、运营维护内容以及</w:t>
      </w:r>
      <w:r>
        <w:rPr>
          <w:rFonts w:hint="eastAsia" w:cs="Times New Roman"/>
        </w:rPr>
        <w:t>社会资本</w:t>
      </w:r>
      <w:r>
        <w:rPr>
          <w:rFonts w:hint="eastAsia"/>
        </w:rPr>
        <w:t>实际的运营维护情况等，对相应条款及评分细则根据实际情况进行调整。</w:t>
      </w:r>
    </w:p>
    <w:p>
      <w:pPr>
        <w:keepNext/>
        <w:keepLines/>
        <w:spacing w:before="120" w:after="120"/>
        <w:ind w:firstLine="562"/>
        <w:outlineLvl w:val="2"/>
        <w:rPr>
          <w:b/>
          <w:bCs/>
          <w:szCs w:val="32"/>
        </w:rPr>
      </w:pPr>
      <w:r>
        <w:rPr>
          <w:rFonts w:hint="eastAsia"/>
          <w:b/>
          <w:bCs/>
          <w:szCs w:val="32"/>
        </w:rPr>
        <w:t>（三）运营期常规绩效考核标准</w:t>
      </w:r>
    </w:p>
    <w:p>
      <w:pPr>
        <w:ind w:firstLine="560"/>
        <w:rPr>
          <w:rFonts w:cs="Times New Roman"/>
          <w:b/>
          <w:bCs/>
          <w:sz w:val="36"/>
          <w:szCs w:val="40"/>
        </w:rPr>
        <w:sectPr>
          <w:pgSz w:w="11906" w:h="16838"/>
          <w:pgMar w:top="1440" w:right="1800" w:bottom="1440" w:left="1800" w:header="851" w:footer="992" w:gutter="0"/>
          <w:cols w:space="425" w:num="1"/>
          <w:docGrid w:linePitch="312" w:charSpace="0"/>
        </w:sectPr>
      </w:pPr>
      <w:r>
        <w:rPr>
          <w:rFonts w:hint="eastAsia"/>
        </w:rPr>
        <w:t>运营期常规绩效考核标准、临时考核项目及扣款标准见下表：</w:t>
      </w:r>
    </w:p>
    <w:p>
      <w:pPr>
        <w:ind w:firstLine="482"/>
        <w:jc w:val="center"/>
        <w:rPr>
          <w:rFonts w:cs="Times New Roman"/>
          <w:b/>
          <w:bCs/>
          <w:sz w:val="24"/>
          <w:szCs w:val="28"/>
        </w:rPr>
      </w:pPr>
      <w:r>
        <w:rPr>
          <w:rFonts w:hint="eastAsia" w:cs="Times New Roman"/>
          <w:b/>
          <w:bCs/>
          <w:sz w:val="24"/>
          <w:szCs w:val="28"/>
        </w:rPr>
        <w:t>表1</w:t>
      </w:r>
      <w:r>
        <w:rPr>
          <w:rFonts w:cs="Times New Roman"/>
          <w:b/>
          <w:bCs/>
          <w:sz w:val="24"/>
          <w:szCs w:val="28"/>
        </w:rPr>
        <w:t>2</w:t>
      </w:r>
      <w:r>
        <w:rPr>
          <w:rFonts w:hint="eastAsia" w:cs="Times New Roman"/>
          <w:b/>
          <w:bCs/>
          <w:sz w:val="24"/>
          <w:szCs w:val="28"/>
        </w:rPr>
        <w:t>-5</w:t>
      </w:r>
      <w:r>
        <w:rPr>
          <w:rFonts w:cs="Times New Roman"/>
          <w:b/>
          <w:bCs/>
          <w:sz w:val="24"/>
          <w:szCs w:val="28"/>
        </w:rPr>
        <w:t xml:space="preserve"> 运营期绩效考核指标体系</w:t>
      </w:r>
    </w:p>
    <w:p>
      <w:pPr>
        <w:ind w:firstLine="0" w:firstLineChars="0"/>
        <w:rPr>
          <w:rFonts w:cs="Times New Roman"/>
        </w:rPr>
      </w:pPr>
    </w:p>
    <w:tbl>
      <w:tblPr>
        <w:tblStyle w:val="30"/>
        <w:tblW w:w="1473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81"/>
        <w:gridCol w:w="1095"/>
        <w:gridCol w:w="1118"/>
        <w:gridCol w:w="2088"/>
        <w:gridCol w:w="709"/>
        <w:gridCol w:w="3402"/>
        <w:gridCol w:w="524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blHeader/>
          <w:jc w:val="center"/>
        </w:trPr>
        <w:tc>
          <w:tcPr>
            <w:tcW w:w="1081" w:type="dxa"/>
            <w:vAlign w:val="center"/>
          </w:tcPr>
          <w:p>
            <w:pPr>
              <w:spacing w:line="240" w:lineRule="auto"/>
              <w:ind w:firstLine="0" w:firstLineChars="0"/>
              <w:jc w:val="center"/>
              <w:rPr>
                <w:rFonts w:cs="Times New Roman"/>
                <w:b/>
                <w:bCs/>
                <w:sz w:val="21"/>
                <w:szCs w:val="21"/>
              </w:rPr>
            </w:pPr>
            <w:r>
              <w:rPr>
                <w:rFonts w:cs="Times New Roman"/>
                <w:b/>
                <w:bCs/>
                <w:sz w:val="21"/>
                <w:szCs w:val="21"/>
              </w:rPr>
              <w:t>一级指标</w:t>
            </w:r>
          </w:p>
        </w:tc>
        <w:tc>
          <w:tcPr>
            <w:tcW w:w="1095" w:type="dxa"/>
            <w:vAlign w:val="center"/>
          </w:tcPr>
          <w:p>
            <w:pPr>
              <w:spacing w:line="240" w:lineRule="auto"/>
              <w:ind w:firstLine="0" w:firstLineChars="0"/>
              <w:jc w:val="center"/>
              <w:rPr>
                <w:rFonts w:cs="Times New Roman"/>
                <w:b/>
                <w:bCs/>
                <w:sz w:val="21"/>
                <w:szCs w:val="21"/>
              </w:rPr>
            </w:pPr>
            <w:r>
              <w:rPr>
                <w:rFonts w:cs="Times New Roman"/>
                <w:b/>
                <w:bCs/>
                <w:sz w:val="21"/>
                <w:szCs w:val="21"/>
              </w:rPr>
              <w:t>二级指标</w:t>
            </w:r>
          </w:p>
        </w:tc>
        <w:tc>
          <w:tcPr>
            <w:tcW w:w="1118" w:type="dxa"/>
            <w:vAlign w:val="center"/>
          </w:tcPr>
          <w:p>
            <w:pPr>
              <w:spacing w:line="240" w:lineRule="auto"/>
              <w:ind w:firstLine="0" w:firstLineChars="0"/>
              <w:jc w:val="center"/>
              <w:rPr>
                <w:rFonts w:cs="Times New Roman"/>
                <w:b/>
                <w:bCs/>
                <w:sz w:val="21"/>
                <w:szCs w:val="21"/>
              </w:rPr>
            </w:pPr>
            <w:r>
              <w:rPr>
                <w:rFonts w:cs="Times New Roman"/>
                <w:b/>
                <w:bCs/>
                <w:sz w:val="21"/>
                <w:szCs w:val="21"/>
              </w:rPr>
              <w:t>三级指标</w:t>
            </w:r>
          </w:p>
        </w:tc>
        <w:tc>
          <w:tcPr>
            <w:tcW w:w="2088" w:type="dxa"/>
            <w:vAlign w:val="center"/>
          </w:tcPr>
          <w:p>
            <w:pPr>
              <w:spacing w:line="240" w:lineRule="auto"/>
              <w:ind w:firstLine="0" w:firstLineChars="0"/>
              <w:jc w:val="center"/>
              <w:rPr>
                <w:rFonts w:cs="Times New Roman"/>
                <w:b/>
                <w:bCs/>
                <w:sz w:val="21"/>
                <w:szCs w:val="21"/>
              </w:rPr>
            </w:pPr>
            <w:r>
              <w:rPr>
                <w:rFonts w:cs="Times New Roman"/>
                <w:b/>
                <w:bCs/>
                <w:sz w:val="21"/>
                <w:szCs w:val="21"/>
              </w:rPr>
              <w:t>指标解释</w:t>
            </w:r>
          </w:p>
        </w:tc>
        <w:tc>
          <w:tcPr>
            <w:tcW w:w="709" w:type="dxa"/>
            <w:vAlign w:val="center"/>
          </w:tcPr>
          <w:p>
            <w:pPr>
              <w:spacing w:line="240" w:lineRule="auto"/>
              <w:ind w:firstLine="0" w:firstLineChars="0"/>
              <w:jc w:val="center"/>
              <w:rPr>
                <w:rFonts w:cs="Times New Roman"/>
                <w:b/>
                <w:bCs/>
                <w:sz w:val="21"/>
                <w:szCs w:val="21"/>
              </w:rPr>
            </w:pPr>
            <w:r>
              <w:rPr>
                <w:rFonts w:cs="Times New Roman"/>
                <w:b/>
                <w:bCs/>
                <w:sz w:val="21"/>
                <w:szCs w:val="21"/>
              </w:rPr>
              <w:t>指标分值</w:t>
            </w:r>
          </w:p>
        </w:tc>
        <w:tc>
          <w:tcPr>
            <w:tcW w:w="3402" w:type="dxa"/>
            <w:vAlign w:val="center"/>
          </w:tcPr>
          <w:p>
            <w:pPr>
              <w:spacing w:line="240" w:lineRule="auto"/>
              <w:ind w:firstLine="0" w:firstLineChars="0"/>
              <w:jc w:val="center"/>
              <w:rPr>
                <w:rFonts w:cs="Times New Roman"/>
                <w:b/>
                <w:bCs/>
                <w:sz w:val="21"/>
                <w:szCs w:val="21"/>
              </w:rPr>
            </w:pPr>
            <w:r>
              <w:rPr>
                <w:rFonts w:cs="Times New Roman"/>
                <w:b/>
                <w:bCs/>
                <w:sz w:val="21"/>
                <w:szCs w:val="21"/>
              </w:rPr>
              <w:t>评价标准</w:t>
            </w:r>
          </w:p>
        </w:tc>
        <w:tc>
          <w:tcPr>
            <w:tcW w:w="5240" w:type="dxa"/>
            <w:vAlign w:val="center"/>
          </w:tcPr>
          <w:p>
            <w:pPr>
              <w:spacing w:line="240" w:lineRule="auto"/>
              <w:ind w:firstLine="0" w:firstLineChars="0"/>
              <w:jc w:val="center"/>
              <w:rPr>
                <w:rFonts w:cs="Times New Roman"/>
                <w:b/>
                <w:bCs/>
                <w:sz w:val="21"/>
                <w:szCs w:val="21"/>
              </w:rPr>
            </w:pPr>
            <w:r>
              <w:rPr>
                <w:rFonts w:cs="Times New Roman"/>
                <w:b/>
                <w:bCs/>
                <w:sz w:val="21"/>
                <w:szCs w:val="21"/>
              </w:rPr>
              <w:t>评价方法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restart"/>
            <w:vAlign w:val="center"/>
          </w:tcPr>
          <w:p>
            <w:pPr>
              <w:spacing w:line="240" w:lineRule="auto"/>
              <w:ind w:firstLine="0" w:firstLineChars="0"/>
              <w:jc w:val="center"/>
              <w:rPr>
                <w:rFonts w:cs="Times New Roman"/>
                <w:sz w:val="21"/>
                <w:szCs w:val="21"/>
              </w:rPr>
            </w:pPr>
            <w:r>
              <w:rPr>
                <w:rFonts w:cs="Times New Roman"/>
                <w:sz w:val="21"/>
                <w:szCs w:val="21"/>
              </w:rPr>
              <w:t>产出</w:t>
            </w:r>
          </w:p>
          <w:p>
            <w:pPr>
              <w:spacing w:line="240" w:lineRule="auto"/>
              <w:ind w:firstLine="0" w:firstLineChars="0"/>
              <w:jc w:val="center"/>
              <w:rPr>
                <w:rFonts w:cs="Times New Roman"/>
                <w:sz w:val="21"/>
                <w:szCs w:val="21"/>
              </w:rPr>
            </w:pPr>
            <w:r>
              <w:rPr>
                <w:rFonts w:hint="eastAsia" w:cs="Times New Roman"/>
                <w:sz w:val="21"/>
                <w:szCs w:val="21"/>
              </w:rPr>
              <w:t>(</w:t>
            </w:r>
            <w:r>
              <w:rPr>
                <w:rFonts w:cs="Times New Roman"/>
                <w:sz w:val="21"/>
                <w:szCs w:val="21"/>
              </w:rPr>
              <w:t>80分</w:t>
            </w:r>
            <w:r>
              <w:rPr>
                <w:rFonts w:hint="eastAsia" w:cs="Times New Roman"/>
                <w:sz w:val="21"/>
                <w:szCs w:val="21"/>
              </w:rPr>
              <w:t>)</w:t>
            </w:r>
          </w:p>
        </w:tc>
        <w:tc>
          <w:tcPr>
            <w:tcW w:w="1095" w:type="dxa"/>
            <w:vMerge w:val="restart"/>
            <w:vAlign w:val="center"/>
          </w:tcPr>
          <w:p>
            <w:pPr>
              <w:spacing w:line="240" w:lineRule="auto"/>
              <w:ind w:firstLine="0" w:firstLineChars="0"/>
              <w:jc w:val="center"/>
              <w:rPr>
                <w:rFonts w:cs="Times New Roman"/>
                <w:sz w:val="21"/>
                <w:szCs w:val="21"/>
              </w:rPr>
            </w:pPr>
            <w:r>
              <w:rPr>
                <w:rFonts w:cs="Times New Roman"/>
                <w:sz w:val="21"/>
                <w:szCs w:val="21"/>
              </w:rPr>
              <w:t>项目运营</w:t>
            </w:r>
            <w:r>
              <w:rPr>
                <w:rFonts w:hint="eastAsia" w:cs="Times New Roman"/>
                <w:sz w:val="21"/>
                <w:szCs w:val="21"/>
              </w:rPr>
              <w:t>(</w:t>
            </w:r>
            <w:r>
              <w:rPr>
                <w:rFonts w:cs="Times New Roman"/>
                <w:sz w:val="21"/>
                <w:szCs w:val="21"/>
              </w:rPr>
              <w:t>40分)</w:t>
            </w:r>
          </w:p>
        </w:tc>
        <w:tc>
          <w:tcPr>
            <w:tcW w:w="1118" w:type="dxa"/>
            <w:vAlign w:val="center"/>
          </w:tcPr>
          <w:p>
            <w:pPr>
              <w:spacing w:line="240" w:lineRule="auto"/>
              <w:ind w:firstLine="0" w:firstLineChars="0"/>
              <w:rPr>
                <w:rFonts w:cs="Times New Roman"/>
                <w:sz w:val="21"/>
                <w:szCs w:val="21"/>
              </w:rPr>
            </w:pPr>
            <w:r>
              <w:rPr>
                <w:rFonts w:cs="Times New Roman"/>
                <w:color w:val="000000"/>
                <w:sz w:val="21"/>
                <w:szCs w:val="21"/>
              </w:rPr>
              <w:t>水量调度</w:t>
            </w:r>
          </w:p>
        </w:tc>
        <w:tc>
          <w:tcPr>
            <w:tcW w:w="2088" w:type="dxa"/>
            <w:vAlign w:val="center"/>
          </w:tcPr>
          <w:p>
            <w:pPr>
              <w:spacing w:line="240" w:lineRule="auto"/>
              <w:ind w:firstLine="0" w:firstLineChars="0"/>
              <w:rPr>
                <w:rFonts w:cs="Times New Roman"/>
                <w:sz w:val="21"/>
                <w:szCs w:val="21"/>
              </w:rPr>
            </w:pPr>
            <w:r>
              <w:rPr>
                <w:rFonts w:cs="Times New Roman"/>
                <w:color w:val="000000"/>
                <w:sz w:val="21"/>
                <w:szCs w:val="21"/>
              </w:rPr>
              <w:t>评价灌溉水量调度得准确性及管理</w:t>
            </w:r>
            <w:r>
              <w:rPr>
                <w:rFonts w:hint="eastAsia" w:cs="Times New Roman"/>
                <w:color w:val="000000"/>
                <w:sz w:val="21"/>
                <w:szCs w:val="21"/>
              </w:rPr>
              <w:t>的</w:t>
            </w:r>
            <w:r>
              <w:rPr>
                <w:rFonts w:cs="Times New Roman"/>
                <w:color w:val="000000"/>
                <w:sz w:val="21"/>
                <w:szCs w:val="21"/>
              </w:rPr>
              <w:t>有效性</w:t>
            </w:r>
          </w:p>
        </w:tc>
        <w:tc>
          <w:tcPr>
            <w:tcW w:w="709" w:type="dxa"/>
            <w:vAlign w:val="center"/>
          </w:tcPr>
          <w:p>
            <w:pPr>
              <w:spacing w:line="240" w:lineRule="auto"/>
              <w:ind w:firstLine="0" w:firstLineChars="0"/>
              <w:jc w:val="center"/>
              <w:rPr>
                <w:rFonts w:cs="Times New Roman"/>
                <w:sz w:val="21"/>
                <w:szCs w:val="21"/>
              </w:rPr>
            </w:pPr>
            <w:r>
              <w:rPr>
                <w:rFonts w:cs="Times New Roman"/>
                <w:sz w:val="21"/>
                <w:szCs w:val="21"/>
              </w:rPr>
              <w:t>20</w:t>
            </w:r>
          </w:p>
        </w:tc>
        <w:tc>
          <w:tcPr>
            <w:tcW w:w="3402" w:type="dxa"/>
            <w:vAlign w:val="center"/>
          </w:tcPr>
          <w:p>
            <w:pPr>
              <w:spacing w:line="240" w:lineRule="auto"/>
              <w:ind w:firstLine="0" w:firstLineChars="0"/>
              <w:rPr>
                <w:rFonts w:cs="Times New Roman"/>
                <w:sz w:val="21"/>
                <w:szCs w:val="21"/>
              </w:rPr>
            </w:pPr>
            <w:r>
              <w:rPr>
                <w:rFonts w:cs="Times New Roman"/>
                <w:color w:val="000000"/>
                <w:sz w:val="21"/>
                <w:szCs w:val="21"/>
              </w:rPr>
              <w:t>按要求每年编制灌区水量调度的方案或计划</w:t>
            </w:r>
            <w:r>
              <w:rPr>
                <w:rFonts w:hint="eastAsia" w:cs="Times New Roman"/>
                <w:color w:val="000000"/>
                <w:sz w:val="21"/>
                <w:szCs w:val="21"/>
              </w:rPr>
              <w:t>；</w:t>
            </w:r>
            <w:r>
              <w:rPr>
                <w:rFonts w:cs="Times New Roman"/>
                <w:color w:val="000000"/>
                <w:sz w:val="21"/>
                <w:szCs w:val="21"/>
              </w:rPr>
              <w:t>水量调度制度完善</w:t>
            </w:r>
            <w:r>
              <w:rPr>
                <w:rFonts w:hint="eastAsia" w:cs="Times New Roman"/>
                <w:color w:val="000000"/>
                <w:sz w:val="21"/>
                <w:szCs w:val="21"/>
              </w:rPr>
              <w:t>；</w:t>
            </w:r>
            <w:r>
              <w:rPr>
                <w:rFonts w:cs="Times New Roman"/>
                <w:color w:val="000000"/>
                <w:sz w:val="21"/>
                <w:szCs w:val="21"/>
              </w:rPr>
              <w:t>水量调度及时，准确</w:t>
            </w:r>
            <w:r>
              <w:rPr>
                <w:rFonts w:hint="eastAsia" w:cs="Times New Roman"/>
                <w:color w:val="000000"/>
                <w:sz w:val="21"/>
                <w:szCs w:val="21"/>
              </w:rPr>
              <w:t>；</w:t>
            </w:r>
            <w:r>
              <w:rPr>
                <w:rFonts w:cs="Times New Roman"/>
                <w:color w:val="000000"/>
                <w:sz w:val="21"/>
                <w:szCs w:val="21"/>
              </w:rPr>
              <w:t>水量调度记录完整。</w:t>
            </w:r>
          </w:p>
        </w:tc>
        <w:tc>
          <w:tcPr>
            <w:tcW w:w="5240" w:type="dxa"/>
            <w:vAlign w:val="center"/>
          </w:tcPr>
          <w:p>
            <w:pPr>
              <w:spacing w:line="240" w:lineRule="auto"/>
              <w:ind w:firstLine="0" w:firstLineChars="0"/>
              <w:rPr>
                <w:rFonts w:cs="Times New Roman"/>
                <w:color w:val="000000"/>
                <w:sz w:val="21"/>
                <w:szCs w:val="21"/>
              </w:rPr>
            </w:pPr>
            <w:r>
              <w:rPr>
                <w:rFonts w:cs="Times New Roman"/>
                <w:color w:val="000000"/>
                <w:sz w:val="21"/>
                <w:szCs w:val="21"/>
              </w:rPr>
              <w:t>各级渠系水量调度方案或计划每缺失一级，扣1分；</w:t>
            </w:r>
          </w:p>
          <w:p>
            <w:pPr>
              <w:spacing w:line="240" w:lineRule="auto"/>
              <w:ind w:firstLine="0" w:firstLineChars="0"/>
              <w:rPr>
                <w:rFonts w:cs="Times New Roman"/>
                <w:color w:val="000000"/>
                <w:sz w:val="21"/>
                <w:szCs w:val="21"/>
              </w:rPr>
            </w:pPr>
            <w:r>
              <w:rPr>
                <w:rFonts w:cs="Times New Roman"/>
                <w:color w:val="000000"/>
                <w:sz w:val="21"/>
                <w:szCs w:val="21"/>
              </w:rPr>
              <w:t>各级渠系水量调度制度每缺失一级，扣0.5分；</w:t>
            </w:r>
            <w:r>
              <w:rPr>
                <w:rFonts w:cs="Times New Roman"/>
                <w:color w:val="000000"/>
                <w:sz w:val="21"/>
                <w:szCs w:val="21"/>
              </w:rPr>
              <w:br w:type="textWrapping"/>
            </w:r>
            <w:r>
              <w:rPr>
                <w:rFonts w:cs="Times New Roman"/>
                <w:color w:val="000000"/>
                <w:sz w:val="21"/>
                <w:szCs w:val="21"/>
              </w:rPr>
              <w:t>每发生水量调度不及时或</w:t>
            </w:r>
            <w:r>
              <w:rPr>
                <w:rFonts w:hint="eastAsia" w:cs="Times New Roman"/>
                <w:color w:val="000000"/>
                <w:sz w:val="21"/>
                <w:szCs w:val="21"/>
              </w:rPr>
              <w:t>水量不达标，</w:t>
            </w:r>
            <w:r>
              <w:rPr>
                <w:rFonts w:cs="Times New Roman"/>
                <w:color w:val="000000"/>
                <w:sz w:val="21"/>
                <w:szCs w:val="21"/>
              </w:rPr>
              <w:t>一次扣1分；</w:t>
            </w:r>
          </w:p>
          <w:p>
            <w:pPr>
              <w:spacing w:line="240" w:lineRule="auto"/>
              <w:ind w:firstLine="0" w:firstLineChars="0"/>
              <w:rPr>
                <w:rFonts w:cs="Times New Roman"/>
                <w:sz w:val="21"/>
                <w:szCs w:val="21"/>
              </w:rPr>
            </w:pPr>
            <w:r>
              <w:rPr>
                <w:rFonts w:cs="Times New Roman"/>
                <w:color w:val="000000"/>
                <w:sz w:val="21"/>
                <w:szCs w:val="21"/>
              </w:rPr>
              <w:t>水量调度记录每发现一处不完整，扣1分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vAlign w:val="center"/>
          </w:tcPr>
          <w:p>
            <w:pPr>
              <w:spacing w:line="240" w:lineRule="auto"/>
              <w:ind w:firstLine="0" w:firstLineChars="0"/>
              <w:jc w:val="center"/>
              <w:rPr>
                <w:rFonts w:cs="Times New Roman"/>
                <w:sz w:val="21"/>
                <w:szCs w:val="21"/>
              </w:rPr>
            </w:pPr>
          </w:p>
        </w:tc>
        <w:tc>
          <w:tcPr>
            <w:tcW w:w="1095" w:type="dxa"/>
            <w:vMerge w:val="continue"/>
            <w:vAlign w:val="center"/>
          </w:tcPr>
          <w:p>
            <w:pPr>
              <w:spacing w:line="240" w:lineRule="auto"/>
              <w:ind w:firstLine="0" w:firstLineChars="0"/>
              <w:jc w:val="center"/>
              <w:rPr>
                <w:rFonts w:cs="Times New Roman"/>
                <w:sz w:val="21"/>
                <w:szCs w:val="21"/>
              </w:rPr>
            </w:pPr>
          </w:p>
        </w:tc>
        <w:tc>
          <w:tcPr>
            <w:tcW w:w="1118" w:type="dxa"/>
            <w:vAlign w:val="center"/>
          </w:tcPr>
          <w:p>
            <w:pPr>
              <w:spacing w:line="240" w:lineRule="auto"/>
              <w:ind w:firstLine="0" w:firstLineChars="0"/>
              <w:rPr>
                <w:rFonts w:cs="Times New Roman"/>
                <w:sz w:val="21"/>
                <w:szCs w:val="21"/>
              </w:rPr>
            </w:pPr>
            <w:r>
              <w:rPr>
                <w:rFonts w:cs="Times New Roman"/>
                <w:color w:val="000000"/>
                <w:sz w:val="21"/>
                <w:szCs w:val="21"/>
              </w:rPr>
              <w:t>灌溉水质</w:t>
            </w:r>
          </w:p>
        </w:tc>
        <w:tc>
          <w:tcPr>
            <w:tcW w:w="2088" w:type="dxa"/>
            <w:vAlign w:val="center"/>
          </w:tcPr>
          <w:p>
            <w:pPr>
              <w:spacing w:line="240" w:lineRule="auto"/>
              <w:ind w:firstLine="0" w:firstLineChars="0"/>
              <w:rPr>
                <w:rFonts w:cs="Times New Roman"/>
                <w:sz w:val="21"/>
                <w:szCs w:val="21"/>
              </w:rPr>
            </w:pPr>
            <w:r>
              <w:rPr>
                <w:rFonts w:cs="Times New Roman"/>
                <w:color w:val="000000"/>
                <w:sz w:val="21"/>
                <w:szCs w:val="21"/>
              </w:rPr>
              <w:t>评价灌溉水质达标情况</w:t>
            </w:r>
          </w:p>
        </w:tc>
        <w:tc>
          <w:tcPr>
            <w:tcW w:w="709" w:type="dxa"/>
            <w:vAlign w:val="center"/>
          </w:tcPr>
          <w:p>
            <w:pPr>
              <w:spacing w:line="240" w:lineRule="auto"/>
              <w:ind w:firstLine="0" w:firstLineChars="0"/>
              <w:jc w:val="center"/>
              <w:rPr>
                <w:rFonts w:cs="Times New Roman"/>
                <w:sz w:val="21"/>
                <w:szCs w:val="21"/>
              </w:rPr>
            </w:pPr>
            <w:r>
              <w:rPr>
                <w:rFonts w:cs="Times New Roman"/>
                <w:sz w:val="21"/>
                <w:szCs w:val="21"/>
              </w:rPr>
              <w:t>2</w:t>
            </w:r>
          </w:p>
        </w:tc>
        <w:tc>
          <w:tcPr>
            <w:tcW w:w="3402" w:type="dxa"/>
            <w:vAlign w:val="center"/>
          </w:tcPr>
          <w:p>
            <w:pPr>
              <w:spacing w:line="240" w:lineRule="auto"/>
              <w:ind w:firstLine="0" w:firstLineChars="0"/>
              <w:rPr>
                <w:rFonts w:cs="Times New Roman"/>
                <w:sz w:val="21"/>
                <w:szCs w:val="21"/>
              </w:rPr>
            </w:pPr>
            <w:r>
              <w:rPr>
                <w:rFonts w:cs="Times New Roman"/>
                <w:color w:val="000000"/>
                <w:sz w:val="21"/>
                <w:szCs w:val="21"/>
              </w:rPr>
              <w:t>农田灌溉水质的各项参数指标应符合</w:t>
            </w:r>
            <w:r>
              <w:rPr>
                <w:rFonts w:hint="eastAsia" w:cs="Times New Roman"/>
                <w:color w:val="000000"/>
                <w:sz w:val="21"/>
                <w:szCs w:val="21"/>
              </w:rPr>
              <w:t>《农田灌溉水质标准》（</w:t>
            </w:r>
            <w:r>
              <w:rPr>
                <w:rFonts w:cs="Times New Roman"/>
                <w:color w:val="000000"/>
                <w:sz w:val="21"/>
                <w:szCs w:val="21"/>
              </w:rPr>
              <w:t>GB5084-2021）</w:t>
            </w:r>
            <w:r>
              <w:rPr>
                <w:rFonts w:hint="eastAsia" w:cs="Times New Roman"/>
                <w:color w:val="000000"/>
                <w:sz w:val="21"/>
                <w:szCs w:val="21"/>
              </w:rPr>
              <w:t>农田灌溉水质基本控制项目限值</w:t>
            </w:r>
            <w:r>
              <w:rPr>
                <w:rFonts w:cs="Times New Roman"/>
                <w:color w:val="000000"/>
                <w:sz w:val="21"/>
                <w:szCs w:val="21"/>
              </w:rPr>
              <w:t>对水质参数的设定。</w:t>
            </w:r>
          </w:p>
        </w:tc>
        <w:tc>
          <w:tcPr>
            <w:tcW w:w="5240" w:type="dxa"/>
            <w:vAlign w:val="center"/>
          </w:tcPr>
          <w:p>
            <w:pPr>
              <w:spacing w:line="240" w:lineRule="auto"/>
              <w:ind w:firstLine="0" w:firstLineChars="0"/>
              <w:rPr>
                <w:rFonts w:cs="Times New Roman"/>
                <w:sz w:val="21"/>
                <w:szCs w:val="21"/>
              </w:rPr>
            </w:pPr>
            <w:r>
              <w:rPr>
                <w:rFonts w:cs="Times New Roman"/>
                <w:color w:val="000000"/>
                <w:sz w:val="21"/>
                <w:szCs w:val="21"/>
              </w:rPr>
              <w:t>每检测出一项不符合标准的指标扣0.5分，扣完为止。</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vAlign w:val="center"/>
          </w:tcPr>
          <w:p>
            <w:pPr>
              <w:spacing w:line="240" w:lineRule="auto"/>
              <w:ind w:firstLine="0" w:firstLineChars="0"/>
              <w:jc w:val="center"/>
              <w:rPr>
                <w:rFonts w:cs="Times New Roman"/>
                <w:sz w:val="21"/>
                <w:szCs w:val="21"/>
              </w:rPr>
            </w:pPr>
          </w:p>
        </w:tc>
        <w:tc>
          <w:tcPr>
            <w:tcW w:w="1095" w:type="dxa"/>
            <w:vMerge w:val="continue"/>
            <w:vAlign w:val="center"/>
          </w:tcPr>
          <w:p>
            <w:pPr>
              <w:spacing w:line="240" w:lineRule="auto"/>
              <w:ind w:firstLine="0" w:firstLineChars="0"/>
              <w:jc w:val="center"/>
              <w:rPr>
                <w:rFonts w:cs="Times New Roman"/>
                <w:sz w:val="21"/>
                <w:szCs w:val="21"/>
              </w:rPr>
            </w:pPr>
          </w:p>
        </w:tc>
        <w:tc>
          <w:tcPr>
            <w:tcW w:w="1118" w:type="dxa"/>
            <w:vAlign w:val="center"/>
          </w:tcPr>
          <w:p>
            <w:pPr>
              <w:spacing w:line="240" w:lineRule="auto"/>
              <w:ind w:firstLine="0" w:firstLineChars="0"/>
              <w:rPr>
                <w:rFonts w:cs="Times New Roman"/>
                <w:sz w:val="21"/>
                <w:szCs w:val="21"/>
              </w:rPr>
            </w:pPr>
            <w:r>
              <w:rPr>
                <w:rFonts w:cs="Times New Roman"/>
                <w:color w:val="000000"/>
                <w:sz w:val="21"/>
                <w:szCs w:val="21"/>
              </w:rPr>
              <w:t>灌溉用水利用率</w:t>
            </w:r>
          </w:p>
        </w:tc>
        <w:tc>
          <w:tcPr>
            <w:tcW w:w="2088" w:type="dxa"/>
            <w:vAlign w:val="center"/>
          </w:tcPr>
          <w:p>
            <w:pPr>
              <w:spacing w:line="240" w:lineRule="auto"/>
              <w:ind w:firstLine="0" w:firstLineChars="0"/>
              <w:rPr>
                <w:rFonts w:cs="Times New Roman"/>
                <w:sz w:val="21"/>
                <w:szCs w:val="21"/>
              </w:rPr>
            </w:pPr>
            <w:r>
              <w:rPr>
                <w:rFonts w:cs="Times New Roman"/>
                <w:color w:val="000000"/>
                <w:sz w:val="21"/>
                <w:szCs w:val="21"/>
              </w:rPr>
              <w:t>评价灌溉用水利用效率</w:t>
            </w:r>
          </w:p>
        </w:tc>
        <w:tc>
          <w:tcPr>
            <w:tcW w:w="709" w:type="dxa"/>
            <w:vAlign w:val="center"/>
          </w:tcPr>
          <w:p>
            <w:pPr>
              <w:spacing w:line="240" w:lineRule="auto"/>
              <w:ind w:firstLine="0" w:firstLineChars="0"/>
              <w:jc w:val="center"/>
              <w:rPr>
                <w:rFonts w:cs="Times New Roman"/>
                <w:sz w:val="21"/>
                <w:szCs w:val="21"/>
              </w:rPr>
            </w:pPr>
            <w:r>
              <w:rPr>
                <w:rFonts w:cs="Times New Roman"/>
                <w:sz w:val="21"/>
                <w:szCs w:val="21"/>
              </w:rPr>
              <w:t>8</w:t>
            </w:r>
          </w:p>
        </w:tc>
        <w:tc>
          <w:tcPr>
            <w:tcW w:w="3402" w:type="dxa"/>
            <w:vAlign w:val="center"/>
          </w:tcPr>
          <w:p>
            <w:pPr>
              <w:spacing w:line="240" w:lineRule="auto"/>
              <w:ind w:firstLine="0" w:firstLineChars="0"/>
              <w:rPr>
                <w:rFonts w:cs="Times New Roman"/>
                <w:sz w:val="21"/>
                <w:szCs w:val="21"/>
              </w:rPr>
            </w:pPr>
            <w:r>
              <w:rPr>
                <w:rFonts w:cs="Times New Roman"/>
                <w:color w:val="000000"/>
                <w:sz w:val="21"/>
                <w:szCs w:val="21"/>
              </w:rPr>
              <w:t>本项目灌溉水利用系数应不低于 0.7，田间水利用系数应不低于 0.95。</w:t>
            </w:r>
          </w:p>
        </w:tc>
        <w:tc>
          <w:tcPr>
            <w:tcW w:w="5240" w:type="dxa"/>
            <w:vAlign w:val="center"/>
          </w:tcPr>
          <w:p>
            <w:pPr>
              <w:spacing w:line="240" w:lineRule="auto"/>
              <w:ind w:firstLine="0" w:firstLineChars="0"/>
              <w:rPr>
                <w:rFonts w:cs="Times New Roman"/>
                <w:sz w:val="21"/>
                <w:szCs w:val="21"/>
              </w:rPr>
            </w:pPr>
            <w:r>
              <w:rPr>
                <w:rFonts w:cs="Times New Roman"/>
                <w:color w:val="000000"/>
                <w:sz w:val="21"/>
                <w:szCs w:val="21"/>
              </w:rPr>
              <w:t>灌溉水利用系数和田间水利用系数每下降5%扣1分，扣完为止。</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vAlign w:val="center"/>
          </w:tcPr>
          <w:p>
            <w:pPr>
              <w:spacing w:line="240" w:lineRule="auto"/>
              <w:ind w:firstLine="0" w:firstLineChars="0"/>
              <w:jc w:val="center"/>
              <w:rPr>
                <w:rFonts w:cs="Times New Roman"/>
                <w:sz w:val="21"/>
                <w:szCs w:val="21"/>
              </w:rPr>
            </w:pPr>
          </w:p>
        </w:tc>
        <w:tc>
          <w:tcPr>
            <w:tcW w:w="1095" w:type="dxa"/>
            <w:vMerge w:val="continue"/>
            <w:vAlign w:val="center"/>
          </w:tcPr>
          <w:p>
            <w:pPr>
              <w:spacing w:line="240" w:lineRule="auto"/>
              <w:ind w:firstLine="0" w:firstLineChars="0"/>
              <w:jc w:val="center"/>
              <w:rPr>
                <w:rFonts w:cs="Times New Roman"/>
                <w:sz w:val="21"/>
                <w:szCs w:val="21"/>
              </w:rPr>
            </w:pPr>
          </w:p>
        </w:tc>
        <w:tc>
          <w:tcPr>
            <w:tcW w:w="1118" w:type="dxa"/>
            <w:vAlign w:val="center"/>
          </w:tcPr>
          <w:p>
            <w:pPr>
              <w:spacing w:line="240" w:lineRule="auto"/>
              <w:ind w:firstLine="0" w:firstLineChars="0"/>
              <w:rPr>
                <w:rFonts w:cs="Times New Roman"/>
                <w:sz w:val="21"/>
                <w:szCs w:val="21"/>
              </w:rPr>
            </w:pPr>
            <w:r>
              <w:rPr>
                <w:rFonts w:cs="Times New Roman"/>
                <w:color w:val="000000"/>
                <w:sz w:val="21"/>
                <w:szCs w:val="21"/>
              </w:rPr>
              <w:t>灌溉用水含沙量</w:t>
            </w:r>
          </w:p>
        </w:tc>
        <w:tc>
          <w:tcPr>
            <w:tcW w:w="2088" w:type="dxa"/>
            <w:vAlign w:val="center"/>
          </w:tcPr>
          <w:p>
            <w:pPr>
              <w:spacing w:line="240" w:lineRule="auto"/>
              <w:ind w:firstLine="0" w:firstLineChars="0"/>
              <w:rPr>
                <w:rFonts w:cs="Times New Roman"/>
                <w:sz w:val="21"/>
                <w:szCs w:val="21"/>
              </w:rPr>
            </w:pPr>
            <w:r>
              <w:rPr>
                <w:rFonts w:cs="Times New Roman"/>
                <w:color w:val="000000"/>
                <w:sz w:val="21"/>
                <w:szCs w:val="21"/>
              </w:rPr>
              <w:t>评价灌溉水质情况，防止农田土地沙化</w:t>
            </w:r>
          </w:p>
        </w:tc>
        <w:tc>
          <w:tcPr>
            <w:tcW w:w="709" w:type="dxa"/>
            <w:vAlign w:val="center"/>
          </w:tcPr>
          <w:p>
            <w:pPr>
              <w:spacing w:line="240" w:lineRule="auto"/>
              <w:ind w:firstLine="0" w:firstLineChars="0"/>
              <w:jc w:val="center"/>
              <w:rPr>
                <w:rFonts w:cs="Times New Roman"/>
                <w:sz w:val="21"/>
                <w:szCs w:val="21"/>
              </w:rPr>
            </w:pPr>
            <w:r>
              <w:rPr>
                <w:rFonts w:cs="Times New Roman"/>
                <w:sz w:val="21"/>
                <w:szCs w:val="21"/>
              </w:rPr>
              <w:t>8</w:t>
            </w:r>
          </w:p>
        </w:tc>
        <w:tc>
          <w:tcPr>
            <w:tcW w:w="3402" w:type="dxa"/>
            <w:vAlign w:val="center"/>
          </w:tcPr>
          <w:p>
            <w:pPr>
              <w:spacing w:line="240" w:lineRule="auto"/>
              <w:ind w:firstLine="0" w:firstLineChars="0"/>
              <w:rPr>
                <w:rFonts w:cs="Times New Roman"/>
                <w:sz w:val="21"/>
                <w:szCs w:val="21"/>
              </w:rPr>
            </w:pPr>
            <w:r>
              <w:rPr>
                <w:rFonts w:cs="Times New Roman"/>
                <w:color w:val="000000"/>
                <w:sz w:val="21"/>
                <w:szCs w:val="21"/>
              </w:rPr>
              <w:t>灌溉泵站对从水源抽水进行防沙、沉沙、排沙等程序，灌溉用水的含沙量不得高于7%。</w:t>
            </w:r>
          </w:p>
        </w:tc>
        <w:tc>
          <w:tcPr>
            <w:tcW w:w="5240" w:type="dxa"/>
            <w:vAlign w:val="center"/>
          </w:tcPr>
          <w:p>
            <w:pPr>
              <w:spacing w:line="240" w:lineRule="auto"/>
              <w:ind w:firstLine="0" w:firstLineChars="0"/>
              <w:rPr>
                <w:rFonts w:cs="Times New Roman"/>
                <w:sz w:val="21"/>
                <w:szCs w:val="21"/>
              </w:rPr>
            </w:pPr>
            <w:r>
              <w:rPr>
                <w:rFonts w:cs="Times New Roman"/>
                <w:color w:val="000000"/>
                <w:sz w:val="21"/>
                <w:szCs w:val="21"/>
              </w:rPr>
              <w:t>若灌溉用水的含沙量高于7%，每高于标准的3%扣 1分，扣完为止。</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vAlign w:val="center"/>
          </w:tcPr>
          <w:p>
            <w:pPr>
              <w:spacing w:line="240" w:lineRule="auto"/>
              <w:ind w:firstLine="0" w:firstLineChars="0"/>
              <w:jc w:val="center"/>
              <w:rPr>
                <w:rFonts w:cs="Times New Roman"/>
                <w:sz w:val="21"/>
                <w:szCs w:val="21"/>
              </w:rPr>
            </w:pPr>
          </w:p>
        </w:tc>
        <w:tc>
          <w:tcPr>
            <w:tcW w:w="1095" w:type="dxa"/>
            <w:vMerge w:val="restart"/>
            <w:vAlign w:val="center"/>
          </w:tcPr>
          <w:p>
            <w:pPr>
              <w:spacing w:line="240" w:lineRule="auto"/>
              <w:ind w:firstLine="0" w:firstLineChars="0"/>
              <w:jc w:val="center"/>
              <w:rPr>
                <w:rFonts w:cs="Times New Roman"/>
                <w:sz w:val="21"/>
                <w:szCs w:val="21"/>
              </w:rPr>
            </w:pPr>
            <w:r>
              <w:rPr>
                <w:rFonts w:cs="Times New Roman"/>
                <w:sz w:val="21"/>
                <w:szCs w:val="21"/>
              </w:rPr>
              <w:t>项目维护</w:t>
            </w:r>
            <w:r>
              <w:rPr>
                <w:rFonts w:hint="eastAsia" w:cs="Times New Roman"/>
                <w:sz w:val="21"/>
                <w:szCs w:val="21"/>
              </w:rPr>
              <w:t>(</w:t>
            </w:r>
            <w:r>
              <w:rPr>
                <w:rFonts w:cs="Times New Roman"/>
                <w:sz w:val="21"/>
                <w:szCs w:val="21"/>
              </w:rPr>
              <w:t>30分)</w:t>
            </w:r>
          </w:p>
        </w:tc>
        <w:tc>
          <w:tcPr>
            <w:tcW w:w="1118" w:type="dxa"/>
            <w:vAlign w:val="center"/>
          </w:tcPr>
          <w:p>
            <w:pPr>
              <w:spacing w:line="240" w:lineRule="auto"/>
              <w:ind w:firstLine="0" w:firstLineChars="0"/>
              <w:rPr>
                <w:rFonts w:cs="Times New Roman"/>
                <w:sz w:val="21"/>
                <w:szCs w:val="21"/>
              </w:rPr>
            </w:pPr>
            <w:r>
              <w:rPr>
                <w:rFonts w:cs="Times New Roman"/>
                <w:sz w:val="21"/>
                <w:szCs w:val="21"/>
              </w:rPr>
              <w:t>工程维护</w:t>
            </w:r>
          </w:p>
        </w:tc>
        <w:tc>
          <w:tcPr>
            <w:tcW w:w="2088" w:type="dxa"/>
            <w:vAlign w:val="center"/>
          </w:tcPr>
          <w:p>
            <w:pPr>
              <w:spacing w:line="240" w:lineRule="auto"/>
              <w:ind w:firstLine="0" w:firstLineChars="0"/>
              <w:rPr>
                <w:rFonts w:cs="Times New Roman"/>
                <w:sz w:val="21"/>
                <w:szCs w:val="21"/>
              </w:rPr>
            </w:pPr>
            <w:r>
              <w:rPr>
                <w:rFonts w:cs="Times New Roman"/>
                <w:sz w:val="21"/>
                <w:szCs w:val="21"/>
              </w:rPr>
              <w:t>评价项目工程维护服务质量</w:t>
            </w:r>
          </w:p>
        </w:tc>
        <w:tc>
          <w:tcPr>
            <w:tcW w:w="709" w:type="dxa"/>
            <w:vAlign w:val="center"/>
          </w:tcPr>
          <w:p>
            <w:pPr>
              <w:spacing w:line="240" w:lineRule="auto"/>
              <w:ind w:firstLine="0" w:firstLineChars="0"/>
              <w:jc w:val="center"/>
              <w:rPr>
                <w:rFonts w:cs="Times New Roman"/>
                <w:sz w:val="21"/>
                <w:szCs w:val="21"/>
              </w:rPr>
            </w:pPr>
            <w:r>
              <w:rPr>
                <w:rFonts w:cs="Times New Roman"/>
                <w:sz w:val="21"/>
                <w:szCs w:val="21"/>
              </w:rPr>
              <w:t>20</w:t>
            </w:r>
          </w:p>
        </w:tc>
        <w:tc>
          <w:tcPr>
            <w:tcW w:w="3402" w:type="dxa"/>
            <w:vAlign w:val="center"/>
          </w:tcPr>
          <w:p>
            <w:pPr>
              <w:spacing w:line="240" w:lineRule="auto"/>
              <w:ind w:firstLine="0" w:firstLineChars="0"/>
              <w:rPr>
                <w:rFonts w:cs="Times New Roman"/>
                <w:kern w:val="0"/>
                <w:sz w:val="21"/>
                <w:szCs w:val="21"/>
              </w:rPr>
            </w:pPr>
            <w:r>
              <w:rPr>
                <w:rFonts w:cs="Times New Roman"/>
                <w:sz w:val="21"/>
                <w:szCs w:val="21"/>
              </w:rPr>
              <w:t>按规程规定进行日常维护，保证工程清洁完好，</w:t>
            </w:r>
            <w:r>
              <w:rPr>
                <w:rFonts w:cs="Times New Roman"/>
                <w:kern w:val="0"/>
                <w:sz w:val="21"/>
                <w:szCs w:val="21"/>
              </w:rPr>
              <w:t>供电系统正常工作，</w:t>
            </w:r>
            <w:r>
              <w:rPr>
                <w:rFonts w:cs="Times New Roman"/>
                <w:sz w:val="21"/>
                <w:szCs w:val="21"/>
              </w:rPr>
              <w:t>机电设备操作</w:t>
            </w:r>
            <w:r>
              <w:rPr>
                <w:rFonts w:cs="Times New Roman"/>
                <w:kern w:val="0"/>
                <w:sz w:val="21"/>
                <w:szCs w:val="21"/>
              </w:rPr>
              <w:t>灵活，工程养护有计划和记录。发现影响工程安全的问题及时上报，工程维修有设计、批复文件；按计划完成维修任务；质量符合要求，有竣工验收记录。及时且有效地地对建筑物、构筑物及相关管理用房等附属设施完好无缺损，采取冬季养护措施，对不同设施、设备进行定期维修、养护。及时且有效地对信息化平台进行维护和技术优化。附属系统维护情况包消防系统、通风系统、照明系统监控与报警系统、标识系统等完好无缺损。</w:t>
            </w:r>
          </w:p>
        </w:tc>
        <w:tc>
          <w:tcPr>
            <w:tcW w:w="5240" w:type="dxa"/>
            <w:vAlign w:val="center"/>
          </w:tcPr>
          <w:p>
            <w:pPr>
              <w:spacing w:line="240" w:lineRule="auto"/>
              <w:ind w:firstLine="0" w:firstLineChars="0"/>
              <w:rPr>
                <w:rFonts w:cs="Times New Roman"/>
                <w:sz w:val="21"/>
                <w:szCs w:val="21"/>
              </w:rPr>
            </w:pPr>
            <w:r>
              <w:rPr>
                <w:rFonts w:cs="Times New Roman"/>
                <w:sz w:val="21"/>
                <w:szCs w:val="21"/>
              </w:rPr>
              <w:t>1.未按规程规定进行日常养护，每次扣1分；</w:t>
            </w:r>
          </w:p>
          <w:p>
            <w:pPr>
              <w:spacing w:line="240" w:lineRule="auto"/>
              <w:ind w:firstLine="0" w:firstLineChars="0"/>
              <w:rPr>
                <w:rFonts w:cs="Times New Roman"/>
                <w:sz w:val="21"/>
                <w:szCs w:val="21"/>
              </w:rPr>
            </w:pPr>
            <w:r>
              <w:rPr>
                <w:rFonts w:cs="Times New Roman"/>
                <w:sz w:val="21"/>
                <w:szCs w:val="21"/>
              </w:rPr>
              <w:t>2.每发现未编制工程养护计划或未进行记录的，每次扣0.5分；</w:t>
            </w:r>
          </w:p>
          <w:p>
            <w:pPr>
              <w:spacing w:line="240" w:lineRule="auto"/>
              <w:ind w:firstLine="0" w:firstLineChars="0"/>
              <w:rPr>
                <w:rFonts w:cs="Times New Roman"/>
                <w:sz w:val="21"/>
                <w:szCs w:val="21"/>
              </w:rPr>
            </w:pPr>
            <w:r>
              <w:rPr>
                <w:rFonts w:cs="Times New Roman"/>
                <w:sz w:val="21"/>
                <w:szCs w:val="21"/>
              </w:rPr>
              <w:t>3.发现有影响工程安全的问题未及时上报情况的，每次扣1分；</w:t>
            </w:r>
          </w:p>
          <w:p>
            <w:pPr>
              <w:spacing w:line="240" w:lineRule="auto"/>
              <w:ind w:firstLine="0" w:firstLineChars="0"/>
              <w:rPr>
                <w:rFonts w:cs="Times New Roman"/>
                <w:sz w:val="21"/>
                <w:szCs w:val="21"/>
              </w:rPr>
            </w:pPr>
            <w:r>
              <w:rPr>
                <w:rFonts w:cs="Times New Roman"/>
                <w:sz w:val="21"/>
                <w:szCs w:val="21"/>
              </w:rPr>
              <w:t>4.维修质量不合格扣1分；</w:t>
            </w:r>
          </w:p>
          <w:p>
            <w:pPr>
              <w:spacing w:line="240" w:lineRule="auto"/>
              <w:ind w:firstLine="0" w:firstLineChars="0"/>
              <w:rPr>
                <w:rFonts w:cs="Times New Roman"/>
                <w:sz w:val="21"/>
                <w:szCs w:val="21"/>
              </w:rPr>
            </w:pPr>
            <w:r>
              <w:rPr>
                <w:rFonts w:cs="Times New Roman"/>
                <w:sz w:val="21"/>
                <w:szCs w:val="21"/>
              </w:rPr>
              <w:t>5.若大修，工程无设计、批复文件扣2分；</w:t>
            </w:r>
          </w:p>
          <w:p>
            <w:pPr>
              <w:spacing w:line="240" w:lineRule="auto"/>
              <w:ind w:firstLine="0" w:firstLineChars="0"/>
              <w:rPr>
                <w:rFonts w:cs="Times New Roman"/>
                <w:sz w:val="21"/>
                <w:szCs w:val="21"/>
              </w:rPr>
            </w:pPr>
            <w:r>
              <w:rPr>
                <w:rFonts w:cs="Times New Roman"/>
                <w:sz w:val="21"/>
                <w:szCs w:val="21"/>
              </w:rPr>
              <w:t>6.未按计划完成修复任务扣1分。</w:t>
            </w:r>
            <w:r>
              <w:rPr>
                <w:rFonts w:cs="Times New Roman"/>
                <w:sz w:val="21"/>
                <w:szCs w:val="21"/>
              </w:rPr>
              <w:br w:type="textWrapping"/>
            </w:r>
            <w:r>
              <w:rPr>
                <w:rFonts w:cs="Times New Roman"/>
                <w:sz w:val="21"/>
                <w:szCs w:val="21"/>
              </w:rPr>
              <w:t>7.项目设施设备出现污损杂乱、破损失修，每2处扣0.1分。</w:t>
            </w:r>
            <w:r>
              <w:rPr>
                <w:rFonts w:cs="Times New Roman"/>
                <w:sz w:val="21"/>
                <w:szCs w:val="21"/>
              </w:rPr>
              <w:br w:type="textWrapping"/>
            </w:r>
            <w:r>
              <w:rPr>
                <w:rFonts w:cs="Times New Roman"/>
                <w:sz w:val="21"/>
                <w:szCs w:val="21"/>
              </w:rPr>
              <w:t>8.出现建筑物、构筑物破损失修，每处扣0.1分。</w:t>
            </w:r>
          </w:p>
          <w:p>
            <w:pPr>
              <w:spacing w:line="240" w:lineRule="auto"/>
              <w:ind w:firstLine="0" w:firstLineChars="0"/>
              <w:rPr>
                <w:rFonts w:cs="Times New Roman"/>
                <w:sz w:val="21"/>
                <w:szCs w:val="21"/>
              </w:rPr>
            </w:pPr>
            <w:r>
              <w:rPr>
                <w:rFonts w:cs="Times New Roman"/>
                <w:sz w:val="21"/>
                <w:szCs w:val="21"/>
              </w:rPr>
              <w:t>9.指示牌、宣传牌文字、图案不规范的，每处扣0.1分；破损失修、每处扣0.01分。</w:t>
            </w:r>
            <w:r>
              <w:rPr>
                <w:rFonts w:cs="Times New Roman"/>
                <w:sz w:val="21"/>
                <w:szCs w:val="21"/>
              </w:rPr>
              <w:br w:type="textWrapping"/>
            </w:r>
            <w:r>
              <w:rPr>
                <w:rFonts w:cs="Times New Roman"/>
                <w:sz w:val="21"/>
                <w:szCs w:val="21"/>
              </w:rPr>
              <w:t>10.</w:t>
            </w:r>
            <w:r>
              <w:rPr>
                <w:rFonts w:hint="eastAsia" w:cs="Times New Roman"/>
                <w:sz w:val="21"/>
                <w:szCs w:val="21"/>
              </w:rPr>
              <w:t>项目公司未</w:t>
            </w:r>
            <w:r>
              <w:rPr>
                <w:rFonts w:cs="Times New Roman"/>
                <w:sz w:val="21"/>
                <w:szCs w:val="21"/>
              </w:rPr>
              <w:t>及时且有效地对信息化平台进行维护和技术优化，超过整改要求的整改期未能完成整改或整改不合格的，扣0.5分。</w:t>
            </w:r>
            <w:r>
              <w:rPr>
                <w:rFonts w:cs="Times New Roman"/>
                <w:sz w:val="21"/>
                <w:szCs w:val="21"/>
              </w:rPr>
              <w:br w:type="textWrapping"/>
            </w:r>
            <w:r>
              <w:rPr>
                <w:rFonts w:cs="Times New Roman"/>
                <w:sz w:val="21"/>
                <w:szCs w:val="21"/>
              </w:rPr>
              <w:t>11.</w:t>
            </w:r>
            <w:r>
              <w:rPr>
                <w:rFonts w:hint="eastAsia" w:cs="Times New Roman"/>
                <w:sz w:val="21"/>
                <w:szCs w:val="21"/>
              </w:rPr>
              <w:t>项目公司未</w:t>
            </w:r>
            <w:r>
              <w:rPr>
                <w:rFonts w:cs="Times New Roman"/>
                <w:sz w:val="21"/>
                <w:szCs w:val="21"/>
              </w:rPr>
              <w:t>及时且有效地对项目附属系统进行维护，超过整改要求的整改期未能完成整改或整改不合格的，每发现一起扣0.5分。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vAlign w:val="center"/>
          </w:tcPr>
          <w:p>
            <w:pPr>
              <w:spacing w:line="240" w:lineRule="auto"/>
              <w:ind w:firstLine="0" w:firstLineChars="0"/>
              <w:jc w:val="center"/>
              <w:rPr>
                <w:rFonts w:cs="Times New Roman"/>
                <w:sz w:val="21"/>
                <w:szCs w:val="21"/>
              </w:rPr>
            </w:pPr>
          </w:p>
        </w:tc>
        <w:tc>
          <w:tcPr>
            <w:tcW w:w="1095" w:type="dxa"/>
            <w:vMerge w:val="continue"/>
            <w:vAlign w:val="center"/>
          </w:tcPr>
          <w:p>
            <w:pPr>
              <w:spacing w:line="240" w:lineRule="auto"/>
              <w:ind w:firstLine="0" w:firstLineChars="0"/>
              <w:jc w:val="center"/>
              <w:rPr>
                <w:rFonts w:cs="Times New Roman"/>
                <w:sz w:val="21"/>
                <w:szCs w:val="21"/>
              </w:rPr>
            </w:pPr>
          </w:p>
        </w:tc>
        <w:tc>
          <w:tcPr>
            <w:tcW w:w="1118" w:type="dxa"/>
            <w:vAlign w:val="center"/>
          </w:tcPr>
          <w:p>
            <w:pPr>
              <w:spacing w:line="240" w:lineRule="auto"/>
              <w:ind w:firstLine="0" w:firstLineChars="0"/>
              <w:rPr>
                <w:rFonts w:cs="Times New Roman"/>
                <w:color w:val="000000"/>
                <w:sz w:val="21"/>
                <w:szCs w:val="21"/>
              </w:rPr>
            </w:pPr>
            <w:r>
              <w:rPr>
                <w:rFonts w:cs="Times New Roman"/>
                <w:color w:val="000000"/>
                <w:sz w:val="21"/>
                <w:szCs w:val="21"/>
              </w:rPr>
              <w:t>日常巡修管理</w:t>
            </w:r>
          </w:p>
        </w:tc>
        <w:tc>
          <w:tcPr>
            <w:tcW w:w="2088" w:type="dxa"/>
            <w:vAlign w:val="center"/>
          </w:tcPr>
          <w:p>
            <w:pPr>
              <w:spacing w:line="240" w:lineRule="auto"/>
              <w:ind w:firstLine="0" w:firstLineChars="0"/>
              <w:rPr>
                <w:rFonts w:cs="Times New Roman"/>
                <w:color w:val="000000"/>
                <w:sz w:val="21"/>
                <w:szCs w:val="21"/>
              </w:rPr>
            </w:pPr>
            <w:r>
              <w:rPr>
                <w:rFonts w:cs="Times New Roman"/>
                <w:color w:val="000000"/>
                <w:sz w:val="21"/>
                <w:szCs w:val="21"/>
              </w:rPr>
              <w:t>评价日常巡修管理情况</w:t>
            </w:r>
          </w:p>
        </w:tc>
        <w:tc>
          <w:tcPr>
            <w:tcW w:w="709" w:type="dxa"/>
            <w:vAlign w:val="center"/>
          </w:tcPr>
          <w:p>
            <w:pPr>
              <w:spacing w:line="240" w:lineRule="auto"/>
              <w:ind w:firstLine="0" w:firstLineChars="0"/>
              <w:jc w:val="center"/>
              <w:rPr>
                <w:rFonts w:cs="Times New Roman"/>
                <w:color w:val="000000"/>
                <w:sz w:val="21"/>
                <w:szCs w:val="21"/>
              </w:rPr>
            </w:pPr>
            <w:r>
              <w:rPr>
                <w:rFonts w:cs="Times New Roman"/>
                <w:color w:val="000000"/>
                <w:sz w:val="21"/>
                <w:szCs w:val="21"/>
              </w:rPr>
              <w:t>5</w:t>
            </w:r>
          </w:p>
        </w:tc>
        <w:tc>
          <w:tcPr>
            <w:tcW w:w="3402" w:type="dxa"/>
            <w:vAlign w:val="center"/>
          </w:tcPr>
          <w:p>
            <w:pPr>
              <w:spacing w:line="240" w:lineRule="auto"/>
              <w:ind w:firstLine="0" w:firstLineChars="0"/>
              <w:rPr>
                <w:rFonts w:cs="Times New Roman"/>
                <w:color w:val="000000"/>
                <w:sz w:val="21"/>
                <w:szCs w:val="21"/>
              </w:rPr>
            </w:pPr>
            <w:r>
              <w:rPr>
                <w:rFonts w:cs="Times New Roman"/>
                <w:color w:val="000000"/>
                <w:sz w:val="21"/>
                <w:szCs w:val="21"/>
              </w:rPr>
              <w:t>按国家或宁夏地区标准配置相应的维护人员，落实巡检责任，按要求进行项目日常巡査，并做好巡査记录，以保证日常维护和应急维护的及时率。</w:t>
            </w:r>
          </w:p>
        </w:tc>
        <w:tc>
          <w:tcPr>
            <w:tcW w:w="5240" w:type="dxa"/>
            <w:vAlign w:val="center"/>
          </w:tcPr>
          <w:p>
            <w:pPr>
              <w:spacing w:line="240" w:lineRule="auto"/>
              <w:ind w:firstLine="0" w:firstLineChars="0"/>
              <w:rPr>
                <w:rFonts w:cs="Times New Roman"/>
                <w:sz w:val="21"/>
                <w:szCs w:val="21"/>
              </w:rPr>
            </w:pPr>
            <w:r>
              <w:rPr>
                <w:rFonts w:cs="Times New Roman"/>
                <w:sz w:val="21"/>
                <w:szCs w:val="21"/>
              </w:rPr>
              <w:t>1.未按标准配置相应维护人员的，扣2分；</w:t>
            </w:r>
          </w:p>
          <w:p>
            <w:pPr>
              <w:spacing w:line="240" w:lineRule="auto"/>
              <w:ind w:firstLine="0" w:firstLineChars="0"/>
              <w:rPr>
                <w:rFonts w:cs="Times New Roman"/>
                <w:color w:val="000000"/>
                <w:sz w:val="21"/>
                <w:szCs w:val="21"/>
              </w:rPr>
            </w:pPr>
            <w:r>
              <w:rPr>
                <w:rFonts w:cs="Times New Roman"/>
                <w:sz w:val="21"/>
                <w:szCs w:val="21"/>
              </w:rPr>
              <w:t>2.未按照要求进行项目日常巡查，巡查范围及频次不符合要求的，每发现一起扣1分。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vAlign w:val="center"/>
          </w:tcPr>
          <w:p>
            <w:pPr>
              <w:spacing w:line="240" w:lineRule="auto"/>
              <w:ind w:firstLine="0" w:firstLineChars="0"/>
              <w:jc w:val="center"/>
              <w:rPr>
                <w:rFonts w:cs="Times New Roman"/>
                <w:sz w:val="21"/>
                <w:szCs w:val="21"/>
              </w:rPr>
            </w:pPr>
          </w:p>
        </w:tc>
        <w:tc>
          <w:tcPr>
            <w:tcW w:w="1095" w:type="dxa"/>
            <w:vMerge w:val="continue"/>
            <w:vAlign w:val="center"/>
          </w:tcPr>
          <w:p>
            <w:pPr>
              <w:spacing w:line="240" w:lineRule="auto"/>
              <w:ind w:firstLine="0" w:firstLineChars="0"/>
              <w:jc w:val="center"/>
              <w:rPr>
                <w:rFonts w:cs="Times New Roman"/>
                <w:sz w:val="21"/>
                <w:szCs w:val="21"/>
              </w:rPr>
            </w:pPr>
          </w:p>
        </w:tc>
        <w:tc>
          <w:tcPr>
            <w:tcW w:w="1118" w:type="dxa"/>
            <w:vAlign w:val="center"/>
          </w:tcPr>
          <w:p>
            <w:pPr>
              <w:spacing w:line="240" w:lineRule="auto"/>
              <w:ind w:firstLine="0" w:firstLineChars="0"/>
              <w:rPr>
                <w:rFonts w:cs="Times New Roman"/>
                <w:color w:val="000000"/>
                <w:sz w:val="21"/>
                <w:szCs w:val="21"/>
              </w:rPr>
            </w:pPr>
            <w:r>
              <w:rPr>
                <w:rFonts w:cs="Times New Roman"/>
                <w:color w:val="000000"/>
                <w:sz w:val="21"/>
                <w:szCs w:val="21"/>
              </w:rPr>
              <w:t>日常维护及时率</w:t>
            </w:r>
          </w:p>
        </w:tc>
        <w:tc>
          <w:tcPr>
            <w:tcW w:w="2088" w:type="dxa"/>
            <w:vAlign w:val="center"/>
          </w:tcPr>
          <w:p>
            <w:pPr>
              <w:spacing w:line="240" w:lineRule="auto"/>
              <w:ind w:firstLine="0" w:firstLineChars="0"/>
              <w:rPr>
                <w:rFonts w:cs="Times New Roman"/>
                <w:color w:val="000000"/>
                <w:sz w:val="21"/>
                <w:szCs w:val="21"/>
              </w:rPr>
            </w:pPr>
            <w:r>
              <w:rPr>
                <w:rFonts w:cs="Times New Roman"/>
                <w:color w:val="000000"/>
                <w:sz w:val="21"/>
                <w:szCs w:val="21"/>
              </w:rPr>
              <w:t>评价日常维护及时率</w:t>
            </w:r>
          </w:p>
        </w:tc>
        <w:tc>
          <w:tcPr>
            <w:tcW w:w="709" w:type="dxa"/>
            <w:vAlign w:val="center"/>
          </w:tcPr>
          <w:p>
            <w:pPr>
              <w:spacing w:line="240" w:lineRule="auto"/>
              <w:ind w:firstLine="0" w:firstLineChars="0"/>
              <w:jc w:val="center"/>
              <w:rPr>
                <w:rFonts w:cs="Times New Roman"/>
                <w:color w:val="000000"/>
                <w:sz w:val="21"/>
                <w:szCs w:val="21"/>
              </w:rPr>
            </w:pPr>
            <w:r>
              <w:rPr>
                <w:rFonts w:cs="Times New Roman"/>
                <w:color w:val="000000"/>
                <w:sz w:val="21"/>
                <w:szCs w:val="21"/>
              </w:rPr>
              <w:t>5</w:t>
            </w:r>
          </w:p>
        </w:tc>
        <w:tc>
          <w:tcPr>
            <w:tcW w:w="3402" w:type="dxa"/>
            <w:vAlign w:val="center"/>
          </w:tcPr>
          <w:p>
            <w:pPr>
              <w:spacing w:line="240" w:lineRule="auto"/>
              <w:ind w:firstLine="0" w:firstLineChars="0"/>
              <w:rPr>
                <w:rFonts w:cs="Times New Roman"/>
                <w:color w:val="000000"/>
                <w:sz w:val="21"/>
                <w:szCs w:val="21"/>
              </w:rPr>
            </w:pPr>
            <w:r>
              <w:rPr>
                <w:rFonts w:cs="Times New Roman"/>
                <w:color w:val="000000"/>
                <w:sz w:val="21"/>
                <w:szCs w:val="21"/>
              </w:rPr>
              <w:t>在规定时限内到达故障地点并布置安全防范措施在规定时限内完成修复工作。</w:t>
            </w:r>
          </w:p>
        </w:tc>
        <w:tc>
          <w:tcPr>
            <w:tcW w:w="5240" w:type="dxa"/>
            <w:vAlign w:val="center"/>
          </w:tcPr>
          <w:p>
            <w:pPr>
              <w:spacing w:line="240" w:lineRule="auto"/>
              <w:ind w:firstLine="0" w:firstLineChars="0"/>
              <w:rPr>
                <w:rFonts w:cs="Times New Roman"/>
                <w:color w:val="000000"/>
                <w:sz w:val="21"/>
                <w:szCs w:val="21"/>
              </w:rPr>
            </w:pPr>
            <w:r>
              <w:rPr>
                <w:rFonts w:cs="Times New Roman"/>
                <w:sz w:val="21"/>
                <w:szCs w:val="21"/>
              </w:rPr>
              <w:t>因</w:t>
            </w:r>
            <w:r>
              <w:rPr>
                <w:rFonts w:hint="eastAsia" w:cs="Times New Roman"/>
                <w:sz w:val="21"/>
                <w:szCs w:val="21"/>
              </w:rPr>
              <w:t>项目公司</w:t>
            </w:r>
            <w:r>
              <w:rPr>
                <w:rFonts w:cs="Times New Roman"/>
                <w:sz w:val="21"/>
                <w:szCs w:val="21"/>
              </w:rPr>
              <w:t>原因，</w:t>
            </w:r>
            <w:r>
              <w:rPr>
                <w:rFonts w:cs="Times New Roman"/>
                <w:color w:val="000000"/>
                <w:sz w:val="21"/>
                <w:szCs w:val="21"/>
              </w:rPr>
              <w:t>在规定时限内未到达故障地点并布置安全防范措施且在规定时限内未完成修复工作</w:t>
            </w:r>
            <w:r>
              <w:rPr>
                <w:rFonts w:cs="Times New Roman"/>
                <w:sz w:val="21"/>
                <w:szCs w:val="21"/>
              </w:rPr>
              <w:t>，每发现一起扣1分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vAlign w:val="center"/>
          </w:tcPr>
          <w:p>
            <w:pPr>
              <w:spacing w:line="240" w:lineRule="auto"/>
              <w:ind w:firstLine="0" w:firstLineChars="0"/>
              <w:jc w:val="center"/>
              <w:rPr>
                <w:rFonts w:cs="Times New Roman"/>
                <w:sz w:val="21"/>
                <w:szCs w:val="21"/>
              </w:rPr>
            </w:pPr>
          </w:p>
        </w:tc>
        <w:tc>
          <w:tcPr>
            <w:tcW w:w="1095" w:type="dxa"/>
            <w:vMerge w:val="restart"/>
            <w:vAlign w:val="center"/>
          </w:tcPr>
          <w:p>
            <w:pPr>
              <w:spacing w:line="240" w:lineRule="auto"/>
              <w:ind w:firstLine="0" w:firstLineChars="0"/>
              <w:jc w:val="center"/>
              <w:rPr>
                <w:rFonts w:cs="Times New Roman"/>
                <w:sz w:val="21"/>
                <w:szCs w:val="21"/>
              </w:rPr>
            </w:pPr>
            <w:r>
              <w:rPr>
                <w:rFonts w:cs="Times New Roman"/>
                <w:sz w:val="21"/>
                <w:szCs w:val="21"/>
              </w:rPr>
              <w:t>成本效益</w:t>
            </w:r>
            <w:r>
              <w:rPr>
                <w:rFonts w:hint="eastAsia" w:cs="Times New Roman"/>
                <w:sz w:val="21"/>
                <w:szCs w:val="21"/>
              </w:rPr>
              <w:t>(</w:t>
            </w:r>
            <w:r>
              <w:rPr>
                <w:rFonts w:cs="Times New Roman"/>
                <w:sz w:val="21"/>
                <w:szCs w:val="21"/>
              </w:rPr>
              <w:t>5分)</w:t>
            </w:r>
          </w:p>
        </w:tc>
        <w:tc>
          <w:tcPr>
            <w:tcW w:w="1118" w:type="dxa"/>
            <w:vAlign w:val="center"/>
          </w:tcPr>
          <w:p>
            <w:pPr>
              <w:spacing w:line="240" w:lineRule="auto"/>
              <w:ind w:firstLine="0" w:firstLineChars="0"/>
              <w:rPr>
                <w:rFonts w:cs="Times New Roman"/>
                <w:sz w:val="21"/>
                <w:szCs w:val="21"/>
              </w:rPr>
            </w:pPr>
            <w:r>
              <w:rPr>
                <w:rFonts w:cs="Times New Roman"/>
                <w:color w:val="000000"/>
                <w:sz w:val="21"/>
                <w:szCs w:val="21"/>
              </w:rPr>
              <w:t>成本构成</w:t>
            </w:r>
          </w:p>
        </w:tc>
        <w:tc>
          <w:tcPr>
            <w:tcW w:w="2088" w:type="dxa"/>
            <w:vAlign w:val="center"/>
          </w:tcPr>
          <w:p>
            <w:pPr>
              <w:spacing w:line="240" w:lineRule="auto"/>
              <w:ind w:firstLine="0" w:firstLineChars="0"/>
              <w:rPr>
                <w:rFonts w:cs="Times New Roman"/>
                <w:sz w:val="21"/>
                <w:szCs w:val="21"/>
              </w:rPr>
            </w:pPr>
            <w:r>
              <w:rPr>
                <w:rFonts w:cs="Times New Roman"/>
                <w:color w:val="000000"/>
                <w:sz w:val="21"/>
                <w:szCs w:val="21"/>
              </w:rPr>
              <w:t>评价项目运营维护的成本构成合理性</w:t>
            </w:r>
          </w:p>
        </w:tc>
        <w:tc>
          <w:tcPr>
            <w:tcW w:w="709" w:type="dxa"/>
            <w:vAlign w:val="center"/>
          </w:tcPr>
          <w:p>
            <w:pPr>
              <w:spacing w:line="240" w:lineRule="auto"/>
              <w:ind w:firstLine="0" w:firstLineChars="0"/>
              <w:jc w:val="center"/>
              <w:rPr>
                <w:rFonts w:cs="Times New Roman"/>
                <w:sz w:val="21"/>
                <w:szCs w:val="21"/>
              </w:rPr>
            </w:pPr>
            <w:r>
              <w:rPr>
                <w:rFonts w:cs="Times New Roman"/>
                <w:color w:val="000000"/>
                <w:sz w:val="21"/>
                <w:szCs w:val="21"/>
              </w:rPr>
              <w:t>3</w:t>
            </w:r>
          </w:p>
        </w:tc>
        <w:tc>
          <w:tcPr>
            <w:tcW w:w="3402" w:type="dxa"/>
            <w:vAlign w:val="center"/>
          </w:tcPr>
          <w:p>
            <w:pPr>
              <w:spacing w:line="240" w:lineRule="auto"/>
              <w:ind w:firstLine="0" w:firstLineChars="0"/>
              <w:rPr>
                <w:rFonts w:cs="Times New Roman"/>
                <w:color w:val="000000"/>
                <w:sz w:val="21"/>
                <w:szCs w:val="21"/>
              </w:rPr>
            </w:pPr>
            <w:r>
              <w:rPr>
                <w:rFonts w:cs="Times New Roman"/>
                <w:color w:val="000000"/>
                <w:sz w:val="21"/>
                <w:szCs w:val="21"/>
              </w:rPr>
              <w:t>1.对运维的成本开支、收入、关键财务指标等进行合理测算并安排资金，保障项目的正常运行；</w:t>
            </w:r>
          </w:p>
          <w:p>
            <w:pPr>
              <w:spacing w:line="240" w:lineRule="auto"/>
              <w:ind w:firstLine="0" w:firstLineChars="0"/>
              <w:rPr>
                <w:rFonts w:cs="Times New Roman"/>
                <w:color w:val="000000"/>
                <w:sz w:val="21"/>
                <w:szCs w:val="21"/>
              </w:rPr>
            </w:pPr>
            <w:r>
              <w:rPr>
                <w:rFonts w:cs="Times New Roman"/>
                <w:color w:val="000000"/>
                <w:sz w:val="21"/>
                <w:szCs w:val="21"/>
              </w:rPr>
              <w:t>2.成本构成合理，符合相关文件及当地规范要求。</w:t>
            </w:r>
          </w:p>
          <w:p>
            <w:pPr>
              <w:spacing w:line="240" w:lineRule="auto"/>
              <w:ind w:firstLine="0" w:firstLineChars="0"/>
              <w:rPr>
                <w:rFonts w:cs="Times New Roman"/>
                <w:sz w:val="21"/>
                <w:szCs w:val="21"/>
              </w:rPr>
            </w:pPr>
            <w:r>
              <w:rPr>
                <w:rFonts w:cs="Times New Roman"/>
                <w:color w:val="000000"/>
                <w:sz w:val="21"/>
                <w:szCs w:val="21"/>
              </w:rPr>
              <w:t>3.</w:t>
            </w:r>
            <w:r>
              <w:rPr>
                <w:rFonts w:hint="eastAsia" w:cs="Times New Roman"/>
                <w:sz w:val="21"/>
                <w:szCs w:val="21"/>
              </w:rPr>
              <w:t xml:space="preserve"> 社会资本</w:t>
            </w:r>
            <w:r>
              <w:rPr>
                <w:rFonts w:cs="Times New Roman"/>
                <w:color w:val="000000"/>
                <w:sz w:val="21"/>
                <w:szCs w:val="21"/>
              </w:rPr>
              <w:t>是否有不合理成本的纳入</w:t>
            </w:r>
          </w:p>
        </w:tc>
        <w:tc>
          <w:tcPr>
            <w:tcW w:w="5240" w:type="dxa"/>
            <w:vAlign w:val="center"/>
          </w:tcPr>
          <w:p>
            <w:pPr>
              <w:spacing w:line="240" w:lineRule="auto"/>
              <w:ind w:firstLine="0" w:firstLineChars="0"/>
              <w:rPr>
                <w:rFonts w:cs="Times New Roman"/>
                <w:sz w:val="21"/>
                <w:szCs w:val="21"/>
              </w:rPr>
            </w:pPr>
            <w:r>
              <w:rPr>
                <w:rFonts w:cs="Times New Roman"/>
                <w:sz w:val="21"/>
                <w:szCs w:val="21"/>
              </w:rPr>
              <w:t>未对运维成本进行合理测算的，扣1分；</w:t>
            </w:r>
          </w:p>
          <w:p>
            <w:pPr>
              <w:spacing w:line="240" w:lineRule="auto"/>
              <w:ind w:firstLine="0" w:firstLineChars="0"/>
              <w:rPr>
                <w:rFonts w:cs="Times New Roman"/>
                <w:sz w:val="21"/>
                <w:szCs w:val="21"/>
              </w:rPr>
            </w:pPr>
            <w:r>
              <w:rPr>
                <w:rFonts w:cs="Times New Roman"/>
                <w:sz w:val="21"/>
                <w:szCs w:val="21"/>
              </w:rPr>
              <w:t>运维成本不符合文件及当地规范要求的，每发现一次扣1分；</w:t>
            </w:r>
          </w:p>
          <w:p>
            <w:pPr>
              <w:spacing w:line="240" w:lineRule="auto"/>
              <w:ind w:firstLine="0" w:firstLineChars="0"/>
              <w:rPr>
                <w:rFonts w:cs="Times New Roman"/>
                <w:sz w:val="21"/>
                <w:szCs w:val="21"/>
              </w:rPr>
            </w:pPr>
            <w:r>
              <w:rPr>
                <w:rFonts w:hint="eastAsia" w:cs="Times New Roman"/>
                <w:sz w:val="21"/>
                <w:szCs w:val="21"/>
              </w:rPr>
              <w:t>社会资本</w:t>
            </w:r>
            <w:r>
              <w:rPr>
                <w:rFonts w:cs="Times New Roman"/>
                <w:sz w:val="21"/>
                <w:szCs w:val="21"/>
              </w:rPr>
              <w:t>有不合理成本纳入的，每发现一处扣1分。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vAlign w:val="center"/>
          </w:tcPr>
          <w:p>
            <w:pPr>
              <w:spacing w:line="240" w:lineRule="auto"/>
              <w:ind w:firstLine="0" w:firstLineChars="0"/>
              <w:jc w:val="center"/>
              <w:rPr>
                <w:rFonts w:cs="Times New Roman"/>
                <w:sz w:val="21"/>
                <w:szCs w:val="21"/>
              </w:rPr>
            </w:pPr>
          </w:p>
        </w:tc>
        <w:tc>
          <w:tcPr>
            <w:tcW w:w="1095" w:type="dxa"/>
            <w:vMerge w:val="continue"/>
            <w:vAlign w:val="center"/>
          </w:tcPr>
          <w:p>
            <w:pPr>
              <w:spacing w:line="240" w:lineRule="auto"/>
              <w:ind w:firstLine="0" w:firstLineChars="0"/>
              <w:jc w:val="center"/>
              <w:rPr>
                <w:rFonts w:cs="Times New Roman"/>
                <w:sz w:val="21"/>
                <w:szCs w:val="21"/>
              </w:rPr>
            </w:pPr>
          </w:p>
        </w:tc>
        <w:tc>
          <w:tcPr>
            <w:tcW w:w="1118" w:type="dxa"/>
            <w:vAlign w:val="center"/>
          </w:tcPr>
          <w:p>
            <w:pPr>
              <w:spacing w:line="240" w:lineRule="auto"/>
              <w:ind w:firstLine="0" w:firstLineChars="0"/>
              <w:rPr>
                <w:rFonts w:cs="Times New Roman"/>
                <w:sz w:val="21"/>
                <w:szCs w:val="21"/>
              </w:rPr>
            </w:pPr>
            <w:r>
              <w:rPr>
                <w:rFonts w:cs="Times New Roman"/>
                <w:color w:val="000000"/>
                <w:sz w:val="21"/>
                <w:szCs w:val="21"/>
              </w:rPr>
              <w:t>成本节约情况</w:t>
            </w:r>
          </w:p>
        </w:tc>
        <w:tc>
          <w:tcPr>
            <w:tcW w:w="2088" w:type="dxa"/>
            <w:vAlign w:val="center"/>
          </w:tcPr>
          <w:p>
            <w:pPr>
              <w:spacing w:line="240" w:lineRule="auto"/>
              <w:ind w:firstLine="0" w:firstLineChars="0"/>
              <w:rPr>
                <w:rFonts w:cs="Times New Roman"/>
                <w:sz w:val="21"/>
                <w:szCs w:val="21"/>
              </w:rPr>
            </w:pPr>
            <w:r>
              <w:rPr>
                <w:rFonts w:cs="Times New Roman"/>
                <w:color w:val="000000"/>
                <w:sz w:val="21"/>
                <w:szCs w:val="21"/>
              </w:rPr>
              <w:t>评价项目运营维护成本的节约情况</w:t>
            </w:r>
          </w:p>
        </w:tc>
        <w:tc>
          <w:tcPr>
            <w:tcW w:w="709" w:type="dxa"/>
            <w:vAlign w:val="center"/>
          </w:tcPr>
          <w:p>
            <w:pPr>
              <w:spacing w:line="240" w:lineRule="auto"/>
              <w:ind w:firstLine="0" w:firstLineChars="0"/>
              <w:jc w:val="center"/>
              <w:rPr>
                <w:rFonts w:cs="Times New Roman"/>
                <w:sz w:val="21"/>
                <w:szCs w:val="21"/>
              </w:rPr>
            </w:pPr>
            <w:r>
              <w:rPr>
                <w:rFonts w:cs="Times New Roman"/>
                <w:color w:val="000000"/>
                <w:sz w:val="21"/>
                <w:szCs w:val="21"/>
              </w:rPr>
              <w:t>2</w:t>
            </w:r>
          </w:p>
        </w:tc>
        <w:tc>
          <w:tcPr>
            <w:tcW w:w="3402" w:type="dxa"/>
            <w:vAlign w:val="center"/>
          </w:tcPr>
          <w:p>
            <w:pPr>
              <w:spacing w:line="240" w:lineRule="auto"/>
              <w:ind w:firstLine="0" w:firstLineChars="0"/>
              <w:rPr>
                <w:rFonts w:cs="Times New Roman"/>
                <w:color w:val="000000"/>
                <w:sz w:val="21"/>
                <w:szCs w:val="21"/>
              </w:rPr>
            </w:pPr>
            <w:r>
              <w:rPr>
                <w:rFonts w:cs="Times New Roman"/>
                <w:color w:val="000000"/>
                <w:sz w:val="21"/>
                <w:szCs w:val="21"/>
              </w:rPr>
              <w:t>1.编制年度、季度资金使用计划，严格按照资金使用计划规定用途使用；</w:t>
            </w:r>
          </w:p>
          <w:p>
            <w:pPr>
              <w:spacing w:line="240" w:lineRule="auto"/>
              <w:ind w:firstLine="0" w:firstLineChars="0"/>
              <w:rPr>
                <w:rFonts w:cs="Times New Roman"/>
                <w:sz w:val="21"/>
                <w:szCs w:val="21"/>
              </w:rPr>
            </w:pPr>
            <w:r>
              <w:rPr>
                <w:rFonts w:cs="Times New Roman"/>
                <w:color w:val="000000"/>
                <w:sz w:val="21"/>
                <w:szCs w:val="21"/>
              </w:rPr>
              <w:t>2.预算成本合理，且实际成本未超过预算成本。</w:t>
            </w:r>
          </w:p>
        </w:tc>
        <w:tc>
          <w:tcPr>
            <w:tcW w:w="5240" w:type="dxa"/>
            <w:vAlign w:val="center"/>
          </w:tcPr>
          <w:p>
            <w:pPr>
              <w:spacing w:line="240" w:lineRule="auto"/>
              <w:ind w:firstLine="0" w:firstLineChars="0"/>
              <w:rPr>
                <w:rFonts w:cs="Times New Roman"/>
                <w:sz w:val="21"/>
                <w:szCs w:val="21"/>
              </w:rPr>
            </w:pPr>
            <w:r>
              <w:rPr>
                <w:rFonts w:cs="Times New Roman"/>
                <w:sz w:val="21"/>
                <w:szCs w:val="21"/>
              </w:rPr>
              <w:t>未编制</w:t>
            </w:r>
            <w:r>
              <w:rPr>
                <w:rFonts w:cs="Times New Roman"/>
                <w:color w:val="000000"/>
                <w:sz w:val="21"/>
                <w:szCs w:val="21"/>
              </w:rPr>
              <w:t>年度、季度资金使用计划，或未按照资金使用计划规定用途使用，扣1分</w:t>
            </w:r>
            <w:r>
              <w:rPr>
                <w:rFonts w:cs="Times New Roman"/>
                <w:sz w:val="21"/>
                <w:szCs w:val="21"/>
              </w:rPr>
              <w:t>；</w:t>
            </w:r>
          </w:p>
          <w:p>
            <w:pPr>
              <w:spacing w:line="240" w:lineRule="auto"/>
              <w:ind w:firstLine="0" w:firstLineChars="0"/>
              <w:rPr>
                <w:rFonts w:cs="Times New Roman"/>
                <w:sz w:val="21"/>
                <w:szCs w:val="21"/>
              </w:rPr>
            </w:pPr>
            <w:r>
              <w:rPr>
                <w:rFonts w:cs="Times New Roman"/>
                <w:sz w:val="21"/>
                <w:szCs w:val="21"/>
              </w:rPr>
              <w:t>出现实际成本超过预算成本，且无合理理由的：扣2分。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vAlign w:val="center"/>
          </w:tcPr>
          <w:p>
            <w:pPr>
              <w:spacing w:line="240" w:lineRule="auto"/>
              <w:ind w:firstLine="0" w:firstLineChars="0"/>
              <w:jc w:val="center"/>
              <w:rPr>
                <w:rFonts w:cs="Times New Roman"/>
                <w:sz w:val="21"/>
                <w:szCs w:val="21"/>
              </w:rPr>
            </w:pPr>
          </w:p>
        </w:tc>
        <w:tc>
          <w:tcPr>
            <w:tcW w:w="1095" w:type="dxa"/>
            <w:vMerge w:val="restart"/>
            <w:vAlign w:val="center"/>
          </w:tcPr>
          <w:p>
            <w:pPr>
              <w:spacing w:line="240" w:lineRule="auto"/>
              <w:ind w:firstLine="0" w:firstLineChars="0"/>
              <w:jc w:val="center"/>
              <w:rPr>
                <w:rFonts w:cs="Times New Roman"/>
                <w:sz w:val="21"/>
                <w:szCs w:val="21"/>
              </w:rPr>
            </w:pPr>
            <w:r>
              <w:rPr>
                <w:rFonts w:cs="Times New Roman"/>
                <w:sz w:val="21"/>
                <w:szCs w:val="21"/>
              </w:rPr>
              <w:t>安全保障</w:t>
            </w:r>
            <w:r>
              <w:rPr>
                <w:rFonts w:cs="Times New Roman"/>
                <w:sz w:val="21"/>
                <w:szCs w:val="21"/>
              </w:rPr>
              <w:br w:type="textWrapping"/>
            </w:r>
            <w:r>
              <w:rPr>
                <w:rFonts w:cs="Times New Roman"/>
                <w:sz w:val="21"/>
                <w:szCs w:val="21"/>
              </w:rPr>
              <w:t>（5分）</w:t>
            </w:r>
          </w:p>
        </w:tc>
        <w:tc>
          <w:tcPr>
            <w:tcW w:w="1118" w:type="dxa"/>
            <w:vAlign w:val="center"/>
          </w:tcPr>
          <w:p>
            <w:pPr>
              <w:spacing w:line="240" w:lineRule="auto"/>
              <w:ind w:firstLine="0" w:firstLineChars="0"/>
              <w:rPr>
                <w:rFonts w:cs="Times New Roman"/>
                <w:sz w:val="21"/>
                <w:szCs w:val="21"/>
              </w:rPr>
            </w:pPr>
            <w:r>
              <w:rPr>
                <w:rFonts w:cs="Times New Roman"/>
                <w:sz w:val="21"/>
                <w:szCs w:val="21"/>
              </w:rPr>
              <w:t>应急处理情况</w:t>
            </w:r>
          </w:p>
        </w:tc>
        <w:tc>
          <w:tcPr>
            <w:tcW w:w="2088" w:type="dxa"/>
            <w:vAlign w:val="center"/>
          </w:tcPr>
          <w:p>
            <w:pPr>
              <w:spacing w:line="240" w:lineRule="auto"/>
              <w:ind w:firstLine="0" w:firstLineChars="0"/>
              <w:rPr>
                <w:rFonts w:cs="Times New Roman"/>
                <w:sz w:val="21"/>
                <w:szCs w:val="21"/>
              </w:rPr>
            </w:pPr>
            <w:r>
              <w:rPr>
                <w:rFonts w:cs="Times New Roman"/>
                <w:sz w:val="21"/>
                <w:szCs w:val="21"/>
              </w:rPr>
              <w:t>评价</w:t>
            </w:r>
            <w:r>
              <w:rPr>
                <w:rFonts w:hint="eastAsia" w:cs="Times New Roman"/>
                <w:sz w:val="21"/>
                <w:szCs w:val="21"/>
              </w:rPr>
              <w:t>社会资本</w:t>
            </w:r>
            <w:r>
              <w:rPr>
                <w:rFonts w:cs="Times New Roman"/>
                <w:sz w:val="21"/>
                <w:szCs w:val="21"/>
              </w:rPr>
              <w:t>应急处理制度及预案</w:t>
            </w:r>
          </w:p>
        </w:tc>
        <w:tc>
          <w:tcPr>
            <w:tcW w:w="709" w:type="dxa"/>
            <w:vAlign w:val="center"/>
          </w:tcPr>
          <w:p>
            <w:pPr>
              <w:spacing w:line="240" w:lineRule="auto"/>
              <w:ind w:firstLine="0" w:firstLineChars="0"/>
              <w:jc w:val="center"/>
              <w:rPr>
                <w:rFonts w:cs="Times New Roman"/>
                <w:sz w:val="21"/>
                <w:szCs w:val="21"/>
              </w:rPr>
            </w:pPr>
            <w:r>
              <w:rPr>
                <w:rFonts w:cs="Times New Roman"/>
                <w:sz w:val="21"/>
                <w:szCs w:val="21"/>
              </w:rPr>
              <w:t>3</w:t>
            </w:r>
          </w:p>
        </w:tc>
        <w:tc>
          <w:tcPr>
            <w:tcW w:w="3402" w:type="dxa"/>
            <w:vAlign w:val="center"/>
          </w:tcPr>
          <w:p>
            <w:pPr>
              <w:spacing w:line="240" w:lineRule="auto"/>
              <w:ind w:firstLine="0" w:firstLineChars="0"/>
              <w:rPr>
                <w:rFonts w:cs="Times New Roman"/>
                <w:sz w:val="21"/>
                <w:szCs w:val="21"/>
              </w:rPr>
            </w:pPr>
            <w:r>
              <w:rPr>
                <w:rFonts w:cs="Times New Roman"/>
                <w:sz w:val="21"/>
                <w:szCs w:val="21"/>
              </w:rPr>
              <w:t>1.建立自然灾害、重特大事故、消防、环境公害及人为破坏等突发事件应急预案；</w:t>
            </w:r>
          </w:p>
          <w:p>
            <w:pPr>
              <w:spacing w:line="240" w:lineRule="auto"/>
              <w:ind w:firstLine="0" w:firstLineChars="0"/>
              <w:rPr>
                <w:rFonts w:cs="Times New Roman"/>
                <w:sz w:val="21"/>
                <w:szCs w:val="21"/>
              </w:rPr>
            </w:pPr>
            <w:r>
              <w:rPr>
                <w:rFonts w:cs="Times New Roman"/>
                <w:sz w:val="21"/>
                <w:szCs w:val="21"/>
              </w:rPr>
              <w:t>2.开展定期培训、模拟演练。</w:t>
            </w:r>
          </w:p>
        </w:tc>
        <w:tc>
          <w:tcPr>
            <w:tcW w:w="5240" w:type="dxa"/>
            <w:vAlign w:val="center"/>
          </w:tcPr>
          <w:p>
            <w:pPr>
              <w:spacing w:line="240" w:lineRule="auto"/>
              <w:ind w:firstLine="0" w:firstLineChars="0"/>
              <w:rPr>
                <w:rFonts w:cs="Times New Roman"/>
                <w:sz w:val="21"/>
                <w:szCs w:val="21"/>
              </w:rPr>
            </w:pPr>
            <w:r>
              <w:rPr>
                <w:rFonts w:cs="Times New Roman"/>
                <w:sz w:val="21"/>
                <w:szCs w:val="21"/>
              </w:rPr>
              <w:t>考核小组实地调研打分：</w:t>
            </w:r>
          </w:p>
          <w:p>
            <w:pPr>
              <w:spacing w:line="240" w:lineRule="auto"/>
              <w:ind w:firstLine="0" w:firstLineChars="0"/>
              <w:rPr>
                <w:rFonts w:cs="Times New Roman"/>
                <w:sz w:val="21"/>
                <w:szCs w:val="21"/>
              </w:rPr>
            </w:pPr>
            <w:r>
              <w:rPr>
                <w:rFonts w:cs="Times New Roman"/>
                <w:sz w:val="21"/>
                <w:szCs w:val="21"/>
              </w:rPr>
              <w:t>应急处理制度不健全，超过整改要求的整改期未能完成整改或整改不合格的：每次扣0.1分；</w:t>
            </w:r>
          </w:p>
          <w:p>
            <w:pPr>
              <w:spacing w:line="240" w:lineRule="auto"/>
              <w:ind w:firstLine="0" w:firstLineChars="0"/>
              <w:rPr>
                <w:rFonts w:cs="Times New Roman"/>
                <w:sz w:val="21"/>
                <w:szCs w:val="21"/>
              </w:rPr>
            </w:pPr>
            <w:r>
              <w:rPr>
                <w:rFonts w:cs="Times New Roman"/>
                <w:sz w:val="21"/>
                <w:szCs w:val="21"/>
              </w:rPr>
              <w:t>未按照要求进行应急处置演练的：扣0.5分。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vAlign w:val="center"/>
          </w:tcPr>
          <w:p>
            <w:pPr>
              <w:spacing w:line="240" w:lineRule="auto"/>
              <w:ind w:firstLine="0" w:firstLineChars="0"/>
              <w:jc w:val="center"/>
              <w:rPr>
                <w:rFonts w:cs="Times New Roman"/>
                <w:sz w:val="21"/>
                <w:szCs w:val="21"/>
              </w:rPr>
            </w:pPr>
          </w:p>
        </w:tc>
        <w:tc>
          <w:tcPr>
            <w:tcW w:w="1095" w:type="dxa"/>
            <w:vMerge w:val="continue"/>
            <w:vAlign w:val="center"/>
          </w:tcPr>
          <w:p>
            <w:pPr>
              <w:spacing w:line="240" w:lineRule="auto"/>
              <w:ind w:firstLine="0" w:firstLineChars="0"/>
              <w:jc w:val="center"/>
              <w:rPr>
                <w:rFonts w:cs="Times New Roman"/>
                <w:sz w:val="21"/>
                <w:szCs w:val="21"/>
              </w:rPr>
            </w:pPr>
          </w:p>
        </w:tc>
        <w:tc>
          <w:tcPr>
            <w:tcW w:w="1118" w:type="dxa"/>
            <w:vAlign w:val="center"/>
          </w:tcPr>
          <w:p>
            <w:pPr>
              <w:spacing w:line="240" w:lineRule="auto"/>
              <w:ind w:firstLine="0" w:firstLineChars="0"/>
              <w:rPr>
                <w:rFonts w:cs="Times New Roman"/>
                <w:sz w:val="21"/>
                <w:szCs w:val="21"/>
              </w:rPr>
            </w:pPr>
            <w:r>
              <w:rPr>
                <w:rFonts w:cs="Times New Roman"/>
                <w:sz w:val="21"/>
                <w:szCs w:val="21"/>
              </w:rPr>
              <w:t>安全管理</w:t>
            </w:r>
          </w:p>
        </w:tc>
        <w:tc>
          <w:tcPr>
            <w:tcW w:w="2088" w:type="dxa"/>
            <w:vAlign w:val="center"/>
          </w:tcPr>
          <w:p>
            <w:pPr>
              <w:spacing w:line="240" w:lineRule="auto"/>
              <w:ind w:firstLine="0" w:firstLineChars="0"/>
              <w:rPr>
                <w:rFonts w:cs="Times New Roman"/>
                <w:sz w:val="21"/>
                <w:szCs w:val="21"/>
              </w:rPr>
            </w:pPr>
            <w:r>
              <w:rPr>
                <w:rFonts w:cs="Times New Roman"/>
                <w:sz w:val="21"/>
                <w:szCs w:val="21"/>
              </w:rPr>
              <w:t>评价</w:t>
            </w:r>
            <w:r>
              <w:rPr>
                <w:rFonts w:hint="eastAsia" w:cs="Times New Roman"/>
                <w:sz w:val="21"/>
                <w:szCs w:val="21"/>
              </w:rPr>
              <w:t>社会资本</w:t>
            </w:r>
            <w:r>
              <w:rPr>
                <w:rFonts w:cs="Times New Roman"/>
                <w:sz w:val="21"/>
                <w:szCs w:val="21"/>
              </w:rPr>
              <w:t>安全管理情况</w:t>
            </w:r>
          </w:p>
        </w:tc>
        <w:tc>
          <w:tcPr>
            <w:tcW w:w="709" w:type="dxa"/>
            <w:vAlign w:val="center"/>
          </w:tcPr>
          <w:p>
            <w:pPr>
              <w:spacing w:line="240" w:lineRule="auto"/>
              <w:ind w:firstLine="0" w:firstLineChars="0"/>
              <w:jc w:val="center"/>
              <w:rPr>
                <w:rFonts w:cs="Times New Roman"/>
                <w:sz w:val="21"/>
                <w:szCs w:val="21"/>
              </w:rPr>
            </w:pPr>
            <w:r>
              <w:rPr>
                <w:rFonts w:cs="Times New Roman"/>
                <w:sz w:val="21"/>
                <w:szCs w:val="21"/>
              </w:rPr>
              <w:t>2</w:t>
            </w:r>
          </w:p>
        </w:tc>
        <w:tc>
          <w:tcPr>
            <w:tcW w:w="3402" w:type="dxa"/>
            <w:vAlign w:val="center"/>
          </w:tcPr>
          <w:p>
            <w:pPr>
              <w:spacing w:line="240" w:lineRule="auto"/>
              <w:ind w:firstLine="0" w:firstLineChars="0"/>
              <w:rPr>
                <w:rFonts w:cs="Times New Roman"/>
                <w:sz w:val="21"/>
                <w:szCs w:val="21"/>
              </w:rPr>
            </w:pPr>
            <w:r>
              <w:rPr>
                <w:rFonts w:cs="Times New Roman"/>
                <w:sz w:val="21"/>
                <w:szCs w:val="21"/>
              </w:rPr>
              <w:t>不发生治安、交通、消防方面的安全事故</w:t>
            </w:r>
          </w:p>
        </w:tc>
        <w:tc>
          <w:tcPr>
            <w:tcW w:w="5240" w:type="dxa"/>
            <w:vAlign w:val="center"/>
          </w:tcPr>
          <w:p>
            <w:pPr>
              <w:spacing w:line="240" w:lineRule="auto"/>
              <w:ind w:firstLine="0" w:firstLineChars="0"/>
              <w:rPr>
                <w:rFonts w:cs="Times New Roman"/>
                <w:sz w:val="21"/>
                <w:szCs w:val="21"/>
              </w:rPr>
            </w:pPr>
            <w:r>
              <w:rPr>
                <w:rFonts w:cs="Times New Roman"/>
                <w:color w:val="000000"/>
                <w:kern w:val="0"/>
                <w:sz w:val="21"/>
                <w:szCs w:val="21"/>
              </w:rPr>
              <w:t>因</w:t>
            </w:r>
            <w:r>
              <w:rPr>
                <w:rFonts w:hint="eastAsia" w:cs="Times New Roman"/>
                <w:sz w:val="21"/>
                <w:szCs w:val="21"/>
              </w:rPr>
              <w:t>项目公司</w:t>
            </w:r>
            <w:r>
              <w:rPr>
                <w:rFonts w:cs="Times New Roman"/>
                <w:color w:val="000000"/>
                <w:kern w:val="0"/>
                <w:sz w:val="21"/>
                <w:szCs w:val="21"/>
              </w:rPr>
              <w:t>原因导致一般事故的，每次扣0.5分；较大（或以上）事故的，每次扣1分。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restart"/>
            <w:vAlign w:val="center"/>
          </w:tcPr>
          <w:p>
            <w:pPr>
              <w:spacing w:line="240" w:lineRule="auto"/>
              <w:ind w:firstLine="0" w:firstLineChars="0"/>
              <w:jc w:val="center"/>
              <w:rPr>
                <w:rFonts w:cs="Times New Roman"/>
                <w:sz w:val="21"/>
                <w:szCs w:val="21"/>
              </w:rPr>
            </w:pPr>
            <w:r>
              <w:rPr>
                <w:rFonts w:cs="Times New Roman"/>
                <w:sz w:val="21"/>
                <w:szCs w:val="21"/>
              </w:rPr>
              <w:t>效果</w:t>
            </w:r>
          </w:p>
          <w:p>
            <w:pPr>
              <w:spacing w:line="240" w:lineRule="auto"/>
              <w:ind w:firstLine="0" w:firstLineChars="0"/>
              <w:jc w:val="center"/>
              <w:rPr>
                <w:rFonts w:cs="Times New Roman"/>
                <w:sz w:val="21"/>
                <w:szCs w:val="21"/>
              </w:rPr>
            </w:pPr>
            <w:r>
              <w:rPr>
                <w:rFonts w:hint="eastAsia" w:cs="Times New Roman"/>
                <w:sz w:val="21"/>
                <w:szCs w:val="21"/>
              </w:rPr>
              <w:t>(</w:t>
            </w:r>
            <w:r>
              <w:rPr>
                <w:rFonts w:cs="Times New Roman"/>
                <w:sz w:val="21"/>
                <w:szCs w:val="21"/>
              </w:rPr>
              <w:t>10分</w:t>
            </w:r>
            <w:r>
              <w:rPr>
                <w:rFonts w:hint="eastAsia" w:cs="Times New Roman"/>
                <w:sz w:val="21"/>
                <w:szCs w:val="21"/>
              </w:rPr>
              <w:t>)</w:t>
            </w:r>
          </w:p>
        </w:tc>
        <w:tc>
          <w:tcPr>
            <w:tcW w:w="1095" w:type="dxa"/>
            <w:vMerge w:val="restart"/>
            <w:vAlign w:val="center"/>
          </w:tcPr>
          <w:p>
            <w:pPr>
              <w:spacing w:line="240" w:lineRule="auto"/>
              <w:ind w:firstLine="0" w:firstLineChars="0"/>
              <w:jc w:val="center"/>
              <w:rPr>
                <w:rFonts w:cs="Times New Roman"/>
                <w:sz w:val="21"/>
                <w:szCs w:val="21"/>
              </w:rPr>
            </w:pPr>
            <w:r>
              <w:rPr>
                <w:rFonts w:cs="Times New Roman"/>
                <w:sz w:val="21"/>
                <w:szCs w:val="21"/>
              </w:rPr>
              <w:t>经济影响（2分）</w:t>
            </w:r>
          </w:p>
        </w:tc>
        <w:tc>
          <w:tcPr>
            <w:tcW w:w="1118" w:type="dxa"/>
            <w:vAlign w:val="center"/>
          </w:tcPr>
          <w:p>
            <w:pPr>
              <w:spacing w:line="240" w:lineRule="auto"/>
              <w:ind w:firstLine="0" w:firstLineChars="0"/>
              <w:rPr>
                <w:rFonts w:cs="Times New Roman"/>
                <w:sz w:val="21"/>
                <w:szCs w:val="21"/>
              </w:rPr>
            </w:pPr>
            <w:r>
              <w:rPr>
                <w:rFonts w:cs="Times New Roman"/>
                <w:sz w:val="21"/>
                <w:szCs w:val="21"/>
              </w:rPr>
              <w:t>直接经济影响</w:t>
            </w:r>
          </w:p>
        </w:tc>
        <w:tc>
          <w:tcPr>
            <w:tcW w:w="2088" w:type="dxa"/>
            <w:vAlign w:val="center"/>
          </w:tcPr>
          <w:p>
            <w:pPr>
              <w:spacing w:line="240" w:lineRule="auto"/>
              <w:ind w:firstLine="0" w:firstLineChars="0"/>
              <w:rPr>
                <w:rFonts w:cs="Times New Roman"/>
                <w:sz w:val="21"/>
                <w:szCs w:val="21"/>
              </w:rPr>
            </w:pPr>
            <w:r>
              <w:rPr>
                <w:rFonts w:cs="Times New Roman"/>
                <w:sz w:val="21"/>
                <w:szCs w:val="21"/>
              </w:rPr>
              <w:t>评价项目实施对经济发展所带来的直接影响</w:t>
            </w:r>
          </w:p>
        </w:tc>
        <w:tc>
          <w:tcPr>
            <w:tcW w:w="709" w:type="dxa"/>
            <w:vAlign w:val="center"/>
          </w:tcPr>
          <w:p>
            <w:pPr>
              <w:spacing w:line="240" w:lineRule="auto"/>
              <w:ind w:firstLine="0" w:firstLineChars="0"/>
              <w:jc w:val="center"/>
              <w:rPr>
                <w:rFonts w:cs="Times New Roman"/>
                <w:sz w:val="21"/>
                <w:szCs w:val="21"/>
              </w:rPr>
            </w:pPr>
            <w:r>
              <w:rPr>
                <w:rFonts w:cs="Times New Roman"/>
                <w:sz w:val="21"/>
                <w:szCs w:val="21"/>
              </w:rPr>
              <w:t>1</w:t>
            </w:r>
          </w:p>
        </w:tc>
        <w:tc>
          <w:tcPr>
            <w:tcW w:w="3402" w:type="dxa"/>
            <w:vAlign w:val="center"/>
          </w:tcPr>
          <w:p>
            <w:pPr>
              <w:spacing w:line="240" w:lineRule="auto"/>
              <w:ind w:firstLine="0" w:firstLineChars="0"/>
              <w:rPr>
                <w:rFonts w:cs="Times New Roman"/>
                <w:sz w:val="21"/>
                <w:szCs w:val="21"/>
              </w:rPr>
            </w:pPr>
            <w:r>
              <w:rPr>
                <w:rFonts w:cs="Times New Roman"/>
                <w:sz w:val="21"/>
                <w:szCs w:val="21"/>
              </w:rPr>
              <w:t>1.直接促进当地产业发展，雇佣当地工人、购买当地原材料等；</w:t>
            </w:r>
          </w:p>
          <w:p>
            <w:pPr>
              <w:spacing w:line="240" w:lineRule="auto"/>
              <w:ind w:firstLine="0" w:firstLineChars="0"/>
              <w:rPr>
                <w:rFonts w:cs="Times New Roman"/>
                <w:sz w:val="21"/>
                <w:szCs w:val="21"/>
              </w:rPr>
            </w:pPr>
            <w:r>
              <w:rPr>
                <w:rFonts w:cs="Times New Roman"/>
                <w:sz w:val="21"/>
                <w:szCs w:val="21"/>
              </w:rPr>
              <w:t>2.对当地产业发展，经济增长速度及质量起到直接促进作用。</w:t>
            </w:r>
          </w:p>
        </w:tc>
        <w:tc>
          <w:tcPr>
            <w:tcW w:w="5240" w:type="dxa"/>
            <w:vAlign w:val="center"/>
          </w:tcPr>
          <w:p>
            <w:pPr>
              <w:spacing w:line="240" w:lineRule="auto"/>
              <w:ind w:firstLine="0" w:firstLineChars="0"/>
              <w:rPr>
                <w:rFonts w:cs="Times New Roman"/>
                <w:sz w:val="21"/>
                <w:szCs w:val="21"/>
              </w:rPr>
            </w:pPr>
            <w:r>
              <w:rPr>
                <w:rFonts w:cs="Times New Roman"/>
                <w:sz w:val="21"/>
                <w:szCs w:val="21"/>
              </w:rPr>
              <w:t>因</w:t>
            </w:r>
            <w:r>
              <w:rPr>
                <w:rFonts w:hint="eastAsia" w:cs="Times New Roman"/>
                <w:sz w:val="21"/>
                <w:szCs w:val="21"/>
              </w:rPr>
              <w:t>项目公司</w:t>
            </w:r>
            <w:r>
              <w:rPr>
                <w:rFonts w:cs="Times New Roman"/>
                <w:sz w:val="21"/>
                <w:szCs w:val="21"/>
              </w:rPr>
              <w:t>原因对经济直接带来负面影响的，每次扣0.1分。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vAlign w:val="center"/>
          </w:tcPr>
          <w:p>
            <w:pPr>
              <w:spacing w:line="240" w:lineRule="auto"/>
              <w:ind w:firstLine="0" w:firstLineChars="0"/>
              <w:jc w:val="center"/>
              <w:rPr>
                <w:rFonts w:cs="Times New Roman"/>
                <w:sz w:val="21"/>
                <w:szCs w:val="21"/>
              </w:rPr>
            </w:pPr>
          </w:p>
        </w:tc>
        <w:tc>
          <w:tcPr>
            <w:tcW w:w="1095" w:type="dxa"/>
            <w:vMerge w:val="continue"/>
            <w:vAlign w:val="center"/>
          </w:tcPr>
          <w:p>
            <w:pPr>
              <w:spacing w:line="240" w:lineRule="auto"/>
              <w:ind w:firstLine="0" w:firstLineChars="0"/>
              <w:jc w:val="center"/>
              <w:rPr>
                <w:rFonts w:cs="Times New Roman"/>
                <w:sz w:val="21"/>
                <w:szCs w:val="21"/>
              </w:rPr>
            </w:pPr>
          </w:p>
        </w:tc>
        <w:tc>
          <w:tcPr>
            <w:tcW w:w="1118" w:type="dxa"/>
            <w:vAlign w:val="center"/>
          </w:tcPr>
          <w:p>
            <w:pPr>
              <w:spacing w:line="240" w:lineRule="auto"/>
              <w:ind w:firstLine="0" w:firstLineChars="0"/>
              <w:rPr>
                <w:rFonts w:cs="Times New Roman"/>
                <w:sz w:val="21"/>
                <w:szCs w:val="21"/>
              </w:rPr>
            </w:pPr>
            <w:r>
              <w:rPr>
                <w:rFonts w:cs="Times New Roman"/>
                <w:sz w:val="21"/>
                <w:szCs w:val="21"/>
              </w:rPr>
              <w:t>间接经济影响</w:t>
            </w:r>
          </w:p>
        </w:tc>
        <w:tc>
          <w:tcPr>
            <w:tcW w:w="2088" w:type="dxa"/>
            <w:vAlign w:val="center"/>
          </w:tcPr>
          <w:p>
            <w:pPr>
              <w:spacing w:line="240" w:lineRule="auto"/>
              <w:ind w:firstLine="0" w:firstLineChars="0"/>
              <w:rPr>
                <w:rFonts w:cs="Times New Roman"/>
                <w:sz w:val="21"/>
                <w:szCs w:val="21"/>
              </w:rPr>
            </w:pPr>
            <w:r>
              <w:rPr>
                <w:rFonts w:cs="Times New Roman"/>
                <w:sz w:val="21"/>
                <w:szCs w:val="21"/>
              </w:rPr>
              <w:t>评价项目实施对经济发展所带来的间接影响</w:t>
            </w:r>
          </w:p>
        </w:tc>
        <w:tc>
          <w:tcPr>
            <w:tcW w:w="709" w:type="dxa"/>
            <w:vAlign w:val="center"/>
          </w:tcPr>
          <w:p>
            <w:pPr>
              <w:spacing w:line="240" w:lineRule="auto"/>
              <w:ind w:firstLine="0" w:firstLineChars="0"/>
              <w:jc w:val="center"/>
              <w:rPr>
                <w:rFonts w:cs="Times New Roman"/>
                <w:sz w:val="21"/>
                <w:szCs w:val="21"/>
              </w:rPr>
            </w:pPr>
            <w:r>
              <w:rPr>
                <w:rFonts w:cs="Times New Roman"/>
                <w:sz w:val="21"/>
                <w:szCs w:val="21"/>
              </w:rPr>
              <w:t>1</w:t>
            </w:r>
          </w:p>
        </w:tc>
        <w:tc>
          <w:tcPr>
            <w:tcW w:w="3402" w:type="dxa"/>
            <w:vAlign w:val="center"/>
          </w:tcPr>
          <w:p>
            <w:pPr>
              <w:spacing w:line="240" w:lineRule="auto"/>
              <w:ind w:firstLine="0" w:firstLineChars="0"/>
              <w:rPr>
                <w:rFonts w:cs="Times New Roman"/>
                <w:sz w:val="21"/>
                <w:szCs w:val="21"/>
              </w:rPr>
            </w:pPr>
            <w:r>
              <w:rPr>
                <w:rFonts w:cs="Times New Roman"/>
                <w:sz w:val="21"/>
                <w:szCs w:val="21"/>
              </w:rPr>
              <w:t>间接促进当地产业发展，对当地经济增长速度及质量起到积极作用。</w:t>
            </w:r>
          </w:p>
        </w:tc>
        <w:tc>
          <w:tcPr>
            <w:tcW w:w="5240" w:type="dxa"/>
            <w:vAlign w:val="center"/>
          </w:tcPr>
          <w:p>
            <w:pPr>
              <w:spacing w:line="240" w:lineRule="auto"/>
              <w:ind w:firstLine="0" w:firstLineChars="0"/>
              <w:rPr>
                <w:rFonts w:cs="Times New Roman"/>
                <w:sz w:val="21"/>
                <w:szCs w:val="21"/>
              </w:rPr>
            </w:pPr>
            <w:r>
              <w:rPr>
                <w:rFonts w:cs="Times New Roman"/>
                <w:sz w:val="21"/>
                <w:szCs w:val="21"/>
              </w:rPr>
              <w:t>对经济间接带来负面影响的，每次扣0.1分。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vAlign w:val="center"/>
          </w:tcPr>
          <w:p>
            <w:pPr>
              <w:spacing w:line="240" w:lineRule="auto"/>
              <w:ind w:firstLine="0" w:firstLineChars="0"/>
              <w:jc w:val="center"/>
              <w:rPr>
                <w:rFonts w:cs="Times New Roman"/>
                <w:sz w:val="21"/>
                <w:szCs w:val="21"/>
              </w:rPr>
            </w:pPr>
          </w:p>
        </w:tc>
        <w:tc>
          <w:tcPr>
            <w:tcW w:w="1095" w:type="dxa"/>
            <w:vAlign w:val="center"/>
          </w:tcPr>
          <w:p>
            <w:pPr>
              <w:spacing w:line="240" w:lineRule="auto"/>
              <w:ind w:firstLine="0" w:firstLineChars="0"/>
              <w:jc w:val="center"/>
              <w:rPr>
                <w:rFonts w:cs="Times New Roman"/>
                <w:sz w:val="21"/>
                <w:szCs w:val="21"/>
              </w:rPr>
            </w:pPr>
            <w:r>
              <w:rPr>
                <w:rFonts w:cs="Times New Roman"/>
                <w:sz w:val="21"/>
                <w:szCs w:val="21"/>
              </w:rPr>
              <w:t>生态影响（1分）</w:t>
            </w:r>
          </w:p>
        </w:tc>
        <w:tc>
          <w:tcPr>
            <w:tcW w:w="1118" w:type="dxa"/>
            <w:vAlign w:val="center"/>
          </w:tcPr>
          <w:p>
            <w:pPr>
              <w:spacing w:line="240" w:lineRule="auto"/>
              <w:ind w:firstLine="0" w:firstLineChars="0"/>
              <w:rPr>
                <w:rFonts w:cs="Times New Roman"/>
                <w:sz w:val="21"/>
                <w:szCs w:val="21"/>
              </w:rPr>
            </w:pPr>
            <w:r>
              <w:rPr>
                <w:rFonts w:cs="Times New Roman"/>
                <w:sz w:val="21"/>
                <w:szCs w:val="21"/>
              </w:rPr>
              <w:t>生态保护</w:t>
            </w:r>
          </w:p>
        </w:tc>
        <w:tc>
          <w:tcPr>
            <w:tcW w:w="2088" w:type="dxa"/>
            <w:vAlign w:val="center"/>
          </w:tcPr>
          <w:p>
            <w:pPr>
              <w:spacing w:line="240" w:lineRule="auto"/>
              <w:ind w:firstLine="0" w:firstLineChars="0"/>
              <w:rPr>
                <w:rFonts w:cs="Times New Roman"/>
                <w:sz w:val="21"/>
                <w:szCs w:val="21"/>
              </w:rPr>
            </w:pPr>
            <w:r>
              <w:rPr>
                <w:rFonts w:cs="Times New Roman"/>
                <w:sz w:val="21"/>
                <w:szCs w:val="21"/>
              </w:rPr>
              <w:t>评价项目是否发生生态影响事件</w:t>
            </w:r>
          </w:p>
        </w:tc>
        <w:tc>
          <w:tcPr>
            <w:tcW w:w="709" w:type="dxa"/>
            <w:vAlign w:val="center"/>
          </w:tcPr>
          <w:p>
            <w:pPr>
              <w:spacing w:line="240" w:lineRule="auto"/>
              <w:ind w:firstLine="0" w:firstLineChars="0"/>
              <w:jc w:val="center"/>
              <w:rPr>
                <w:rFonts w:cs="Times New Roman"/>
                <w:sz w:val="21"/>
                <w:szCs w:val="21"/>
              </w:rPr>
            </w:pPr>
            <w:r>
              <w:rPr>
                <w:rFonts w:cs="Times New Roman"/>
                <w:sz w:val="21"/>
                <w:szCs w:val="21"/>
              </w:rPr>
              <w:t>1</w:t>
            </w:r>
          </w:p>
        </w:tc>
        <w:tc>
          <w:tcPr>
            <w:tcW w:w="3402" w:type="dxa"/>
            <w:vAlign w:val="center"/>
          </w:tcPr>
          <w:p>
            <w:pPr>
              <w:spacing w:line="240" w:lineRule="auto"/>
              <w:ind w:firstLine="0" w:firstLineChars="0"/>
              <w:rPr>
                <w:rFonts w:cs="Times New Roman"/>
                <w:sz w:val="21"/>
                <w:szCs w:val="21"/>
              </w:rPr>
            </w:pPr>
            <w:r>
              <w:rPr>
                <w:rFonts w:cs="Times New Roman"/>
                <w:sz w:val="21"/>
                <w:szCs w:val="21"/>
              </w:rPr>
              <w:t>不发生破坏生态环境事件。</w:t>
            </w:r>
          </w:p>
        </w:tc>
        <w:tc>
          <w:tcPr>
            <w:tcW w:w="5240" w:type="dxa"/>
            <w:vAlign w:val="center"/>
          </w:tcPr>
          <w:p>
            <w:pPr>
              <w:spacing w:line="240" w:lineRule="auto"/>
              <w:ind w:firstLine="0" w:firstLineChars="0"/>
              <w:rPr>
                <w:rFonts w:cs="Times New Roman"/>
                <w:sz w:val="21"/>
                <w:szCs w:val="21"/>
              </w:rPr>
            </w:pPr>
            <w:r>
              <w:rPr>
                <w:rFonts w:cs="Times New Roman"/>
                <w:sz w:val="21"/>
                <w:szCs w:val="21"/>
              </w:rPr>
              <w:t>因</w:t>
            </w:r>
            <w:r>
              <w:rPr>
                <w:rFonts w:hint="eastAsia" w:cs="Times New Roman"/>
                <w:sz w:val="21"/>
                <w:szCs w:val="21"/>
              </w:rPr>
              <w:t>项目公司</w:t>
            </w:r>
            <w:r>
              <w:rPr>
                <w:rFonts w:cs="Times New Roman"/>
                <w:sz w:val="21"/>
                <w:szCs w:val="21"/>
              </w:rPr>
              <w:t>原因发生破坏生态环境事件的：发生一件扣0.5分。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vAlign w:val="center"/>
          </w:tcPr>
          <w:p>
            <w:pPr>
              <w:spacing w:line="240" w:lineRule="auto"/>
              <w:ind w:firstLine="0" w:firstLineChars="0"/>
              <w:jc w:val="center"/>
              <w:rPr>
                <w:rFonts w:cs="Times New Roman"/>
                <w:sz w:val="21"/>
                <w:szCs w:val="21"/>
              </w:rPr>
            </w:pPr>
          </w:p>
        </w:tc>
        <w:tc>
          <w:tcPr>
            <w:tcW w:w="1095" w:type="dxa"/>
            <w:vMerge w:val="restart"/>
            <w:vAlign w:val="center"/>
          </w:tcPr>
          <w:p>
            <w:pPr>
              <w:spacing w:line="240" w:lineRule="auto"/>
              <w:ind w:firstLine="0" w:firstLineChars="0"/>
              <w:jc w:val="center"/>
              <w:rPr>
                <w:rFonts w:cs="Times New Roman"/>
                <w:sz w:val="21"/>
                <w:szCs w:val="21"/>
              </w:rPr>
            </w:pPr>
            <w:r>
              <w:rPr>
                <w:rFonts w:cs="Times New Roman"/>
                <w:sz w:val="21"/>
                <w:szCs w:val="21"/>
              </w:rPr>
              <w:t>社会影响（3分）</w:t>
            </w:r>
          </w:p>
        </w:tc>
        <w:tc>
          <w:tcPr>
            <w:tcW w:w="1118" w:type="dxa"/>
            <w:vAlign w:val="center"/>
          </w:tcPr>
          <w:p>
            <w:pPr>
              <w:spacing w:line="240" w:lineRule="auto"/>
              <w:ind w:firstLine="0" w:firstLineChars="0"/>
              <w:rPr>
                <w:rFonts w:cs="Times New Roman"/>
                <w:sz w:val="21"/>
                <w:szCs w:val="21"/>
              </w:rPr>
            </w:pPr>
            <w:r>
              <w:rPr>
                <w:rFonts w:cs="Times New Roman"/>
                <w:sz w:val="21"/>
                <w:szCs w:val="21"/>
              </w:rPr>
              <w:t>社会荣誉</w:t>
            </w:r>
          </w:p>
        </w:tc>
        <w:tc>
          <w:tcPr>
            <w:tcW w:w="2088" w:type="dxa"/>
            <w:vAlign w:val="center"/>
          </w:tcPr>
          <w:p>
            <w:pPr>
              <w:spacing w:line="240" w:lineRule="auto"/>
              <w:ind w:firstLine="0" w:firstLineChars="0"/>
              <w:rPr>
                <w:rFonts w:cs="Times New Roman"/>
                <w:sz w:val="21"/>
                <w:szCs w:val="21"/>
              </w:rPr>
            </w:pPr>
            <w:r>
              <w:rPr>
                <w:rFonts w:cs="Times New Roman"/>
                <w:sz w:val="21"/>
                <w:szCs w:val="21"/>
              </w:rPr>
              <w:t>评价项目获得的社会荣誉情况</w:t>
            </w:r>
          </w:p>
        </w:tc>
        <w:tc>
          <w:tcPr>
            <w:tcW w:w="709" w:type="dxa"/>
            <w:vAlign w:val="center"/>
          </w:tcPr>
          <w:p>
            <w:pPr>
              <w:spacing w:line="240" w:lineRule="auto"/>
              <w:ind w:firstLine="0" w:firstLineChars="0"/>
              <w:jc w:val="center"/>
              <w:rPr>
                <w:rFonts w:cs="Times New Roman"/>
                <w:sz w:val="21"/>
                <w:szCs w:val="21"/>
              </w:rPr>
            </w:pPr>
            <w:r>
              <w:rPr>
                <w:rFonts w:cs="Times New Roman"/>
                <w:sz w:val="21"/>
                <w:szCs w:val="21"/>
              </w:rPr>
              <w:t>2</w:t>
            </w:r>
          </w:p>
        </w:tc>
        <w:tc>
          <w:tcPr>
            <w:tcW w:w="3402" w:type="dxa"/>
            <w:vAlign w:val="center"/>
          </w:tcPr>
          <w:p>
            <w:pPr>
              <w:spacing w:line="240" w:lineRule="auto"/>
              <w:ind w:firstLine="0" w:firstLineChars="0"/>
              <w:rPr>
                <w:rFonts w:cs="Times New Roman"/>
                <w:sz w:val="21"/>
                <w:szCs w:val="21"/>
              </w:rPr>
            </w:pPr>
            <w:r>
              <w:rPr>
                <w:rFonts w:cs="Times New Roman"/>
                <w:sz w:val="21"/>
                <w:szCs w:val="21"/>
              </w:rPr>
              <w:t>获得市级及以上部门颁发的奖项或获得本级或以上级别政府表彰、奖励或被当地或国内主流媒体（网络、报纸）公开表扬、宣传的，酌情进行加分。</w:t>
            </w:r>
          </w:p>
        </w:tc>
        <w:tc>
          <w:tcPr>
            <w:tcW w:w="5240" w:type="dxa"/>
            <w:vAlign w:val="center"/>
          </w:tcPr>
          <w:p>
            <w:pPr>
              <w:spacing w:line="240" w:lineRule="auto"/>
              <w:ind w:firstLine="0" w:firstLineChars="0"/>
              <w:rPr>
                <w:rFonts w:cs="Times New Roman"/>
                <w:sz w:val="21"/>
                <w:szCs w:val="21"/>
              </w:rPr>
            </w:pPr>
            <w:r>
              <w:rPr>
                <w:rFonts w:cs="Times New Roman"/>
                <w:sz w:val="21"/>
                <w:szCs w:val="21"/>
              </w:rPr>
              <w:t>获得市级及以上部门颁发的奖项的2分；</w:t>
            </w:r>
            <w:r>
              <w:rPr>
                <w:rFonts w:cs="Times New Roman"/>
                <w:sz w:val="21"/>
                <w:szCs w:val="21"/>
              </w:rPr>
              <w:br w:type="textWrapping"/>
            </w:r>
            <w:r>
              <w:rPr>
                <w:rFonts w:cs="Times New Roman"/>
                <w:sz w:val="21"/>
                <w:szCs w:val="21"/>
              </w:rPr>
              <w:t>获得县级或以上级别政府表彰、奖励的：1.5分；</w:t>
            </w:r>
            <w:r>
              <w:rPr>
                <w:rFonts w:cs="Times New Roman"/>
                <w:sz w:val="21"/>
                <w:szCs w:val="21"/>
              </w:rPr>
              <w:br w:type="textWrapping"/>
            </w:r>
            <w:r>
              <w:rPr>
                <w:rFonts w:cs="Times New Roman"/>
                <w:sz w:val="21"/>
                <w:szCs w:val="21"/>
              </w:rPr>
              <w:t>被当地或国内主流媒体（网络、报纸）公开表扬、宣传的：1分。</w:t>
            </w:r>
          </w:p>
          <w:p>
            <w:pPr>
              <w:spacing w:line="240" w:lineRule="auto"/>
              <w:ind w:firstLine="0" w:firstLineChars="0"/>
              <w:rPr>
                <w:rFonts w:cs="Times New Roman"/>
                <w:sz w:val="21"/>
                <w:szCs w:val="21"/>
              </w:rPr>
            </w:pPr>
            <w:r>
              <w:rPr>
                <w:rFonts w:cs="Times New Roman"/>
                <w:sz w:val="21"/>
                <w:szCs w:val="21"/>
              </w:rPr>
              <w:t>本项最高得2分。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vAlign w:val="center"/>
          </w:tcPr>
          <w:p>
            <w:pPr>
              <w:spacing w:line="240" w:lineRule="auto"/>
              <w:ind w:firstLine="0" w:firstLineChars="0"/>
              <w:jc w:val="center"/>
              <w:rPr>
                <w:rFonts w:cs="Times New Roman"/>
                <w:sz w:val="21"/>
                <w:szCs w:val="21"/>
              </w:rPr>
            </w:pPr>
          </w:p>
        </w:tc>
        <w:tc>
          <w:tcPr>
            <w:tcW w:w="1095" w:type="dxa"/>
            <w:vMerge w:val="continue"/>
            <w:vAlign w:val="center"/>
          </w:tcPr>
          <w:p>
            <w:pPr>
              <w:spacing w:line="240" w:lineRule="auto"/>
              <w:ind w:firstLine="0" w:firstLineChars="0"/>
              <w:jc w:val="center"/>
              <w:rPr>
                <w:rFonts w:cs="Times New Roman"/>
                <w:sz w:val="21"/>
                <w:szCs w:val="21"/>
              </w:rPr>
            </w:pPr>
          </w:p>
        </w:tc>
        <w:tc>
          <w:tcPr>
            <w:tcW w:w="1118" w:type="dxa"/>
            <w:vAlign w:val="center"/>
          </w:tcPr>
          <w:p>
            <w:pPr>
              <w:spacing w:line="240" w:lineRule="auto"/>
              <w:ind w:firstLine="0" w:firstLineChars="0"/>
              <w:rPr>
                <w:rFonts w:cs="Times New Roman"/>
                <w:sz w:val="21"/>
                <w:szCs w:val="21"/>
              </w:rPr>
            </w:pPr>
            <w:r>
              <w:rPr>
                <w:rFonts w:cs="Times New Roman"/>
                <w:sz w:val="21"/>
                <w:szCs w:val="21"/>
              </w:rPr>
              <w:t>重大诉讼、公众舆情与群体性事件</w:t>
            </w:r>
          </w:p>
        </w:tc>
        <w:tc>
          <w:tcPr>
            <w:tcW w:w="2088" w:type="dxa"/>
            <w:vAlign w:val="center"/>
          </w:tcPr>
          <w:p>
            <w:pPr>
              <w:spacing w:line="240" w:lineRule="auto"/>
              <w:ind w:firstLine="0" w:firstLineChars="0"/>
              <w:rPr>
                <w:rFonts w:cs="Times New Roman"/>
                <w:sz w:val="21"/>
                <w:szCs w:val="21"/>
              </w:rPr>
            </w:pPr>
            <w:r>
              <w:rPr>
                <w:rFonts w:cs="Times New Roman"/>
                <w:sz w:val="21"/>
                <w:szCs w:val="21"/>
              </w:rPr>
              <w:t>评价项目是否发生具有重大社会影响的其他情况</w:t>
            </w:r>
          </w:p>
        </w:tc>
        <w:tc>
          <w:tcPr>
            <w:tcW w:w="709" w:type="dxa"/>
            <w:vAlign w:val="center"/>
          </w:tcPr>
          <w:p>
            <w:pPr>
              <w:spacing w:line="240" w:lineRule="auto"/>
              <w:ind w:firstLine="0" w:firstLineChars="0"/>
              <w:jc w:val="center"/>
              <w:rPr>
                <w:rFonts w:cs="Times New Roman"/>
                <w:sz w:val="21"/>
                <w:szCs w:val="21"/>
              </w:rPr>
            </w:pPr>
            <w:r>
              <w:rPr>
                <w:rFonts w:cs="Times New Roman"/>
                <w:sz w:val="21"/>
                <w:szCs w:val="21"/>
              </w:rPr>
              <w:t>1</w:t>
            </w:r>
          </w:p>
        </w:tc>
        <w:tc>
          <w:tcPr>
            <w:tcW w:w="3402" w:type="dxa"/>
            <w:vAlign w:val="center"/>
          </w:tcPr>
          <w:p>
            <w:pPr>
              <w:spacing w:line="240" w:lineRule="auto"/>
              <w:ind w:firstLine="0" w:firstLineChars="0"/>
              <w:rPr>
                <w:rFonts w:cs="Times New Roman"/>
                <w:sz w:val="21"/>
                <w:szCs w:val="21"/>
              </w:rPr>
            </w:pPr>
            <w:r>
              <w:rPr>
                <w:rFonts w:cs="Times New Roman"/>
                <w:sz w:val="21"/>
                <w:szCs w:val="21"/>
              </w:rPr>
              <w:t>不发生重大诉讼、公众舆情与群体性事件。</w:t>
            </w:r>
          </w:p>
        </w:tc>
        <w:tc>
          <w:tcPr>
            <w:tcW w:w="5240" w:type="dxa"/>
            <w:vAlign w:val="center"/>
          </w:tcPr>
          <w:p>
            <w:pPr>
              <w:spacing w:line="240" w:lineRule="auto"/>
              <w:ind w:firstLine="0" w:firstLineChars="0"/>
              <w:rPr>
                <w:rFonts w:cs="Times New Roman"/>
                <w:sz w:val="21"/>
                <w:szCs w:val="21"/>
              </w:rPr>
            </w:pPr>
            <w:r>
              <w:rPr>
                <w:rFonts w:cs="Times New Roman"/>
                <w:sz w:val="21"/>
                <w:szCs w:val="21"/>
              </w:rPr>
              <w:t>因</w:t>
            </w:r>
            <w:r>
              <w:rPr>
                <w:rFonts w:hint="eastAsia" w:cs="Times New Roman"/>
                <w:sz w:val="21"/>
                <w:szCs w:val="21"/>
              </w:rPr>
              <w:t>社会资本</w:t>
            </w:r>
            <w:r>
              <w:rPr>
                <w:rFonts w:cs="Times New Roman"/>
                <w:sz w:val="21"/>
                <w:szCs w:val="21"/>
              </w:rPr>
              <w:t>原因引发重大诉讼、公众舆情与群体性事件的，</w:t>
            </w:r>
            <w:r>
              <w:rPr>
                <w:rFonts w:cs="Times New Roman"/>
                <w:color w:val="000000"/>
                <w:kern w:val="0"/>
                <w:sz w:val="21"/>
                <w:szCs w:val="21"/>
              </w:rPr>
              <w:t>超过整改要求的整改期未能完成整改或整改不合格的，</w:t>
            </w:r>
            <w:r>
              <w:rPr>
                <w:rFonts w:cs="Times New Roman"/>
                <w:sz w:val="21"/>
                <w:szCs w:val="21"/>
              </w:rPr>
              <w:t>扣0.5分。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vAlign w:val="center"/>
          </w:tcPr>
          <w:p>
            <w:pPr>
              <w:spacing w:line="240" w:lineRule="auto"/>
              <w:ind w:firstLine="0" w:firstLineChars="0"/>
              <w:jc w:val="center"/>
              <w:rPr>
                <w:rFonts w:cs="Times New Roman"/>
                <w:sz w:val="21"/>
                <w:szCs w:val="21"/>
              </w:rPr>
            </w:pPr>
          </w:p>
        </w:tc>
        <w:tc>
          <w:tcPr>
            <w:tcW w:w="1095" w:type="dxa"/>
            <w:vAlign w:val="center"/>
          </w:tcPr>
          <w:p>
            <w:pPr>
              <w:spacing w:line="240" w:lineRule="auto"/>
              <w:ind w:firstLine="0" w:firstLineChars="0"/>
              <w:jc w:val="center"/>
              <w:rPr>
                <w:rFonts w:cs="Times New Roman"/>
                <w:sz w:val="21"/>
                <w:szCs w:val="21"/>
              </w:rPr>
            </w:pPr>
            <w:r>
              <w:rPr>
                <w:rFonts w:cs="Times New Roman"/>
                <w:sz w:val="21"/>
                <w:szCs w:val="21"/>
              </w:rPr>
              <w:t>可持续性（1分）</w:t>
            </w:r>
          </w:p>
        </w:tc>
        <w:tc>
          <w:tcPr>
            <w:tcW w:w="1118" w:type="dxa"/>
            <w:vAlign w:val="center"/>
          </w:tcPr>
          <w:p>
            <w:pPr>
              <w:spacing w:line="240" w:lineRule="auto"/>
              <w:ind w:firstLine="0" w:firstLineChars="0"/>
              <w:rPr>
                <w:rFonts w:cs="Times New Roman"/>
                <w:sz w:val="21"/>
                <w:szCs w:val="21"/>
              </w:rPr>
            </w:pPr>
            <w:r>
              <w:rPr>
                <w:rFonts w:cs="Times New Roman"/>
                <w:sz w:val="21"/>
                <w:szCs w:val="21"/>
              </w:rPr>
              <w:t>项目发展</w:t>
            </w:r>
          </w:p>
        </w:tc>
        <w:tc>
          <w:tcPr>
            <w:tcW w:w="2088" w:type="dxa"/>
            <w:vAlign w:val="center"/>
          </w:tcPr>
          <w:p>
            <w:pPr>
              <w:spacing w:line="240" w:lineRule="auto"/>
              <w:ind w:firstLine="0" w:firstLineChars="0"/>
              <w:rPr>
                <w:rFonts w:cs="Times New Roman"/>
                <w:sz w:val="21"/>
                <w:szCs w:val="21"/>
              </w:rPr>
            </w:pPr>
            <w:r>
              <w:rPr>
                <w:rFonts w:cs="Times New Roman"/>
                <w:sz w:val="21"/>
                <w:szCs w:val="21"/>
              </w:rPr>
              <w:t>评价项目发展可持续性</w:t>
            </w:r>
          </w:p>
        </w:tc>
        <w:tc>
          <w:tcPr>
            <w:tcW w:w="709" w:type="dxa"/>
            <w:vAlign w:val="center"/>
          </w:tcPr>
          <w:p>
            <w:pPr>
              <w:spacing w:line="240" w:lineRule="auto"/>
              <w:ind w:firstLine="0" w:firstLineChars="0"/>
              <w:jc w:val="center"/>
              <w:rPr>
                <w:rFonts w:cs="Times New Roman"/>
                <w:sz w:val="21"/>
                <w:szCs w:val="21"/>
              </w:rPr>
            </w:pPr>
            <w:r>
              <w:rPr>
                <w:rFonts w:cs="Times New Roman"/>
                <w:sz w:val="21"/>
                <w:szCs w:val="21"/>
              </w:rPr>
              <w:t>1</w:t>
            </w:r>
          </w:p>
        </w:tc>
        <w:tc>
          <w:tcPr>
            <w:tcW w:w="3402" w:type="dxa"/>
            <w:vAlign w:val="center"/>
          </w:tcPr>
          <w:p>
            <w:pPr>
              <w:spacing w:line="240" w:lineRule="auto"/>
              <w:ind w:firstLine="0" w:firstLineChars="0"/>
              <w:rPr>
                <w:rFonts w:cs="Times New Roman"/>
                <w:sz w:val="21"/>
                <w:szCs w:val="21"/>
              </w:rPr>
            </w:pPr>
            <w:r>
              <w:rPr>
                <w:rFonts w:cs="Times New Roman"/>
                <w:sz w:val="21"/>
                <w:szCs w:val="21"/>
              </w:rPr>
              <w:t>项目发展情况良好，不发生重大违约事项。</w:t>
            </w:r>
          </w:p>
        </w:tc>
        <w:tc>
          <w:tcPr>
            <w:tcW w:w="5240" w:type="dxa"/>
            <w:vAlign w:val="center"/>
          </w:tcPr>
          <w:p>
            <w:pPr>
              <w:spacing w:line="240" w:lineRule="auto"/>
              <w:ind w:firstLine="0" w:firstLineChars="0"/>
              <w:rPr>
                <w:rFonts w:cs="Times New Roman"/>
                <w:sz w:val="21"/>
                <w:szCs w:val="21"/>
              </w:rPr>
            </w:pPr>
            <w:r>
              <w:rPr>
                <w:rFonts w:cs="Times New Roman"/>
                <w:sz w:val="21"/>
                <w:szCs w:val="21"/>
              </w:rPr>
              <w:t>因</w:t>
            </w:r>
            <w:r>
              <w:rPr>
                <w:rFonts w:hint="eastAsia" w:cs="Times New Roman"/>
                <w:sz w:val="21"/>
                <w:szCs w:val="21"/>
              </w:rPr>
              <w:t>社会资本</w:t>
            </w:r>
            <w:r>
              <w:rPr>
                <w:rFonts w:cs="Times New Roman"/>
                <w:sz w:val="21"/>
                <w:szCs w:val="21"/>
              </w:rPr>
              <w:t>原因发生重大违约事件的，</w:t>
            </w:r>
            <w:r>
              <w:rPr>
                <w:rFonts w:cs="Times New Roman"/>
                <w:color w:val="000000"/>
                <w:kern w:val="0"/>
                <w:sz w:val="21"/>
                <w:szCs w:val="21"/>
              </w:rPr>
              <w:t>超过整改要求的整改期未能完成整改或整改不合格的，</w:t>
            </w:r>
            <w:r>
              <w:rPr>
                <w:rFonts w:cs="Times New Roman"/>
                <w:sz w:val="21"/>
                <w:szCs w:val="21"/>
              </w:rPr>
              <w:t>扣1分。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vAlign w:val="center"/>
          </w:tcPr>
          <w:p>
            <w:pPr>
              <w:spacing w:line="240" w:lineRule="auto"/>
              <w:ind w:firstLine="0" w:firstLineChars="0"/>
              <w:jc w:val="center"/>
              <w:rPr>
                <w:rFonts w:cs="Times New Roman"/>
                <w:sz w:val="21"/>
                <w:szCs w:val="21"/>
              </w:rPr>
            </w:pPr>
          </w:p>
        </w:tc>
        <w:tc>
          <w:tcPr>
            <w:tcW w:w="1095" w:type="dxa"/>
            <w:vMerge w:val="restart"/>
            <w:vAlign w:val="center"/>
          </w:tcPr>
          <w:p>
            <w:pPr>
              <w:spacing w:line="240" w:lineRule="auto"/>
              <w:ind w:firstLine="0" w:firstLineChars="0"/>
              <w:jc w:val="center"/>
              <w:rPr>
                <w:rFonts w:cs="Times New Roman"/>
                <w:sz w:val="21"/>
                <w:szCs w:val="21"/>
              </w:rPr>
            </w:pPr>
            <w:r>
              <w:rPr>
                <w:rFonts w:cs="Times New Roman"/>
                <w:sz w:val="21"/>
                <w:szCs w:val="21"/>
              </w:rPr>
              <w:t>满意度</w:t>
            </w:r>
          </w:p>
          <w:p>
            <w:pPr>
              <w:spacing w:line="240" w:lineRule="auto"/>
              <w:ind w:firstLine="0" w:firstLineChars="0"/>
              <w:jc w:val="center"/>
              <w:rPr>
                <w:rFonts w:cs="Times New Roman"/>
                <w:sz w:val="21"/>
                <w:szCs w:val="21"/>
              </w:rPr>
            </w:pPr>
            <w:r>
              <w:rPr>
                <w:rFonts w:cs="Times New Roman"/>
                <w:sz w:val="21"/>
                <w:szCs w:val="21"/>
              </w:rPr>
              <w:t>（3分）</w:t>
            </w:r>
          </w:p>
        </w:tc>
        <w:tc>
          <w:tcPr>
            <w:tcW w:w="1118" w:type="dxa"/>
            <w:vAlign w:val="center"/>
          </w:tcPr>
          <w:p>
            <w:pPr>
              <w:spacing w:line="240" w:lineRule="auto"/>
              <w:ind w:firstLine="0" w:firstLineChars="0"/>
              <w:rPr>
                <w:rFonts w:cs="Times New Roman"/>
                <w:sz w:val="21"/>
                <w:szCs w:val="21"/>
              </w:rPr>
            </w:pPr>
            <w:r>
              <w:rPr>
                <w:rFonts w:cs="Times New Roman"/>
                <w:sz w:val="21"/>
                <w:szCs w:val="21"/>
              </w:rPr>
              <w:t>政府相关部门满意度</w:t>
            </w:r>
          </w:p>
        </w:tc>
        <w:tc>
          <w:tcPr>
            <w:tcW w:w="2088" w:type="dxa"/>
            <w:vAlign w:val="center"/>
          </w:tcPr>
          <w:p>
            <w:pPr>
              <w:spacing w:line="240" w:lineRule="auto"/>
              <w:ind w:firstLine="0" w:firstLineChars="0"/>
              <w:rPr>
                <w:rFonts w:cs="Times New Roman"/>
                <w:sz w:val="21"/>
                <w:szCs w:val="21"/>
              </w:rPr>
            </w:pPr>
            <w:r>
              <w:rPr>
                <w:rFonts w:cs="Times New Roman"/>
                <w:sz w:val="21"/>
                <w:szCs w:val="21"/>
              </w:rPr>
              <w:t>评价政府相关部门对</w:t>
            </w:r>
            <w:r>
              <w:rPr>
                <w:rFonts w:hint="eastAsia" w:cs="Times New Roman"/>
                <w:sz w:val="21"/>
                <w:szCs w:val="21"/>
              </w:rPr>
              <w:t>社会资本</w:t>
            </w:r>
            <w:r>
              <w:rPr>
                <w:rFonts w:cs="Times New Roman"/>
                <w:sz w:val="21"/>
                <w:szCs w:val="21"/>
              </w:rPr>
              <w:t>提供公共服务质量和效率的满意程度</w:t>
            </w:r>
          </w:p>
        </w:tc>
        <w:tc>
          <w:tcPr>
            <w:tcW w:w="709" w:type="dxa"/>
            <w:vAlign w:val="center"/>
          </w:tcPr>
          <w:p>
            <w:pPr>
              <w:spacing w:line="240" w:lineRule="auto"/>
              <w:ind w:firstLine="0" w:firstLineChars="0"/>
              <w:jc w:val="center"/>
              <w:rPr>
                <w:rFonts w:cs="Times New Roman"/>
                <w:sz w:val="21"/>
                <w:szCs w:val="21"/>
              </w:rPr>
            </w:pPr>
            <w:r>
              <w:rPr>
                <w:rFonts w:cs="Times New Roman"/>
                <w:sz w:val="21"/>
                <w:szCs w:val="21"/>
              </w:rPr>
              <w:t>1</w:t>
            </w:r>
          </w:p>
        </w:tc>
        <w:tc>
          <w:tcPr>
            <w:tcW w:w="3402" w:type="dxa"/>
            <w:vAlign w:val="center"/>
          </w:tcPr>
          <w:p>
            <w:pPr>
              <w:spacing w:line="240" w:lineRule="auto"/>
              <w:ind w:firstLine="0" w:firstLineChars="0"/>
              <w:rPr>
                <w:rFonts w:cs="Times New Roman"/>
                <w:sz w:val="21"/>
                <w:szCs w:val="21"/>
              </w:rPr>
            </w:pPr>
            <w:r>
              <w:rPr>
                <w:rFonts w:cs="Times New Roman"/>
                <w:sz w:val="21"/>
                <w:szCs w:val="21"/>
              </w:rPr>
              <w:t>政府相关部门对社会资本提供公共服务质量和效率的满意程度达到80%及以上。</w:t>
            </w:r>
          </w:p>
        </w:tc>
        <w:tc>
          <w:tcPr>
            <w:tcW w:w="5240" w:type="dxa"/>
            <w:vAlign w:val="center"/>
          </w:tcPr>
          <w:p>
            <w:pPr>
              <w:spacing w:line="240" w:lineRule="auto"/>
              <w:ind w:firstLine="0" w:firstLineChars="0"/>
              <w:rPr>
                <w:rFonts w:cs="Times New Roman"/>
                <w:sz w:val="21"/>
                <w:szCs w:val="21"/>
              </w:rPr>
            </w:pPr>
            <w:r>
              <w:rPr>
                <w:rFonts w:cs="Times New Roman"/>
                <w:sz w:val="21"/>
                <w:szCs w:val="21"/>
              </w:rPr>
              <w:t>满意率每低1%扣0.1分。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vAlign w:val="center"/>
          </w:tcPr>
          <w:p>
            <w:pPr>
              <w:spacing w:line="240" w:lineRule="auto"/>
              <w:ind w:firstLine="0" w:firstLineChars="0"/>
              <w:jc w:val="center"/>
              <w:rPr>
                <w:rFonts w:cs="Times New Roman"/>
                <w:sz w:val="21"/>
                <w:szCs w:val="21"/>
              </w:rPr>
            </w:pPr>
          </w:p>
        </w:tc>
        <w:tc>
          <w:tcPr>
            <w:tcW w:w="1095" w:type="dxa"/>
            <w:vMerge w:val="continue"/>
            <w:vAlign w:val="center"/>
          </w:tcPr>
          <w:p>
            <w:pPr>
              <w:spacing w:line="240" w:lineRule="auto"/>
              <w:ind w:firstLine="0" w:firstLineChars="0"/>
              <w:jc w:val="center"/>
              <w:rPr>
                <w:rFonts w:cs="Times New Roman"/>
                <w:sz w:val="21"/>
                <w:szCs w:val="21"/>
              </w:rPr>
            </w:pPr>
          </w:p>
        </w:tc>
        <w:tc>
          <w:tcPr>
            <w:tcW w:w="1118" w:type="dxa"/>
            <w:vAlign w:val="center"/>
          </w:tcPr>
          <w:p>
            <w:pPr>
              <w:spacing w:line="240" w:lineRule="auto"/>
              <w:ind w:firstLine="0" w:firstLineChars="0"/>
              <w:rPr>
                <w:rFonts w:cs="Times New Roman"/>
                <w:sz w:val="21"/>
                <w:szCs w:val="21"/>
              </w:rPr>
            </w:pPr>
            <w:r>
              <w:rPr>
                <w:rFonts w:cs="Times New Roman"/>
                <w:sz w:val="21"/>
                <w:szCs w:val="21"/>
              </w:rPr>
              <w:t>项目实施机构满意度</w:t>
            </w:r>
          </w:p>
        </w:tc>
        <w:tc>
          <w:tcPr>
            <w:tcW w:w="2088" w:type="dxa"/>
            <w:vAlign w:val="center"/>
          </w:tcPr>
          <w:p>
            <w:pPr>
              <w:spacing w:line="240" w:lineRule="auto"/>
              <w:ind w:firstLine="0" w:firstLineChars="0"/>
              <w:rPr>
                <w:rFonts w:cs="Times New Roman"/>
                <w:sz w:val="21"/>
                <w:szCs w:val="21"/>
              </w:rPr>
            </w:pPr>
            <w:r>
              <w:rPr>
                <w:rFonts w:cs="Times New Roman"/>
                <w:sz w:val="21"/>
                <w:szCs w:val="21"/>
              </w:rPr>
              <w:t>评价项目实施机构对</w:t>
            </w:r>
            <w:r>
              <w:rPr>
                <w:rFonts w:hint="eastAsia" w:cs="Times New Roman"/>
                <w:sz w:val="21"/>
                <w:szCs w:val="21"/>
              </w:rPr>
              <w:t>社会资本</w:t>
            </w:r>
            <w:r>
              <w:rPr>
                <w:rFonts w:cs="Times New Roman"/>
                <w:sz w:val="21"/>
                <w:szCs w:val="21"/>
              </w:rPr>
              <w:t>提供公共服务质量和效率的满意程度</w:t>
            </w:r>
          </w:p>
        </w:tc>
        <w:tc>
          <w:tcPr>
            <w:tcW w:w="709" w:type="dxa"/>
            <w:vAlign w:val="center"/>
          </w:tcPr>
          <w:p>
            <w:pPr>
              <w:spacing w:line="240" w:lineRule="auto"/>
              <w:ind w:firstLine="0" w:firstLineChars="0"/>
              <w:jc w:val="center"/>
              <w:rPr>
                <w:rFonts w:cs="Times New Roman"/>
                <w:sz w:val="21"/>
                <w:szCs w:val="21"/>
              </w:rPr>
            </w:pPr>
            <w:r>
              <w:rPr>
                <w:rFonts w:cs="Times New Roman"/>
                <w:sz w:val="21"/>
                <w:szCs w:val="21"/>
              </w:rPr>
              <w:t>1</w:t>
            </w:r>
          </w:p>
        </w:tc>
        <w:tc>
          <w:tcPr>
            <w:tcW w:w="3402" w:type="dxa"/>
            <w:vAlign w:val="center"/>
          </w:tcPr>
          <w:p>
            <w:pPr>
              <w:spacing w:line="240" w:lineRule="auto"/>
              <w:ind w:firstLine="0" w:firstLineChars="0"/>
              <w:rPr>
                <w:rFonts w:cs="Times New Roman"/>
                <w:sz w:val="21"/>
                <w:szCs w:val="21"/>
              </w:rPr>
            </w:pPr>
            <w:r>
              <w:rPr>
                <w:rFonts w:cs="Times New Roman"/>
                <w:sz w:val="21"/>
                <w:szCs w:val="21"/>
              </w:rPr>
              <w:t>项目实施机构对社会资本提供公共服务质量和效率的满意程度达到80%及以上。</w:t>
            </w:r>
          </w:p>
        </w:tc>
        <w:tc>
          <w:tcPr>
            <w:tcW w:w="5240" w:type="dxa"/>
            <w:vAlign w:val="center"/>
          </w:tcPr>
          <w:p>
            <w:pPr>
              <w:spacing w:line="240" w:lineRule="auto"/>
              <w:ind w:firstLine="0" w:firstLineChars="0"/>
              <w:rPr>
                <w:rFonts w:cs="Times New Roman"/>
                <w:sz w:val="21"/>
                <w:szCs w:val="21"/>
              </w:rPr>
            </w:pPr>
            <w:r>
              <w:rPr>
                <w:rFonts w:cs="Times New Roman"/>
                <w:sz w:val="21"/>
                <w:szCs w:val="21"/>
              </w:rPr>
              <w:t>满意率每低1%扣0.1分。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vAlign w:val="center"/>
          </w:tcPr>
          <w:p>
            <w:pPr>
              <w:spacing w:line="240" w:lineRule="auto"/>
              <w:ind w:firstLine="0" w:firstLineChars="0"/>
              <w:jc w:val="center"/>
              <w:rPr>
                <w:rFonts w:cs="Times New Roman"/>
                <w:sz w:val="21"/>
                <w:szCs w:val="21"/>
              </w:rPr>
            </w:pPr>
          </w:p>
        </w:tc>
        <w:tc>
          <w:tcPr>
            <w:tcW w:w="1095" w:type="dxa"/>
            <w:vMerge w:val="continue"/>
            <w:vAlign w:val="center"/>
          </w:tcPr>
          <w:p>
            <w:pPr>
              <w:spacing w:line="240" w:lineRule="auto"/>
              <w:ind w:firstLine="0" w:firstLineChars="0"/>
              <w:jc w:val="center"/>
              <w:rPr>
                <w:rFonts w:cs="Times New Roman"/>
                <w:sz w:val="21"/>
                <w:szCs w:val="21"/>
              </w:rPr>
            </w:pPr>
          </w:p>
        </w:tc>
        <w:tc>
          <w:tcPr>
            <w:tcW w:w="1118" w:type="dxa"/>
            <w:vAlign w:val="center"/>
          </w:tcPr>
          <w:p>
            <w:pPr>
              <w:spacing w:line="240" w:lineRule="auto"/>
              <w:ind w:firstLine="0" w:firstLineChars="0"/>
              <w:rPr>
                <w:rFonts w:cs="Times New Roman"/>
                <w:sz w:val="21"/>
                <w:szCs w:val="21"/>
              </w:rPr>
            </w:pPr>
            <w:r>
              <w:rPr>
                <w:rFonts w:cs="Times New Roman"/>
                <w:sz w:val="21"/>
                <w:szCs w:val="21"/>
              </w:rPr>
              <w:t>社会公众（服务对象）满意度</w:t>
            </w:r>
          </w:p>
        </w:tc>
        <w:tc>
          <w:tcPr>
            <w:tcW w:w="2088" w:type="dxa"/>
            <w:vAlign w:val="center"/>
          </w:tcPr>
          <w:p>
            <w:pPr>
              <w:spacing w:line="240" w:lineRule="auto"/>
              <w:ind w:firstLine="0" w:firstLineChars="0"/>
              <w:rPr>
                <w:rFonts w:cs="Times New Roman"/>
                <w:sz w:val="21"/>
                <w:szCs w:val="21"/>
              </w:rPr>
            </w:pPr>
            <w:r>
              <w:rPr>
                <w:rFonts w:cs="Times New Roman"/>
                <w:sz w:val="21"/>
                <w:szCs w:val="21"/>
              </w:rPr>
              <w:t>评价社会公众（服务对象）对</w:t>
            </w:r>
            <w:r>
              <w:rPr>
                <w:rFonts w:hint="eastAsia" w:cs="Times New Roman"/>
                <w:sz w:val="21"/>
                <w:szCs w:val="21"/>
              </w:rPr>
              <w:t>社会资本</w:t>
            </w:r>
            <w:r>
              <w:rPr>
                <w:rFonts w:cs="Times New Roman"/>
                <w:sz w:val="21"/>
                <w:szCs w:val="21"/>
              </w:rPr>
              <w:t>提供公共服务质量和效率的满意程度</w:t>
            </w:r>
          </w:p>
        </w:tc>
        <w:tc>
          <w:tcPr>
            <w:tcW w:w="709" w:type="dxa"/>
            <w:vAlign w:val="center"/>
          </w:tcPr>
          <w:p>
            <w:pPr>
              <w:spacing w:line="240" w:lineRule="auto"/>
              <w:ind w:firstLine="0" w:firstLineChars="0"/>
              <w:jc w:val="center"/>
              <w:rPr>
                <w:rFonts w:cs="Times New Roman"/>
                <w:sz w:val="21"/>
                <w:szCs w:val="21"/>
              </w:rPr>
            </w:pPr>
            <w:r>
              <w:rPr>
                <w:rFonts w:cs="Times New Roman"/>
                <w:sz w:val="21"/>
                <w:szCs w:val="21"/>
              </w:rPr>
              <w:t>1</w:t>
            </w:r>
          </w:p>
        </w:tc>
        <w:tc>
          <w:tcPr>
            <w:tcW w:w="3402" w:type="dxa"/>
            <w:vAlign w:val="center"/>
          </w:tcPr>
          <w:p>
            <w:pPr>
              <w:spacing w:line="240" w:lineRule="auto"/>
              <w:ind w:firstLine="0" w:firstLineChars="0"/>
              <w:rPr>
                <w:rFonts w:cs="Times New Roman"/>
                <w:sz w:val="21"/>
                <w:szCs w:val="21"/>
              </w:rPr>
            </w:pPr>
            <w:r>
              <w:rPr>
                <w:rFonts w:cs="Times New Roman"/>
                <w:sz w:val="21"/>
                <w:szCs w:val="21"/>
              </w:rPr>
              <w:t>社会公众（服务对象）对社会资本提供公共服务质量和效率的满意程度达到80%及以上。</w:t>
            </w:r>
          </w:p>
        </w:tc>
        <w:tc>
          <w:tcPr>
            <w:tcW w:w="5240" w:type="dxa"/>
            <w:vAlign w:val="center"/>
          </w:tcPr>
          <w:p>
            <w:pPr>
              <w:spacing w:line="240" w:lineRule="auto"/>
              <w:ind w:firstLine="0" w:firstLineChars="0"/>
              <w:rPr>
                <w:rFonts w:cs="Times New Roman"/>
                <w:sz w:val="21"/>
                <w:szCs w:val="21"/>
              </w:rPr>
            </w:pPr>
            <w:r>
              <w:rPr>
                <w:rFonts w:cs="Times New Roman"/>
                <w:sz w:val="21"/>
                <w:szCs w:val="21"/>
              </w:rPr>
              <w:t>满意率每低1%扣0.1分。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restart"/>
            <w:vAlign w:val="center"/>
          </w:tcPr>
          <w:p>
            <w:pPr>
              <w:spacing w:line="240" w:lineRule="auto"/>
              <w:ind w:firstLine="0" w:firstLineChars="0"/>
              <w:jc w:val="center"/>
              <w:rPr>
                <w:rFonts w:cs="Times New Roman"/>
                <w:sz w:val="21"/>
                <w:szCs w:val="21"/>
              </w:rPr>
            </w:pPr>
            <w:r>
              <w:rPr>
                <w:rFonts w:cs="Times New Roman"/>
                <w:sz w:val="21"/>
                <w:szCs w:val="21"/>
              </w:rPr>
              <w:t>管理</w:t>
            </w:r>
          </w:p>
          <w:p>
            <w:pPr>
              <w:spacing w:line="240" w:lineRule="auto"/>
              <w:ind w:firstLine="0" w:firstLineChars="0"/>
              <w:jc w:val="center"/>
              <w:rPr>
                <w:rFonts w:cs="Times New Roman"/>
                <w:sz w:val="21"/>
                <w:szCs w:val="21"/>
              </w:rPr>
            </w:pPr>
            <w:r>
              <w:rPr>
                <w:rFonts w:hint="eastAsia" w:cs="Times New Roman"/>
                <w:sz w:val="21"/>
                <w:szCs w:val="21"/>
              </w:rPr>
              <w:t>(</w:t>
            </w:r>
            <w:r>
              <w:rPr>
                <w:rFonts w:cs="Times New Roman"/>
                <w:sz w:val="21"/>
                <w:szCs w:val="21"/>
              </w:rPr>
              <w:t>10分</w:t>
            </w:r>
            <w:r>
              <w:rPr>
                <w:rFonts w:hint="eastAsia" w:cs="Times New Roman"/>
                <w:sz w:val="21"/>
                <w:szCs w:val="21"/>
              </w:rPr>
              <w:t>)</w:t>
            </w:r>
          </w:p>
        </w:tc>
        <w:tc>
          <w:tcPr>
            <w:tcW w:w="1095" w:type="dxa"/>
            <w:vMerge w:val="restart"/>
            <w:vAlign w:val="center"/>
          </w:tcPr>
          <w:p>
            <w:pPr>
              <w:spacing w:line="240" w:lineRule="auto"/>
              <w:ind w:firstLine="0" w:firstLineChars="0"/>
              <w:jc w:val="center"/>
              <w:rPr>
                <w:rFonts w:cs="Times New Roman"/>
                <w:sz w:val="21"/>
                <w:szCs w:val="21"/>
              </w:rPr>
            </w:pPr>
            <w:r>
              <w:rPr>
                <w:rFonts w:cs="Times New Roman"/>
                <w:sz w:val="21"/>
                <w:szCs w:val="21"/>
              </w:rPr>
              <w:t>组织管理（4分）</w:t>
            </w:r>
          </w:p>
        </w:tc>
        <w:tc>
          <w:tcPr>
            <w:tcW w:w="1118" w:type="dxa"/>
            <w:vAlign w:val="center"/>
          </w:tcPr>
          <w:p>
            <w:pPr>
              <w:spacing w:line="240" w:lineRule="auto"/>
              <w:ind w:firstLine="0" w:firstLineChars="0"/>
              <w:rPr>
                <w:rFonts w:cs="Times New Roman"/>
                <w:sz w:val="21"/>
                <w:szCs w:val="21"/>
              </w:rPr>
            </w:pPr>
            <w:r>
              <w:rPr>
                <w:rFonts w:cs="Times New Roman"/>
                <w:sz w:val="21"/>
                <w:szCs w:val="21"/>
              </w:rPr>
              <w:t>组织架构</w:t>
            </w:r>
          </w:p>
        </w:tc>
        <w:tc>
          <w:tcPr>
            <w:tcW w:w="2088" w:type="dxa"/>
            <w:vAlign w:val="center"/>
          </w:tcPr>
          <w:p>
            <w:pPr>
              <w:spacing w:line="240" w:lineRule="auto"/>
              <w:ind w:firstLine="0" w:firstLineChars="0"/>
              <w:rPr>
                <w:rFonts w:cs="Times New Roman"/>
                <w:sz w:val="21"/>
                <w:szCs w:val="21"/>
              </w:rPr>
            </w:pPr>
            <w:r>
              <w:rPr>
                <w:rFonts w:cs="Times New Roman"/>
                <w:sz w:val="21"/>
                <w:szCs w:val="21"/>
              </w:rPr>
              <w:t>评价项目组织架构设置合理性</w:t>
            </w:r>
          </w:p>
        </w:tc>
        <w:tc>
          <w:tcPr>
            <w:tcW w:w="709" w:type="dxa"/>
            <w:vAlign w:val="center"/>
          </w:tcPr>
          <w:p>
            <w:pPr>
              <w:spacing w:line="240" w:lineRule="auto"/>
              <w:ind w:firstLine="0" w:firstLineChars="0"/>
              <w:jc w:val="center"/>
              <w:rPr>
                <w:rFonts w:cs="Times New Roman"/>
                <w:sz w:val="21"/>
                <w:szCs w:val="21"/>
              </w:rPr>
            </w:pPr>
            <w:r>
              <w:rPr>
                <w:rFonts w:cs="Times New Roman"/>
                <w:sz w:val="21"/>
                <w:szCs w:val="21"/>
              </w:rPr>
              <w:t>1</w:t>
            </w:r>
          </w:p>
        </w:tc>
        <w:tc>
          <w:tcPr>
            <w:tcW w:w="3402" w:type="dxa"/>
            <w:vAlign w:val="center"/>
          </w:tcPr>
          <w:p>
            <w:pPr>
              <w:spacing w:line="240" w:lineRule="auto"/>
              <w:ind w:firstLine="0" w:firstLineChars="0"/>
              <w:rPr>
                <w:rFonts w:cs="Times New Roman"/>
                <w:sz w:val="21"/>
                <w:szCs w:val="21"/>
              </w:rPr>
            </w:pPr>
            <w:r>
              <w:rPr>
                <w:rFonts w:cs="Times New Roman"/>
                <w:sz w:val="21"/>
                <w:szCs w:val="21"/>
              </w:rPr>
              <w:t>机构设置健全，管理构架清晰。</w:t>
            </w:r>
          </w:p>
        </w:tc>
        <w:tc>
          <w:tcPr>
            <w:tcW w:w="5240" w:type="dxa"/>
            <w:vAlign w:val="center"/>
          </w:tcPr>
          <w:p>
            <w:pPr>
              <w:spacing w:line="240" w:lineRule="auto"/>
              <w:ind w:firstLine="0" w:firstLineChars="0"/>
              <w:rPr>
                <w:rFonts w:cs="Times New Roman"/>
                <w:sz w:val="21"/>
                <w:szCs w:val="21"/>
              </w:rPr>
            </w:pPr>
            <w:r>
              <w:rPr>
                <w:rFonts w:cs="Times New Roman"/>
                <w:sz w:val="21"/>
                <w:szCs w:val="21"/>
              </w:rPr>
              <w:t>组织机构设置不健全，应按要求进行整改，超过整改要求的整改期未能完成整改或整改不合格的：扣0.5分。否则不扣分。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vAlign w:val="center"/>
          </w:tcPr>
          <w:p>
            <w:pPr>
              <w:spacing w:line="240" w:lineRule="auto"/>
              <w:ind w:firstLine="0" w:firstLineChars="0"/>
              <w:jc w:val="center"/>
              <w:rPr>
                <w:rFonts w:cs="Times New Roman"/>
                <w:sz w:val="21"/>
                <w:szCs w:val="21"/>
              </w:rPr>
            </w:pPr>
          </w:p>
        </w:tc>
        <w:tc>
          <w:tcPr>
            <w:tcW w:w="1095" w:type="dxa"/>
            <w:vMerge w:val="continue"/>
            <w:vAlign w:val="center"/>
          </w:tcPr>
          <w:p>
            <w:pPr>
              <w:spacing w:line="240" w:lineRule="auto"/>
              <w:ind w:firstLine="0" w:firstLineChars="0"/>
              <w:jc w:val="center"/>
              <w:rPr>
                <w:rFonts w:cs="Times New Roman"/>
                <w:sz w:val="21"/>
                <w:szCs w:val="21"/>
              </w:rPr>
            </w:pPr>
          </w:p>
        </w:tc>
        <w:tc>
          <w:tcPr>
            <w:tcW w:w="1118" w:type="dxa"/>
            <w:vAlign w:val="center"/>
          </w:tcPr>
          <w:p>
            <w:pPr>
              <w:spacing w:line="240" w:lineRule="auto"/>
              <w:ind w:firstLine="0" w:firstLineChars="0"/>
              <w:rPr>
                <w:rFonts w:cs="Times New Roman"/>
                <w:sz w:val="21"/>
                <w:szCs w:val="21"/>
              </w:rPr>
            </w:pPr>
            <w:r>
              <w:rPr>
                <w:rFonts w:cs="Times New Roman"/>
                <w:sz w:val="21"/>
                <w:szCs w:val="21"/>
              </w:rPr>
              <w:t>人员管理</w:t>
            </w:r>
          </w:p>
        </w:tc>
        <w:tc>
          <w:tcPr>
            <w:tcW w:w="2088" w:type="dxa"/>
            <w:vAlign w:val="center"/>
          </w:tcPr>
          <w:p>
            <w:pPr>
              <w:spacing w:line="240" w:lineRule="auto"/>
              <w:ind w:firstLine="0" w:firstLineChars="0"/>
              <w:rPr>
                <w:rFonts w:cs="Times New Roman"/>
                <w:sz w:val="21"/>
                <w:szCs w:val="21"/>
              </w:rPr>
            </w:pPr>
            <w:r>
              <w:rPr>
                <w:rFonts w:cs="Times New Roman"/>
                <w:sz w:val="21"/>
                <w:szCs w:val="21"/>
              </w:rPr>
              <w:t>评价项目人员管理合理性</w:t>
            </w:r>
          </w:p>
        </w:tc>
        <w:tc>
          <w:tcPr>
            <w:tcW w:w="709" w:type="dxa"/>
            <w:vAlign w:val="center"/>
          </w:tcPr>
          <w:p>
            <w:pPr>
              <w:spacing w:line="240" w:lineRule="auto"/>
              <w:ind w:firstLine="0" w:firstLineChars="0"/>
              <w:jc w:val="center"/>
              <w:rPr>
                <w:rFonts w:cs="Times New Roman"/>
                <w:sz w:val="21"/>
                <w:szCs w:val="21"/>
              </w:rPr>
            </w:pPr>
            <w:r>
              <w:rPr>
                <w:rFonts w:cs="Times New Roman"/>
                <w:sz w:val="21"/>
                <w:szCs w:val="21"/>
              </w:rPr>
              <w:t>2</w:t>
            </w:r>
          </w:p>
        </w:tc>
        <w:tc>
          <w:tcPr>
            <w:tcW w:w="3402" w:type="dxa"/>
            <w:vAlign w:val="center"/>
          </w:tcPr>
          <w:p>
            <w:pPr>
              <w:spacing w:line="240" w:lineRule="auto"/>
              <w:ind w:firstLine="0" w:firstLineChars="0"/>
              <w:rPr>
                <w:rFonts w:cs="Times New Roman"/>
                <w:sz w:val="21"/>
                <w:szCs w:val="21"/>
              </w:rPr>
            </w:pPr>
            <w:r>
              <w:rPr>
                <w:rFonts w:cs="Times New Roman"/>
                <w:sz w:val="21"/>
                <w:szCs w:val="21"/>
              </w:rPr>
              <w:t>1.制定人员管理制度；</w:t>
            </w:r>
          </w:p>
          <w:p>
            <w:pPr>
              <w:spacing w:line="240" w:lineRule="auto"/>
              <w:ind w:firstLine="0" w:firstLineChars="0"/>
              <w:rPr>
                <w:rFonts w:cs="Times New Roman"/>
                <w:sz w:val="21"/>
                <w:szCs w:val="21"/>
              </w:rPr>
            </w:pPr>
            <w:r>
              <w:rPr>
                <w:rFonts w:cs="Times New Roman"/>
                <w:sz w:val="21"/>
                <w:szCs w:val="21"/>
              </w:rPr>
              <w:t>2.开展相关安全教育和技能培训；</w:t>
            </w:r>
            <w:r>
              <w:rPr>
                <w:rFonts w:cs="Times New Roman"/>
                <w:sz w:val="21"/>
                <w:szCs w:val="21"/>
              </w:rPr>
              <w:br w:type="textWrapping"/>
            </w:r>
            <w:r>
              <w:rPr>
                <w:rFonts w:cs="Times New Roman"/>
                <w:sz w:val="21"/>
                <w:szCs w:val="21"/>
              </w:rPr>
              <w:t>3.工作人员熟悉并遵守工作流程和操作规范。</w:t>
            </w:r>
          </w:p>
        </w:tc>
        <w:tc>
          <w:tcPr>
            <w:tcW w:w="5240" w:type="dxa"/>
            <w:vAlign w:val="center"/>
          </w:tcPr>
          <w:p>
            <w:pPr>
              <w:spacing w:line="240" w:lineRule="auto"/>
              <w:ind w:firstLine="0" w:firstLineChars="0"/>
              <w:rPr>
                <w:rFonts w:cs="Times New Roman"/>
                <w:sz w:val="21"/>
                <w:szCs w:val="21"/>
              </w:rPr>
            </w:pPr>
            <w:r>
              <w:rPr>
                <w:rFonts w:cs="Times New Roman"/>
                <w:sz w:val="21"/>
                <w:szCs w:val="21"/>
              </w:rPr>
              <w:t>人员管理制度不健全，应按要求进行整改，超过整改要求的整改期未能完成整改或整改不合格的：扣0.5分；未开展相关安全教育和技能培训的，应按要求进行整改，超过整改要求的整改期未能完成整改或整改不合格的：扣0.5分；工作人员不遵守工作流程和操作规范的，应按要求进行整改，超过整改要求的整改期未能完成整改或整改不合格的：扣0.5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vAlign w:val="center"/>
          </w:tcPr>
          <w:p>
            <w:pPr>
              <w:spacing w:line="240" w:lineRule="auto"/>
              <w:ind w:firstLine="0" w:firstLineChars="0"/>
              <w:jc w:val="center"/>
              <w:rPr>
                <w:rFonts w:cs="Times New Roman"/>
                <w:sz w:val="21"/>
                <w:szCs w:val="21"/>
              </w:rPr>
            </w:pPr>
          </w:p>
        </w:tc>
        <w:tc>
          <w:tcPr>
            <w:tcW w:w="1095" w:type="dxa"/>
            <w:vMerge w:val="continue"/>
            <w:vAlign w:val="center"/>
          </w:tcPr>
          <w:p>
            <w:pPr>
              <w:spacing w:line="240" w:lineRule="auto"/>
              <w:ind w:firstLine="0" w:firstLineChars="0"/>
              <w:jc w:val="center"/>
              <w:rPr>
                <w:rFonts w:cs="Times New Roman"/>
                <w:sz w:val="21"/>
                <w:szCs w:val="21"/>
              </w:rPr>
            </w:pPr>
          </w:p>
        </w:tc>
        <w:tc>
          <w:tcPr>
            <w:tcW w:w="1118" w:type="dxa"/>
            <w:vAlign w:val="center"/>
          </w:tcPr>
          <w:p>
            <w:pPr>
              <w:spacing w:line="240" w:lineRule="auto"/>
              <w:ind w:firstLine="0" w:firstLineChars="0"/>
              <w:rPr>
                <w:rFonts w:cs="Times New Roman"/>
                <w:sz w:val="21"/>
                <w:szCs w:val="21"/>
              </w:rPr>
            </w:pPr>
            <w:r>
              <w:rPr>
                <w:rFonts w:cs="Times New Roman"/>
                <w:sz w:val="21"/>
                <w:szCs w:val="21"/>
              </w:rPr>
              <w:t>决策审批流程</w:t>
            </w:r>
          </w:p>
        </w:tc>
        <w:tc>
          <w:tcPr>
            <w:tcW w:w="2088" w:type="dxa"/>
            <w:vAlign w:val="center"/>
          </w:tcPr>
          <w:p>
            <w:pPr>
              <w:spacing w:line="240" w:lineRule="auto"/>
              <w:ind w:firstLine="0" w:firstLineChars="0"/>
              <w:rPr>
                <w:rFonts w:cs="Times New Roman"/>
                <w:sz w:val="21"/>
                <w:szCs w:val="21"/>
              </w:rPr>
            </w:pPr>
            <w:r>
              <w:rPr>
                <w:rFonts w:cs="Times New Roman"/>
                <w:sz w:val="21"/>
                <w:szCs w:val="21"/>
              </w:rPr>
              <w:t>评价项目决策审批流程合理性</w:t>
            </w:r>
          </w:p>
        </w:tc>
        <w:tc>
          <w:tcPr>
            <w:tcW w:w="709" w:type="dxa"/>
            <w:vAlign w:val="center"/>
          </w:tcPr>
          <w:p>
            <w:pPr>
              <w:spacing w:line="240" w:lineRule="auto"/>
              <w:ind w:firstLine="0" w:firstLineChars="0"/>
              <w:jc w:val="center"/>
              <w:rPr>
                <w:rFonts w:cs="Times New Roman"/>
                <w:sz w:val="21"/>
                <w:szCs w:val="21"/>
              </w:rPr>
            </w:pPr>
            <w:r>
              <w:rPr>
                <w:rFonts w:cs="Times New Roman"/>
                <w:sz w:val="21"/>
                <w:szCs w:val="21"/>
              </w:rPr>
              <w:t>1</w:t>
            </w:r>
          </w:p>
        </w:tc>
        <w:tc>
          <w:tcPr>
            <w:tcW w:w="3402" w:type="dxa"/>
            <w:vAlign w:val="center"/>
          </w:tcPr>
          <w:p>
            <w:pPr>
              <w:spacing w:line="240" w:lineRule="auto"/>
              <w:ind w:firstLine="0" w:firstLineChars="0"/>
              <w:rPr>
                <w:rFonts w:cs="Times New Roman"/>
                <w:sz w:val="21"/>
                <w:szCs w:val="21"/>
              </w:rPr>
            </w:pPr>
            <w:r>
              <w:rPr>
                <w:rFonts w:cs="Times New Roman"/>
                <w:sz w:val="21"/>
                <w:szCs w:val="21"/>
              </w:rPr>
              <w:t>制定</w:t>
            </w:r>
            <w:r>
              <w:rPr>
                <w:rFonts w:hint="eastAsia" w:cs="Times New Roman"/>
                <w:sz w:val="21"/>
                <w:szCs w:val="21"/>
              </w:rPr>
              <w:t>社会资本</w:t>
            </w:r>
            <w:r>
              <w:rPr>
                <w:rFonts w:cs="Times New Roman"/>
                <w:sz w:val="21"/>
                <w:szCs w:val="21"/>
              </w:rPr>
              <w:t>决策审批制度体系，做到逻辑清晰、流程明确</w:t>
            </w:r>
          </w:p>
        </w:tc>
        <w:tc>
          <w:tcPr>
            <w:tcW w:w="5240" w:type="dxa"/>
            <w:vAlign w:val="center"/>
          </w:tcPr>
          <w:p>
            <w:pPr>
              <w:spacing w:line="240" w:lineRule="auto"/>
              <w:ind w:firstLine="0" w:firstLineChars="0"/>
              <w:rPr>
                <w:rFonts w:cs="Times New Roman"/>
                <w:sz w:val="21"/>
                <w:szCs w:val="21"/>
              </w:rPr>
            </w:pPr>
            <w:r>
              <w:rPr>
                <w:rFonts w:cs="Times New Roman"/>
                <w:sz w:val="21"/>
                <w:szCs w:val="21"/>
              </w:rPr>
              <w:t>决策审批制度不健全，应按要求进行整改，超过整改要求的整改期未能完成整改或整改不合格的：扣1分。否则不扣分。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shd w:val="clear" w:color="auto" w:fill="auto"/>
            <w:vAlign w:val="center"/>
          </w:tcPr>
          <w:p>
            <w:pPr>
              <w:spacing w:line="240" w:lineRule="auto"/>
              <w:ind w:firstLine="0" w:firstLineChars="0"/>
              <w:jc w:val="center"/>
              <w:rPr>
                <w:rFonts w:cs="Times New Roman"/>
                <w:sz w:val="21"/>
                <w:szCs w:val="21"/>
              </w:rPr>
            </w:pPr>
          </w:p>
        </w:tc>
        <w:tc>
          <w:tcPr>
            <w:tcW w:w="1095" w:type="dxa"/>
            <w:vMerge w:val="restart"/>
            <w:shd w:val="clear" w:color="auto" w:fill="auto"/>
            <w:vAlign w:val="center"/>
          </w:tcPr>
          <w:p>
            <w:pPr>
              <w:spacing w:line="240" w:lineRule="auto"/>
              <w:ind w:firstLine="0" w:firstLineChars="0"/>
              <w:jc w:val="center"/>
              <w:rPr>
                <w:rFonts w:cs="Times New Roman"/>
                <w:sz w:val="21"/>
                <w:szCs w:val="21"/>
              </w:rPr>
            </w:pPr>
            <w:r>
              <w:rPr>
                <w:rFonts w:cs="Times New Roman"/>
                <w:sz w:val="21"/>
                <w:szCs w:val="21"/>
              </w:rPr>
              <w:t>财务管理（2分）</w:t>
            </w:r>
          </w:p>
        </w:tc>
        <w:tc>
          <w:tcPr>
            <w:tcW w:w="1118" w:type="dxa"/>
            <w:shd w:val="clear" w:color="auto" w:fill="auto"/>
            <w:vAlign w:val="center"/>
          </w:tcPr>
          <w:p>
            <w:pPr>
              <w:spacing w:line="240" w:lineRule="auto"/>
              <w:ind w:firstLine="0" w:firstLineChars="0"/>
              <w:rPr>
                <w:rFonts w:cs="Times New Roman"/>
                <w:sz w:val="21"/>
                <w:szCs w:val="21"/>
              </w:rPr>
            </w:pPr>
            <w:r>
              <w:rPr>
                <w:rFonts w:cs="Times New Roman"/>
                <w:sz w:val="21"/>
                <w:szCs w:val="21"/>
              </w:rPr>
              <w:t>财务管理</w:t>
            </w:r>
          </w:p>
        </w:tc>
        <w:tc>
          <w:tcPr>
            <w:tcW w:w="2088" w:type="dxa"/>
            <w:shd w:val="clear" w:color="auto" w:fill="FFFFFF"/>
            <w:vAlign w:val="center"/>
          </w:tcPr>
          <w:p>
            <w:pPr>
              <w:spacing w:line="240" w:lineRule="auto"/>
              <w:ind w:firstLine="0" w:firstLineChars="0"/>
              <w:rPr>
                <w:rFonts w:cs="Times New Roman"/>
                <w:sz w:val="21"/>
                <w:szCs w:val="21"/>
              </w:rPr>
            </w:pPr>
            <w:r>
              <w:rPr>
                <w:rFonts w:cs="Times New Roman"/>
                <w:sz w:val="21"/>
                <w:szCs w:val="21"/>
              </w:rPr>
              <w:t>评价项目资金管理、会计核算等财务管理内容的合规性。</w:t>
            </w:r>
          </w:p>
        </w:tc>
        <w:tc>
          <w:tcPr>
            <w:tcW w:w="709" w:type="dxa"/>
            <w:shd w:val="clear" w:color="auto" w:fill="FFFFFF"/>
            <w:vAlign w:val="center"/>
          </w:tcPr>
          <w:p>
            <w:pPr>
              <w:spacing w:line="240" w:lineRule="auto"/>
              <w:ind w:firstLine="0" w:firstLineChars="0"/>
              <w:jc w:val="center"/>
              <w:rPr>
                <w:rFonts w:cs="Times New Roman"/>
                <w:sz w:val="21"/>
                <w:szCs w:val="21"/>
              </w:rPr>
            </w:pPr>
            <w:r>
              <w:rPr>
                <w:rFonts w:cs="Times New Roman"/>
                <w:sz w:val="21"/>
                <w:szCs w:val="21"/>
              </w:rPr>
              <w:t>1</w:t>
            </w:r>
          </w:p>
        </w:tc>
        <w:tc>
          <w:tcPr>
            <w:tcW w:w="3402" w:type="dxa"/>
            <w:vAlign w:val="center"/>
          </w:tcPr>
          <w:p>
            <w:pPr>
              <w:spacing w:line="240" w:lineRule="auto"/>
              <w:ind w:firstLine="0" w:firstLineChars="0"/>
              <w:rPr>
                <w:rFonts w:cs="Times New Roman"/>
                <w:sz w:val="21"/>
                <w:szCs w:val="21"/>
              </w:rPr>
            </w:pPr>
            <w:r>
              <w:rPr>
                <w:rFonts w:cs="Times New Roman"/>
                <w:sz w:val="21"/>
                <w:szCs w:val="21"/>
              </w:rPr>
              <w:t>1.建立资金管理台账记录项目资金使用明细。</w:t>
            </w:r>
          </w:p>
          <w:p>
            <w:pPr>
              <w:spacing w:line="240" w:lineRule="auto"/>
              <w:ind w:firstLine="0" w:firstLineChars="0"/>
              <w:rPr>
                <w:rFonts w:cs="Times New Roman"/>
                <w:sz w:val="21"/>
                <w:szCs w:val="21"/>
              </w:rPr>
            </w:pPr>
            <w:r>
              <w:rPr>
                <w:rFonts w:cs="Times New Roman"/>
                <w:sz w:val="21"/>
                <w:szCs w:val="21"/>
              </w:rPr>
              <w:t>2.编制</w:t>
            </w:r>
            <w:r>
              <w:rPr>
                <w:rFonts w:hint="eastAsia" w:cs="Times New Roman"/>
                <w:sz w:val="21"/>
                <w:szCs w:val="21"/>
              </w:rPr>
              <w:t>社会资本</w:t>
            </w:r>
            <w:r>
              <w:rPr>
                <w:rFonts w:cs="Times New Roman"/>
                <w:sz w:val="21"/>
                <w:szCs w:val="21"/>
              </w:rPr>
              <w:t>资产负债表、利润表和现金流量表等财务报表，详细记录项目运维的成本开支、收入、关键性财务指标等，进行定期存档备案，保障</w:t>
            </w:r>
            <w:r>
              <w:rPr>
                <w:rFonts w:hint="eastAsia" w:cs="Times New Roman"/>
                <w:sz w:val="21"/>
                <w:szCs w:val="21"/>
              </w:rPr>
              <w:t>社会资本</w:t>
            </w:r>
            <w:r>
              <w:rPr>
                <w:rFonts w:cs="Times New Roman"/>
                <w:sz w:val="21"/>
                <w:szCs w:val="21"/>
              </w:rPr>
              <w:t>正常运营</w:t>
            </w:r>
          </w:p>
        </w:tc>
        <w:tc>
          <w:tcPr>
            <w:tcW w:w="5240" w:type="dxa"/>
            <w:vAlign w:val="center"/>
          </w:tcPr>
          <w:p>
            <w:pPr>
              <w:spacing w:line="240" w:lineRule="auto"/>
              <w:ind w:firstLine="0" w:firstLineChars="0"/>
              <w:rPr>
                <w:rFonts w:cs="Times New Roman"/>
                <w:sz w:val="21"/>
                <w:szCs w:val="21"/>
              </w:rPr>
            </w:pPr>
            <w:r>
              <w:rPr>
                <w:rFonts w:cs="Times New Roman"/>
                <w:sz w:val="21"/>
                <w:szCs w:val="21"/>
              </w:rPr>
              <w:t>财务管理混乱，影响</w:t>
            </w:r>
            <w:r>
              <w:rPr>
                <w:rFonts w:hint="eastAsia" w:cs="Times New Roman"/>
                <w:sz w:val="21"/>
                <w:szCs w:val="21"/>
              </w:rPr>
              <w:t>项目公司</w:t>
            </w:r>
            <w:r>
              <w:rPr>
                <w:rFonts w:cs="Times New Roman"/>
                <w:sz w:val="21"/>
                <w:szCs w:val="21"/>
              </w:rPr>
              <w:t>正常运营的，应按要求进行整改，超过整改要求的整改期未能完成整改或整改不合格的，扣1分。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shd w:val="clear" w:color="auto" w:fill="auto"/>
            <w:vAlign w:val="center"/>
          </w:tcPr>
          <w:p>
            <w:pPr>
              <w:spacing w:line="240" w:lineRule="auto"/>
              <w:ind w:firstLine="0" w:firstLineChars="0"/>
              <w:jc w:val="center"/>
              <w:rPr>
                <w:rFonts w:cs="Times New Roman"/>
                <w:sz w:val="21"/>
                <w:szCs w:val="21"/>
              </w:rPr>
            </w:pPr>
          </w:p>
        </w:tc>
        <w:tc>
          <w:tcPr>
            <w:tcW w:w="1095" w:type="dxa"/>
            <w:vMerge w:val="continue"/>
            <w:shd w:val="clear" w:color="auto" w:fill="auto"/>
            <w:vAlign w:val="center"/>
          </w:tcPr>
          <w:p>
            <w:pPr>
              <w:spacing w:line="240" w:lineRule="auto"/>
              <w:ind w:firstLine="0" w:firstLineChars="0"/>
              <w:jc w:val="center"/>
              <w:rPr>
                <w:rFonts w:cs="Times New Roman"/>
                <w:sz w:val="21"/>
                <w:szCs w:val="21"/>
              </w:rPr>
            </w:pPr>
          </w:p>
        </w:tc>
        <w:tc>
          <w:tcPr>
            <w:tcW w:w="1118" w:type="dxa"/>
            <w:shd w:val="clear" w:color="auto" w:fill="auto"/>
            <w:vAlign w:val="center"/>
          </w:tcPr>
          <w:p>
            <w:pPr>
              <w:spacing w:line="240" w:lineRule="auto"/>
              <w:ind w:firstLine="0" w:firstLineChars="0"/>
              <w:rPr>
                <w:rFonts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专项债券资金管理</w:t>
            </w:r>
          </w:p>
        </w:tc>
        <w:tc>
          <w:tcPr>
            <w:tcW w:w="2088" w:type="dxa"/>
            <w:shd w:val="clear" w:color="auto" w:fill="FFFFFF"/>
            <w:vAlign w:val="center"/>
          </w:tcPr>
          <w:p>
            <w:pPr>
              <w:spacing w:line="240" w:lineRule="auto"/>
              <w:ind w:firstLine="0" w:firstLineChars="0"/>
              <w:rPr>
                <w:rFonts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专项债券的本息偿还是否和原定计划和要求一致，用以反映和考核专项债券本息偿还的实际执行情况</w:t>
            </w:r>
          </w:p>
        </w:tc>
        <w:tc>
          <w:tcPr>
            <w:tcW w:w="709" w:type="dxa"/>
            <w:shd w:val="clear" w:color="auto" w:fill="FFFFFF"/>
            <w:vAlign w:val="center"/>
          </w:tcPr>
          <w:p>
            <w:pPr>
              <w:spacing w:line="240" w:lineRule="auto"/>
              <w:ind w:firstLine="0" w:firstLineChars="0"/>
              <w:jc w:val="center"/>
              <w:rPr>
                <w:rFonts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1</w:t>
            </w:r>
          </w:p>
        </w:tc>
        <w:tc>
          <w:tcPr>
            <w:tcW w:w="3402" w:type="dxa"/>
            <w:vAlign w:val="center"/>
          </w:tcPr>
          <w:p>
            <w:pPr>
              <w:spacing w:line="240" w:lineRule="auto"/>
              <w:ind w:firstLine="0" w:firstLineChars="0"/>
              <w:rPr>
                <w:rFonts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专项债券本息是否按规定时间、规定金额进行偿还，是否按照披露信息严格执行</w:t>
            </w:r>
          </w:p>
        </w:tc>
        <w:tc>
          <w:tcPr>
            <w:tcW w:w="5240" w:type="dxa"/>
            <w:vAlign w:val="center"/>
          </w:tcPr>
          <w:p>
            <w:pPr>
              <w:spacing w:line="240" w:lineRule="auto"/>
              <w:ind w:firstLine="0" w:firstLineChars="0"/>
              <w:rPr>
                <w:rFonts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专项债券本息按照规定期限与金额偿还的得0.5分，专项债券利息未按照规定金额与时间偿还的，每发现一次扣0.5分。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vAlign w:val="center"/>
          </w:tcPr>
          <w:p>
            <w:pPr>
              <w:spacing w:line="240" w:lineRule="auto"/>
              <w:ind w:firstLine="0" w:firstLineChars="0"/>
              <w:jc w:val="center"/>
              <w:rPr>
                <w:rFonts w:cs="Times New Roman"/>
                <w:sz w:val="21"/>
                <w:szCs w:val="21"/>
              </w:rPr>
            </w:pPr>
          </w:p>
        </w:tc>
        <w:tc>
          <w:tcPr>
            <w:tcW w:w="1095" w:type="dxa"/>
            <w:vAlign w:val="center"/>
          </w:tcPr>
          <w:p>
            <w:pPr>
              <w:spacing w:line="240" w:lineRule="auto"/>
              <w:ind w:firstLine="0" w:firstLineChars="0"/>
              <w:jc w:val="center"/>
              <w:rPr>
                <w:rFonts w:cs="Times New Roman"/>
                <w:sz w:val="21"/>
                <w:szCs w:val="21"/>
              </w:rPr>
            </w:pPr>
            <w:r>
              <w:rPr>
                <w:rFonts w:cs="Times New Roman"/>
                <w:sz w:val="21"/>
                <w:szCs w:val="21"/>
              </w:rPr>
              <w:t>制度管理（2分）</w:t>
            </w:r>
          </w:p>
        </w:tc>
        <w:tc>
          <w:tcPr>
            <w:tcW w:w="1118" w:type="dxa"/>
            <w:vAlign w:val="center"/>
          </w:tcPr>
          <w:p>
            <w:pPr>
              <w:spacing w:line="240" w:lineRule="auto"/>
              <w:ind w:firstLine="0" w:firstLineChars="0"/>
              <w:rPr>
                <w:rFonts w:cs="Times New Roman"/>
                <w:sz w:val="21"/>
                <w:szCs w:val="21"/>
              </w:rPr>
            </w:pPr>
            <w:r>
              <w:rPr>
                <w:rFonts w:cs="Times New Roman"/>
                <w:sz w:val="21"/>
                <w:szCs w:val="21"/>
              </w:rPr>
              <w:t>制度管理</w:t>
            </w:r>
          </w:p>
        </w:tc>
        <w:tc>
          <w:tcPr>
            <w:tcW w:w="2088" w:type="dxa"/>
            <w:vAlign w:val="center"/>
          </w:tcPr>
          <w:p>
            <w:pPr>
              <w:spacing w:line="240" w:lineRule="auto"/>
              <w:ind w:firstLine="0" w:firstLineChars="0"/>
              <w:rPr>
                <w:rFonts w:cs="Times New Roman"/>
                <w:sz w:val="21"/>
                <w:szCs w:val="21"/>
              </w:rPr>
            </w:pPr>
            <w:r>
              <w:rPr>
                <w:rFonts w:cs="Times New Roman"/>
                <w:sz w:val="21"/>
                <w:szCs w:val="21"/>
              </w:rPr>
              <w:t>评价内控制度的健全程度及执行效率。</w:t>
            </w:r>
          </w:p>
        </w:tc>
        <w:tc>
          <w:tcPr>
            <w:tcW w:w="709" w:type="dxa"/>
            <w:vAlign w:val="center"/>
          </w:tcPr>
          <w:p>
            <w:pPr>
              <w:spacing w:line="240" w:lineRule="auto"/>
              <w:ind w:firstLine="0" w:firstLineChars="0"/>
              <w:jc w:val="center"/>
              <w:rPr>
                <w:rFonts w:cs="Times New Roman"/>
                <w:sz w:val="21"/>
                <w:szCs w:val="21"/>
              </w:rPr>
            </w:pPr>
            <w:r>
              <w:rPr>
                <w:rFonts w:cs="Times New Roman"/>
                <w:sz w:val="21"/>
                <w:szCs w:val="21"/>
              </w:rPr>
              <w:t>2</w:t>
            </w:r>
          </w:p>
        </w:tc>
        <w:tc>
          <w:tcPr>
            <w:tcW w:w="3402" w:type="dxa"/>
            <w:vAlign w:val="center"/>
          </w:tcPr>
          <w:p>
            <w:pPr>
              <w:spacing w:line="240" w:lineRule="auto"/>
              <w:ind w:firstLine="0" w:firstLineChars="0"/>
              <w:rPr>
                <w:rFonts w:cs="Times New Roman"/>
                <w:sz w:val="21"/>
                <w:szCs w:val="21"/>
              </w:rPr>
            </w:pPr>
            <w:r>
              <w:rPr>
                <w:rFonts w:cs="Times New Roman"/>
                <w:sz w:val="21"/>
                <w:szCs w:val="21"/>
              </w:rPr>
              <w:t>1.建立健全的</w:t>
            </w:r>
            <w:r>
              <w:rPr>
                <w:rFonts w:hint="eastAsia" w:cs="Times New Roman"/>
                <w:sz w:val="21"/>
                <w:szCs w:val="21"/>
              </w:rPr>
              <w:t>社会资本</w:t>
            </w:r>
            <w:r>
              <w:rPr>
                <w:rFonts w:cs="Times New Roman"/>
                <w:sz w:val="21"/>
                <w:szCs w:val="21"/>
              </w:rPr>
              <w:t>内部管理制度，明确部门分工，执行到位规范。</w:t>
            </w:r>
          </w:p>
        </w:tc>
        <w:tc>
          <w:tcPr>
            <w:tcW w:w="5240" w:type="dxa"/>
            <w:vAlign w:val="center"/>
          </w:tcPr>
          <w:p>
            <w:pPr>
              <w:spacing w:line="240" w:lineRule="auto"/>
              <w:ind w:firstLine="0" w:firstLineChars="0"/>
              <w:rPr>
                <w:rFonts w:cs="Times New Roman"/>
                <w:sz w:val="21"/>
                <w:szCs w:val="21"/>
              </w:rPr>
            </w:pPr>
            <w:r>
              <w:rPr>
                <w:rFonts w:hint="eastAsia" w:cs="Times New Roman"/>
                <w:sz w:val="21"/>
                <w:szCs w:val="21"/>
              </w:rPr>
              <w:t>项目公司</w:t>
            </w:r>
            <w:r>
              <w:rPr>
                <w:rFonts w:cs="Times New Roman"/>
                <w:sz w:val="21"/>
                <w:szCs w:val="21"/>
              </w:rPr>
              <w:t>管理制度不健全，应按要求进行整改，超过整改要求的整改期未能完成整改或整改不合格的：扣1分。否则不扣分。</w:t>
            </w:r>
          </w:p>
          <w:p>
            <w:pPr>
              <w:spacing w:line="240" w:lineRule="auto"/>
              <w:ind w:firstLine="0" w:firstLineChars="0"/>
              <w:rPr>
                <w:rFonts w:cs="Times New Roman"/>
                <w:sz w:val="21"/>
                <w:szCs w:val="21"/>
              </w:rPr>
            </w:pPr>
            <w:r>
              <w:rPr>
                <w:rFonts w:cs="Times New Roman"/>
                <w:sz w:val="21"/>
                <w:szCs w:val="21"/>
              </w:rPr>
              <w:t>未按</w:t>
            </w:r>
            <w:r>
              <w:rPr>
                <w:rFonts w:hint="eastAsia" w:cs="Times New Roman"/>
                <w:sz w:val="21"/>
                <w:szCs w:val="21"/>
              </w:rPr>
              <w:t>社会资本</w:t>
            </w:r>
            <w:r>
              <w:rPr>
                <w:rFonts w:cs="Times New Roman"/>
                <w:sz w:val="21"/>
                <w:szCs w:val="21"/>
              </w:rPr>
              <w:t>制度执行，影响</w:t>
            </w:r>
            <w:r>
              <w:rPr>
                <w:rFonts w:hint="eastAsia" w:cs="Times New Roman"/>
                <w:sz w:val="21"/>
                <w:szCs w:val="21"/>
              </w:rPr>
              <w:t>社会资本</w:t>
            </w:r>
            <w:r>
              <w:rPr>
                <w:rFonts w:cs="Times New Roman"/>
                <w:sz w:val="21"/>
                <w:szCs w:val="21"/>
              </w:rPr>
              <w:t>正常运营的，应按要求进行整改，超过整改要求的整改期未能完成整改或整改不合格的，扣1分。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vAlign w:val="center"/>
          </w:tcPr>
          <w:p>
            <w:pPr>
              <w:spacing w:line="240" w:lineRule="auto"/>
              <w:ind w:firstLine="0" w:firstLineChars="0"/>
              <w:jc w:val="center"/>
              <w:rPr>
                <w:rFonts w:cs="Times New Roman"/>
                <w:sz w:val="21"/>
                <w:szCs w:val="21"/>
              </w:rPr>
            </w:pPr>
          </w:p>
        </w:tc>
        <w:tc>
          <w:tcPr>
            <w:tcW w:w="1095" w:type="dxa"/>
            <w:vAlign w:val="center"/>
          </w:tcPr>
          <w:p>
            <w:pPr>
              <w:spacing w:line="240" w:lineRule="auto"/>
              <w:ind w:firstLine="0" w:firstLineChars="0"/>
              <w:jc w:val="center"/>
              <w:rPr>
                <w:rFonts w:cs="Times New Roman"/>
                <w:sz w:val="21"/>
                <w:szCs w:val="21"/>
              </w:rPr>
            </w:pPr>
            <w:r>
              <w:rPr>
                <w:rFonts w:cs="Times New Roman"/>
                <w:sz w:val="21"/>
                <w:szCs w:val="21"/>
              </w:rPr>
              <w:t>档案管理（1分）</w:t>
            </w:r>
          </w:p>
        </w:tc>
        <w:tc>
          <w:tcPr>
            <w:tcW w:w="1118" w:type="dxa"/>
            <w:vAlign w:val="center"/>
          </w:tcPr>
          <w:p>
            <w:pPr>
              <w:spacing w:line="240" w:lineRule="auto"/>
              <w:ind w:firstLine="0" w:firstLineChars="0"/>
              <w:rPr>
                <w:rFonts w:cs="Times New Roman"/>
                <w:sz w:val="21"/>
                <w:szCs w:val="21"/>
              </w:rPr>
            </w:pPr>
            <w:r>
              <w:rPr>
                <w:rFonts w:cs="Times New Roman"/>
                <w:sz w:val="21"/>
                <w:szCs w:val="21"/>
              </w:rPr>
              <w:t>档案管理</w:t>
            </w:r>
          </w:p>
        </w:tc>
        <w:tc>
          <w:tcPr>
            <w:tcW w:w="2088" w:type="dxa"/>
            <w:vAlign w:val="center"/>
          </w:tcPr>
          <w:p>
            <w:pPr>
              <w:spacing w:line="240" w:lineRule="auto"/>
              <w:ind w:firstLine="0" w:firstLineChars="0"/>
              <w:rPr>
                <w:rFonts w:cs="Times New Roman"/>
                <w:sz w:val="21"/>
                <w:szCs w:val="21"/>
              </w:rPr>
            </w:pPr>
            <w:r>
              <w:rPr>
                <w:rFonts w:cs="Times New Roman"/>
                <w:sz w:val="21"/>
                <w:szCs w:val="21"/>
              </w:rPr>
              <w:t>评价项目运营、维护等相关资料的完整性、真实性以及归集整理的及时性。</w:t>
            </w:r>
          </w:p>
        </w:tc>
        <w:tc>
          <w:tcPr>
            <w:tcW w:w="709" w:type="dxa"/>
            <w:vAlign w:val="center"/>
          </w:tcPr>
          <w:p>
            <w:pPr>
              <w:spacing w:line="240" w:lineRule="auto"/>
              <w:ind w:firstLine="0" w:firstLineChars="0"/>
              <w:jc w:val="center"/>
              <w:rPr>
                <w:rFonts w:cs="Times New Roman"/>
                <w:sz w:val="21"/>
                <w:szCs w:val="21"/>
              </w:rPr>
            </w:pPr>
            <w:r>
              <w:rPr>
                <w:rFonts w:cs="Times New Roman"/>
                <w:sz w:val="21"/>
                <w:szCs w:val="21"/>
              </w:rPr>
              <w:t>1</w:t>
            </w:r>
          </w:p>
        </w:tc>
        <w:tc>
          <w:tcPr>
            <w:tcW w:w="3402" w:type="dxa"/>
            <w:vAlign w:val="center"/>
          </w:tcPr>
          <w:p>
            <w:pPr>
              <w:spacing w:line="240" w:lineRule="auto"/>
              <w:ind w:firstLine="0" w:firstLineChars="0"/>
              <w:rPr>
                <w:rFonts w:cs="Times New Roman"/>
                <w:sz w:val="21"/>
                <w:szCs w:val="21"/>
              </w:rPr>
            </w:pPr>
            <w:r>
              <w:rPr>
                <w:rFonts w:cs="Times New Roman"/>
                <w:sz w:val="21"/>
                <w:szCs w:val="21"/>
              </w:rPr>
              <w:t>有较完善的服务档案，至少应包括：技术档案，日常档案。</w:t>
            </w:r>
          </w:p>
        </w:tc>
        <w:tc>
          <w:tcPr>
            <w:tcW w:w="5240" w:type="dxa"/>
            <w:vAlign w:val="center"/>
          </w:tcPr>
          <w:p>
            <w:pPr>
              <w:spacing w:line="240" w:lineRule="auto"/>
              <w:ind w:firstLine="0" w:firstLineChars="0"/>
              <w:rPr>
                <w:rFonts w:cs="Times New Roman"/>
                <w:sz w:val="21"/>
                <w:szCs w:val="21"/>
              </w:rPr>
            </w:pPr>
            <w:r>
              <w:rPr>
                <w:rFonts w:cs="Times New Roman"/>
                <w:sz w:val="21"/>
                <w:szCs w:val="21"/>
              </w:rPr>
              <w:t>档案不完善，超过整改要求的整改期未能完成整改或整改不合格的：每次扣0.5分。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081" w:type="dxa"/>
            <w:vMerge w:val="continue"/>
            <w:vAlign w:val="center"/>
          </w:tcPr>
          <w:p>
            <w:pPr>
              <w:spacing w:line="240" w:lineRule="auto"/>
              <w:ind w:firstLine="0" w:firstLineChars="0"/>
              <w:jc w:val="center"/>
              <w:rPr>
                <w:rFonts w:cs="Times New Roman"/>
                <w:sz w:val="21"/>
                <w:szCs w:val="21"/>
              </w:rPr>
            </w:pPr>
          </w:p>
        </w:tc>
        <w:tc>
          <w:tcPr>
            <w:tcW w:w="1095" w:type="dxa"/>
            <w:vAlign w:val="center"/>
          </w:tcPr>
          <w:p>
            <w:pPr>
              <w:spacing w:line="240" w:lineRule="auto"/>
              <w:ind w:firstLine="0" w:firstLineChars="0"/>
              <w:jc w:val="center"/>
              <w:rPr>
                <w:rFonts w:cs="Times New Roman"/>
                <w:sz w:val="21"/>
                <w:szCs w:val="21"/>
              </w:rPr>
            </w:pPr>
            <w:r>
              <w:rPr>
                <w:rFonts w:cs="Times New Roman"/>
                <w:sz w:val="21"/>
                <w:szCs w:val="21"/>
              </w:rPr>
              <w:t>信息公开（1分）</w:t>
            </w:r>
          </w:p>
        </w:tc>
        <w:tc>
          <w:tcPr>
            <w:tcW w:w="1118" w:type="dxa"/>
            <w:vAlign w:val="center"/>
          </w:tcPr>
          <w:p>
            <w:pPr>
              <w:spacing w:line="240" w:lineRule="auto"/>
              <w:ind w:firstLine="0" w:firstLineChars="0"/>
              <w:rPr>
                <w:rFonts w:cs="Times New Roman"/>
                <w:sz w:val="21"/>
                <w:szCs w:val="21"/>
              </w:rPr>
            </w:pPr>
            <w:r>
              <w:rPr>
                <w:rFonts w:cs="Times New Roman"/>
                <w:sz w:val="21"/>
                <w:szCs w:val="21"/>
              </w:rPr>
              <w:t>信息公开</w:t>
            </w:r>
          </w:p>
        </w:tc>
        <w:tc>
          <w:tcPr>
            <w:tcW w:w="2088" w:type="dxa"/>
            <w:vAlign w:val="center"/>
          </w:tcPr>
          <w:p>
            <w:pPr>
              <w:spacing w:line="240" w:lineRule="auto"/>
              <w:ind w:firstLine="0" w:firstLineChars="0"/>
              <w:rPr>
                <w:rFonts w:cs="Times New Roman"/>
                <w:sz w:val="21"/>
                <w:szCs w:val="21"/>
              </w:rPr>
            </w:pPr>
            <w:r>
              <w:rPr>
                <w:rFonts w:cs="Times New Roman"/>
                <w:sz w:val="21"/>
                <w:szCs w:val="21"/>
              </w:rPr>
              <w:t>评价社会资本履行信息公开义务的及时性与准确性。</w:t>
            </w:r>
          </w:p>
        </w:tc>
        <w:tc>
          <w:tcPr>
            <w:tcW w:w="709" w:type="dxa"/>
            <w:vAlign w:val="center"/>
          </w:tcPr>
          <w:p>
            <w:pPr>
              <w:spacing w:line="240" w:lineRule="auto"/>
              <w:ind w:firstLine="0" w:firstLineChars="0"/>
              <w:jc w:val="center"/>
              <w:rPr>
                <w:rFonts w:cs="Times New Roman"/>
                <w:sz w:val="21"/>
                <w:szCs w:val="21"/>
              </w:rPr>
            </w:pPr>
            <w:r>
              <w:rPr>
                <w:rFonts w:cs="Times New Roman"/>
                <w:sz w:val="21"/>
                <w:szCs w:val="21"/>
              </w:rPr>
              <w:t>1</w:t>
            </w:r>
          </w:p>
        </w:tc>
        <w:tc>
          <w:tcPr>
            <w:tcW w:w="3402" w:type="dxa"/>
            <w:vAlign w:val="center"/>
          </w:tcPr>
          <w:p>
            <w:pPr>
              <w:spacing w:line="240" w:lineRule="auto"/>
              <w:ind w:firstLine="0" w:firstLineChars="0"/>
              <w:rPr>
                <w:rFonts w:cs="Times New Roman"/>
                <w:sz w:val="21"/>
                <w:szCs w:val="21"/>
              </w:rPr>
            </w:pPr>
            <w:r>
              <w:rPr>
                <w:rFonts w:cs="Times New Roman"/>
                <w:sz w:val="21"/>
                <w:szCs w:val="21"/>
              </w:rPr>
              <w:t>依法公开披露项目相关信息，保障公共知情权，接受社会公众的监督。</w:t>
            </w:r>
          </w:p>
        </w:tc>
        <w:tc>
          <w:tcPr>
            <w:tcW w:w="5240" w:type="dxa"/>
            <w:vAlign w:val="center"/>
          </w:tcPr>
          <w:p>
            <w:pPr>
              <w:spacing w:line="240" w:lineRule="auto"/>
              <w:ind w:firstLine="0" w:firstLineChars="0"/>
              <w:rPr>
                <w:rFonts w:cs="Times New Roman"/>
                <w:sz w:val="21"/>
                <w:szCs w:val="21"/>
              </w:rPr>
            </w:pPr>
            <w:r>
              <w:rPr>
                <w:rFonts w:cs="Times New Roman"/>
                <w:sz w:val="21"/>
                <w:szCs w:val="21"/>
              </w:rPr>
              <w:t>信息公开不及时，超过整改要求的整改期未能完成整改或整改不合格的：每次扣0.5分。</w:t>
            </w:r>
          </w:p>
        </w:tc>
      </w:tr>
    </w:tbl>
    <w:p>
      <w:pPr>
        <w:ind w:firstLine="0" w:firstLineChars="0"/>
        <w:rPr>
          <w:rFonts w:cs="Times New Roman"/>
        </w:rPr>
      </w:pPr>
    </w:p>
    <w:p>
      <w:pPr>
        <w:ind w:firstLine="198" w:firstLineChars="71"/>
        <w:rPr>
          <w:rFonts w:cs="Times New Roman"/>
        </w:rPr>
        <w:sectPr>
          <w:pgSz w:w="16838" w:h="11906" w:orient="landscape"/>
          <w:pgMar w:top="1418" w:right="1418" w:bottom="1418" w:left="1418" w:header="851" w:footer="992" w:gutter="0"/>
          <w:cols w:space="425" w:num="1"/>
          <w:docGrid w:linePitch="381" w:charSpace="0"/>
        </w:sectPr>
      </w:pPr>
    </w:p>
    <w:p>
      <w:pPr>
        <w:pStyle w:val="2"/>
        <w:rPr>
          <w:rFonts w:cs="Times New Roman"/>
          <w:color w:val="000000" w:themeColor="text1"/>
          <w14:textFill>
            <w14:solidFill>
              <w14:schemeClr w14:val="tx1"/>
            </w14:solidFill>
          </w14:textFill>
        </w:rPr>
      </w:pPr>
      <w:bookmarkStart w:id="154" w:name="_Toc148432399"/>
      <w:r>
        <w:rPr>
          <w:rFonts w:hint="eastAsia" w:cs="Times New Roman"/>
          <w:color w:val="000000" w:themeColor="text1"/>
          <w14:textFill>
            <w14:solidFill>
              <w14:schemeClr w14:val="tx1"/>
            </w14:solidFill>
          </w14:textFill>
        </w:rPr>
        <w:t>附件一：项目总投资（特许经营范围）财务分析附表</w:t>
      </w:r>
      <w:bookmarkEnd w:id="154"/>
    </w:p>
    <w:p>
      <w:pPr>
        <w:pStyle w:val="3"/>
      </w:pPr>
      <w:bookmarkStart w:id="155" w:name="_Toc148432400"/>
      <w:r>
        <w:rPr>
          <w:rFonts w:hint="eastAsia"/>
        </w:rPr>
        <w:t>附表1：项目收入估算表（单位：万元）</w:t>
      </w:r>
      <w:bookmarkEnd w:id="155"/>
    </w:p>
    <w:p>
      <w:pPr>
        <w:ind w:firstLine="0" w:firstLineChars="0"/>
      </w:pPr>
      <w:r>
        <w:drawing>
          <wp:inline distT="0" distB="0" distL="114300" distR="114300">
            <wp:extent cx="9658985" cy="2394585"/>
            <wp:effectExtent l="0" t="0" r="18415" b="18415"/>
            <wp:docPr id="6"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9"/>
                    <pic:cNvPicPr>
                      <a:picLocks noChangeAspect="1"/>
                    </pic:cNvPicPr>
                  </pic:nvPicPr>
                  <pic:blipFill>
                    <a:blip r:embed="rId37"/>
                    <a:stretch>
                      <a:fillRect/>
                    </a:stretch>
                  </pic:blipFill>
                  <pic:spPr>
                    <a:xfrm>
                      <a:off x="0" y="0"/>
                      <a:ext cx="9658985" cy="2394585"/>
                    </a:xfrm>
                    <a:prstGeom prst="rect">
                      <a:avLst/>
                    </a:prstGeom>
                    <a:noFill/>
                    <a:ln>
                      <a:noFill/>
                    </a:ln>
                  </pic:spPr>
                </pic:pic>
              </a:graphicData>
            </a:graphic>
          </wp:inline>
        </w:drawing>
      </w:r>
    </w:p>
    <w:p>
      <w:pPr>
        <w:widowControl/>
        <w:spacing w:line="240" w:lineRule="auto"/>
        <w:ind w:firstLine="0" w:firstLineChars="0"/>
        <w:jc w:val="left"/>
      </w:pPr>
      <w:r>
        <w:t>（续附表</w:t>
      </w:r>
      <w:r>
        <w:rPr>
          <w:rFonts w:hint="eastAsia"/>
        </w:rPr>
        <w:t>1</w:t>
      </w:r>
      <w:r>
        <w:t>）</w:t>
      </w:r>
    </w:p>
    <w:p>
      <w:pPr>
        <w:widowControl/>
        <w:spacing w:line="240" w:lineRule="auto"/>
        <w:ind w:firstLine="0" w:firstLineChars="0"/>
        <w:jc w:val="left"/>
      </w:pPr>
    </w:p>
    <w:p>
      <w:pPr>
        <w:widowControl/>
        <w:spacing w:line="240" w:lineRule="auto"/>
        <w:ind w:firstLine="0" w:firstLineChars="0"/>
        <w:jc w:val="left"/>
      </w:pPr>
    </w:p>
    <w:p>
      <w:pPr>
        <w:widowControl/>
        <w:spacing w:line="240" w:lineRule="auto"/>
        <w:ind w:firstLine="0" w:firstLineChars="0"/>
        <w:jc w:val="left"/>
      </w:pPr>
    </w:p>
    <w:p>
      <w:pPr>
        <w:widowControl/>
        <w:spacing w:line="240" w:lineRule="auto"/>
        <w:ind w:firstLine="0" w:firstLineChars="0"/>
        <w:jc w:val="left"/>
      </w:pPr>
    </w:p>
    <w:p>
      <w:pPr>
        <w:widowControl/>
        <w:spacing w:line="240" w:lineRule="auto"/>
        <w:ind w:firstLine="0" w:firstLineChars="0"/>
        <w:jc w:val="left"/>
      </w:pPr>
    </w:p>
    <w:p>
      <w:pPr>
        <w:widowControl/>
        <w:spacing w:line="240" w:lineRule="auto"/>
        <w:ind w:firstLine="0" w:firstLineChars="0"/>
        <w:jc w:val="left"/>
      </w:pPr>
    </w:p>
    <w:p>
      <w:pPr>
        <w:widowControl/>
        <w:spacing w:line="240" w:lineRule="auto"/>
        <w:ind w:firstLine="0" w:firstLineChars="0"/>
        <w:jc w:val="left"/>
      </w:pPr>
    </w:p>
    <w:p>
      <w:pPr>
        <w:widowControl/>
        <w:spacing w:line="240" w:lineRule="auto"/>
        <w:ind w:firstLine="0" w:firstLineChars="0"/>
        <w:jc w:val="left"/>
      </w:pPr>
      <w:r>
        <w:drawing>
          <wp:inline distT="0" distB="0" distL="114300" distR="114300">
            <wp:extent cx="9773920" cy="2316480"/>
            <wp:effectExtent l="0" t="0" r="5080" b="20320"/>
            <wp:docPr id="17"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23"/>
                    <pic:cNvPicPr>
                      <a:picLocks noChangeAspect="1"/>
                    </pic:cNvPicPr>
                  </pic:nvPicPr>
                  <pic:blipFill>
                    <a:blip r:embed="rId38"/>
                    <a:stretch>
                      <a:fillRect/>
                    </a:stretch>
                  </pic:blipFill>
                  <pic:spPr>
                    <a:xfrm>
                      <a:off x="0" y="0"/>
                      <a:ext cx="9773920" cy="2316480"/>
                    </a:xfrm>
                    <a:prstGeom prst="rect">
                      <a:avLst/>
                    </a:prstGeom>
                    <a:noFill/>
                    <a:ln>
                      <a:noFill/>
                    </a:ln>
                  </pic:spPr>
                </pic:pic>
              </a:graphicData>
            </a:graphic>
          </wp:inline>
        </w:drawing>
      </w:r>
    </w:p>
    <w:p>
      <w:pPr>
        <w:widowControl/>
        <w:spacing w:line="240" w:lineRule="auto"/>
        <w:ind w:firstLine="0" w:firstLineChars="0"/>
        <w:jc w:val="left"/>
        <w:rPr>
          <w:rFonts w:cstheme="majorBidi"/>
          <w:b/>
          <w:bCs/>
          <w:sz w:val="32"/>
          <w:szCs w:val="32"/>
        </w:rPr>
      </w:pPr>
      <w:r>
        <w:br w:type="page"/>
      </w:r>
    </w:p>
    <w:p>
      <w:pPr>
        <w:pStyle w:val="3"/>
        <w:rPr>
          <w:color w:val="000000" w:themeColor="text1"/>
          <w14:textFill>
            <w14:solidFill>
              <w14:schemeClr w14:val="tx1"/>
            </w14:solidFill>
          </w14:textFill>
        </w:rPr>
      </w:pPr>
      <w:bookmarkStart w:id="156" w:name="_Toc148432401"/>
      <w:r>
        <w:rPr>
          <w:rFonts w:hint="eastAsia"/>
          <w:color w:val="000000" w:themeColor="text1"/>
          <w14:textFill>
            <w14:solidFill>
              <w14:schemeClr w14:val="tx1"/>
            </w14:solidFill>
          </w14:textFill>
        </w:rPr>
        <w:t>附表2：项目总成本估算表（单位：万元）</w:t>
      </w:r>
      <w:bookmarkEnd w:id="156"/>
    </w:p>
    <w:p>
      <w:pPr>
        <w:widowControl/>
        <w:spacing w:line="240" w:lineRule="auto"/>
        <w:ind w:firstLine="0" w:firstLineChars="0"/>
        <w:jc w:val="left"/>
      </w:pPr>
      <w:r>
        <w:drawing>
          <wp:inline distT="0" distB="0" distL="114300" distR="114300">
            <wp:extent cx="9770110" cy="1802130"/>
            <wp:effectExtent l="0" t="0" r="8890" b="1270"/>
            <wp:docPr id="13"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21"/>
                    <pic:cNvPicPr>
                      <a:picLocks noChangeAspect="1"/>
                    </pic:cNvPicPr>
                  </pic:nvPicPr>
                  <pic:blipFill>
                    <a:blip r:embed="rId39"/>
                    <a:stretch>
                      <a:fillRect/>
                    </a:stretch>
                  </pic:blipFill>
                  <pic:spPr>
                    <a:xfrm>
                      <a:off x="0" y="0"/>
                      <a:ext cx="9770110" cy="1802130"/>
                    </a:xfrm>
                    <a:prstGeom prst="rect">
                      <a:avLst/>
                    </a:prstGeom>
                    <a:noFill/>
                    <a:ln>
                      <a:noFill/>
                    </a:ln>
                  </pic:spPr>
                </pic:pic>
              </a:graphicData>
            </a:graphic>
          </wp:inline>
        </w:drawing>
      </w:r>
    </w:p>
    <w:p>
      <w:pPr>
        <w:widowControl/>
        <w:spacing w:line="240" w:lineRule="auto"/>
        <w:ind w:firstLine="0" w:firstLineChars="0"/>
        <w:jc w:val="left"/>
      </w:pPr>
      <w:r>
        <w:t>（续附表</w:t>
      </w:r>
      <w:r>
        <w:rPr>
          <w:rFonts w:hint="eastAsia"/>
        </w:rPr>
        <w:t>2</w:t>
      </w:r>
      <w:r>
        <w:t>）</w:t>
      </w:r>
    </w:p>
    <w:p>
      <w:pPr>
        <w:widowControl/>
        <w:spacing w:line="240" w:lineRule="auto"/>
        <w:ind w:firstLine="0" w:firstLineChars="0"/>
        <w:jc w:val="left"/>
      </w:pPr>
      <w:r>
        <w:drawing>
          <wp:inline distT="0" distB="0" distL="114300" distR="114300">
            <wp:extent cx="9772015" cy="1619250"/>
            <wp:effectExtent l="0" t="0" r="6985" b="6350"/>
            <wp:docPr id="16"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22"/>
                    <pic:cNvPicPr>
                      <a:picLocks noChangeAspect="1"/>
                    </pic:cNvPicPr>
                  </pic:nvPicPr>
                  <pic:blipFill>
                    <a:blip r:embed="rId40"/>
                    <a:stretch>
                      <a:fillRect/>
                    </a:stretch>
                  </pic:blipFill>
                  <pic:spPr>
                    <a:xfrm>
                      <a:off x="0" y="0"/>
                      <a:ext cx="9772015" cy="1619250"/>
                    </a:xfrm>
                    <a:prstGeom prst="rect">
                      <a:avLst/>
                    </a:prstGeom>
                    <a:noFill/>
                    <a:ln>
                      <a:noFill/>
                    </a:ln>
                  </pic:spPr>
                </pic:pic>
              </a:graphicData>
            </a:graphic>
          </wp:inline>
        </w:drawing>
      </w:r>
    </w:p>
    <w:p>
      <w:pPr>
        <w:widowControl/>
        <w:spacing w:line="240" w:lineRule="auto"/>
        <w:ind w:firstLine="0" w:firstLineChars="0"/>
        <w:jc w:val="left"/>
        <w:rPr>
          <w:rFonts w:cstheme="majorBidi"/>
          <w:b/>
          <w:bCs/>
          <w:sz w:val="32"/>
          <w:szCs w:val="32"/>
        </w:rPr>
      </w:pPr>
      <w:r>
        <w:br w:type="page"/>
      </w:r>
    </w:p>
    <w:p>
      <w:pPr>
        <w:pStyle w:val="3"/>
        <w:rPr>
          <w:color w:val="000000" w:themeColor="text1"/>
          <w14:textFill>
            <w14:solidFill>
              <w14:schemeClr w14:val="tx1"/>
            </w14:solidFill>
          </w14:textFill>
        </w:rPr>
      </w:pPr>
      <w:bookmarkStart w:id="157" w:name="_Toc148432402"/>
      <w:r>
        <w:rPr>
          <w:rFonts w:hint="eastAsia"/>
          <w:color w:val="000000" w:themeColor="text1"/>
          <w14:textFill>
            <w14:solidFill>
              <w14:schemeClr w14:val="tx1"/>
            </w14:solidFill>
          </w14:textFill>
        </w:rPr>
        <w:t>附表3：项目借款还本付息表（单位：万元）</w:t>
      </w:r>
      <w:bookmarkEnd w:id="157"/>
    </w:p>
    <w:p>
      <w:pPr>
        <w:widowControl/>
        <w:spacing w:line="240" w:lineRule="auto"/>
        <w:ind w:firstLine="0" w:firstLineChars="0"/>
        <w:jc w:val="left"/>
      </w:pPr>
      <w:r>
        <w:drawing>
          <wp:inline distT="0" distB="0" distL="114300" distR="114300">
            <wp:extent cx="9767570" cy="1729740"/>
            <wp:effectExtent l="0" t="0" r="11430" b="22860"/>
            <wp:docPr id="18"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24"/>
                    <pic:cNvPicPr>
                      <a:picLocks noChangeAspect="1"/>
                    </pic:cNvPicPr>
                  </pic:nvPicPr>
                  <pic:blipFill>
                    <a:blip r:embed="rId41"/>
                    <a:stretch>
                      <a:fillRect/>
                    </a:stretch>
                  </pic:blipFill>
                  <pic:spPr>
                    <a:xfrm>
                      <a:off x="0" y="0"/>
                      <a:ext cx="9767570" cy="1729740"/>
                    </a:xfrm>
                    <a:prstGeom prst="rect">
                      <a:avLst/>
                    </a:prstGeom>
                    <a:noFill/>
                    <a:ln>
                      <a:noFill/>
                    </a:ln>
                  </pic:spPr>
                </pic:pic>
              </a:graphicData>
            </a:graphic>
          </wp:inline>
        </w:drawing>
      </w:r>
    </w:p>
    <w:p>
      <w:pPr>
        <w:widowControl/>
        <w:spacing w:line="240" w:lineRule="auto"/>
        <w:ind w:firstLine="0" w:firstLineChars="0"/>
        <w:jc w:val="left"/>
      </w:pPr>
      <w:r>
        <w:t>（续附表</w:t>
      </w:r>
      <w:r>
        <w:rPr>
          <w:rFonts w:hint="eastAsia"/>
        </w:rPr>
        <w:t>3</w:t>
      </w:r>
      <w:r>
        <w:t>）</w:t>
      </w:r>
    </w:p>
    <w:p>
      <w:pPr>
        <w:widowControl/>
        <w:spacing w:line="240" w:lineRule="auto"/>
        <w:ind w:firstLine="0" w:firstLineChars="0"/>
        <w:jc w:val="left"/>
      </w:pPr>
    </w:p>
    <w:p>
      <w:pPr>
        <w:widowControl/>
        <w:spacing w:line="240" w:lineRule="auto"/>
        <w:ind w:firstLine="0" w:firstLineChars="0"/>
        <w:jc w:val="left"/>
        <w:rPr>
          <w:rFonts w:cstheme="majorBidi"/>
          <w:b/>
          <w:bCs/>
          <w:sz w:val="32"/>
          <w:szCs w:val="32"/>
        </w:rPr>
      </w:pPr>
      <w:r>
        <w:drawing>
          <wp:inline distT="0" distB="0" distL="114300" distR="114300">
            <wp:extent cx="9776460" cy="1540510"/>
            <wp:effectExtent l="0" t="0" r="2540" b="8890"/>
            <wp:docPr id="19"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25"/>
                    <pic:cNvPicPr>
                      <a:picLocks noChangeAspect="1"/>
                    </pic:cNvPicPr>
                  </pic:nvPicPr>
                  <pic:blipFill>
                    <a:blip r:embed="rId42"/>
                    <a:stretch>
                      <a:fillRect/>
                    </a:stretch>
                  </pic:blipFill>
                  <pic:spPr>
                    <a:xfrm>
                      <a:off x="0" y="0"/>
                      <a:ext cx="9776460" cy="1540510"/>
                    </a:xfrm>
                    <a:prstGeom prst="rect">
                      <a:avLst/>
                    </a:prstGeom>
                    <a:noFill/>
                    <a:ln>
                      <a:noFill/>
                    </a:ln>
                  </pic:spPr>
                </pic:pic>
              </a:graphicData>
            </a:graphic>
          </wp:inline>
        </w:drawing>
      </w:r>
      <w:r>
        <w:br w:type="page"/>
      </w:r>
    </w:p>
    <w:p>
      <w:pPr>
        <w:pStyle w:val="3"/>
        <w:rPr>
          <w:color w:val="000000" w:themeColor="text1"/>
          <w14:textFill>
            <w14:solidFill>
              <w14:schemeClr w14:val="tx1"/>
            </w14:solidFill>
          </w14:textFill>
        </w:rPr>
      </w:pPr>
      <w:bookmarkStart w:id="158" w:name="_Toc148432403"/>
      <w:r>
        <w:rPr>
          <w:rFonts w:hint="eastAsia"/>
          <w:color w:val="000000" w:themeColor="text1"/>
          <w14:textFill>
            <w14:solidFill>
              <w14:schemeClr w14:val="tx1"/>
            </w14:solidFill>
          </w14:textFill>
        </w:rPr>
        <w:t>附表4：增值税及附加估算表（单位：万元）</w:t>
      </w:r>
      <w:bookmarkEnd w:id="158"/>
    </w:p>
    <w:p>
      <w:pPr>
        <w:widowControl/>
        <w:spacing w:line="240" w:lineRule="auto"/>
        <w:ind w:firstLine="0" w:firstLineChars="0"/>
        <w:jc w:val="left"/>
      </w:pPr>
      <w:r>
        <w:drawing>
          <wp:inline distT="0" distB="0" distL="114300" distR="114300">
            <wp:extent cx="9776460" cy="2650490"/>
            <wp:effectExtent l="0" t="0" r="2540" b="16510"/>
            <wp:docPr id="20"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6"/>
                    <pic:cNvPicPr>
                      <a:picLocks noChangeAspect="1"/>
                    </pic:cNvPicPr>
                  </pic:nvPicPr>
                  <pic:blipFill>
                    <a:blip r:embed="rId43"/>
                    <a:stretch>
                      <a:fillRect/>
                    </a:stretch>
                  </pic:blipFill>
                  <pic:spPr>
                    <a:xfrm>
                      <a:off x="0" y="0"/>
                      <a:ext cx="9776460" cy="2650490"/>
                    </a:xfrm>
                    <a:prstGeom prst="rect">
                      <a:avLst/>
                    </a:prstGeom>
                    <a:noFill/>
                    <a:ln>
                      <a:noFill/>
                    </a:ln>
                  </pic:spPr>
                </pic:pic>
              </a:graphicData>
            </a:graphic>
          </wp:inline>
        </w:drawing>
      </w:r>
    </w:p>
    <w:p>
      <w:pPr>
        <w:widowControl/>
        <w:spacing w:line="240" w:lineRule="auto"/>
        <w:ind w:firstLine="0" w:firstLineChars="0"/>
        <w:jc w:val="left"/>
      </w:pPr>
      <w:r>
        <w:rPr>
          <w:rFonts w:hint="eastAsia"/>
        </w:rPr>
        <w:t>（续附表4）</w:t>
      </w:r>
    </w:p>
    <w:p>
      <w:pPr>
        <w:widowControl/>
        <w:spacing w:line="240" w:lineRule="auto"/>
        <w:ind w:firstLine="0" w:firstLineChars="0"/>
        <w:jc w:val="left"/>
      </w:pPr>
    </w:p>
    <w:p>
      <w:pPr>
        <w:widowControl/>
        <w:spacing w:line="240" w:lineRule="auto"/>
        <w:ind w:firstLine="0" w:firstLineChars="0"/>
        <w:jc w:val="left"/>
      </w:pPr>
    </w:p>
    <w:p>
      <w:pPr>
        <w:widowControl/>
        <w:spacing w:line="240" w:lineRule="auto"/>
        <w:ind w:firstLine="0" w:firstLineChars="0"/>
        <w:jc w:val="left"/>
      </w:pPr>
    </w:p>
    <w:p>
      <w:pPr>
        <w:widowControl/>
        <w:spacing w:line="240" w:lineRule="auto"/>
        <w:ind w:firstLine="0" w:firstLineChars="0"/>
        <w:jc w:val="left"/>
      </w:pPr>
    </w:p>
    <w:p>
      <w:pPr>
        <w:widowControl/>
        <w:spacing w:line="240" w:lineRule="auto"/>
        <w:ind w:firstLine="0" w:firstLineChars="0"/>
        <w:jc w:val="left"/>
      </w:pPr>
    </w:p>
    <w:p>
      <w:pPr>
        <w:widowControl/>
        <w:spacing w:line="240" w:lineRule="auto"/>
        <w:ind w:firstLine="0" w:firstLineChars="0"/>
        <w:jc w:val="left"/>
      </w:pPr>
    </w:p>
    <w:p>
      <w:pPr>
        <w:widowControl/>
        <w:spacing w:line="240" w:lineRule="auto"/>
        <w:ind w:firstLine="0" w:firstLineChars="0"/>
        <w:jc w:val="left"/>
      </w:pPr>
    </w:p>
    <w:p>
      <w:pPr>
        <w:widowControl/>
        <w:spacing w:line="240" w:lineRule="auto"/>
        <w:ind w:firstLine="0" w:firstLineChars="0"/>
        <w:jc w:val="left"/>
      </w:pPr>
    </w:p>
    <w:p>
      <w:pPr>
        <w:widowControl/>
        <w:spacing w:line="240" w:lineRule="auto"/>
        <w:ind w:firstLine="0" w:firstLineChars="0"/>
        <w:jc w:val="left"/>
      </w:pPr>
    </w:p>
    <w:p>
      <w:pPr>
        <w:widowControl/>
        <w:spacing w:line="240" w:lineRule="auto"/>
        <w:ind w:firstLine="0" w:firstLineChars="0"/>
        <w:jc w:val="left"/>
        <w:rPr>
          <w:rFonts w:cstheme="majorBidi"/>
          <w:b/>
          <w:bCs/>
          <w:sz w:val="32"/>
          <w:szCs w:val="32"/>
        </w:rPr>
      </w:pPr>
      <w:r>
        <w:drawing>
          <wp:inline distT="0" distB="0" distL="114300" distR="114300">
            <wp:extent cx="9768840" cy="2322195"/>
            <wp:effectExtent l="0" t="0" r="10160" b="14605"/>
            <wp:docPr id="21"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7"/>
                    <pic:cNvPicPr>
                      <a:picLocks noChangeAspect="1"/>
                    </pic:cNvPicPr>
                  </pic:nvPicPr>
                  <pic:blipFill>
                    <a:blip r:embed="rId44"/>
                    <a:stretch>
                      <a:fillRect/>
                    </a:stretch>
                  </pic:blipFill>
                  <pic:spPr>
                    <a:xfrm>
                      <a:off x="0" y="0"/>
                      <a:ext cx="9768840" cy="2322195"/>
                    </a:xfrm>
                    <a:prstGeom prst="rect">
                      <a:avLst/>
                    </a:prstGeom>
                    <a:noFill/>
                    <a:ln>
                      <a:noFill/>
                    </a:ln>
                  </pic:spPr>
                </pic:pic>
              </a:graphicData>
            </a:graphic>
          </wp:inline>
        </w:drawing>
      </w:r>
      <w:r>
        <w:br w:type="page"/>
      </w:r>
    </w:p>
    <w:p>
      <w:pPr>
        <w:pStyle w:val="3"/>
        <w:spacing w:line="360" w:lineRule="exact"/>
      </w:pPr>
      <w:bookmarkStart w:id="159" w:name="_Toc148432404"/>
      <w:r>
        <w:rPr>
          <w:rFonts w:hint="eastAsia"/>
        </w:rPr>
        <w:t>附表5：资本金现金流量表（单位：万元）</w:t>
      </w:r>
      <w:bookmarkEnd w:id="159"/>
    </w:p>
    <w:p>
      <w:pPr>
        <w:ind w:firstLine="0" w:firstLineChars="0"/>
        <w:jc w:val="left"/>
      </w:pPr>
      <w:r>
        <w:drawing>
          <wp:inline distT="0" distB="0" distL="114300" distR="114300">
            <wp:extent cx="9775825" cy="5213985"/>
            <wp:effectExtent l="0" t="0" r="3175" b="18415"/>
            <wp:docPr id="22"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8"/>
                    <pic:cNvPicPr>
                      <a:picLocks noChangeAspect="1"/>
                    </pic:cNvPicPr>
                  </pic:nvPicPr>
                  <pic:blipFill>
                    <a:blip r:embed="rId45"/>
                    <a:stretch>
                      <a:fillRect/>
                    </a:stretch>
                  </pic:blipFill>
                  <pic:spPr>
                    <a:xfrm>
                      <a:off x="0" y="0"/>
                      <a:ext cx="9775825" cy="5213985"/>
                    </a:xfrm>
                    <a:prstGeom prst="rect">
                      <a:avLst/>
                    </a:prstGeom>
                    <a:noFill/>
                    <a:ln>
                      <a:noFill/>
                    </a:ln>
                  </pic:spPr>
                </pic:pic>
              </a:graphicData>
            </a:graphic>
          </wp:inline>
        </w:drawing>
      </w:r>
    </w:p>
    <w:p>
      <w:pPr>
        <w:ind w:firstLine="0" w:firstLineChars="0"/>
        <w:jc w:val="left"/>
      </w:pPr>
      <w:r>
        <w:t>（续附表</w:t>
      </w:r>
      <w:r>
        <w:rPr>
          <w:rFonts w:hint="eastAsia"/>
        </w:rPr>
        <w:t>5</w:t>
      </w:r>
      <w:r>
        <w:t>）</w:t>
      </w:r>
    </w:p>
    <w:p>
      <w:pPr>
        <w:ind w:firstLine="0" w:firstLineChars="0"/>
      </w:pPr>
      <w:r>
        <w:drawing>
          <wp:inline distT="0" distB="0" distL="0" distR="0">
            <wp:extent cx="9817735" cy="4458970"/>
            <wp:effectExtent l="0" t="0" r="0" b="0"/>
            <wp:docPr id="49" name="图片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9"/>
                    <pic:cNvPicPr>
                      <a:picLocks noChangeAspect="1" noChangeArrowheads="1"/>
                    </pic:cNvPicPr>
                  </pic:nvPicPr>
                  <pic:blipFill>
                    <a:blip r:embed="rId46">
                      <a:extLst>
                        <a:ext uri="{28A0092B-C50C-407E-A947-70E740481C1C}">
                          <a14:useLocalDpi xmlns:a14="http://schemas.microsoft.com/office/drawing/2010/main" val="0"/>
                        </a:ext>
                      </a:extLst>
                    </a:blip>
                    <a:srcRect t="1" r="5258" b="678"/>
                    <a:stretch>
                      <a:fillRect/>
                    </a:stretch>
                  </pic:blipFill>
                  <pic:spPr>
                    <a:xfrm>
                      <a:off x="0" y="0"/>
                      <a:ext cx="9840280" cy="4469575"/>
                    </a:xfrm>
                    <a:prstGeom prst="rect">
                      <a:avLst/>
                    </a:prstGeom>
                    <a:noFill/>
                    <a:ln>
                      <a:noFill/>
                    </a:ln>
                  </pic:spPr>
                </pic:pic>
              </a:graphicData>
            </a:graphic>
          </wp:inline>
        </w:drawing>
      </w:r>
    </w:p>
    <w:sectPr>
      <w:pgSz w:w="16838" w:h="11906" w:orient="landscape"/>
      <w:pgMar w:top="720" w:right="720" w:bottom="720" w:left="720" w:header="567" w:footer="992" w:gutter="0"/>
      <w:cols w:space="425" w:num="1"/>
      <w:docGrid w:linePitch="381"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560"/>
      </w:pPr>
      <w:r>
        <w:separator/>
      </w:r>
    </w:p>
  </w:endnote>
  <w:endnote w:type="continuationSeparator" w:id="1">
    <w:p>
      <w:pPr>
        <w:spacing w:line="240" w:lineRule="auto"/>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等线 Light">
    <w:panose1 w:val="02010600030101010101"/>
    <w:charset w:val="86"/>
    <w:family w:val="auto"/>
    <w:pitch w:val="default"/>
    <w:sig w:usb0="A00002BF" w:usb1="38CF7CFA" w:usb2="00000016" w:usb3="00000000" w:csb0="0004000F" w:csb1="00000000"/>
  </w:font>
  <w:font w:name="等线">
    <w:panose1 w:val="02010600030101010101"/>
    <w:charset w:val="86"/>
    <w:family w:val="auto"/>
    <w:pitch w:val="default"/>
    <w:sig w:usb0="A00002BF" w:usb1="38CF7CFA" w:usb2="00000016" w:usb3="00000000" w:csb0="0004000F" w:csb1="00000000"/>
  </w:font>
  <w:font w:name="方正仿宋简体">
    <w:altName w:val="Malgun Gothic Semilight"/>
    <w:panose1 w:val="00000000000000000000"/>
    <w:charset w:val="86"/>
    <w:family w:val="auto"/>
    <w:pitch w:val="default"/>
    <w:sig w:usb0="00000000" w:usb1="00000000" w:usb2="00000012" w:usb3="00000000" w:csb0="00040001" w:csb1="00000000"/>
  </w:font>
  <w:font w:name="微软雅黑">
    <w:panose1 w:val="020B0503020204020204"/>
    <w:charset w:val="86"/>
    <w:family w:val="swiss"/>
    <w:pitch w:val="default"/>
    <w:sig w:usb0="80000287" w:usb1="2ACF3C50" w:usb2="00000016" w:usb3="00000000" w:csb0="0004001F" w:csb1="00000000"/>
  </w:font>
  <w:font w:name="Malgun Gothic Semilight">
    <w:panose1 w:val="020B0502040204020203"/>
    <w:charset w:val="86"/>
    <w:family w:val="swiss"/>
    <w:pitch w:val="default"/>
    <w:sig w:usb0="900002AF" w:usb1="01D77CFB" w:usb2="00000012" w:usb3="00000000" w:csb0="203E01BD" w:csb1="D7FF0000"/>
  </w:font>
  <w:font w:name="楷体">
    <w:panose1 w:val="02010609060101010101"/>
    <w:charset w:val="86"/>
    <w:family w:val="modern"/>
    <w:pitch w:val="default"/>
    <w:sig w:usb0="800002BF" w:usb1="38CF7CFA" w:usb2="00000016" w:usb3="00000000" w:csb0="00040001" w:csb1="00000000"/>
  </w:font>
  <w:font w:name="Cambria Math">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ind w:firstLine="0" w:firstLineChars="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ind w:firstLine="0" w:firstLineChars="0"/>
      <w:jc w:val="center"/>
    </w:pPr>
    <w:r>
      <w:fldChar w:fldCharType="begin"/>
    </w:r>
    <w:r>
      <w:instrText xml:space="preserve">PAGE   \* MERGEFORMAT</w:instrText>
    </w:r>
    <w:r>
      <w:fldChar w:fldCharType="separate"/>
    </w:r>
    <w:r>
      <w:rPr>
        <w:lang w:val="zh-CN"/>
      </w:rPr>
      <w:t>15</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560"/>
      </w:pPr>
      <w:r>
        <w:separator/>
      </w:r>
    </w:p>
  </w:footnote>
  <w:footnote w:type="continuationSeparator" w:id="1">
    <w:p>
      <w:pPr>
        <w:spacing w:line="360" w:lineRule="auto"/>
        <w:ind w:firstLine="56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none" w:color="auto" w:sz="0" w:space="0"/>
      </w:pBdr>
      <w:tabs>
        <w:tab w:val="left" w:pos="2910"/>
        <w:tab w:val="clear" w:pos="4153"/>
      </w:tabs>
      <w:ind w:firstLine="400"/>
      <w:jc w:val="right"/>
      <w:rPr>
        <w:sz w:val="20"/>
        <w:szCs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none" w:color="auto" w:sz="0" w:space="1"/>
      </w:pBdr>
      <w:tabs>
        <w:tab w:val="left" w:pos="2796"/>
      </w:tabs>
      <w:ind w:right="720" w:firstLine="360"/>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none" w:color="auto" w:sz="0" w:space="1"/>
      </w:pBdr>
      <w:ind w:firstLine="360"/>
      <w:jc w:val="lef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tabs>
        <w:tab w:val="left" w:pos="2910"/>
        <w:tab w:val="clear" w:pos="4153"/>
      </w:tabs>
      <w:spacing w:line="240" w:lineRule="auto"/>
      <w:ind w:firstLine="400"/>
      <w:jc w:val="right"/>
      <w:rPr>
        <w:sz w:val="20"/>
        <w:szCs w:val="20"/>
      </w:rPr>
    </w:pPr>
    <w:bookmarkStart w:id="160" w:name="_Hlk99737724"/>
    <w:bookmarkStart w:id="161" w:name="_Hlk99737721"/>
    <w:bookmarkStart w:id="162" w:name="_Hlk99737728"/>
    <w:bookmarkStart w:id="163" w:name="_Hlk99737723"/>
    <w:bookmarkStart w:id="164" w:name="_Hlk99737725"/>
    <w:bookmarkStart w:id="165" w:name="_Hlk99737722"/>
    <w:bookmarkStart w:id="166" w:name="_Hlk99737727"/>
    <w:bookmarkStart w:id="167" w:name="_Hlk99737726"/>
    <w:r>
      <w:rPr>
        <w:rFonts w:hint="eastAsia"/>
        <w:sz w:val="20"/>
        <w:szCs w:val="20"/>
      </w:rPr>
      <w:t>同心县高标准农田及现代化高效节水灌区建设</w:t>
    </w:r>
    <w:r>
      <w:rPr>
        <w:sz w:val="20"/>
        <w:szCs w:val="20"/>
      </w:rPr>
      <w:drawing>
        <wp:anchor distT="0" distB="0" distL="114300" distR="114300" simplePos="0" relativeHeight="251661312" behindDoc="0" locked="0" layoutInCell="1" allowOverlap="1">
          <wp:simplePos x="0" y="0"/>
          <wp:positionH relativeFrom="column">
            <wp:posOffset>48260</wp:posOffset>
          </wp:positionH>
          <wp:positionV relativeFrom="paragraph">
            <wp:posOffset>4445</wp:posOffset>
          </wp:positionV>
          <wp:extent cx="953770" cy="222885"/>
          <wp:effectExtent l="0" t="0" r="0" b="5715"/>
          <wp:wrapNone/>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953770" cy="222885"/>
                  </a:xfrm>
                  <a:prstGeom prst="rect">
                    <a:avLst/>
                  </a:prstGeom>
                  <a:noFill/>
                  <a:ln>
                    <a:noFill/>
                  </a:ln>
                </pic:spPr>
              </pic:pic>
            </a:graphicData>
          </a:graphic>
        </wp:anchor>
      </w:drawing>
    </w:r>
    <w:r>
      <w:rPr>
        <w:rFonts w:hint="eastAsia"/>
        <w:sz w:val="20"/>
        <w:szCs w:val="20"/>
      </w:rPr>
      <w:t>特许经营项目</w:t>
    </w:r>
  </w:p>
  <w:p>
    <w:pPr>
      <w:pStyle w:val="20"/>
      <w:tabs>
        <w:tab w:val="left" w:pos="2910"/>
        <w:tab w:val="clear" w:pos="4153"/>
      </w:tabs>
      <w:spacing w:line="240" w:lineRule="auto"/>
      <w:ind w:firstLine="400"/>
      <w:jc w:val="right"/>
      <w:rPr>
        <w:sz w:val="20"/>
        <w:szCs w:val="20"/>
      </w:rPr>
    </w:pPr>
    <w:r>
      <w:rPr>
        <w:rFonts w:hint="eastAsia"/>
        <w:sz w:val="20"/>
        <w:szCs w:val="20"/>
      </w:rPr>
      <w:t>实施方案</w:t>
    </w:r>
    <w:bookmarkEnd w:id="160"/>
    <w:bookmarkEnd w:id="161"/>
    <w:bookmarkEnd w:id="162"/>
    <w:bookmarkEnd w:id="163"/>
    <w:bookmarkEnd w:id="164"/>
    <w:bookmarkEnd w:id="165"/>
    <w:bookmarkEnd w:id="166"/>
    <w:bookmarkEnd w:id="167"/>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1652D79"/>
    <w:multiLevelType w:val="multilevel"/>
    <w:tmpl w:val="61652D79"/>
    <w:lvl w:ilvl="0" w:tentative="0">
      <w:start w:val="1"/>
      <w:numFmt w:val="bullet"/>
      <w:suff w:val="nothing"/>
      <w:lvlText w:val=""/>
      <w:lvlJc w:val="left"/>
      <w:pPr>
        <w:ind w:left="0" w:firstLine="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
    <w:nsid w:val="66F8034B"/>
    <w:multiLevelType w:val="multilevel"/>
    <w:tmpl w:val="66F8034B"/>
    <w:lvl w:ilvl="0" w:tentative="0">
      <w:start w:val="1"/>
      <w:numFmt w:val="bullet"/>
      <w:lvlText w:val=""/>
      <w:lvlJc w:val="left"/>
      <w:pPr>
        <w:ind w:left="980" w:hanging="420"/>
      </w:pPr>
      <w:rPr>
        <w:rFonts w:hint="default" w:ascii="Wingdings" w:hAnsi="Wingdings"/>
      </w:rPr>
    </w:lvl>
    <w:lvl w:ilvl="1" w:tentative="0">
      <w:start w:val="1"/>
      <w:numFmt w:val="bullet"/>
      <w:lvlText w:val=""/>
      <w:lvlJc w:val="left"/>
      <w:pPr>
        <w:ind w:left="1400" w:hanging="420"/>
      </w:pPr>
      <w:rPr>
        <w:rFonts w:hint="default" w:ascii="Wingdings" w:hAnsi="Wingdings"/>
      </w:rPr>
    </w:lvl>
    <w:lvl w:ilvl="2" w:tentative="0">
      <w:start w:val="1"/>
      <w:numFmt w:val="bullet"/>
      <w:lvlText w:val=""/>
      <w:lvlJc w:val="left"/>
      <w:pPr>
        <w:ind w:left="1820" w:hanging="420"/>
      </w:pPr>
      <w:rPr>
        <w:rFonts w:hint="default" w:ascii="Wingdings" w:hAnsi="Wingdings"/>
      </w:rPr>
    </w:lvl>
    <w:lvl w:ilvl="3" w:tentative="0">
      <w:start w:val="1"/>
      <w:numFmt w:val="bullet"/>
      <w:lvlText w:val=""/>
      <w:lvlJc w:val="left"/>
      <w:pPr>
        <w:ind w:left="2240" w:hanging="420"/>
      </w:pPr>
      <w:rPr>
        <w:rFonts w:hint="default" w:ascii="Wingdings" w:hAnsi="Wingdings"/>
      </w:rPr>
    </w:lvl>
    <w:lvl w:ilvl="4" w:tentative="0">
      <w:start w:val="1"/>
      <w:numFmt w:val="bullet"/>
      <w:lvlText w:val=""/>
      <w:lvlJc w:val="left"/>
      <w:pPr>
        <w:ind w:left="2660" w:hanging="420"/>
      </w:pPr>
      <w:rPr>
        <w:rFonts w:hint="default" w:ascii="Wingdings" w:hAnsi="Wingdings"/>
      </w:rPr>
    </w:lvl>
    <w:lvl w:ilvl="5" w:tentative="0">
      <w:start w:val="1"/>
      <w:numFmt w:val="bullet"/>
      <w:lvlText w:val=""/>
      <w:lvlJc w:val="left"/>
      <w:pPr>
        <w:ind w:left="3080" w:hanging="420"/>
      </w:pPr>
      <w:rPr>
        <w:rFonts w:hint="default" w:ascii="Wingdings" w:hAnsi="Wingdings"/>
      </w:rPr>
    </w:lvl>
    <w:lvl w:ilvl="6" w:tentative="0">
      <w:start w:val="1"/>
      <w:numFmt w:val="bullet"/>
      <w:lvlText w:val=""/>
      <w:lvlJc w:val="left"/>
      <w:pPr>
        <w:ind w:left="3500" w:hanging="420"/>
      </w:pPr>
      <w:rPr>
        <w:rFonts w:hint="default" w:ascii="Wingdings" w:hAnsi="Wingdings"/>
      </w:rPr>
    </w:lvl>
    <w:lvl w:ilvl="7" w:tentative="0">
      <w:start w:val="1"/>
      <w:numFmt w:val="bullet"/>
      <w:lvlText w:val=""/>
      <w:lvlJc w:val="left"/>
      <w:pPr>
        <w:ind w:left="3920" w:hanging="420"/>
      </w:pPr>
      <w:rPr>
        <w:rFonts w:hint="default" w:ascii="Wingdings" w:hAnsi="Wingdings"/>
      </w:rPr>
    </w:lvl>
    <w:lvl w:ilvl="8" w:tentative="0">
      <w:start w:val="1"/>
      <w:numFmt w:val="bullet"/>
      <w:lvlText w:val=""/>
      <w:lvlJc w:val="left"/>
      <w:pPr>
        <w:ind w:left="4340" w:hanging="420"/>
      </w:pPr>
      <w:rPr>
        <w:rFonts w:hint="default" w:ascii="Wingdings" w:hAnsi="Wingdings"/>
      </w:rPr>
    </w:lvl>
  </w:abstractNum>
  <w:abstractNum w:abstractNumId="2">
    <w:nsid w:val="7FFD52F6"/>
    <w:multiLevelType w:val="multilevel"/>
    <w:tmpl w:val="7FFD52F6"/>
    <w:lvl w:ilvl="0" w:tentative="0">
      <w:start w:val="1"/>
      <w:numFmt w:val="bullet"/>
      <w:suff w:val="nothing"/>
      <w:lvlText w:val=""/>
      <w:lvlJc w:val="left"/>
      <w:pPr>
        <w:ind w:left="0" w:firstLine="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HorizontalSpacing w:val="140"/>
  <w:drawingGridVerticalSpacing w:val="381"/>
  <w:displayHorizontalDrawingGridEvery w:val="2"/>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hiMjdiYTkzYzYyYjEzZGJiYmY5MGU4NTIwYjI4MzMifQ=="/>
  </w:docVars>
  <w:rsids>
    <w:rsidRoot w:val="00177C31"/>
    <w:rsid w:val="00005DC0"/>
    <w:rsid w:val="000170F4"/>
    <w:rsid w:val="00025DF9"/>
    <w:rsid w:val="000270D2"/>
    <w:rsid w:val="00040630"/>
    <w:rsid w:val="000503E3"/>
    <w:rsid w:val="00054F50"/>
    <w:rsid w:val="000564E6"/>
    <w:rsid w:val="00057935"/>
    <w:rsid w:val="0006265D"/>
    <w:rsid w:val="0006387A"/>
    <w:rsid w:val="00065EE0"/>
    <w:rsid w:val="0007021A"/>
    <w:rsid w:val="00071079"/>
    <w:rsid w:val="000727FA"/>
    <w:rsid w:val="00072D4B"/>
    <w:rsid w:val="0007489F"/>
    <w:rsid w:val="00092E5B"/>
    <w:rsid w:val="00093F81"/>
    <w:rsid w:val="00095822"/>
    <w:rsid w:val="000A029A"/>
    <w:rsid w:val="000A3623"/>
    <w:rsid w:val="000A7728"/>
    <w:rsid w:val="000A7981"/>
    <w:rsid w:val="000B2855"/>
    <w:rsid w:val="000B6AF3"/>
    <w:rsid w:val="000B71CB"/>
    <w:rsid w:val="000B7C43"/>
    <w:rsid w:val="000D0B54"/>
    <w:rsid w:val="000D6277"/>
    <w:rsid w:val="000D7413"/>
    <w:rsid w:val="000E3EB4"/>
    <w:rsid w:val="000E5CF7"/>
    <w:rsid w:val="000E6AB0"/>
    <w:rsid w:val="000E70A6"/>
    <w:rsid w:val="000E7A00"/>
    <w:rsid w:val="000F4490"/>
    <w:rsid w:val="000F64BA"/>
    <w:rsid w:val="001001DB"/>
    <w:rsid w:val="00105D6F"/>
    <w:rsid w:val="00112EE6"/>
    <w:rsid w:val="00113C82"/>
    <w:rsid w:val="00115DC8"/>
    <w:rsid w:val="00116D16"/>
    <w:rsid w:val="00117900"/>
    <w:rsid w:val="00123183"/>
    <w:rsid w:val="00124029"/>
    <w:rsid w:val="00130EDE"/>
    <w:rsid w:val="0013183C"/>
    <w:rsid w:val="00135EF8"/>
    <w:rsid w:val="00147707"/>
    <w:rsid w:val="0015053B"/>
    <w:rsid w:val="00154BD1"/>
    <w:rsid w:val="00155372"/>
    <w:rsid w:val="00167240"/>
    <w:rsid w:val="00167617"/>
    <w:rsid w:val="00173E75"/>
    <w:rsid w:val="00174EED"/>
    <w:rsid w:val="0017526C"/>
    <w:rsid w:val="00177C31"/>
    <w:rsid w:val="00182FC4"/>
    <w:rsid w:val="00183ABD"/>
    <w:rsid w:val="00183B98"/>
    <w:rsid w:val="001915E1"/>
    <w:rsid w:val="001A181D"/>
    <w:rsid w:val="001A439F"/>
    <w:rsid w:val="001A67ED"/>
    <w:rsid w:val="001B16D1"/>
    <w:rsid w:val="001B1BFD"/>
    <w:rsid w:val="001B2EC6"/>
    <w:rsid w:val="001B4969"/>
    <w:rsid w:val="001B600E"/>
    <w:rsid w:val="001B707F"/>
    <w:rsid w:val="001C2648"/>
    <w:rsid w:val="001C38C5"/>
    <w:rsid w:val="001C4BCA"/>
    <w:rsid w:val="001D0CCB"/>
    <w:rsid w:val="001D5C0E"/>
    <w:rsid w:val="001D6613"/>
    <w:rsid w:val="001E115A"/>
    <w:rsid w:val="001E43BD"/>
    <w:rsid w:val="001E7AE7"/>
    <w:rsid w:val="001F56C5"/>
    <w:rsid w:val="002031B3"/>
    <w:rsid w:val="00203678"/>
    <w:rsid w:val="00203ADD"/>
    <w:rsid w:val="00205E3F"/>
    <w:rsid w:val="002100C7"/>
    <w:rsid w:val="002133E4"/>
    <w:rsid w:val="00220725"/>
    <w:rsid w:val="002225EF"/>
    <w:rsid w:val="00227E46"/>
    <w:rsid w:val="0023417B"/>
    <w:rsid w:val="002345FE"/>
    <w:rsid w:val="0023743D"/>
    <w:rsid w:val="00240A79"/>
    <w:rsid w:val="00241B13"/>
    <w:rsid w:val="00245065"/>
    <w:rsid w:val="002541A5"/>
    <w:rsid w:val="00254A5A"/>
    <w:rsid w:val="00256A59"/>
    <w:rsid w:val="00256E14"/>
    <w:rsid w:val="00261AE0"/>
    <w:rsid w:val="00263FFE"/>
    <w:rsid w:val="00264002"/>
    <w:rsid w:val="0027258D"/>
    <w:rsid w:val="0028345B"/>
    <w:rsid w:val="00283D9A"/>
    <w:rsid w:val="00290C65"/>
    <w:rsid w:val="00291512"/>
    <w:rsid w:val="00292CA7"/>
    <w:rsid w:val="002932F9"/>
    <w:rsid w:val="00294589"/>
    <w:rsid w:val="002A207E"/>
    <w:rsid w:val="002A48FA"/>
    <w:rsid w:val="002A79B4"/>
    <w:rsid w:val="002A7A47"/>
    <w:rsid w:val="002B0AA8"/>
    <w:rsid w:val="002B2857"/>
    <w:rsid w:val="002B3704"/>
    <w:rsid w:val="002B5742"/>
    <w:rsid w:val="002B73B0"/>
    <w:rsid w:val="002C50A9"/>
    <w:rsid w:val="002C6ACA"/>
    <w:rsid w:val="002C78C3"/>
    <w:rsid w:val="002D56DB"/>
    <w:rsid w:val="002D6DDC"/>
    <w:rsid w:val="002D7205"/>
    <w:rsid w:val="002E6BA2"/>
    <w:rsid w:val="002F1EB2"/>
    <w:rsid w:val="002F2B18"/>
    <w:rsid w:val="002F365C"/>
    <w:rsid w:val="00301D0A"/>
    <w:rsid w:val="00301E85"/>
    <w:rsid w:val="0030259B"/>
    <w:rsid w:val="003045C0"/>
    <w:rsid w:val="00311BDE"/>
    <w:rsid w:val="00314972"/>
    <w:rsid w:val="003211F2"/>
    <w:rsid w:val="00321EAA"/>
    <w:rsid w:val="00324336"/>
    <w:rsid w:val="00327B24"/>
    <w:rsid w:val="0033229A"/>
    <w:rsid w:val="003347D5"/>
    <w:rsid w:val="00336773"/>
    <w:rsid w:val="00337324"/>
    <w:rsid w:val="00341061"/>
    <w:rsid w:val="00342805"/>
    <w:rsid w:val="00344082"/>
    <w:rsid w:val="003460DE"/>
    <w:rsid w:val="00347341"/>
    <w:rsid w:val="00351D3A"/>
    <w:rsid w:val="0035310C"/>
    <w:rsid w:val="003546CD"/>
    <w:rsid w:val="0035516C"/>
    <w:rsid w:val="00362C55"/>
    <w:rsid w:val="00363161"/>
    <w:rsid w:val="00364CB4"/>
    <w:rsid w:val="00365488"/>
    <w:rsid w:val="00371ECC"/>
    <w:rsid w:val="00374084"/>
    <w:rsid w:val="00374EF3"/>
    <w:rsid w:val="003753B2"/>
    <w:rsid w:val="0037699F"/>
    <w:rsid w:val="00385600"/>
    <w:rsid w:val="00385B5F"/>
    <w:rsid w:val="00385C01"/>
    <w:rsid w:val="003942CC"/>
    <w:rsid w:val="0039675D"/>
    <w:rsid w:val="003A2EC7"/>
    <w:rsid w:val="003A3F37"/>
    <w:rsid w:val="003A58A3"/>
    <w:rsid w:val="003A6EAA"/>
    <w:rsid w:val="003A70FF"/>
    <w:rsid w:val="003B0A5A"/>
    <w:rsid w:val="003B3B88"/>
    <w:rsid w:val="003B5A4A"/>
    <w:rsid w:val="003C4CE5"/>
    <w:rsid w:val="003C5303"/>
    <w:rsid w:val="003C549C"/>
    <w:rsid w:val="003C5EA5"/>
    <w:rsid w:val="003D07C1"/>
    <w:rsid w:val="003D388D"/>
    <w:rsid w:val="003D6140"/>
    <w:rsid w:val="003D642F"/>
    <w:rsid w:val="003D7D3A"/>
    <w:rsid w:val="003E0005"/>
    <w:rsid w:val="003E3B17"/>
    <w:rsid w:val="003E43E1"/>
    <w:rsid w:val="003E4FA9"/>
    <w:rsid w:val="003E5580"/>
    <w:rsid w:val="003E7B20"/>
    <w:rsid w:val="003F01EE"/>
    <w:rsid w:val="003F0D73"/>
    <w:rsid w:val="003F0FCF"/>
    <w:rsid w:val="003F4B6A"/>
    <w:rsid w:val="00400A7E"/>
    <w:rsid w:val="00400CA7"/>
    <w:rsid w:val="00401351"/>
    <w:rsid w:val="00406EC2"/>
    <w:rsid w:val="00407F8C"/>
    <w:rsid w:val="004120C7"/>
    <w:rsid w:val="00415E59"/>
    <w:rsid w:val="00421589"/>
    <w:rsid w:val="0042564A"/>
    <w:rsid w:val="00427A9F"/>
    <w:rsid w:val="00433148"/>
    <w:rsid w:val="004354D2"/>
    <w:rsid w:val="00440815"/>
    <w:rsid w:val="00442EFE"/>
    <w:rsid w:val="004503EE"/>
    <w:rsid w:val="00450BA6"/>
    <w:rsid w:val="00455163"/>
    <w:rsid w:val="0046012D"/>
    <w:rsid w:val="004615F9"/>
    <w:rsid w:val="00462560"/>
    <w:rsid w:val="00465967"/>
    <w:rsid w:val="00471210"/>
    <w:rsid w:val="00473ADD"/>
    <w:rsid w:val="00475E6F"/>
    <w:rsid w:val="004830BB"/>
    <w:rsid w:val="00485E18"/>
    <w:rsid w:val="00490427"/>
    <w:rsid w:val="00491D54"/>
    <w:rsid w:val="00497971"/>
    <w:rsid w:val="004A04AE"/>
    <w:rsid w:val="004A4F94"/>
    <w:rsid w:val="004A6CE3"/>
    <w:rsid w:val="004B2057"/>
    <w:rsid w:val="004B4F15"/>
    <w:rsid w:val="004C2AAB"/>
    <w:rsid w:val="004C5176"/>
    <w:rsid w:val="004C7CB7"/>
    <w:rsid w:val="004D1C7C"/>
    <w:rsid w:val="004D5307"/>
    <w:rsid w:val="004D5577"/>
    <w:rsid w:val="004D5610"/>
    <w:rsid w:val="004D5AEA"/>
    <w:rsid w:val="004D7EA1"/>
    <w:rsid w:val="004E5896"/>
    <w:rsid w:val="004E58B1"/>
    <w:rsid w:val="004E6E03"/>
    <w:rsid w:val="004F1CE7"/>
    <w:rsid w:val="004F62EA"/>
    <w:rsid w:val="00500FE4"/>
    <w:rsid w:val="005024BA"/>
    <w:rsid w:val="00503A83"/>
    <w:rsid w:val="00503C78"/>
    <w:rsid w:val="00506C8E"/>
    <w:rsid w:val="005075BC"/>
    <w:rsid w:val="00512114"/>
    <w:rsid w:val="00517F81"/>
    <w:rsid w:val="005202EF"/>
    <w:rsid w:val="00524AF1"/>
    <w:rsid w:val="0052513E"/>
    <w:rsid w:val="00527389"/>
    <w:rsid w:val="005276A3"/>
    <w:rsid w:val="005372D0"/>
    <w:rsid w:val="00540A56"/>
    <w:rsid w:val="0054137E"/>
    <w:rsid w:val="00550F71"/>
    <w:rsid w:val="00552105"/>
    <w:rsid w:val="00560406"/>
    <w:rsid w:val="0056505C"/>
    <w:rsid w:val="0056687D"/>
    <w:rsid w:val="00570536"/>
    <w:rsid w:val="00570F31"/>
    <w:rsid w:val="00575835"/>
    <w:rsid w:val="00583E84"/>
    <w:rsid w:val="0058561B"/>
    <w:rsid w:val="005901F2"/>
    <w:rsid w:val="00596EDB"/>
    <w:rsid w:val="00597BCA"/>
    <w:rsid w:val="005A4D05"/>
    <w:rsid w:val="005A6E52"/>
    <w:rsid w:val="005B1FF7"/>
    <w:rsid w:val="005C0772"/>
    <w:rsid w:val="005C3157"/>
    <w:rsid w:val="005C5ADF"/>
    <w:rsid w:val="005D1202"/>
    <w:rsid w:val="005E2BBA"/>
    <w:rsid w:val="005E33CD"/>
    <w:rsid w:val="005E6E1D"/>
    <w:rsid w:val="005F2C4D"/>
    <w:rsid w:val="005F4357"/>
    <w:rsid w:val="005F6A59"/>
    <w:rsid w:val="005F7C6F"/>
    <w:rsid w:val="00600AB2"/>
    <w:rsid w:val="00602A24"/>
    <w:rsid w:val="00610913"/>
    <w:rsid w:val="00613D13"/>
    <w:rsid w:val="00614AC7"/>
    <w:rsid w:val="00620343"/>
    <w:rsid w:val="0062324F"/>
    <w:rsid w:val="0062403A"/>
    <w:rsid w:val="006247CA"/>
    <w:rsid w:val="00633B1C"/>
    <w:rsid w:val="00641A1D"/>
    <w:rsid w:val="00643986"/>
    <w:rsid w:val="00650024"/>
    <w:rsid w:val="006503E0"/>
    <w:rsid w:val="00660E5B"/>
    <w:rsid w:val="006627D7"/>
    <w:rsid w:val="00666AC2"/>
    <w:rsid w:val="00666F8E"/>
    <w:rsid w:val="00671C9B"/>
    <w:rsid w:val="006735B6"/>
    <w:rsid w:val="00681DD4"/>
    <w:rsid w:val="00686984"/>
    <w:rsid w:val="00687003"/>
    <w:rsid w:val="006876F6"/>
    <w:rsid w:val="006906FD"/>
    <w:rsid w:val="0069627B"/>
    <w:rsid w:val="00696318"/>
    <w:rsid w:val="006A0E00"/>
    <w:rsid w:val="006A5996"/>
    <w:rsid w:val="006A7E60"/>
    <w:rsid w:val="006B1B30"/>
    <w:rsid w:val="006B5797"/>
    <w:rsid w:val="006C0123"/>
    <w:rsid w:val="006C4723"/>
    <w:rsid w:val="006C5DF4"/>
    <w:rsid w:val="006C629C"/>
    <w:rsid w:val="006D3F29"/>
    <w:rsid w:val="006D3FF6"/>
    <w:rsid w:val="006D584E"/>
    <w:rsid w:val="006D65EC"/>
    <w:rsid w:val="006E1D1D"/>
    <w:rsid w:val="006E28CC"/>
    <w:rsid w:val="006E5395"/>
    <w:rsid w:val="006E6674"/>
    <w:rsid w:val="006F1A5B"/>
    <w:rsid w:val="006F3E28"/>
    <w:rsid w:val="006F56F0"/>
    <w:rsid w:val="006F58DE"/>
    <w:rsid w:val="0070073E"/>
    <w:rsid w:val="007036CE"/>
    <w:rsid w:val="00706978"/>
    <w:rsid w:val="00714C58"/>
    <w:rsid w:val="0071563C"/>
    <w:rsid w:val="007265D0"/>
    <w:rsid w:val="00727A9D"/>
    <w:rsid w:val="0073125C"/>
    <w:rsid w:val="00731CCD"/>
    <w:rsid w:val="007322BF"/>
    <w:rsid w:val="007365D1"/>
    <w:rsid w:val="0074002D"/>
    <w:rsid w:val="00747050"/>
    <w:rsid w:val="007654CA"/>
    <w:rsid w:val="007676D1"/>
    <w:rsid w:val="00767D99"/>
    <w:rsid w:val="00776F3B"/>
    <w:rsid w:val="0078048B"/>
    <w:rsid w:val="0079150C"/>
    <w:rsid w:val="00794246"/>
    <w:rsid w:val="007A1CD5"/>
    <w:rsid w:val="007A302D"/>
    <w:rsid w:val="007B0EB3"/>
    <w:rsid w:val="007B4E91"/>
    <w:rsid w:val="007B72F5"/>
    <w:rsid w:val="007C2116"/>
    <w:rsid w:val="007C2B56"/>
    <w:rsid w:val="007C3C5D"/>
    <w:rsid w:val="007C5B52"/>
    <w:rsid w:val="007C62B5"/>
    <w:rsid w:val="007D6C3B"/>
    <w:rsid w:val="007D730B"/>
    <w:rsid w:val="007E0324"/>
    <w:rsid w:val="007E4691"/>
    <w:rsid w:val="007E5397"/>
    <w:rsid w:val="007F598D"/>
    <w:rsid w:val="007F7E2A"/>
    <w:rsid w:val="008009BD"/>
    <w:rsid w:val="008062D5"/>
    <w:rsid w:val="008076D9"/>
    <w:rsid w:val="0081074A"/>
    <w:rsid w:val="008145C8"/>
    <w:rsid w:val="00814865"/>
    <w:rsid w:val="0081519F"/>
    <w:rsid w:val="00820E44"/>
    <w:rsid w:val="00822A96"/>
    <w:rsid w:val="00825E6B"/>
    <w:rsid w:val="008271AA"/>
    <w:rsid w:val="00827C0E"/>
    <w:rsid w:val="00832DA7"/>
    <w:rsid w:val="00832EF8"/>
    <w:rsid w:val="00833BD5"/>
    <w:rsid w:val="008340D6"/>
    <w:rsid w:val="008424CF"/>
    <w:rsid w:val="008438FE"/>
    <w:rsid w:val="008464E5"/>
    <w:rsid w:val="008546CD"/>
    <w:rsid w:val="008567D3"/>
    <w:rsid w:val="00856B56"/>
    <w:rsid w:val="00860A5E"/>
    <w:rsid w:val="0087487A"/>
    <w:rsid w:val="0087612D"/>
    <w:rsid w:val="00876A57"/>
    <w:rsid w:val="00881C32"/>
    <w:rsid w:val="00884E1B"/>
    <w:rsid w:val="00884EC8"/>
    <w:rsid w:val="00887CD2"/>
    <w:rsid w:val="0089030D"/>
    <w:rsid w:val="00897BD1"/>
    <w:rsid w:val="008A5087"/>
    <w:rsid w:val="008A54E2"/>
    <w:rsid w:val="008A5982"/>
    <w:rsid w:val="008B0F32"/>
    <w:rsid w:val="008B6B44"/>
    <w:rsid w:val="008C2A6E"/>
    <w:rsid w:val="008C496F"/>
    <w:rsid w:val="008C6A84"/>
    <w:rsid w:val="008C7F50"/>
    <w:rsid w:val="008D3832"/>
    <w:rsid w:val="008D7A69"/>
    <w:rsid w:val="008E4490"/>
    <w:rsid w:val="008E6FBB"/>
    <w:rsid w:val="008E7515"/>
    <w:rsid w:val="008F0873"/>
    <w:rsid w:val="00900624"/>
    <w:rsid w:val="009026A0"/>
    <w:rsid w:val="009027E3"/>
    <w:rsid w:val="00905CB9"/>
    <w:rsid w:val="00905F3E"/>
    <w:rsid w:val="0090698E"/>
    <w:rsid w:val="00906C42"/>
    <w:rsid w:val="00907960"/>
    <w:rsid w:val="00915185"/>
    <w:rsid w:val="0091642E"/>
    <w:rsid w:val="0092365C"/>
    <w:rsid w:val="00931994"/>
    <w:rsid w:val="00932DF6"/>
    <w:rsid w:val="00934FFE"/>
    <w:rsid w:val="00937E4D"/>
    <w:rsid w:val="009520BC"/>
    <w:rsid w:val="009547AF"/>
    <w:rsid w:val="00960183"/>
    <w:rsid w:val="0096511C"/>
    <w:rsid w:val="009651AD"/>
    <w:rsid w:val="00970539"/>
    <w:rsid w:val="00974AEC"/>
    <w:rsid w:val="0097537D"/>
    <w:rsid w:val="00980EDE"/>
    <w:rsid w:val="009903D5"/>
    <w:rsid w:val="00995EA1"/>
    <w:rsid w:val="00996909"/>
    <w:rsid w:val="009A393B"/>
    <w:rsid w:val="009A58BA"/>
    <w:rsid w:val="009B12D5"/>
    <w:rsid w:val="009B38F4"/>
    <w:rsid w:val="009C138B"/>
    <w:rsid w:val="009C13C0"/>
    <w:rsid w:val="009C1E21"/>
    <w:rsid w:val="009C228C"/>
    <w:rsid w:val="009C2C91"/>
    <w:rsid w:val="009C341B"/>
    <w:rsid w:val="009C3526"/>
    <w:rsid w:val="009D301E"/>
    <w:rsid w:val="009D65D3"/>
    <w:rsid w:val="009E2E40"/>
    <w:rsid w:val="009E3E3F"/>
    <w:rsid w:val="009E42FB"/>
    <w:rsid w:val="009F3E3C"/>
    <w:rsid w:val="009F484F"/>
    <w:rsid w:val="009F4A36"/>
    <w:rsid w:val="00A01CD1"/>
    <w:rsid w:val="00A04666"/>
    <w:rsid w:val="00A0738D"/>
    <w:rsid w:val="00A17BC8"/>
    <w:rsid w:val="00A219A1"/>
    <w:rsid w:val="00A22237"/>
    <w:rsid w:val="00A22E03"/>
    <w:rsid w:val="00A254FE"/>
    <w:rsid w:val="00A33A6C"/>
    <w:rsid w:val="00A34C92"/>
    <w:rsid w:val="00A3727F"/>
    <w:rsid w:val="00A41C11"/>
    <w:rsid w:val="00A439E6"/>
    <w:rsid w:val="00A468DB"/>
    <w:rsid w:val="00A50CE9"/>
    <w:rsid w:val="00A66ACA"/>
    <w:rsid w:val="00A6783C"/>
    <w:rsid w:val="00A70948"/>
    <w:rsid w:val="00A747CF"/>
    <w:rsid w:val="00A75270"/>
    <w:rsid w:val="00A773A2"/>
    <w:rsid w:val="00A951B6"/>
    <w:rsid w:val="00A96897"/>
    <w:rsid w:val="00AA03B2"/>
    <w:rsid w:val="00AA07BE"/>
    <w:rsid w:val="00AA254E"/>
    <w:rsid w:val="00AB08B4"/>
    <w:rsid w:val="00AB2C06"/>
    <w:rsid w:val="00AC0D50"/>
    <w:rsid w:val="00AC0D52"/>
    <w:rsid w:val="00AD0AA3"/>
    <w:rsid w:val="00AD187E"/>
    <w:rsid w:val="00AD6C63"/>
    <w:rsid w:val="00AE48A1"/>
    <w:rsid w:val="00AE5DEA"/>
    <w:rsid w:val="00AE6E2F"/>
    <w:rsid w:val="00AF16FC"/>
    <w:rsid w:val="00AF1DE6"/>
    <w:rsid w:val="00AF5755"/>
    <w:rsid w:val="00B0016B"/>
    <w:rsid w:val="00B02229"/>
    <w:rsid w:val="00B04895"/>
    <w:rsid w:val="00B06CC5"/>
    <w:rsid w:val="00B17525"/>
    <w:rsid w:val="00B20CAB"/>
    <w:rsid w:val="00B23FFC"/>
    <w:rsid w:val="00B24521"/>
    <w:rsid w:val="00B30E0B"/>
    <w:rsid w:val="00B30EC9"/>
    <w:rsid w:val="00B3279E"/>
    <w:rsid w:val="00B3445B"/>
    <w:rsid w:val="00B356D1"/>
    <w:rsid w:val="00B36653"/>
    <w:rsid w:val="00B432B3"/>
    <w:rsid w:val="00B45CF0"/>
    <w:rsid w:val="00B47570"/>
    <w:rsid w:val="00B52C92"/>
    <w:rsid w:val="00B53C7D"/>
    <w:rsid w:val="00B54B99"/>
    <w:rsid w:val="00B659DA"/>
    <w:rsid w:val="00B6708A"/>
    <w:rsid w:val="00B74D65"/>
    <w:rsid w:val="00B91B66"/>
    <w:rsid w:val="00B96839"/>
    <w:rsid w:val="00BA3999"/>
    <w:rsid w:val="00BB53D2"/>
    <w:rsid w:val="00BB7332"/>
    <w:rsid w:val="00BC28C8"/>
    <w:rsid w:val="00BD382A"/>
    <w:rsid w:val="00BD4978"/>
    <w:rsid w:val="00BE0DA4"/>
    <w:rsid w:val="00BE38F0"/>
    <w:rsid w:val="00BF4966"/>
    <w:rsid w:val="00C00027"/>
    <w:rsid w:val="00C006A9"/>
    <w:rsid w:val="00C04D16"/>
    <w:rsid w:val="00C06E28"/>
    <w:rsid w:val="00C0724D"/>
    <w:rsid w:val="00C10A65"/>
    <w:rsid w:val="00C30E41"/>
    <w:rsid w:val="00C34FA7"/>
    <w:rsid w:val="00C41868"/>
    <w:rsid w:val="00C4767C"/>
    <w:rsid w:val="00C536D5"/>
    <w:rsid w:val="00C561D2"/>
    <w:rsid w:val="00C56F85"/>
    <w:rsid w:val="00C57D3C"/>
    <w:rsid w:val="00C66454"/>
    <w:rsid w:val="00C6789C"/>
    <w:rsid w:val="00C71C58"/>
    <w:rsid w:val="00C72428"/>
    <w:rsid w:val="00C74E3B"/>
    <w:rsid w:val="00C7634C"/>
    <w:rsid w:val="00C76F80"/>
    <w:rsid w:val="00C80890"/>
    <w:rsid w:val="00C828AC"/>
    <w:rsid w:val="00C851D8"/>
    <w:rsid w:val="00C87C41"/>
    <w:rsid w:val="00C90811"/>
    <w:rsid w:val="00C978AA"/>
    <w:rsid w:val="00CA149B"/>
    <w:rsid w:val="00CA5A54"/>
    <w:rsid w:val="00CB1CBE"/>
    <w:rsid w:val="00CC2B48"/>
    <w:rsid w:val="00CD002B"/>
    <w:rsid w:val="00CD1047"/>
    <w:rsid w:val="00CD1FFB"/>
    <w:rsid w:val="00CD22AB"/>
    <w:rsid w:val="00CD5D52"/>
    <w:rsid w:val="00CE3437"/>
    <w:rsid w:val="00CE75A1"/>
    <w:rsid w:val="00CF20CE"/>
    <w:rsid w:val="00D0199F"/>
    <w:rsid w:val="00D04162"/>
    <w:rsid w:val="00D0720E"/>
    <w:rsid w:val="00D13137"/>
    <w:rsid w:val="00D17E60"/>
    <w:rsid w:val="00D21A7F"/>
    <w:rsid w:val="00D224F1"/>
    <w:rsid w:val="00D25EDC"/>
    <w:rsid w:val="00D26917"/>
    <w:rsid w:val="00D26E16"/>
    <w:rsid w:val="00D3006F"/>
    <w:rsid w:val="00D33290"/>
    <w:rsid w:val="00D40DF5"/>
    <w:rsid w:val="00D51E02"/>
    <w:rsid w:val="00D63B64"/>
    <w:rsid w:val="00D63BC9"/>
    <w:rsid w:val="00D6427A"/>
    <w:rsid w:val="00D7003B"/>
    <w:rsid w:val="00D7707E"/>
    <w:rsid w:val="00D77D24"/>
    <w:rsid w:val="00D80A27"/>
    <w:rsid w:val="00D81ADF"/>
    <w:rsid w:val="00D8328D"/>
    <w:rsid w:val="00D930A3"/>
    <w:rsid w:val="00D95430"/>
    <w:rsid w:val="00D976F0"/>
    <w:rsid w:val="00DA0447"/>
    <w:rsid w:val="00DA78B2"/>
    <w:rsid w:val="00DB0FE9"/>
    <w:rsid w:val="00DB12A6"/>
    <w:rsid w:val="00DB1CDA"/>
    <w:rsid w:val="00DB2D95"/>
    <w:rsid w:val="00DB3004"/>
    <w:rsid w:val="00DB4C28"/>
    <w:rsid w:val="00DB6607"/>
    <w:rsid w:val="00DC0F90"/>
    <w:rsid w:val="00DC5220"/>
    <w:rsid w:val="00DC77CC"/>
    <w:rsid w:val="00DC7F84"/>
    <w:rsid w:val="00DD5B9F"/>
    <w:rsid w:val="00DE0039"/>
    <w:rsid w:val="00E0689E"/>
    <w:rsid w:val="00E06C0D"/>
    <w:rsid w:val="00E079A8"/>
    <w:rsid w:val="00E11588"/>
    <w:rsid w:val="00E2128C"/>
    <w:rsid w:val="00E24633"/>
    <w:rsid w:val="00E25AB8"/>
    <w:rsid w:val="00E26F74"/>
    <w:rsid w:val="00E27151"/>
    <w:rsid w:val="00E30849"/>
    <w:rsid w:val="00E31A47"/>
    <w:rsid w:val="00E36B63"/>
    <w:rsid w:val="00E37A68"/>
    <w:rsid w:val="00E403C6"/>
    <w:rsid w:val="00E410D5"/>
    <w:rsid w:val="00E413E5"/>
    <w:rsid w:val="00E41C22"/>
    <w:rsid w:val="00E42C5F"/>
    <w:rsid w:val="00E51038"/>
    <w:rsid w:val="00E51250"/>
    <w:rsid w:val="00E54062"/>
    <w:rsid w:val="00E65345"/>
    <w:rsid w:val="00E67984"/>
    <w:rsid w:val="00E713BE"/>
    <w:rsid w:val="00E714C6"/>
    <w:rsid w:val="00E73F12"/>
    <w:rsid w:val="00E76E46"/>
    <w:rsid w:val="00E77709"/>
    <w:rsid w:val="00E8490C"/>
    <w:rsid w:val="00E85829"/>
    <w:rsid w:val="00E87A08"/>
    <w:rsid w:val="00E95E99"/>
    <w:rsid w:val="00E97E9A"/>
    <w:rsid w:val="00E97F8C"/>
    <w:rsid w:val="00EA04AA"/>
    <w:rsid w:val="00EB4E0D"/>
    <w:rsid w:val="00EB6102"/>
    <w:rsid w:val="00EB6A83"/>
    <w:rsid w:val="00EB7E9F"/>
    <w:rsid w:val="00EC011D"/>
    <w:rsid w:val="00EC1EA9"/>
    <w:rsid w:val="00EC4571"/>
    <w:rsid w:val="00EC582B"/>
    <w:rsid w:val="00ED0268"/>
    <w:rsid w:val="00ED076A"/>
    <w:rsid w:val="00ED1FC3"/>
    <w:rsid w:val="00ED2115"/>
    <w:rsid w:val="00ED23AD"/>
    <w:rsid w:val="00ED6EDF"/>
    <w:rsid w:val="00EE20FC"/>
    <w:rsid w:val="00EE3509"/>
    <w:rsid w:val="00EF241F"/>
    <w:rsid w:val="00EF24EF"/>
    <w:rsid w:val="00EF3D4A"/>
    <w:rsid w:val="00F04946"/>
    <w:rsid w:val="00F0500B"/>
    <w:rsid w:val="00F1434A"/>
    <w:rsid w:val="00F1507D"/>
    <w:rsid w:val="00F16A81"/>
    <w:rsid w:val="00F16FAF"/>
    <w:rsid w:val="00F21625"/>
    <w:rsid w:val="00F3704F"/>
    <w:rsid w:val="00F406EB"/>
    <w:rsid w:val="00F4409D"/>
    <w:rsid w:val="00F44586"/>
    <w:rsid w:val="00F45413"/>
    <w:rsid w:val="00F52391"/>
    <w:rsid w:val="00F54D23"/>
    <w:rsid w:val="00F55413"/>
    <w:rsid w:val="00F57049"/>
    <w:rsid w:val="00F621D9"/>
    <w:rsid w:val="00F630BE"/>
    <w:rsid w:val="00F63613"/>
    <w:rsid w:val="00F658B8"/>
    <w:rsid w:val="00F67398"/>
    <w:rsid w:val="00F707A6"/>
    <w:rsid w:val="00F77451"/>
    <w:rsid w:val="00F84238"/>
    <w:rsid w:val="00F84C5A"/>
    <w:rsid w:val="00F85937"/>
    <w:rsid w:val="00F91EF2"/>
    <w:rsid w:val="00F921EC"/>
    <w:rsid w:val="00F95AF3"/>
    <w:rsid w:val="00F972AE"/>
    <w:rsid w:val="00FA2BE2"/>
    <w:rsid w:val="00FA34B6"/>
    <w:rsid w:val="00FB14AE"/>
    <w:rsid w:val="00FB15E8"/>
    <w:rsid w:val="00FB3295"/>
    <w:rsid w:val="00FC0424"/>
    <w:rsid w:val="00FC0A23"/>
    <w:rsid w:val="00FC0ABC"/>
    <w:rsid w:val="00FC4EDF"/>
    <w:rsid w:val="00FD0753"/>
    <w:rsid w:val="00FD08F5"/>
    <w:rsid w:val="00FD19B3"/>
    <w:rsid w:val="00FD79B2"/>
    <w:rsid w:val="00FF3967"/>
    <w:rsid w:val="00FF588B"/>
    <w:rsid w:val="11A3787A"/>
    <w:rsid w:val="3B5E9A8F"/>
    <w:rsid w:val="5FF33384"/>
    <w:rsid w:val="75FD8FAC"/>
    <w:rsid w:val="79D5A0F5"/>
    <w:rsid w:val="7F6F62A1"/>
    <w:rsid w:val="7F7F0923"/>
    <w:rsid w:val="DFAFEB3F"/>
    <w:rsid w:val="EF9B2A7E"/>
    <w:rsid w:val="F7D4A37F"/>
    <w:rsid w:val="FCFF38FA"/>
    <w:rsid w:val="FDFCA2BB"/>
    <w:rsid w:val="FEB56292"/>
    <w:rsid w:val="FEEF3C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9" w:semiHidden="0" w:name="heading 6"/>
    <w:lsdException w:qFormat="1" w:uiPriority="9" w:semiHidden="0"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iPriority="99" w:semiHidden="0" w:name="annotation text"/>
    <w:lsdException w:qFormat="1" w:unhideWhenUsed="0" w:uiPriority="0" w:semiHidden="0" w:name="header"/>
    <w:lsdException w:qFormat="1" w:unhideWhenUsed="0" w:uiPriority="99" w:semiHidden="0" w:name="footer"/>
    <w:lsdException w:uiPriority="99" w:name="index heading"/>
    <w:lsdException w:qFormat="1" w:uiPriority="35" w:semiHidden="0" w:name="caption"/>
    <w:lsdException w:uiPriority="99" w:name="table of figures"/>
    <w:lsdException w:uiPriority="99" w:name="envelope address"/>
    <w:lsdException w:uiPriority="99" w:name="envelope return"/>
    <w:lsdException w:qFormat="1"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200" w:firstLineChars="200"/>
      <w:jc w:val="both"/>
    </w:pPr>
    <w:rPr>
      <w:rFonts w:ascii="Times New Roman" w:hAnsi="Times New Roman" w:eastAsia="仿宋" w:cstheme="minorBidi"/>
      <w:kern w:val="2"/>
      <w:sz w:val="28"/>
      <w:szCs w:val="22"/>
      <w:lang w:val="en-US" w:eastAsia="zh-CN" w:bidi="ar-SA"/>
    </w:rPr>
  </w:style>
  <w:style w:type="paragraph" w:styleId="2">
    <w:name w:val="heading 1"/>
    <w:basedOn w:val="1"/>
    <w:next w:val="1"/>
    <w:link w:val="39"/>
    <w:qFormat/>
    <w:uiPriority w:val="9"/>
    <w:pPr>
      <w:keepNext/>
      <w:keepLines/>
      <w:spacing w:before="120" w:after="120"/>
      <w:ind w:firstLine="0" w:firstLineChars="0"/>
      <w:jc w:val="center"/>
      <w:outlineLvl w:val="0"/>
    </w:pPr>
    <w:rPr>
      <w:b/>
      <w:bCs/>
      <w:kern w:val="44"/>
      <w:sz w:val="36"/>
      <w:szCs w:val="44"/>
    </w:rPr>
  </w:style>
  <w:style w:type="paragraph" w:styleId="3">
    <w:name w:val="heading 2"/>
    <w:basedOn w:val="1"/>
    <w:next w:val="1"/>
    <w:link w:val="41"/>
    <w:unhideWhenUsed/>
    <w:qFormat/>
    <w:uiPriority w:val="9"/>
    <w:pPr>
      <w:keepNext/>
      <w:keepLines/>
      <w:spacing w:before="120" w:after="120"/>
      <w:ind w:firstLine="0" w:firstLineChars="0"/>
      <w:outlineLvl w:val="1"/>
    </w:pPr>
    <w:rPr>
      <w:rFonts w:cstheme="majorBidi"/>
      <w:b/>
      <w:bCs/>
      <w:sz w:val="32"/>
      <w:szCs w:val="32"/>
    </w:rPr>
  </w:style>
  <w:style w:type="paragraph" w:styleId="4">
    <w:name w:val="heading 3"/>
    <w:basedOn w:val="1"/>
    <w:next w:val="1"/>
    <w:link w:val="42"/>
    <w:unhideWhenUsed/>
    <w:qFormat/>
    <w:uiPriority w:val="9"/>
    <w:pPr>
      <w:keepNext/>
      <w:keepLines/>
      <w:spacing w:before="120" w:after="120"/>
      <w:outlineLvl w:val="2"/>
    </w:pPr>
    <w:rPr>
      <w:b/>
      <w:bCs/>
      <w:szCs w:val="32"/>
    </w:rPr>
  </w:style>
  <w:style w:type="paragraph" w:styleId="5">
    <w:name w:val="heading 4"/>
    <w:basedOn w:val="1"/>
    <w:next w:val="1"/>
    <w:link w:val="43"/>
    <w:unhideWhenUsed/>
    <w:qFormat/>
    <w:uiPriority w:val="9"/>
    <w:pPr>
      <w:keepNext/>
      <w:keepLines/>
      <w:outlineLvl w:val="3"/>
    </w:pPr>
    <w:rPr>
      <w:rFonts w:cstheme="majorBidi"/>
      <w:b/>
      <w:bCs/>
      <w:szCs w:val="28"/>
    </w:rPr>
  </w:style>
  <w:style w:type="paragraph" w:styleId="6">
    <w:name w:val="heading 5"/>
    <w:basedOn w:val="1"/>
    <w:next w:val="1"/>
    <w:link w:val="45"/>
    <w:unhideWhenUsed/>
    <w:qFormat/>
    <w:uiPriority w:val="9"/>
    <w:pPr>
      <w:keepNext/>
      <w:keepLines/>
      <w:outlineLvl w:val="4"/>
    </w:pPr>
    <w:rPr>
      <w:b/>
      <w:bCs/>
      <w:szCs w:val="28"/>
    </w:rPr>
  </w:style>
  <w:style w:type="paragraph" w:styleId="7">
    <w:name w:val="heading 6"/>
    <w:basedOn w:val="1"/>
    <w:next w:val="1"/>
    <w:link w:val="46"/>
    <w:unhideWhenUsed/>
    <w:qFormat/>
    <w:uiPriority w:val="9"/>
    <w:pPr>
      <w:keepNext/>
      <w:keepLines/>
      <w:spacing w:before="240" w:after="64" w:line="320" w:lineRule="auto"/>
      <w:outlineLvl w:val="5"/>
    </w:pPr>
    <w:rPr>
      <w:rFonts w:asciiTheme="majorHAnsi" w:hAnsiTheme="majorHAnsi" w:eastAsiaTheme="majorEastAsia" w:cstheme="majorBidi"/>
      <w:b/>
      <w:bCs/>
      <w:sz w:val="24"/>
      <w:szCs w:val="24"/>
    </w:rPr>
  </w:style>
  <w:style w:type="paragraph" w:styleId="8">
    <w:name w:val="heading 7"/>
    <w:basedOn w:val="1"/>
    <w:next w:val="1"/>
    <w:link w:val="40"/>
    <w:unhideWhenUsed/>
    <w:qFormat/>
    <w:uiPriority w:val="9"/>
    <w:pPr>
      <w:keepNext/>
      <w:keepLines/>
      <w:spacing w:before="240" w:after="64" w:line="320" w:lineRule="auto"/>
      <w:outlineLvl w:val="6"/>
    </w:pPr>
    <w:rPr>
      <w:b/>
      <w:bCs/>
      <w:sz w:val="24"/>
      <w:szCs w:val="24"/>
    </w:rPr>
  </w:style>
  <w:style w:type="character" w:default="1" w:styleId="32">
    <w:name w:val="Default Paragraph Font"/>
    <w:autoRedefine/>
    <w:semiHidden/>
    <w:unhideWhenUsed/>
    <w:qFormat/>
    <w:uiPriority w:val="1"/>
  </w:style>
  <w:style w:type="table" w:default="1" w:styleId="30">
    <w:name w:val="Normal Table"/>
    <w:autoRedefine/>
    <w:semiHidden/>
    <w:unhideWhenUsed/>
    <w:qFormat/>
    <w:uiPriority w:val="99"/>
    <w:tblPr>
      <w:tblCellMar>
        <w:top w:w="0" w:type="dxa"/>
        <w:left w:w="108" w:type="dxa"/>
        <w:bottom w:w="0" w:type="dxa"/>
        <w:right w:w="108" w:type="dxa"/>
      </w:tblCellMar>
    </w:tblPr>
  </w:style>
  <w:style w:type="paragraph" w:styleId="9">
    <w:name w:val="toc 7"/>
    <w:basedOn w:val="1"/>
    <w:next w:val="1"/>
    <w:unhideWhenUsed/>
    <w:qFormat/>
    <w:uiPriority w:val="39"/>
    <w:pPr>
      <w:spacing w:line="240" w:lineRule="auto"/>
      <w:ind w:left="2520" w:leftChars="1200" w:firstLine="0" w:firstLineChars="0"/>
    </w:pPr>
    <w:rPr>
      <w:rFonts w:asciiTheme="minorHAnsi" w:hAnsiTheme="minorHAnsi" w:eastAsiaTheme="minorEastAsia"/>
      <w:sz w:val="21"/>
    </w:rPr>
  </w:style>
  <w:style w:type="paragraph" w:styleId="10">
    <w:name w:val="Normal Indent"/>
    <w:basedOn w:val="1"/>
    <w:link w:val="65"/>
    <w:autoRedefine/>
    <w:qFormat/>
    <w:uiPriority w:val="0"/>
    <w:pPr>
      <w:ind w:firstLine="480"/>
    </w:pPr>
    <w:rPr>
      <w:rFonts w:ascii="宋体" w:hAnsi="宋体" w:eastAsia="宋体" w:cs="Times New Roman"/>
      <w:sz w:val="24"/>
      <w:szCs w:val="24"/>
    </w:rPr>
  </w:style>
  <w:style w:type="paragraph" w:styleId="11">
    <w:name w:val="caption"/>
    <w:basedOn w:val="1"/>
    <w:next w:val="1"/>
    <w:unhideWhenUsed/>
    <w:qFormat/>
    <w:uiPriority w:val="35"/>
    <w:rPr>
      <w:rFonts w:eastAsia="黑体" w:asciiTheme="majorHAnsi" w:hAnsiTheme="majorHAnsi" w:cstheme="majorBidi"/>
      <w:sz w:val="20"/>
      <w:szCs w:val="20"/>
    </w:rPr>
  </w:style>
  <w:style w:type="paragraph" w:styleId="12">
    <w:name w:val="annotation text"/>
    <w:basedOn w:val="1"/>
    <w:link w:val="54"/>
    <w:unhideWhenUsed/>
    <w:qFormat/>
    <w:uiPriority w:val="99"/>
    <w:pPr>
      <w:jc w:val="left"/>
    </w:pPr>
  </w:style>
  <w:style w:type="paragraph" w:styleId="13">
    <w:name w:val="Body Text"/>
    <w:basedOn w:val="1"/>
    <w:link w:val="67"/>
    <w:semiHidden/>
    <w:unhideWhenUsed/>
    <w:uiPriority w:val="99"/>
    <w:pPr>
      <w:spacing w:after="120"/>
    </w:pPr>
  </w:style>
  <w:style w:type="paragraph" w:styleId="14">
    <w:name w:val="toc 5"/>
    <w:basedOn w:val="1"/>
    <w:next w:val="1"/>
    <w:unhideWhenUsed/>
    <w:qFormat/>
    <w:uiPriority w:val="39"/>
    <w:pPr>
      <w:spacing w:line="240" w:lineRule="auto"/>
      <w:ind w:left="1680" w:leftChars="800" w:firstLine="0" w:firstLineChars="0"/>
    </w:pPr>
    <w:rPr>
      <w:rFonts w:asciiTheme="minorHAnsi" w:hAnsiTheme="minorHAnsi" w:eastAsiaTheme="minorEastAsia"/>
      <w:sz w:val="21"/>
    </w:rPr>
  </w:style>
  <w:style w:type="paragraph" w:styleId="15">
    <w:name w:val="toc 3"/>
    <w:basedOn w:val="1"/>
    <w:next w:val="1"/>
    <w:unhideWhenUsed/>
    <w:qFormat/>
    <w:uiPriority w:val="39"/>
    <w:pPr>
      <w:spacing w:line="240" w:lineRule="auto"/>
      <w:ind w:left="200" w:leftChars="200"/>
    </w:pPr>
  </w:style>
  <w:style w:type="paragraph" w:styleId="16">
    <w:name w:val="toc 8"/>
    <w:basedOn w:val="1"/>
    <w:next w:val="1"/>
    <w:unhideWhenUsed/>
    <w:qFormat/>
    <w:uiPriority w:val="39"/>
    <w:pPr>
      <w:spacing w:line="240" w:lineRule="auto"/>
      <w:ind w:left="2940" w:leftChars="1400" w:firstLine="0" w:firstLineChars="0"/>
    </w:pPr>
    <w:rPr>
      <w:rFonts w:asciiTheme="minorHAnsi" w:hAnsiTheme="minorHAnsi" w:eastAsiaTheme="minorEastAsia"/>
      <w:sz w:val="21"/>
    </w:rPr>
  </w:style>
  <w:style w:type="paragraph" w:styleId="17">
    <w:name w:val="endnote text"/>
    <w:basedOn w:val="1"/>
    <w:link w:val="62"/>
    <w:semiHidden/>
    <w:unhideWhenUsed/>
    <w:uiPriority w:val="99"/>
    <w:pPr>
      <w:snapToGrid w:val="0"/>
      <w:jc w:val="left"/>
    </w:pPr>
  </w:style>
  <w:style w:type="paragraph" w:styleId="18">
    <w:name w:val="Balloon Text"/>
    <w:basedOn w:val="1"/>
    <w:link w:val="64"/>
    <w:semiHidden/>
    <w:unhideWhenUsed/>
    <w:uiPriority w:val="99"/>
    <w:pPr>
      <w:spacing w:line="240" w:lineRule="auto"/>
    </w:pPr>
    <w:rPr>
      <w:sz w:val="18"/>
      <w:szCs w:val="18"/>
    </w:rPr>
  </w:style>
  <w:style w:type="paragraph" w:styleId="19">
    <w:name w:val="footer"/>
    <w:basedOn w:val="1"/>
    <w:link w:val="37"/>
    <w:qFormat/>
    <w:uiPriority w:val="99"/>
    <w:pPr>
      <w:tabs>
        <w:tab w:val="center" w:pos="4153"/>
        <w:tab w:val="right" w:pos="8306"/>
      </w:tabs>
      <w:snapToGrid w:val="0"/>
      <w:ind w:firstLine="560"/>
      <w:jc w:val="left"/>
    </w:pPr>
    <w:rPr>
      <w:rFonts w:cs="Times New Roman"/>
      <w:sz w:val="18"/>
      <w:szCs w:val="18"/>
    </w:rPr>
  </w:style>
  <w:style w:type="paragraph" w:styleId="20">
    <w:name w:val="header"/>
    <w:basedOn w:val="1"/>
    <w:link w:val="38"/>
    <w:qFormat/>
    <w:uiPriority w:val="0"/>
    <w:pPr>
      <w:pBdr>
        <w:bottom w:val="single" w:color="auto" w:sz="6" w:space="1"/>
      </w:pBdr>
      <w:tabs>
        <w:tab w:val="center" w:pos="4153"/>
        <w:tab w:val="right" w:pos="8306"/>
      </w:tabs>
      <w:snapToGrid w:val="0"/>
      <w:ind w:firstLine="560"/>
      <w:jc w:val="center"/>
    </w:pPr>
    <w:rPr>
      <w:rFonts w:cs="Times New Roman"/>
      <w:sz w:val="18"/>
      <w:szCs w:val="18"/>
    </w:rPr>
  </w:style>
  <w:style w:type="paragraph" w:styleId="21">
    <w:name w:val="toc 1"/>
    <w:basedOn w:val="1"/>
    <w:next w:val="1"/>
    <w:unhideWhenUsed/>
    <w:qFormat/>
    <w:uiPriority w:val="39"/>
    <w:pPr>
      <w:spacing w:line="400" w:lineRule="exact"/>
      <w:ind w:firstLine="0" w:firstLineChars="0"/>
    </w:pPr>
    <w:rPr>
      <w:b/>
    </w:rPr>
  </w:style>
  <w:style w:type="paragraph" w:styleId="22">
    <w:name w:val="toc 4"/>
    <w:basedOn w:val="1"/>
    <w:next w:val="1"/>
    <w:unhideWhenUsed/>
    <w:qFormat/>
    <w:uiPriority w:val="39"/>
    <w:pPr>
      <w:spacing w:line="240" w:lineRule="auto"/>
      <w:ind w:left="1260" w:leftChars="600" w:firstLine="0" w:firstLineChars="0"/>
    </w:pPr>
    <w:rPr>
      <w:rFonts w:asciiTheme="minorHAnsi" w:hAnsiTheme="minorHAnsi" w:eastAsiaTheme="minorEastAsia"/>
      <w:sz w:val="21"/>
    </w:rPr>
  </w:style>
  <w:style w:type="paragraph" w:styleId="23">
    <w:name w:val="footnote text"/>
    <w:basedOn w:val="1"/>
    <w:link w:val="63"/>
    <w:semiHidden/>
    <w:unhideWhenUsed/>
    <w:uiPriority w:val="99"/>
    <w:pPr>
      <w:snapToGrid w:val="0"/>
      <w:jc w:val="left"/>
    </w:pPr>
    <w:rPr>
      <w:sz w:val="18"/>
      <w:szCs w:val="18"/>
    </w:rPr>
  </w:style>
  <w:style w:type="paragraph" w:styleId="24">
    <w:name w:val="toc 6"/>
    <w:basedOn w:val="1"/>
    <w:next w:val="1"/>
    <w:unhideWhenUsed/>
    <w:qFormat/>
    <w:uiPriority w:val="39"/>
    <w:pPr>
      <w:spacing w:line="240" w:lineRule="auto"/>
      <w:ind w:left="2100" w:leftChars="1000" w:firstLine="0" w:firstLineChars="0"/>
    </w:pPr>
    <w:rPr>
      <w:rFonts w:asciiTheme="minorHAnsi" w:hAnsiTheme="minorHAnsi" w:eastAsiaTheme="minorEastAsia"/>
      <w:sz w:val="21"/>
    </w:rPr>
  </w:style>
  <w:style w:type="paragraph" w:styleId="25">
    <w:name w:val="toc 2"/>
    <w:basedOn w:val="1"/>
    <w:next w:val="1"/>
    <w:unhideWhenUsed/>
    <w:qFormat/>
    <w:uiPriority w:val="39"/>
    <w:pPr>
      <w:spacing w:line="400" w:lineRule="exact"/>
    </w:pPr>
  </w:style>
  <w:style w:type="paragraph" w:styleId="26">
    <w:name w:val="toc 9"/>
    <w:basedOn w:val="1"/>
    <w:next w:val="1"/>
    <w:unhideWhenUsed/>
    <w:qFormat/>
    <w:uiPriority w:val="39"/>
    <w:pPr>
      <w:spacing w:line="240" w:lineRule="auto"/>
      <w:ind w:left="3360" w:leftChars="1600" w:firstLine="0" w:firstLineChars="0"/>
    </w:pPr>
    <w:rPr>
      <w:rFonts w:asciiTheme="minorHAnsi" w:hAnsiTheme="minorHAnsi" w:eastAsiaTheme="minorEastAsia"/>
      <w:sz w:val="21"/>
    </w:rPr>
  </w:style>
  <w:style w:type="paragraph" w:styleId="27">
    <w:name w:val="Normal (Web)"/>
    <w:basedOn w:val="1"/>
    <w:link w:val="60"/>
    <w:qFormat/>
    <w:uiPriority w:val="99"/>
    <w:pPr>
      <w:widowControl/>
      <w:spacing w:before="100" w:beforeAutospacing="1" w:after="100" w:afterAutospacing="1" w:line="240" w:lineRule="auto"/>
      <w:ind w:firstLine="560"/>
      <w:jc w:val="left"/>
    </w:pPr>
    <w:rPr>
      <w:rFonts w:ascii="宋体" w:hAnsi="宋体" w:cs="宋体"/>
      <w:kern w:val="0"/>
      <w:szCs w:val="28"/>
    </w:rPr>
  </w:style>
  <w:style w:type="paragraph" w:styleId="28">
    <w:name w:val="annotation subject"/>
    <w:basedOn w:val="12"/>
    <w:next w:val="12"/>
    <w:link w:val="55"/>
    <w:unhideWhenUsed/>
    <w:qFormat/>
    <w:uiPriority w:val="99"/>
    <w:rPr>
      <w:b/>
      <w:bCs/>
    </w:rPr>
  </w:style>
  <w:style w:type="paragraph" w:styleId="29">
    <w:name w:val="Body Text First Indent"/>
    <w:basedOn w:val="13"/>
    <w:link w:val="68"/>
    <w:unhideWhenUsed/>
    <w:qFormat/>
    <w:uiPriority w:val="0"/>
    <w:pPr>
      <w:ind w:firstLine="420" w:firstLineChars="100"/>
      <w:jc w:val="left"/>
    </w:pPr>
    <w:rPr>
      <w:rFonts w:eastAsia="宋体" w:cs="Times New Roman"/>
      <w:sz w:val="24"/>
      <w:szCs w:val="24"/>
    </w:rPr>
  </w:style>
  <w:style w:type="table" w:styleId="31">
    <w:name w:val="Table Grid"/>
    <w:basedOn w:val="30"/>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3">
    <w:name w:val="endnote reference"/>
    <w:basedOn w:val="32"/>
    <w:semiHidden/>
    <w:unhideWhenUsed/>
    <w:uiPriority w:val="99"/>
    <w:rPr>
      <w:vertAlign w:val="superscript"/>
    </w:rPr>
  </w:style>
  <w:style w:type="character" w:styleId="34">
    <w:name w:val="Hyperlink"/>
    <w:basedOn w:val="32"/>
    <w:autoRedefine/>
    <w:unhideWhenUsed/>
    <w:qFormat/>
    <w:uiPriority w:val="99"/>
    <w:rPr>
      <w:color w:val="0563C1" w:themeColor="hyperlink"/>
      <w:u w:val="single"/>
      <w14:textFill>
        <w14:solidFill>
          <w14:schemeClr w14:val="hlink"/>
        </w14:solidFill>
      </w14:textFill>
    </w:rPr>
  </w:style>
  <w:style w:type="character" w:styleId="35">
    <w:name w:val="annotation reference"/>
    <w:basedOn w:val="32"/>
    <w:unhideWhenUsed/>
    <w:qFormat/>
    <w:uiPriority w:val="99"/>
    <w:rPr>
      <w:sz w:val="21"/>
      <w:szCs w:val="21"/>
    </w:rPr>
  </w:style>
  <w:style w:type="character" w:styleId="36">
    <w:name w:val="footnote reference"/>
    <w:basedOn w:val="32"/>
    <w:autoRedefine/>
    <w:semiHidden/>
    <w:unhideWhenUsed/>
    <w:qFormat/>
    <w:uiPriority w:val="99"/>
    <w:rPr>
      <w:vertAlign w:val="superscript"/>
    </w:rPr>
  </w:style>
  <w:style w:type="character" w:customStyle="1" w:styleId="37">
    <w:name w:val="页脚 Char"/>
    <w:basedOn w:val="32"/>
    <w:link w:val="19"/>
    <w:qFormat/>
    <w:uiPriority w:val="99"/>
    <w:rPr>
      <w:rFonts w:ascii="Times New Roman" w:hAnsi="Times New Roman" w:eastAsia="仿宋" w:cs="Times New Roman"/>
      <w:sz w:val="18"/>
      <w:szCs w:val="18"/>
    </w:rPr>
  </w:style>
  <w:style w:type="character" w:customStyle="1" w:styleId="38">
    <w:name w:val="页眉 Char"/>
    <w:basedOn w:val="32"/>
    <w:link w:val="20"/>
    <w:qFormat/>
    <w:uiPriority w:val="0"/>
    <w:rPr>
      <w:rFonts w:ascii="Times New Roman" w:hAnsi="Times New Roman" w:eastAsia="仿宋" w:cs="Times New Roman"/>
      <w:sz w:val="18"/>
      <w:szCs w:val="18"/>
    </w:rPr>
  </w:style>
  <w:style w:type="character" w:customStyle="1" w:styleId="39">
    <w:name w:val="标题 1 Char"/>
    <w:basedOn w:val="32"/>
    <w:link w:val="2"/>
    <w:qFormat/>
    <w:uiPriority w:val="9"/>
    <w:rPr>
      <w:rFonts w:ascii="Times New Roman" w:hAnsi="Times New Roman" w:eastAsia="仿宋"/>
      <w:b/>
      <w:bCs/>
      <w:kern w:val="44"/>
      <w:sz w:val="36"/>
      <w:szCs w:val="44"/>
    </w:rPr>
  </w:style>
  <w:style w:type="character" w:customStyle="1" w:styleId="40">
    <w:name w:val="标题 7 Char"/>
    <w:basedOn w:val="32"/>
    <w:link w:val="8"/>
    <w:qFormat/>
    <w:uiPriority w:val="9"/>
    <w:rPr>
      <w:b/>
      <w:bCs/>
      <w:sz w:val="24"/>
      <w:szCs w:val="24"/>
    </w:rPr>
  </w:style>
  <w:style w:type="character" w:customStyle="1" w:styleId="41">
    <w:name w:val="标题 2 Char"/>
    <w:basedOn w:val="32"/>
    <w:link w:val="3"/>
    <w:qFormat/>
    <w:uiPriority w:val="9"/>
    <w:rPr>
      <w:rFonts w:ascii="Times New Roman" w:hAnsi="Times New Roman" w:eastAsia="仿宋" w:cstheme="majorBidi"/>
      <w:b/>
      <w:bCs/>
      <w:sz w:val="32"/>
      <w:szCs w:val="32"/>
    </w:rPr>
  </w:style>
  <w:style w:type="character" w:customStyle="1" w:styleId="42">
    <w:name w:val="标题 3 Char"/>
    <w:basedOn w:val="32"/>
    <w:link w:val="4"/>
    <w:qFormat/>
    <w:uiPriority w:val="9"/>
    <w:rPr>
      <w:rFonts w:eastAsia="仿宋"/>
      <w:b/>
      <w:bCs/>
      <w:sz w:val="28"/>
      <w:szCs w:val="32"/>
    </w:rPr>
  </w:style>
  <w:style w:type="character" w:customStyle="1" w:styleId="43">
    <w:name w:val="标题 4 Char"/>
    <w:basedOn w:val="32"/>
    <w:link w:val="5"/>
    <w:qFormat/>
    <w:uiPriority w:val="9"/>
    <w:rPr>
      <w:rFonts w:ascii="Times New Roman" w:hAnsi="Times New Roman" w:eastAsia="仿宋" w:cstheme="majorBidi"/>
      <w:b/>
      <w:bCs/>
      <w:sz w:val="28"/>
      <w:szCs w:val="28"/>
    </w:rPr>
  </w:style>
  <w:style w:type="paragraph" w:customStyle="1" w:styleId="44">
    <w:name w:val="报告正文"/>
    <w:qFormat/>
    <w:uiPriority w:val="0"/>
    <w:pPr>
      <w:wordWrap w:val="0"/>
      <w:spacing w:line="500" w:lineRule="exact"/>
      <w:ind w:firstLine="200" w:firstLineChars="200"/>
    </w:pPr>
    <w:rPr>
      <w:rFonts w:ascii="Times New Roman" w:hAnsi="Times New Roman" w:eastAsia="方正仿宋简体" w:cs="Times New Roman"/>
      <w:bCs/>
      <w:sz w:val="28"/>
      <w:szCs w:val="32"/>
      <w:lang w:val="en-US" w:eastAsia="zh-CN" w:bidi="ar-SA"/>
    </w:rPr>
  </w:style>
  <w:style w:type="character" w:customStyle="1" w:styleId="45">
    <w:name w:val="标题 5 Char"/>
    <w:basedOn w:val="32"/>
    <w:link w:val="6"/>
    <w:qFormat/>
    <w:uiPriority w:val="9"/>
    <w:rPr>
      <w:rFonts w:ascii="Times New Roman" w:hAnsi="Times New Roman" w:eastAsia="仿宋"/>
      <w:b/>
      <w:bCs/>
      <w:sz w:val="28"/>
      <w:szCs w:val="28"/>
    </w:rPr>
  </w:style>
  <w:style w:type="character" w:customStyle="1" w:styleId="46">
    <w:name w:val="标题 6 Char"/>
    <w:basedOn w:val="32"/>
    <w:link w:val="7"/>
    <w:qFormat/>
    <w:uiPriority w:val="9"/>
    <w:rPr>
      <w:rFonts w:asciiTheme="majorHAnsi" w:hAnsiTheme="majorHAnsi" w:eastAsiaTheme="majorEastAsia" w:cstheme="majorBidi"/>
      <w:b/>
      <w:bCs/>
      <w:sz w:val="24"/>
      <w:szCs w:val="24"/>
    </w:rPr>
  </w:style>
  <w:style w:type="table" w:customStyle="1" w:styleId="47">
    <w:name w:val="网格型6"/>
    <w:basedOn w:val="30"/>
    <w:qFormat/>
    <w:uiPriority w:val="99"/>
    <w:rPr>
      <w:sz w:val="28"/>
      <w:szCs w:val="28"/>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48">
    <w:name w:val="网格型9"/>
    <w:basedOn w:val="30"/>
    <w:qFormat/>
    <w:uiPriority w:val="99"/>
    <w:pPr>
      <w:widowControl w:val="0"/>
      <w:jc w:val="both"/>
    </w:pPr>
    <w:rPr>
      <w:rFonts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49">
    <w:name w:val="列出段落1"/>
    <w:basedOn w:val="1"/>
    <w:link w:val="50"/>
    <w:qFormat/>
    <w:uiPriority w:val="34"/>
    <w:pPr>
      <w:snapToGrid w:val="0"/>
    </w:pPr>
  </w:style>
  <w:style w:type="character" w:customStyle="1" w:styleId="50">
    <w:name w:val="列表段落 字符"/>
    <w:link w:val="49"/>
    <w:qFormat/>
    <w:uiPriority w:val="34"/>
    <w:rPr>
      <w:rFonts w:ascii="Times New Roman" w:hAnsi="Times New Roman" w:eastAsia="仿宋"/>
      <w:sz w:val="28"/>
    </w:rPr>
  </w:style>
  <w:style w:type="paragraph" w:customStyle="1" w:styleId="51">
    <w:name w:val="修订1"/>
    <w:hidden/>
    <w:semiHidden/>
    <w:qFormat/>
    <w:uiPriority w:val="99"/>
    <w:rPr>
      <w:rFonts w:eastAsia="仿宋" w:asciiTheme="minorHAnsi" w:hAnsiTheme="minorHAnsi" w:cstheme="minorBidi"/>
      <w:kern w:val="2"/>
      <w:sz w:val="28"/>
      <w:szCs w:val="22"/>
      <w:lang w:val="en-US" w:eastAsia="zh-CN" w:bidi="ar-SA"/>
    </w:rPr>
  </w:style>
  <w:style w:type="table" w:customStyle="1" w:styleId="52">
    <w:name w:val="网格型51"/>
    <w:basedOn w:val="30"/>
    <w:qFormat/>
    <w:uiPriority w:val="0"/>
    <w:rPr>
      <w:rFonts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53">
    <w:name w:val="未处理的提及1"/>
    <w:basedOn w:val="32"/>
    <w:unhideWhenUsed/>
    <w:qFormat/>
    <w:uiPriority w:val="99"/>
    <w:rPr>
      <w:color w:val="605E5C"/>
      <w:shd w:val="clear" w:color="auto" w:fill="E1DFDD"/>
    </w:rPr>
  </w:style>
  <w:style w:type="character" w:customStyle="1" w:styleId="54">
    <w:name w:val="批注文字 Char"/>
    <w:basedOn w:val="32"/>
    <w:link w:val="12"/>
    <w:qFormat/>
    <w:uiPriority w:val="99"/>
    <w:rPr>
      <w:rFonts w:ascii="Times New Roman" w:hAnsi="Times New Roman" w:eastAsia="仿宋"/>
      <w:sz w:val="28"/>
    </w:rPr>
  </w:style>
  <w:style w:type="character" w:customStyle="1" w:styleId="55">
    <w:name w:val="批注主题 Char"/>
    <w:basedOn w:val="54"/>
    <w:link w:val="28"/>
    <w:qFormat/>
    <w:uiPriority w:val="99"/>
    <w:rPr>
      <w:rFonts w:ascii="Times New Roman" w:hAnsi="Times New Roman" w:eastAsia="仿宋"/>
      <w:b/>
      <w:bCs/>
      <w:sz w:val="28"/>
    </w:rPr>
  </w:style>
  <w:style w:type="table" w:customStyle="1" w:styleId="56">
    <w:name w:val="网格型1"/>
    <w:basedOn w:val="30"/>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57">
    <w:name w:val="网格型2"/>
    <w:basedOn w:val="30"/>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58">
    <w:name w:val="网格型3"/>
    <w:basedOn w:val="30"/>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styleId="59">
    <w:name w:val="List Paragraph"/>
    <w:basedOn w:val="1"/>
    <w:uiPriority w:val="99"/>
    <w:pPr>
      <w:ind w:firstLine="420"/>
    </w:pPr>
  </w:style>
  <w:style w:type="character" w:customStyle="1" w:styleId="60">
    <w:name w:val="普通(网站) Char"/>
    <w:link w:val="27"/>
    <w:qFormat/>
    <w:uiPriority w:val="99"/>
    <w:rPr>
      <w:rFonts w:ascii="宋体" w:hAnsi="宋体" w:eastAsia="仿宋" w:cs="宋体"/>
      <w:sz w:val="28"/>
      <w:szCs w:val="28"/>
    </w:rPr>
  </w:style>
  <w:style w:type="paragraph" w:customStyle="1" w:styleId="61">
    <w:name w:val="表"/>
    <w:basedOn w:val="1"/>
    <w:qFormat/>
    <w:uiPriority w:val="0"/>
    <w:pPr>
      <w:snapToGrid w:val="0"/>
      <w:spacing w:before="100" w:beforeLines="100" w:after="50" w:afterLines="50"/>
      <w:jc w:val="center"/>
    </w:pPr>
    <w:rPr>
      <w:rFonts w:eastAsia="黑体"/>
      <w:b/>
      <w:sz w:val="24"/>
    </w:rPr>
  </w:style>
  <w:style w:type="character" w:customStyle="1" w:styleId="62">
    <w:name w:val="尾注文本 Char"/>
    <w:basedOn w:val="32"/>
    <w:link w:val="17"/>
    <w:semiHidden/>
    <w:uiPriority w:val="99"/>
    <w:rPr>
      <w:rFonts w:ascii="Times New Roman" w:hAnsi="Times New Roman" w:eastAsia="仿宋"/>
      <w:kern w:val="2"/>
      <w:sz w:val="28"/>
      <w:szCs w:val="22"/>
    </w:rPr>
  </w:style>
  <w:style w:type="character" w:customStyle="1" w:styleId="63">
    <w:name w:val="脚注文本 Char"/>
    <w:basedOn w:val="32"/>
    <w:link w:val="23"/>
    <w:semiHidden/>
    <w:uiPriority w:val="99"/>
    <w:rPr>
      <w:rFonts w:ascii="Times New Roman" w:hAnsi="Times New Roman" w:eastAsia="仿宋"/>
      <w:kern w:val="2"/>
      <w:sz w:val="18"/>
      <w:szCs w:val="18"/>
    </w:rPr>
  </w:style>
  <w:style w:type="character" w:customStyle="1" w:styleId="64">
    <w:name w:val="批注框文本 Char"/>
    <w:basedOn w:val="32"/>
    <w:link w:val="18"/>
    <w:semiHidden/>
    <w:uiPriority w:val="99"/>
    <w:rPr>
      <w:rFonts w:ascii="Times New Roman" w:hAnsi="Times New Roman" w:eastAsia="仿宋"/>
      <w:kern w:val="2"/>
      <w:sz w:val="18"/>
      <w:szCs w:val="18"/>
    </w:rPr>
  </w:style>
  <w:style w:type="character" w:customStyle="1" w:styleId="65">
    <w:name w:val="正文缩进 Char"/>
    <w:link w:val="10"/>
    <w:qFormat/>
    <w:uiPriority w:val="0"/>
    <w:rPr>
      <w:rFonts w:ascii="宋体" w:hAnsi="宋体" w:eastAsia="宋体" w:cs="Times New Roman"/>
      <w:kern w:val="2"/>
      <w:sz w:val="24"/>
      <w:szCs w:val="24"/>
    </w:rPr>
  </w:style>
  <w:style w:type="character" w:styleId="66">
    <w:name w:val="Placeholder Text"/>
    <w:basedOn w:val="32"/>
    <w:semiHidden/>
    <w:uiPriority w:val="99"/>
    <w:rPr>
      <w:color w:val="808080"/>
    </w:rPr>
  </w:style>
  <w:style w:type="character" w:customStyle="1" w:styleId="67">
    <w:name w:val="正文文本 Char"/>
    <w:basedOn w:val="32"/>
    <w:link w:val="13"/>
    <w:semiHidden/>
    <w:uiPriority w:val="99"/>
    <w:rPr>
      <w:rFonts w:ascii="Times New Roman" w:hAnsi="Times New Roman" w:eastAsia="仿宋"/>
      <w:kern w:val="2"/>
      <w:sz w:val="28"/>
      <w:szCs w:val="22"/>
    </w:rPr>
  </w:style>
  <w:style w:type="character" w:customStyle="1" w:styleId="68">
    <w:name w:val="正文首行缩进 Char"/>
    <w:basedOn w:val="67"/>
    <w:link w:val="29"/>
    <w:uiPriority w:val="0"/>
    <w:rPr>
      <w:rFonts w:ascii="Times New Roman" w:hAnsi="Times New Roman" w:eastAsia="宋体" w:cs="Times New Roman"/>
      <w:kern w:val="2"/>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9" Type="http://schemas.openxmlformats.org/officeDocument/2006/relationships/fontTable" Target="fontTable.xml"/><Relationship Id="rId48" Type="http://schemas.openxmlformats.org/officeDocument/2006/relationships/numbering" Target="numbering.xml"/><Relationship Id="rId47" Type="http://schemas.openxmlformats.org/officeDocument/2006/relationships/customXml" Target="../customXml/item1.xml"/><Relationship Id="rId46" Type="http://schemas.openxmlformats.org/officeDocument/2006/relationships/image" Target="media/image26.emf"/><Relationship Id="rId45" Type="http://schemas.openxmlformats.org/officeDocument/2006/relationships/image" Target="media/image25.png"/><Relationship Id="rId44" Type="http://schemas.openxmlformats.org/officeDocument/2006/relationships/image" Target="media/image24.png"/><Relationship Id="rId43" Type="http://schemas.openxmlformats.org/officeDocument/2006/relationships/image" Target="media/image23.png"/><Relationship Id="rId42" Type="http://schemas.openxmlformats.org/officeDocument/2006/relationships/image" Target="media/image22.png"/><Relationship Id="rId41" Type="http://schemas.openxmlformats.org/officeDocument/2006/relationships/image" Target="media/image21.png"/><Relationship Id="rId40" Type="http://schemas.openxmlformats.org/officeDocument/2006/relationships/image" Target="media/image20.png"/><Relationship Id="rId4" Type="http://schemas.openxmlformats.org/officeDocument/2006/relationships/endnotes" Target="endnotes.xml"/><Relationship Id="rId39" Type="http://schemas.openxmlformats.org/officeDocument/2006/relationships/image" Target="media/image19.png"/><Relationship Id="rId38" Type="http://schemas.openxmlformats.org/officeDocument/2006/relationships/image" Target="media/image18.png"/><Relationship Id="rId37" Type="http://schemas.openxmlformats.org/officeDocument/2006/relationships/image" Target="media/image17.png"/><Relationship Id="rId36" Type="http://schemas.openxmlformats.org/officeDocument/2006/relationships/image" Target="media/image16.png"/><Relationship Id="rId35" Type="http://schemas.openxmlformats.org/officeDocument/2006/relationships/image" Target="media/image15.png"/><Relationship Id="rId34" Type="http://schemas.openxmlformats.org/officeDocument/2006/relationships/image" Target="media/image14.jpeg"/><Relationship Id="rId33" Type="http://schemas.openxmlformats.org/officeDocument/2006/relationships/image" Target="media/image13.wmf"/><Relationship Id="rId32" Type="http://schemas.openxmlformats.org/officeDocument/2006/relationships/oleObject" Target="embeddings/oleObject8.bin"/><Relationship Id="rId31" Type="http://schemas.openxmlformats.org/officeDocument/2006/relationships/image" Target="media/image12.wmf"/><Relationship Id="rId30" Type="http://schemas.openxmlformats.org/officeDocument/2006/relationships/oleObject" Target="embeddings/oleObject7.bin"/><Relationship Id="rId3" Type="http://schemas.openxmlformats.org/officeDocument/2006/relationships/footnotes" Target="footnotes.xml"/><Relationship Id="rId29" Type="http://schemas.openxmlformats.org/officeDocument/2006/relationships/image" Target="media/image11.wmf"/><Relationship Id="rId28" Type="http://schemas.openxmlformats.org/officeDocument/2006/relationships/oleObject" Target="embeddings/oleObject6.bin"/><Relationship Id="rId27" Type="http://schemas.openxmlformats.org/officeDocument/2006/relationships/image" Target="media/image10.wmf"/><Relationship Id="rId26" Type="http://schemas.openxmlformats.org/officeDocument/2006/relationships/oleObject" Target="embeddings/oleObject5.bin"/><Relationship Id="rId25" Type="http://schemas.openxmlformats.org/officeDocument/2006/relationships/image" Target="media/image9.wmf"/><Relationship Id="rId24" Type="http://schemas.openxmlformats.org/officeDocument/2006/relationships/oleObject" Target="embeddings/oleObject4.bin"/><Relationship Id="rId23" Type="http://schemas.openxmlformats.org/officeDocument/2006/relationships/image" Target="media/image8.wmf"/><Relationship Id="rId22" Type="http://schemas.openxmlformats.org/officeDocument/2006/relationships/oleObject" Target="embeddings/oleObject3.bin"/><Relationship Id="rId21" Type="http://schemas.openxmlformats.org/officeDocument/2006/relationships/image" Target="media/image7.wmf"/><Relationship Id="rId20" Type="http://schemas.openxmlformats.org/officeDocument/2006/relationships/oleObject" Target="embeddings/oleObject2.bin"/><Relationship Id="rId2" Type="http://schemas.openxmlformats.org/officeDocument/2006/relationships/settings" Target="settings.xml"/><Relationship Id="rId19" Type="http://schemas.openxmlformats.org/officeDocument/2006/relationships/image" Target="media/image6.wmf"/><Relationship Id="rId18" Type="http://schemas.openxmlformats.org/officeDocument/2006/relationships/oleObject" Target="embeddings/oleObject1.bin"/><Relationship Id="rId17" Type="http://schemas.openxmlformats.org/officeDocument/2006/relationships/image" Target="media/image5.png"/><Relationship Id="rId16" Type="http://schemas.openxmlformats.org/officeDocument/2006/relationships/image" Target="media/image4.jpeg"/><Relationship Id="rId15" Type="http://schemas.openxmlformats.org/officeDocument/2006/relationships/image" Target="media/image3.png"/><Relationship Id="rId14" Type="http://schemas.openxmlformats.org/officeDocument/2006/relationships/image" Target="media/image2.jpeg"/><Relationship Id="rId13" Type="http://schemas.openxmlformats.org/officeDocument/2006/relationships/theme" Target="theme/theme1.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144</Pages>
  <Words>12647</Words>
  <Characters>72089</Characters>
  <Lines>600</Lines>
  <Paragraphs>169</Paragraphs>
  <TotalTime>117</TotalTime>
  <ScaleCrop>false</ScaleCrop>
  <LinksUpToDate>false</LinksUpToDate>
  <CharactersWithSpaces>84567</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2023-10-17T02:33:00Z</dcterms:created>
  <dc:creator>王博</dc:creator>
  <cp:lastModifiedBy>嘉树</cp:lastModifiedBy>
  <cp:lastPrinted>2023-10-17T08:07:00Z</cp:lastPrinted>
  <dcterms:modified xsi:type="dcterms:W3CDTF">2024-03-04T01:57:43Z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EF32F190822291FAC4E7226538A59A65</vt:lpwstr>
  </property>
</Properties>
</file>