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rPr>
      </w:pPr>
      <w:bookmarkStart w:id="0" w:name="_GoBack"/>
      <w:bookmarkEnd w:id="0"/>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小标宋简体" w:hAnsi="方正小标宋简体" w:eastAsia="方正小标宋简体" w:cs="方正小标宋简体"/>
          <w:sz w:val="44"/>
          <w:szCs w:val="44"/>
          <w:lang w:val="en-US" w:eastAsia="zh-CN"/>
        </w:rPr>
      </w:pPr>
      <w:r>
        <w:rPr>
          <w:rFonts w:hint="eastAsia" w:ascii="方正小标宋简体" w:hAnsi="方正小标宋简体" w:eastAsia="方正小标宋简体" w:cs="方正小标宋简体"/>
          <w:sz w:val="44"/>
          <w:szCs w:val="44"/>
          <w:lang w:val="en-US" w:eastAsia="zh-CN"/>
        </w:rPr>
        <w:t>同心县林地经营权流转管理办法（试行）</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default" w:ascii="仿宋_GB2312" w:hAnsi="仿宋_GB2312" w:eastAsia="仿宋_GB2312" w:cs="仿宋_GB2312"/>
          <w:lang w:val="en-US" w:eastAsia="zh-CN"/>
        </w:rPr>
      </w:pPr>
      <w:r>
        <w:rPr>
          <w:rFonts w:hint="eastAsia" w:ascii="仿宋_GB2312" w:hAnsi="仿宋_GB2312" w:eastAsia="仿宋_GB2312" w:cs="仿宋_GB2312"/>
          <w:lang w:val="en-US" w:eastAsia="zh-CN"/>
        </w:rPr>
        <w:t>（征求意见稿）</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第一章 总则</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第一条 为了规范同心县林地经营权(以下简称林地经营权)流转行为，保障流转当事人合法权益，加快农业农村现代化，维护农村社会和谐稳定，根据《中华人民共和国农村土地承包法》等法律及有关规定，制定本办法。 </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第二条 本办法所称林地经营权流转，仅指集体所有承包到户和国有土地集体化管理未承包到户的山林地经营权流转。山林地经营权流转应当坚持农村林地农民集体所有、农户家庭承包经营的基本制度，保持农村土地承包关系稳定并长久不变，遵循依法、自愿、有偿原则，任何组织和个人不得强迫或者阻碍承包方流转集体林地经营权。 </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第三条 林地经营权流转不得损害农村集体经济组织和利害关系人的合法权益，不得破坏林地生产能力和生态环境，不得改变承包土地的所有权性质及其林业用途，确保林地林用。在耕地上的发展的林果产业经营权不在流转范围之内。 </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第四条 林地经营权流转应当因地制宜、循序渐进，把握好流转、集中、规模经营的度，流转规模应当与城镇化进程和农村劳动力转移规模相适应，与林业科技进步和生产手段改进程度相适应，与林业社会化服务水平提高相适应，并相应建立多种形式的林地经营权流转风险防范和保障机制。 </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color w:val="auto"/>
          <w:lang w:val="en-US" w:eastAsia="zh-CN"/>
        </w:rPr>
      </w:pPr>
      <w:r>
        <w:rPr>
          <w:rFonts w:hint="eastAsia" w:ascii="仿宋_GB2312" w:hAnsi="仿宋_GB2312" w:eastAsia="仿宋_GB2312" w:cs="仿宋_GB2312"/>
          <w:lang w:val="en-US" w:eastAsia="zh-CN"/>
        </w:rPr>
        <w:t>第五条 </w:t>
      </w:r>
      <w:r>
        <w:rPr>
          <w:rFonts w:hint="eastAsia" w:ascii="仿宋_GB2312" w:hAnsi="仿宋_GB2312" w:eastAsia="仿宋_GB2312" w:cs="仿宋_GB2312"/>
          <w:color w:val="auto"/>
          <w:lang w:val="en-US" w:eastAsia="zh-CN"/>
        </w:rPr>
        <w:t>县自然资源局和农业农村局依照职责，负责全县林地经营权流转及流转合同管理。 </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各</w:t>
      </w:r>
      <w:r>
        <w:rPr>
          <w:rFonts w:hint="eastAsia" w:ascii="仿宋_GB2312" w:hAnsi="仿宋_GB2312" w:cs="仿宋_GB2312"/>
          <w:lang w:val="en-US" w:eastAsia="zh-CN"/>
        </w:rPr>
        <w:t>乡</w:t>
      </w:r>
      <w:r>
        <w:rPr>
          <w:rFonts w:hint="eastAsia" w:ascii="仿宋_GB2312" w:hAnsi="仿宋_GB2312" w:eastAsia="仿宋_GB2312" w:cs="仿宋_GB2312"/>
          <w:lang w:val="en-US" w:eastAsia="zh-CN"/>
        </w:rPr>
        <w:t>镇人民政府负责本行政区域内林地经营权流转及流转合同管理。</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第二章 流转当事人</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第六条 承包方在承包期限内有权依法自主决定林地经营权是否流转，以及流转对象、方式、期限等。 </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第七条 林地经营权流转收益归承包方所有,任何组织和个人不得擅自截留、扣缴。 </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第八条 承包方自愿委托发包方、中介组织或者他人流转其林地经营权的，应当由承包方出具流转委托书。委托书应当载明委托的事项、权限和期限等，并由委托人和受托人签字或者盖章。 </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没有承包方的书面委托，任何组织和个人无权以任何方式决定流转承包方的林地经营权。 </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第九条 林地经营权流转的受让方应当为具有林业经营能力或者资质的组织和个人。在同等条件下，本集体经济组织成员享有优先权。 </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第十条 林地经营权流转的方式、期限、价款和具体条件，由流转双方平等协商确定。流转期限届满后，受让方享有以同等条件优先续约的权利。 </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第十一条 受让方应当依照有关法律法规保护林地，禁止改变林地的用途。禁止闲置、荒芜林地，禁止未经审批乱采滥伐林木，禁止占用林地建窑、建坟或者擅自在林地上建房、挖砂、采石、采矿、取土等。 </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第十二条 受让方将流转取得的林地经营权再流转以及向金融机构融资担保的，应当事先取得承包方书面同意，并向发包方备案。</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第十三条 经承包方同意，受让方依法投资进行林分提升改造、改良土壤、建设林业生产附属配套设施的，林地经营权流转合同到期或者未到期由承包方依法提前收回承包林地时，受让方有权获得合理补偿。具体补偿办法可在林地经营权流转合同中约定或者由双方协商确定。 </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第三章 流转方式</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第十四条 承包方可以采取出租(转包)、入股或者其他符合有关法律和国家政策规定的方式流转林地经营权。 </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出租(转包)，是指承包方将部分或者全部林地经营权，租赁给他人从事林业生产经营。 </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入股，是指承包方将部分或者全部林地经营权作价出资，成为公司、合作经济组织等股东或者成员，并用于林业生产经营。 </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第十五条 承包方依法采取出租(转包)、入股或者其他方式将土地经营权部分或者全部流转的，承包方与发包方的承包关系不变，双方享有的权利和承担的义务不变。 </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第十六条 承包方自愿将林地经营权入股公司发展林业产业化经营的，可以采取优先股等方式降低承包方风险。公司解散时入股林地应当退回原承包方。 </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第四章 流转合同</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第十七条 承包方流转林地经营权，应当与受让方在协商一致的基础上签订书面流转合同，并向发包方备案。流转合同应该使用《集体林权流转合同（示范文本）》。 </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承包方将林地交由他人代管不超过一年的，可以不签订书面合同。</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第十八条 承包方委托发包方、中介组织或者他人流转林地经营权的，流转合同应当由承包方或者其书面委托的受托人签订。 </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第十九条 林地经营权流转合同一般包括以下内容: </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(一)双方当事人的姓名或者名称、住所、联系方式等; </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(二)流转林地的名称、四至、面积、质量等级、林地类型、地块代码等; </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(三)流转的期限和起止日期; </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(四)流转方式; </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(五)流转林地的用途; </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(六)双方当事人的权利和义务; </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(七)流转价款或者股份分红，以及支付方式和支付时间; </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(八)合同到期后地上附着物及相关设施的处理; </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(九)林地被依法征收、征用、占用时有关补偿费的归属; </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(十)违约责任。 </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第二十条 承包方不得单方解除林地经营权流转合同，但受让方有下列情形之一的除外: </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(一)擅自改变林地的用途; </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(二)对流转的集体林地不实施经营管理、乱采滥伐或者抛荒连续两年以上; </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(三)给土地造成严重损害或者严重破坏林地生态环境; </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(四)其他严重违约行为。 </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有以上情形，承包方在合理期限内不解除林地经营权流转合同的，发包方有权要求终止林地经营权流转合同。 </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受让方对林地和林地生态环境造成的损害应当依法予以赔偿。 </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第五章 流转管理</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第二十一条 发包方对承包方流转林地经营权、受让方再流转林地经营权以及承包方、受让方利用林地经营权融资担保的，应当办理备案，并报告镇人民政府农村土地承包管理部门。 </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第二十二条 </w:t>
      </w:r>
      <w:r>
        <w:rPr>
          <w:rFonts w:hint="eastAsia" w:ascii="仿宋_GB2312" w:hAnsi="仿宋_GB2312" w:cs="仿宋_GB2312"/>
          <w:lang w:val="en-US" w:eastAsia="zh-CN"/>
        </w:rPr>
        <w:t>乡</w:t>
      </w:r>
      <w:r>
        <w:rPr>
          <w:rFonts w:hint="eastAsia" w:ascii="仿宋_GB2312" w:hAnsi="仿宋_GB2312" w:eastAsia="仿宋_GB2312" w:cs="仿宋_GB2312"/>
          <w:lang w:val="en-US" w:eastAsia="zh-CN"/>
        </w:rPr>
        <w:t>镇人民政府农村土地承包管理部门应当向达成流转意向的双方提供统一文本格式的流转合同，并指导签订。流转合同中有违反法律法规的，应当及时予以纠正。 </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第二十三条 </w:t>
      </w:r>
      <w:r>
        <w:rPr>
          <w:rFonts w:hint="eastAsia" w:ascii="仿宋_GB2312" w:hAnsi="仿宋_GB2312" w:cs="仿宋_GB2312"/>
          <w:lang w:val="en-US" w:eastAsia="zh-CN"/>
        </w:rPr>
        <w:t>乡</w:t>
      </w:r>
      <w:r>
        <w:rPr>
          <w:rFonts w:hint="eastAsia" w:ascii="仿宋_GB2312" w:hAnsi="仿宋_GB2312" w:eastAsia="仿宋_GB2312" w:cs="仿宋_GB2312"/>
          <w:lang w:val="en-US" w:eastAsia="zh-CN"/>
        </w:rPr>
        <w:t>镇人民政府农村土地承包管理部门应当建立林地经营权流转台账，及时准确记载流转情况。 </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第二十四条 </w:t>
      </w:r>
      <w:r>
        <w:rPr>
          <w:rFonts w:hint="eastAsia" w:ascii="仿宋_GB2312" w:hAnsi="仿宋_GB2312" w:cs="仿宋_GB2312"/>
          <w:lang w:val="en-US" w:eastAsia="zh-CN"/>
        </w:rPr>
        <w:t>乡</w:t>
      </w:r>
      <w:r>
        <w:rPr>
          <w:rFonts w:hint="eastAsia" w:ascii="仿宋_GB2312" w:hAnsi="仿宋_GB2312" w:eastAsia="仿宋_GB2312" w:cs="仿宋_GB2312"/>
          <w:lang w:val="en-US" w:eastAsia="zh-CN"/>
        </w:rPr>
        <w:t>镇人民政府农村土地承包管理部门应当对林地经营权流转有关文件、资料及流转合同等进行归档并妥善保管。 </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第二十五条 </w:t>
      </w:r>
      <w:r>
        <w:rPr>
          <w:rFonts w:hint="eastAsia" w:ascii="仿宋_GB2312" w:hAnsi="仿宋_GB2312" w:eastAsia="仿宋_GB2312" w:cs="仿宋_GB2312"/>
          <w:color w:val="auto"/>
          <w:lang w:val="en-US" w:eastAsia="zh-CN"/>
        </w:rPr>
        <w:t>吴忠市农村产权交易中心同心县分中心为同心县集体林地流转交易机构。</w:t>
      </w:r>
      <w:r>
        <w:rPr>
          <w:rFonts w:hint="eastAsia" w:ascii="仿宋_GB2312" w:hAnsi="仿宋_GB2312" w:eastAsia="仿宋_GB2312" w:cs="仿宋_GB2312"/>
          <w:lang w:val="en-US" w:eastAsia="zh-CN"/>
        </w:rPr>
        <w:t>县农业农村局、自然资源局应当加强业务指导，督促其建立健全运行规则，规范开展林地经营权流转政策咨询、信息发布、合同签订、交易鉴证、权益评估、融资担保、档案管理等服务。 </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第二十六条 县农业农村局应当按照国家统一标准和技术规范建立互联互通的农村林地承包信息应用平台，健全林地经营权流转合同网签制度，提升林地经营权流转规范化、信息化管理水平。 </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第二十七条 县农业农村局应当加强对</w:t>
      </w:r>
      <w:r>
        <w:rPr>
          <w:rFonts w:hint="eastAsia" w:ascii="仿宋_GB2312" w:hAnsi="仿宋_GB2312" w:cs="仿宋_GB2312"/>
          <w:lang w:val="en-US" w:eastAsia="zh-CN"/>
        </w:rPr>
        <w:t>乡</w:t>
      </w:r>
      <w:r>
        <w:rPr>
          <w:rFonts w:hint="eastAsia" w:ascii="仿宋_GB2312" w:hAnsi="仿宋_GB2312" w:eastAsia="仿宋_GB2312" w:cs="仿宋_GB2312"/>
          <w:lang w:val="en-US" w:eastAsia="zh-CN"/>
        </w:rPr>
        <w:t>镇人民政府农村林地承包管理部门工作的指导。</w:t>
      </w:r>
      <w:r>
        <w:rPr>
          <w:rFonts w:hint="eastAsia" w:ascii="仿宋_GB2312" w:hAnsi="仿宋_GB2312" w:cs="仿宋_GB2312"/>
          <w:lang w:val="en-US" w:eastAsia="zh-CN"/>
        </w:rPr>
        <w:t>乡</w:t>
      </w:r>
      <w:r>
        <w:rPr>
          <w:rFonts w:hint="eastAsia" w:ascii="仿宋_GB2312" w:hAnsi="仿宋_GB2312" w:eastAsia="仿宋_GB2312" w:cs="仿宋_GB2312"/>
          <w:lang w:val="en-US" w:eastAsia="zh-CN"/>
        </w:rPr>
        <w:t>镇人民政府农村集体林地承包管理部门应当依法开展林地经营权流转的指导和管理工作。 </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第二十八条 县自然资源局应当加强服务，鼓励受让方发展林果产业生产;鼓励和引导工商企业等社会资本(包括法人、非法人组织或者自然人等)发展适合企业化经营的现代林业产业。 </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第二十九条 对工商企业等社会资本流转林地经营权，依法建立分级资格审查和项目审核制度。审查审核的一般程序如下: </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一)受让主体与承包方就流转面积、期限、价款等进行协商并签订流转意向协议书。涉及未承包到户集体土地等集体资源的，应当按照法定程序经本集体经济组织成员的村民会议三分之二以上成员或者三分之二以上村民代表的同意，并与集体经济组织签订流转意向协议书。 </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(二)受让主体按照分级审查审核规定，分别向</w:t>
      </w:r>
      <w:r>
        <w:rPr>
          <w:rFonts w:hint="eastAsia" w:ascii="仿宋_GB2312" w:hAnsi="仿宋_GB2312" w:cs="仿宋_GB2312"/>
          <w:lang w:val="en-US" w:eastAsia="zh-CN"/>
        </w:rPr>
        <w:t>乡</w:t>
      </w:r>
      <w:r>
        <w:rPr>
          <w:rFonts w:hint="eastAsia" w:ascii="仿宋_GB2312" w:hAnsi="仿宋_GB2312" w:eastAsia="仿宋_GB2312" w:cs="仿宋_GB2312"/>
          <w:lang w:val="en-US" w:eastAsia="zh-CN"/>
        </w:rPr>
        <w:t>镇人民政府农村土地承包管理部门提出申请，并提交流转意向协议书、林业经营能力或者资质证明、流转项目规划等相关材料，并上报县自然资源局审查。  </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三)县自然资源局应当依法组织相关职能部门、农村集体经济组织代表、农民代表、专家等就林地用途、受让主体林业经营能力，以及经营项目是否符合国土空间规划、林业产业发展规划等进行审查审核，并于受理之日起20个工作日内作出审查审核意见。 </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(四)审查审核通过的，受让主体与承包方签订土地经营权流转合同。未按规定提交审查审核申请或者审查审核未通过的，不得开展林地经营权流转活动。 </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第三十条 县人民政府依法建立工商企业等社会资本通过流转取得林地经营权的风险防范制度，加强事中事后监管，及时查处纠正违法违规行为。 </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color w:val="auto"/>
          <w:lang w:val="en-US" w:eastAsia="zh-CN"/>
        </w:rPr>
      </w:pPr>
      <w:r>
        <w:rPr>
          <w:rFonts w:hint="eastAsia" w:ascii="仿宋_GB2312" w:hAnsi="仿宋_GB2312" w:eastAsia="仿宋_GB2312" w:cs="仿宋_GB2312"/>
          <w:color w:val="auto"/>
          <w:lang w:val="en-US" w:eastAsia="zh-CN"/>
        </w:rPr>
        <w:t>承包方和受让方应当在林地经营权流转市场或者农村产权交易市场公开交易。 </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对整村(组)林地经营权流转面积较大、涉及农户较多、经营风险较高的项目，流转双方可以协商设立风险保障金。 </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鼓励保险机构为林地经营权流转提供流转履约保证保险等多种形式保险服务。 </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第三十一条 农村集体经济组织为工商企业等社会资本流转林地经营权提供服务的，可以收取适量管理费用。收取管理费用的金额和方式应当由农村集体经济组织、承包方和工商企业等社会资本三方协商确定。管理费用应当纳入农村集体经济组织会计核算和财务管理，主要用于村集体公益性支出。 </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第三十二条 县人民政府根据本办法，结合同心县实际，指定相关部门制定工商企业等社会资本通过流转取得林地经营权的资格审查、项目审核和风险防范实施细则。 </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第三十三条 林地经营权流转发生争议或者纠纷的，当事人可以协商解决，也可以请求</w:t>
      </w:r>
      <w:r>
        <w:rPr>
          <w:rFonts w:hint="eastAsia" w:ascii="仿宋_GB2312" w:hAnsi="仿宋_GB2312" w:cs="仿宋_GB2312"/>
          <w:lang w:val="en-US" w:eastAsia="zh-CN"/>
        </w:rPr>
        <w:t>乡</w:t>
      </w:r>
      <w:r>
        <w:rPr>
          <w:rFonts w:hint="eastAsia" w:ascii="仿宋_GB2312" w:hAnsi="仿宋_GB2312" w:eastAsia="仿宋_GB2312" w:cs="仿宋_GB2312"/>
          <w:lang w:val="en-US" w:eastAsia="zh-CN"/>
        </w:rPr>
        <w:t>镇人民政府司法调解委员会调解，</w:t>
      </w:r>
      <w:r>
        <w:rPr>
          <w:rFonts w:hint="eastAsia" w:ascii="仿宋_GB2312" w:hAnsi="仿宋_GB2312" w:cs="仿宋_GB2312"/>
          <w:lang w:val="en-US" w:eastAsia="zh-CN"/>
        </w:rPr>
        <w:t>乡</w:t>
      </w:r>
      <w:r>
        <w:rPr>
          <w:rFonts w:hint="eastAsia" w:ascii="仿宋_GB2312" w:hAnsi="仿宋_GB2312" w:eastAsia="仿宋_GB2312" w:cs="仿宋_GB2312"/>
          <w:lang w:val="en-US" w:eastAsia="zh-CN"/>
        </w:rPr>
        <w:t>镇人民政府司法调解委员会无法调解的，可以移交县司法局调解委员会或县自然资源局山林地交易纠纷调处工作专班进行调解。 </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当事人不愿意协商、调解或者协商、调解不成的，可以向农村土地承包仲裁机构申请仲裁，也可以直接向人民法院提起诉讼。 </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第六章 附则</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第三十四条 本办法所称农村集体林地，是指农民集体所有和国家所有依法由农民集体使用的林地。 </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本办法所称农村林地经营权流转，是指在承包方与发包方承包关系保持不变的前提下，承包方依法在一定期限内将林地经营权部分或者全部交由他人自主开展林业生产经营的行为。 </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第三十五条 通过招标、拍卖和公开协商等方式承包荒山、荒沟、荒丘、荒滩等农村土地，经依法登记取得权属证书的，可以流转土地经营权，其流转管理参照本办法执行。 </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森林资源资产评估机构应当按照国家和自治区有关森林资源资产评估的技术规程和办法进行评估，并出具评估报告。</w:t>
      </w:r>
    </w:p>
    <w:p>
      <w:pPr>
        <w:widowControl/>
        <w:adjustRightInd w:val="0"/>
        <w:snapToGrid w:val="0"/>
        <w:spacing w:line="560" w:lineRule="exact"/>
        <w:jc w:val="left"/>
        <w:rPr>
          <w:rFonts w:ascii="方正仿宋_GBK" w:hAnsi="方正仿宋_GBK" w:eastAsia="方正仿宋_GBK" w:cs="方正仿宋_GBK"/>
          <w:kern w:val="0"/>
          <w:szCs w:val="32"/>
        </w:rPr>
      </w:pPr>
    </w:p>
    <w:sectPr>
      <w:footerReference r:id="rId4" w:type="first"/>
      <w:footerReference r:id="rId3" w:type="default"/>
      <w:pgSz w:w="11906" w:h="16838"/>
      <w:pgMar w:top="2098" w:right="1474" w:bottom="1984" w:left="1587" w:header="851" w:footer="1587" w:gutter="0"/>
      <w:cols w:space="720" w:num="1"/>
      <w:docGrid w:type="linesAndChars" w:linePitch="579" w:charSpace="-84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Nimbus Roman No9 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仿宋_GB2312">
    <w:panose1 w:val="02010609030101010101"/>
    <w:charset w:val="86"/>
    <w:family w:val="modern"/>
    <w:pitch w:val="default"/>
    <w:sig w:usb0="00000001" w:usb1="080E0000" w:usb2="00000000" w:usb3="00000000" w:csb0="00040000" w:csb1="00000000"/>
  </w:font>
  <w:font w:name="方正仿宋简体">
    <w:altName w:val="方正仿宋_GBK"/>
    <w:panose1 w:val="02010601030101010101"/>
    <w:charset w:val="86"/>
    <w:family w:val="auto"/>
    <w:pitch w:val="default"/>
    <w:sig w:usb0="00000000" w:usb1="00000000" w:usb2="00000010" w:usb3="00000000" w:csb0="00040000" w:csb1="00000000"/>
  </w:font>
  <w:font w:name="方正小标宋简体">
    <w:panose1 w:val="02000000000000000000"/>
    <w:charset w:val="86"/>
    <w:family w:val="auto"/>
    <w:pitch w:val="default"/>
    <w:sig w:usb0="A00002BF" w:usb1="184F6CFA" w:usb2="00000012" w:usb3="00000000" w:csb0="00040001" w:csb1="00000000"/>
  </w:font>
  <w:font w:name="方正仿宋_GBK">
    <w:panose1 w:val="02000000000000000000"/>
    <w:charset w:val="86"/>
    <w:family w:val="script"/>
    <w:pitch w:val="default"/>
    <w:sig w:usb0="00000001" w:usb1="08000000" w:usb2="00000000" w:usb3="00000000" w:csb0="00040000" w:csb1="00000000"/>
  </w:font>
  <w:font w:name="方正书宋_GBK">
    <w:panose1 w:val="02000000000000000000"/>
    <w:charset w:val="86"/>
    <w:family w:val="auto"/>
    <w:pitch w:val="default"/>
    <w:sig w:usb0="00000001" w:usb1="08000000" w:usb2="00000000" w:usb3="00000000" w:csb0="00040000" w:csb1="00000000"/>
  </w:font>
  <w:font w:name="Nimbus Roman No9 L">
    <w:panose1 w:val="00000000000000000000"/>
    <w:charset w:val="00"/>
    <w:family w:val="auto"/>
    <w:pitch w:val="default"/>
    <w:sig w:usb0="00000000" w:usb1="00000000" w:usb2="00000000" w:usb3="00000000" w:csb0="00000000" w:csb1="00000000"/>
  </w:font>
  <w:font w:name="DejaVu Sans">
    <w:panose1 w:val="020B0603030804020204"/>
    <w:charset w:val="00"/>
    <w:family w:val="auto"/>
    <w:pitch w:val="default"/>
    <w:sig w:usb0="E7006EFF" w:usb1="D200FDFF" w:usb2="0A246029" w:usb3="0400200C" w:csb0="600001FF" w:csb1="DFFF0000"/>
  </w:font>
  <w:font w:name="Liberation Serif">
    <w:panose1 w:val="02020603050405020304"/>
    <w:charset w:val="00"/>
    <w:family w:val="auto"/>
    <w:pitch w:val="default"/>
    <w:sig w:usb0="A00002AF" w:usb1="500078FB" w:usb2="00000000" w:usb3="00000000" w:csb0="6000009F" w:csb1="DFD70000"/>
  </w:font>
  <w:font w:name="DejaVu Math TeX Gyre">
    <w:panose1 w:val="02000503000000000000"/>
    <w:charset w:val="00"/>
    <w:family w:val="auto"/>
    <w:pitch w:val="default"/>
    <w:sig w:usb0="A10000EF" w:usb1="4201F9EE" w:usb2="02000000" w:usb3="00000000" w:csb0="60000193" w:csb1="0DD4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4922326"/>
      <w:docPartObj>
        <w:docPartGallery w:val="autotext"/>
      </w:docPartObj>
    </w:sdtPr>
    <w:sdtContent>
      <w:p>
        <w:pPr>
          <w:pStyle w:val="3"/>
          <w:jc w:val="center"/>
        </w:pPr>
        <w:r>
          <w:fldChar w:fldCharType="begin"/>
        </w:r>
        <w:r>
          <w:instrText xml:space="preserve"> PAGE   \* MERGEFORMAT </w:instrText>
        </w:r>
        <w:r>
          <w:fldChar w:fldCharType="separate"/>
        </w:r>
        <w:r>
          <w:rPr>
            <w:lang w:val="zh-CN"/>
          </w:rPr>
          <w:t>1</w:t>
        </w:r>
        <w:r>
          <w:rPr>
            <w:lang w:val="zh-CN"/>
          </w:rPr>
          <w:fldChar w:fldCharType="end"/>
        </w:r>
      </w:p>
    </w:sdtContent>
  </w:sdt>
  <w:p>
    <w:pPr>
      <w:pStyle w:val="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rPr>
        <w:rFonts w:ascii="宋体" w:hAnsi="宋体" w:eastAsia="宋体" w:cs="宋体"/>
        <w:sz w:val="28"/>
        <w:szCs w:val="28"/>
      </w:rPr>
    </w:pPr>
    <w:r>
      <w:rPr>
        <w:sz w:val="28"/>
      </w:rPr>
      <w:pict>
        <v:shape id="文本框4" o:spid="_x0000_s1026" o:spt="202" type="#_x0000_t202" style="position:absolute;left:0pt;margin-top:1.2pt;height:144pt;width:144pt;mso-position-horizontal:outside;mso-position-horizontal-relative:margin;mso-wrap-style:none;z-index:251659264;mso-width-relative:page;mso-height-relative:page;" filled="f" stroked="f" coordsize="21600,21600">
          <v:path/>
          <v:fill on="f" focussize="0,0"/>
          <v:stroke on="f" joinstyle="miter"/>
          <v:imagedata o:title=""/>
          <o:lock v:ext="edit"/>
          <v:textbox inset="0mm,0mm,0mm,0mm" style="mso-fit-shape-to-text:t;">
            <w:txbxContent>
              <w:p>
                <w:pPr>
                  <w:snapToGrid w:val="0"/>
                  <w:ind w:left="320" w:leftChars="100" w:right="320" w:rightChars="100"/>
                  <w:rPr>
                    <w:rFonts w:ascii="宋体" w:hAnsi="宋体" w:eastAsia="宋体" w:cs="宋体"/>
                    <w:sz w:val="28"/>
                    <w:szCs w:val="28"/>
                  </w:rPr>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t>- 1 -</w:t>
                </w:r>
                <w:r>
                  <w:rPr>
                    <w:rFonts w:hint="eastAsia" w:ascii="宋体" w:hAnsi="宋体" w:eastAsia="宋体" w:cs="宋体"/>
                    <w:sz w:val="28"/>
                    <w:szCs w:val="28"/>
                  </w:rPr>
                  <w:fldChar w:fldCharType="end"/>
                </w:r>
              </w:p>
            </w:txbxContent>
          </v:textbox>
        </v:shape>
      </w:pic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true"/>
  <w:bordersDoNotSurroundFooter w:val="true"/>
  <w:documentProtection w:enforcement="0"/>
  <w:defaultTabStop w:val="420"/>
  <w:drawingGridVerticalSpacing w:val="156"/>
  <w:displayHorizontalDrawingGridEvery w:val="0"/>
  <w:displayVerticalDrawingGridEvery w:val="2"/>
  <w:characterSpacingControl w:val="compressPunctuation"/>
  <w:hdrShapeDefaults>
    <o:shapelayout v:ext="edit">
      <o:idmap v:ext="edit" data="1"/>
    </o:shapelayout>
  </w:hdrShapeDefaults>
  <w:compat>
    <w:spaceForUL/>
    <w:balanceSingleByteDoubleByteWidth/>
    <w:doNotLeaveBackslashAlone/>
    <w:ulTrailSpace/>
    <w:doNotExpandShiftReturn/>
    <w:adjustLineHeightInTable/>
    <w:useFELayout/>
    <w:compatSetting w:name="compatibilityMode" w:uri="http://schemas.microsoft.com/office/word" w:val="12"/>
  </w:compat>
  <w:docVars>
    <w:docVar w:name="commondata" w:val="eyJoZGlkIjoiZmQ1YjMxYjRjNTg0YTA4ODk1ZWEwNDc2MDM5ZTU1NGYifQ=="/>
  </w:docVars>
  <w:rsids>
    <w:rsidRoot w:val="00624D14"/>
    <w:rsid w:val="003A0EBE"/>
    <w:rsid w:val="005469F8"/>
    <w:rsid w:val="005707CA"/>
    <w:rsid w:val="00624D14"/>
    <w:rsid w:val="007A22DD"/>
    <w:rsid w:val="00885FA8"/>
    <w:rsid w:val="00A85AE0"/>
    <w:rsid w:val="00D72839"/>
    <w:rsid w:val="00EB42E7"/>
    <w:rsid w:val="0B560EA8"/>
    <w:rsid w:val="19B14EDB"/>
    <w:rsid w:val="27E336D0"/>
    <w:rsid w:val="30B43C3F"/>
    <w:rsid w:val="3C9D4351"/>
    <w:rsid w:val="FFF664C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nhideWhenUsed="0"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0"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仿宋_GB2312" w:cs="Times New Roman"/>
      <w:kern w:val="2"/>
      <w:sz w:val="32"/>
      <w:szCs w:val="24"/>
      <w:lang w:val="en-US" w:eastAsia="zh-CN" w:bidi="ar-SA"/>
    </w:rPr>
  </w:style>
  <w:style w:type="paragraph" w:styleId="2">
    <w:name w:val="heading 1"/>
    <w:basedOn w:val="1"/>
    <w:next w:val="1"/>
    <w:link w:val="9"/>
    <w:qFormat/>
    <w:uiPriority w:val="9"/>
    <w:pPr>
      <w:keepNext/>
      <w:keepLines/>
      <w:spacing w:before="340" w:after="330" w:line="576" w:lineRule="auto"/>
      <w:outlineLvl w:val="0"/>
    </w:pPr>
    <w:rPr>
      <w:b/>
      <w:kern w:val="44"/>
      <w:sz w:val="44"/>
    </w:rPr>
  </w:style>
  <w:style w:type="character" w:default="1" w:styleId="7">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3">
    <w:name w:val="footer"/>
    <w:basedOn w:val="1"/>
    <w:link w:val="10"/>
    <w:qFormat/>
    <w:uiPriority w:val="99"/>
    <w:pPr>
      <w:tabs>
        <w:tab w:val="center" w:pos="4153"/>
        <w:tab w:val="right" w:pos="8306"/>
      </w:tabs>
      <w:snapToGrid w:val="0"/>
      <w:jc w:val="left"/>
    </w:pPr>
    <w:rPr>
      <w:sz w:val="18"/>
      <w:szCs w:val="18"/>
    </w:rPr>
  </w:style>
  <w:style w:type="paragraph" w:styleId="4">
    <w:name w:val="header"/>
    <w:basedOn w:val="1"/>
    <w:link w:val="12"/>
    <w:semiHidden/>
    <w:unhideWhenUsed/>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unhideWhenUsed/>
    <w:qFormat/>
    <w:uiPriority w:val="0"/>
    <w:pPr>
      <w:spacing w:beforeAutospacing="1" w:afterAutospacing="1"/>
      <w:jc w:val="left"/>
    </w:pPr>
    <w:rPr>
      <w:kern w:val="0"/>
      <w:sz w:val="24"/>
    </w:rPr>
  </w:style>
  <w:style w:type="character" w:styleId="8">
    <w:name w:val="Strong"/>
    <w:basedOn w:val="7"/>
    <w:qFormat/>
    <w:uiPriority w:val="0"/>
    <w:rPr>
      <w:rFonts w:ascii="仿宋_GB2312" w:hAnsi="仿宋_GB2312" w:eastAsia="仿宋_GB2312"/>
      <w:b/>
      <w:bCs/>
      <w:sz w:val="32"/>
    </w:rPr>
  </w:style>
  <w:style w:type="character" w:customStyle="1" w:styleId="9">
    <w:name w:val="标题 1 Char"/>
    <w:basedOn w:val="7"/>
    <w:link w:val="2"/>
    <w:qFormat/>
    <w:uiPriority w:val="9"/>
    <w:rPr>
      <w:rFonts w:ascii="Times New Roman" w:hAnsi="Times New Roman" w:eastAsia="仿宋_GB2312" w:cs="Times New Roman"/>
      <w:b/>
      <w:kern w:val="44"/>
      <w:sz w:val="44"/>
      <w:szCs w:val="24"/>
    </w:rPr>
  </w:style>
  <w:style w:type="character" w:customStyle="1" w:styleId="10">
    <w:name w:val="页脚 Char"/>
    <w:basedOn w:val="7"/>
    <w:link w:val="3"/>
    <w:qFormat/>
    <w:uiPriority w:val="99"/>
    <w:rPr>
      <w:rFonts w:ascii="Times New Roman" w:hAnsi="Times New Roman" w:eastAsia="仿宋_GB2312" w:cs="Times New Roman"/>
      <w:sz w:val="18"/>
      <w:szCs w:val="18"/>
    </w:rPr>
  </w:style>
  <w:style w:type="paragraph" w:customStyle="1" w:styleId="11">
    <w:name w:val="Z"/>
    <w:basedOn w:val="1"/>
    <w:next w:val="1"/>
    <w:qFormat/>
    <w:uiPriority w:val="0"/>
    <w:pPr>
      <w:spacing w:line="560" w:lineRule="exact"/>
    </w:pPr>
    <w:rPr>
      <w:rFonts w:ascii="方正仿宋简体" w:hAnsi="方正仿宋简体" w:eastAsia="方正仿宋简体"/>
    </w:rPr>
  </w:style>
  <w:style w:type="character" w:customStyle="1" w:styleId="12">
    <w:name w:val="页眉 Char"/>
    <w:basedOn w:val="7"/>
    <w:link w:val="4"/>
    <w:semiHidden/>
    <w:qFormat/>
    <w:uiPriority w:val="99"/>
    <w:rPr>
      <w:rFonts w:ascii="Times New Roman" w:hAnsi="Times New Roman" w:eastAsia="仿宋_GB2312" w:cs="Times New Roman"/>
      <w:sz w:val="18"/>
      <w:szCs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true">
          <a:gsLst>
            <a:gs pos="0">
              <a:schemeClr val="phClr">
                <a:tint val="50000"/>
                <a:satMod val="300000"/>
              </a:schemeClr>
            </a:gs>
            <a:gs pos="35000">
              <a:schemeClr val="phClr">
                <a:tint val="37000"/>
                <a:satMod val="300000"/>
              </a:schemeClr>
            </a:gs>
            <a:gs pos="100000">
              <a:schemeClr val="phClr">
                <a:tint val="15000"/>
                <a:satMod val="350000"/>
              </a:schemeClr>
            </a:gs>
          </a:gsLst>
          <a:lin ang="16200000" scaled="true"/>
        </a:gradFill>
        <a:gradFill rotWithShape="true">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false"/>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true">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true">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微软中国</Company>
  <Pages>8</Pages>
  <Words>3970</Words>
  <Characters>3987</Characters>
  <Lines>31</Lines>
  <Paragraphs>8</Paragraphs>
  <TotalTime>38</TotalTime>
  <ScaleCrop>false</ScaleCrop>
  <LinksUpToDate>false</LinksUpToDate>
  <CharactersWithSpaces>3993</CharactersWithSpaces>
  <Application>WPS Office_11.8.2.10458_F1E327BC-269C-435d-A152-05C5408002CA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2022-09-07T09:56:00Z</dcterms:created>
  <dc:creator>微软用户</dc:creator>
  <cp:lastModifiedBy>inspur</cp:lastModifiedBy>
  <dcterms:modified xsi:type="dcterms:W3CDTF">2023-05-11T15:46:01Z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2052-11.8.2.10458</vt:lpwstr>
  </property>
  <property fmtid="{D5CDD505-2E9C-101B-9397-08002B2CF9AE}" pid="3" name="ICV">
    <vt:lpwstr>0CF8AEE321834FF5B4057D80FE090A71</vt:lpwstr>
  </property>
</Properties>
</file>