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0"/>
      </w:pPr>
    </w:p>
    <w:p>
      <w:pPr>
        <w:ind w:firstLine="640"/>
      </w:pPr>
    </w:p>
    <w:p>
      <w:pPr>
        <w:ind w:firstLine="640"/>
      </w:pPr>
    </w:p>
    <w:p>
      <w:pPr>
        <w:ind w:firstLine="640"/>
      </w:pPr>
    </w:p>
    <w:p>
      <w:pPr>
        <w:ind w:firstLine="720"/>
        <w:rPr>
          <w:sz w:val="36"/>
          <w:szCs w:val="28"/>
        </w:rPr>
      </w:pPr>
    </w:p>
    <w:p>
      <w:pPr>
        <w:ind w:firstLine="0" w:firstLineChars="0"/>
        <w:jc w:val="center"/>
        <w:rPr>
          <w:rFonts w:ascii="方正小标宋_GBK" w:hAnsi="方正小标宋_GBK" w:eastAsia="方正小标宋_GBK" w:cs="方正小标宋_GBK"/>
          <w:sz w:val="52"/>
          <w:szCs w:val="52"/>
        </w:rPr>
      </w:pPr>
      <w:bookmarkStart w:id="0" w:name="_Toc95764805"/>
      <w:bookmarkStart w:id="1" w:name="_Toc94260629"/>
      <w:bookmarkStart w:id="2" w:name="_Toc94260881"/>
      <w:bookmarkStart w:id="3" w:name="_Toc17443"/>
      <w:r>
        <w:rPr>
          <w:rFonts w:hint="eastAsia" w:ascii="方正小标宋_GBK" w:hAnsi="方正小标宋_GBK" w:eastAsia="方正小标宋_GBK" w:cs="方正小标宋_GBK"/>
          <w:sz w:val="52"/>
          <w:szCs w:val="52"/>
        </w:rPr>
        <w:t>同心县商业网点</w:t>
      </w:r>
      <w:bookmarkEnd w:id="0"/>
      <w:bookmarkEnd w:id="1"/>
      <w:bookmarkEnd w:id="2"/>
      <w:bookmarkStart w:id="4" w:name="_Toc95764806"/>
      <w:bookmarkStart w:id="5" w:name="_Toc94260882"/>
      <w:bookmarkStart w:id="6" w:name="_Toc94260630"/>
      <w:r>
        <w:rPr>
          <w:rFonts w:hint="eastAsia" w:ascii="方正小标宋_GBK" w:hAnsi="方正小标宋_GBK" w:eastAsia="方正小标宋_GBK" w:cs="方正小标宋_GBK"/>
          <w:sz w:val="52"/>
          <w:szCs w:val="52"/>
        </w:rPr>
        <w:t>“十四五”</w:t>
      </w:r>
    </w:p>
    <w:p>
      <w:pPr>
        <w:ind w:firstLine="0" w:firstLineChars="0"/>
        <w:jc w:val="center"/>
        <w:rPr>
          <w:rFonts w:ascii="方正小标宋_GBK" w:hAnsi="方正小标宋_GBK" w:eastAsia="方正小标宋_GBK" w:cs="方正小标宋_GBK"/>
          <w:sz w:val="52"/>
          <w:szCs w:val="52"/>
        </w:rPr>
      </w:pPr>
      <w:r>
        <w:rPr>
          <w:rFonts w:hint="eastAsia" w:ascii="方正小标宋_GBK" w:hAnsi="方正小标宋_GBK" w:eastAsia="方正小标宋_GBK" w:cs="方正小标宋_GBK"/>
          <w:sz w:val="52"/>
          <w:szCs w:val="52"/>
        </w:rPr>
        <w:t>布局规划</w:t>
      </w:r>
      <w:bookmarkEnd w:id="3"/>
      <w:bookmarkEnd w:id="4"/>
      <w:bookmarkEnd w:id="5"/>
      <w:bookmarkEnd w:id="6"/>
    </w:p>
    <w:p>
      <w:pPr>
        <w:ind w:firstLine="640"/>
      </w:pPr>
    </w:p>
    <w:p>
      <w:pPr>
        <w:ind w:firstLine="640"/>
      </w:pPr>
    </w:p>
    <w:p>
      <w:pPr>
        <w:ind w:firstLine="640"/>
      </w:pPr>
    </w:p>
    <w:p>
      <w:pPr>
        <w:ind w:firstLine="640"/>
      </w:pPr>
    </w:p>
    <w:p>
      <w:pPr>
        <w:ind w:firstLine="640"/>
      </w:pPr>
    </w:p>
    <w:p>
      <w:pPr>
        <w:ind w:firstLine="640"/>
      </w:pPr>
    </w:p>
    <w:p>
      <w:pPr>
        <w:ind w:firstLine="640"/>
      </w:pPr>
    </w:p>
    <w:p>
      <w:pPr>
        <w:ind w:firstLine="640"/>
        <w:jc w:val="center"/>
      </w:pPr>
    </w:p>
    <w:p>
      <w:pPr>
        <w:ind w:firstLine="0" w:firstLineChars="0"/>
        <w:jc w:val="center"/>
        <w:rPr>
          <w:rFonts w:ascii="方正小标宋_GBK" w:hAnsi="方正小标宋_GBK" w:eastAsia="方正小标宋_GBK" w:cs="方正小标宋_GBK"/>
        </w:rPr>
      </w:pPr>
    </w:p>
    <w:p>
      <w:pPr>
        <w:ind w:firstLine="0" w:firstLineChars="0"/>
        <w:jc w:val="center"/>
        <w:rPr>
          <w:rFonts w:ascii="方正小标宋_GBK" w:hAnsi="方正小标宋_GBK" w:eastAsia="方正小标宋_GBK" w:cs="方正小标宋_GBK"/>
        </w:rPr>
      </w:pPr>
      <w:r>
        <w:rPr>
          <w:rFonts w:hint="eastAsia" w:ascii="方正小标宋_GBK" w:hAnsi="方正小标宋_GBK" w:eastAsia="方正小标宋_GBK" w:cs="方正小标宋_GBK"/>
        </w:rPr>
        <w:t>同心县工业信息化和商务局</w:t>
      </w:r>
    </w:p>
    <w:p>
      <w:pPr>
        <w:ind w:firstLine="0" w:firstLineChars="0"/>
        <w:jc w:val="center"/>
        <w:rPr>
          <w:rFonts w:ascii="方正小标宋_GBK" w:hAnsi="方正小标宋_GBK" w:eastAsia="方正小标宋_GBK" w:cs="方正小标宋_GBK"/>
          <w:b/>
          <w:bCs/>
          <w:szCs w:val="32"/>
        </w:rPr>
      </w:pPr>
      <w:r>
        <w:rPr>
          <w:rFonts w:hint="eastAsia" w:ascii="方正小标宋_GBK" w:hAnsi="方正小标宋_GBK" w:eastAsia="方正小标宋_GBK" w:cs="方正小标宋_GBK"/>
          <w:b/>
          <w:bCs/>
          <w:szCs w:val="32"/>
        </w:rPr>
        <w:t>二〇二</w:t>
      </w:r>
      <w:r>
        <w:rPr>
          <w:rFonts w:hint="eastAsia" w:ascii="方正小标宋_GBK" w:hAnsi="方正小标宋_GBK" w:eastAsia="方正小标宋_GBK" w:cs="方正小标宋_GBK"/>
          <w:b/>
          <w:bCs/>
          <w:szCs w:val="32"/>
          <w:lang w:eastAsia="zh-CN"/>
        </w:rPr>
        <w:t>三</w:t>
      </w:r>
      <w:r>
        <w:rPr>
          <w:rFonts w:hint="eastAsia" w:ascii="方正小标宋_GBK" w:hAnsi="方正小标宋_GBK" w:eastAsia="方正小标宋_GBK" w:cs="方正小标宋_GBK"/>
          <w:b/>
          <w:bCs/>
          <w:szCs w:val="32"/>
        </w:rPr>
        <w:t>年</w:t>
      </w:r>
      <w:r>
        <w:rPr>
          <w:rFonts w:hint="eastAsia" w:ascii="方正小标宋_GBK" w:hAnsi="方正小标宋_GBK" w:eastAsia="方正小标宋_GBK" w:cs="方正小标宋_GBK"/>
          <w:b/>
          <w:bCs/>
          <w:szCs w:val="32"/>
          <w:lang w:val="en-US" w:eastAsia="zh-CN"/>
        </w:rPr>
        <w:t>三</w:t>
      </w:r>
      <w:r>
        <w:rPr>
          <w:rFonts w:hint="eastAsia" w:ascii="方正小标宋_GBK" w:hAnsi="方正小标宋_GBK" w:eastAsia="方正小标宋_GBK" w:cs="方正小标宋_GBK"/>
          <w:b/>
          <w:bCs/>
          <w:szCs w:val="32"/>
        </w:rPr>
        <w:t>月</w:t>
      </w:r>
    </w:p>
    <w:p>
      <w:pPr>
        <w:spacing w:line="240" w:lineRule="auto"/>
        <w:ind w:firstLine="0" w:firstLineChars="0"/>
        <w:jc w:val="center"/>
        <w:rPr>
          <w:rFonts w:ascii="宋体" w:hAnsi="宋体" w:eastAsia="宋体"/>
          <w:sz w:val="21"/>
        </w:rPr>
      </w:pPr>
    </w:p>
    <w:p>
      <w:pPr>
        <w:pStyle w:val="2"/>
        <w:rPr>
          <w:rFonts w:ascii="宋体" w:hAnsi="宋体" w:eastAsia="宋体"/>
          <w:sz w:val="21"/>
        </w:rPr>
      </w:pPr>
    </w:p>
    <w:p>
      <w:pPr>
        <w:ind w:firstLine="0" w:firstLineChars="0"/>
        <w:jc w:val="center"/>
        <w:rPr>
          <w:rFonts w:hint="eastAsia" w:ascii="方正小标宋_GBK" w:hAnsi="方正小标宋_GBK" w:eastAsia="方正小标宋_GBK" w:cs="方正小标宋_GBK"/>
          <w:lang w:eastAsia="zh-CN"/>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pgBorders>
            <w:top w:val="none" w:sz="0" w:space="0"/>
            <w:left w:val="none" w:sz="0" w:space="0"/>
            <w:bottom w:val="none" w:sz="0" w:space="0"/>
            <w:right w:val="none" w:sz="0" w:space="0"/>
          </w:pgBorders>
          <w:pgNumType w:fmt="upperRoman"/>
          <w:cols w:space="425" w:num="1"/>
          <w:docGrid w:type="lines" w:linePitch="312" w:charSpace="0"/>
        </w:sectPr>
      </w:pPr>
      <w:r>
        <w:rPr>
          <w:rFonts w:hint="eastAsia" w:ascii="方正小标宋_GBK" w:hAnsi="方正小标宋_GBK" w:eastAsia="方正小标宋_GBK" w:cs="方正小标宋_GBK"/>
          <w:lang w:eastAsia="zh-CN"/>
        </w:rPr>
        <w:t>（征求意见稿）</w:t>
      </w:r>
      <w:bookmarkStart w:id="238" w:name="_GoBack"/>
      <w:bookmarkEnd w:id="238"/>
    </w:p>
    <w:sdt>
      <w:sdtPr>
        <w:rPr>
          <w:rFonts w:ascii="宋体" w:hAnsi="宋体" w:eastAsia="宋体" w:cstheme="minorBidi"/>
          <w:kern w:val="2"/>
          <w:sz w:val="21"/>
          <w:szCs w:val="24"/>
          <w:lang w:val="en-US" w:eastAsia="zh-CN" w:bidi="ar-SA"/>
        </w:rPr>
        <w:id w:val="147466127"/>
        <w15:color w:val="DBDBDB"/>
      </w:sdtPr>
      <w:sdtEndPr>
        <w:rPr>
          <w:rFonts w:ascii="Times New Roman" w:hAnsi="Times New Roman" w:eastAsia="黑体" w:cstheme="minorBidi"/>
          <w:b/>
          <w:kern w:val="44"/>
          <w:sz w:val="32"/>
          <w:szCs w:val="24"/>
          <w:lang w:val="en-US" w:eastAsia="zh-CN" w:bidi="ar-SA"/>
        </w:rPr>
      </w:sdtEndPr>
      <w:sdtContent>
        <w:p>
          <w:pPr>
            <w:spacing w:before="0" w:beforeLines="0" w:after="0" w:afterLines="0" w:line="240" w:lineRule="auto"/>
            <w:ind w:left="0" w:leftChars="0" w:right="0" w:rightChars="0" w:firstLine="0" w:firstLineChars="0"/>
            <w:jc w:val="center"/>
          </w:pPr>
        </w:p>
        <w:sdt>
          <w:sdtPr>
            <w:rPr>
              <w:rFonts w:ascii="宋体" w:hAnsi="宋体" w:eastAsia="宋体" w:cstheme="minorBidi"/>
              <w:kern w:val="2"/>
              <w:sz w:val="21"/>
              <w:szCs w:val="24"/>
              <w:lang w:val="en-US" w:eastAsia="zh-CN" w:bidi="ar-SA"/>
            </w:rPr>
            <w:id w:val="147464151"/>
            <w15:color w:val="DBDBDB"/>
            <w:docPartObj>
              <w:docPartGallery w:val="Table of Contents"/>
              <w:docPartUnique/>
            </w:docPartObj>
          </w:sdtPr>
          <w:sdtEndPr>
            <w:rPr>
              <w:rFonts w:ascii="宋体" w:hAnsi="宋体" w:eastAsia="宋体" w:cstheme="minorBidi"/>
              <w:b/>
              <w:kern w:val="2"/>
              <w:sz w:val="21"/>
              <w:szCs w:val="24"/>
              <w:lang w:val="en-US" w:eastAsia="zh-CN" w:bidi="ar-SA"/>
            </w:rPr>
          </w:sdtEndPr>
          <w:sdtContent>
            <w:p>
              <w:pPr>
                <w:spacing w:before="0" w:beforeLines="0" w:after="0" w:afterLines="0" w:line="240" w:lineRule="auto"/>
                <w:ind w:left="0" w:leftChars="0" w:right="0" w:rightChars="0" w:firstLine="0" w:firstLineChars="0"/>
                <w:jc w:val="center"/>
              </w:pPr>
              <w:r>
                <w:rPr>
                  <w:rFonts w:hint="eastAsia" w:ascii="黑体" w:hAnsi="黑体" w:eastAsia="黑体" w:cs="黑体"/>
                  <w:sz w:val="32"/>
                  <w:szCs w:val="32"/>
                </w:rPr>
                <w:t>目</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录</w:t>
              </w:r>
            </w:p>
            <w:p>
              <w:pPr>
                <w:pStyle w:val="41"/>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TOC \o "1-2" \h \u </w:instrText>
              </w:r>
              <w:r>
                <w:rPr>
                  <w:rFonts w:hint="default" w:eastAsia="仿宋_GB2312"/>
                  <w:b w:val="0"/>
                  <w:bCs w:val="0"/>
                  <w:sz w:val="32"/>
                  <w:szCs w:val="32"/>
                </w:rPr>
                <w:fldChar w:fldCharType="separate"/>
              </w:r>
              <w:r>
                <w:rPr>
                  <w:rFonts w:hint="default" w:eastAsia="仿宋_GB2312"/>
                  <w:b w:val="0"/>
                  <w:bCs w:val="0"/>
                  <w:sz w:val="32"/>
                  <w:szCs w:val="32"/>
                </w:rPr>
                <w:fldChar w:fldCharType="begin"/>
              </w:r>
              <w:r>
                <w:rPr>
                  <w:rFonts w:hint="default" w:eastAsia="仿宋_GB2312"/>
                  <w:b w:val="0"/>
                  <w:bCs w:val="0"/>
                  <w:sz w:val="32"/>
                  <w:szCs w:val="32"/>
                </w:rPr>
                <w:instrText xml:space="preserve"> HYPERLINK \l _Toc18077 </w:instrText>
              </w:r>
              <w:r>
                <w:rPr>
                  <w:rFonts w:hint="default" w:eastAsia="仿宋_GB2312"/>
                  <w:b w:val="0"/>
                  <w:bCs w:val="0"/>
                  <w:sz w:val="32"/>
                  <w:szCs w:val="32"/>
                </w:rPr>
                <w:fldChar w:fldCharType="separate"/>
              </w:r>
              <w:r>
                <w:rPr>
                  <w:rFonts w:hint="default" w:ascii="Times New Roman" w:hAnsi="Times New Roman" w:eastAsia="仿宋_GB2312" w:cs="Times New Roman"/>
                  <w:b w:val="0"/>
                  <w:bCs w:val="0"/>
                  <w:sz w:val="32"/>
                  <w:szCs w:val="32"/>
                  <w:lang w:val="en-US" w:eastAsia="zh-CN"/>
                </w:rPr>
                <w:t>前 言</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_Toc18077 \h </w:instrText>
              </w:r>
              <w:r>
                <w:rPr>
                  <w:rFonts w:hint="default" w:eastAsia="仿宋_GB2312"/>
                  <w:b w:val="0"/>
                  <w:bCs w:val="0"/>
                  <w:sz w:val="32"/>
                  <w:szCs w:val="32"/>
                </w:rPr>
                <w:fldChar w:fldCharType="separate"/>
              </w:r>
              <w:r>
                <w:rPr>
                  <w:rFonts w:hint="default" w:eastAsia="仿宋_GB2312"/>
                  <w:b w:val="0"/>
                  <w:bCs w:val="0"/>
                  <w:sz w:val="32"/>
                  <w:szCs w:val="32"/>
                </w:rPr>
                <w:t>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1"/>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_Toc2210 </w:instrText>
              </w:r>
              <w:r>
                <w:rPr>
                  <w:rFonts w:hint="default" w:eastAsia="仿宋_GB2312"/>
                  <w:b w:val="0"/>
                  <w:bCs w:val="0"/>
                  <w:sz w:val="32"/>
                  <w:szCs w:val="32"/>
                </w:rPr>
                <w:fldChar w:fldCharType="separate"/>
              </w:r>
              <w:r>
                <w:rPr>
                  <w:rFonts w:hint="default" w:eastAsia="仿宋_GB2312"/>
                  <w:b w:val="0"/>
                  <w:bCs w:val="0"/>
                  <w:sz w:val="32"/>
                  <w:szCs w:val="32"/>
                  <w:lang w:val="en-US" w:eastAsia="zh-CN"/>
                </w:rPr>
                <w:t>一、</w:t>
              </w:r>
              <w:r>
                <w:rPr>
                  <w:rFonts w:hint="default" w:eastAsia="仿宋_GB2312"/>
                  <w:b w:val="0"/>
                  <w:bCs w:val="0"/>
                  <w:sz w:val="32"/>
                  <w:szCs w:val="32"/>
                </w:rPr>
                <w:t>规划背景</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_Toc2210 \h </w:instrText>
              </w:r>
              <w:r>
                <w:rPr>
                  <w:rFonts w:hint="default" w:eastAsia="仿宋_GB2312"/>
                  <w:b w:val="0"/>
                  <w:bCs w:val="0"/>
                  <w:sz w:val="32"/>
                  <w:szCs w:val="32"/>
                </w:rPr>
                <w:fldChar w:fldCharType="separate"/>
              </w:r>
              <w:r>
                <w:rPr>
                  <w:rFonts w:hint="default" w:eastAsia="仿宋_GB2312"/>
                  <w:b w:val="0"/>
                  <w:bCs w:val="0"/>
                  <w:sz w:val="32"/>
                  <w:szCs w:val="32"/>
                </w:rPr>
                <w:t>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_Toc26370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一</w:t>
              </w:r>
              <w:r>
                <w:rPr>
                  <w:rFonts w:hint="default" w:eastAsia="仿宋_GB2312"/>
                  <w:b w:val="0"/>
                  <w:bCs w:val="0"/>
                  <w:sz w:val="32"/>
                  <w:szCs w:val="32"/>
                  <w:lang w:eastAsia="zh-CN"/>
                </w:rPr>
                <w:t>）</w:t>
              </w:r>
              <w:r>
                <w:rPr>
                  <w:rFonts w:hint="default" w:eastAsia="仿宋_GB2312"/>
                  <w:b w:val="0"/>
                  <w:bCs w:val="0"/>
                  <w:sz w:val="32"/>
                  <w:szCs w:val="32"/>
                </w:rPr>
                <w:t>社会经济及产业发展概况</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_Toc26370 \h </w:instrText>
              </w:r>
              <w:r>
                <w:rPr>
                  <w:rFonts w:hint="default" w:eastAsia="仿宋_GB2312"/>
                  <w:b w:val="0"/>
                  <w:bCs w:val="0"/>
                  <w:sz w:val="32"/>
                  <w:szCs w:val="32"/>
                </w:rPr>
                <w:fldChar w:fldCharType="separate"/>
              </w:r>
              <w:r>
                <w:rPr>
                  <w:rFonts w:hint="default" w:eastAsia="仿宋_GB2312"/>
                  <w:b w:val="0"/>
                  <w:bCs w:val="0"/>
                  <w:sz w:val="32"/>
                  <w:szCs w:val="32"/>
                </w:rPr>
                <w:t>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_Toc11143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二</w:t>
              </w:r>
              <w:r>
                <w:rPr>
                  <w:rFonts w:hint="default" w:eastAsia="仿宋_GB2312"/>
                  <w:b w:val="0"/>
                  <w:bCs w:val="0"/>
                  <w:sz w:val="32"/>
                  <w:szCs w:val="32"/>
                  <w:lang w:eastAsia="zh-CN"/>
                </w:rPr>
                <w:t>）</w:t>
              </w:r>
              <w:r>
                <w:rPr>
                  <w:rFonts w:hint="default" w:eastAsia="仿宋_GB2312"/>
                  <w:b w:val="0"/>
                  <w:bCs w:val="0"/>
                  <w:sz w:val="32"/>
                  <w:szCs w:val="32"/>
                </w:rPr>
                <w:t>现状商业网点发展概况</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_Toc11143 \h </w:instrText>
              </w:r>
              <w:r>
                <w:rPr>
                  <w:rFonts w:hint="default" w:eastAsia="仿宋_GB2312"/>
                  <w:b w:val="0"/>
                  <w:bCs w:val="0"/>
                  <w:sz w:val="32"/>
                  <w:szCs w:val="32"/>
                </w:rPr>
                <w:fldChar w:fldCharType="separate"/>
              </w:r>
              <w:r>
                <w:rPr>
                  <w:rFonts w:hint="default" w:eastAsia="仿宋_GB2312"/>
                  <w:b w:val="0"/>
                  <w:bCs w:val="0"/>
                  <w:sz w:val="32"/>
                  <w:szCs w:val="32"/>
                </w:rPr>
                <w:t>4</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_Toc6201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三</w:t>
              </w:r>
              <w:r>
                <w:rPr>
                  <w:rFonts w:hint="default" w:eastAsia="仿宋_GB2312"/>
                  <w:b w:val="0"/>
                  <w:bCs w:val="0"/>
                  <w:sz w:val="32"/>
                  <w:szCs w:val="32"/>
                  <w:lang w:eastAsia="zh-CN"/>
                </w:rPr>
                <w:t>）</w:t>
              </w:r>
              <w:r>
                <w:rPr>
                  <w:rFonts w:hint="default" w:eastAsia="仿宋_GB2312"/>
                  <w:b w:val="0"/>
                  <w:bCs w:val="0"/>
                  <w:sz w:val="32"/>
                  <w:szCs w:val="32"/>
                </w:rPr>
                <w:t>主要问题</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_Toc6201 \h </w:instrText>
              </w:r>
              <w:r>
                <w:rPr>
                  <w:rFonts w:hint="default" w:eastAsia="仿宋_GB2312"/>
                  <w:b w:val="0"/>
                  <w:bCs w:val="0"/>
                  <w:sz w:val="32"/>
                  <w:szCs w:val="32"/>
                </w:rPr>
                <w:fldChar w:fldCharType="separate"/>
              </w:r>
              <w:r>
                <w:rPr>
                  <w:rFonts w:hint="default" w:eastAsia="仿宋_GB2312"/>
                  <w:b w:val="0"/>
                  <w:bCs w:val="0"/>
                  <w:sz w:val="32"/>
                  <w:szCs w:val="32"/>
                </w:rPr>
                <w:t>16</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1"/>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_Toc22477 </w:instrText>
              </w:r>
              <w:r>
                <w:rPr>
                  <w:rFonts w:hint="default" w:eastAsia="仿宋_GB2312"/>
                  <w:b w:val="0"/>
                  <w:bCs w:val="0"/>
                  <w:sz w:val="32"/>
                  <w:szCs w:val="32"/>
                </w:rPr>
                <w:fldChar w:fldCharType="separate"/>
              </w:r>
              <w:r>
                <w:rPr>
                  <w:rFonts w:hint="default" w:eastAsia="仿宋_GB2312"/>
                  <w:b w:val="0"/>
                  <w:bCs w:val="0"/>
                  <w:sz w:val="32"/>
                  <w:szCs w:val="32"/>
                  <w:lang w:val="en-US" w:eastAsia="zh-CN"/>
                </w:rPr>
                <w:t>二、</w:t>
              </w:r>
              <w:r>
                <w:rPr>
                  <w:rFonts w:hint="default" w:eastAsia="仿宋_GB2312"/>
                  <w:b w:val="0"/>
                  <w:bCs w:val="0"/>
                  <w:sz w:val="32"/>
                  <w:szCs w:val="32"/>
                </w:rPr>
                <w:t>总体要求</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_Toc22477 \h </w:instrText>
              </w:r>
              <w:r>
                <w:rPr>
                  <w:rFonts w:hint="default" w:eastAsia="仿宋_GB2312"/>
                  <w:b w:val="0"/>
                  <w:bCs w:val="0"/>
                  <w:sz w:val="32"/>
                  <w:szCs w:val="32"/>
                </w:rPr>
                <w:fldChar w:fldCharType="separate"/>
              </w:r>
              <w:r>
                <w:rPr>
                  <w:rFonts w:hint="default" w:eastAsia="仿宋_GB2312"/>
                  <w:b w:val="0"/>
                  <w:bCs w:val="0"/>
                  <w:sz w:val="32"/>
                  <w:szCs w:val="32"/>
                </w:rPr>
                <w:t>18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_Toc10950 </w:instrText>
              </w:r>
              <w:r>
                <w:rPr>
                  <w:rFonts w:hint="default" w:eastAsia="仿宋_GB2312"/>
                  <w:b w:val="0"/>
                  <w:bCs w:val="0"/>
                  <w:sz w:val="32"/>
                  <w:szCs w:val="32"/>
                </w:rPr>
                <w:fldChar w:fldCharType="separate"/>
              </w:r>
              <w:r>
                <w:rPr>
                  <w:rFonts w:hint="default" w:eastAsia="仿宋_GB2312"/>
                  <w:b w:val="0"/>
                  <w:bCs w:val="0"/>
                  <w:sz w:val="32"/>
                  <w:szCs w:val="32"/>
                </w:rPr>
                <w:t>（一）规划范围</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_Toc10950 \h </w:instrText>
              </w:r>
              <w:r>
                <w:rPr>
                  <w:rFonts w:hint="default" w:eastAsia="仿宋_GB2312"/>
                  <w:b w:val="0"/>
                  <w:bCs w:val="0"/>
                  <w:sz w:val="32"/>
                  <w:szCs w:val="32"/>
                </w:rPr>
                <w:fldChar w:fldCharType="separate"/>
              </w:r>
              <w:r>
                <w:rPr>
                  <w:rFonts w:hint="default" w:eastAsia="仿宋_GB2312"/>
                  <w:b w:val="0"/>
                  <w:bCs w:val="0"/>
                  <w:sz w:val="32"/>
                  <w:szCs w:val="32"/>
                </w:rPr>
                <w:t>18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_Toc21675 </w:instrText>
              </w:r>
              <w:r>
                <w:rPr>
                  <w:rFonts w:hint="default" w:eastAsia="仿宋_GB2312"/>
                  <w:b w:val="0"/>
                  <w:bCs w:val="0"/>
                  <w:sz w:val="32"/>
                  <w:szCs w:val="32"/>
                </w:rPr>
                <w:fldChar w:fldCharType="separate"/>
              </w:r>
              <w:r>
                <w:rPr>
                  <w:rFonts w:hint="default" w:eastAsia="仿宋_GB2312"/>
                  <w:b w:val="0"/>
                  <w:bCs w:val="0"/>
                  <w:sz w:val="32"/>
                  <w:szCs w:val="32"/>
                </w:rPr>
                <w:t>（二）规划对象</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_Toc21675 \h </w:instrText>
              </w:r>
              <w:r>
                <w:rPr>
                  <w:rFonts w:hint="default" w:eastAsia="仿宋_GB2312"/>
                  <w:b w:val="0"/>
                  <w:bCs w:val="0"/>
                  <w:sz w:val="32"/>
                  <w:szCs w:val="32"/>
                </w:rPr>
                <w:fldChar w:fldCharType="separate"/>
              </w:r>
              <w:r>
                <w:rPr>
                  <w:rFonts w:hint="default" w:eastAsia="仿宋_GB2312"/>
                  <w:b w:val="0"/>
                  <w:bCs w:val="0"/>
                  <w:sz w:val="32"/>
                  <w:szCs w:val="32"/>
                </w:rPr>
                <w:t>18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_Toc9915 </w:instrText>
              </w:r>
              <w:r>
                <w:rPr>
                  <w:rFonts w:hint="default" w:eastAsia="仿宋_GB2312"/>
                  <w:b w:val="0"/>
                  <w:bCs w:val="0"/>
                  <w:sz w:val="32"/>
                  <w:szCs w:val="32"/>
                </w:rPr>
                <w:fldChar w:fldCharType="separate"/>
              </w:r>
              <w:r>
                <w:rPr>
                  <w:rFonts w:hint="default" w:eastAsia="仿宋_GB2312"/>
                  <w:b w:val="0"/>
                  <w:bCs w:val="0"/>
                  <w:sz w:val="32"/>
                  <w:szCs w:val="32"/>
                </w:rPr>
                <w:t>（三）规划期限</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_Toc9915 \h </w:instrText>
              </w:r>
              <w:r>
                <w:rPr>
                  <w:rFonts w:hint="default" w:eastAsia="仿宋_GB2312"/>
                  <w:b w:val="0"/>
                  <w:bCs w:val="0"/>
                  <w:sz w:val="32"/>
                  <w:szCs w:val="32"/>
                </w:rPr>
                <w:fldChar w:fldCharType="separate"/>
              </w:r>
              <w:r>
                <w:rPr>
                  <w:rFonts w:hint="default" w:eastAsia="仿宋_GB2312"/>
                  <w:b w:val="0"/>
                  <w:bCs w:val="0"/>
                  <w:sz w:val="32"/>
                  <w:szCs w:val="32"/>
                </w:rPr>
                <w:t>18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_Toc22720 </w:instrText>
              </w:r>
              <w:r>
                <w:rPr>
                  <w:rFonts w:hint="default" w:eastAsia="仿宋_GB2312"/>
                  <w:b w:val="0"/>
                  <w:bCs w:val="0"/>
                  <w:sz w:val="32"/>
                  <w:szCs w:val="32"/>
                </w:rPr>
                <w:fldChar w:fldCharType="separate"/>
              </w:r>
              <w:r>
                <w:rPr>
                  <w:rFonts w:hint="default" w:eastAsia="仿宋_GB2312"/>
                  <w:b w:val="0"/>
                  <w:bCs w:val="0"/>
                  <w:sz w:val="32"/>
                  <w:szCs w:val="32"/>
                </w:rPr>
                <w:t>（四）规划依据</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_Toc22720 \h </w:instrText>
              </w:r>
              <w:r>
                <w:rPr>
                  <w:rFonts w:hint="default" w:eastAsia="仿宋_GB2312"/>
                  <w:b w:val="0"/>
                  <w:bCs w:val="0"/>
                  <w:sz w:val="32"/>
                  <w:szCs w:val="32"/>
                </w:rPr>
                <w:fldChar w:fldCharType="separate"/>
              </w:r>
              <w:r>
                <w:rPr>
                  <w:rFonts w:hint="default" w:eastAsia="仿宋_GB2312"/>
                  <w:b w:val="0"/>
                  <w:bCs w:val="0"/>
                  <w:sz w:val="32"/>
                  <w:szCs w:val="32"/>
                </w:rPr>
                <w:t>18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_Toc17353 </w:instrText>
              </w:r>
              <w:r>
                <w:rPr>
                  <w:rFonts w:hint="default" w:eastAsia="仿宋_GB2312"/>
                  <w:b w:val="0"/>
                  <w:bCs w:val="0"/>
                  <w:sz w:val="32"/>
                  <w:szCs w:val="32"/>
                </w:rPr>
                <w:fldChar w:fldCharType="separate"/>
              </w:r>
              <w:r>
                <w:rPr>
                  <w:rFonts w:hint="default" w:eastAsia="仿宋_GB2312"/>
                  <w:b w:val="0"/>
                  <w:bCs w:val="0"/>
                  <w:sz w:val="32"/>
                  <w:szCs w:val="32"/>
                </w:rPr>
                <w:t>（五）指导思想</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_Toc17353 \h </w:instrText>
              </w:r>
              <w:r>
                <w:rPr>
                  <w:rFonts w:hint="default" w:eastAsia="仿宋_GB2312"/>
                  <w:b w:val="0"/>
                  <w:bCs w:val="0"/>
                  <w:sz w:val="32"/>
                  <w:szCs w:val="32"/>
                </w:rPr>
                <w:fldChar w:fldCharType="separate"/>
              </w:r>
              <w:r>
                <w:rPr>
                  <w:rFonts w:hint="default" w:eastAsia="仿宋_GB2312"/>
                  <w:b w:val="0"/>
                  <w:bCs w:val="0"/>
                  <w:sz w:val="32"/>
                  <w:szCs w:val="32"/>
                </w:rPr>
                <w:t>20</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_Toc21078 </w:instrText>
              </w:r>
              <w:r>
                <w:rPr>
                  <w:rFonts w:hint="default" w:eastAsia="仿宋_GB2312"/>
                  <w:b w:val="0"/>
                  <w:bCs w:val="0"/>
                  <w:sz w:val="32"/>
                  <w:szCs w:val="32"/>
                </w:rPr>
                <w:fldChar w:fldCharType="separate"/>
              </w:r>
              <w:r>
                <w:rPr>
                  <w:rFonts w:hint="default" w:eastAsia="仿宋_GB2312"/>
                  <w:b w:val="0"/>
                  <w:bCs w:val="0"/>
                  <w:sz w:val="32"/>
                  <w:szCs w:val="32"/>
                </w:rPr>
                <w:t>（六）基本原则</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_Toc21078 \h </w:instrText>
              </w:r>
              <w:r>
                <w:rPr>
                  <w:rFonts w:hint="default" w:eastAsia="仿宋_GB2312"/>
                  <w:b w:val="0"/>
                  <w:bCs w:val="0"/>
                  <w:sz w:val="32"/>
                  <w:szCs w:val="32"/>
                </w:rPr>
                <w:fldChar w:fldCharType="separate"/>
              </w:r>
              <w:r>
                <w:rPr>
                  <w:rFonts w:hint="default" w:eastAsia="仿宋_GB2312"/>
                  <w:b w:val="0"/>
                  <w:bCs w:val="0"/>
                  <w:sz w:val="32"/>
                  <w:szCs w:val="32"/>
                </w:rPr>
                <w:t>21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_Toc32485 </w:instrText>
              </w:r>
              <w:r>
                <w:rPr>
                  <w:rFonts w:hint="default" w:eastAsia="仿宋_GB2312"/>
                  <w:b w:val="0"/>
                  <w:bCs w:val="0"/>
                  <w:sz w:val="32"/>
                  <w:szCs w:val="32"/>
                </w:rPr>
                <w:fldChar w:fldCharType="separate"/>
              </w:r>
              <w:r>
                <w:rPr>
                  <w:rFonts w:hint="default" w:eastAsia="仿宋_GB2312"/>
                  <w:b w:val="0"/>
                  <w:bCs w:val="0"/>
                  <w:sz w:val="32"/>
                  <w:szCs w:val="32"/>
                </w:rPr>
                <w:t>（七）发展目标</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_Toc32485 \h </w:instrText>
              </w:r>
              <w:r>
                <w:rPr>
                  <w:rFonts w:hint="default" w:eastAsia="仿宋_GB2312"/>
                  <w:b w:val="0"/>
                  <w:bCs w:val="0"/>
                  <w:sz w:val="32"/>
                  <w:szCs w:val="32"/>
                </w:rPr>
                <w:fldChar w:fldCharType="separate"/>
              </w:r>
              <w:r>
                <w:rPr>
                  <w:rFonts w:hint="default" w:eastAsia="仿宋_GB2312"/>
                  <w:b w:val="0"/>
                  <w:bCs w:val="0"/>
                  <w:sz w:val="32"/>
                  <w:szCs w:val="32"/>
                </w:rPr>
                <w:t>21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1"/>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_Toc23296 </w:instrText>
              </w:r>
              <w:r>
                <w:rPr>
                  <w:rFonts w:hint="default" w:eastAsia="仿宋_GB2312"/>
                  <w:b w:val="0"/>
                  <w:bCs w:val="0"/>
                  <w:sz w:val="32"/>
                  <w:szCs w:val="32"/>
                </w:rPr>
                <w:fldChar w:fldCharType="separate"/>
              </w:r>
              <w:r>
                <w:rPr>
                  <w:rFonts w:hint="default" w:eastAsia="仿宋_GB2312"/>
                  <w:b w:val="0"/>
                  <w:bCs w:val="0"/>
                  <w:sz w:val="32"/>
                  <w:szCs w:val="32"/>
                  <w:lang w:val="en-US" w:eastAsia="zh-CN"/>
                </w:rPr>
                <w:t>三、</w:t>
              </w:r>
              <w:r>
                <w:rPr>
                  <w:rFonts w:hint="default" w:eastAsia="仿宋_GB2312"/>
                  <w:b w:val="0"/>
                  <w:bCs w:val="0"/>
                  <w:sz w:val="32"/>
                  <w:szCs w:val="32"/>
                </w:rPr>
                <w:t>商业中心体系布局</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_Toc23296 \h </w:instrText>
              </w:r>
              <w:r>
                <w:rPr>
                  <w:rFonts w:hint="default" w:eastAsia="仿宋_GB2312"/>
                  <w:b w:val="0"/>
                  <w:bCs w:val="0"/>
                  <w:sz w:val="32"/>
                  <w:szCs w:val="32"/>
                </w:rPr>
                <w:fldChar w:fldCharType="separate"/>
              </w:r>
              <w:r>
                <w:rPr>
                  <w:rFonts w:hint="default" w:eastAsia="仿宋_GB2312"/>
                  <w:b w:val="0"/>
                  <w:bCs w:val="0"/>
                  <w:sz w:val="32"/>
                  <w:szCs w:val="32"/>
                </w:rPr>
                <w:t>22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_Toc8710 </w:instrText>
              </w:r>
              <w:r>
                <w:rPr>
                  <w:rFonts w:hint="default" w:eastAsia="仿宋_GB2312"/>
                  <w:b w:val="0"/>
                  <w:bCs w:val="0"/>
                  <w:sz w:val="32"/>
                  <w:szCs w:val="32"/>
                </w:rPr>
                <w:fldChar w:fldCharType="separate"/>
              </w:r>
              <w:r>
                <w:rPr>
                  <w:rFonts w:hint="default" w:eastAsia="仿宋_GB2312"/>
                  <w:b w:val="0"/>
                  <w:bCs w:val="0"/>
                  <w:sz w:val="32"/>
                  <w:szCs w:val="32"/>
                </w:rPr>
                <w:t>（一）县级商业中心</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_Toc8710 \h </w:instrText>
              </w:r>
              <w:r>
                <w:rPr>
                  <w:rFonts w:hint="default" w:eastAsia="仿宋_GB2312"/>
                  <w:b w:val="0"/>
                  <w:bCs w:val="0"/>
                  <w:sz w:val="32"/>
                  <w:szCs w:val="32"/>
                </w:rPr>
                <w:fldChar w:fldCharType="separate"/>
              </w:r>
              <w:r>
                <w:rPr>
                  <w:rFonts w:hint="default" w:eastAsia="仿宋_GB2312"/>
                  <w:b w:val="0"/>
                  <w:bCs w:val="0"/>
                  <w:sz w:val="32"/>
                  <w:szCs w:val="32"/>
                </w:rPr>
                <w:t>23</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_Toc30945 </w:instrText>
              </w:r>
              <w:r>
                <w:rPr>
                  <w:rFonts w:hint="default" w:eastAsia="仿宋_GB2312"/>
                  <w:b w:val="0"/>
                  <w:bCs w:val="0"/>
                  <w:sz w:val="32"/>
                  <w:szCs w:val="32"/>
                </w:rPr>
                <w:fldChar w:fldCharType="separate"/>
              </w:r>
              <w:r>
                <w:rPr>
                  <w:rFonts w:hint="default" w:eastAsia="仿宋_GB2312"/>
                  <w:b w:val="0"/>
                  <w:bCs w:val="0"/>
                  <w:sz w:val="32"/>
                  <w:szCs w:val="32"/>
                </w:rPr>
                <w:t>（二）区域商业中心</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_Toc30945 \h </w:instrText>
              </w:r>
              <w:r>
                <w:rPr>
                  <w:rFonts w:hint="default" w:eastAsia="仿宋_GB2312"/>
                  <w:b w:val="0"/>
                  <w:bCs w:val="0"/>
                  <w:sz w:val="32"/>
                  <w:szCs w:val="32"/>
                </w:rPr>
                <w:fldChar w:fldCharType="separate"/>
              </w:r>
              <w:r>
                <w:rPr>
                  <w:rFonts w:hint="default" w:eastAsia="仿宋_GB2312"/>
                  <w:b w:val="0"/>
                  <w:bCs w:val="0"/>
                  <w:sz w:val="32"/>
                  <w:szCs w:val="32"/>
                </w:rPr>
                <w:t>24</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_Toc30396 </w:instrText>
              </w:r>
              <w:r>
                <w:rPr>
                  <w:rFonts w:hint="default" w:eastAsia="仿宋_GB2312"/>
                  <w:b w:val="0"/>
                  <w:bCs w:val="0"/>
                  <w:sz w:val="32"/>
                  <w:szCs w:val="32"/>
                </w:rPr>
                <w:fldChar w:fldCharType="separate"/>
              </w:r>
              <w:r>
                <w:rPr>
                  <w:rFonts w:hint="default" w:eastAsia="仿宋_GB2312"/>
                  <w:b w:val="0"/>
                  <w:bCs w:val="0"/>
                  <w:sz w:val="32"/>
                  <w:szCs w:val="32"/>
                </w:rPr>
                <w:t>（三）特色商业街区</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_Toc30396 \h </w:instrText>
              </w:r>
              <w:r>
                <w:rPr>
                  <w:rFonts w:hint="default" w:eastAsia="仿宋_GB2312"/>
                  <w:b w:val="0"/>
                  <w:bCs w:val="0"/>
                  <w:sz w:val="32"/>
                  <w:szCs w:val="32"/>
                </w:rPr>
                <w:fldChar w:fldCharType="separate"/>
              </w:r>
              <w:r>
                <w:rPr>
                  <w:rFonts w:hint="default" w:eastAsia="仿宋_GB2312"/>
                  <w:b w:val="0"/>
                  <w:bCs w:val="0"/>
                  <w:sz w:val="32"/>
                  <w:szCs w:val="32"/>
                </w:rPr>
                <w:t>25</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_Toc9045 </w:instrText>
              </w:r>
              <w:r>
                <w:rPr>
                  <w:rFonts w:hint="default" w:eastAsia="仿宋_GB2312"/>
                  <w:b w:val="0"/>
                  <w:bCs w:val="0"/>
                  <w:sz w:val="32"/>
                  <w:szCs w:val="32"/>
                </w:rPr>
                <w:fldChar w:fldCharType="separate"/>
              </w:r>
              <w:r>
                <w:rPr>
                  <w:rFonts w:hint="default" w:eastAsia="仿宋_GB2312"/>
                  <w:b w:val="0"/>
                  <w:bCs w:val="0"/>
                  <w:sz w:val="32"/>
                  <w:szCs w:val="32"/>
                </w:rPr>
                <w:t>（</w:t>
              </w:r>
              <w:r>
                <w:rPr>
                  <w:rFonts w:hint="default" w:eastAsia="仿宋_GB2312"/>
                  <w:b w:val="0"/>
                  <w:bCs w:val="0"/>
                  <w:sz w:val="32"/>
                  <w:szCs w:val="32"/>
                  <w:lang w:val="en-US" w:eastAsia="zh-Hans"/>
                </w:rPr>
                <w:t>四</w:t>
              </w:r>
              <w:r>
                <w:rPr>
                  <w:rFonts w:hint="default" w:eastAsia="仿宋_GB2312"/>
                  <w:b w:val="0"/>
                  <w:bCs w:val="0"/>
                  <w:sz w:val="32"/>
                  <w:szCs w:val="32"/>
                  <w:lang w:eastAsia="zh-Hans"/>
                </w:rPr>
                <w:t>）</w:t>
              </w:r>
              <w:r>
                <w:rPr>
                  <w:rFonts w:hint="default" w:eastAsia="仿宋_GB2312"/>
                  <w:b w:val="0"/>
                  <w:bCs w:val="0"/>
                  <w:sz w:val="32"/>
                  <w:szCs w:val="32"/>
                </w:rPr>
                <w:t>社区商业中心</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_Toc9045 \h </w:instrText>
              </w:r>
              <w:r>
                <w:rPr>
                  <w:rFonts w:hint="default" w:eastAsia="仿宋_GB2312"/>
                  <w:b w:val="0"/>
                  <w:bCs w:val="0"/>
                  <w:sz w:val="32"/>
                  <w:szCs w:val="32"/>
                </w:rPr>
                <w:fldChar w:fldCharType="separate"/>
              </w:r>
              <w:r>
                <w:rPr>
                  <w:rFonts w:hint="default" w:eastAsia="仿宋_GB2312"/>
                  <w:b w:val="0"/>
                  <w:bCs w:val="0"/>
                  <w:sz w:val="32"/>
                  <w:szCs w:val="32"/>
                </w:rPr>
                <w:t>28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_Toc28127 </w:instrText>
              </w:r>
              <w:r>
                <w:rPr>
                  <w:rFonts w:hint="default" w:eastAsia="仿宋_GB2312"/>
                  <w:b w:val="0"/>
                  <w:bCs w:val="0"/>
                  <w:sz w:val="32"/>
                  <w:szCs w:val="32"/>
                </w:rPr>
                <w:fldChar w:fldCharType="separate"/>
              </w:r>
              <w:r>
                <w:rPr>
                  <w:rFonts w:hint="default" w:eastAsia="仿宋_GB2312"/>
                  <w:b w:val="0"/>
                  <w:bCs w:val="0"/>
                  <w:sz w:val="32"/>
                  <w:szCs w:val="32"/>
                </w:rPr>
                <w:t>（五）乡镇</w:t>
              </w:r>
              <w:r>
                <w:rPr>
                  <w:rFonts w:hint="default" w:eastAsia="仿宋_GB2312"/>
                  <w:b w:val="0"/>
                  <w:bCs w:val="0"/>
                  <w:sz w:val="32"/>
                  <w:szCs w:val="32"/>
                  <w:lang w:val="en-US"/>
                </w:rPr>
                <w:t>商业</w:t>
              </w:r>
              <w:r>
                <w:rPr>
                  <w:rFonts w:hint="default" w:eastAsia="仿宋_GB2312"/>
                  <w:b w:val="0"/>
                  <w:bCs w:val="0"/>
                  <w:sz w:val="32"/>
                  <w:szCs w:val="32"/>
                </w:rPr>
                <w:t>中心</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_Toc28127 \h </w:instrText>
              </w:r>
              <w:r>
                <w:rPr>
                  <w:rFonts w:hint="default" w:eastAsia="仿宋_GB2312"/>
                  <w:b w:val="0"/>
                  <w:bCs w:val="0"/>
                  <w:sz w:val="32"/>
                  <w:szCs w:val="32"/>
                </w:rPr>
                <w:fldChar w:fldCharType="separate"/>
              </w:r>
              <w:r>
                <w:rPr>
                  <w:rFonts w:hint="default" w:eastAsia="仿宋_GB2312"/>
                  <w:b w:val="0"/>
                  <w:bCs w:val="0"/>
                  <w:sz w:val="32"/>
                  <w:szCs w:val="32"/>
                </w:rPr>
                <w:t>32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_Toc26007 </w:instrText>
              </w:r>
              <w:r>
                <w:rPr>
                  <w:rFonts w:hint="default" w:eastAsia="仿宋_GB2312"/>
                  <w:b w:val="0"/>
                  <w:bCs w:val="0"/>
                  <w:sz w:val="32"/>
                  <w:szCs w:val="32"/>
                </w:rPr>
                <w:fldChar w:fldCharType="separate"/>
              </w:r>
              <w:r>
                <w:rPr>
                  <w:rFonts w:hint="default" w:eastAsia="仿宋_GB2312"/>
                  <w:b w:val="0"/>
                  <w:bCs w:val="0"/>
                  <w:sz w:val="32"/>
                  <w:szCs w:val="32"/>
                </w:rPr>
                <w:t>（六）行政村商业配套布局</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_Toc26007 \h </w:instrText>
              </w:r>
              <w:r>
                <w:rPr>
                  <w:rFonts w:hint="default" w:eastAsia="仿宋_GB2312"/>
                  <w:b w:val="0"/>
                  <w:bCs w:val="0"/>
                  <w:sz w:val="32"/>
                  <w:szCs w:val="32"/>
                </w:rPr>
                <w:fldChar w:fldCharType="separate"/>
              </w:r>
              <w:r>
                <w:rPr>
                  <w:rFonts w:hint="default" w:eastAsia="仿宋_GB2312"/>
                  <w:b w:val="0"/>
                  <w:bCs w:val="0"/>
                  <w:sz w:val="32"/>
                  <w:szCs w:val="32"/>
                </w:rPr>
                <w:t>37</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1"/>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_Toc4997 </w:instrText>
              </w:r>
              <w:r>
                <w:rPr>
                  <w:rFonts w:hint="default" w:eastAsia="仿宋_GB2312"/>
                  <w:b w:val="0"/>
                  <w:bCs w:val="0"/>
                  <w:sz w:val="32"/>
                  <w:szCs w:val="32"/>
                </w:rPr>
                <w:fldChar w:fldCharType="separate"/>
              </w:r>
              <w:r>
                <w:rPr>
                  <w:rFonts w:hint="default" w:eastAsia="仿宋_GB2312"/>
                  <w:b w:val="0"/>
                  <w:bCs w:val="0"/>
                  <w:sz w:val="32"/>
                  <w:szCs w:val="32"/>
                  <w:lang w:val="en-US" w:eastAsia="zh-CN"/>
                </w:rPr>
                <w:t>四、</w:t>
              </w:r>
              <w:r>
                <w:rPr>
                  <w:rFonts w:hint="default" w:eastAsia="仿宋_GB2312"/>
                  <w:b w:val="0"/>
                  <w:bCs w:val="0"/>
                  <w:sz w:val="32"/>
                  <w:szCs w:val="32"/>
                </w:rPr>
                <w:t>零售业态布局规划</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_Toc4997 \h </w:instrText>
              </w:r>
              <w:r>
                <w:rPr>
                  <w:rFonts w:hint="default" w:eastAsia="仿宋_GB2312"/>
                  <w:b w:val="0"/>
                  <w:bCs w:val="0"/>
                  <w:sz w:val="32"/>
                  <w:szCs w:val="32"/>
                </w:rPr>
                <w:fldChar w:fldCharType="separate"/>
              </w:r>
              <w:r>
                <w:rPr>
                  <w:rFonts w:hint="default" w:eastAsia="仿宋_GB2312"/>
                  <w:b w:val="0"/>
                  <w:bCs w:val="0"/>
                  <w:sz w:val="32"/>
                  <w:szCs w:val="32"/>
                </w:rPr>
                <w:t>38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_Toc26916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一</w:t>
              </w:r>
              <w:r>
                <w:rPr>
                  <w:rFonts w:hint="default" w:eastAsia="仿宋_GB2312"/>
                  <w:b w:val="0"/>
                  <w:bCs w:val="0"/>
                  <w:sz w:val="32"/>
                  <w:szCs w:val="32"/>
                  <w:lang w:eastAsia="zh-CN"/>
                </w:rPr>
                <w:t>）</w:t>
              </w:r>
              <w:r>
                <w:rPr>
                  <w:rFonts w:hint="default" w:eastAsia="仿宋_GB2312"/>
                  <w:b w:val="0"/>
                  <w:bCs w:val="0"/>
                  <w:sz w:val="32"/>
                  <w:szCs w:val="32"/>
                </w:rPr>
                <w:t>商业综合体（大型购物中心）</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_Toc26916 \h </w:instrText>
              </w:r>
              <w:r>
                <w:rPr>
                  <w:rFonts w:hint="default" w:eastAsia="仿宋_GB2312"/>
                  <w:b w:val="0"/>
                  <w:bCs w:val="0"/>
                  <w:sz w:val="32"/>
                  <w:szCs w:val="32"/>
                </w:rPr>
                <w:fldChar w:fldCharType="separate"/>
              </w:r>
              <w:r>
                <w:rPr>
                  <w:rFonts w:hint="default" w:eastAsia="仿宋_GB2312"/>
                  <w:b w:val="0"/>
                  <w:bCs w:val="0"/>
                  <w:sz w:val="32"/>
                  <w:szCs w:val="32"/>
                </w:rPr>
                <w:t>39</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_Toc11776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二</w:t>
              </w:r>
              <w:r>
                <w:rPr>
                  <w:rFonts w:hint="default" w:eastAsia="仿宋_GB2312"/>
                  <w:b w:val="0"/>
                  <w:bCs w:val="0"/>
                  <w:sz w:val="32"/>
                  <w:szCs w:val="32"/>
                  <w:lang w:eastAsia="zh-CN"/>
                </w:rPr>
                <w:t>）</w:t>
              </w:r>
              <w:r>
                <w:rPr>
                  <w:rFonts w:hint="default" w:eastAsia="仿宋_GB2312"/>
                  <w:b w:val="0"/>
                  <w:bCs w:val="0"/>
                  <w:sz w:val="32"/>
                  <w:szCs w:val="32"/>
                </w:rPr>
                <w:t>百货店</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_Toc11776 \h </w:instrText>
              </w:r>
              <w:r>
                <w:rPr>
                  <w:rFonts w:hint="default" w:eastAsia="仿宋_GB2312"/>
                  <w:b w:val="0"/>
                  <w:bCs w:val="0"/>
                  <w:sz w:val="32"/>
                  <w:szCs w:val="32"/>
                </w:rPr>
                <w:fldChar w:fldCharType="separate"/>
              </w:r>
              <w:r>
                <w:rPr>
                  <w:rFonts w:hint="default" w:eastAsia="仿宋_GB2312"/>
                  <w:b w:val="0"/>
                  <w:bCs w:val="0"/>
                  <w:sz w:val="32"/>
                  <w:szCs w:val="32"/>
                </w:rPr>
                <w:t>39</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_Toc8823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三</w:t>
              </w:r>
              <w:r>
                <w:rPr>
                  <w:rFonts w:hint="default" w:eastAsia="仿宋_GB2312"/>
                  <w:b w:val="0"/>
                  <w:bCs w:val="0"/>
                  <w:sz w:val="32"/>
                  <w:szCs w:val="32"/>
                  <w:lang w:eastAsia="zh-CN"/>
                </w:rPr>
                <w:t>）</w:t>
              </w:r>
              <w:r>
                <w:rPr>
                  <w:rFonts w:hint="default" w:eastAsia="仿宋_GB2312"/>
                  <w:b w:val="0"/>
                  <w:bCs w:val="0"/>
                  <w:sz w:val="32"/>
                  <w:szCs w:val="32"/>
                </w:rPr>
                <w:t>大型综合超市</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_Toc8823 \h </w:instrText>
              </w:r>
              <w:r>
                <w:rPr>
                  <w:rFonts w:hint="default" w:eastAsia="仿宋_GB2312"/>
                  <w:b w:val="0"/>
                  <w:bCs w:val="0"/>
                  <w:sz w:val="32"/>
                  <w:szCs w:val="32"/>
                </w:rPr>
                <w:fldChar w:fldCharType="separate"/>
              </w:r>
              <w:r>
                <w:rPr>
                  <w:rFonts w:hint="default" w:eastAsia="仿宋_GB2312"/>
                  <w:b w:val="0"/>
                  <w:bCs w:val="0"/>
                  <w:sz w:val="32"/>
                  <w:szCs w:val="32"/>
                </w:rPr>
                <w:t>40</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_Toc32611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四</w:t>
              </w:r>
              <w:r>
                <w:rPr>
                  <w:rFonts w:hint="default" w:eastAsia="仿宋_GB2312"/>
                  <w:b w:val="0"/>
                  <w:bCs w:val="0"/>
                  <w:sz w:val="32"/>
                  <w:szCs w:val="32"/>
                  <w:lang w:eastAsia="zh-CN"/>
                </w:rPr>
                <w:t>）</w:t>
              </w:r>
              <w:r>
                <w:rPr>
                  <w:rFonts w:hint="default" w:eastAsia="仿宋_GB2312"/>
                  <w:b w:val="0"/>
                  <w:bCs w:val="0"/>
                  <w:sz w:val="32"/>
                  <w:szCs w:val="32"/>
                </w:rPr>
                <w:t>专业店</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_Toc32611 \h </w:instrText>
              </w:r>
              <w:r>
                <w:rPr>
                  <w:rFonts w:hint="default" w:eastAsia="仿宋_GB2312"/>
                  <w:b w:val="0"/>
                  <w:bCs w:val="0"/>
                  <w:sz w:val="32"/>
                  <w:szCs w:val="32"/>
                </w:rPr>
                <w:fldChar w:fldCharType="separate"/>
              </w:r>
              <w:r>
                <w:rPr>
                  <w:rFonts w:hint="default" w:eastAsia="仿宋_GB2312"/>
                  <w:b w:val="0"/>
                  <w:bCs w:val="0"/>
                  <w:sz w:val="32"/>
                  <w:szCs w:val="32"/>
                </w:rPr>
                <w:t>40</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_Toc28506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五</w:t>
              </w:r>
              <w:r>
                <w:rPr>
                  <w:rFonts w:hint="default" w:eastAsia="仿宋_GB2312"/>
                  <w:b w:val="0"/>
                  <w:bCs w:val="0"/>
                  <w:sz w:val="32"/>
                  <w:szCs w:val="32"/>
                  <w:lang w:eastAsia="zh-CN"/>
                </w:rPr>
                <w:t>）</w:t>
              </w:r>
              <w:r>
                <w:rPr>
                  <w:rFonts w:hint="default" w:eastAsia="仿宋_GB2312"/>
                  <w:b w:val="0"/>
                  <w:bCs w:val="0"/>
                  <w:sz w:val="32"/>
                  <w:szCs w:val="32"/>
                </w:rPr>
                <w:t>专卖店</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_Toc28506 \h </w:instrText>
              </w:r>
              <w:r>
                <w:rPr>
                  <w:rFonts w:hint="default" w:eastAsia="仿宋_GB2312"/>
                  <w:b w:val="0"/>
                  <w:bCs w:val="0"/>
                  <w:sz w:val="32"/>
                  <w:szCs w:val="32"/>
                </w:rPr>
                <w:fldChar w:fldCharType="separate"/>
              </w:r>
              <w:r>
                <w:rPr>
                  <w:rFonts w:hint="default" w:eastAsia="仿宋_GB2312"/>
                  <w:b w:val="0"/>
                  <w:bCs w:val="0"/>
                  <w:sz w:val="32"/>
                  <w:szCs w:val="32"/>
                </w:rPr>
                <w:t>41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_Toc10805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六</w:t>
              </w:r>
              <w:r>
                <w:rPr>
                  <w:rFonts w:hint="default" w:eastAsia="仿宋_GB2312"/>
                  <w:b w:val="0"/>
                  <w:bCs w:val="0"/>
                  <w:sz w:val="32"/>
                  <w:szCs w:val="32"/>
                  <w:lang w:eastAsia="zh-CN"/>
                </w:rPr>
                <w:t>）</w:t>
              </w:r>
              <w:r>
                <w:rPr>
                  <w:rFonts w:hint="default" w:eastAsia="仿宋_GB2312"/>
                  <w:b w:val="0"/>
                  <w:bCs w:val="0"/>
                  <w:sz w:val="32"/>
                  <w:szCs w:val="32"/>
                </w:rPr>
                <w:t>超市</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_Toc10805 \h </w:instrText>
              </w:r>
              <w:r>
                <w:rPr>
                  <w:rFonts w:hint="default" w:eastAsia="仿宋_GB2312"/>
                  <w:b w:val="0"/>
                  <w:bCs w:val="0"/>
                  <w:sz w:val="32"/>
                  <w:szCs w:val="32"/>
                </w:rPr>
                <w:fldChar w:fldCharType="separate"/>
              </w:r>
              <w:r>
                <w:rPr>
                  <w:rFonts w:hint="default" w:eastAsia="仿宋_GB2312"/>
                  <w:b w:val="0"/>
                  <w:bCs w:val="0"/>
                  <w:sz w:val="32"/>
                  <w:szCs w:val="32"/>
                </w:rPr>
                <w:t>41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_Toc15510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七</w:t>
              </w:r>
              <w:r>
                <w:rPr>
                  <w:rFonts w:hint="default" w:eastAsia="仿宋_GB2312"/>
                  <w:b w:val="0"/>
                  <w:bCs w:val="0"/>
                  <w:sz w:val="32"/>
                  <w:szCs w:val="32"/>
                  <w:lang w:eastAsia="zh-CN"/>
                </w:rPr>
                <w:t>）</w:t>
              </w:r>
              <w:r>
                <w:rPr>
                  <w:rFonts w:hint="default" w:eastAsia="仿宋_GB2312"/>
                  <w:b w:val="0"/>
                  <w:bCs w:val="0"/>
                  <w:sz w:val="32"/>
                  <w:szCs w:val="32"/>
                </w:rPr>
                <w:t>便利店</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_Toc15510 \h </w:instrText>
              </w:r>
              <w:r>
                <w:rPr>
                  <w:rFonts w:hint="default" w:eastAsia="仿宋_GB2312"/>
                  <w:b w:val="0"/>
                  <w:bCs w:val="0"/>
                  <w:sz w:val="32"/>
                  <w:szCs w:val="32"/>
                </w:rPr>
                <w:fldChar w:fldCharType="separate"/>
              </w:r>
              <w:r>
                <w:rPr>
                  <w:rFonts w:hint="default" w:eastAsia="仿宋_GB2312"/>
                  <w:b w:val="0"/>
                  <w:bCs w:val="0"/>
                  <w:sz w:val="32"/>
                  <w:szCs w:val="32"/>
                </w:rPr>
                <w:t>41</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_Toc21256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八</w:t>
              </w:r>
              <w:r>
                <w:rPr>
                  <w:rFonts w:hint="default" w:eastAsia="仿宋_GB2312"/>
                  <w:b w:val="0"/>
                  <w:bCs w:val="0"/>
                  <w:sz w:val="32"/>
                  <w:szCs w:val="32"/>
                  <w:lang w:eastAsia="zh-CN"/>
                </w:rPr>
                <w:t>）</w:t>
              </w:r>
              <w:r>
                <w:rPr>
                  <w:rFonts w:hint="default" w:eastAsia="仿宋_GB2312"/>
                  <w:b w:val="0"/>
                  <w:bCs w:val="0"/>
                  <w:sz w:val="32"/>
                  <w:szCs w:val="32"/>
                </w:rPr>
                <w:t>宾馆酒店</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_Toc21256 \h </w:instrText>
              </w:r>
              <w:r>
                <w:rPr>
                  <w:rFonts w:hint="default" w:eastAsia="仿宋_GB2312"/>
                  <w:b w:val="0"/>
                  <w:bCs w:val="0"/>
                  <w:sz w:val="32"/>
                  <w:szCs w:val="32"/>
                </w:rPr>
                <w:fldChar w:fldCharType="separate"/>
              </w:r>
              <w:r>
                <w:rPr>
                  <w:rFonts w:hint="default" w:eastAsia="仿宋_GB2312"/>
                  <w:b w:val="0"/>
                  <w:bCs w:val="0"/>
                  <w:sz w:val="32"/>
                  <w:szCs w:val="32"/>
                </w:rPr>
                <w:t>42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_Toc9116 </w:instrText>
              </w:r>
              <w:r>
                <w:rPr>
                  <w:rFonts w:hint="default" w:eastAsia="仿宋_GB2312"/>
                  <w:b w:val="0"/>
                  <w:bCs w:val="0"/>
                  <w:sz w:val="32"/>
                  <w:szCs w:val="32"/>
                </w:rPr>
                <w:fldChar w:fldCharType="separate"/>
              </w:r>
              <w:r>
                <w:rPr>
                  <w:rFonts w:hint="default" w:eastAsia="仿宋_GB2312"/>
                  <w:b w:val="0"/>
                  <w:bCs w:val="0"/>
                  <w:sz w:val="32"/>
                  <w:szCs w:val="32"/>
                  <w:lang w:eastAsia="zh-CN"/>
                </w:rPr>
                <w:t>（</w:t>
              </w:r>
              <w:r>
                <w:rPr>
                  <w:rFonts w:hint="default" w:eastAsia="仿宋_GB2312"/>
                  <w:b w:val="0"/>
                  <w:bCs w:val="0"/>
                  <w:sz w:val="32"/>
                  <w:szCs w:val="32"/>
                  <w:lang w:val="en-US" w:eastAsia="zh-CN"/>
                </w:rPr>
                <w:t>九</w:t>
              </w:r>
              <w:r>
                <w:rPr>
                  <w:rFonts w:hint="default" w:eastAsia="仿宋_GB2312"/>
                  <w:b w:val="0"/>
                  <w:bCs w:val="0"/>
                  <w:sz w:val="32"/>
                  <w:szCs w:val="32"/>
                  <w:lang w:eastAsia="zh-CN"/>
                </w:rPr>
                <w:t>）</w:t>
              </w:r>
              <w:r>
                <w:rPr>
                  <w:rFonts w:hint="default" w:eastAsia="仿宋_GB2312"/>
                  <w:b w:val="0"/>
                  <w:bCs w:val="0"/>
                  <w:sz w:val="32"/>
                  <w:szCs w:val="32"/>
                </w:rPr>
                <w:t>餐饮</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_Toc9116 \h </w:instrText>
              </w:r>
              <w:r>
                <w:rPr>
                  <w:rFonts w:hint="default" w:eastAsia="仿宋_GB2312"/>
                  <w:b w:val="0"/>
                  <w:bCs w:val="0"/>
                  <w:sz w:val="32"/>
                  <w:szCs w:val="32"/>
                </w:rPr>
                <w:fldChar w:fldCharType="separate"/>
              </w:r>
              <w:r>
                <w:rPr>
                  <w:rFonts w:hint="default" w:eastAsia="仿宋_GB2312"/>
                  <w:b w:val="0"/>
                  <w:bCs w:val="0"/>
                  <w:sz w:val="32"/>
                  <w:szCs w:val="32"/>
                </w:rPr>
                <w:t>42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1"/>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_Toc16404 </w:instrText>
              </w:r>
              <w:r>
                <w:rPr>
                  <w:rFonts w:hint="default" w:eastAsia="仿宋_GB2312"/>
                  <w:b w:val="0"/>
                  <w:bCs w:val="0"/>
                  <w:sz w:val="32"/>
                  <w:szCs w:val="32"/>
                </w:rPr>
                <w:fldChar w:fldCharType="separate"/>
              </w:r>
              <w:r>
                <w:rPr>
                  <w:rFonts w:hint="default" w:eastAsia="仿宋_GB2312"/>
                  <w:b w:val="0"/>
                  <w:bCs w:val="0"/>
                  <w:sz w:val="32"/>
                  <w:szCs w:val="32"/>
                  <w:lang w:val="en-US" w:eastAsia="zh-CN"/>
                </w:rPr>
                <w:t>五、</w:t>
              </w:r>
              <w:r>
                <w:rPr>
                  <w:rFonts w:hint="default" w:eastAsia="仿宋_GB2312"/>
                  <w:b w:val="0"/>
                  <w:bCs w:val="0"/>
                  <w:sz w:val="32"/>
                  <w:szCs w:val="32"/>
                </w:rPr>
                <w:t>交易市场及其他配套商业布局</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_Toc16404 \h </w:instrText>
              </w:r>
              <w:r>
                <w:rPr>
                  <w:rFonts w:hint="default" w:eastAsia="仿宋_GB2312"/>
                  <w:b w:val="0"/>
                  <w:bCs w:val="0"/>
                  <w:sz w:val="32"/>
                  <w:szCs w:val="32"/>
                </w:rPr>
                <w:fldChar w:fldCharType="separate"/>
              </w:r>
              <w:r>
                <w:rPr>
                  <w:rFonts w:hint="default" w:eastAsia="仿宋_GB2312"/>
                  <w:b w:val="0"/>
                  <w:bCs w:val="0"/>
                  <w:sz w:val="32"/>
                  <w:szCs w:val="32"/>
                </w:rPr>
                <w:t>43</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_Toc8771 </w:instrText>
              </w:r>
              <w:r>
                <w:rPr>
                  <w:rFonts w:hint="default" w:eastAsia="仿宋_GB2312"/>
                  <w:b w:val="0"/>
                  <w:bCs w:val="0"/>
                  <w:sz w:val="32"/>
                  <w:szCs w:val="32"/>
                </w:rPr>
                <w:fldChar w:fldCharType="separate"/>
              </w:r>
              <w:r>
                <w:rPr>
                  <w:rFonts w:hint="default" w:eastAsia="仿宋_GB2312"/>
                  <w:b w:val="0"/>
                  <w:bCs w:val="0"/>
                  <w:sz w:val="32"/>
                  <w:szCs w:val="32"/>
                </w:rPr>
                <w:t>（一）商品交易市场</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_Toc8771 \h </w:instrText>
              </w:r>
              <w:r>
                <w:rPr>
                  <w:rFonts w:hint="default" w:eastAsia="仿宋_GB2312"/>
                  <w:b w:val="0"/>
                  <w:bCs w:val="0"/>
                  <w:sz w:val="32"/>
                  <w:szCs w:val="32"/>
                </w:rPr>
                <w:fldChar w:fldCharType="separate"/>
              </w:r>
              <w:r>
                <w:rPr>
                  <w:rFonts w:hint="default" w:eastAsia="仿宋_GB2312"/>
                  <w:b w:val="0"/>
                  <w:bCs w:val="0"/>
                  <w:sz w:val="32"/>
                  <w:szCs w:val="32"/>
                </w:rPr>
                <w:t>44</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_Toc28257 </w:instrText>
              </w:r>
              <w:r>
                <w:rPr>
                  <w:rFonts w:hint="default" w:eastAsia="仿宋_GB2312"/>
                  <w:b w:val="0"/>
                  <w:bCs w:val="0"/>
                  <w:sz w:val="32"/>
                  <w:szCs w:val="32"/>
                </w:rPr>
                <w:fldChar w:fldCharType="separate"/>
              </w:r>
              <w:r>
                <w:rPr>
                  <w:rFonts w:hint="default" w:eastAsia="仿宋_GB2312"/>
                  <w:b w:val="0"/>
                  <w:bCs w:val="0"/>
                  <w:sz w:val="32"/>
                  <w:szCs w:val="32"/>
                </w:rPr>
                <w:t>（</w:t>
              </w:r>
              <w:r>
                <w:rPr>
                  <w:rFonts w:hint="default" w:eastAsia="仿宋_GB2312"/>
                  <w:b w:val="0"/>
                  <w:bCs w:val="0"/>
                  <w:sz w:val="32"/>
                  <w:szCs w:val="32"/>
                  <w:lang w:val="en-US" w:eastAsia="zh-CN"/>
                </w:rPr>
                <w:t>二</w:t>
              </w:r>
              <w:r>
                <w:rPr>
                  <w:rFonts w:hint="default" w:eastAsia="仿宋_GB2312"/>
                  <w:b w:val="0"/>
                  <w:bCs w:val="0"/>
                  <w:sz w:val="32"/>
                  <w:szCs w:val="32"/>
                </w:rPr>
                <w:t>）物流节点</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_Toc28257 \h </w:instrText>
              </w:r>
              <w:r>
                <w:rPr>
                  <w:rFonts w:hint="default" w:eastAsia="仿宋_GB2312"/>
                  <w:b w:val="0"/>
                  <w:bCs w:val="0"/>
                  <w:sz w:val="32"/>
                  <w:szCs w:val="32"/>
                </w:rPr>
                <w:fldChar w:fldCharType="separate"/>
              </w:r>
              <w:r>
                <w:rPr>
                  <w:rFonts w:hint="default" w:eastAsia="仿宋_GB2312"/>
                  <w:b w:val="0"/>
                  <w:bCs w:val="0"/>
                  <w:sz w:val="32"/>
                  <w:szCs w:val="32"/>
                </w:rPr>
                <w:t>48</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_Toc9659 </w:instrText>
              </w:r>
              <w:r>
                <w:rPr>
                  <w:rFonts w:hint="default" w:eastAsia="仿宋_GB2312"/>
                  <w:b w:val="0"/>
                  <w:bCs w:val="0"/>
                  <w:sz w:val="32"/>
                  <w:szCs w:val="32"/>
                </w:rPr>
                <w:fldChar w:fldCharType="separate"/>
              </w:r>
              <w:r>
                <w:rPr>
                  <w:rFonts w:hint="default" w:eastAsia="仿宋_GB2312"/>
                  <w:b w:val="0"/>
                  <w:bCs w:val="0"/>
                  <w:sz w:val="32"/>
                  <w:szCs w:val="32"/>
                </w:rPr>
                <w:t>（</w:t>
              </w:r>
              <w:r>
                <w:rPr>
                  <w:rFonts w:hint="default" w:eastAsia="仿宋_GB2312"/>
                  <w:b w:val="0"/>
                  <w:bCs w:val="0"/>
                  <w:sz w:val="32"/>
                  <w:szCs w:val="32"/>
                  <w:lang w:val="en-US" w:eastAsia="zh-CN"/>
                </w:rPr>
                <w:t>三</w:t>
              </w:r>
              <w:r>
                <w:rPr>
                  <w:rFonts w:hint="default" w:eastAsia="仿宋_GB2312"/>
                  <w:b w:val="0"/>
                  <w:bCs w:val="0"/>
                  <w:sz w:val="32"/>
                  <w:szCs w:val="32"/>
                </w:rPr>
                <w:t>）再生资源回收网点</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_Toc9659 \h </w:instrText>
              </w:r>
              <w:r>
                <w:rPr>
                  <w:rFonts w:hint="default" w:eastAsia="仿宋_GB2312"/>
                  <w:b w:val="0"/>
                  <w:bCs w:val="0"/>
                  <w:sz w:val="32"/>
                  <w:szCs w:val="32"/>
                </w:rPr>
                <w:fldChar w:fldCharType="separate"/>
              </w:r>
              <w:r>
                <w:rPr>
                  <w:rFonts w:hint="default" w:eastAsia="仿宋_GB2312"/>
                  <w:b w:val="0"/>
                  <w:bCs w:val="0"/>
                  <w:sz w:val="32"/>
                  <w:szCs w:val="32"/>
                </w:rPr>
                <w:t>50</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1"/>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_Toc4479 </w:instrText>
              </w:r>
              <w:r>
                <w:rPr>
                  <w:rFonts w:hint="default" w:eastAsia="仿宋_GB2312"/>
                  <w:b w:val="0"/>
                  <w:bCs w:val="0"/>
                  <w:sz w:val="32"/>
                  <w:szCs w:val="32"/>
                </w:rPr>
                <w:fldChar w:fldCharType="separate"/>
              </w:r>
              <w:r>
                <w:rPr>
                  <w:rFonts w:hint="default" w:eastAsia="仿宋_GB2312"/>
                  <w:b w:val="0"/>
                  <w:bCs w:val="0"/>
                  <w:sz w:val="32"/>
                  <w:szCs w:val="32"/>
                  <w:lang w:val="en-US" w:eastAsia="zh-CN"/>
                </w:rPr>
                <w:t>六、</w:t>
              </w:r>
              <w:r>
                <w:rPr>
                  <w:rFonts w:hint="default" w:eastAsia="仿宋_GB2312"/>
                  <w:b w:val="0"/>
                  <w:bCs w:val="0"/>
                  <w:sz w:val="32"/>
                  <w:szCs w:val="32"/>
                </w:rPr>
                <w:t>保障措施</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_Toc4479 \h </w:instrText>
              </w:r>
              <w:r>
                <w:rPr>
                  <w:rFonts w:hint="default" w:eastAsia="仿宋_GB2312"/>
                  <w:b w:val="0"/>
                  <w:bCs w:val="0"/>
                  <w:sz w:val="32"/>
                  <w:szCs w:val="32"/>
                </w:rPr>
                <w:fldChar w:fldCharType="separate"/>
              </w:r>
              <w:r>
                <w:rPr>
                  <w:rFonts w:hint="default" w:eastAsia="仿宋_GB2312"/>
                  <w:b w:val="0"/>
                  <w:bCs w:val="0"/>
                  <w:sz w:val="32"/>
                  <w:szCs w:val="32"/>
                </w:rPr>
                <w:t>52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_Toc10732 </w:instrText>
              </w:r>
              <w:r>
                <w:rPr>
                  <w:rFonts w:hint="default" w:eastAsia="仿宋_GB2312"/>
                  <w:b w:val="0"/>
                  <w:bCs w:val="0"/>
                  <w:sz w:val="32"/>
                  <w:szCs w:val="32"/>
                </w:rPr>
                <w:fldChar w:fldCharType="separate"/>
              </w:r>
              <w:r>
                <w:rPr>
                  <w:rFonts w:hint="default" w:eastAsia="仿宋_GB2312"/>
                  <w:b w:val="0"/>
                  <w:bCs w:val="0"/>
                  <w:sz w:val="32"/>
                  <w:szCs w:val="32"/>
                </w:rPr>
                <w:t>（一）加强组织协调</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_Toc10732 \h </w:instrText>
              </w:r>
              <w:r>
                <w:rPr>
                  <w:rFonts w:hint="default" w:eastAsia="仿宋_GB2312"/>
                  <w:b w:val="0"/>
                  <w:bCs w:val="0"/>
                  <w:sz w:val="32"/>
                  <w:szCs w:val="32"/>
                </w:rPr>
                <w:fldChar w:fldCharType="separate"/>
              </w:r>
              <w:r>
                <w:rPr>
                  <w:rFonts w:hint="default" w:eastAsia="仿宋_GB2312"/>
                  <w:b w:val="0"/>
                  <w:bCs w:val="0"/>
                  <w:sz w:val="32"/>
                  <w:szCs w:val="32"/>
                </w:rPr>
                <w:t>52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_Toc23018 </w:instrText>
              </w:r>
              <w:r>
                <w:rPr>
                  <w:rFonts w:hint="default" w:eastAsia="仿宋_GB2312"/>
                  <w:b w:val="0"/>
                  <w:bCs w:val="0"/>
                  <w:sz w:val="32"/>
                  <w:szCs w:val="32"/>
                </w:rPr>
                <w:fldChar w:fldCharType="separate"/>
              </w:r>
              <w:r>
                <w:rPr>
                  <w:rFonts w:hint="default" w:eastAsia="仿宋_GB2312"/>
                  <w:b w:val="0"/>
                  <w:bCs w:val="0"/>
                  <w:sz w:val="32"/>
                  <w:szCs w:val="32"/>
                </w:rPr>
                <w:t>（二）健全管理体制</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_Toc23018 \h </w:instrText>
              </w:r>
              <w:r>
                <w:rPr>
                  <w:rFonts w:hint="default" w:eastAsia="仿宋_GB2312"/>
                  <w:b w:val="0"/>
                  <w:bCs w:val="0"/>
                  <w:sz w:val="32"/>
                  <w:szCs w:val="32"/>
                </w:rPr>
                <w:fldChar w:fldCharType="separate"/>
              </w:r>
              <w:r>
                <w:rPr>
                  <w:rFonts w:hint="default" w:eastAsia="仿宋_GB2312"/>
                  <w:b w:val="0"/>
                  <w:bCs w:val="0"/>
                  <w:sz w:val="32"/>
                  <w:szCs w:val="32"/>
                </w:rPr>
                <w:t>52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_Toc30925 </w:instrText>
              </w:r>
              <w:r>
                <w:rPr>
                  <w:rFonts w:hint="default" w:eastAsia="仿宋_GB2312"/>
                  <w:b w:val="0"/>
                  <w:bCs w:val="0"/>
                  <w:sz w:val="32"/>
                  <w:szCs w:val="32"/>
                </w:rPr>
                <w:fldChar w:fldCharType="separate"/>
              </w:r>
              <w:r>
                <w:rPr>
                  <w:rFonts w:hint="default" w:eastAsia="仿宋_GB2312"/>
                  <w:b w:val="0"/>
                  <w:bCs w:val="0"/>
                  <w:sz w:val="32"/>
                  <w:szCs w:val="32"/>
                </w:rPr>
                <w:t>（三）强化政策扶持</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_Toc30925 \h </w:instrText>
              </w:r>
              <w:r>
                <w:rPr>
                  <w:rFonts w:hint="default" w:eastAsia="仿宋_GB2312"/>
                  <w:b w:val="0"/>
                  <w:bCs w:val="0"/>
                  <w:sz w:val="32"/>
                  <w:szCs w:val="32"/>
                </w:rPr>
                <w:fldChar w:fldCharType="separate"/>
              </w:r>
              <w:r>
                <w:rPr>
                  <w:rFonts w:hint="default" w:eastAsia="仿宋_GB2312"/>
                  <w:b w:val="0"/>
                  <w:bCs w:val="0"/>
                  <w:sz w:val="32"/>
                  <w:szCs w:val="32"/>
                </w:rPr>
                <w:t>52</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_Toc32640 </w:instrText>
              </w:r>
              <w:r>
                <w:rPr>
                  <w:rFonts w:hint="default" w:eastAsia="仿宋_GB2312"/>
                  <w:b w:val="0"/>
                  <w:bCs w:val="0"/>
                  <w:sz w:val="32"/>
                  <w:szCs w:val="32"/>
                </w:rPr>
                <w:fldChar w:fldCharType="separate"/>
              </w:r>
              <w:r>
                <w:rPr>
                  <w:rFonts w:hint="default" w:eastAsia="仿宋_GB2312"/>
                  <w:b w:val="0"/>
                  <w:bCs w:val="0"/>
                  <w:sz w:val="32"/>
                  <w:szCs w:val="32"/>
                </w:rPr>
                <w:t>（四）强化基础设施建设</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_Toc32640 \h </w:instrText>
              </w:r>
              <w:r>
                <w:rPr>
                  <w:rFonts w:hint="default" w:eastAsia="仿宋_GB2312"/>
                  <w:b w:val="0"/>
                  <w:bCs w:val="0"/>
                  <w:sz w:val="32"/>
                  <w:szCs w:val="32"/>
                </w:rPr>
                <w:fldChar w:fldCharType="separate"/>
              </w:r>
              <w:r>
                <w:rPr>
                  <w:rFonts w:hint="default" w:eastAsia="仿宋_GB2312"/>
                  <w:b w:val="0"/>
                  <w:bCs w:val="0"/>
                  <w:sz w:val="32"/>
                  <w:szCs w:val="32"/>
                </w:rPr>
                <w:t>53</w:t>
              </w:r>
              <w:r>
                <w:rPr>
                  <w:rFonts w:hint="default" w:eastAsia="仿宋_GB2312"/>
                  <w:b w:val="0"/>
                  <w:bCs w:val="0"/>
                  <w:sz w:val="32"/>
                  <w:szCs w:val="32"/>
                </w:rPr>
                <w:fldChar w:fldCharType="end"/>
              </w:r>
              <w:r>
                <w:rPr>
                  <w:rFonts w:hint="default" w:eastAsia="仿宋_GB2312"/>
                  <w:b w:val="0"/>
                  <w:bCs w:val="0"/>
                  <w:sz w:val="32"/>
                  <w:szCs w:val="32"/>
                </w:rPr>
                <w:fldChar w:fldCharType="end"/>
              </w:r>
            </w:p>
            <w:p>
              <w:pPr>
                <w:pStyle w:val="42"/>
                <w:tabs>
                  <w:tab w:val="right" w:leader="dot" w:pos="8306"/>
                </w:tabs>
                <w:rPr>
                  <w:rFonts w:hint="default" w:eastAsia="仿宋_GB2312"/>
                  <w:b w:val="0"/>
                  <w:bCs w:val="0"/>
                  <w:sz w:val="32"/>
                  <w:szCs w:val="32"/>
                </w:rPr>
              </w:pPr>
              <w:r>
                <w:rPr>
                  <w:rFonts w:hint="default" w:eastAsia="仿宋_GB2312"/>
                  <w:b w:val="0"/>
                  <w:bCs w:val="0"/>
                  <w:sz w:val="32"/>
                  <w:szCs w:val="32"/>
                </w:rPr>
                <w:fldChar w:fldCharType="begin"/>
              </w:r>
              <w:r>
                <w:rPr>
                  <w:rFonts w:hint="default" w:eastAsia="仿宋_GB2312"/>
                  <w:b w:val="0"/>
                  <w:bCs w:val="0"/>
                  <w:sz w:val="32"/>
                  <w:szCs w:val="32"/>
                </w:rPr>
                <w:instrText xml:space="preserve"> HYPERLINK \l _Toc12669 </w:instrText>
              </w:r>
              <w:r>
                <w:rPr>
                  <w:rFonts w:hint="default" w:eastAsia="仿宋_GB2312"/>
                  <w:b w:val="0"/>
                  <w:bCs w:val="0"/>
                  <w:sz w:val="32"/>
                  <w:szCs w:val="32"/>
                </w:rPr>
                <w:fldChar w:fldCharType="separate"/>
              </w:r>
              <w:r>
                <w:rPr>
                  <w:rFonts w:hint="default" w:eastAsia="仿宋_GB2312"/>
                  <w:b w:val="0"/>
                  <w:bCs w:val="0"/>
                  <w:sz w:val="32"/>
                  <w:szCs w:val="32"/>
                </w:rPr>
                <w:t>（五）优化网点发展环境</w:t>
              </w:r>
              <w:r>
                <w:rPr>
                  <w:rFonts w:hint="default" w:eastAsia="仿宋_GB2312"/>
                  <w:b w:val="0"/>
                  <w:bCs w:val="0"/>
                  <w:sz w:val="32"/>
                  <w:szCs w:val="32"/>
                </w:rPr>
                <w:tab/>
              </w:r>
              <w:r>
                <w:rPr>
                  <w:rFonts w:hint="default" w:eastAsia="仿宋_GB2312"/>
                  <w:b w:val="0"/>
                  <w:bCs w:val="0"/>
                  <w:sz w:val="32"/>
                  <w:szCs w:val="32"/>
                </w:rPr>
                <w:fldChar w:fldCharType="begin"/>
              </w:r>
              <w:r>
                <w:rPr>
                  <w:rFonts w:hint="default" w:eastAsia="仿宋_GB2312"/>
                  <w:b w:val="0"/>
                  <w:bCs w:val="0"/>
                  <w:sz w:val="32"/>
                  <w:szCs w:val="32"/>
                </w:rPr>
                <w:instrText xml:space="preserve"> PAGEREF _Toc12669 \h </w:instrText>
              </w:r>
              <w:r>
                <w:rPr>
                  <w:rFonts w:hint="default" w:eastAsia="仿宋_GB2312"/>
                  <w:b w:val="0"/>
                  <w:bCs w:val="0"/>
                  <w:sz w:val="32"/>
                  <w:szCs w:val="32"/>
                </w:rPr>
                <w:fldChar w:fldCharType="separate"/>
              </w:r>
              <w:r>
                <w:rPr>
                  <w:rFonts w:hint="default" w:eastAsia="仿宋_GB2312"/>
                  <w:b w:val="0"/>
                  <w:bCs w:val="0"/>
                  <w:sz w:val="32"/>
                  <w:szCs w:val="32"/>
                </w:rPr>
                <w:t>53</w:t>
              </w:r>
              <w:r>
                <w:rPr>
                  <w:rFonts w:hint="default" w:eastAsia="仿宋_GB2312"/>
                  <w:b w:val="0"/>
                  <w:bCs w:val="0"/>
                  <w:sz w:val="32"/>
                  <w:szCs w:val="32"/>
                </w:rPr>
                <w:fldChar w:fldCharType="end"/>
              </w:r>
              <w:r>
                <w:rPr>
                  <w:rFonts w:hint="default" w:eastAsia="仿宋_GB2312"/>
                  <w:b w:val="0"/>
                  <w:bCs w:val="0"/>
                  <w:sz w:val="32"/>
                  <w:szCs w:val="32"/>
                </w:rPr>
                <w:fldChar w:fldCharType="end"/>
              </w:r>
            </w:p>
            <w:p>
              <w:r>
                <w:rPr>
                  <w:rFonts w:hint="default" w:cs="Times New Roman"/>
                  <w:b w:val="0"/>
                  <w:bCs w:val="0"/>
                  <w:szCs w:val="32"/>
                </w:rPr>
                <w:fldChar w:fldCharType="end"/>
              </w:r>
            </w:p>
          </w:sdtContent>
        </w:sdt>
        <w:p>
          <w:pPr>
            <w:spacing w:before="0" w:beforeLines="0" w:after="0" w:afterLines="0" w:line="240" w:lineRule="auto"/>
            <w:ind w:firstLine="0" w:firstLineChars="0"/>
            <w:outlineLvl w:val="9"/>
            <w:sectPr>
              <w:footerReference r:id="rId11" w:type="default"/>
              <w:pgSz w:w="11906" w:h="16838"/>
              <w:pgMar w:top="1440" w:right="1800" w:bottom="1440" w:left="1800" w:header="851" w:footer="992" w:gutter="0"/>
              <w:pgBorders>
                <w:top w:val="none" w:sz="0" w:space="0"/>
                <w:left w:val="none" w:sz="0" w:space="0"/>
                <w:bottom w:val="none" w:sz="0" w:space="0"/>
                <w:right w:val="none" w:sz="0" w:space="0"/>
              </w:pgBorders>
              <w:pgNumType w:fmt="upperRoman" w:start="1"/>
              <w:cols w:space="425" w:num="1"/>
              <w:docGrid w:type="lines" w:linePitch="312" w:charSpace="0"/>
            </w:sectPr>
          </w:pPr>
        </w:p>
      </w:sdtContent>
    </w:sdt>
    <w:p>
      <w:pPr>
        <w:tabs>
          <w:tab w:val="left" w:pos="5146"/>
        </w:tabs>
        <w:bidi w:val="0"/>
        <w:ind w:left="0" w:leftChars="0" w:firstLine="0" w:firstLineChars="0"/>
        <w:jc w:val="center"/>
        <w:outlineLvl w:val="0"/>
        <w:rPr>
          <w:rFonts w:hint="eastAsia" w:ascii="黑体" w:hAnsi="黑体" w:eastAsia="黑体" w:cs="黑体"/>
          <w:b w:val="0"/>
          <w:bCs w:val="0"/>
          <w:lang w:val="en-US" w:eastAsia="zh-CN"/>
        </w:rPr>
      </w:pPr>
      <w:bookmarkStart w:id="7" w:name="_Toc18077"/>
      <w:bookmarkStart w:id="8" w:name="_Toc95764807"/>
      <w:bookmarkStart w:id="9" w:name="_Toc11757"/>
      <w:bookmarkStart w:id="10" w:name="_Toc8759"/>
      <w:r>
        <w:rPr>
          <w:rFonts w:hint="eastAsia" w:ascii="黑体" w:hAnsi="黑体" w:eastAsia="黑体" w:cs="黑体"/>
          <w:b w:val="0"/>
          <w:bCs w:val="0"/>
          <w:lang w:val="en-US" w:eastAsia="zh-CN"/>
        </w:rPr>
        <w:t>前 言</w:t>
      </w:r>
      <w:bookmarkEnd w:id="7"/>
    </w:p>
    <w:p>
      <w:pPr>
        <w:bidi w:val="0"/>
        <w:spacing w:line="600" w:lineRule="exact"/>
        <w:ind w:firstLine="640" w:firstLineChars="200"/>
        <w:rPr>
          <w:rFonts w:hint="default" w:ascii="Times New Roman" w:hAnsi="Times New Roman" w:eastAsia="仿宋_GB2312" w:cs="Times New Roman"/>
          <w:sz w:val="32"/>
          <w:szCs w:val="32"/>
          <w:lang w:val="en-US" w:eastAsia="zh-CN"/>
        </w:rPr>
      </w:pPr>
      <w:r>
        <w:rPr>
          <w:rFonts w:hint="eastAsia"/>
          <w:lang w:val="en-US" w:eastAsia="zh-CN"/>
        </w:rPr>
        <w:t>商业网点是城市商贸流通的重要载体，也是城市繁荣的重要标志。推动县域商业网点布局建设，对于扩大内需、引导消费、扩大就业、</w:t>
      </w:r>
      <w:r>
        <w:rPr>
          <w:rFonts w:hint="eastAsia"/>
        </w:rPr>
        <w:t>满足人民日益增长的美好生活的需要</w:t>
      </w:r>
      <w:r>
        <w:rPr>
          <w:rFonts w:hint="eastAsia"/>
          <w:lang w:val="en-US" w:eastAsia="zh-CN"/>
        </w:rPr>
        <w:t>具有重要意义。</w:t>
      </w:r>
      <w:r>
        <w:rPr>
          <w:rFonts w:hint="eastAsia" w:ascii="Times New Roman" w:hAnsi="Times New Roman" w:eastAsia="仿宋_GB2312" w:cs="Times New Roman"/>
          <w:sz w:val="32"/>
          <w:szCs w:val="32"/>
          <w:lang w:val="en-US" w:eastAsia="zh-CN"/>
        </w:rPr>
        <w:t>商业网点规划作为保障和引导居民消费，完善城市商业功能，调控商业设施供给的科学依据，对</w:t>
      </w:r>
      <w:r>
        <w:rPr>
          <w:rFonts w:hint="eastAsia" w:cs="Times New Roman"/>
          <w:sz w:val="32"/>
          <w:szCs w:val="32"/>
          <w:lang w:val="en-US" w:eastAsia="zh-CN"/>
        </w:rPr>
        <w:t>释放消费潜力</w:t>
      </w:r>
      <w:r>
        <w:rPr>
          <w:rFonts w:hint="eastAsia" w:ascii="Times New Roman" w:hAnsi="Times New Roman" w:eastAsia="仿宋_GB2312" w:cs="Times New Roman"/>
          <w:sz w:val="32"/>
          <w:szCs w:val="32"/>
          <w:lang w:val="en-US" w:eastAsia="zh-CN"/>
        </w:rPr>
        <w:t>、促进县域经济高质量发展具有重要作用。为适应</w:t>
      </w:r>
      <w:r>
        <w:rPr>
          <w:rFonts w:hint="eastAsia" w:ascii="Times New Roman" w:hAnsi="Times New Roman" w:cs="Times New Roman"/>
          <w:sz w:val="32"/>
          <w:szCs w:val="32"/>
          <w:lang w:val="en-US" w:eastAsia="zh-CN"/>
        </w:rPr>
        <w:t>同心</w:t>
      </w:r>
      <w:r>
        <w:rPr>
          <w:rFonts w:hint="eastAsia" w:ascii="Times New Roman" w:hAnsi="Times New Roman" w:eastAsia="仿宋_GB2312" w:cs="Times New Roman"/>
          <w:sz w:val="32"/>
          <w:szCs w:val="32"/>
          <w:lang w:val="en-US" w:eastAsia="zh-CN"/>
        </w:rPr>
        <w:t>县经济发展新常态、做强做大县域商业，加快商业体系建设、促进乡村振兴，建设符合当前</w:t>
      </w:r>
      <w:r>
        <w:rPr>
          <w:rFonts w:hint="eastAsia" w:ascii="Times New Roman" w:hAnsi="Times New Roman" w:cs="Times New Roman"/>
          <w:sz w:val="32"/>
          <w:szCs w:val="32"/>
          <w:lang w:val="en-US" w:eastAsia="zh-CN"/>
        </w:rPr>
        <w:t>同心县</w:t>
      </w:r>
      <w:r>
        <w:rPr>
          <w:rFonts w:hint="eastAsia" w:ascii="Times New Roman" w:hAnsi="Times New Roman" w:eastAsia="仿宋_GB2312" w:cs="Times New Roman"/>
          <w:sz w:val="32"/>
          <w:szCs w:val="32"/>
          <w:lang w:val="en-US" w:eastAsia="zh-CN"/>
        </w:rPr>
        <w:t>商业发展目标和趋势的网点体系至关重要，根据《城市商业网点规划编制规范》等政策文件，编制《</w:t>
      </w:r>
      <w:r>
        <w:rPr>
          <w:rFonts w:hint="eastAsia" w:ascii="Times New Roman" w:hAnsi="Times New Roman" w:cs="Times New Roman"/>
          <w:sz w:val="32"/>
          <w:szCs w:val="32"/>
          <w:lang w:val="en-US" w:eastAsia="zh-CN"/>
        </w:rPr>
        <w:t>同心</w:t>
      </w:r>
      <w:r>
        <w:rPr>
          <w:rFonts w:hint="eastAsia" w:ascii="Times New Roman" w:hAnsi="Times New Roman" w:eastAsia="仿宋_GB2312" w:cs="Times New Roman"/>
          <w:sz w:val="32"/>
          <w:szCs w:val="32"/>
          <w:lang w:val="en-US" w:eastAsia="zh-CN"/>
        </w:rPr>
        <w:t>县商业网点</w:t>
      </w:r>
      <w:r>
        <w:rPr>
          <w:rFonts w:hint="eastAsia" w:ascii="Times New Roman" w:hAnsi="Times New Roman" w:cs="Times New Roman"/>
          <w:sz w:val="32"/>
          <w:szCs w:val="32"/>
          <w:lang w:val="en-US" w:eastAsia="zh-CN"/>
        </w:rPr>
        <w:t>“十四五”</w:t>
      </w:r>
      <w:r>
        <w:rPr>
          <w:rFonts w:hint="eastAsia" w:ascii="Times New Roman" w:hAnsi="Times New Roman" w:eastAsia="仿宋_GB2312" w:cs="Times New Roman"/>
          <w:sz w:val="32"/>
          <w:szCs w:val="32"/>
          <w:lang w:val="en-US" w:eastAsia="zh-CN"/>
        </w:rPr>
        <w:t>布局规划》。</w:t>
      </w:r>
    </w:p>
    <w:p>
      <w:pPr>
        <w:pStyle w:val="3"/>
        <w:spacing w:before="156" w:after="156"/>
        <w:jc w:val="both"/>
        <w:outlineLvl w:val="9"/>
        <w:rPr>
          <w:rFonts w:hint="eastAsia"/>
          <w:lang w:val="en-US" w:eastAsia="zh-CN"/>
        </w:rPr>
        <w:sectPr>
          <w:footerReference r:id="rId12" w:type="default"/>
          <w:pgSz w:w="11906" w:h="16838"/>
          <w:pgMar w:top="1440" w:right="1417" w:bottom="1440" w:left="1701" w:header="851" w:footer="992" w:gutter="0"/>
          <w:pgBorders>
            <w:top w:val="none" w:sz="0" w:space="0"/>
            <w:left w:val="none" w:sz="0" w:space="0"/>
            <w:bottom w:val="none" w:sz="0" w:space="0"/>
            <w:right w:val="none" w:sz="0" w:space="0"/>
          </w:pgBorders>
          <w:pgNumType w:start="1"/>
          <w:cols w:space="425" w:num="1"/>
          <w:docGrid w:type="lines" w:linePitch="312" w:charSpace="0"/>
        </w:sectPr>
      </w:pPr>
    </w:p>
    <w:p>
      <w:pPr>
        <w:pStyle w:val="3"/>
        <w:spacing w:before="156" w:after="156"/>
        <w:jc w:val="both"/>
      </w:pPr>
      <w:bookmarkStart w:id="11" w:name="_Toc2210"/>
      <w:r>
        <w:rPr>
          <w:rFonts w:hint="eastAsia"/>
          <w:lang w:val="en-US" w:eastAsia="zh-CN"/>
        </w:rPr>
        <w:t>一、</w:t>
      </w:r>
      <w:r>
        <w:rPr>
          <w:rFonts w:hint="eastAsia"/>
        </w:rPr>
        <w:t>规划背景</w:t>
      </w:r>
      <w:bookmarkEnd w:id="8"/>
      <w:bookmarkEnd w:id="9"/>
      <w:bookmarkEnd w:id="10"/>
      <w:bookmarkEnd w:id="11"/>
    </w:p>
    <w:p>
      <w:pPr>
        <w:ind w:firstLine="640"/>
      </w:pPr>
      <w:r>
        <w:rPr>
          <w:rFonts w:hint="eastAsia" w:ascii="方正仿宋简体" w:hAnsi="方正仿宋简体" w:cs="方正仿宋简体"/>
        </w:rPr>
        <w:t>“十三五”期间，</w:t>
      </w:r>
      <w:r>
        <w:rPr>
          <w:rFonts w:hint="eastAsia" w:ascii="方正仿宋简体" w:hAnsi="方正仿宋简体" w:cs="方正仿宋简体"/>
          <w:lang w:val="en-US" w:eastAsia="zh-CN"/>
        </w:rPr>
        <w:t>同心县围绕</w:t>
      </w:r>
      <w:r>
        <w:rPr>
          <w:rFonts w:hint="eastAsia" w:ascii="方正仿宋简体" w:hAnsi="方正仿宋简体" w:cs="方正仿宋简体"/>
        </w:rPr>
        <w:t>“优质提速、增效稳进”主旋律，注重培育新的经济增长点，加强商贸基础设施建设，大力拓展新型商业业态，市场建设有序推进，商贸流通业发展取得显著成效，为全县社会经济发展起到了极大的推进作用。</w:t>
      </w:r>
    </w:p>
    <w:p>
      <w:pPr>
        <w:pStyle w:val="2"/>
        <w:spacing w:before="156" w:after="156"/>
        <w:ind w:firstLine="643"/>
      </w:pPr>
      <w:bookmarkStart w:id="12" w:name="_Toc95764808"/>
      <w:bookmarkStart w:id="13" w:name="_Toc19874"/>
      <w:bookmarkStart w:id="14" w:name="_Toc26370"/>
      <w:bookmarkStart w:id="15" w:name="_Toc24417"/>
      <w:r>
        <w:rPr>
          <w:rFonts w:hint="eastAsia"/>
          <w:lang w:eastAsia="zh-CN"/>
        </w:rPr>
        <w:t>（</w:t>
      </w:r>
      <w:r>
        <w:rPr>
          <w:rFonts w:hint="eastAsia"/>
          <w:lang w:val="en-US" w:eastAsia="zh-CN"/>
        </w:rPr>
        <w:t>一</w:t>
      </w:r>
      <w:r>
        <w:rPr>
          <w:rFonts w:hint="eastAsia"/>
          <w:lang w:eastAsia="zh-CN"/>
        </w:rPr>
        <w:t>）</w:t>
      </w:r>
      <w:r>
        <w:rPr>
          <w:rFonts w:hint="eastAsia"/>
        </w:rPr>
        <w:t>社会经济及产业发展概况</w:t>
      </w:r>
      <w:bookmarkEnd w:id="12"/>
      <w:bookmarkEnd w:id="13"/>
      <w:bookmarkEnd w:id="14"/>
      <w:bookmarkEnd w:id="15"/>
    </w:p>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1.</w:t>
      </w:r>
      <w:r>
        <w:rPr>
          <w:rFonts w:hint="eastAsia" w:ascii="仿宋_GB2312" w:hAnsi="仿宋_GB2312" w:eastAsia="仿宋_GB2312" w:cs="仿宋_GB2312"/>
        </w:rPr>
        <w:t>经济总量不断提升</w:t>
      </w:r>
    </w:p>
    <w:p>
      <w:pPr>
        <w:ind w:firstLine="640"/>
        <w:rPr>
          <w:rFonts w:hint="eastAsia" w:ascii="仿宋_GB2312" w:hAnsi="仿宋_GB2312" w:eastAsia="仿宋_GB2312" w:cs="仿宋_GB2312"/>
        </w:rPr>
      </w:pPr>
      <w:r>
        <w:rPr>
          <w:rFonts w:hint="eastAsia" w:ascii="仿宋_GB2312" w:hAnsi="仿宋_GB2312" w:eastAsia="仿宋_GB2312" w:cs="仿宋_GB2312"/>
        </w:rPr>
        <w:t>同心县下辖7镇4乡1个开发区，142个行政村，11个社区，</w:t>
      </w:r>
      <w:r>
        <w:rPr>
          <w:rFonts w:hint="eastAsia" w:ascii="仿宋_GB2312" w:hAnsi="仿宋_GB2312" w:cs="仿宋_GB2312"/>
        </w:rPr>
        <w:t>全县常住人口32.4万人,其中城镇常住人口14.3万人</w:t>
      </w:r>
      <w:r>
        <w:rPr>
          <w:rFonts w:hint="eastAsia" w:ascii="仿宋_GB2312" w:hAnsi="仿宋_GB2312" w:cs="仿宋_GB2312"/>
          <w:lang w:eastAsia="zh-CN"/>
        </w:rPr>
        <w:t>，</w:t>
      </w:r>
      <w:r>
        <w:rPr>
          <w:rFonts w:hint="eastAsia" w:ascii="仿宋_GB2312" w:hAnsi="仿宋_GB2312" w:cs="仿宋_GB2312"/>
          <w:lang w:val="en-US" w:eastAsia="zh-CN"/>
        </w:rPr>
        <w:t>占比44.1%，乡村人口18.2万人，占比55.9%</w:t>
      </w:r>
      <w:r>
        <w:rPr>
          <w:rFonts w:hint="eastAsia" w:ascii="仿宋_GB2312" w:hAnsi="仿宋_GB2312" w:cs="仿宋_GB2312"/>
        </w:rPr>
        <w:t>。</w:t>
      </w:r>
      <w:r>
        <w:rPr>
          <w:rFonts w:hint="eastAsia" w:ascii="仿宋_GB2312" w:hAnsi="仿宋_GB2312" w:eastAsia="仿宋_GB2312" w:cs="仿宋_GB2312"/>
        </w:rPr>
        <w:t>“十三五”期间，在宏观调控趋紧、下行压力加大的形势下，全县经济在困境中奋起，在逆势中上扬。特别是地区生产总值、人均地区生产总值、全社会固定资产投资和社会消费品零售总额4项经济指标超额完成“十三五”任务，增速位居全区全市各县区前列。“十三五”末，全县地区生产总值达到102.9亿元，年均增长14.02%，比“十二五”末翻了一番；人均地区生产总值达到29345元，年均增长12.3%，地方公共预算收入、公共预算支出、社会消费品零售总额分别达到3.29亿元、60.8亿元、27.6亿元，年均分别增长8.1%、10.9%、19.6%；全社会固定资产投资累计完成363.8亿元。</w:t>
      </w:r>
    </w:p>
    <w:p>
      <w:pPr>
        <w:ind w:firstLine="560"/>
        <w:jc w:val="center"/>
        <w:rPr>
          <w:rFonts w:hint="eastAsia" w:ascii="黑体" w:hAnsi="黑体" w:eastAsia="黑体" w:cs="黑体"/>
          <w:sz w:val="24"/>
          <w:szCs w:val="24"/>
        </w:rPr>
      </w:pPr>
    </w:p>
    <w:p>
      <w:pPr>
        <w:ind w:firstLine="560"/>
        <w:jc w:val="center"/>
        <w:rPr>
          <w:rFonts w:hint="eastAsia" w:ascii="黑体" w:hAnsi="黑体" w:eastAsia="黑体" w:cs="黑体"/>
          <w:sz w:val="24"/>
          <w:szCs w:val="24"/>
        </w:rPr>
      </w:pPr>
    </w:p>
    <w:p>
      <w:pPr>
        <w:ind w:firstLine="560"/>
        <w:jc w:val="center"/>
        <w:rPr>
          <w:rFonts w:hint="eastAsia" w:ascii="黑体" w:hAnsi="黑体" w:eastAsia="黑体" w:cs="黑体"/>
          <w:sz w:val="24"/>
          <w:szCs w:val="24"/>
          <w:highlight w:val="none"/>
        </w:rPr>
      </w:pPr>
      <w:r>
        <w:rPr>
          <w:highlight w:val="none"/>
        </w:rPr>
        <w:drawing>
          <wp:anchor distT="0" distB="0" distL="114300" distR="114300" simplePos="0" relativeHeight="251664384" behindDoc="0" locked="0" layoutInCell="1" allowOverlap="1">
            <wp:simplePos x="0" y="0"/>
            <wp:positionH relativeFrom="column">
              <wp:posOffset>483235</wp:posOffset>
            </wp:positionH>
            <wp:positionV relativeFrom="paragraph">
              <wp:posOffset>131445</wp:posOffset>
            </wp:positionV>
            <wp:extent cx="4575810" cy="2743200"/>
            <wp:effectExtent l="4445" t="4445" r="17145" b="8255"/>
            <wp:wrapTopAndBottom/>
            <wp:docPr id="13"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r>
        <w:rPr>
          <w:rFonts w:hint="eastAsia" w:ascii="黑体" w:hAnsi="黑体" w:eastAsia="黑体" w:cs="黑体"/>
          <w:sz w:val="24"/>
          <w:szCs w:val="24"/>
          <w:highlight w:val="none"/>
        </w:rPr>
        <w:t>图1 2016-202</w:t>
      </w:r>
      <w:r>
        <w:rPr>
          <w:rFonts w:hint="eastAsia" w:ascii="黑体" w:hAnsi="黑体" w:eastAsia="黑体" w:cs="黑体"/>
          <w:sz w:val="24"/>
          <w:szCs w:val="24"/>
          <w:highlight w:val="none"/>
          <w:lang w:val="en-US" w:eastAsia="zh-CN"/>
        </w:rPr>
        <w:t>1</w:t>
      </w:r>
      <w:r>
        <w:rPr>
          <w:rFonts w:hint="eastAsia" w:ascii="黑体" w:hAnsi="黑体" w:eastAsia="黑体" w:cs="黑体"/>
          <w:sz w:val="24"/>
          <w:szCs w:val="24"/>
          <w:highlight w:val="none"/>
        </w:rPr>
        <w:t>年GDP及相关经济指标变化趋势图</w:t>
      </w:r>
    </w:p>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2.</w:t>
      </w:r>
      <w:r>
        <w:rPr>
          <w:rFonts w:hint="eastAsia" w:ascii="仿宋_GB2312" w:hAnsi="仿宋_GB2312" w:eastAsia="仿宋_GB2312" w:cs="仿宋_GB2312"/>
        </w:rPr>
        <w:t>产业结构不断优化</w:t>
      </w:r>
    </w:p>
    <w:p>
      <w:pPr>
        <w:overflowPunct w:val="0"/>
        <w:ind w:firstLine="640"/>
        <w:rPr>
          <w:rFonts w:hint="eastAsia" w:ascii="仿宋_GB2312" w:hAnsi="仿宋_GB2312" w:eastAsia="仿宋_GB2312" w:cs="仿宋_GB2312"/>
          <w:color w:val="000000"/>
          <w:szCs w:val="32"/>
        </w:rPr>
      </w:pPr>
      <w:r>
        <w:rPr>
          <w:rFonts w:hint="eastAsia" w:ascii="仿宋_GB2312" w:hAnsi="仿宋_GB2312" w:eastAsia="仿宋_GB2312" w:cs="仿宋_GB2312"/>
          <w:color w:val="000000"/>
          <w:szCs w:val="32"/>
        </w:rPr>
        <w:t>“十三五”时期，同心县深入推进供给侧结构性改革，继续做好“调”和“转”的文章，优化存量、扩大增量、提升质量，高质量发展势头良好。三次产业结构比由2015年的22:40:38优化为202</w:t>
      </w:r>
      <w:r>
        <w:rPr>
          <w:rFonts w:hint="default" w:ascii="仿宋_GB2312" w:hAnsi="仿宋_GB2312" w:cs="仿宋_GB2312"/>
          <w:color w:val="000000"/>
          <w:szCs w:val="32"/>
        </w:rPr>
        <w:t>1</w:t>
      </w:r>
      <w:r>
        <w:rPr>
          <w:rFonts w:hint="eastAsia" w:ascii="仿宋_GB2312" w:hAnsi="仿宋_GB2312" w:eastAsia="仿宋_GB2312" w:cs="仿宋_GB2312"/>
          <w:color w:val="000000"/>
          <w:szCs w:val="32"/>
        </w:rPr>
        <w:t>年的1</w:t>
      </w:r>
      <w:r>
        <w:rPr>
          <w:rFonts w:hint="default" w:ascii="仿宋_GB2312" w:hAnsi="仿宋_GB2312" w:cs="仿宋_GB2312"/>
          <w:color w:val="000000"/>
          <w:szCs w:val="32"/>
        </w:rPr>
        <w:t>7</w:t>
      </w:r>
      <w:r>
        <w:rPr>
          <w:rFonts w:hint="eastAsia" w:ascii="仿宋_GB2312" w:hAnsi="仿宋_GB2312" w:eastAsia="仿宋_GB2312" w:cs="仿宋_GB2312"/>
          <w:color w:val="000000"/>
          <w:szCs w:val="32"/>
        </w:rPr>
        <w:t>:3</w:t>
      </w:r>
      <w:r>
        <w:rPr>
          <w:rFonts w:hint="default" w:ascii="仿宋_GB2312" w:hAnsi="仿宋_GB2312" w:cs="仿宋_GB2312"/>
          <w:color w:val="000000"/>
          <w:szCs w:val="32"/>
        </w:rPr>
        <w:t>8</w:t>
      </w:r>
      <w:r>
        <w:rPr>
          <w:rFonts w:hint="eastAsia" w:ascii="仿宋_GB2312" w:hAnsi="仿宋_GB2312" w:eastAsia="仿宋_GB2312" w:cs="仿宋_GB2312"/>
          <w:color w:val="000000"/>
          <w:szCs w:val="32"/>
        </w:rPr>
        <w:t>:4</w:t>
      </w:r>
      <w:r>
        <w:rPr>
          <w:rFonts w:hint="default" w:ascii="仿宋_GB2312" w:hAnsi="仿宋_GB2312" w:cs="仿宋_GB2312"/>
          <w:color w:val="000000"/>
          <w:szCs w:val="32"/>
        </w:rPr>
        <w:t>5</w:t>
      </w:r>
      <w:r>
        <w:rPr>
          <w:rFonts w:hint="eastAsia" w:ascii="仿宋_GB2312" w:hAnsi="仿宋_GB2312" w:eastAsia="仿宋_GB2312" w:cs="仿宋_GB2312"/>
          <w:color w:val="000000"/>
          <w:szCs w:val="32"/>
        </w:rPr>
        <w:t>。农业综合生产能力稳步提升，全县农林牧业总产值达到</w:t>
      </w:r>
      <w:r>
        <w:rPr>
          <w:rFonts w:hint="default" w:ascii="仿宋_GB2312" w:hAnsi="仿宋_GB2312" w:cs="仿宋_GB2312"/>
          <w:color w:val="000000"/>
          <w:szCs w:val="32"/>
        </w:rPr>
        <w:t>46</w:t>
      </w:r>
      <w:r>
        <w:rPr>
          <w:rFonts w:hint="eastAsia" w:ascii="仿宋_GB2312" w:hAnsi="仿宋_GB2312" w:eastAsia="仿宋_GB2312" w:cs="仿宋_GB2312"/>
          <w:color w:val="000000"/>
          <w:szCs w:val="32"/>
        </w:rPr>
        <w:t>亿元，年均增长</w:t>
      </w:r>
      <w:r>
        <w:rPr>
          <w:rFonts w:hint="default" w:ascii="仿宋_GB2312" w:hAnsi="仿宋_GB2312" w:cs="仿宋_GB2312"/>
          <w:color w:val="000000"/>
          <w:szCs w:val="32"/>
        </w:rPr>
        <w:t>4</w:t>
      </w:r>
      <w:r>
        <w:rPr>
          <w:rFonts w:hint="eastAsia" w:ascii="仿宋_GB2312" w:hAnsi="仿宋_GB2312" w:cs="仿宋_GB2312"/>
          <w:color w:val="000000"/>
          <w:szCs w:val="32"/>
          <w:lang w:val="en-US" w:eastAsia="zh-Hans"/>
        </w:rPr>
        <w:t>.</w:t>
      </w:r>
      <w:r>
        <w:rPr>
          <w:rFonts w:hint="default" w:ascii="仿宋_GB2312" w:hAnsi="仿宋_GB2312" w:cs="仿宋_GB2312"/>
          <w:color w:val="000000"/>
          <w:szCs w:val="32"/>
          <w:lang w:eastAsia="zh-Hans"/>
        </w:rPr>
        <w:t>2</w:t>
      </w:r>
      <w:r>
        <w:rPr>
          <w:rFonts w:hint="eastAsia" w:ascii="仿宋_GB2312" w:hAnsi="仿宋_GB2312" w:eastAsia="仿宋_GB2312" w:cs="仿宋_GB2312"/>
          <w:color w:val="000000"/>
          <w:szCs w:val="32"/>
        </w:rPr>
        <w:t>%。工业</w:t>
      </w:r>
      <w:r>
        <w:rPr>
          <w:rFonts w:hint="eastAsia" w:ascii="仿宋_GB2312" w:hAnsi="仿宋_GB2312" w:cs="仿宋_GB2312"/>
          <w:color w:val="000000"/>
          <w:szCs w:val="32"/>
          <w:lang w:val="en-US" w:eastAsia="zh-Hans"/>
        </w:rPr>
        <w:t>实现增加值</w:t>
      </w:r>
      <w:r>
        <w:rPr>
          <w:rFonts w:hint="default" w:ascii="仿宋_GB2312" w:hAnsi="仿宋_GB2312" w:cs="仿宋_GB2312"/>
          <w:color w:val="000000"/>
          <w:szCs w:val="32"/>
          <w:lang w:eastAsia="zh-Hans"/>
        </w:rPr>
        <w:t>40</w:t>
      </w:r>
      <w:r>
        <w:rPr>
          <w:rFonts w:hint="eastAsia" w:ascii="仿宋_GB2312" w:hAnsi="仿宋_GB2312" w:cs="仿宋_GB2312"/>
          <w:color w:val="000000"/>
          <w:szCs w:val="32"/>
          <w:lang w:val="en-US" w:eastAsia="zh-Hans"/>
        </w:rPr>
        <w:t>亿元</w:t>
      </w:r>
      <w:r>
        <w:rPr>
          <w:rFonts w:hint="default" w:ascii="仿宋_GB2312" w:hAnsi="仿宋_GB2312" w:cs="仿宋_GB2312"/>
          <w:color w:val="000000"/>
          <w:szCs w:val="32"/>
          <w:lang w:eastAsia="zh-Hans"/>
        </w:rPr>
        <w:t>，</w:t>
      </w:r>
      <w:r>
        <w:rPr>
          <w:rFonts w:hint="eastAsia" w:ascii="仿宋_GB2312" w:hAnsi="仿宋_GB2312" w:cs="仿宋_GB2312"/>
          <w:color w:val="000000"/>
          <w:szCs w:val="32"/>
          <w:lang w:val="en-US" w:eastAsia="zh-Hans"/>
        </w:rPr>
        <w:t>平均增长</w:t>
      </w:r>
      <w:r>
        <w:rPr>
          <w:rFonts w:hint="default" w:ascii="仿宋_GB2312" w:hAnsi="仿宋_GB2312" w:cs="仿宋_GB2312"/>
          <w:color w:val="000000"/>
          <w:szCs w:val="32"/>
          <w:lang w:eastAsia="zh-Hans"/>
        </w:rPr>
        <w:t>12</w:t>
      </w:r>
      <w:r>
        <w:rPr>
          <w:rFonts w:hint="eastAsia" w:ascii="仿宋_GB2312" w:hAnsi="仿宋_GB2312" w:cs="仿宋_GB2312"/>
          <w:color w:val="000000"/>
          <w:szCs w:val="32"/>
          <w:lang w:val="en-US" w:eastAsia="zh-Hans"/>
        </w:rPr>
        <w:t>.</w:t>
      </w:r>
      <w:r>
        <w:rPr>
          <w:rFonts w:hint="default" w:ascii="仿宋_GB2312" w:hAnsi="仿宋_GB2312" w:cs="仿宋_GB2312"/>
          <w:color w:val="000000"/>
          <w:szCs w:val="32"/>
          <w:lang w:eastAsia="zh-Hans"/>
        </w:rPr>
        <w:t>2%</w:t>
      </w:r>
      <w:r>
        <w:rPr>
          <w:rFonts w:hint="eastAsia" w:ascii="仿宋_GB2312" w:hAnsi="仿宋_GB2312" w:eastAsia="仿宋_GB2312" w:cs="仿宋_GB2312"/>
          <w:color w:val="000000"/>
          <w:szCs w:val="32"/>
        </w:rPr>
        <w:t>，围绕“轻新健”形成现代纺织、绿色食品、精细化工、新能源等为主导的新型工业产业体系。服务业总量规模稳步扩大，</w:t>
      </w:r>
      <w:r>
        <w:rPr>
          <w:rFonts w:hint="default" w:ascii="仿宋_GB2312" w:hAnsi="仿宋_GB2312" w:cs="仿宋_GB2312"/>
          <w:color w:val="000000"/>
          <w:szCs w:val="32"/>
        </w:rPr>
        <w:t>2021</w:t>
      </w:r>
      <w:r>
        <w:rPr>
          <w:rFonts w:hint="eastAsia" w:ascii="仿宋_GB2312" w:hAnsi="仿宋_GB2312" w:cs="仿宋_GB2312"/>
          <w:color w:val="000000"/>
          <w:szCs w:val="32"/>
          <w:lang w:val="en-US" w:eastAsia="zh-Hans"/>
        </w:rPr>
        <w:t>年</w:t>
      </w:r>
      <w:r>
        <w:rPr>
          <w:rFonts w:hint="default" w:ascii="仿宋_GB2312" w:hAnsi="仿宋_GB2312" w:cs="仿宋_GB2312"/>
          <w:color w:val="000000"/>
          <w:szCs w:val="32"/>
          <w:lang w:eastAsia="zh-Hans"/>
        </w:rPr>
        <w:t>，</w:t>
      </w:r>
      <w:r>
        <w:rPr>
          <w:rFonts w:hint="eastAsia" w:ascii="仿宋_GB2312" w:hAnsi="仿宋_GB2312" w:eastAsia="仿宋_GB2312" w:cs="仿宋_GB2312"/>
          <w:color w:val="000000"/>
          <w:szCs w:val="32"/>
        </w:rPr>
        <w:t>全县服务业增加值达到</w:t>
      </w:r>
      <w:r>
        <w:rPr>
          <w:rFonts w:hint="default" w:ascii="仿宋_GB2312" w:hAnsi="仿宋_GB2312" w:cs="仿宋_GB2312"/>
          <w:color w:val="000000"/>
          <w:szCs w:val="32"/>
        </w:rPr>
        <w:t>54</w:t>
      </w:r>
      <w:r>
        <w:rPr>
          <w:rFonts w:hint="eastAsia" w:ascii="仿宋_GB2312" w:hAnsi="仿宋_GB2312" w:cs="仿宋_GB2312"/>
          <w:color w:val="000000"/>
          <w:szCs w:val="32"/>
          <w:lang w:val="en-US" w:eastAsia="zh-Hans"/>
        </w:rPr>
        <w:t>.</w:t>
      </w:r>
      <w:r>
        <w:rPr>
          <w:rFonts w:hint="default" w:ascii="仿宋_GB2312" w:hAnsi="仿宋_GB2312" w:cs="仿宋_GB2312"/>
          <w:color w:val="000000"/>
          <w:szCs w:val="32"/>
          <w:lang w:eastAsia="zh-Hans"/>
        </w:rPr>
        <w:t>22</w:t>
      </w:r>
      <w:r>
        <w:rPr>
          <w:rFonts w:hint="eastAsia" w:ascii="仿宋_GB2312" w:hAnsi="仿宋_GB2312" w:eastAsia="仿宋_GB2312" w:cs="仿宋_GB2312"/>
          <w:color w:val="000000"/>
          <w:szCs w:val="32"/>
        </w:rPr>
        <w:t>亿元，</w:t>
      </w:r>
      <w:r>
        <w:rPr>
          <w:rFonts w:hint="eastAsia" w:ascii="仿宋_GB2312" w:hAnsi="仿宋_GB2312" w:cs="仿宋_GB2312"/>
          <w:color w:val="000000"/>
          <w:szCs w:val="32"/>
          <w:lang w:val="en-US" w:eastAsia="zh-Hans"/>
        </w:rPr>
        <w:t>同比增长</w:t>
      </w:r>
      <w:r>
        <w:rPr>
          <w:rFonts w:hint="default" w:ascii="仿宋_GB2312" w:hAnsi="仿宋_GB2312" w:cs="仿宋_GB2312"/>
          <w:color w:val="000000"/>
          <w:szCs w:val="32"/>
          <w:lang w:eastAsia="zh-Hans"/>
        </w:rPr>
        <w:t>7</w:t>
      </w:r>
      <w:r>
        <w:rPr>
          <w:rFonts w:hint="eastAsia" w:ascii="仿宋_GB2312" w:hAnsi="仿宋_GB2312" w:cs="仿宋_GB2312"/>
          <w:color w:val="000000"/>
          <w:szCs w:val="32"/>
          <w:lang w:val="en-US" w:eastAsia="zh-Hans"/>
        </w:rPr>
        <w:t>.</w:t>
      </w:r>
      <w:r>
        <w:rPr>
          <w:rFonts w:hint="default" w:ascii="仿宋_GB2312" w:hAnsi="仿宋_GB2312" w:cs="仿宋_GB2312"/>
          <w:color w:val="000000"/>
          <w:szCs w:val="32"/>
          <w:lang w:eastAsia="zh-Hans"/>
        </w:rPr>
        <w:t>4</w:t>
      </w:r>
      <w:r>
        <w:rPr>
          <w:rFonts w:hint="eastAsia" w:ascii="仿宋_GB2312" w:hAnsi="仿宋_GB2312" w:eastAsia="仿宋_GB2312" w:cs="仿宋_GB2312"/>
          <w:color w:val="000000"/>
          <w:szCs w:val="32"/>
        </w:rPr>
        <w:t>%</w:t>
      </w:r>
      <w:r>
        <w:rPr>
          <w:rFonts w:hint="default" w:ascii="仿宋_GB2312" w:hAnsi="仿宋_GB2312" w:cs="仿宋_GB2312"/>
          <w:color w:val="000000"/>
          <w:szCs w:val="32"/>
        </w:rPr>
        <w:t>，</w:t>
      </w:r>
      <w:r>
        <w:rPr>
          <w:rFonts w:hint="eastAsia" w:ascii="仿宋_GB2312" w:hAnsi="仿宋_GB2312" w:cs="仿宋_GB2312"/>
          <w:color w:val="000000"/>
          <w:szCs w:val="32"/>
          <w:lang w:val="en-US" w:eastAsia="zh-Hans"/>
        </w:rPr>
        <w:t>第三产业固定资产投资</w:t>
      </w:r>
      <w:r>
        <w:rPr>
          <w:rFonts w:hint="default" w:ascii="仿宋_GB2312" w:hAnsi="仿宋_GB2312" w:cs="仿宋_GB2312"/>
          <w:color w:val="000000"/>
          <w:szCs w:val="32"/>
          <w:lang w:eastAsia="zh-Hans"/>
        </w:rPr>
        <w:t>26</w:t>
      </w:r>
      <w:r>
        <w:rPr>
          <w:rFonts w:hint="eastAsia" w:ascii="仿宋_GB2312" w:hAnsi="仿宋_GB2312" w:cs="仿宋_GB2312"/>
          <w:color w:val="000000"/>
          <w:szCs w:val="32"/>
          <w:lang w:val="en-US" w:eastAsia="zh-Hans"/>
        </w:rPr>
        <w:t>.</w:t>
      </w:r>
      <w:r>
        <w:rPr>
          <w:rFonts w:hint="default" w:ascii="仿宋_GB2312" w:hAnsi="仿宋_GB2312" w:cs="仿宋_GB2312"/>
          <w:color w:val="000000"/>
          <w:szCs w:val="32"/>
          <w:lang w:eastAsia="zh-Hans"/>
        </w:rPr>
        <w:t>9</w:t>
      </w:r>
      <w:r>
        <w:rPr>
          <w:rFonts w:hint="eastAsia" w:ascii="仿宋_GB2312" w:hAnsi="仿宋_GB2312" w:cs="仿宋_GB2312"/>
          <w:color w:val="000000"/>
          <w:szCs w:val="32"/>
          <w:lang w:val="en-US" w:eastAsia="zh-Hans"/>
        </w:rPr>
        <w:t>亿元</w:t>
      </w:r>
      <w:r>
        <w:rPr>
          <w:rFonts w:hint="default" w:ascii="仿宋_GB2312" w:hAnsi="仿宋_GB2312" w:cs="仿宋_GB2312"/>
          <w:color w:val="000000"/>
          <w:szCs w:val="32"/>
          <w:lang w:eastAsia="zh-Hans"/>
        </w:rPr>
        <w:t>，</w:t>
      </w:r>
      <w:r>
        <w:rPr>
          <w:rFonts w:hint="eastAsia" w:ascii="仿宋_GB2312" w:hAnsi="仿宋_GB2312" w:cs="仿宋_GB2312"/>
          <w:color w:val="000000"/>
          <w:szCs w:val="32"/>
          <w:lang w:val="en-US" w:eastAsia="zh-Hans"/>
        </w:rPr>
        <w:t>占县属投资</w:t>
      </w:r>
      <w:r>
        <w:rPr>
          <w:rFonts w:hint="default" w:ascii="仿宋_GB2312" w:hAnsi="仿宋_GB2312" w:cs="仿宋_GB2312"/>
          <w:color w:val="000000"/>
          <w:szCs w:val="32"/>
          <w:lang w:eastAsia="zh-Hans"/>
        </w:rPr>
        <w:t>51</w:t>
      </w:r>
      <w:r>
        <w:rPr>
          <w:rFonts w:hint="eastAsia" w:ascii="仿宋_GB2312" w:hAnsi="仿宋_GB2312" w:cs="仿宋_GB2312"/>
          <w:color w:val="000000"/>
          <w:szCs w:val="32"/>
          <w:lang w:val="en-US" w:eastAsia="zh-Hans"/>
        </w:rPr>
        <w:t>.</w:t>
      </w:r>
      <w:r>
        <w:rPr>
          <w:rFonts w:hint="default" w:ascii="仿宋_GB2312" w:hAnsi="仿宋_GB2312" w:cs="仿宋_GB2312"/>
          <w:color w:val="000000"/>
          <w:szCs w:val="32"/>
          <w:lang w:eastAsia="zh-Hans"/>
        </w:rPr>
        <w:t>9%，</w:t>
      </w:r>
      <w:r>
        <w:rPr>
          <w:rFonts w:hint="eastAsia" w:ascii="仿宋_GB2312" w:hAnsi="仿宋_GB2312" w:cs="仿宋_GB2312"/>
          <w:color w:val="000000"/>
          <w:szCs w:val="32"/>
          <w:lang w:val="en-US" w:eastAsia="zh-Hans"/>
        </w:rPr>
        <w:t>第三产业对全县经济增长的贡献率</w:t>
      </w:r>
      <w:r>
        <w:rPr>
          <w:rFonts w:hint="default" w:ascii="仿宋_GB2312" w:hAnsi="仿宋_GB2312" w:cs="仿宋_GB2312"/>
          <w:color w:val="000000"/>
          <w:szCs w:val="32"/>
          <w:lang w:eastAsia="zh-Hans"/>
        </w:rPr>
        <w:t>43%，</w:t>
      </w:r>
      <w:r>
        <w:rPr>
          <w:rFonts w:hint="eastAsia" w:ascii="仿宋_GB2312" w:hAnsi="仿宋_GB2312" w:cs="仿宋_GB2312"/>
          <w:color w:val="000000"/>
          <w:szCs w:val="32"/>
          <w:lang w:val="en-US" w:eastAsia="zh-Hans"/>
        </w:rPr>
        <w:t>拉动经济增长</w:t>
      </w:r>
      <w:r>
        <w:rPr>
          <w:rFonts w:hint="default" w:ascii="仿宋_GB2312" w:hAnsi="仿宋_GB2312" w:cs="仿宋_GB2312"/>
          <w:color w:val="000000"/>
          <w:szCs w:val="32"/>
          <w:lang w:eastAsia="zh-Hans"/>
        </w:rPr>
        <w:t>3</w:t>
      </w:r>
      <w:r>
        <w:rPr>
          <w:rFonts w:hint="eastAsia" w:ascii="仿宋_GB2312" w:hAnsi="仿宋_GB2312" w:cs="仿宋_GB2312"/>
          <w:color w:val="000000"/>
          <w:szCs w:val="32"/>
          <w:lang w:val="en-US" w:eastAsia="zh-Hans"/>
        </w:rPr>
        <w:t>.</w:t>
      </w:r>
      <w:r>
        <w:rPr>
          <w:rFonts w:hint="default" w:ascii="仿宋_GB2312" w:hAnsi="仿宋_GB2312" w:cs="仿宋_GB2312"/>
          <w:color w:val="000000"/>
          <w:szCs w:val="32"/>
          <w:lang w:eastAsia="zh-Hans"/>
        </w:rPr>
        <w:t>7</w:t>
      </w:r>
      <w:r>
        <w:rPr>
          <w:rFonts w:hint="eastAsia" w:ascii="仿宋_GB2312" w:hAnsi="仿宋_GB2312" w:cs="仿宋_GB2312"/>
          <w:color w:val="000000"/>
          <w:szCs w:val="32"/>
          <w:lang w:val="en-US" w:eastAsia="zh-Hans"/>
        </w:rPr>
        <w:t>个百分点</w:t>
      </w:r>
      <w:r>
        <w:rPr>
          <w:rFonts w:hint="eastAsia" w:ascii="仿宋_GB2312" w:hAnsi="仿宋_GB2312" w:eastAsia="仿宋_GB2312" w:cs="仿宋_GB2312"/>
          <w:color w:val="000000"/>
          <w:szCs w:val="32"/>
        </w:rPr>
        <w:t>。</w:t>
      </w:r>
      <w:r>
        <w:rPr>
          <w:rFonts w:hint="eastAsia" w:ascii="仿宋_GB2312" w:hAnsi="仿宋_GB2312" w:cs="仿宋_GB2312"/>
          <w:color w:val="000000"/>
          <w:szCs w:val="32"/>
          <w:lang w:val="en-US" w:eastAsia="zh-Hans"/>
        </w:rPr>
        <w:t>通过</w:t>
      </w:r>
      <w:r>
        <w:rPr>
          <w:rFonts w:hint="eastAsia" w:ascii="仿宋_GB2312" w:hAnsi="仿宋_GB2312" w:eastAsia="仿宋_GB2312" w:cs="仿宋_GB2312"/>
          <w:color w:val="000000"/>
          <w:szCs w:val="32"/>
        </w:rPr>
        <w:t>深入实施商贸服务提档工程，建设完成永安路商业街及商贸综合体、新区农贸市场、河西农贸市</w:t>
      </w:r>
      <w:r>
        <w:drawing>
          <wp:anchor distT="0" distB="0" distL="114300" distR="114300" simplePos="0" relativeHeight="251665408" behindDoc="0" locked="0" layoutInCell="1" allowOverlap="1">
            <wp:simplePos x="0" y="0"/>
            <wp:positionH relativeFrom="column">
              <wp:posOffset>340360</wp:posOffset>
            </wp:positionH>
            <wp:positionV relativeFrom="paragraph">
              <wp:posOffset>461645</wp:posOffset>
            </wp:positionV>
            <wp:extent cx="4575810" cy="2743200"/>
            <wp:effectExtent l="4445" t="4445" r="17145" b="8255"/>
            <wp:wrapTopAndBottom/>
            <wp:docPr id="2" name="图表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r>
        <w:rPr>
          <w:rFonts w:hint="eastAsia" w:ascii="仿宋_GB2312" w:hAnsi="仿宋_GB2312" w:eastAsia="仿宋_GB2312" w:cs="仿宋_GB2312"/>
          <w:color w:val="000000"/>
          <w:szCs w:val="32"/>
        </w:rPr>
        <w:t>场等项目。</w:t>
      </w:r>
    </w:p>
    <w:p>
      <w:pPr>
        <w:bidi w:val="0"/>
        <w:ind w:left="0" w:leftChars="0" w:firstLine="0" w:firstLineChars="0"/>
        <w:jc w:val="center"/>
        <w:rPr>
          <w:rFonts w:hint="eastAsia" w:ascii="黑体" w:hAnsi="黑体" w:eastAsia="黑体" w:cs="黑体"/>
          <w:sz w:val="24"/>
          <w:szCs w:val="24"/>
          <w:highlight w:val="none"/>
        </w:rPr>
      </w:pPr>
      <w:r>
        <w:rPr>
          <w:rFonts w:hint="eastAsia" w:ascii="黑体" w:hAnsi="黑体" w:eastAsia="黑体" w:cs="黑体"/>
          <w:sz w:val="24"/>
          <w:szCs w:val="24"/>
          <w:highlight w:val="none"/>
        </w:rPr>
        <w:t>图2 2016-202</w:t>
      </w:r>
      <w:r>
        <w:rPr>
          <w:rFonts w:hint="eastAsia" w:ascii="黑体" w:hAnsi="黑体" w:eastAsia="黑体" w:cs="黑体"/>
          <w:sz w:val="24"/>
          <w:szCs w:val="24"/>
          <w:highlight w:val="none"/>
          <w:lang w:val="en-US" w:eastAsia="zh-CN"/>
        </w:rPr>
        <w:t>1</w:t>
      </w:r>
      <w:r>
        <w:rPr>
          <w:rFonts w:hint="eastAsia" w:ascii="黑体" w:hAnsi="黑体" w:eastAsia="黑体" w:cs="黑体"/>
          <w:sz w:val="24"/>
          <w:szCs w:val="24"/>
          <w:highlight w:val="none"/>
        </w:rPr>
        <w:t>年三次产业占比图</w:t>
      </w:r>
    </w:p>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3.</w:t>
      </w:r>
      <w:r>
        <w:rPr>
          <w:rFonts w:hint="eastAsia" w:ascii="仿宋_GB2312" w:hAnsi="仿宋_GB2312" w:eastAsia="仿宋_GB2312" w:cs="仿宋_GB2312"/>
        </w:rPr>
        <w:t>城乡居民消费平稳增长</w:t>
      </w:r>
    </w:p>
    <w:p>
      <w:pPr>
        <w:ind w:firstLine="640"/>
        <w:rPr>
          <w:rFonts w:hint="eastAsia" w:ascii="仿宋_GB2312" w:hAnsi="仿宋_GB2312" w:eastAsia="仿宋_GB2312" w:cs="仿宋_GB2312"/>
        </w:rPr>
      </w:pPr>
      <w:r>
        <w:rPr>
          <w:rFonts w:hint="eastAsia" w:ascii="仿宋_GB2312" w:hAnsi="仿宋_GB2312" w:eastAsia="仿宋_GB2312" w:cs="仿宋_GB2312"/>
        </w:rPr>
        <w:t>2021年，全县城镇居民人均可支配收入29037元，同比增长7%，农村居民人均可支配收入12656元，同比增长11.6%，城乡居民收入差距持续缩小，消费水平逐步提高。2021年全县社会消费品零售总额完成285867万元，同比增长3.5%，比全区、全市平均水平分别高0.9和0.5个百分点。其中，城镇实现零售额225598万元，同比增长5.4%，乡村实现零售额60270万元，同比下降2.8%；从行业看：批发和零售业零售额245835万元，同比增长3.6%；住宿和餐饮业零售额40032万元，同比增长3.4%。同心县居民收入不断提高，经济的快速发展促进同心县居民消费不断升级，购买力逐步增强，推动了商贸服务业的快速发展。</w:t>
      </w:r>
    </w:p>
    <w:p>
      <w:pPr>
        <w:ind w:firstLine="640"/>
        <w:rPr>
          <w:rFonts w:hint="eastAsia" w:ascii="仿宋_GB2312" w:hAnsi="仿宋_GB2312" w:eastAsia="仿宋_GB2312" w:cs="仿宋_GB2312"/>
        </w:rPr>
      </w:pPr>
    </w:p>
    <w:p>
      <w:pPr>
        <w:bidi w:val="0"/>
        <w:rPr>
          <w:rFonts w:hint="eastAsia"/>
        </w:rPr>
      </w:pPr>
    </w:p>
    <w:p>
      <w:pPr>
        <w:bidi w:val="0"/>
        <w:ind w:left="0" w:leftChars="0" w:firstLine="0" w:firstLineChars="0"/>
        <w:jc w:val="center"/>
        <w:rPr>
          <w:rFonts w:hint="eastAsia" w:ascii="黑体" w:hAnsi="黑体" w:eastAsia="黑体" w:cs="黑体"/>
          <w:b w:val="0"/>
          <w:kern w:val="2"/>
          <w:sz w:val="24"/>
          <w:szCs w:val="24"/>
          <w:highlight w:val="none"/>
          <w:lang w:val="en-US" w:eastAsia="zh-CN" w:bidi="ar-SA"/>
        </w:rPr>
      </w:pPr>
    </w:p>
    <w:p>
      <w:pPr>
        <w:bidi w:val="0"/>
        <w:ind w:left="0" w:leftChars="0" w:firstLine="0" w:firstLineChars="0"/>
        <w:jc w:val="center"/>
        <w:rPr>
          <w:rFonts w:hint="eastAsia" w:ascii="黑体" w:hAnsi="黑体" w:eastAsia="黑体" w:cs="黑体"/>
          <w:b w:val="0"/>
          <w:kern w:val="2"/>
          <w:sz w:val="24"/>
          <w:szCs w:val="24"/>
          <w:highlight w:val="none"/>
          <w:lang w:val="en-US" w:eastAsia="zh-CN" w:bidi="ar-SA"/>
        </w:rPr>
      </w:pPr>
      <w:r>
        <w:drawing>
          <wp:anchor distT="0" distB="0" distL="114300" distR="114300" simplePos="0" relativeHeight="251663360" behindDoc="0" locked="0" layoutInCell="1" allowOverlap="1">
            <wp:simplePos x="0" y="0"/>
            <wp:positionH relativeFrom="column">
              <wp:posOffset>273685</wp:posOffset>
            </wp:positionH>
            <wp:positionV relativeFrom="paragraph">
              <wp:posOffset>74295</wp:posOffset>
            </wp:positionV>
            <wp:extent cx="4728210" cy="2908300"/>
            <wp:effectExtent l="4445" t="4445" r="17145" b="8255"/>
            <wp:wrapTopAndBottom/>
            <wp:docPr id="10"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r>
        <w:rPr>
          <w:rFonts w:hint="eastAsia" w:ascii="黑体" w:hAnsi="黑体" w:eastAsia="黑体" w:cs="黑体"/>
          <w:b w:val="0"/>
          <w:kern w:val="2"/>
          <w:sz w:val="24"/>
          <w:szCs w:val="24"/>
          <w:highlight w:val="none"/>
          <w:lang w:val="en-US" w:eastAsia="zh-CN" w:bidi="ar-SA"/>
        </w:rPr>
        <w:t>图3 2016-2021年社会消费品零售额增长趋势图</w:t>
      </w:r>
    </w:p>
    <w:p>
      <w:pPr>
        <w:pStyle w:val="35"/>
        <w:spacing w:line="480" w:lineRule="exact"/>
        <w:rPr>
          <w:rFonts w:hint="eastAsia" w:ascii="黑体" w:hAnsi="黑体" w:eastAsia="黑体" w:cs="黑体"/>
          <w:b w:val="0"/>
          <w:kern w:val="2"/>
          <w:sz w:val="24"/>
          <w:szCs w:val="24"/>
          <w:highlight w:val="none"/>
          <w:lang w:val="en-US" w:eastAsia="zh-CN" w:bidi="ar-SA"/>
        </w:rPr>
      </w:pPr>
      <w:r>
        <w:rPr>
          <w:highlight w:val="none"/>
        </w:rPr>
        <w:drawing>
          <wp:anchor distT="0" distB="0" distL="114300" distR="114300" simplePos="0" relativeHeight="251662336" behindDoc="0" locked="0" layoutInCell="1" allowOverlap="1">
            <wp:simplePos x="0" y="0"/>
            <wp:positionH relativeFrom="column">
              <wp:posOffset>330835</wp:posOffset>
            </wp:positionH>
            <wp:positionV relativeFrom="paragraph">
              <wp:posOffset>69850</wp:posOffset>
            </wp:positionV>
            <wp:extent cx="4578350" cy="2743200"/>
            <wp:effectExtent l="4445" t="4445" r="14605" b="8255"/>
            <wp:wrapTopAndBottom/>
            <wp:docPr id="7"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anchor>
        </w:drawing>
      </w:r>
      <w:r>
        <w:rPr>
          <w:rFonts w:hint="eastAsia" w:ascii="黑体" w:hAnsi="黑体" w:eastAsia="黑体" w:cs="黑体"/>
          <w:b w:val="0"/>
          <w:kern w:val="2"/>
          <w:sz w:val="24"/>
          <w:szCs w:val="24"/>
          <w:highlight w:val="none"/>
          <w:lang w:val="en-US" w:eastAsia="zh-CN" w:bidi="ar-SA"/>
        </w:rPr>
        <w:t>图4 2016-2021年城乡居民可支配收入对比图（单位：元）</w:t>
      </w:r>
    </w:p>
    <w:p>
      <w:pPr>
        <w:pStyle w:val="2"/>
        <w:spacing w:before="156" w:after="156"/>
        <w:ind w:firstLine="643"/>
      </w:pPr>
      <w:bookmarkStart w:id="16" w:name="_Toc95764809"/>
      <w:bookmarkStart w:id="17" w:name="_Toc8330"/>
      <w:bookmarkStart w:id="18" w:name="_Toc11143"/>
      <w:bookmarkStart w:id="19" w:name="_Toc16678"/>
      <w:r>
        <w:rPr>
          <w:rFonts w:hint="eastAsia"/>
          <w:lang w:eastAsia="zh-CN"/>
        </w:rPr>
        <w:t>（</w:t>
      </w:r>
      <w:r>
        <w:rPr>
          <w:rFonts w:hint="eastAsia"/>
          <w:lang w:val="en-US" w:eastAsia="zh-CN"/>
        </w:rPr>
        <w:t>二</w:t>
      </w:r>
      <w:r>
        <w:rPr>
          <w:rFonts w:hint="eastAsia"/>
          <w:lang w:eastAsia="zh-CN"/>
        </w:rPr>
        <w:t>）</w:t>
      </w:r>
      <w:r>
        <w:rPr>
          <w:rFonts w:hint="eastAsia"/>
        </w:rPr>
        <w:t>现状商业网点发展概况</w:t>
      </w:r>
      <w:bookmarkEnd w:id="16"/>
      <w:bookmarkEnd w:id="17"/>
      <w:bookmarkEnd w:id="18"/>
      <w:bookmarkEnd w:id="19"/>
    </w:p>
    <w:p>
      <w:pPr>
        <w:ind w:firstLine="640"/>
        <w:rPr>
          <w:rFonts w:ascii="方正仿宋简体" w:hAnsi="方正仿宋简体" w:cs="方正仿宋简体"/>
        </w:rPr>
      </w:pPr>
      <w:r>
        <w:rPr>
          <w:rFonts w:hint="eastAsia" w:ascii="方正仿宋简体" w:hAnsi="方正仿宋简体" w:cs="方正仿宋简体"/>
        </w:rPr>
        <w:t>“十三五”期间，同心县城镇居民消费水平逐步提高，商业网点建设持续快速增长，城区建设呈“老城稳步推进、新城快速拓展”的发展格局，各类商业网点建设发展较快</w:t>
      </w:r>
      <w:r>
        <w:rPr>
          <w:rFonts w:hint="eastAsia" w:ascii="方正仿宋简体" w:hAnsi="方正仿宋简体" w:cs="方正仿宋简体"/>
          <w:lang w:eastAsia="zh-CN"/>
        </w:rPr>
        <w:t>，</w:t>
      </w:r>
      <w:r>
        <w:rPr>
          <w:rFonts w:hint="eastAsia" w:ascii="Times New Roman" w:hAnsi="Times New Roman"/>
        </w:rPr>
        <w:t>涵盖商业综合体、商业街区、百货店、宾馆、餐饮、专业市场、农贸市场、物流园区等多种业态，</w:t>
      </w:r>
    </w:p>
    <w:p>
      <w:pPr>
        <w:spacing w:before="156" w:after="156"/>
        <w:ind w:firstLine="560"/>
        <w:jc w:val="center"/>
        <w:rPr>
          <w:rFonts w:hint="default" w:ascii="黑体" w:hAnsi="黑体" w:eastAsia="黑体" w:cs="黑体"/>
          <w:sz w:val="24"/>
          <w:szCs w:val="24"/>
          <w:highlight w:val="none"/>
          <w:lang w:val="en-US" w:eastAsia="zh-CN"/>
        </w:rPr>
      </w:pPr>
      <w:r>
        <w:rPr>
          <w:rFonts w:hint="eastAsia" w:ascii="黑体" w:hAnsi="黑体" w:eastAsia="黑体" w:cs="黑体"/>
          <w:sz w:val="24"/>
          <w:szCs w:val="24"/>
          <w:highlight w:val="none"/>
          <w:lang w:val="en-US" w:eastAsia="zh-CN"/>
        </w:rPr>
        <w:drawing>
          <wp:anchor distT="0" distB="0" distL="114300" distR="114300" simplePos="0" relativeHeight="251666432" behindDoc="0" locked="0" layoutInCell="1" allowOverlap="1">
            <wp:simplePos x="0" y="0"/>
            <wp:positionH relativeFrom="column">
              <wp:posOffset>-101600</wp:posOffset>
            </wp:positionH>
            <wp:positionV relativeFrom="paragraph">
              <wp:posOffset>69850</wp:posOffset>
            </wp:positionV>
            <wp:extent cx="5574030" cy="3696335"/>
            <wp:effectExtent l="0" t="0" r="1270" b="12065"/>
            <wp:wrapTopAndBottom/>
            <wp:docPr id="4" name="图片 4" descr="d3aedf74fa83bff852e938a42576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d3aedf74fa83bff852e938a42576230"/>
                    <pic:cNvPicPr>
                      <a:picLocks noChangeAspect="1"/>
                    </pic:cNvPicPr>
                  </pic:nvPicPr>
                  <pic:blipFill>
                    <a:blip r:embed="rId19"/>
                    <a:srcRect t="9707" b="9569"/>
                    <a:stretch>
                      <a:fillRect/>
                    </a:stretch>
                  </pic:blipFill>
                  <pic:spPr>
                    <a:xfrm>
                      <a:off x="0" y="0"/>
                      <a:ext cx="5574030" cy="3696335"/>
                    </a:xfrm>
                    <a:prstGeom prst="rect">
                      <a:avLst/>
                    </a:prstGeom>
                  </pic:spPr>
                </pic:pic>
              </a:graphicData>
            </a:graphic>
          </wp:anchor>
        </w:drawing>
      </w:r>
      <w:r>
        <w:rPr>
          <w:rFonts w:hint="eastAsia" w:ascii="黑体" w:hAnsi="黑体" w:eastAsia="黑体" w:cs="黑体"/>
          <w:sz w:val="24"/>
          <w:szCs w:val="24"/>
          <w:highlight w:val="none"/>
          <w:lang w:val="en-US" w:eastAsia="zh-CN"/>
        </w:rPr>
        <w:t>图</w:t>
      </w:r>
      <w:r>
        <w:rPr>
          <w:rFonts w:hint="eastAsia" w:ascii="黑体" w:hAnsi="黑体" w:eastAsia="黑体" w:cs="黑体"/>
          <w:color w:val="auto"/>
          <w:sz w:val="24"/>
          <w:szCs w:val="24"/>
          <w:highlight w:val="none"/>
          <w:lang w:val="en-US" w:eastAsia="zh-CN"/>
        </w:rPr>
        <w:t>5</w:t>
      </w:r>
      <w:r>
        <w:rPr>
          <w:rFonts w:hint="eastAsia" w:ascii="黑体" w:hAnsi="黑体" w:eastAsia="黑体" w:cs="黑体"/>
          <w:sz w:val="24"/>
          <w:szCs w:val="24"/>
          <w:highlight w:val="none"/>
          <w:lang w:val="en-US" w:eastAsia="zh-CN"/>
        </w:rPr>
        <w:t xml:space="preserve"> 商业中心及网点发展现状布局图</w:t>
      </w:r>
    </w:p>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1.</w:t>
      </w:r>
      <w:r>
        <w:rPr>
          <w:rFonts w:hint="eastAsia" w:ascii="仿宋_GB2312" w:hAnsi="仿宋_GB2312" w:eastAsia="仿宋_GB2312" w:cs="仿宋_GB2312"/>
        </w:rPr>
        <w:t>商业中心</w:t>
      </w:r>
    </w:p>
    <w:p>
      <w:pPr>
        <w:ind w:firstLine="640"/>
        <w:rPr>
          <w:rFonts w:hint="eastAsia" w:ascii="仿宋_GB2312" w:hAnsi="仿宋_GB2312" w:eastAsia="仿宋_GB2312" w:cs="仿宋_GB2312"/>
        </w:rPr>
      </w:pPr>
      <w:r>
        <w:rPr>
          <w:rFonts w:hint="eastAsia" w:ascii="仿宋_GB2312" w:hAnsi="仿宋_GB2312" w:eastAsia="仿宋_GB2312" w:cs="仿宋_GB2312"/>
        </w:rPr>
        <w:t>从商业网点的分布和集聚程度上看，目前同心县中心城区已形成了1</w:t>
      </w:r>
      <w:r>
        <w:rPr>
          <w:rFonts w:hint="eastAsia" w:ascii="仿宋_GB2312" w:hAnsi="仿宋_GB2312" w:cs="仿宋_GB2312"/>
          <w:lang w:val="en-US" w:eastAsia="zh-Hans"/>
        </w:rPr>
        <w:t>个</w:t>
      </w:r>
      <w:r>
        <w:rPr>
          <w:rFonts w:hint="eastAsia" w:ascii="仿宋_GB2312" w:hAnsi="仿宋_GB2312" w:eastAsia="仿宋_GB2312" w:cs="仿宋_GB2312"/>
        </w:rPr>
        <w:t>县级商业中心和3</w:t>
      </w:r>
      <w:r>
        <w:rPr>
          <w:rFonts w:hint="eastAsia" w:ascii="仿宋_GB2312" w:hAnsi="仿宋_GB2312" w:cs="仿宋_GB2312"/>
          <w:lang w:val="en-US" w:eastAsia="zh-Hans"/>
        </w:rPr>
        <w:t>个</w:t>
      </w:r>
      <w:r>
        <w:rPr>
          <w:rFonts w:hint="eastAsia" w:ascii="仿宋_GB2312" w:hAnsi="仿宋_GB2312" w:eastAsia="仿宋_GB2312" w:cs="仿宋_GB2312"/>
        </w:rPr>
        <w:t>片区商业聚集区。</w:t>
      </w:r>
    </w:p>
    <w:p>
      <w:pPr>
        <w:ind w:firstLine="640"/>
        <w:rPr>
          <w:rFonts w:hint="eastAsia" w:ascii="仿宋_GB2312" w:hAnsi="仿宋_GB2312" w:eastAsia="仿宋_GB2312" w:cs="仿宋_GB2312"/>
        </w:rPr>
      </w:pPr>
      <w:r>
        <w:rPr>
          <w:rFonts w:hint="eastAsia" w:ascii="仿宋_GB2312" w:hAnsi="仿宋_GB2312" w:eastAsia="仿宋_GB2312" w:cs="仿宋_GB2312"/>
          <w:b/>
          <w:bCs/>
          <w:color w:val="000000"/>
        </w:rPr>
        <w:t>县级商业中心：</w:t>
      </w:r>
      <w:r>
        <w:rPr>
          <w:rFonts w:hint="eastAsia" w:ascii="仿宋_GB2312" w:hAnsi="仿宋_GB2312" w:eastAsia="仿宋_GB2312" w:cs="仿宋_GB2312"/>
          <w:color w:val="000000"/>
        </w:rPr>
        <w:t>以豫海街为商业发展主轴、以长征路为商业发展副轴，东至团结路，西至解放街，南起银平街，北到利民街的县域核心商业中心。作</w:t>
      </w:r>
      <w:r>
        <w:rPr>
          <w:rFonts w:hint="eastAsia" w:ascii="仿宋_GB2312" w:hAnsi="仿宋_GB2312" w:eastAsia="仿宋_GB2312" w:cs="仿宋_GB2312"/>
        </w:rPr>
        <w:t>为全县商业发展历史最悠久、业态门类最齐全的商圈，分布有奇虎商厦、生海商场、新百大卖场、荣世商业广场、苏宁易购等大型商业网点，已基本形成了集购物、娱乐餐饮、文化休闲、特色旅游为一体的商业文化中心，辐射同心县全域，满足消费者多元化消费需求。</w:t>
      </w:r>
    </w:p>
    <w:p>
      <w:pPr>
        <w:ind w:firstLine="640"/>
        <w:rPr>
          <w:rFonts w:hint="eastAsia" w:ascii="仿宋_GB2312" w:hAnsi="仿宋_GB2312" w:eastAsia="仿宋_GB2312" w:cs="仿宋_GB2312"/>
        </w:rPr>
      </w:pPr>
      <w:r>
        <w:rPr>
          <w:rFonts w:hint="eastAsia" w:ascii="仿宋_GB2312" w:hAnsi="仿宋_GB2312" w:eastAsia="仿宋_GB2312" w:cs="仿宋_GB2312"/>
          <w:b/>
          <w:bCs/>
        </w:rPr>
        <w:t>区域商业中心：</w:t>
      </w:r>
      <w:r>
        <w:rPr>
          <w:rFonts w:hint="eastAsia" w:ascii="仿宋_GB2312" w:hAnsi="仿宋_GB2312" w:eastAsia="仿宋_GB2312" w:cs="仿宋_GB2312"/>
        </w:rPr>
        <w:t>3个区域商业中心，分别为以清水湾为核心的永安路片区、以大华商业广场为核心</w:t>
      </w:r>
      <w:r>
        <w:rPr>
          <w:rFonts w:hint="eastAsia" w:ascii="仿宋_GB2312" w:hAnsi="仿宋_GB2312" w:cs="仿宋_GB2312"/>
          <w:lang w:val="en-US" w:eastAsia="zh-CN"/>
        </w:rPr>
        <w:t>和</w:t>
      </w:r>
      <w:r>
        <w:rPr>
          <w:rFonts w:hint="eastAsia" w:ascii="仿宋_GB2312" w:hAnsi="仿宋_GB2312" w:eastAsia="仿宋_GB2312" w:cs="仿宋_GB2312"/>
        </w:rPr>
        <w:t>304乡道两侧商业网点为支持的片区、以三水商业街和皓月新都金融商业街为核心的新城片区。三个片区辐射了豫西社区、清水社区、幸福社区、永春社区等区域。此外，城区内的清水社区、罗山社区、长征社区等社区也都分散布置有商超、餐饮、宾馆等商业网点，为各社区提供商业服务。</w:t>
      </w:r>
    </w:p>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2.</w:t>
      </w:r>
      <w:r>
        <w:rPr>
          <w:rFonts w:hint="eastAsia" w:ascii="仿宋_GB2312" w:hAnsi="仿宋_GB2312" w:eastAsia="仿宋_GB2312" w:cs="仿宋_GB2312"/>
        </w:rPr>
        <w:t>特色商业街</w:t>
      </w:r>
    </w:p>
    <w:p>
      <w:pPr>
        <w:ind w:firstLine="640"/>
        <w:rPr>
          <w:rFonts w:hint="eastAsia" w:ascii="仿宋_GB2312" w:hAnsi="仿宋_GB2312" w:eastAsia="仿宋_GB2312" w:cs="仿宋_GB2312"/>
        </w:rPr>
      </w:pPr>
      <w:r>
        <w:rPr>
          <w:rFonts w:hint="eastAsia" w:ascii="仿宋_GB2312" w:hAnsi="仿宋_GB2312" w:eastAsia="仿宋_GB2312" w:cs="仿宋_GB2312"/>
        </w:rPr>
        <w:t>目前同心县中心城区已形成5条商业街（区），豫海南街特色商业街、富兴特色小吃街、清水湾美食街区、荣世广场小吃街和三水商业街。从分布区位看，多数商业街分布在老城区，仅有三水商业街位于新城片区。从商业街区类型看，可分为综合商业街（区）、特色美食街两种类型，其中综合商业街2处、特色美食街3条。从主要业态看，各商业街区的业态主要集中在综合消费和地方餐饮。从商业街建设形式看，商业街区多数以街道底商为主要建设形式，独立商业街区较少。从经营情况来看，豫海南街商业街区和清水湾商业街区人气较旺，富兴美食（特色面点）街集聚了二十余家同心特色面点制作商铺，但</w:t>
      </w:r>
      <w:r>
        <w:rPr>
          <w:rFonts w:hint="eastAsia" w:ascii="仿宋_GB2312" w:hAnsi="仿宋_GB2312" w:eastAsia="仿宋_GB2312" w:cs="仿宋_GB2312"/>
          <w:lang w:val="en-US" w:eastAsia="zh-CN"/>
        </w:rPr>
        <w:t>基础</w:t>
      </w:r>
      <w:r>
        <w:rPr>
          <w:rFonts w:hint="eastAsia" w:ascii="仿宋_GB2312" w:hAnsi="仿宋_GB2312" w:eastAsia="仿宋_GB2312" w:cs="仿宋_GB2312"/>
        </w:rPr>
        <w:t>设施亟待改善，荣世广场小吃街受季节影响，冬季经营困难；皓月新都商业街区还处在培育建设阶段。总体来说，同心县中心城区商业街区以中低端品牌为主，商品质量不高，业态不够丰富；部分商业街区业态混杂（如豫海商业街）；特色美食街的业态类型较单一，未与当地文化、旅游景观等资源结合；街区老旧且建筑风貌不佳，缺少景观环境打造。</w:t>
      </w:r>
    </w:p>
    <w:p>
      <w:pPr>
        <w:ind w:firstLine="560"/>
        <w:jc w:val="center"/>
        <w:rPr>
          <w:rFonts w:hint="eastAsia" w:ascii="黑体" w:hAnsi="黑体" w:eastAsia="黑体" w:cs="黑体"/>
          <w:sz w:val="24"/>
          <w:szCs w:val="24"/>
        </w:rPr>
      </w:pPr>
      <w:r>
        <w:rPr>
          <w:rFonts w:hint="eastAsia" w:ascii="黑体" w:hAnsi="黑体" w:eastAsia="黑体" w:cs="黑体"/>
          <w:sz w:val="24"/>
          <w:szCs w:val="24"/>
        </w:rPr>
        <w:t>表1 特色商业街规划一览表</w:t>
      </w:r>
    </w:p>
    <w:tbl>
      <w:tblPr>
        <w:tblStyle w:val="27"/>
        <w:tblW w:w="4847" w:type="pct"/>
        <w:tblInd w:w="13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8"/>
        <w:gridCol w:w="2052"/>
        <w:gridCol w:w="1993"/>
        <w:gridCol w:w="973"/>
        <w:gridCol w:w="1301"/>
        <w:gridCol w:w="15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2" w:hRule="atLeast"/>
        </w:trPr>
        <w:tc>
          <w:tcPr>
            <w:tcW w:w="497" w:type="pct"/>
            <w:shd w:val="clear" w:color="auto" w:fill="auto"/>
            <w:vAlign w:val="center"/>
          </w:tcPr>
          <w:p>
            <w:pPr>
              <w:snapToGrid w:val="0"/>
              <w:spacing w:line="36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1175" w:type="pct"/>
            <w:shd w:val="clear" w:color="auto" w:fill="auto"/>
            <w:vAlign w:val="center"/>
          </w:tcPr>
          <w:p>
            <w:pPr>
              <w:snapToGrid w:val="0"/>
              <w:spacing w:line="36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名称</w:t>
            </w:r>
          </w:p>
        </w:tc>
        <w:tc>
          <w:tcPr>
            <w:tcW w:w="1141" w:type="pct"/>
            <w:shd w:val="clear" w:color="auto" w:fill="auto"/>
            <w:vAlign w:val="center"/>
          </w:tcPr>
          <w:p>
            <w:pPr>
              <w:snapToGrid w:val="0"/>
              <w:spacing w:line="36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位置</w:t>
            </w:r>
          </w:p>
        </w:tc>
        <w:tc>
          <w:tcPr>
            <w:tcW w:w="557" w:type="pct"/>
            <w:shd w:val="clear" w:color="auto" w:fill="auto"/>
            <w:vAlign w:val="center"/>
          </w:tcPr>
          <w:p>
            <w:pPr>
              <w:snapToGrid w:val="0"/>
              <w:spacing w:line="36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规模</w:t>
            </w:r>
          </w:p>
        </w:tc>
        <w:tc>
          <w:tcPr>
            <w:tcW w:w="745" w:type="pct"/>
            <w:shd w:val="clear" w:color="auto" w:fill="auto"/>
            <w:vAlign w:val="center"/>
          </w:tcPr>
          <w:p>
            <w:pPr>
              <w:snapToGrid w:val="0"/>
              <w:spacing w:line="36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业态</w:t>
            </w:r>
          </w:p>
        </w:tc>
        <w:tc>
          <w:tcPr>
            <w:tcW w:w="882" w:type="pct"/>
            <w:shd w:val="clear" w:color="auto" w:fill="auto"/>
            <w:vAlign w:val="center"/>
          </w:tcPr>
          <w:p>
            <w:pPr>
              <w:snapToGrid w:val="0"/>
              <w:spacing w:line="36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建筑形式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4" w:hRule="atLeast"/>
        </w:trPr>
        <w:tc>
          <w:tcPr>
            <w:tcW w:w="49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117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豫海特色商业街</w:t>
            </w:r>
          </w:p>
        </w:tc>
        <w:tc>
          <w:tcPr>
            <w:tcW w:w="1141"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北至北环路，南到银平西路</w:t>
            </w:r>
          </w:p>
        </w:tc>
        <w:tc>
          <w:tcPr>
            <w:tcW w:w="55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1300</w:t>
            </w:r>
          </w:p>
        </w:tc>
        <w:tc>
          <w:tcPr>
            <w:tcW w:w="74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购物、休闲娱乐</w:t>
            </w:r>
          </w:p>
        </w:tc>
        <w:tc>
          <w:tcPr>
            <w:tcW w:w="882" w:type="pct"/>
            <w:shd w:val="clear" w:color="auto" w:fill="auto"/>
            <w:vAlign w:val="center"/>
          </w:tcPr>
          <w:p>
            <w:pPr>
              <w:snapToGrid w:val="0"/>
              <w:spacing w:line="360" w:lineRule="exact"/>
              <w:ind w:firstLine="0" w:firstLineChars="0"/>
              <w:jc w:val="center"/>
              <w:rPr>
                <w:rFonts w:hint="eastAsia" w:ascii="宋体" w:hAnsi="宋体" w:eastAsia="宋体" w:cs="宋体"/>
                <w:sz w:val="21"/>
                <w:szCs w:val="21"/>
                <w:lang w:val="en-US" w:eastAsia="zh-CN"/>
              </w:rPr>
            </w:pPr>
            <w:r>
              <w:rPr>
                <w:rFonts w:hint="eastAsia" w:ascii="宋体" w:hAnsi="宋体" w:eastAsia="宋体" w:cs="宋体"/>
                <w:sz w:val="21"/>
                <w:szCs w:val="21"/>
              </w:rPr>
              <w:t>沿街底商</w:t>
            </w:r>
            <w:r>
              <w:rPr>
                <w:rFonts w:hint="eastAsia" w:ascii="宋体" w:hAnsi="宋体" w:eastAsia="宋体" w:cs="宋体"/>
                <w:sz w:val="21"/>
                <w:szCs w:val="21"/>
                <w:lang w:val="en-US" w:eastAsia="zh-CN"/>
              </w:rPr>
              <w:t>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49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p>
        </w:tc>
        <w:tc>
          <w:tcPr>
            <w:tcW w:w="117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富兴美食（特色面点）街</w:t>
            </w:r>
          </w:p>
        </w:tc>
        <w:tc>
          <w:tcPr>
            <w:tcW w:w="1141"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南到富兴商住北门，西至富兴市场西门</w:t>
            </w:r>
          </w:p>
        </w:tc>
        <w:tc>
          <w:tcPr>
            <w:tcW w:w="55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200</w:t>
            </w:r>
          </w:p>
        </w:tc>
        <w:tc>
          <w:tcPr>
            <w:tcW w:w="74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餐饮</w:t>
            </w:r>
          </w:p>
        </w:tc>
        <w:tc>
          <w:tcPr>
            <w:tcW w:w="88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沿街底商</w:t>
            </w:r>
            <w:r>
              <w:rPr>
                <w:rFonts w:hint="eastAsia" w:ascii="宋体" w:hAnsi="宋体" w:eastAsia="宋体" w:cs="宋体"/>
                <w:sz w:val="21"/>
                <w:szCs w:val="21"/>
                <w:lang w:val="en-US" w:eastAsia="zh-CN"/>
              </w:rPr>
              <w:t>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9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3</w:t>
            </w:r>
          </w:p>
        </w:tc>
        <w:tc>
          <w:tcPr>
            <w:tcW w:w="117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清水湾特色美食街区</w:t>
            </w:r>
          </w:p>
        </w:tc>
        <w:tc>
          <w:tcPr>
            <w:tcW w:w="1141"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豫海镇永安西路</w:t>
            </w:r>
          </w:p>
        </w:tc>
        <w:tc>
          <w:tcPr>
            <w:tcW w:w="55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ascii="宋体" w:hAnsi="宋体" w:eastAsia="宋体" w:cs="宋体"/>
                <w:sz w:val="21"/>
                <w:szCs w:val="21"/>
              </w:rPr>
              <w:t>800</w:t>
            </w:r>
          </w:p>
        </w:tc>
        <w:tc>
          <w:tcPr>
            <w:tcW w:w="74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餐饮、休闲娱乐</w:t>
            </w:r>
          </w:p>
        </w:tc>
        <w:tc>
          <w:tcPr>
            <w:tcW w:w="88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沿街底商</w:t>
            </w:r>
            <w:r>
              <w:rPr>
                <w:rFonts w:hint="eastAsia" w:ascii="宋体" w:hAnsi="宋体" w:eastAsia="宋体" w:cs="宋体"/>
                <w:sz w:val="21"/>
                <w:szCs w:val="21"/>
                <w:lang w:val="en-US" w:eastAsia="zh-CN"/>
              </w:rPr>
              <w:t>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9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4</w:t>
            </w:r>
          </w:p>
        </w:tc>
        <w:tc>
          <w:tcPr>
            <w:tcW w:w="117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ascii="宋体" w:hAnsi="宋体" w:eastAsia="宋体" w:cs="宋体"/>
                <w:sz w:val="21"/>
                <w:szCs w:val="21"/>
              </w:rPr>
              <w:t>荣世广场小吃街</w:t>
            </w:r>
          </w:p>
        </w:tc>
        <w:tc>
          <w:tcPr>
            <w:tcW w:w="1141"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东至荣世商场、西至豫海北街</w:t>
            </w:r>
          </w:p>
        </w:tc>
        <w:tc>
          <w:tcPr>
            <w:tcW w:w="55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200</w:t>
            </w:r>
          </w:p>
        </w:tc>
        <w:tc>
          <w:tcPr>
            <w:tcW w:w="74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餐饮</w:t>
            </w:r>
          </w:p>
        </w:tc>
        <w:tc>
          <w:tcPr>
            <w:tcW w:w="88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沿街底商</w:t>
            </w:r>
            <w:r>
              <w:rPr>
                <w:rFonts w:hint="eastAsia" w:ascii="宋体" w:hAnsi="宋体" w:eastAsia="宋体" w:cs="宋体"/>
                <w:sz w:val="21"/>
                <w:szCs w:val="21"/>
                <w:lang w:val="en-US" w:eastAsia="zh-CN"/>
              </w:rPr>
              <w:t>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97"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5</w:t>
            </w:r>
          </w:p>
        </w:tc>
        <w:tc>
          <w:tcPr>
            <w:tcW w:w="1175" w:type="pct"/>
            <w:shd w:val="clear" w:color="auto" w:fill="auto"/>
            <w:vAlign w:val="center"/>
          </w:tcPr>
          <w:p>
            <w:pPr>
              <w:snapToGrid w:val="0"/>
              <w:spacing w:line="360" w:lineRule="exact"/>
              <w:ind w:firstLine="0" w:firstLineChars="0"/>
              <w:rPr>
                <w:rFonts w:ascii="宋体" w:hAnsi="宋体" w:eastAsia="宋体" w:cs="宋体"/>
                <w:sz w:val="21"/>
                <w:szCs w:val="21"/>
                <w:highlight w:val="none"/>
              </w:rPr>
            </w:pPr>
            <w:r>
              <w:rPr>
                <w:rFonts w:hint="eastAsia" w:ascii="宋体" w:hAnsi="宋体" w:eastAsia="宋体" w:cs="宋体"/>
                <w:sz w:val="21"/>
                <w:szCs w:val="21"/>
                <w:highlight w:val="none"/>
                <w:lang w:val="en-US" w:eastAsia="zh-Hans"/>
              </w:rPr>
              <w:t>皓月新都</w:t>
            </w:r>
            <w:r>
              <w:rPr>
                <w:rFonts w:ascii="宋体" w:hAnsi="宋体" w:eastAsia="宋体" w:cs="宋体"/>
                <w:sz w:val="21"/>
                <w:szCs w:val="21"/>
                <w:highlight w:val="none"/>
              </w:rPr>
              <w:t>商业街</w:t>
            </w:r>
          </w:p>
        </w:tc>
        <w:tc>
          <w:tcPr>
            <w:tcW w:w="1141" w:type="pct"/>
            <w:shd w:val="clear" w:color="auto" w:fill="auto"/>
            <w:vAlign w:val="center"/>
          </w:tcPr>
          <w:p>
            <w:pPr>
              <w:snapToGrid w:val="0"/>
              <w:spacing w:line="360" w:lineRule="exact"/>
              <w:ind w:firstLine="0" w:firstLineChars="0"/>
              <w:jc w:val="left"/>
              <w:rPr>
                <w:rFonts w:ascii="宋体" w:hAnsi="宋体" w:eastAsia="宋体" w:cs="宋体"/>
                <w:sz w:val="21"/>
                <w:szCs w:val="21"/>
                <w:highlight w:val="none"/>
              </w:rPr>
            </w:pPr>
            <w:r>
              <w:rPr>
                <w:rFonts w:hint="eastAsia" w:ascii="宋体" w:hAnsi="宋体" w:eastAsia="宋体" w:cs="宋体"/>
                <w:sz w:val="21"/>
                <w:szCs w:val="21"/>
                <w:highlight w:val="none"/>
                <w:lang w:val="en-US" w:eastAsia="zh-Hans"/>
              </w:rPr>
              <w:t>庆王街与学园路半围合区域</w:t>
            </w:r>
          </w:p>
        </w:tc>
        <w:tc>
          <w:tcPr>
            <w:tcW w:w="557" w:type="pct"/>
            <w:shd w:val="clear" w:color="auto" w:fill="auto"/>
            <w:vAlign w:val="center"/>
          </w:tcPr>
          <w:p>
            <w:pPr>
              <w:snapToGrid w:val="0"/>
              <w:spacing w:line="360" w:lineRule="exact"/>
              <w:ind w:firstLine="0" w:firstLineChars="0"/>
              <w:jc w:val="center"/>
              <w:rPr>
                <w:rFonts w:ascii="宋体" w:hAnsi="宋体" w:eastAsia="宋体" w:cs="宋体"/>
                <w:sz w:val="21"/>
                <w:szCs w:val="21"/>
                <w:highlight w:val="yellow"/>
              </w:rPr>
            </w:pPr>
            <w:r>
              <w:rPr>
                <w:rFonts w:hint="eastAsia" w:ascii="宋体" w:hAnsi="宋体" w:eastAsia="宋体" w:cs="宋体"/>
                <w:sz w:val="21"/>
                <w:szCs w:val="21"/>
                <w:highlight w:val="none"/>
                <w:lang w:val="en-US" w:eastAsia="zh-CN"/>
              </w:rPr>
              <w:t>15</w:t>
            </w:r>
            <w:r>
              <w:rPr>
                <w:rFonts w:hint="eastAsia" w:ascii="宋体" w:hAnsi="宋体" w:eastAsia="宋体" w:cs="宋体"/>
                <w:sz w:val="21"/>
                <w:szCs w:val="21"/>
                <w:highlight w:val="none"/>
              </w:rPr>
              <w:t>00</w:t>
            </w:r>
          </w:p>
        </w:tc>
        <w:tc>
          <w:tcPr>
            <w:tcW w:w="74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购物、休闲娱乐</w:t>
            </w:r>
          </w:p>
        </w:tc>
        <w:tc>
          <w:tcPr>
            <w:tcW w:w="88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沿街底商</w:t>
            </w:r>
            <w:r>
              <w:rPr>
                <w:rFonts w:hint="eastAsia" w:ascii="宋体" w:hAnsi="宋体" w:eastAsia="宋体" w:cs="宋体"/>
                <w:sz w:val="21"/>
                <w:szCs w:val="21"/>
                <w:lang w:val="en-US" w:eastAsia="zh-CN"/>
              </w:rPr>
              <w:t>铺</w:t>
            </w:r>
          </w:p>
        </w:tc>
      </w:tr>
    </w:tbl>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3.</w:t>
      </w:r>
      <w:r>
        <w:rPr>
          <w:rFonts w:hint="eastAsia" w:ascii="仿宋_GB2312" w:hAnsi="仿宋_GB2312" w:eastAsia="仿宋_GB2312" w:cs="仿宋_GB2312"/>
        </w:rPr>
        <w:t>大型零售网点</w:t>
      </w:r>
    </w:p>
    <w:p>
      <w:pPr>
        <w:ind w:firstLine="640"/>
        <w:rPr>
          <w:rFonts w:hint="eastAsia" w:ascii="仿宋_GB2312" w:hAnsi="仿宋_GB2312" w:eastAsia="仿宋_GB2312" w:cs="仿宋_GB2312"/>
        </w:rPr>
      </w:pPr>
      <w:r>
        <w:rPr>
          <w:rFonts w:hint="eastAsia" w:ascii="仿宋_GB2312" w:hAnsi="仿宋_GB2312" w:eastAsia="仿宋_GB2312" w:cs="仿宋_GB2312"/>
        </w:rPr>
        <w:t>随着</w:t>
      </w:r>
      <w:r>
        <w:rPr>
          <w:rFonts w:hint="eastAsia" w:ascii="仿宋_GB2312" w:hAnsi="仿宋_GB2312" w:cs="仿宋_GB2312"/>
          <w:lang w:val="en-US" w:eastAsia="zh-CN"/>
        </w:rPr>
        <w:t>我县</w:t>
      </w:r>
      <w:r>
        <w:rPr>
          <w:rFonts w:hint="eastAsia" w:ascii="仿宋_GB2312" w:hAnsi="仿宋_GB2312" w:eastAsia="仿宋_GB2312" w:cs="仿宋_GB2312"/>
        </w:rPr>
        <w:t>经济快速发展和城乡居民收入水平不断提升，生存消费基本得到满足，消费需求呈现向享受消费、发展消费转变</w:t>
      </w:r>
      <w:r>
        <w:rPr>
          <w:rFonts w:hint="eastAsia" w:ascii="仿宋_GB2312" w:hAnsi="仿宋_GB2312" w:cs="仿宋_GB2312"/>
          <w:lang w:eastAsia="zh-CN"/>
        </w:rPr>
        <w:t>，</w:t>
      </w:r>
      <w:r>
        <w:t>服务于中高</w:t>
      </w:r>
      <w:r>
        <w:rPr>
          <w:rFonts w:hint="eastAsia"/>
          <w:lang w:val="en-US" w:eastAsia="zh-CN"/>
        </w:rPr>
        <w:t>端</w:t>
      </w:r>
      <w:r>
        <w:t>消费人口</w:t>
      </w:r>
      <w:r>
        <w:rPr>
          <w:rFonts w:hint="eastAsia"/>
        </w:rPr>
        <w:t>为主</w:t>
      </w:r>
      <w:r>
        <w:t>的</w:t>
      </w:r>
      <w:r>
        <w:rPr>
          <w:rFonts w:hint="eastAsia"/>
        </w:rPr>
        <w:t>商业综合体、</w:t>
      </w:r>
      <w:r>
        <w:rPr>
          <w:rFonts w:hint="eastAsia"/>
          <w:lang w:val="en-US" w:eastAsia="zh-CN"/>
        </w:rPr>
        <w:t>百货店</w:t>
      </w:r>
      <w:r>
        <w:rPr>
          <w:rFonts w:hint="eastAsia"/>
        </w:rPr>
        <w:t>等零售业态不断涌现，</w:t>
      </w:r>
      <w:r>
        <w:rPr>
          <w:rFonts w:hint="eastAsia"/>
          <w:lang w:eastAsia="zh-CN"/>
        </w:rPr>
        <w:t>截至</w:t>
      </w:r>
      <w:r>
        <w:rPr>
          <w:rFonts w:hint="eastAsia" w:ascii="仿宋_GB2312" w:hAnsi="仿宋_GB2312" w:eastAsia="仿宋_GB2312" w:cs="仿宋_GB2312"/>
        </w:rPr>
        <w:t>2021年底，同心县</w:t>
      </w:r>
      <w:r>
        <w:rPr>
          <w:rFonts w:hint="eastAsia" w:ascii="仿宋_GB2312" w:hAnsi="仿宋_GB2312" w:cs="仿宋_GB2312"/>
          <w:lang w:val="en-US" w:eastAsia="zh-CN"/>
        </w:rPr>
        <w:t>5</w:t>
      </w:r>
      <w:r>
        <w:rPr>
          <w:rFonts w:hint="eastAsia" w:ascii="仿宋_GB2312" w:hAnsi="仿宋_GB2312" w:eastAsia="仿宋_GB2312" w:cs="仿宋_GB2312"/>
        </w:rPr>
        <w:t>00</w:t>
      </w:r>
      <w:r>
        <w:rPr>
          <w:rFonts w:hint="eastAsia" w:ascii="仿宋_GB2312" w:hAnsi="仿宋_GB2312" w:cs="仿宋_GB2312"/>
          <w:lang w:eastAsia="zh-CN"/>
        </w:rPr>
        <w:t>平方米</w:t>
      </w:r>
      <w:r>
        <w:rPr>
          <w:rFonts w:hint="eastAsia" w:ascii="仿宋_GB2312" w:hAnsi="仿宋_GB2312" w:eastAsia="仿宋_GB2312" w:cs="仿宋_GB2312"/>
        </w:rPr>
        <w:t>以上大型零售商业网点一共有17个，其中大型商业综合体1个，百货店8个，大型综合超市3个，其他为专业店和专卖店。其中，只有大华购物中心位于县城东南区域，其余均位于县域核心商圈范围内。</w:t>
      </w:r>
    </w:p>
    <w:p>
      <w:pPr>
        <w:ind w:firstLine="560"/>
        <w:jc w:val="center"/>
        <w:rPr>
          <w:rFonts w:hint="eastAsia" w:ascii="黑体" w:hAnsi="黑体" w:eastAsia="黑体" w:cs="黑体"/>
          <w:sz w:val="24"/>
          <w:szCs w:val="24"/>
        </w:rPr>
      </w:pPr>
    </w:p>
    <w:p>
      <w:pPr>
        <w:ind w:firstLine="560"/>
        <w:jc w:val="center"/>
        <w:rPr>
          <w:rFonts w:hint="eastAsia" w:ascii="黑体" w:hAnsi="黑体" w:eastAsia="黑体" w:cs="黑体"/>
          <w:sz w:val="24"/>
          <w:szCs w:val="24"/>
        </w:rPr>
      </w:pPr>
      <w:r>
        <w:rPr>
          <w:rFonts w:hint="eastAsia" w:ascii="黑体" w:hAnsi="黑体" w:eastAsia="黑体" w:cs="黑体"/>
          <w:sz w:val="24"/>
          <w:szCs w:val="24"/>
        </w:rPr>
        <w:t>表2 大型商业零售网点一览表</w:t>
      </w:r>
    </w:p>
    <w:tbl>
      <w:tblPr>
        <w:tblStyle w:val="27"/>
        <w:tblW w:w="4886" w:type="pct"/>
        <w:tblInd w:w="9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1"/>
        <w:gridCol w:w="1875"/>
        <w:gridCol w:w="2891"/>
        <w:gridCol w:w="1035"/>
        <w:gridCol w:w="1116"/>
        <w:gridCol w:w="118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序号</w:t>
            </w:r>
          </w:p>
        </w:tc>
        <w:tc>
          <w:tcPr>
            <w:tcW w:w="1065" w:type="pct"/>
            <w:shd w:val="clear" w:color="auto" w:fill="auto"/>
            <w:vAlign w:val="center"/>
          </w:tcPr>
          <w:p>
            <w:pPr>
              <w:snapToGrid w:val="0"/>
              <w:spacing w:line="40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名称</w:t>
            </w:r>
          </w:p>
        </w:tc>
        <w:tc>
          <w:tcPr>
            <w:tcW w:w="1642" w:type="pct"/>
            <w:shd w:val="clear" w:color="auto" w:fill="auto"/>
            <w:vAlign w:val="center"/>
          </w:tcPr>
          <w:p>
            <w:pPr>
              <w:snapToGrid w:val="0"/>
              <w:spacing w:line="40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位置</w:t>
            </w:r>
          </w:p>
        </w:tc>
        <w:tc>
          <w:tcPr>
            <w:tcW w:w="588" w:type="pct"/>
            <w:shd w:val="clear" w:color="auto" w:fill="auto"/>
            <w:vAlign w:val="center"/>
          </w:tcPr>
          <w:p>
            <w:pPr>
              <w:snapToGrid w:val="0"/>
              <w:spacing w:line="40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面积㎡</w:t>
            </w:r>
          </w:p>
        </w:tc>
        <w:tc>
          <w:tcPr>
            <w:tcW w:w="634" w:type="pct"/>
            <w:shd w:val="clear" w:color="auto" w:fill="auto"/>
            <w:vAlign w:val="center"/>
          </w:tcPr>
          <w:p>
            <w:pPr>
              <w:snapToGrid w:val="0"/>
              <w:spacing w:line="40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经营品类</w:t>
            </w:r>
          </w:p>
        </w:tc>
        <w:tc>
          <w:tcPr>
            <w:tcW w:w="670" w:type="pct"/>
            <w:shd w:val="clear" w:color="auto" w:fill="auto"/>
            <w:vAlign w:val="center"/>
          </w:tcPr>
          <w:p>
            <w:pPr>
              <w:snapToGrid w:val="0"/>
              <w:spacing w:line="400" w:lineRule="exact"/>
              <w:ind w:firstLine="0" w:firstLineChars="0"/>
              <w:jc w:val="center"/>
              <w:rPr>
                <w:rFonts w:ascii="宋体" w:hAnsi="宋体" w:eastAsia="宋体" w:cs="宋体"/>
                <w:b/>
                <w:bCs/>
                <w:color w:val="auto"/>
                <w:sz w:val="21"/>
                <w:szCs w:val="21"/>
              </w:rPr>
            </w:pPr>
            <w:r>
              <w:rPr>
                <w:rFonts w:hint="eastAsia" w:ascii="宋体" w:hAnsi="宋体" w:eastAsia="宋体" w:cs="宋体"/>
                <w:b/>
                <w:bCs/>
                <w:color w:val="auto"/>
                <w:sz w:val="21"/>
                <w:szCs w:val="21"/>
              </w:rPr>
              <w:t>业态类型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大华购物中心</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银平路与团结南街交汇处</w:t>
            </w:r>
          </w:p>
        </w:tc>
        <w:tc>
          <w:tcPr>
            <w:tcW w:w="58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20000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零售、餐饮、娱乐</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商业综合体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奇虎商厦</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豫海南街007号</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28800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零售、娱乐</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3</w:t>
            </w:r>
          </w:p>
        </w:tc>
        <w:tc>
          <w:tcPr>
            <w:tcW w:w="1065" w:type="pct"/>
            <w:shd w:val="clear" w:color="auto" w:fill="auto"/>
            <w:vAlign w:val="center"/>
          </w:tcPr>
          <w:p>
            <w:pPr>
              <w:snapToGrid w:val="0"/>
              <w:spacing w:line="400" w:lineRule="exact"/>
              <w:ind w:firstLine="0" w:firstLineChars="0"/>
              <w:jc w:val="center"/>
              <w:rPr>
                <w:rFonts w:ascii="宋体" w:hAnsi="宋体" w:eastAsia="宋体" w:cs="宋体"/>
                <w:b/>
                <w:bCs/>
                <w:sz w:val="21"/>
                <w:szCs w:val="21"/>
              </w:rPr>
            </w:pPr>
            <w:r>
              <w:rPr>
                <w:rFonts w:hint="eastAsia" w:ascii="宋体" w:hAnsi="宋体" w:eastAsia="宋体" w:cs="宋体"/>
                <w:sz w:val="21"/>
                <w:szCs w:val="21"/>
              </w:rPr>
              <w:t>生海商厦</w:t>
            </w:r>
          </w:p>
        </w:tc>
        <w:tc>
          <w:tcPr>
            <w:tcW w:w="1642" w:type="pct"/>
            <w:shd w:val="clear" w:color="auto" w:fill="auto"/>
            <w:vAlign w:val="center"/>
          </w:tcPr>
          <w:p>
            <w:pPr>
              <w:snapToGrid w:val="0"/>
              <w:spacing w:line="400" w:lineRule="exact"/>
              <w:ind w:firstLine="0" w:firstLineChars="0"/>
              <w:jc w:val="center"/>
              <w:rPr>
                <w:rFonts w:ascii="宋体" w:hAnsi="宋体" w:eastAsia="宋体" w:cs="宋体"/>
                <w:b/>
                <w:bCs/>
                <w:sz w:val="21"/>
                <w:szCs w:val="21"/>
              </w:rPr>
            </w:pPr>
            <w:r>
              <w:rPr>
                <w:rFonts w:hint="eastAsia" w:ascii="宋体" w:hAnsi="宋体" w:eastAsia="宋体" w:cs="宋体"/>
                <w:sz w:val="21"/>
                <w:szCs w:val="21"/>
              </w:rPr>
              <w:t>长征西街030号</w:t>
            </w:r>
          </w:p>
        </w:tc>
        <w:tc>
          <w:tcPr>
            <w:tcW w:w="58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r>
              <w:rPr>
                <w:rFonts w:ascii="宋体" w:hAnsi="宋体" w:eastAsia="宋体" w:cs="宋体"/>
                <w:sz w:val="21"/>
                <w:szCs w:val="21"/>
              </w:rPr>
              <w:t>2</w:t>
            </w:r>
            <w:r>
              <w:rPr>
                <w:rFonts w:hint="eastAsia" w:ascii="宋体" w:hAnsi="宋体" w:eastAsia="宋体" w:cs="宋体"/>
                <w:sz w:val="21"/>
                <w:szCs w:val="21"/>
              </w:rPr>
              <w:t>96</w:t>
            </w:r>
            <w:r>
              <w:rPr>
                <w:rFonts w:ascii="宋体" w:hAnsi="宋体" w:eastAsia="宋体" w:cs="宋体"/>
                <w:sz w:val="21"/>
                <w:szCs w:val="21"/>
              </w:rPr>
              <w:t>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零售、娱乐</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4</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荣世商场</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豫海镇长征东街1号</w:t>
            </w:r>
          </w:p>
        </w:tc>
        <w:tc>
          <w:tcPr>
            <w:tcW w:w="58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lang w:val="en-US" w:eastAsia="zh-CN"/>
              </w:rPr>
              <w:t>66</w:t>
            </w:r>
            <w:r>
              <w:rPr>
                <w:rFonts w:hint="eastAsia" w:ascii="宋体" w:hAnsi="宋体" w:eastAsia="宋体" w:cs="宋体"/>
                <w:sz w:val="21"/>
                <w:szCs w:val="21"/>
              </w:rPr>
              <w:t>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5</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ascii="宋体" w:hAnsi="宋体" w:eastAsia="宋体" w:cs="宋体"/>
                <w:sz w:val="21"/>
                <w:szCs w:val="21"/>
              </w:rPr>
              <w:t>盛世开元购物广场</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豫海南街6号</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2200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6</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ascii="宋体" w:hAnsi="宋体" w:eastAsia="宋体" w:cs="宋体"/>
                <w:sz w:val="21"/>
                <w:szCs w:val="21"/>
              </w:rPr>
              <w:t>恒通购物中心</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豫海南街082号</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1800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7</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伊佳隆商厦</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豫海南街恒丰宾馆(豫海南街店)南侧约80米</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4900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8</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同心商城</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团结南街与银平东街交叉路口往东北约270米</w:t>
            </w:r>
          </w:p>
        </w:tc>
        <w:tc>
          <w:tcPr>
            <w:tcW w:w="58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30000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9</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万盛富商场</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同心县豫海镇团结南街69号</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2200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百货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10</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新华百货连锁超市</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同心豫海南街007号奇虎商城内</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3200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超市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11</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生海超市</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同心县长征西路030号生海商场1楼</w:t>
            </w:r>
          </w:p>
        </w:tc>
        <w:tc>
          <w:tcPr>
            <w:tcW w:w="58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3000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超市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12</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震道连锁超市</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同心县豫海镇利民街1号荣世商场1楼</w:t>
            </w:r>
          </w:p>
        </w:tc>
        <w:tc>
          <w:tcPr>
            <w:tcW w:w="58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1100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大型</w:t>
            </w:r>
          </w:p>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超市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13</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京东电器</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500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专业店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14</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荣华电器</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豫海南街69号</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3000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专业店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15</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新百电器</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豫海镇奇虎商厦</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1974</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专业店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16</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海尔专卖店</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豫海南街恒丰宾馆（豫海南街店）东南侧40米</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800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专卖店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trPr>
        <w:tc>
          <w:tcPr>
            <w:tcW w:w="398"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17</w:t>
            </w:r>
          </w:p>
        </w:tc>
        <w:tc>
          <w:tcPr>
            <w:tcW w:w="1065"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美的旗舰店</w:t>
            </w:r>
          </w:p>
        </w:tc>
        <w:tc>
          <w:tcPr>
            <w:tcW w:w="1642"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同心县豫海街66号</w:t>
            </w:r>
          </w:p>
        </w:tc>
        <w:tc>
          <w:tcPr>
            <w:tcW w:w="588" w:type="pct"/>
            <w:shd w:val="clear" w:color="auto" w:fill="auto"/>
            <w:vAlign w:val="center"/>
          </w:tcPr>
          <w:p>
            <w:pPr>
              <w:snapToGrid w:val="0"/>
              <w:spacing w:line="40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1000</w:t>
            </w:r>
          </w:p>
        </w:tc>
        <w:tc>
          <w:tcPr>
            <w:tcW w:w="634"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零售</w:t>
            </w:r>
          </w:p>
        </w:tc>
        <w:tc>
          <w:tcPr>
            <w:tcW w:w="67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专卖店</w:t>
            </w:r>
          </w:p>
        </w:tc>
      </w:tr>
    </w:tbl>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4.</w:t>
      </w:r>
      <w:r>
        <w:rPr>
          <w:rFonts w:hint="eastAsia" w:ascii="仿宋_GB2312" w:hAnsi="仿宋_GB2312" w:eastAsia="仿宋_GB2312" w:cs="仿宋_GB2312"/>
        </w:rPr>
        <w:t>商品市场</w:t>
      </w:r>
    </w:p>
    <w:p>
      <w:pPr>
        <w:ind w:firstLine="640"/>
        <w:rPr>
          <w:rFonts w:hint="eastAsia" w:ascii="仿宋_GB2312" w:hAnsi="仿宋_GB2312" w:eastAsia="仿宋_GB2312" w:cs="仿宋_GB2312"/>
        </w:rPr>
      </w:pPr>
      <w:r>
        <w:rPr>
          <w:rFonts w:hint="eastAsia" w:ascii="仿宋_GB2312" w:hAnsi="仿宋_GB2312" w:eastAsia="仿宋_GB2312" w:cs="仿宋_GB2312"/>
        </w:rPr>
        <w:t>专业市场通常指集中交易某一类商品或若干类具有较强互补性商品，并由一个管理</w:t>
      </w:r>
      <w:r>
        <w:rPr>
          <w:rFonts w:hint="eastAsia" w:ascii="仿宋_GB2312" w:hAnsi="仿宋_GB2312" w:cs="仿宋_GB2312"/>
          <w:lang w:eastAsia="zh-CN"/>
        </w:rPr>
        <w:t>主体</w:t>
      </w:r>
      <w:r>
        <w:rPr>
          <w:rFonts w:hint="eastAsia" w:ascii="仿宋_GB2312" w:hAnsi="仿宋_GB2312" w:eastAsia="仿宋_GB2312" w:cs="仿宋_GB2312"/>
        </w:rPr>
        <w:t>、多个经营主体参与运作，以现货批发为主的固定场所和交易方式，是市场根据交易商品按细分化方向发展的产物，从经营的商品类别来看，可分为家居建材市场、农副产品批发市场、汽车交易市场等。</w:t>
      </w:r>
    </w:p>
    <w:p>
      <w:pPr>
        <w:ind w:firstLine="640"/>
        <w:rPr>
          <w:rFonts w:hint="eastAsia" w:ascii="仿宋_GB2312" w:hAnsi="仿宋_GB2312" w:eastAsia="仿宋_GB2312" w:cs="仿宋_GB2312"/>
        </w:rPr>
      </w:pPr>
      <w:r>
        <w:rPr>
          <w:rFonts w:hint="eastAsia" w:ascii="仿宋_GB2312" w:hAnsi="仿宋_GB2312" w:eastAsia="仿宋_GB2312" w:cs="仿宋_GB2312"/>
        </w:rPr>
        <w:t>同心县现有各类交易市场1</w:t>
      </w:r>
      <w:r>
        <w:rPr>
          <w:rFonts w:hint="eastAsia" w:ascii="仿宋_GB2312" w:hAnsi="仿宋_GB2312" w:cs="仿宋_GB2312"/>
          <w:lang w:val="en-US" w:eastAsia="zh-CN"/>
        </w:rPr>
        <w:t>0</w:t>
      </w:r>
      <w:r>
        <w:rPr>
          <w:rFonts w:hint="eastAsia" w:ascii="仿宋_GB2312" w:hAnsi="仿宋_GB2312" w:eastAsia="仿宋_GB2312" w:cs="仿宋_GB2312"/>
        </w:rPr>
        <w:t>个，涵盖农产品批发市场、汽车专业市场、建材市场、物流中心、农贸市场和农产品专业市场。</w:t>
      </w:r>
    </w:p>
    <w:p>
      <w:pPr>
        <w:ind w:firstLine="560"/>
        <w:jc w:val="center"/>
        <w:rPr>
          <w:rFonts w:hint="eastAsia" w:ascii="黑体" w:hAnsi="黑体" w:eastAsia="黑体" w:cs="黑体"/>
          <w:sz w:val="24"/>
          <w:szCs w:val="24"/>
        </w:rPr>
      </w:pPr>
      <w:r>
        <w:rPr>
          <w:rFonts w:hint="eastAsia" w:ascii="黑体" w:hAnsi="黑体" w:eastAsia="黑体" w:cs="黑体"/>
          <w:sz w:val="24"/>
          <w:szCs w:val="24"/>
        </w:rPr>
        <w:t>表3 商品市场一览表</w:t>
      </w:r>
    </w:p>
    <w:tbl>
      <w:tblPr>
        <w:tblStyle w:val="26"/>
        <w:tblW w:w="4950" w:type="pct"/>
        <w:tblInd w:w="0" w:type="dxa"/>
        <w:tblLayout w:type="fixed"/>
        <w:tblCellMar>
          <w:top w:w="0" w:type="dxa"/>
          <w:left w:w="108" w:type="dxa"/>
          <w:bottom w:w="0" w:type="dxa"/>
          <w:right w:w="108" w:type="dxa"/>
        </w:tblCellMar>
      </w:tblPr>
      <w:tblGrid>
        <w:gridCol w:w="836"/>
        <w:gridCol w:w="2256"/>
        <w:gridCol w:w="2472"/>
        <w:gridCol w:w="1931"/>
        <w:gridCol w:w="1420"/>
      </w:tblGrid>
      <w:tr>
        <w:tblPrEx>
          <w:tblCellMar>
            <w:top w:w="0" w:type="dxa"/>
            <w:left w:w="108" w:type="dxa"/>
            <w:bottom w:w="0" w:type="dxa"/>
            <w:right w:w="108" w:type="dxa"/>
          </w:tblCellMar>
        </w:tblPrEx>
        <w:trPr>
          <w:trHeight w:val="841" w:hRule="atLeast"/>
        </w:trPr>
        <w:tc>
          <w:tcPr>
            <w:tcW w:w="468"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序号</w:t>
            </w:r>
          </w:p>
        </w:tc>
        <w:tc>
          <w:tcPr>
            <w:tcW w:w="1265"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市场名称</w:t>
            </w:r>
          </w:p>
        </w:tc>
        <w:tc>
          <w:tcPr>
            <w:tcW w:w="1386" w:type="pct"/>
            <w:tcBorders>
              <w:top w:val="single" w:color="auto" w:sz="4" w:space="0"/>
              <w:left w:val="single" w:color="auto" w:sz="4" w:space="0"/>
              <w:bottom w:val="single" w:color="000000" w:sz="4" w:space="0"/>
              <w:right w:val="single" w:color="auto" w:sz="4" w:space="0"/>
            </w:tcBorders>
            <w:shd w:val="clear" w:color="auto" w:fill="auto"/>
            <w:noWrap/>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地址</w:t>
            </w:r>
          </w:p>
        </w:tc>
        <w:tc>
          <w:tcPr>
            <w:tcW w:w="1083"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经营面积（万m</w:t>
            </w:r>
            <w:r>
              <w:rPr>
                <w:rFonts w:hint="eastAsia" w:ascii="宋体" w:hAnsi="宋体" w:eastAsia="宋体" w:cs="宋体"/>
                <w:sz w:val="21"/>
                <w:szCs w:val="21"/>
                <w:vertAlign w:val="superscript"/>
              </w:rPr>
              <w:t>2</w:t>
            </w:r>
            <w:r>
              <w:rPr>
                <w:rFonts w:hint="eastAsia" w:ascii="宋体" w:hAnsi="宋体" w:eastAsia="宋体" w:cs="宋体"/>
                <w:sz w:val="21"/>
                <w:szCs w:val="21"/>
              </w:rPr>
              <w:t>）</w:t>
            </w:r>
          </w:p>
        </w:tc>
        <w:tc>
          <w:tcPr>
            <w:tcW w:w="796"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建筑形式</w:t>
            </w:r>
          </w:p>
        </w:tc>
      </w:tr>
      <w:tr>
        <w:tblPrEx>
          <w:tblCellMar>
            <w:top w:w="0" w:type="dxa"/>
            <w:left w:w="108" w:type="dxa"/>
            <w:bottom w:w="0" w:type="dxa"/>
            <w:right w:w="108" w:type="dxa"/>
          </w:tblCellMar>
        </w:tblPrEx>
        <w:trPr>
          <w:trHeight w:val="409" w:hRule="atLeast"/>
        </w:trPr>
        <w:tc>
          <w:tcPr>
            <w:tcW w:w="468"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1265"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羊绒交易市场</w:t>
            </w:r>
          </w:p>
        </w:tc>
        <w:tc>
          <w:tcPr>
            <w:tcW w:w="1386" w:type="pct"/>
            <w:tcBorders>
              <w:top w:val="single" w:color="auto" w:sz="4" w:space="0"/>
              <w:left w:val="single" w:color="auto" w:sz="4" w:space="0"/>
              <w:bottom w:val="single" w:color="000000" w:sz="4" w:space="0"/>
              <w:right w:val="single" w:color="auto" w:sz="4" w:space="0"/>
            </w:tcBorders>
            <w:shd w:val="clear" w:color="auto" w:fill="auto"/>
            <w:noWrap/>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同心县同土线</w:t>
            </w:r>
          </w:p>
        </w:tc>
        <w:tc>
          <w:tcPr>
            <w:tcW w:w="1083"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0</w:t>
            </w:r>
            <w:r>
              <w:rPr>
                <w:rFonts w:ascii="宋体" w:hAnsi="宋体" w:eastAsia="宋体" w:cs="宋体"/>
                <w:sz w:val="21"/>
                <w:szCs w:val="21"/>
              </w:rPr>
              <w:t>.8</w:t>
            </w:r>
          </w:p>
        </w:tc>
        <w:tc>
          <w:tcPr>
            <w:tcW w:w="796"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室内</w:t>
            </w:r>
          </w:p>
        </w:tc>
      </w:tr>
      <w:tr>
        <w:tblPrEx>
          <w:tblCellMar>
            <w:top w:w="0" w:type="dxa"/>
            <w:left w:w="108" w:type="dxa"/>
            <w:bottom w:w="0" w:type="dxa"/>
            <w:right w:w="108" w:type="dxa"/>
          </w:tblCellMar>
        </w:tblPrEx>
        <w:trPr>
          <w:trHeight w:val="409" w:hRule="atLeast"/>
        </w:trPr>
        <w:tc>
          <w:tcPr>
            <w:tcW w:w="468"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p>
        </w:tc>
        <w:tc>
          <w:tcPr>
            <w:tcW w:w="1265"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清水湾农贸市场</w:t>
            </w:r>
          </w:p>
        </w:tc>
        <w:tc>
          <w:tcPr>
            <w:tcW w:w="1386" w:type="pct"/>
            <w:tcBorders>
              <w:top w:val="single" w:color="auto" w:sz="4" w:space="0"/>
              <w:left w:val="single" w:color="auto" w:sz="4" w:space="0"/>
              <w:bottom w:val="single" w:color="000000" w:sz="4" w:space="0"/>
              <w:right w:val="single" w:color="auto" w:sz="4" w:space="0"/>
            </w:tcBorders>
            <w:shd w:val="clear" w:color="auto" w:fill="auto"/>
            <w:noWrap/>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同心县豫海镇永安西路</w:t>
            </w:r>
          </w:p>
        </w:tc>
        <w:tc>
          <w:tcPr>
            <w:tcW w:w="1083"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5.40 </w:t>
            </w:r>
          </w:p>
        </w:tc>
        <w:tc>
          <w:tcPr>
            <w:tcW w:w="796"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棚顶式+室内</w:t>
            </w:r>
          </w:p>
        </w:tc>
      </w:tr>
      <w:tr>
        <w:tblPrEx>
          <w:tblCellMar>
            <w:top w:w="0" w:type="dxa"/>
            <w:left w:w="108" w:type="dxa"/>
            <w:bottom w:w="0" w:type="dxa"/>
            <w:right w:w="108" w:type="dxa"/>
          </w:tblCellMar>
        </w:tblPrEx>
        <w:trPr>
          <w:trHeight w:val="540" w:hRule="atLeast"/>
        </w:trPr>
        <w:tc>
          <w:tcPr>
            <w:tcW w:w="468" w:type="pct"/>
            <w:tcBorders>
              <w:top w:val="nil"/>
              <w:left w:val="single" w:color="auto" w:sz="4" w:space="0"/>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3</w:t>
            </w:r>
          </w:p>
        </w:tc>
        <w:tc>
          <w:tcPr>
            <w:tcW w:w="1265"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同心商城</w:t>
            </w:r>
          </w:p>
        </w:tc>
        <w:tc>
          <w:tcPr>
            <w:tcW w:w="138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民生南街</w:t>
            </w:r>
          </w:p>
        </w:tc>
        <w:tc>
          <w:tcPr>
            <w:tcW w:w="1083"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6</w:t>
            </w:r>
            <w:r>
              <w:rPr>
                <w:rFonts w:ascii="宋体" w:hAnsi="宋体" w:eastAsia="宋体" w:cs="宋体"/>
                <w:sz w:val="21"/>
                <w:szCs w:val="21"/>
              </w:rPr>
              <w:t>.00</w:t>
            </w:r>
          </w:p>
        </w:tc>
        <w:tc>
          <w:tcPr>
            <w:tcW w:w="79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棚顶式+室内</w:t>
            </w:r>
          </w:p>
        </w:tc>
      </w:tr>
      <w:tr>
        <w:tblPrEx>
          <w:tblCellMar>
            <w:top w:w="0" w:type="dxa"/>
            <w:left w:w="108" w:type="dxa"/>
            <w:bottom w:w="0" w:type="dxa"/>
            <w:right w:w="108" w:type="dxa"/>
          </w:tblCellMar>
        </w:tblPrEx>
        <w:trPr>
          <w:trHeight w:val="540" w:hRule="atLeast"/>
        </w:trPr>
        <w:tc>
          <w:tcPr>
            <w:tcW w:w="468" w:type="pct"/>
            <w:tcBorders>
              <w:top w:val="nil"/>
              <w:left w:val="single" w:color="auto" w:sz="4" w:space="0"/>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4</w:t>
            </w:r>
          </w:p>
        </w:tc>
        <w:tc>
          <w:tcPr>
            <w:tcW w:w="1265"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下马关镇农贸市场</w:t>
            </w:r>
          </w:p>
        </w:tc>
        <w:tc>
          <w:tcPr>
            <w:tcW w:w="138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下马关镇西沟村</w:t>
            </w:r>
          </w:p>
        </w:tc>
        <w:tc>
          <w:tcPr>
            <w:tcW w:w="1083"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0.33 </w:t>
            </w:r>
          </w:p>
        </w:tc>
        <w:tc>
          <w:tcPr>
            <w:tcW w:w="79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w:t>
            </w:r>
          </w:p>
        </w:tc>
      </w:tr>
      <w:tr>
        <w:tblPrEx>
          <w:tblCellMar>
            <w:top w:w="0" w:type="dxa"/>
            <w:left w:w="108" w:type="dxa"/>
            <w:bottom w:w="0" w:type="dxa"/>
            <w:right w:w="108" w:type="dxa"/>
          </w:tblCellMar>
        </w:tblPrEx>
        <w:trPr>
          <w:trHeight w:val="409" w:hRule="atLeast"/>
        </w:trPr>
        <w:tc>
          <w:tcPr>
            <w:tcW w:w="468"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5</w:t>
            </w:r>
          </w:p>
        </w:tc>
        <w:tc>
          <w:tcPr>
            <w:tcW w:w="1265"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永昌建材城</w:t>
            </w:r>
          </w:p>
        </w:tc>
        <w:tc>
          <w:tcPr>
            <w:tcW w:w="1386" w:type="pct"/>
            <w:tcBorders>
              <w:top w:val="single" w:color="auto" w:sz="4" w:space="0"/>
              <w:left w:val="single" w:color="auto" w:sz="4" w:space="0"/>
              <w:bottom w:val="single" w:color="000000" w:sz="4" w:space="0"/>
              <w:right w:val="single" w:color="auto" w:sz="4" w:space="0"/>
            </w:tcBorders>
            <w:shd w:val="clear" w:color="auto" w:fill="auto"/>
            <w:noWrap/>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同心县丁塘镇清水湾</w:t>
            </w:r>
          </w:p>
        </w:tc>
        <w:tc>
          <w:tcPr>
            <w:tcW w:w="1083"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r>
              <w:rPr>
                <w:rFonts w:ascii="宋体" w:hAnsi="宋体" w:eastAsia="宋体" w:cs="宋体"/>
                <w:sz w:val="21"/>
                <w:szCs w:val="21"/>
              </w:rPr>
              <w:t>0.8</w:t>
            </w:r>
          </w:p>
        </w:tc>
        <w:tc>
          <w:tcPr>
            <w:tcW w:w="796" w:type="pct"/>
            <w:tcBorders>
              <w:top w:val="single" w:color="auto" w:sz="4" w:space="0"/>
              <w:left w:val="single" w:color="auto" w:sz="4" w:space="0"/>
              <w:bottom w:val="single" w:color="000000"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室内</w:t>
            </w:r>
          </w:p>
        </w:tc>
      </w:tr>
      <w:tr>
        <w:tblPrEx>
          <w:tblCellMar>
            <w:top w:w="0" w:type="dxa"/>
            <w:left w:w="108" w:type="dxa"/>
            <w:bottom w:w="0" w:type="dxa"/>
            <w:right w:w="108" w:type="dxa"/>
          </w:tblCellMar>
        </w:tblPrEx>
        <w:trPr>
          <w:trHeight w:val="540" w:hRule="atLeast"/>
        </w:trPr>
        <w:tc>
          <w:tcPr>
            <w:tcW w:w="468" w:type="pct"/>
            <w:tcBorders>
              <w:top w:val="nil"/>
              <w:left w:val="single" w:color="auto" w:sz="4" w:space="0"/>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6</w:t>
            </w:r>
          </w:p>
        </w:tc>
        <w:tc>
          <w:tcPr>
            <w:tcW w:w="1265"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同心牛羊交易市场</w:t>
            </w:r>
          </w:p>
        </w:tc>
        <w:tc>
          <w:tcPr>
            <w:tcW w:w="138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同心县永安西路</w:t>
            </w:r>
          </w:p>
        </w:tc>
        <w:tc>
          <w:tcPr>
            <w:tcW w:w="1083"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r>
              <w:rPr>
                <w:rFonts w:ascii="宋体" w:hAnsi="宋体" w:eastAsia="宋体" w:cs="宋体"/>
                <w:sz w:val="21"/>
                <w:szCs w:val="21"/>
              </w:rPr>
              <w:t>.5</w:t>
            </w:r>
          </w:p>
        </w:tc>
        <w:tc>
          <w:tcPr>
            <w:tcW w:w="79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w:t>
            </w:r>
          </w:p>
        </w:tc>
      </w:tr>
      <w:tr>
        <w:tblPrEx>
          <w:tblCellMar>
            <w:top w:w="0" w:type="dxa"/>
            <w:left w:w="108" w:type="dxa"/>
            <w:bottom w:w="0" w:type="dxa"/>
            <w:right w:w="108" w:type="dxa"/>
          </w:tblCellMar>
        </w:tblPrEx>
        <w:trPr>
          <w:trHeight w:val="540" w:hRule="atLeast"/>
        </w:trPr>
        <w:tc>
          <w:tcPr>
            <w:tcW w:w="468" w:type="pct"/>
            <w:tcBorders>
              <w:top w:val="nil"/>
              <w:left w:val="single" w:color="auto" w:sz="4" w:space="0"/>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7</w:t>
            </w:r>
          </w:p>
        </w:tc>
        <w:tc>
          <w:tcPr>
            <w:tcW w:w="1265"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王团农贸市场</w:t>
            </w:r>
          </w:p>
        </w:tc>
        <w:tc>
          <w:tcPr>
            <w:tcW w:w="138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同心县王团镇南村</w:t>
            </w:r>
          </w:p>
        </w:tc>
        <w:tc>
          <w:tcPr>
            <w:tcW w:w="1083"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0.47 </w:t>
            </w:r>
          </w:p>
        </w:tc>
        <w:tc>
          <w:tcPr>
            <w:tcW w:w="79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w:t>
            </w:r>
          </w:p>
        </w:tc>
      </w:tr>
      <w:tr>
        <w:tblPrEx>
          <w:tblCellMar>
            <w:top w:w="0" w:type="dxa"/>
            <w:left w:w="108" w:type="dxa"/>
            <w:bottom w:w="0" w:type="dxa"/>
            <w:right w:w="108" w:type="dxa"/>
          </w:tblCellMar>
        </w:tblPrEx>
        <w:trPr>
          <w:trHeight w:val="540" w:hRule="atLeast"/>
        </w:trPr>
        <w:tc>
          <w:tcPr>
            <w:tcW w:w="468" w:type="pct"/>
            <w:tcBorders>
              <w:top w:val="nil"/>
              <w:left w:val="single" w:color="auto" w:sz="4" w:space="0"/>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8</w:t>
            </w:r>
          </w:p>
        </w:tc>
        <w:tc>
          <w:tcPr>
            <w:tcW w:w="1265"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预旺镇农贸市场</w:t>
            </w:r>
          </w:p>
        </w:tc>
        <w:tc>
          <w:tcPr>
            <w:tcW w:w="138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预旺镇</w:t>
            </w:r>
          </w:p>
        </w:tc>
        <w:tc>
          <w:tcPr>
            <w:tcW w:w="1083"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0.45 </w:t>
            </w:r>
          </w:p>
        </w:tc>
        <w:tc>
          <w:tcPr>
            <w:tcW w:w="79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w:t>
            </w:r>
          </w:p>
        </w:tc>
      </w:tr>
      <w:tr>
        <w:tblPrEx>
          <w:tblCellMar>
            <w:top w:w="0" w:type="dxa"/>
            <w:left w:w="108" w:type="dxa"/>
            <w:bottom w:w="0" w:type="dxa"/>
            <w:right w:w="108" w:type="dxa"/>
          </w:tblCellMar>
        </w:tblPrEx>
        <w:trPr>
          <w:trHeight w:val="540" w:hRule="atLeast"/>
        </w:trPr>
        <w:tc>
          <w:tcPr>
            <w:tcW w:w="468" w:type="pct"/>
            <w:tcBorders>
              <w:top w:val="nil"/>
              <w:left w:val="single" w:color="auto" w:sz="4" w:space="0"/>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9</w:t>
            </w:r>
          </w:p>
        </w:tc>
        <w:tc>
          <w:tcPr>
            <w:tcW w:w="1265"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河西镇农贸市场</w:t>
            </w:r>
          </w:p>
        </w:tc>
        <w:tc>
          <w:tcPr>
            <w:tcW w:w="138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河西镇人民政府 </w:t>
            </w:r>
          </w:p>
        </w:tc>
        <w:tc>
          <w:tcPr>
            <w:tcW w:w="1083"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5.00 </w:t>
            </w:r>
          </w:p>
        </w:tc>
        <w:tc>
          <w:tcPr>
            <w:tcW w:w="79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　</w:t>
            </w:r>
          </w:p>
        </w:tc>
      </w:tr>
      <w:tr>
        <w:tblPrEx>
          <w:tblCellMar>
            <w:top w:w="0" w:type="dxa"/>
            <w:left w:w="108" w:type="dxa"/>
            <w:bottom w:w="0" w:type="dxa"/>
            <w:right w:w="108" w:type="dxa"/>
          </w:tblCellMar>
        </w:tblPrEx>
        <w:trPr>
          <w:trHeight w:val="540" w:hRule="atLeast"/>
        </w:trPr>
        <w:tc>
          <w:tcPr>
            <w:tcW w:w="468" w:type="pct"/>
            <w:tcBorders>
              <w:top w:val="nil"/>
              <w:left w:val="single" w:color="auto" w:sz="4" w:space="0"/>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10</w:t>
            </w:r>
          </w:p>
        </w:tc>
        <w:tc>
          <w:tcPr>
            <w:tcW w:w="1265"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韦州镇农贸市场</w:t>
            </w:r>
          </w:p>
        </w:tc>
        <w:tc>
          <w:tcPr>
            <w:tcW w:w="138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韦州镇</w:t>
            </w:r>
          </w:p>
        </w:tc>
        <w:tc>
          <w:tcPr>
            <w:tcW w:w="1083"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0.31 </w:t>
            </w:r>
          </w:p>
        </w:tc>
        <w:tc>
          <w:tcPr>
            <w:tcW w:w="796" w:type="pct"/>
            <w:tcBorders>
              <w:top w:val="nil"/>
              <w:left w:val="nil"/>
              <w:bottom w:val="single" w:color="auto" w:sz="4" w:space="0"/>
              <w:right w:val="single" w:color="auto" w:sz="4" w:space="0"/>
            </w:tcBorders>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棚顶式</w:t>
            </w:r>
          </w:p>
        </w:tc>
      </w:tr>
    </w:tbl>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5.</w:t>
      </w:r>
      <w:r>
        <w:rPr>
          <w:rFonts w:hint="eastAsia" w:ascii="仿宋_GB2312" w:hAnsi="仿宋_GB2312" w:eastAsia="仿宋_GB2312" w:cs="仿宋_GB2312"/>
        </w:rPr>
        <w:t>电子商务及物流节点</w:t>
      </w:r>
    </w:p>
    <w:p>
      <w:pPr>
        <w:ind w:firstLine="640"/>
        <w:rPr>
          <w:rFonts w:hint="eastAsia" w:ascii="仿宋_GB2312" w:hAnsi="仿宋_GB2312" w:eastAsia="仿宋_GB2312" w:cs="仿宋_GB2312"/>
        </w:rPr>
      </w:pPr>
      <w:r>
        <w:rPr>
          <w:rFonts w:hint="eastAsia" w:ascii="仿宋_GB2312" w:hAnsi="仿宋_GB2312" w:eastAsia="仿宋_GB2312" w:cs="仿宋_GB2312"/>
        </w:rPr>
        <w:t>借助国家电子商务进农村示范项目的建设，同心县已建成1个县级电子商务公共服务中心、1个县级物流仓储配送中心、83个电子商务服务站点、12个乡镇物流中转中心、100个快递物流服务站点，基本实现了县域全覆盖。全县大型物流节点主要有四个，已建成的快递物流分拣中心，位于工业园区，建筑面积2000</w:t>
      </w:r>
      <w:r>
        <w:rPr>
          <w:rFonts w:hint="eastAsia" w:ascii="仿宋_GB2312" w:hAnsi="仿宋_GB2312" w:cs="仿宋_GB2312"/>
          <w:lang w:eastAsia="zh-CN"/>
        </w:rPr>
        <w:t>平方米</w:t>
      </w:r>
      <w:r>
        <w:rPr>
          <w:rFonts w:hint="eastAsia" w:ascii="仿宋_GB2312" w:hAnsi="仿宋_GB2312" w:eastAsia="仿宋_GB2312" w:cs="仿宋_GB2312"/>
        </w:rPr>
        <w:t>，正在整合全县各快递企业统一入驻；华融公路物流中心位于银平路，主要以大型货运车辆停放、货运信息、司机住宿等为主；正在建设的桃山物流园</w:t>
      </w:r>
      <w:r>
        <w:rPr>
          <w:rFonts w:hint="eastAsia" w:ascii="仿宋_GB2312" w:hAnsi="仿宋_GB2312" w:eastAsia="仿宋_GB2312" w:cs="仿宋_GB2312"/>
          <w:lang w:val="en-US" w:eastAsia="zh-CN"/>
        </w:rPr>
        <w:t>是</w:t>
      </w:r>
      <w:r>
        <w:rPr>
          <w:rFonts w:hint="eastAsia" w:ascii="仿宋_GB2312" w:hAnsi="仿宋_GB2312" w:eastAsia="仿宋_GB2312" w:cs="仿宋_GB2312"/>
        </w:rPr>
        <w:t>全县招商引资重点项目，位于同心县河西镇桃山村G70福银高速北侧、G109国道和G344国道交汇处南侧，占地面积约352亩，旨在打造一个集装卸、仓储、多式联运和物流服务功能于一体的综合物流园区；正在建设的同心现代物流城位于羊绒工业园区，将建成集仓储、冷链、信息服务、智能分拣于一体的、服务于全县的现代化物流中心。</w:t>
      </w:r>
    </w:p>
    <w:p>
      <w:pPr>
        <w:pStyle w:val="4"/>
        <w:spacing w:before="156" w:after="156"/>
        <w:ind w:firstLine="643"/>
        <w:rPr>
          <w:rFonts w:hint="eastAsia" w:ascii="仿宋_GB2312" w:hAnsi="仿宋_GB2312" w:eastAsia="仿宋_GB2312" w:cs="仿宋_GB2312"/>
        </w:rPr>
      </w:pPr>
      <w:r>
        <w:rPr>
          <w:rFonts w:hint="eastAsia" w:ascii="仿宋_GB2312" w:hAnsi="仿宋_GB2312" w:eastAsia="仿宋_GB2312" w:cs="仿宋_GB2312"/>
          <w:lang w:val="en-US" w:eastAsia="zh-CN"/>
        </w:rPr>
        <w:t>6.</w:t>
      </w:r>
      <w:r>
        <w:rPr>
          <w:rFonts w:hint="eastAsia" w:ascii="仿宋_GB2312" w:hAnsi="仿宋_GB2312" w:eastAsia="仿宋_GB2312" w:cs="仿宋_GB2312"/>
        </w:rPr>
        <w:t>乡镇商业网点</w:t>
      </w:r>
    </w:p>
    <w:p>
      <w:pPr>
        <w:ind w:firstLine="640"/>
        <w:rPr>
          <w:rFonts w:ascii="方正仿宋简体" w:hAnsi="方正仿宋简体" w:cs="方正仿宋简体"/>
        </w:rPr>
      </w:pPr>
      <w:r>
        <w:rPr>
          <w:rFonts w:hint="eastAsia" w:ascii="方正仿宋简体" w:hAnsi="方正仿宋简体" w:cs="方正仿宋简体"/>
        </w:rPr>
        <w:t>全县共有11个乡镇，所有乡镇商业中心基本沿国省道等重要道路两侧沿街布局，以服务自身的街坊式配套型商业为主，涵盖小型超市、餐饮、服装、汽修、农资、便民服务等业态。</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1</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河西镇</w:t>
      </w:r>
    </w:p>
    <w:p>
      <w:pPr>
        <w:spacing w:line="580" w:lineRule="exact"/>
        <w:ind w:firstLine="640"/>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河西镇镇域总面积553.53平方公里，辖19个行政村，总人口16438户58450人。全镇2020年农民人均可支配收入为12119元，同比增长10.5%。现状整体商业水平处于较好水平，与中心城区联系较频繁。</w:t>
      </w:r>
    </w:p>
    <w:p>
      <w:pPr>
        <w:ind w:firstLine="640"/>
        <w:rPr>
          <w:rFonts w:hint="eastAsia" w:ascii="仿宋_GB2312" w:hAnsi="仿宋_GB2312" w:eastAsia="仿宋_GB2312" w:cs="仿宋_GB2312"/>
        </w:rPr>
      </w:pPr>
      <w:r>
        <w:rPr>
          <w:rFonts w:hint="eastAsia" w:ascii="仿宋_GB2312" w:hAnsi="仿宋_GB2312" w:eastAsia="仿宋_GB2312" w:cs="仿宋_GB2312"/>
        </w:rPr>
        <w:t>河西镇现有商业设施主要有河西农贸市场（28869平方米）、1个1100平方米的大百购物中心，</w:t>
      </w:r>
      <w:r>
        <w:rPr>
          <w:rFonts w:hint="eastAsia" w:ascii="仿宋_GB2312" w:hAnsi="仿宋_GB2312" w:cs="仿宋_GB2312"/>
          <w:lang w:val="en-US" w:eastAsia="zh-CN"/>
        </w:rPr>
        <w:t>1</w:t>
      </w:r>
      <w:r>
        <w:rPr>
          <w:rFonts w:hint="eastAsia" w:ascii="仿宋_GB2312" w:hAnsi="仿宋_GB2312" w:eastAsia="仿宋_GB2312" w:cs="仿宋_GB2312"/>
        </w:rPr>
        <w:t>个404875.36平方米的桃山综合物流园，以及河西商城、宁春商场、衣百汇等百货中心，现有商业设施基本满足镇上居民生活需求。</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2</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丁塘镇</w:t>
      </w:r>
    </w:p>
    <w:p>
      <w:pPr>
        <w:spacing w:line="580" w:lineRule="exact"/>
        <w:ind w:firstLine="640"/>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丁塘镇辖区共有19个行政村，总面积216.6平方公里（32.49万亩），户籍人口12896户43520人，常住人口12120户40913人，2020年全镇人均可支配收入达12246元。辖区拥有多条道路，交通便利，优势明显，现状产业以农业为主。现状整体商业水平整体一般。</w:t>
      </w:r>
    </w:p>
    <w:p>
      <w:pPr>
        <w:ind w:firstLine="640"/>
        <w:rPr>
          <w:rFonts w:hint="eastAsia" w:ascii="仿宋_GB2312" w:hAnsi="仿宋_GB2312" w:eastAsia="仿宋_GB2312" w:cs="仿宋_GB2312"/>
        </w:rPr>
      </w:pPr>
      <w:r>
        <w:rPr>
          <w:rFonts w:hint="eastAsia" w:ascii="仿宋_GB2312" w:hAnsi="仿宋_GB2312" w:eastAsia="仿宋_GB2312" w:cs="仿宋_GB2312"/>
          <w:kern w:val="0"/>
          <w:szCs w:val="32"/>
        </w:rPr>
        <w:t>由于丁塘镇距离县城较近，</w:t>
      </w:r>
      <w:r>
        <w:rPr>
          <w:rFonts w:hint="eastAsia" w:ascii="仿宋_GB2312" w:hAnsi="仿宋_GB2312" w:eastAsia="仿宋_GB2312" w:cs="仿宋_GB2312"/>
        </w:rPr>
        <w:t>镇上居民习惯于到县城购物消费，</w:t>
      </w:r>
      <w:r>
        <w:rPr>
          <w:rFonts w:hint="eastAsia" w:ascii="仿宋_GB2312" w:hAnsi="仿宋_GB2312" w:eastAsia="仿宋_GB2312" w:cs="仿宋_GB2312"/>
          <w:kern w:val="0"/>
          <w:szCs w:val="32"/>
        </w:rPr>
        <w:t>镇区的</w:t>
      </w:r>
      <w:r>
        <w:rPr>
          <w:rFonts w:hint="eastAsia" w:ascii="仿宋_GB2312" w:hAnsi="仿宋_GB2312" w:eastAsia="仿宋_GB2312" w:cs="仿宋_GB2312"/>
        </w:rPr>
        <w:t>商业业态主要以特色餐饮、百货超市、美容理发、批发零售等基本消费需求为主。</w:t>
      </w:r>
    </w:p>
    <w:p>
      <w:pPr>
        <w:spacing w:line="580" w:lineRule="exact"/>
        <w:rPr>
          <w:rFonts w:hint="eastAsia" w:ascii="仿宋_GB2312" w:hAnsi="仿宋_GB2312" w:eastAsia="仿宋_GB2312" w:cs="仿宋_GB2312"/>
          <w:b/>
          <w:bCs/>
          <w:kern w:val="0"/>
          <w:szCs w:val="32"/>
        </w:rPr>
      </w:pPr>
      <w:r>
        <w:rPr>
          <w:rFonts w:hint="eastAsia" w:ascii="仿宋_GB2312" w:hAnsi="仿宋_GB2312" w:eastAsia="仿宋_GB2312" w:cs="仿宋_GB2312"/>
          <w:b/>
          <w:bCs/>
          <w:kern w:val="0"/>
          <w:szCs w:val="32"/>
          <w:lang w:eastAsia="zh-CN"/>
        </w:rPr>
        <w:t>（</w:t>
      </w:r>
      <w:r>
        <w:rPr>
          <w:rFonts w:hint="eastAsia" w:ascii="仿宋_GB2312" w:hAnsi="仿宋_GB2312" w:eastAsia="仿宋_GB2312" w:cs="仿宋_GB2312"/>
          <w:b/>
          <w:bCs/>
          <w:kern w:val="0"/>
          <w:szCs w:val="32"/>
          <w:lang w:val="en-US" w:eastAsia="zh-CN"/>
        </w:rPr>
        <w:t>3</w:t>
      </w:r>
      <w:r>
        <w:rPr>
          <w:rFonts w:hint="eastAsia" w:ascii="仿宋_GB2312" w:hAnsi="仿宋_GB2312" w:eastAsia="仿宋_GB2312" w:cs="仿宋_GB2312"/>
          <w:b/>
          <w:bCs/>
          <w:kern w:val="0"/>
          <w:szCs w:val="32"/>
          <w:lang w:eastAsia="zh-CN"/>
        </w:rPr>
        <w:t>）</w:t>
      </w:r>
      <w:r>
        <w:rPr>
          <w:rFonts w:hint="eastAsia" w:ascii="仿宋_GB2312" w:hAnsi="仿宋_GB2312" w:eastAsia="仿宋_GB2312" w:cs="仿宋_GB2312"/>
          <w:b/>
          <w:bCs/>
          <w:kern w:val="0"/>
          <w:szCs w:val="32"/>
        </w:rPr>
        <w:t>韦州镇</w:t>
      </w:r>
    </w:p>
    <w:p>
      <w:pPr>
        <w:spacing w:line="580" w:lineRule="exact"/>
        <w:ind w:firstLine="640"/>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韦州镇辖11个行政村59个自然社，现有户籍人口8560户26526人，常住人口7087户22851人。现状产业以“4+2+N”产业（“4”为肉牛、酿酒葡萄、生猪、滩羊，“2”为青饲玉米、劳务+商贸，“N”为红葱、黄花、小杂粮等）为主。2021年农村居民人均可支配收入达到17470元，增长23.6%。</w:t>
      </w:r>
    </w:p>
    <w:p>
      <w:pPr>
        <w:ind w:firstLine="640"/>
        <w:rPr>
          <w:rFonts w:hint="eastAsia" w:ascii="仿宋_GB2312" w:hAnsi="仿宋_GB2312" w:eastAsia="仿宋_GB2312" w:cs="仿宋_GB2312"/>
        </w:rPr>
      </w:pPr>
      <w:r>
        <w:rPr>
          <w:rFonts w:hint="eastAsia" w:ascii="仿宋_GB2312" w:hAnsi="仿宋_GB2312" w:eastAsia="仿宋_GB2312" w:cs="仿宋_GB2312"/>
          <w:kern w:val="0"/>
          <w:szCs w:val="32"/>
        </w:rPr>
        <w:t>韦州镇现状整体商业水平处于较好水平，与中心城区联系较弱。镇区内配有</w:t>
      </w:r>
      <w:r>
        <w:rPr>
          <w:rFonts w:hint="eastAsia" w:ascii="仿宋_GB2312" w:hAnsi="仿宋_GB2312" w:eastAsia="仿宋_GB2312" w:cs="仿宋_GB2312"/>
        </w:rPr>
        <w:t>韦州农贸市场、好的超市、</w:t>
      </w:r>
      <w:r>
        <w:rPr>
          <w:rFonts w:hint="eastAsia" w:ascii="仿宋_GB2312" w:hAnsi="仿宋_GB2312" w:eastAsia="仿宋_GB2312" w:cs="仿宋_GB2312"/>
          <w:lang w:val="en-US" w:eastAsia="zh-CN"/>
        </w:rPr>
        <w:t>乐</w:t>
      </w:r>
      <w:r>
        <w:rPr>
          <w:rFonts w:hint="eastAsia" w:ascii="仿宋_GB2312" w:hAnsi="仿宋_GB2312" w:eastAsia="仿宋_GB2312" w:cs="仿宋_GB2312"/>
        </w:rPr>
        <w:t>购超市等中大型商业设施，慧灵南路上配套有OPPO、飞利浦、美的、海尔、朗诗德、澳亚、波司登等多个品牌专卖店，乡镇商业设施基本满足镇上居民生活需求。</w:t>
      </w:r>
    </w:p>
    <w:p>
      <w:pPr>
        <w:spacing w:line="580" w:lineRule="exact"/>
        <w:rPr>
          <w:rFonts w:hint="eastAsia" w:ascii="仿宋_GB2312" w:hAnsi="仿宋_GB2312" w:eastAsia="仿宋_GB2312" w:cs="仿宋_GB2312"/>
          <w:b/>
          <w:bCs/>
          <w:kern w:val="0"/>
          <w:szCs w:val="32"/>
        </w:rPr>
      </w:pPr>
      <w:r>
        <w:rPr>
          <w:rFonts w:hint="eastAsia" w:ascii="仿宋_GB2312" w:hAnsi="仿宋_GB2312" w:eastAsia="仿宋_GB2312" w:cs="仿宋_GB2312"/>
          <w:b/>
          <w:bCs/>
          <w:kern w:val="0"/>
          <w:szCs w:val="32"/>
          <w:lang w:eastAsia="zh-CN"/>
        </w:rPr>
        <w:t>（</w:t>
      </w:r>
      <w:r>
        <w:rPr>
          <w:rFonts w:hint="eastAsia" w:ascii="仿宋_GB2312" w:hAnsi="仿宋_GB2312" w:eastAsia="仿宋_GB2312" w:cs="仿宋_GB2312"/>
          <w:b/>
          <w:bCs/>
          <w:kern w:val="0"/>
          <w:szCs w:val="32"/>
          <w:lang w:val="en-US" w:eastAsia="zh-CN"/>
        </w:rPr>
        <w:t>4</w:t>
      </w:r>
      <w:r>
        <w:rPr>
          <w:rFonts w:hint="eastAsia" w:ascii="仿宋_GB2312" w:hAnsi="仿宋_GB2312" w:eastAsia="仿宋_GB2312" w:cs="仿宋_GB2312"/>
          <w:b/>
          <w:bCs/>
          <w:kern w:val="0"/>
          <w:szCs w:val="32"/>
          <w:lang w:eastAsia="zh-CN"/>
        </w:rPr>
        <w:t>）</w:t>
      </w:r>
      <w:r>
        <w:rPr>
          <w:rFonts w:hint="eastAsia" w:ascii="仿宋_GB2312" w:hAnsi="仿宋_GB2312" w:eastAsia="仿宋_GB2312" w:cs="仿宋_GB2312"/>
          <w:b/>
          <w:bCs/>
          <w:kern w:val="0"/>
          <w:szCs w:val="32"/>
        </w:rPr>
        <w:t>下马关镇</w:t>
      </w:r>
    </w:p>
    <w:p>
      <w:pPr>
        <w:spacing w:line="580" w:lineRule="exact"/>
        <w:ind w:firstLine="640"/>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下马关镇辖21个行政村，101个自然社，全镇共有18360户60562人，常住12346户41614人。现状产业以小麦、玉米、马铃薯等种植业为主。2021年全镇人均可支配收入达到11978元，同比增长10.3%。现状整体商业水平处于较好水平。</w:t>
      </w:r>
    </w:p>
    <w:p>
      <w:pPr>
        <w:ind w:firstLine="640"/>
        <w:rPr>
          <w:rFonts w:hint="eastAsia" w:ascii="仿宋_GB2312" w:hAnsi="仿宋_GB2312" w:eastAsia="仿宋_GB2312" w:cs="仿宋_GB2312"/>
        </w:rPr>
      </w:pPr>
      <w:r>
        <w:rPr>
          <w:rFonts w:hint="eastAsia" w:ascii="仿宋_GB2312" w:hAnsi="仿宋_GB2312" w:eastAsia="仿宋_GB2312" w:cs="仿宋_GB2312"/>
          <w:kern w:val="0"/>
          <w:szCs w:val="32"/>
        </w:rPr>
        <w:t>下马关镇</w:t>
      </w:r>
      <w:r>
        <w:rPr>
          <w:rFonts w:hint="eastAsia" w:ascii="仿宋_GB2312" w:hAnsi="仿宋_GB2312" w:eastAsia="仿宋_GB2312" w:cs="仿宋_GB2312"/>
        </w:rPr>
        <w:t>现拥有下马关镇农贸市场、下马关牛羊肉市场、下马关百货市场等多个市场，镇上还配套有百度购物超市、新华联购物广场、万佳鞋服城、武商购物中心等多个大型超市和百货中心。尤其位于S202两侧，家装、餐饮、服饰、农副产品批发等业态较为齐全，现有商业设施基本满足镇上居民生活需求。</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5</w:t>
      </w:r>
      <w:r>
        <w:rPr>
          <w:rFonts w:hint="eastAsia" w:ascii="仿宋_GB2312" w:hAnsi="仿宋_GB2312" w:eastAsia="仿宋_GB2312" w:cs="仿宋_GB2312"/>
          <w:b/>
          <w:bCs/>
          <w:lang w:eastAsia="zh-CN"/>
        </w:rPr>
        <w:t>）</w:t>
      </w:r>
      <w:r>
        <w:rPr>
          <w:rFonts w:hint="eastAsia" w:ascii="仿宋_GB2312" w:hAnsi="仿宋_GB2312" w:eastAsia="仿宋_GB2312" w:cs="仿宋_GB2312"/>
          <w:b/>
          <w:bCs/>
          <w:kern w:val="0"/>
          <w:szCs w:val="32"/>
          <w:lang w:val="en"/>
        </w:rPr>
        <w:t>预旺镇</w:t>
      </w:r>
    </w:p>
    <w:p>
      <w:pPr>
        <w:ind w:firstLine="640"/>
        <w:rPr>
          <w:rFonts w:hint="eastAsia" w:ascii="仿宋_GB2312" w:hAnsi="仿宋_GB2312" w:eastAsia="仿宋_GB2312" w:cs="仿宋_GB2312"/>
          <w:kern w:val="0"/>
          <w:szCs w:val="32"/>
          <w:lang w:val="en"/>
        </w:rPr>
      </w:pPr>
      <w:r>
        <w:rPr>
          <w:rFonts w:hint="eastAsia" w:ascii="仿宋_GB2312" w:hAnsi="仿宋_GB2312" w:eastAsia="仿宋_GB2312" w:cs="仿宋_GB2312"/>
          <w:kern w:val="0"/>
          <w:szCs w:val="32"/>
          <w:lang w:val="en"/>
        </w:rPr>
        <w:t>预旺镇辖11个行政村，总面积415平方公里，总人口6619户23507人，常住人口3913户14879人，</w:t>
      </w:r>
      <w:r>
        <w:rPr>
          <w:rFonts w:hint="eastAsia" w:ascii="仿宋_GB2312" w:hAnsi="仿宋_GB2312" w:eastAsia="仿宋_GB2312" w:cs="仿宋_GB2312"/>
          <w:kern w:val="0"/>
          <w:szCs w:val="32"/>
        </w:rPr>
        <w:t>现状产业以</w:t>
      </w:r>
      <w:r>
        <w:rPr>
          <w:rFonts w:hint="eastAsia" w:ascii="仿宋_GB2312" w:hAnsi="仿宋_GB2312" w:eastAsia="仿宋_GB2312" w:cs="仿宋_GB2312"/>
          <w:kern w:val="0"/>
          <w:szCs w:val="32"/>
          <w:lang w:val="en"/>
        </w:rPr>
        <w:t>中药材</w:t>
      </w:r>
      <w:r>
        <w:rPr>
          <w:rFonts w:hint="eastAsia" w:ascii="仿宋_GB2312" w:hAnsi="仿宋_GB2312" w:eastAsia="仿宋_GB2312" w:cs="仿宋_GB2312"/>
          <w:kern w:val="0"/>
          <w:szCs w:val="32"/>
        </w:rPr>
        <w:t>、</w:t>
      </w:r>
      <w:r>
        <w:rPr>
          <w:rFonts w:hint="eastAsia" w:ascii="仿宋_GB2312" w:hAnsi="仿宋_GB2312" w:eastAsia="仿宋_GB2312" w:cs="仿宋_GB2312"/>
          <w:kern w:val="0"/>
          <w:szCs w:val="32"/>
          <w:lang w:val="en"/>
        </w:rPr>
        <w:t>小杂粮</w:t>
      </w:r>
      <w:r>
        <w:rPr>
          <w:rFonts w:hint="eastAsia" w:ascii="仿宋_GB2312" w:hAnsi="仿宋_GB2312" w:eastAsia="仿宋_GB2312" w:cs="仿宋_GB2312"/>
          <w:kern w:val="0"/>
          <w:szCs w:val="32"/>
        </w:rPr>
        <w:t>、玉米、马铃薯等种植业为主。</w:t>
      </w:r>
      <w:r>
        <w:rPr>
          <w:rFonts w:hint="eastAsia" w:ascii="仿宋_GB2312" w:hAnsi="仿宋_GB2312" w:eastAsia="仿宋_GB2312" w:cs="仿宋_GB2312"/>
          <w:kern w:val="0"/>
          <w:szCs w:val="32"/>
          <w:lang w:val="en"/>
        </w:rPr>
        <w:t>2021年农民人均可支配收入达10604元。</w:t>
      </w:r>
    </w:p>
    <w:p>
      <w:pPr>
        <w:ind w:firstLine="640"/>
        <w:rPr>
          <w:rFonts w:hint="eastAsia" w:ascii="仿宋_GB2312" w:hAnsi="仿宋_GB2312" w:eastAsia="仿宋_GB2312" w:cs="仿宋_GB2312"/>
        </w:rPr>
      </w:pPr>
      <w:r>
        <w:rPr>
          <w:rFonts w:hint="eastAsia" w:ascii="仿宋_GB2312" w:hAnsi="仿宋_GB2312" w:eastAsia="仿宋_GB2312" w:cs="仿宋_GB2312"/>
          <w:kern w:val="0"/>
          <w:szCs w:val="32"/>
          <w:lang w:val="en"/>
        </w:rPr>
        <w:t>预旺镇</w:t>
      </w:r>
      <w:r>
        <w:rPr>
          <w:rFonts w:hint="eastAsia" w:ascii="仿宋_GB2312" w:hAnsi="仿宋_GB2312" w:eastAsia="仿宋_GB2312" w:cs="仿宋_GB2312"/>
          <w:kern w:val="0"/>
          <w:szCs w:val="32"/>
        </w:rPr>
        <w:t>现状整体商业水平处于良好水平</w:t>
      </w:r>
      <w:r>
        <w:rPr>
          <w:rFonts w:hint="eastAsia" w:ascii="仿宋_GB2312" w:hAnsi="仿宋_GB2312" w:cs="仿宋_GB2312"/>
          <w:kern w:val="0"/>
          <w:szCs w:val="32"/>
          <w:lang w:eastAsia="zh-CN"/>
        </w:rPr>
        <w:t>，</w:t>
      </w:r>
      <w:r>
        <w:rPr>
          <w:rFonts w:hint="eastAsia" w:ascii="仿宋_GB2312" w:hAnsi="仿宋_GB2312" w:eastAsia="仿宋_GB2312" w:cs="仿宋_GB2312"/>
          <w:kern w:val="0"/>
          <w:szCs w:val="32"/>
        </w:rPr>
        <w:t>配套</w:t>
      </w:r>
      <w:r>
        <w:rPr>
          <w:rFonts w:hint="eastAsia" w:ascii="仿宋_GB2312" w:hAnsi="仿宋_GB2312" w:eastAsia="仿宋_GB2312" w:cs="仿宋_GB2312"/>
        </w:rPr>
        <w:t>有预旺镇农贸市场、预旺木材市场等多个市场，大型超市目前只有百惠生活超市，主要商业以预旺钟鼓楼周边区域为主，缺乏中型、大型百货中心和购物中心，但</w:t>
      </w:r>
      <w:r>
        <w:rPr>
          <w:rFonts w:hint="eastAsia" w:ascii="仿宋_GB2312" w:hAnsi="仿宋_GB2312" w:cs="仿宋_GB2312"/>
          <w:lang w:eastAsia="zh-CN"/>
        </w:rPr>
        <w:t>现有</w:t>
      </w:r>
      <w:r>
        <w:rPr>
          <w:rFonts w:hint="eastAsia" w:ascii="仿宋_GB2312" w:hAnsi="仿宋_GB2312" w:eastAsia="仿宋_GB2312" w:cs="仿宋_GB2312"/>
        </w:rPr>
        <w:t>商业设施已基本能满足镇上居民生活需求。</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6</w:t>
      </w:r>
      <w:r>
        <w:rPr>
          <w:rFonts w:hint="eastAsia" w:ascii="仿宋_GB2312" w:hAnsi="仿宋_GB2312" w:eastAsia="仿宋_GB2312" w:cs="仿宋_GB2312"/>
          <w:b/>
          <w:bCs/>
          <w:lang w:eastAsia="zh-CN"/>
        </w:rPr>
        <w:t>）</w:t>
      </w:r>
      <w:r>
        <w:rPr>
          <w:rFonts w:hint="eastAsia" w:ascii="仿宋_GB2312" w:hAnsi="仿宋_GB2312" w:eastAsia="仿宋_GB2312" w:cs="仿宋_GB2312"/>
          <w:b/>
          <w:bCs/>
          <w:szCs w:val="32"/>
        </w:rPr>
        <w:t>石狮开发区</w:t>
      </w:r>
    </w:p>
    <w:p>
      <w:pPr>
        <w:spacing w:line="580" w:lineRule="exact"/>
        <w:ind w:firstLine="640"/>
        <w:rPr>
          <w:rFonts w:hint="eastAsia" w:ascii="仿宋_GB2312" w:hAnsi="仿宋_GB2312" w:eastAsia="仿宋_GB2312" w:cs="仿宋_GB2312"/>
          <w:kern w:val="0"/>
          <w:szCs w:val="32"/>
        </w:rPr>
      </w:pPr>
      <w:r>
        <w:rPr>
          <w:rFonts w:hint="eastAsia" w:ascii="仿宋_GB2312" w:hAnsi="仿宋_GB2312" w:eastAsia="仿宋_GB2312" w:cs="仿宋_GB2312"/>
          <w:szCs w:val="32"/>
        </w:rPr>
        <w:t>石狮开发区位于县城南2公里处，辖12个行政村25个村民小组，现有户籍人口8471户30208人，常住人口10043户40144人。2021年农民人均可支配收入预计达到12700元，增幅15%左右。</w:t>
      </w:r>
      <w:r>
        <w:rPr>
          <w:rFonts w:hint="eastAsia" w:ascii="仿宋_GB2312" w:hAnsi="仿宋_GB2312" w:eastAsia="仿宋_GB2312" w:cs="仿宋_GB2312"/>
          <w:kern w:val="0"/>
          <w:szCs w:val="32"/>
        </w:rPr>
        <w:t>现状整体商业水平处于一般水平。</w:t>
      </w:r>
    </w:p>
    <w:p>
      <w:pPr>
        <w:ind w:firstLine="640"/>
        <w:rPr>
          <w:rFonts w:hint="eastAsia" w:ascii="仿宋_GB2312" w:hAnsi="仿宋_GB2312" w:eastAsia="仿宋_GB2312" w:cs="仿宋_GB2312"/>
        </w:rPr>
      </w:pPr>
      <w:r>
        <w:rPr>
          <w:rFonts w:hint="eastAsia" w:ascii="仿宋_GB2312" w:hAnsi="仿宋_GB2312" w:eastAsia="仿宋_GB2312" w:cs="仿宋_GB2312"/>
        </w:rPr>
        <w:t>石狮</w:t>
      </w:r>
      <w:r>
        <w:rPr>
          <w:rFonts w:hint="eastAsia" w:ascii="仿宋_GB2312" w:hAnsi="仿宋_GB2312" w:cs="仿宋_GB2312"/>
          <w:lang w:eastAsia="zh-CN"/>
        </w:rPr>
        <w:t>开发区</w:t>
      </w:r>
      <w:r>
        <w:rPr>
          <w:rFonts w:hint="eastAsia" w:ascii="仿宋_GB2312" w:hAnsi="仿宋_GB2312" w:eastAsia="仿宋_GB2312" w:cs="仿宋_GB2312"/>
        </w:rPr>
        <w:t>距离县城较近，镇上居民生活需求主要依靠县城商业设施。由于受到交通区位优势的影响，区域主干道两侧主要以二手车销售、汽车装潢、汽车维修、五金销售、家装材料批发为主，以满足过境车辆和司机的消费需求。</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7</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王团镇</w:t>
      </w:r>
    </w:p>
    <w:p>
      <w:pPr>
        <w:spacing w:line="580" w:lineRule="exact"/>
        <w:ind w:firstLine="640"/>
        <w:rPr>
          <w:rFonts w:hint="eastAsia" w:ascii="仿宋_GB2312" w:hAnsi="仿宋_GB2312" w:eastAsia="仿宋_GB2312" w:cs="仿宋_GB2312"/>
          <w:kern w:val="0"/>
          <w:szCs w:val="32"/>
        </w:rPr>
      </w:pPr>
      <w:r>
        <w:rPr>
          <w:rFonts w:hint="eastAsia" w:ascii="仿宋_GB2312" w:hAnsi="仿宋_GB2312" w:eastAsia="仿宋_GB2312" w:cs="仿宋_GB2312"/>
          <w:kern w:val="0"/>
          <w:szCs w:val="32"/>
        </w:rPr>
        <w:t>王团镇镇域总面积492平方公里，辖20个行政村，总人口12140户44219人。2020年人均可支配收入达到10686元。现状产业以农业为主，正在向农旅结合方向进行发展。</w:t>
      </w:r>
    </w:p>
    <w:p>
      <w:pPr>
        <w:ind w:firstLine="640"/>
        <w:rPr>
          <w:rFonts w:hint="eastAsia" w:ascii="仿宋_GB2312" w:hAnsi="仿宋_GB2312" w:eastAsia="仿宋_GB2312" w:cs="仿宋_GB2312"/>
        </w:rPr>
      </w:pPr>
      <w:r>
        <w:rPr>
          <w:rFonts w:hint="eastAsia" w:ascii="仿宋_GB2312" w:hAnsi="仿宋_GB2312" w:eastAsia="仿宋_GB2312" w:cs="仿宋_GB2312"/>
          <w:kern w:val="0"/>
          <w:szCs w:val="32"/>
        </w:rPr>
        <w:t>王团镇现状整体商业水平处于一般水平，</w:t>
      </w:r>
      <w:r>
        <w:rPr>
          <w:rFonts w:hint="eastAsia" w:ascii="仿宋_GB2312" w:hAnsi="仿宋_GB2312" w:eastAsia="仿宋_GB2312" w:cs="仿宋_GB2312"/>
        </w:rPr>
        <w:t>现状市场只有农贸市场，中型超市以幸福家具电器城、幸福商场、百姓超市、全都有超市以及老慕超市为主，其余业态均以小型店铺为主，现有商业设施基本能满足镇上居民生活需求。</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8</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兴隆乡</w:t>
      </w:r>
    </w:p>
    <w:p>
      <w:pPr>
        <w:spacing w:line="580" w:lineRule="exact"/>
        <w:ind w:firstLine="640"/>
        <w:rPr>
          <w:rFonts w:hint="eastAsia" w:ascii="仿宋_GB2312" w:hAnsi="仿宋_GB2312" w:eastAsia="仿宋_GB2312" w:cs="仿宋_GB2312"/>
          <w:kern w:val="0"/>
          <w:szCs w:val="32"/>
        </w:rPr>
      </w:pPr>
      <w:r>
        <w:rPr>
          <w:rFonts w:hint="eastAsia" w:ascii="仿宋_GB2312" w:hAnsi="仿宋_GB2312" w:eastAsia="仿宋_GB2312" w:cs="仿宋_GB2312"/>
          <w:szCs w:val="32"/>
        </w:rPr>
        <w:t>兴隆乡地域总面积178平方公里（约27万亩），下辖6个行政村44个社，全乡共4275户15708人，全乡脱贫人口1114户4248人。</w:t>
      </w:r>
      <w:r>
        <w:rPr>
          <w:rFonts w:hint="eastAsia" w:ascii="仿宋_GB2312" w:hAnsi="仿宋_GB2312" w:eastAsia="仿宋_GB2312" w:cs="仿宋_GB2312"/>
        </w:rPr>
        <w:t>2021年全乡人均可支配收入预计达到12810万元。</w:t>
      </w:r>
    </w:p>
    <w:p>
      <w:pPr>
        <w:ind w:firstLine="640"/>
        <w:rPr>
          <w:rFonts w:hint="eastAsia" w:ascii="仿宋_GB2312" w:hAnsi="仿宋_GB2312" w:eastAsia="仿宋_GB2312" w:cs="仿宋_GB2312"/>
        </w:rPr>
      </w:pPr>
      <w:r>
        <w:rPr>
          <w:rFonts w:hint="eastAsia" w:ascii="仿宋_GB2312" w:hAnsi="仿宋_GB2312" w:eastAsia="仿宋_GB2312" w:cs="仿宋_GB2312"/>
          <w:szCs w:val="32"/>
        </w:rPr>
        <w:t>兴隆乡</w:t>
      </w:r>
      <w:r>
        <w:rPr>
          <w:rFonts w:hint="eastAsia" w:ascii="仿宋_GB2312" w:hAnsi="仿宋_GB2312" w:eastAsia="仿宋_GB2312" w:cs="仿宋_GB2312"/>
          <w:kern w:val="0"/>
          <w:szCs w:val="32"/>
        </w:rPr>
        <w:t>现状商业设施配套水平一般，</w:t>
      </w:r>
      <w:r>
        <w:rPr>
          <w:rFonts w:hint="eastAsia" w:ascii="仿宋_GB2312" w:hAnsi="仿宋_GB2312" w:eastAsia="仿宋_GB2312" w:cs="仿宋_GB2312"/>
        </w:rPr>
        <w:t>商业业态主要以特色餐饮、百货超市、美容理发、五金零售为主，由于</w:t>
      </w:r>
      <w:r>
        <w:rPr>
          <w:rFonts w:hint="eastAsia" w:ascii="仿宋_GB2312" w:hAnsi="仿宋_GB2312" w:eastAsia="仿宋_GB2312" w:cs="仿宋_GB2312"/>
          <w:szCs w:val="32"/>
        </w:rPr>
        <w:t>地处县城新区西侧</w:t>
      </w:r>
      <w:r>
        <w:rPr>
          <w:rFonts w:hint="eastAsia" w:ascii="仿宋_GB2312" w:hAnsi="仿宋_GB2312" w:eastAsia="仿宋_GB2312" w:cs="仿宋_GB2312"/>
        </w:rPr>
        <w:t>，镇上居民生活需求主要依靠县城商业设施。</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9</w:t>
      </w:r>
      <w:r>
        <w:rPr>
          <w:rFonts w:hint="eastAsia" w:ascii="仿宋_GB2312" w:hAnsi="仿宋_GB2312" w:eastAsia="仿宋_GB2312" w:cs="仿宋_GB2312"/>
          <w:b/>
          <w:bCs/>
          <w:lang w:eastAsia="zh-CN"/>
        </w:rPr>
        <w:t>）</w:t>
      </w:r>
      <w:r>
        <w:rPr>
          <w:rFonts w:hint="eastAsia" w:ascii="仿宋_GB2312" w:hAnsi="仿宋_GB2312" w:eastAsia="仿宋_GB2312" w:cs="仿宋_GB2312"/>
          <w:b/>
          <w:bCs/>
          <w:kern w:val="32"/>
          <w:szCs w:val="32"/>
        </w:rPr>
        <w:t>田老庄乡</w:t>
      </w:r>
    </w:p>
    <w:p>
      <w:pPr>
        <w:widowControl/>
        <w:ind w:firstLine="640"/>
        <w:jc w:val="left"/>
        <w:rPr>
          <w:rFonts w:hint="eastAsia" w:ascii="仿宋_GB2312" w:hAnsi="仿宋_GB2312" w:eastAsia="仿宋_GB2312" w:cs="仿宋_GB2312"/>
          <w:kern w:val="32"/>
          <w:szCs w:val="32"/>
        </w:rPr>
      </w:pPr>
      <w:r>
        <w:rPr>
          <w:rFonts w:hint="eastAsia" w:ascii="仿宋_GB2312" w:hAnsi="仿宋_GB2312" w:eastAsia="仿宋_GB2312" w:cs="仿宋_GB2312"/>
          <w:kern w:val="32"/>
          <w:szCs w:val="32"/>
        </w:rPr>
        <w:t>田老庄乡辖6个行政村，总人口2258户7460人，常住人口532户1898人。2021年，预计农村居民</w:t>
      </w:r>
      <w:r>
        <w:rPr>
          <w:rFonts w:hint="eastAsia" w:ascii="仿宋_GB2312" w:hAnsi="仿宋_GB2312" w:cs="仿宋_GB2312"/>
          <w:kern w:val="32"/>
          <w:szCs w:val="32"/>
          <w:lang w:eastAsia="zh-CN"/>
        </w:rPr>
        <w:t>人均</w:t>
      </w:r>
      <w:r>
        <w:rPr>
          <w:rFonts w:hint="eastAsia" w:ascii="仿宋_GB2312" w:hAnsi="仿宋_GB2312" w:eastAsia="仿宋_GB2312" w:cs="仿宋_GB2312"/>
          <w:kern w:val="32"/>
          <w:szCs w:val="32"/>
        </w:rPr>
        <w:t>可支配收入达到11338元，同比增长12.5%以上。</w:t>
      </w:r>
      <w:r>
        <w:rPr>
          <w:rFonts w:hint="eastAsia" w:ascii="仿宋_GB2312" w:hAnsi="仿宋_GB2312" w:eastAsia="仿宋_GB2312" w:cs="仿宋_GB2312"/>
          <w:kern w:val="0"/>
          <w:szCs w:val="32"/>
        </w:rPr>
        <w:t>现状产业以</w:t>
      </w:r>
      <w:r>
        <w:rPr>
          <w:rFonts w:hint="eastAsia" w:ascii="仿宋_GB2312" w:hAnsi="仿宋_GB2312" w:eastAsia="仿宋_GB2312" w:cs="仿宋_GB2312"/>
          <w:kern w:val="32"/>
          <w:szCs w:val="32"/>
        </w:rPr>
        <w:t>红葱</w:t>
      </w:r>
      <w:r>
        <w:rPr>
          <w:rFonts w:hint="eastAsia" w:ascii="仿宋_GB2312" w:hAnsi="仿宋_GB2312" w:eastAsia="仿宋_GB2312" w:cs="仿宋_GB2312"/>
          <w:kern w:val="0"/>
          <w:szCs w:val="32"/>
        </w:rPr>
        <w:t>种植为主</w:t>
      </w:r>
      <w:r>
        <w:rPr>
          <w:rFonts w:hint="eastAsia" w:ascii="仿宋_GB2312" w:hAnsi="仿宋_GB2312" w:eastAsia="仿宋_GB2312" w:cs="仿宋_GB2312"/>
          <w:kern w:val="32"/>
          <w:szCs w:val="32"/>
        </w:rPr>
        <w:t>。</w:t>
      </w:r>
    </w:p>
    <w:p>
      <w:pPr>
        <w:ind w:firstLine="640"/>
        <w:rPr>
          <w:rFonts w:hint="eastAsia" w:ascii="仿宋_GB2312" w:hAnsi="仿宋_GB2312" w:eastAsia="仿宋_GB2312" w:cs="仿宋_GB2312"/>
        </w:rPr>
      </w:pPr>
      <w:r>
        <w:rPr>
          <w:rFonts w:hint="eastAsia" w:ascii="仿宋_GB2312" w:hAnsi="仿宋_GB2312" w:eastAsia="仿宋_GB2312" w:cs="仿宋_GB2312"/>
          <w:kern w:val="32"/>
          <w:szCs w:val="32"/>
        </w:rPr>
        <w:t>田老庄乡由于人口数量少，现状整体商业水平不高，商业设施严重缺失，</w:t>
      </w:r>
      <w:r>
        <w:rPr>
          <w:rFonts w:hint="eastAsia" w:ascii="仿宋_GB2312" w:hAnsi="仿宋_GB2312" w:eastAsia="仿宋_GB2312" w:cs="仿宋_GB2312"/>
        </w:rPr>
        <w:t>乡上居民生活需求主要依靠附近其他乡镇商业。</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10</w:t>
      </w:r>
      <w:r>
        <w:rPr>
          <w:rFonts w:hint="eastAsia" w:ascii="仿宋_GB2312" w:hAnsi="仿宋_GB2312" w:eastAsia="仿宋_GB2312" w:cs="仿宋_GB2312"/>
          <w:b/>
          <w:bCs/>
          <w:lang w:eastAsia="zh-CN"/>
        </w:rPr>
        <w:t>）</w:t>
      </w:r>
      <w:r>
        <w:rPr>
          <w:rFonts w:hint="eastAsia" w:ascii="仿宋_GB2312" w:hAnsi="仿宋_GB2312" w:eastAsia="仿宋_GB2312" w:cs="仿宋_GB2312"/>
          <w:b/>
          <w:bCs/>
          <w:kern w:val="32"/>
          <w:szCs w:val="32"/>
        </w:rPr>
        <w:t>马高庄乡</w:t>
      </w:r>
    </w:p>
    <w:p>
      <w:pPr>
        <w:widowControl/>
        <w:ind w:firstLine="640"/>
        <w:jc w:val="left"/>
        <w:rPr>
          <w:rFonts w:hint="eastAsia" w:ascii="仿宋_GB2312" w:hAnsi="仿宋_GB2312" w:eastAsia="仿宋_GB2312" w:cs="仿宋_GB2312"/>
          <w:kern w:val="32"/>
          <w:szCs w:val="32"/>
        </w:rPr>
      </w:pPr>
      <w:r>
        <w:rPr>
          <w:rFonts w:hint="eastAsia" w:ascii="仿宋_GB2312" w:hAnsi="仿宋_GB2312" w:eastAsia="仿宋_GB2312" w:cs="仿宋_GB2312"/>
          <w:kern w:val="32"/>
          <w:szCs w:val="32"/>
        </w:rPr>
        <w:t>马高庄乡乡域总面积470.3平方公里，辖7个行政村，总人口3328户11594人（其中：常住人口1619户6105人），2021年，预计实现农村居民人均可支配收入11720元，同比增加12.7%。</w:t>
      </w:r>
      <w:r>
        <w:rPr>
          <w:rFonts w:hint="eastAsia" w:ascii="仿宋_GB2312" w:hAnsi="仿宋_GB2312" w:eastAsia="仿宋_GB2312" w:cs="仿宋_GB2312"/>
          <w:kern w:val="0"/>
          <w:szCs w:val="32"/>
        </w:rPr>
        <w:t>现状产业以</w:t>
      </w:r>
      <w:r>
        <w:rPr>
          <w:rFonts w:hint="eastAsia" w:ascii="仿宋_GB2312" w:hAnsi="仿宋_GB2312" w:eastAsia="仿宋_GB2312" w:cs="仿宋_GB2312"/>
          <w:kern w:val="32"/>
          <w:szCs w:val="32"/>
        </w:rPr>
        <w:t>张杂谷、起垄马铃薯、葵花、青贮玉米等特色产业种植为主。</w:t>
      </w:r>
    </w:p>
    <w:p>
      <w:pPr>
        <w:ind w:firstLine="640"/>
        <w:rPr>
          <w:rFonts w:hint="eastAsia" w:ascii="仿宋_GB2312" w:hAnsi="仿宋_GB2312" w:eastAsia="仿宋_GB2312" w:cs="仿宋_GB2312"/>
        </w:rPr>
      </w:pPr>
      <w:r>
        <w:rPr>
          <w:rFonts w:hint="eastAsia" w:ascii="仿宋_GB2312" w:hAnsi="仿宋_GB2312" w:eastAsia="仿宋_GB2312" w:cs="仿宋_GB2312"/>
          <w:kern w:val="32"/>
          <w:szCs w:val="32"/>
        </w:rPr>
        <w:t>马高庄乡由于人口数量少，现状整体商业水平不高，商业设施严重缺失，商业主要以农村便利店为主，</w:t>
      </w:r>
      <w:r>
        <w:rPr>
          <w:rFonts w:hint="eastAsia" w:ascii="仿宋_GB2312" w:hAnsi="仿宋_GB2312" w:eastAsia="仿宋_GB2312" w:cs="仿宋_GB2312"/>
        </w:rPr>
        <w:t>乡上居民生活需求需借助附近其他乡镇商业。</w:t>
      </w:r>
    </w:p>
    <w:p>
      <w:pPr>
        <w:widowControl/>
        <w:jc w:val="left"/>
        <w:rPr>
          <w:rFonts w:hint="eastAsia" w:ascii="仿宋_GB2312" w:hAnsi="仿宋_GB2312" w:eastAsia="仿宋_GB2312" w:cs="仿宋_GB2312"/>
          <w:b/>
          <w:bCs/>
          <w:szCs w:val="32"/>
        </w:rPr>
      </w:pPr>
      <w:r>
        <w:rPr>
          <w:rFonts w:hint="eastAsia" w:ascii="仿宋_GB2312" w:hAnsi="仿宋_GB2312" w:eastAsia="仿宋_GB2312" w:cs="仿宋_GB2312"/>
          <w:b/>
          <w:bCs/>
          <w:szCs w:val="32"/>
          <w:lang w:eastAsia="zh-CN"/>
        </w:rPr>
        <w:t>（</w:t>
      </w:r>
      <w:r>
        <w:rPr>
          <w:rFonts w:hint="eastAsia" w:ascii="仿宋_GB2312" w:hAnsi="仿宋_GB2312" w:eastAsia="仿宋_GB2312" w:cs="仿宋_GB2312"/>
          <w:b/>
          <w:bCs/>
          <w:szCs w:val="32"/>
          <w:lang w:val="en-US" w:eastAsia="zh-CN"/>
        </w:rPr>
        <w:t>11</w:t>
      </w:r>
      <w:r>
        <w:rPr>
          <w:rFonts w:hint="eastAsia" w:ascii="仿宋_GB2312" w:hAnsi="仿宋_GB2312" w:eastAsia="仿宋_GB2312" w:cs="仿宋_GB2312"/>
          <w:b/>
          <w:bCs/>
          <w:szCs w:val="32"/>
          <w:lang w:eastAsia="zh-CN"/>
        </w:rPr>
        <w:t>）</w:t>
      </w:r>
      <w:r>
        <w:rPr>
          <w:rFonts w:hint="eastAsia" w:ascii="仿宋_GB2312" w:hAnsi="仿宋_GB2312" w:eastAsia="仿宋_GB2312" w:cs="仿宋_GB2312"/>
          <w:b/>
          <w:bCs/>
          <w:szCs w:val="32"/>
          <w:lang w:val="en"/>
        </w:rPr>
        <w:t>张家塬乡</w:t>
      </w:r>
    </w:p>
    <w:p>
      <w:pPr>
        <w:widowControl/>
        <w:ind w:firstLine="640"/>
        <w:jc w:val="left"/>
        <w:rPr>
          <w:rFonts w:hint="eastAsia" w:ascii="仿宋_GB2312" w:hAnsi="仿宋_GB2312" w:eastAsia="仿宋_GB2312" w:cs="仿宋_GB2312"/>
          <w:kern w:val="32"/>
          <w:szCs w:val="32"/>
        </w:rPr>
      </w:pPr>
      <w:r>
        <w:rPr>
          <w:rFonts w:hint="eastAsia" w:ascii="仿宋_GB2312" w:hAnsi="仿宋_GB2312" w:eastAsia="仿宋_GB2312" w:cs="仿宋_GB2312"/>
          <w:szCs w:val="32"/>
          <w:lang w:val="en"/>
        </w:rPr>
        <w:t>张家塬乡总面积481.5平方公里，</w:t>
      </w:r>
      <w:r>
        <w:rPr>
          <w:rFonts w:hint="eastAsia" w:ascii="仿宋_GB2312" w:hAnsi="仿宋_GB2312" w:eastAsia="仿宋_GB2312" w:cs="仿宋_GB2312"/>
          <w:szCs w:val="32"/>
        </w:rPr>
        <w:t>辖</w:t>
      </w:r>
      <w:r>
        <w:rPr>
          <w:rFonts w:hint="eastAsia" w:ascii="仿宋_GB2312" w:hAnsi="仿宋_GB2312" w:eastAsia="仿宋_GB2312" w:cs="仿宋_GB2312"/>
          <w:szCs w:val="32"/>
          <w:lang w:val="en"/>
        </w:rPr>
        <w:t>6个行政村，总人口2985户9307人，其中常住732户2284人。2021年预计全乡农民人均可支配收入达到11550元、增长10%。</w:t>
      </w:r>
      <w:r>
        <w:rPr>
          <w:rFonts w:hint="eastAsia" w:ascii="仿宋_GB2312" w:hAnsi="仿宋_GB2312" w:eastAsia="仿宋_GB2312" w:cs="仿宋_GB2312"/>
          <w:kern w:val="0"/>
          <w:szCs w:val="32"/>
        </w:rPr>
        <w:t>现状产业以</w:t>
      </w:r>
      <w:r>
        <w:rPr>
          <w:rFonts w:hint="eastAsia" w:ascii="仿宋_GB2312" w:hAnsi="仿宋_GB2312" w:eastAsia="仿宋_GB2312" w:cs="仿宋_GB2312"/>
          <w:szCs w:val="32"/>
          <w:lang w:val="en"/>
        </w:rPr>
        <w:t>养殖、</w:t>
      </w:r>
      <w:r>
        <w:rPr>
          <w:rFonts w:hint="eastAsia" w:ascii="仿宋_GB2312" w:hAnsi="仿宋_GB2312" w:cs="仿宋_GB2312"/>
          <w:szCs w:val="32"/>
          <w:lang w:val="en" w:eastAsia="zh-CN"/>
        </w:rPr>
        <w:t>草畜</w:t>
      </w:r>
      <w:r>
        <w:rPr>
          <w:rFonts w:hint="eastAsia" w:ascii="仿宋_GB2312" w:hAnsi="仿宋_GB2312" w:eastAsia="仿宋_GB2312" w:cs="仿宋_GB2312"/>
          <w:szCs w:val="32"/>
          <w:lang w:val="en"/>
        </w:rPr>
        <w:t>和旱作保墒农业为主。</w:t>
      </w:r>
    </w:p>
    <w:p>
      <w:pPr>
        <w:ind w:firstLine="640"/>
        <w:rPr>
          <w:rFonts w:hint="eastAsia" w:ascii="仿宋_GB2312" w:hAnsi="仿宋_GB2312" w:eastAsia="仿宋_GB2312" w:cs="仿宋_GB2312"/>
        </w:rPr>
      </w:pPr>
      <w:r>
        <w:rPr>
          <w:rFonts w:hint="eastAsia" w:ascii="仿宋_GB2312" w:hAnsi="仿宋_GB2312" w:eastAsia="仿宋_GB2312" w:cs="仿宋_GB2312"/>
          <w:szCs w:val="32"/>
          <w:lang w:val="en"/>
        </w:rPr>
        <w:t>张家塬乡</w:t>
      </w:r>
      <w:r>
        <w:rPr>
          <w:rFonts w:hint="eastAsia" w:ascii="仿宋_GB2312" w:hAnsi="仿宋_GB2312" w:eastAsia="仿宋_GB2312" w:cs="仿宋_GB2312"/>
          <w:kern w:val="32"/>
          <w:szCs w:val="32"/>
        </w:rPr>
        <w:t>由于人口搬迁，人口数量少，导致商业设施严重缺失，</w:t>
      </w:r>
      <w:r>
        <w:rPr>
          <w:rFonts w:hint="eastAsia" w:ascii="仿宋_GB2312" w:hAnsi="仿宋_GB2312" w:eastAsia="仿宋_GB2312" w:cs="仿宋_GB2312"/>
        </w:rPr>
        <w:t>乡上居民生活需求主要依靠附近其他乡镇商业设施。</w:t>
      </w:r>
    </w:p>
    <w:p>
      <w:pPr>
        <w:ind w:firstLine="0" w:firstLineChars="0"/>
        <w:jc w:val="center"/>
        <w:rPr>
          <w:rFonts w:hint="default" w:ascii="黑体" w:hAnsi="黑体" w:eastAsia="黑体" w:cs="黑体"/>
          <w:sz w:val="24"/>
          <w:szCs w:val="24"/>
          <w:lang w:val="en-US" w:eastAsia="zh-CN"/>
        </w:rPr>
      </w:pPr>
      <w:r>
        <w:rPr>
          <w:rFonts w:hint="eastAsia" w:ascii="黑体" w:hAnsi="黑体" w:eastAsia="黑体" w:cs="黑体"/>
          <w:sz w:val="24"/>
          <w:szCs w:val="24"/>
          <w:lang w:eastAsia="zh-CN"/>
        </w:rPr>
        <w:drawing>
          <wp:anchor distT="0" distB="0" distL="114300" distR="114300" simplePos="0" relativeHeight="251667456" behindDoc="0" locked="0" layoutInCell="1" allowOverlap="1">
            <wp:simplePos x="0" y="0"/>
            <wp:positionH relativeFrom="column">
              <wp:posOffset>6350</wp:posOffset>
            </wp:positionH>
            <wp:positionV relativeFrom="paragraph">
              <wp:posOffset>101600</wp:posOffset>
            </wp:positionV>
            <wp:extent cx="5564505" cy="3870960"/>
            <wp:effectExtent l="0" t="0" r="10795" b="2540"/>
            <wp:wrapTopAndBottom/>
            <wp:docPr id="5" name="图片 5" descr="8499ec7332c45fe395b0059013b29a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8499ec7332c45fe395b0059013b29a2"/>
                    <pic:cNvPicPr>
                      <a:picLocks noChangeAspect="1"/>
                    </pic:cNvPicPr>
                  </pic:nvPicPr>
                  <pic:blipFill>
                    <a:blip r:embed="rId20"/>
                    <a:stretch>
                      <a:fillRect/>
                    </a:stretch>
                  </pic:blipFill>
                  <pic:spPr>
                    <a:xfrm>
                      <a:off x="0" y="0"/>
                      <a:ext cx="5564505" cy="3870960"/>
                    </a:xfrm>
                    <a:prstGeom prst="rect">
                      <a:avLst/>
                    </a:prstGeom>
                  </pic:spPr>
                </pic:pic>
              </a:graphicData>
            </a:graphic>
          </wp:anchor>
        </w:drawing>
      </w:r>
      <w:r>
        <w:rPr>
          <w:rFonts w:hint="eastAsia" w:ascii="黑体" w:hAnsi="黑体" w:eastAsia="黑体" w:cs="黑体"/>
          <w:sz w:val="24"/>
          <w:szCs w:val="24"/>
          <w:lang w:val="en-US" w:eastAsia="zh-CN"/>
        </w:rPr>
        <w:t>图6 同心县商品市场、物流节点、乡镇商业中心现状布局图</w:t>
      </w:r>
    </w:p>
    <w:p>
      <w:pPr>
        <w:ind w:firstLine="560"/>
        <w:jc w:val="center"/>
        <w:rPr>
          <w:rFonts w:hint="eastAsia" w:ascii="黑体" w:hAnsi="黑体" w:eastAsia="黑体" w:cs="黑体"/>
          <w:sz w:val="24"/>
          <w:szCs w:val="24"/>
        </w:rPr>
      </w:pPr>
      <w:r>
        <w:rPr>
          <w:rFonts w:hint="eastAsia" w:ascii="黑体" w:hAnsi="黑体" w:eastAsia="黑体" w:cs="黑体"/>
          <w:sz w:val="24"/>
          <w:szCs w:val="24"/>
        </w:rPr>
        <w:t xml:space="preserve">表4 乡镇商业中心一览表 </w:t>
      </w:r>
    </w:p>
    <w:tbl>
      <w:tblPr>
        <w:tblStyle w:val="27"/>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1"/>
        <w:gridCol w:w="2182"/>
        <w:gridCol w:w="3614"/>
        <w:gridCol w:w="2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序号</w:t>
            </w:r>
          </w:p>
        </w:tc>
        <w:tc>
          <w:tcPr>
            <w:tcW w:w="1212"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名称</w:t>
            </w:r>
          </w:p>
        </w:tc>
        <w:tc>
          <w:tcPr>
            <w:tcW w:w="2007"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位置</w:t>
            </w:r>
          </w:p>
        </w:tc>
        <w:tc>
          <w:tcPr>
            <w:tcW w:w="1295"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主要业态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豫海镇商业中心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以豫海街为商业发展主轴、以长征路为商业发展副轴，东至团结路，西至解放街，南起银平街，北到利民街的县域核心商业中心。</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超市、理发、粮油、家电等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韦州镇商业中心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以韦州镇人民政府所在区域为原点，政府路为横轴，以202省道和惠灵路为纵轴，由其所围合区域构成韦州镇商业区。</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餐饮、服装、超市、汽修、住宿、药店等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3</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河西镇商业中心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以河西镇农贸市场和河西镇人民政府为核心，沿344国道及河西镇人民政府所在乡道两侧商业网点区域为片区构成河西镇中心商业区。</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超市、粮油、百货等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4</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下马关镇商业中心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以下马关市场为交织点，以203省道为直线，以下三线街道为射线，由街道两侧商业形成下马关镇丁字商业区。</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超市、餐饮、汽修、轮胎等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5</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预旺镇商业中心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围绕预旺钟鼓楼周边318县道及无名乡道两侧沿街商业形成了预旺镇商业区。</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餐饮住宿、超市、服装、建材、汽修等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6</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王团镇商业中心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银平街、富强路、兴旺路所围合区域</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ascii="宋体" w:hAnsi="宋体" w:eastAsia="宋体" w:cs="宋体"/>
                <w:sz w:val="21"/>
                <w:szCs w:val="21"/>
              </w:rPr>
              <w:t>餐馆、理发、修理、五金、药房、粮油</w:t>
            </w:r>
            <w:r>
              <w:rPr>
                <w:rFonts w:hint="eastAsia" w:ascii="宋体" w:hAnsi="宋体" w:eastAsia="宋体" w:cs="宋体"/>
                <w:sz w:val="21"/>
                <w:szCs w:val="21"/>
              </w:rPr>
              <w:t>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7</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丁塘镇商业中心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位于同心县北部5公里处，分布于344国道两侧</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ascii="宋体" w:hAnsi="宋体" w:eastAsia="宋体" w:cs="宋体"/>
                <w:sz w:val="21"/>
                <w:szCs w:val="21"/>
              </w:rPr>
              <w:t>果蔬、五金、牛羊肉批发、餐饮</w:t>
            </w:r>
            <w:r>
              <w:rPr>
                <w:rFonts w:hint="eastAsia" w:ascii="宋体" w:hAnsi="宋体" w:eastAsia="宋体" w:cs="宋体"/>
                <w:sz w:val="21"/>
                <w:szCs w:val="21"/>
              </w:rPr>
              <w:t>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8</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田老庄乡商业中心</w:t>
            </w:r>
          </w:p>
        </w:tc>
        <w:tc>
          <w:tcPr>
            <w:tcW w:w="2007" w:type="pct"/>
            <w:shd w:val="clear" w:color="auto" w:fill="auto"/>
            <w:vAlign w:val="center"/>
          </w:tcPr>
          <w:p>
            <w:pPr>
              <w:snapToGri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乡政府所在街道两侧</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农村便利店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9</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马高庄乡商业中心</w:t>
            </w:r>
          </w:p>
        </w:tc>
        <w:tc>
          <w:tcPr>
            <w:tcW w:w="2007" w:type="pct"/>
            <w:shd w:val="clear" w:color="auto" w:fill="auto"/>
            <w:vAlign w:val="center"/>
          </w:tcPr>
          <w:p>
            <w:pPr>
              <w:snapToGri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赵家树村周边</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农村便利店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10</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张家塬乡商业中心</w:t>
            </w:r>
          </w:p>
        </w:tc>
        <w:tc>
          <w:tcPr>
            <w:tcW w:w="2007" w:type="pct"/>
            <w:shd w:val="clear" w:color="auto" w:fill="auto"/>
            <w:vAlign w:val="center"/>
          </w:tcPr>
          <w:p>
            <w:pPr>
              <w:snapToGrid w:val="0"/>
              <w:spacing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乡政府所在街道两侧</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农村便利店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84"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11</w:t>
            </w:r>
          </w:p>
        </w:tc>
        <w:tc>
          <w:tcPr>
            <w:tcW w:w="1212"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兴隆乡商业中心</w:t>
            </w:r>
          </w:p>
        </w:tc>
        <w:tc>
          <w:tcPr>
            <w:tcW w:w="2007"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兴隆乡商业区位于同心县西南部，紧邻同心县新城区，于同海线和201乡道交叉口为中心，呈十字分布。</w:t>
            </w:r>
          </w:p>
        </w:tc>
        <w:tc>
          <w:tcPr>
            <w:tcW w:w="129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超市、电器、餐饮等</w:t>
            </w:r>
          </w:p>
        </w:tc>
      </w:tr>
    </w:tbl>
    <w:p>
      <w:pPr>
        <w:pStyle w:val="2"/>
        <w:spacing w:before="156" w:after="156"/>
        <w:ind w:firstLine="643"/>
      </w:pPr>
      <w:bookmarkStart w:id="20" w:name="_Toc6201"/>
      <w:bookmarkStart w:id="21" w:name="_Toc12540"/>
      <w:bookmarkStart w:id="22" w:name="_Toc14702"/>
      <w:bookmarkStart w:id="23" w:name="_Toc95764810"/>
      <w:r>
        <w:rPr>
          <w:rFonts w:hint="eastAsia"/>
          <w:lang w:eastAsia="zh-CN"/>
        </w:rPr>
        <w:t>（</w:t>
      </w:r>
      <w:r>
        <w:rPr>
          <w:rFonts w:hint="eastAsia"/>
          <w:lang w:val="en-US" w:eastAsia="zh-CN"/>
        </w:rPr>
        <w:t>三</w:t>
      </w:r>
      <w:r>
        <w:rPr>
          <w:rFonts w:hint="eastAsia"/>
          <w:lang w:eastAsia="zh-CN"/>
        </w:rPr>
        <w:t>）</w:t>
      </w:r>
      <w:r>
        <w:rPr>
          <w:rFonts w:hint="eastAsia"/>
        </w:rPr>
        <w:t>主要问题</w:t>
      </w:r>
      <w:bookmarkEnd w:id="20"/>
      <w:bookmarkEnd w:id="21"/>
      <w:bookmarkEnd w:id="22"/>
      <w:bookmarkEnd w:id="23"/>
    </w:p>
    <w:p>
      <w:pPr>
        <w:ind w:firstLine="640"/>
        <w:rPr>
          <w:rFonts w:hint="eastAsia" w:ascii="仿宋_GB2312" w:hAnsi="仿宋_GB2312" w:eastAsia="仿宋_GB2312" w:cs="仿宋_GB2312"/>
        </w:rPr>
      </w:pPr>
      <w:r>
        <w:rPr>
          <w:rFonts w:hint="eastAsia" w:ascii="仿宋_GB2312" w:hAnsi="仿宋_GB2312" w:eastAsia="仿宋_GB2312" w:cs="仿宋_GB2312"/>
        </w:rPr>
        <w:t>1.网点布局缺乏科学统筹规划。随着城市规模的不断扩张和消费水平的不断提升，</w:t>
      </w:r>
      <w:r>
        <w:rPr>
          <w:rFonts w:hint="eastAsia" w:ascii="仿宋_GB2312" w:hAnsi="仿宋_GB2312" w:cs="仿宋_GB2312"/>
          <w:lang w:val="en-US" w:eastAsia="zh-CN"/>
        </w:rPr>
        <w:t>我县</w:t>
      </w:r>
      <w:r>
        <w:rPr>
          <w:rFonts w:hint="eastAsia" w:ascii="仿宋_GB2312" w:hAnsi="仿宋_GB2312" w:eastAsia="仿宋_GB2312" w:cs="仿宋_GB2312"/>
        </w:rPr>
        <w:t>传统商业布局已不能满足城乡居民消费需求和县域经济发展</w:t>
      </w:r>
      <w:r>
        <w:rPr>
          <w:rFonts w:hint="eastAsia" w:ascii="仿宋_GB2312" w:hAnsi="仿宋_GB2312" w:cs="仿宋_GB2312"/>
          <w:lang w:eastAsia="zh-CN"/>
        </w:rPr>
        <w:t>。</w:t>
      </w:r>
      <w:r>
        <w:rPr>
          <w:rFonts w:hint="eastAsia" w:ascii="仿宋_GB2312" w:hAnsi="仿宋_GB2312" w:eastAsia="仿宋_GB2312" w:cs="仿宋_GB2312"/>
        </w:rPr>
        <w:t>生海商场、奇虎商场、荣世商业广场、盛世开元购物广场、</w:t>
      </w:r>
      <w:r>
        <w:rPr>
          <w:rFonts w:hint="eastAsia" w:ascii="仿宋_GB2312" w:hAnsi="仿宋_GB2312" w:eastAsia="仿宋_GB2312" w:cs="仿宋_GB2312"/>
          <w:color w:val="000000"/>
        </w:rPr>
        <w:t>县城广场周边</w:t>
      </w:r>
      <w:r>
        <w:rPr>
          <w:rFonts w:hint="eastAsia" w:ascii="仿宋_GB2312" w:hAnsi="仿宋_GB2312" w:eastAsia="仿宋_GB2312" w:cs="仿宋_GB2312"/>
        </w:rPr>
        <w:t>等百货店普遍经营业态为服装百货和餐饮等，业态单一，且多为个体经营，缺少综合型、体验式的商业综合体和多样化的商业业态。企业盲目投资、碎片化投资，部分街区业态同质化、雷同化</w:t>
      </w:r>
      <w:r>
        <w:rPr>
          <w:rFonts w:hint="eastAsia" w:ascii="仿宋_GB2312" w:hAnsi="仿宋_GB2312" w:cs="仿宋_GB2312"/>
          <w:lang w:val="en-US" w:eastAsia="zh-CN"/>
        </w:rPr>
        <w:t>问题突出。</w:t>
      </w:r>
      <w:r>
        <w:rPr>
          <w:rFonts w:hint="eastAsia" w:ascii="仿宋_GB2312" w:hAnsi="仿宋_GB2312" w:eastAsia="仿宋_GB2312" w:cs="仿宋_GB2312"/>
        </w:rPr>
        <w:t>商业设施布局不均衡，老城区商业业态基本处于饱和状态，但新区和部分乡镇商业设施不足，乡镇商贸中心、专卖店等业态形式发展不完善。</w:t>
      </w:r>
    </w:p>
    <w:p>
      <w:pPr>
        <w:ind w:firstLine="640"/>
        <w:rPr>
          <w:rFonts w:hint="eastAsia" w:ascii="仿宋_GB2312" w:hAnsi="仿宋_GB2312" w:eastAsia="仿宋_GB2312" w:cs="仿宋_GB2312"/>
          <w:lang w:val="en-US" w:eastAsia="zh-CN"/>
        </w:rPr>
      </w:pPr>
      <w:r>
        <w:rPr>
          <w:rFonts w:hint="eastAsia" w:ascii="仿宋_GB2312" w:hAnsi="仿宋_GB2312" w:eastAsia="仿宋_GB2312" w:cs="仿宋_GB2312"/>
        </w:rPr>
        <w:t>2.基础设施和消费网络体系尚不完善。目前</w:t>
      </w:r>
      <w:r>
        <w:rPr>
          <w:rFonts w:hint="eastAsia" w:ascii="仿宋_GB2312" w:hAnsi="仿宋_GB2312" w:cs="仿宋_GB2312"/>
          <w:lang w:val="en-US" w:eastAsia="zh-CN"/>
        </w:rPr>
        <w:t>老城区</w:t>
      </w:r>
      <w:r>
        <w:rPr>
          <w:rFonts w:hint="eastAsia" w:ascii="仿宋_GB2312" w:hAnsi="仿宋_GB2312" w:eastAsia="仿宋_GB2312" w:cs="仿宋_GB2312"/>
        </w:rPr>
        <w:t>基础设施和公共服务相对滞后，商业设施</w:t>
      </w:r>
      <w:r>
        <w:rPr>
          <w:rFonts w:hint="eastAsia" w:ascii="仿宋_GB2312" w:hAnsi="仿宋_GB2312" w:cs="仿宋_GB2312"/>
          <w:lang w:val="en-US" w:eastAsia="zh-CN"/>
        </w:rPr>
        <w:t>设备水平落后</w:t>
      </w:r>
      <w:r>
        <w:rPr>
          <w:rFonts w:hint="eastAsia" w:ascii="仿宋_GB2312" w:hAnsi="仿宋_GB2312" w:eastAsia="仿宋_GB2312" w:cs="仿宋_GB2312"/>
        </w:rPr>
        <w:t>、消费场景单调、消费网络体系不通畅，难以有效支撑居民消费提质升级。豫海街作为县域商业发展的主轴，辐射全县及中宁喊叫水乡、同心李旺镇等毗邻县的消费群体，人流量较大，但由于交通条件限制，停车设施严重不足，且人行通道不畅，影响消费者消费可通达性和体验感。清水湾农贸市场作为全县最大的农产品交易市场，因县城道路建设，无法形成封闭市场，对市场可持续发展造成较大的影响。下马关镇农贸市场</w:t>
      </w:r>
      <w:r>
        <w:rPr>
          <w:rFonts w:hint="eastAsia" w:ascii="仿宋_GB2312" w:hAnsi="仿宋_GB2312" w:cs="仿宋_GB2312"/>
          <w:lang w:eastAsia="zh-CN"/>
        </w:rPr>
        <w:t>、</w:t>
      </w:r>
      <w:r>
        <w:rPr>
          <w:rFonts w:hint="eastAsia" w:ascii="仿宋_GB2312" w:hAnsi="仿宋_GB2312" w:cs="仿宋_GB2312"/>
          <w:lang w:val="en-US" w:eastAsia="zh-CN"/>
        </w:rPr>
        <w:t>王团镇农贸市场等</w:t>
      </w:r>
      <w:r>
        <w:rPr>
          <w:rFonts w:hint="eastAsia" w:ascii="仿宋_GB2312" w:hAnsi="仿宋_GB2312" w:eastAsia="仿宋_GB2312" w:cs="仿宋_GB2312"/>
        </w:rPr>
        <w:t>设施简陋，</w:t>
      </w:r>
      <w:r>
        <w:rPr>
          <w:rFonts w:hint="eastAsia" w:ascii="仿宋_GB2312" w:hAnsi="仿宋_GB2312" w:cs="仿宋_GB2312"/>
          <w:lang w:val="en-US" w:eastAsia="zh-CN"/>
        </w:rPr>
        <w:t>无序</w:t>
      </w:r>
      <w:r>
        <w:rPr>
          <w:rFonts w:hint="eastAsia" w:ascii="仿宋_GB2312" w:hAnsi="仿宋_GB2312" w:cs="仿宋_GB2312"/>
        </w:rPr>
        <w:t>经营较为普遍，</w:t>
      </w:r>
      <w:r>
        <w:rPr>
          <w:rFonts w:hint="eastAsia" w:ascii="仿宋_GB2312" w:hAnsi="仿宋_GB2312" w:cs="仿宋_GB2312"/>
          <w:lang w:val="en-US" w:eastAsia="zh-CN"/>
        </w:rPr>
        <w:t>卫生</w:t>
      </w:r>
      <w:r>
        <w:rPr>
          <w:rFonts w:hint="eastAsia" w:ascii="仿宋_GB2312" w:hAnsi="仿宋_GB2312" w:cs="仿宋_GB2312"/>
        </w:rPr>
        <w:t>脏、乱、差问题突出</w:t>
      </w:r>
      <w:r>
        <w:rPr>
          <w:rFonts w:hint="eastAsia" w:ascii="仿宋_GB2312" w:hAnsi="仿宋_GB2312" w:cs="仿宋_GB2312"/>
          <w:lang w:eastAsia="zh-CN"/>
        </w:rPr>
        <w:t>。</w:t>
      </w:r>
    </w:p>
    <w:p>
      <w:pPr>
        <w:ind w:firstLine="640"/>
        <w:rPr>
          <w:rFonts w:hint="eastAsia" w:ascii="仿宋_GB2312" w:hAnsi="仿宋_GB2312" w:eastAsia="仿宋_GB2312" w:cs="仿宋_GB2312"/>
        </w:rPr>
      </w:pPr>
      <w:r>
        <w:rPr>
          <w:rFonts w:hint="eastAsia" w:ascii="仿宋_GB2312" w:hAnsi="仿宋_GB2312" w:eastAsia="仿宋_GB2312" w:cs="仿宋_GB2312"/>
        </w:rPr>
        <w:t>3.农村商品和服务的市场供需匹配不足。乡镇市场优质产品少、优良服务</w:t>
      </w:r>
      <w:r>
        <w:rPr>
          <w:rFonts w:hint="eastAsia" w:ascii="仿宋_GB2312" w:hAnsi="仿宋_GB2312" w:cs="仿宋_GB2312"/>
          <w:lang w:eastAsia="zh-CN"/>
        </w:rPr>
        <w:t>缺乏</w:t>
      </w:r>
      <w:r>
        <w:rPr>
          <w:rFonts w:hint="eastAsia" w:ascii="仿宋_GB2312" w:hAnsi="仿宋_GB2312" w:eastAsia="仿宋_GB2312" w:cs="仿宋_GB2312"/>
        </w:rPr>
        <w:t>等结构性矛盾凸显，特别是生活性服务供给不足、严重制约了居民扩大消费规模和提升消费体验。</w:t>
      </w:r>
      <w:r>
        <w:rPr>
          <w:rFonts w:hint="eastAsia" w:ascii="仿宋_GB2312" w:hAnsi="仿宋_GB2312" w:cs="仿宋_GB2312"/>
          <w:lang w:val="en-US" w:eastAsia="zh-CN"/>
        </w:rPr>
        <w:t>田老庄乡、马高庄乡等</w:t>
      </w:r>
      <w:r>
        <w:rPr>
          <w:rFonts w:hint="eastAsia" w:ascii="仿宋_GB2312" w:hAnsi="仿宋_GB2312" w:eastAsia="仿宋_GB2312" w:cs="仿宋_GB2312"/>
        </w:rPr>
        <w:t>部分乡镇和村级零售店铺，还停留在“卷帘门”水平，商住混合，多数结构简陋，功能不齐，配套不全，难以形成规模效应与集聚优势结构。</w:t>
      </w:r>
      <w:r>
        <w:rPr>
          <w:rFonts w:hint="eastAsia" w:ascii="仿宋_GB2312" w:hAnsi="仿宋_GB2312" w:cs="仿宋_GB2312"/>
          <w:lang w:val="en-US" w:eastAsia="zh-CN"/>
        </w:rPr>
        <w:t>大部分农村便利店</w:t>
      </w:r>
      <w:r>
        <w:rPr>
          <w:rFonts w:hint="eastAsia" w:ascii="仿宋_GB2312" w:hAnsi="仿宋_GB2312" w:eastAsia="仿宋_GB2312" w:cs="仿宋_GB2312"/>
        </w:rPr>
        <w:t>商品摆放凌乱、没有明码标价，且部分商品没有严格的生产日期、保质期等标识，尤其偏远村级商店仍存在有假冒伪劣产品。</w:t>
      </w:r>
    </w:p>
    <w:p>
      <w:pPr>
        <w:ind w:firstLine="640"/>
        <w:rPr>
          <w:rFonts w:hint="eastAsia" w:ascii="仿宋_GB2312" w:hAnsi="仿宋_GB2312" w:eastAsia="仿宋_GB2312" w:cs="仿宋_GB2312"/>
        </w:rPr>
      </w:pPr>
      <w:r>
        <w:rPr>
          <w:rFonts w:hint="eastAsia" w:ascii="仿宋_GB2312" w:hAnsi="仿宋_GB2312" w:eastAsia="仿宋_GB2312" w:cs="仿宋_GB2312"/>
        </w:rPr>
        <w:t>4.政策关注和支持力度不够。长期以来，县域经济都是处于“补课”阶段，发展的重点在补齐人居环境、公共服务、市政设施、产业配套等领域的短板弱项，对商业设施和消费网络体系的建设关注不够，配套支持政策也不多。在各乡镇政府工作报告中多数集中在产业发展、乡村文化建设等，但对于商业设施建设很少涉及。</w:t>
      </w:r>
    </w:p>
    <w:p>
      <w:pPr>
        <w:pStyle w:val="3"/>
        <w:spacing w:before="156" w:after="156"/>
        <w:jc w:val="both"/>
      </w:pPr>
      <w:bookmarkStart w:id="24" w:name="_Toc16185"/>
      <w:bookmarkStart w:id="25" w:name="_Toc729"/>
      <w:bookmarkStart w:id="26" w:name="_Toc22477"/>
      <w:bookmarkStart w:id="27" w:name="_Toc95764811"/>
      <w:r>
        <w:rPr>
          <w:rFonts w:hint="eastAsia"/>
          <w:lang w:val="en-US" w:eastAsia="zh-CN"/>
        </w:rPr>
        <w:t>二、</w:t>
      </w:r>
      <w:r>
        <w:rPr>
          <w:rFonts w:hint="eastAsia"/>
        </w:rPr>
        <w:t>总体要求</w:t>
      </w:r>
      <w:bookmarkEnd w:id="24"/>
      <w:bookmarkEnd w:id="25"/>
      <w:bookmarkEnd w:id="26"/>
      <w:bookmarkEnd w:id="27"/>
    </w:p>
    <w:p>
      <w:pPr>
        <w:pStyle w:val="2"/>
        <w:numPr>
          <w:ilvl w:val="0"/>
          <w:numId w:val="2"/>
        </w:numPr>
        <w:spacing w:before="156" w:after="156"/>
        <w:ind w:firstLine="643"/>
      </w:pPr>
      <w:bookmarkStart w:id="28" w:name="_Toc10950"/>
      <w:bookmarkStart w:id="29" w:name="_Toc95764812"/>
      <w:bookmarkStart w:id="30" w:name="_Toc20353"/>
      <w:bookmarkStart w:id="31" w:name="_Toc25525"/>
      <w:r>
        <w:rPr>
          <w:rFonts w:hint="eastAsia"/>
        </w:rPr>
        <w:t>规划范围</w:t>
      </w:r>
      <w:bookmarkEnd w:id="28"/>
      <w:bookmarkEnd w:id="29"/>
      <w:bookmarkEnd w:id="30"/>
      <w:bookmarkEnd w:id="31"/>
    </w:p>
    <w:p>
      <w:pPr>
        <w:ind w:firstLine="640"/>
        <w:rPr>
          <w:rFonts w:hint="eastAsia" w:ascii="仿宋_GB2312" w:hAnsi="仿宋_GB2312" w:eastAsia="仿宋_GB2312" w:cs="仿宋_GB2312"/>
        </w:rPr>
      </w:pPr>
      <w:r>
        <w:rPr>
          <w:rFonts w:hint="eastAsia" w:ascii="仿宋_GB2312" w:hAnsi="仿宋_GB2312" w:eastAsia="仿宋_GB2312" w:cs="仿宋_GB2312"/>
        </w:rPr>
        <w:t>本次规划范围为同心县全域，涵盖7镇4乡1个开发区，总面积4433.34平方公里。</w:t>
      </w:r>
    </w:p>
    <w:p>
      <w:pPr>
        <w:pStyle w:val="2"/>
        <w:numPr>
          <w:ilvl w:val="0"/>
          <w:numId w:val="2"/>
        </w:numPr>
        <w:spacing w:before="156" w:after="156"/>
        <w:ind w:firstLine="643"/>
      </w:pPr>
      <w:bookmarkStart w:id="32" w:name="_Toc95764813"/>
      <w:bookmarkStart w:id="33" w:name="_Toc32573"/>
      <w:bookmarkStart w:id="34" w:name="_Toc21675"/>
      <w:bookmarkStart w:id="35" w:name="_Toc3930"/>
      <w:r>
        <w:rPr>
          <w:rFonts w:hint="eastAsia"/>
        </w:rPr>
        <w:t>规划对象</w:t>
      </w:r>
      <w:bookmarkEnd w:id="32"/>
      <w:bookmarkEnd w:id="33"/>
      <w:bookmarkEnd w:id="34"/>
      <w:bookmarkEnd w:id="35"/>
    </w:p>
    <w:p>
      <w:pPr>
        <w:ind w:firstLine="640"/>
      </w:pPr>
      <w:r>
        <w:rPr>
          <w:rFonts w:hint="eastAsia"/>
        </w:rPr>
        <w:t>规划对象主要包括零售商业网点、重点大型商品市场。按功能分，规划对象主要包括各级商业中心、特色商业街（区</w:t>
      </w:r>
      <w:r>
        <w:t>）</w:t>
      </w:r>
      <w:r>
        <w:rPr>
          <w:rFonts w:hint="eastAsia"/>
        </w:rPr>
        <w:t>、社区商业、乡镇商业</w:t>
      </w:r>
      <w:r>
        <w:t>、</w:t>
      </w:r>
      <w:r>
        <w:rPr>
          <w:rFonts w:hint="eastAsia"/>
          <w:lang w:val="en-US" w:eastAsia="zh-CN"/>
        </w:rPr>
        <w:t>行政村商业</w:t>
      </w:r>
      <w:r>
        <w:rPr>
          <w:rFonts w:hint="eastAsia" w:ascii="宋体" w:hAnsi="宋体"/>
          <w:color w:val="000000"/>
        </w:rPr>
        <w:t>、</w:t>
      </w:r>
      <w:r>
        <w:rPr>
          <w:rFonts w:hint="eastAsia"/>
        </w:rPr>
        <w:t>各类产业园区配套商业及商业流通基础设施等。</w:t>
      </w:r>
    </w:p>
    <w:p>
      <w:pPr>
        <w:pStyle w:val="2"/>
        <w:numPr>
          <w:ilvl w:val="0"/>
          <w:numId w:val="2"/>
        </w:numPr>
        <w:spacing w:before="156" w:after="156"/>
        <w:ind w:firstLine="643"/>
      </w:pPr>
      <w:bookmarkStart w:id="36" w:name="_Toc27918"/>
      <w:bookmarkStart w:id="37" w:name="_Toc15775"/>
      <w:bookmarkStart w:id="38" w:name="_Toc95764814"/>
      <w:bookmarkStart w:id="39" w:name="_Toc9915"/>
      <w:r>
        <w:rPr>
          <w:rFonts w:hint="eastAsia"/>
        </w:rPr>
        <w:t>规划期限</w:t>
      </w:r>
      <w:bookmarkEnd w:id="36"/>
      <w:bookmarkEnd w:id="37"/>
      <w:bookmarkEnd w:id="38"/>
      <w:bookmarkEnd w:id="39"/>
    </w:p>
    <w:p>
      <w:pPr>
        <w:ind w:firstLine="640"/>
        <w:rPr>
          <w:rFonts w:hint="eastAsia" w:ascii="仿宋_GB2312" w:hAnsi="仿宋_GB2312" w:eastAsia="仿宋_GB2312" w:cs="仿宋_GB2312"/>
        </w:rPr>
      </w:pPr>
      <w:r>
        <w:rPr>
          <w:rFonts w:hint="eastAsia" w:ascii="仿宋_GB2312" w:hAnsi="仿宋_GB2312" w:eastAsia="仿宋_GB2312" w:cs="仿宋_GB2312"/>
        </w:rPr>
        <w:t>本规划的规划期限为2022—2026年。</w:t>
      </w:r>
    </w:p>
    <w:p>
      <w:pPr>
        <w:pStyle w:val="2"/>
        <w:numPr>
          <w:ilvl w:val="0"/>
          <w:numId w:val="2"/>
        </w:numPr>
        <w:spacing w:before="156" w:after="156"/>
        <w:ind w:firstLine="643"/>
      </w:pPr>
      <w:bookmarkStart w:id="40" w:name="_Toc95764815"/>
      <w:bookmarkStart w:id="41" w:name="_Toc28221"/>
      <w:bookmarkStart w:id="42" w:name="_Toc11693"/>
      <w:bookmarkStart w:id="43" w:name="_Toc22720"/>
      <w:r>
        <w:rPr>
          <w:rFonts w:hint="eastAsia"/>
        </w:rPr>
        <w:t>规划依据</w:t>
      </w:r>
      <w:bookmarkEnd w:id="40"/>
      <w:bookmarkEnd w:id="41"/>
      <w:bookmarkEnd w:id="42"/>
      <w:bookmarkEnd w:id="43"/>
    </w:p>
    <w:p>
      <w:pPr>
        <w:ind w:firstLine="640"/>
        <w:rPr>
          <w:rFonts w:hint="eastAsia" w:ascii="仿宋_GB2312" w:hAnsi="仿宋_GB2312" w:eastAsia="仿宋_GB2312" w:cs="仿宋_GB2312"/>
        </w:rPr>
      </w:pPr>
      <w:r>
        <w:rPr>
          <w:rFonts w:hint="eastAsia" w:ascii="仿宋_GB2312" w:hAnsi="仿宋_GB2312" w:eastAsia="仿宋_GB2312" w:cs="仿宋_GB2312"/>
        </w:rPr>
        <w:t>1.《中华人民共和国城乡规划法》（2019年修订版）</w:t>
      </w:r>
    </w:p>
    <w:p>
      <w:pPr>
        <w:ind w:firstLine="640"/>
        <w:rPr>
          <w:rFonts w:hint="eastAsia" w:ascii="仿宋_GB2312" w:hAnsi="仿宋_GB2312" w:eastAsia="仿宋_GB2312" w:cs="仿宋_GB2312"/>
        </w:rPr>
      </w:pPr>
      <w:r>
        <w:rPr>
          <w:rFonts w:hint="eastAsia" w:ascii="仿宋_GB2312" w:hAnsi="仿宋_GB2312" w:eastAsia="仿宋_GB2312" w:cs="仿宋_GB2312"/>
        </w:rPr>
        <w:t>2.《中华人民共和国土地管理法》（2020年修订版）</w:t>
      </w:r>
    </w:p>
    <w:p>
      <w:pPr>
        <w:ind w:firstLine="640"/>
        <w:rPr>
          <w:rFonts w:hint="eastAsia" w:ascii="仿宋_GB2312" w:hAnsi="仿宋_GB2312" w:eastAsia="仿宋_GB2312" w:cs="仿宋_GB2312"/>
        </w:rPr>
      </w:pPr>
      <w:r>
        <w:rPr>
          <w:rFonts w:hint="eastAsia" w:ascii="仿宋_GB2312" w:hAnsi="仿宋_GB2312" w:eastAsia="仿宋_GB2312" w:cs="仿宋_GB2312"/>
        </w:rPr>
        <w:t>3.《城市商业网点规划编制规范》（商建发〔2004〕180号）</w:t>
      </w:r>
    </w:p>
    <w:p>
      <w:pPr>
        <w:ind w:firstLine="640"/>
        <w:rPr>
          <w:rFonts w:hint="eastAsia" w:ascii="仿宋_GB2312" w:hAnsi="仿宋_GB2312" w:eastAsia="仿宋_GB2312" w:cs="仿宋_GB2312"/>
        </w:rPr>
      </w:pPr>
      <w:r>
        <w:rPr>
          <w:rFonts w:hint="eastAsia" w:ascii="仿宋_GB2312" w:hAnsi="仿宋_GB2312" w:eastAsia="仿宋_GB2312" w:cs="仿宋_GB2312"/>
        </w:rPr>
        <w:t>4.《商务部办公厅关于印发&lt;城市商业网点规划资料汇编&gt;的通知》（商建字〔2004〕63号）</w:t>
      </w:r>
    </w:p>
    <w:p>
      <w:pPr>
        <w:ind w:firstLine="640"/>
        <w:rPr>
          <w:rFonts w:hint="eastAsia" w:ascii="仿宋_GB2312" w:hAnsi="仿宋_GB2312" w:eastAsia="仿宋_GB2312" w:cs="仿宋_GB2312"/>
        </w:rPr>
      </w:pPr>
      <w:r>
        <w:rPr>
          <w:rFonts w:hint="eastAsia" w:ascii="仿宋_GB2312" w:hAnsi="仿宋_GB2312" w:eastAsia="仿宋_GB2312" w:cs="仿宋_GB2312"/>
        </w:rPr>
        <w:t>5.《商务部办公厅关于做好县级城市商业网点规划工作的通知》（商建字〔2007〕109号）</w:t>
      </w:r>
    </w:p>
    <w:p>
      <w:pPr>
        <w:ind w:firstLine="640"/>
        <w:rPr>
          <w:rFonts w:hint="eastAsia" w:ascii="仿宋_GB2312" w:hAnsi="仿宋_GB2312" w:eastAsia="仿宋_GB2312" w:cs="仿宋_GB2312"/>
        </w:rPr>
      </w:pPr>
      <w:r>
        <w:rPr>
          <w:rFonts w:hint="eastAsia" w:ascii="仿宋_GB2312" w:hAnsi="仿宋_GB2312" w:eastAsia="仿宋_GB2312" w:cs="仿宋_GB2312"/>
        </w:rPr>
        <w:t xml:space="preserve">6.《国务院办公厅关于印发完善促进消费体制机制实施方案（2018-2020年）的通知》（国办发〔2018〕93号） </w:t>
      </w:r>
    </w:p>
    <w:p>
      <w:pPr>
        <w:ind w:firstLine="640"/>
        <w:rPr>
          <w:rFonts w:hint="eastAsia" w:ascii="仿宋_GB2312" w:hAnsi="仿宋_GB2312" w:eastAsia="仿宋_GB2312" w:cs="仿宋_GB2312"/>
        </w:rPr>
      </w:pPr>
      <w:r>
        <w:rPr>
          <w:rFonts w:hint="eastAsia" w:ascii="仿宋_GB2312" w:hAnsi="仿宋_GB2312" w:eastAsia="仿宋_GB2312" w:cs="仿宋_GB2312"/>
        </w:rPr>
        <w:t>7.《国务院办公厅关于加快发展流通促进商业消费的意见》（国办发〔2019〕42号）</w:t>
      </w:r>
    </w:p>
    <w:p>
      <w:pPr>
        <w:ind w:firstLine="640"/>
        <w:rPr>
          <w:rFonts w:hint="eastAsia" w:ascii="仿宋_GB2312" w:hAnsi="仿宋_GB2312" w:eastAsia="仿宋_GB2312" w:cs="仿宋_GB2312"/>
        </w:rPr>
      </w:pPr>
      <w:r>
        <w:rPr>
          <w:rFonts w:hint="eastAsia" w:ascii="仿宋_GB2312" w:hAnsi="仿宋_GB2312" w:eastAsia="仿宋_GB2312" w:cs="仿宋_GB2312"/>
        </w:rPr>
        <w:t>8.《商务部办公厅关于印发&lt;推动步行街改造提升工作方案&gt;的通知》（商流通字〔2019〕8号）</w:t>
      </w:r>
    </w:p>
    <w:p>
      <w:pPr>
        <w:ind w:firstLine="640"/>
        <w:rPr>
          <w:rFonts w:hint="eastAsia" w:ascii="仿宋_GB2312" w:hAnsi="仿宋_GB2312" w:eastAsia="仿宋_GB2312" w:cs="仿宋_GB2312"/>
        </w:rPr>
      </w:pPr>
      <w:r>
        <w:rPr>
          <w:rFonts w:hint="eastAsia" w:ascii="仿宋_GB2312" w:hAnsi="仿宋_GB2312" w:eastAsia="仿宋_GB2312" w:cs="仿宋_GB2312"/>
        </w:rPr>
        <w:t xml:space="preserve">9.关于印发《近期扩内需促消费的工作方案》的通知（发改综合〔2020〕1565号） </w:t>
      </w:r>
    </w:p>
    <w:p>
      <w:pPr>
        <w:ind w:firstLine="640"/>
        <w:rPr>
          <w:rFonts w:hint="eastAsia" w:ascii="仿宋_GB2312" w:hAnsi="仿宋_GB2312" w:eastAsia="仿宋_GB2312" w:cs="仿宋_GB2312"/>
        </w:rPr>
      </w:pPr>
      <w:r>
        <w:rPr>
          <w:rFonts w:hint="eastAsia" w:ascii="仿宋_GB2312" w:hAnsi="仿宋_GB2312" w:eastAsia="仿宋_GB2312" w:cs="仿宋_GB2312"/>
        </w:rPr>
        <w:t>10.《商务部等17部门关于加强县域商业体系建设促进农村消费的意见》（商流通发〔2021〕99 号）</w:t>
      </w:r>
    </w:p>
    <w:p>
      <w:pPr>
        <w:ind w:firstLine="640"/>
        <w:rPr>
          <w:rFonts w:hint="eastAsia" w:ascii="仿宋_GB2312" w:hAnsi="仿宋_GB2312" w:eastAsia="仿宋_GB2312" w:cs="仿宋_GB2312"/>
        </w:rPr>
      </w:pPr>
      <w:r>
        <w:rPr>
          <w:rFonts w:hint="eastAsia" w:ascii="仿宋_GB2312" w:hAnsi="仿宋_GB2312" w:eastAsia="仿宋_GB2312" w:cs="仿宋_GB2312"/>
        </w:rPr>
        <w:t>11.《县域商业建设指南》（2021版）</w:t>
      </w:r>
    </w:p>
    <w:p>
      <w:pPr>
        <w:ind w:firstLine="640"/>
        <w:rPr>
          <w:rFonts w:hint="eastAsia" w:ascii="仿宋_GB2312" w:hAnsi="仿宋_GB2312" w:eastAsia="仿宋_GB2312" w:cs="仿宋_GB2312"/>
        </w:rPr>
      </w:pPr>
      <w:r>
        <w:rPr>
          <w:rFonts w:hint="eastAsia" w:ascii="仿宋_GB2312" w:hAnsi="仿宋_GB2312" w:eastAsia="仿宋_GB2312" w:cs="仿宋_GB2312"/>
        </w:rPr>
        <w:t>12.《关于印发&lt;“十四五”现代流通体系建设规划&gt;的通知》（发改经贸〔2022〕78号）</w:t>
      </w:r>
    </w:p>
    <w:p>
      <w:pPr>
        <w:ind w:firstLine="640"/>
        <w:rPr>
          <w:rFonts w:hint="eastAsia" w:ascii="仿宋_GB2312" w:hAnsi="仿宋_GB2312" w:eastAsia="仿宋_GB2312" w:cs="仿宋_GB2312"/>
        </w:rPr>
      </w:pPr>
      <w:r>
        <w:rPr>
          <w:rFonts w:hint="eastAsia" w:ascii="仿宋_GB2312" w:hAnsi="仿宋_GB2312" w:eastAsia="仿宋_GB2312" w:cs="仿宋_GB2312"/>
        </w:rPr>
        <w:t>13.《商务部等22部门关于印发&lt;“十四五”国内贸易发展规划&gt;的通知》</w:t>
      </w:r>
    </w:p>
    <w:p>
      <w:pPr>
        <w:ind w:firstLine="640"/>
        <w:rPr>
          <w:rFonts w:hint="eastAsia" w:ascii="仿宋_GB2312" w:hAnsi="仿宋_GB2312" w:eastAsia="仿宋_GB2312" w:cs="仿宋_GB2312"/>
          <w:color w:val="000000"/>
        </w:rPr>
      </w:pPr>
      <w:r>
        <w:rPr>
          <w:rFonts w:hint="eastAsia" w:ascii="仿宋_GB2312" w:hAnsi="仿宋_GB2312" w:eastAsia="仿宋_GB2312" w:cs="仿宋_GB2312"/>
          <w:color w:val="000000"/>
        </w:rPr>
        <w:t>14.《城市商业中心等级划分》（商务部市场建设司）</w:t>
      </w:r>
    </w:p>
    <w:p>
      <w:pPr>
        <w:ind w:firstLine="640"/>
        <w:rPr>
          <w:rFonts w:hint="eastAsia" w:ascii="仿宋_GB2312" w:hAnsi="仿宋_GB2312" w:eastAsia="仿宋_GB2312" w:cs="仿宋_GB2312"/>
        </w:rPr>
      </w:pPr>
      <w:r>
        <w:rPr>
          <w:rFonts w:hint="eastAsia" w:ascii="仿宋_GB2312" w:hAnsi="仿宋_GB2312" w:eastAsia="仿宋_GB2312" w:cs="仿宋_GB2312"/>
        </w:rPr>
        <w:t>15.《商业网点分类标准》（GB/T34401-2017）；</w:t>
      </w:r>
    </w:p>
    <w:p>
      <w:pPr>
        <w:ind w:firstLine="640"/>
        <w:rPr>
          <w:rFonts w:hint="eastAsia" w:ascii="仿宋_GB2312" w:hAnsi="仿宋_GB2312" w:eastAsia="仿宋_GB2312" w:cs="仿宋_GB2312"/>
        </w:rPr>
      </w:pPr>
      <w:r>
        <w:rPr>
          <w:rFonts w:hint="eastAsia" w:ascii="仿宋_GB2312" w:hAnsi="仿宋_GB2312" w:eastAsia="仿宋_GB2312" w:cs="仿宋_GB2312"/>
          <w:color w:val="000000"/>
        </w:rPr>
        <w:t>16.</w:t>
      </w:r>
      <w:r>
        <w:rPr>
          <w:rFonts w:hint="eastAsia" w:ascii="仿宋_GB2312" w:hAnsi="仿宋_GB2312" w:eastAsia="仿宋_GB2312" w:cs="仿宋_GB2312"/>
        </w:rPr>
        <w:t>《零售业态分类标准》（GB/T18106-2004）</w:t>
      </w:r>
    </w:p>
    <w:p>
      <w:pPr>
        <w:ind w:firstLine="640"/>
        <w:rPr>
          <w:rFonts w:hint="eastAsia" w:ascii="仿宋_GB2312" w:hAnsi="仿宋_GB2312" w:eastAsia="仿宋_GB2312" w:cs="仿宋_GB2312"/>
          <w:color w:val="000000"/>
          <w:szCs w:val="28"/>
        </w:rPr>
      </w:pPr>
      <w:r>
        <w:rPr>
          <w:rFonts w:hint="eastAsia" w:ascii="仿宋_GB2312" w:hAnsi="仿宋_GB2312" w:eastAsia="仿宋_GB2312" w:cs="仿宋_GB2312"/>
        </w:rPr>
        <w:t>17.</w:t>
      </w:r>
      <w:r>
        <w:rPr>
          <w:rFonts w:hint="eastAsia" w:ascii="仿宋_GB2312" w:hAnsi="仿宋_GB2312" w:eastAsia="仿宋_GB2312" w:cs="仿宋_GB2312"/>
          <w:color w:val="000000"/>
          <w:szCs w:val="28"/>
        </w:rPr>
        <w:t>《商业网点规划术语》</w:t>
      </w:r>
      <w:r>
        <w:rPr>
          <w:rFonts w:hint="eastAsia" w:ascii="仿宋_GB2312" w:hAnsi="仿宋_GB2312" w:eastAsia="仿宋_GB2312" w:cs="仿宋_GB2312"/>
        </w:rPr>
        <w:t>（GB/T34433-2017）</w:t>
      </w:r>
    </w:p>
    <w:p>
      <w:pPr>
        <w:ind w:firstLine="640"/>
        <w:rPr>
          <w:rFonts w:hint="eastAsia" w:ascii="仿宋_GB2312" w:hAnsi="仿宋_GB2312" w:eastAsia="仿宋_GB2312" w:cs="仿宋_GB2312"/>
          <w:color w:val="000000"/>
        </w:rPr>
      </w:pPr>
      <w:r>
        <w:rPr>
          <w:rFonts w:hint="eastAsia" w:ascii="仿宋_GB2312" w:hAnsi="仿宋_GB2312" w:eastAsia="仿宋_GB2312" w:cs="仿宋_GB2312"/>
          <w:color w:val="000000"/>
        </w:rPr>
        <w:t>18.《城市居住区规划设计规范》（GB 50180-93）</w:t>
      </w:r>
    </w:p>
    <w:p>
      <w:pPr>
        <w:ind w:firstLine="640"/>
        <w:rPr>
          <w:rFonts w:hint="eastAsia" w:ascii="仿宋_GB2312" w:hAnsi="仿宋_GB2312" w:eastAsia="仿宋_GB2312" w:cs="仿宋_GB2312"/>
        </w:rPr>
      </w:pPr>
      <w:r>
        <w:rPr>
          <w:rFonts w:hint="eastAsia" w:ascii="仿宋_GB2312" w:hAnsi="仿宋_GB2312" w:eastAsia="仿宋_GB2312" w:cs="仿宋_GB2312"/>
        </w:rPr>
        <w:t>19.《宁夏回族自治区商务厅等17部门关于加强县域商业体系建设促进农村消费的实施意见》（宁商发〔2022〕1号）</w:t>
      </w:r>
    </w:p>
    <w:p>
      <w:pPr>
        <w:ind w:firstLine="640"/>
        <w:rPr>
          <w:rFonts w:hint="eastAsia" w:ascii="仿宋_GB2312" w:hAnsi="仿宋_GB2312" w:eastAsia="仿宋_GB2312" w:cs="仿宋_GB2312"/>
        </w:rPr>
      </w:pPr>
      <w:r>
        <w:rPr>
          <w:rFonts w:hint="eastAsia" w:ascii="仿宋_GB2312" w:hAnsi="仿宋_GB2312" w:eastAsia="仿宋_GB2312" w:cs="仿宋_GB2312"/>
        </w:rPr>
        <w:t>20.《宁夏回族自治区国民经济和社会发展第十四个五年规划和2035年远景目标纲要》</w:t>
      </w:r>
    </w:p>
    <w:p>
      <w:pPr>
        <w:ind w:firstLine="640"/>
        <w:rPr>
          <w:rFonts w:hint="eastAsia" w:ascii="仿宋_GB2312" w:hAnsi="仿宋_GB2312" w:eastAsia="仿宋_GB2312" w:cs="仿宋_GB2312"/>
        </w:rPr>
      </w:pPr>
      <w:r>
        <w:rPr>
          <w:rFonts w:hint="eastAsia" w:ascii="仿宋_GB2312" w:hAnsi="仿宋_GB2312" w:eastAsia="仿宋_GB2312" w:cs="仿宋_GB2312"/>
        </w:rPr>
        <w:t>21.《吴忠市国民经济和社会发展第十四个五年规划和二〇三五年远景目标纲要》</w:t>
      </w:r>
    </w:p>
    <w:p>
      <w:pPr>
        <w:ind w:firstLine="640"/>
        <w:rPr>
          <w:rFonts w:hint="eastAsia" w:ascii="仿宋_GB2312" w:hAnsi="仿宋_GB2312" w:eastAsia="仿宋_GB2312" w:cs="仿宋_GB2312"/>
        </w:rPr>
      </w:pPr>
      <w:r>
        <w:rPr>
          <w:rFonts w:hint="eastAsia" w:ascii="仿宋_GB2312" w:hAnsi="仿宋_GB2312" w:eastAsia="仿宋_GB2312" w:cs="仿宋_GB2312"/>
        </w:rPr>
        <w:t>22.《同心县国民经济和社会发展第十四个五年规划和二〇三五年远景目标纲要》</w:t>
      </w:r>
    </w:p>
    <w:p>
      <w:pPr>
        <w:ind w:firstLine="640"/>
        <w:rPr>
          <w:rFonts w:hint="eastAsia" w:ascii="仿宋_GB2312" w:hAnsi="仿宋_GB2312" w:eastAsia="仿宋_GB2312" w:cs="仿宋_GB2312"/>
        </w:rPr>
      </w:pPr>
      <w:r>
        <w:rPr>
          <w:rFonts w:hint="eastAsia" w:ascii="仿宋_GB2312" w:hAnsi="仿宋_GB2312" w:eastAsia="仿宋_GB2312" w:cs="仿宋_GB2312"/>
        </w:rPr>
        <w:t>23.同心县乡村振兴战略总体规划（2018-2022年）</w:t>
      </w:r>
    </w:p>
    <w:p>
      <w:pPr>
        <w:ind w:firstLine="640"/>
        <w:rPr>
          <w:rFonts w:hint="eastAsia" w:ascii="仿宋_GB2312" w:hAnsi="仿宋_GB2312" w:eastAsia="仿宋_GB2312" w:cs="仿宋_GB2312"/>
        </w:rPr>
      </w:pPr>
      <w:r>
        <w:rPr>
          <w:rFonts w:hint="eastAsia" w:ascii="仿宋_GB2312" w:hAnsi="仿宋_GB2312" w:eastAsia="仿宋_GB2312" w:cs="仿宋_GB2312"/>
        </w:rPr>
        <w:t>24.其他相关依据</w:t>
      </w:r>
    </w:p>
    <w:p>
      <w:pPr>
        <w:pStyle w:val="2"/>
        <w:numPr>
          <w:ilvl w:val="0"/>
          <w:numId w:val="2"/>
        </w:numPr>
        <w:spacing w:before="156" w:after="156"/>
        <w:ind w:firstLine="643"/>
      </w:pPr>
      <w:bookmarkStart w:id="44" w:name="_Toc10045"/>
      <w:bookmarkStart w:id="45" w:name="_Toc95764816"/>
      <w:bookmarkStart w:id="46" w:name="_Toc24600"/>
      <w:bookmarkStart w:id="47" w:name="_Toc17353"/>
      <w:r>
        <w:rPr>
          <w:rFonts w:hint="eastAsia"/>
        </w:rPr>
        <w:t>指导思想</w:t>
      </w:r>
      <w:bookmarkEnd w:id="44"/>
      <w:bookmarkEnd w:id="45"/>
      <w:bookmarkEnd w:id="46"/>
      <w:bookmarkEnd w:id="47"/>
    </w:p>
    <w:p>
      <w:pPr>
        <w:ind w:firstLine="640"/>
      </w:pPr>
      <w:r>
        <w:rPr>
          <w:rFonts w:hint="eastAsia"/>
        </w:rPr>
        <w:t>坚持以习近平新时代中国特色社会主义思想为指导，深入贯彻落实党的二十大精神，坚决贯彻落实习近平总书记视察宁夏重要讲话精神，全面贯彻落实自治区第十三次党代会精神，以满足人民日益增长的美好生活需要为根本目的，</w:t>
      </w:r>
      <w:r>
        <w:rPr>
          <w:rFonts w:hint="eastAsia" w:ascii="Times New Roman" w:hAnsi="Times New Roman" w:eastAsia="仿宋_GB2312" w:cstheme="minorBidi"/>
          <w:i w:val="0"/>
          <w:iCs w:val="0"/>
          <w:caps w:val="0"/>
          <w:spacing w:val="0"/>
          <w:sz w:val="32"/>
          <w:szCs w:val="24"/>
          <w:shd w:val="clear"/>
        </w:rPr>
        <w:t>以供给侧结构性改革为主线，</w:t>
      </w:r>
      <w:r>
        <w:rPr>
          <w:rFonts w:hint="eastAsia"/>
          <w:lang w:val="en-US" w:eastAsia="zh-CN"/>
        </w:rPr>
        <w:t>以</w:t>
      </w:r>
      <w:r>
        <w:rPr>
          <w:rFonts w:hint="eastAsia"/>
        </w:rPr>
        <w:t>扩大内需</w:t>
      </w:r>
      <w:r>
        <w:rPr>
          <w:rFonts w:hint="eastAsia"/>
          <w:lang w:val="en-US" w:eastAsia="zh-CN"/>
        </w:rPr>
        <w:t>为</w:t>
      </w:r>
      <w:r>
        <w:rPr>
          <w:rFonts w:hint="eastAsia"/>
        </w:rPr>
        <w:t>战略基点</w:t>
      </w:r>
      <w:r>
        <w:rPr>
          <w:rFonts w:hint="eastAsia"/>
          <w:lang w:eastAsia="zh-CN"/>
        </w:rPr>
        <w:t>，</w:t>
      </w:r>
      <w:r>
        <w:rPr>
          <w:rFonts w:hint="eastAsia"/>
        </w:rPr>
        <w:t>立足新发展阶段、贯彻新发展理念、构建新发展格局，</w:t>
      </w:r>
      <w:r>
        <w:rPr>
          <w:rFonts w:hint="eastAsia"/>
          <w:lang w:eastAsia="zh-CN"/>
        </w:rPr>
        <w:t>加快培育完整内需体系，</w:t>
      </w:r>
      <w:r>
        <w:rPr>
          <w:rFonts w:hint="eastAsia"/>
        </w:rPr>
        <w:t>充分发挥市场在资源配置中的决定性作用，分层分类，因地制宜，以渠道下沉和农产品上行为主线，加快培育新动能，拓展发展新空间，优化商业网点布局、调整业态结构、创新商业发展模式，加快推动新型消费扩容提质，完善县域商业功能，逐步形成规模适度、层次分明、布局合理、特色鲜明、业态先进、配套完善的现代化商业网点体系，构建城乡一体化的商贸流通格局，满足城乡居民便捷消费、游客即兴消费、产业供应无缝对接的需要，促进</w:t>
      </w:r>
      <w:r>
        <w:rPr>
          <w:rFonts w:hint="eastAsia"/>
          <w:lang w:val="en-US" w:eastAsia="zh-CN"/>
        </w:rPr>
        <w:t>同心</w:t>
      </w:r>
      <w:r>
        <w:rPr>
          <w:rFonts w:hint="eastAsia"/>
        </w:rPr>
        <w:t>县商业繁荣发展。</w:t>
      </w:r>
    </w:p>
    <w:p>
      <w:pPr>
        <w:pStyle w:val="2"/>
        <w:numPr>
          <w:ilvl w:val="0"/>
          <w:numId w:val="2"/>
        </w:numPr>
        <w:spacing w:before="156" w:after="156"/>
        <w:ind w:firstLine="643"/>
      </w:pPr>
      <w:bookmarkStart w:id="48" w:name="_Toc25673"/>
      <w:bookmarkStart w:id="49" w:name="_Toc29827"/>
      <w:bookmarkStart w:id="50" w:name="_Toc21078"/>
      <w:bookmarkStart w:id="51" w:name="_Toc95764817"/>
      <w:r>
        <w:rPr>
          <w:rFonts w:hint="eastAsia"/>
        </w:rPr>
        <w:t>基本原则</w:t>
      </w:r>
      <w:bookmarkEnd w:id="48"/>
      <w:bookmarkEnd w:id="49"/>
      <w:bookmarkEnd w:id="50"/>
      <w:bookmarkEnd w:id="51"/>
    </w:p>
    <w:p>
      <w:pPr>
        <w:ind w:firstLine="640"/>
        <w:rPr>
          <w:rFonts w:hint="eastAsia" w:ascii="仿宋_GB2312" w:hAnsi="仿宋_GB2312" w:eastAsia="仿宋_GB2312" w:cs="仿宋_GB2312"/>
        </w:rPr>
      </w:pPr>
      <w:r>
        <w:rPr>
          <w:rFonts w:hint="eastAsia" w:ascii="仿宋_GB2312" w:hAnsi="仿宋_GB2312" w:eastAsia="仿宋_GB2312" w:cs="仿宋_GB2312"/>
        </w:rPr>
        <w:t>——统筹协调，民生优先。坚持问题导向、目标导向和结果导向，综合考虑人口分布、消费需求、商业布局、国土利用、生态环境和文化保护等因素，建立完善覆盖城乡、点线面、大中小、新建和改造设施协调发展的现代商业网点体系。坚持以人民为中心，将保障改善民生作为商业网点规划的立足点，重点布局公益性和民生性商业项目，提升商业网点的应急保供能力。</w:t>
      </w:r>
    </w:p>
    <w:p>
      <w:pPr>
        <w:ind w:firstLine="640"/>
        <w:rPr>
          <w:rFonts w:hint="eastAsia" w:ascii="仿宋_GB2312" w:hAnsi="仿宋_GB2312" w:eastAsia="仿宋_GB2312" w:cs="仿宋_GB2312"/>
        </w:rPr>
      </w:pPr>
      <w:r>
        <w:rPr>
          <w:rFonts w:hint="eastAsia" w:ascii="仿宋_GB2312" w:hAnsi="仿宋_GB2312" w:eastAsia="仿宋_GB2312" w:cs="仿宋_GB2312"/>
        </w:rPr>
        <w:t>——优化提升，结构合理。坚持总量适度、结构合理、相对集中、适度超前的原则，注重新建与改造、集中与分散、综合与专业相结合，优化提升现有商业网点，避免大拆大建和低水平重复建设，着力提升商业品质，丰富商业业态，营造良好消费环境，更好满足消费升级需求。</w:t>
      </w:r>
    </w:p>
    <w:p>
      <w:pPr>
        <w:ind w:firstLine="640"/>
        <w:rPr>
          <w:rFonts w:hint="eastAsia" w:ascii="仿宋_GB2312" w:hAnsi="仿宋_GB2312" w:eastAsia="仿宋_GB2312" w:cs="仿宋_GB2312"/>
        </w:rPr>
      </w:pPr>
      <w:r>
        <w:rPr>
          <w:rFonts w:hint="eastAsia" w:ascii="仿宋_GB2312" w:hAnsi="仿宋_GB2312" w:eastAsia="仿宋_GB2312" w:cs="仿宋_GB2312"/>
        </w:rPr>
        <w:t>——创新引领，绿色发展。适应数字经济发展的新趋势，加快推动现代商贸流通体系创新发展，鼓励发展新业态新模式，引领新消费。坚持集约、环保、可持续的发展导向，践行绿色商业理念，推动商业设施与生态环境和谐互促。</w:t>
      </w:r>
    </w:p>
    <w:p>
      <w:pPr>
        <w:pStyle w:val="2"/>
        <w:numPr>
          <w:ilvl w:val="0"/>
          <w:numId w:val="2"/>
        </w:numPr>
        <w:spacing w:before="156" w:after="156"/>
        <w:ind w:firstLine="643"/>
      </w:pPr>
      <w:bookmarkStart w:id="52" w:name="_Toc95764818"/>
      <w:bookmarkStart w:id="53" w:name="_Toc23534"/>
      <w:bookmarkStart w:id="54" w:name="_Toc23019"/>
      <w:bookmarkStart w:id="55" w:name="_Toc32485"/>
      <w:r>
        <w:rPr>
          <w:rFonts w:hint="eastAsia"/>
        </w:rPr>
        <w:t>发展目标</w:t>
      </w:r>
      <w:bookmarkEnd w:id="52"/>
      <w:bookmarkEnd w:id="53"/>
      <w:bookmarkEnd w:id="54"/>
      <w:bookmarkEnd w:id="55"/>
    </w:p>
    <w:p>
      <w:pPr>
        <w:ind w:firstLine="640"/>
        <w:rPr>
          <w:rFonts w:hint="eastAsia" w:ascii="仿宋_GB2312" w:hAnsi="仿宋_GB2312" w:eastAsia="仿宋_GB2312" w:cs="仿宋_GB2312"/>
        </w:rPr>
      </w:pPr>
      <w:r>
        <w:rPr>
          <w:rFonts w:hint="eastAsia" w:ascii="仿宋_GB2312" w:hAnsi="仿宋_GB2312" w:eastAsia="仿宋_GB2312" w:cs="仿宋_GB2312"/>
        </w:rPr>
        <w:t>到2026年，县域商业发展格局不断优化、商业业态结构提档升级、商业发展模式创新发展、商业供给结构与品质有所改善，商业服务能级大幅提升，基本形成布局合理、结构优化、层次分明、管理规范、配套完善的商业新格局。到2026年，全县社会消费品零售总额达到</w:t>
      </w:r>
      <w:r>
        <w:rPr>
          <w:rFonts w:hint="eastAsia" w:ascii="仿宋_GB2312" w:hAnsi="仿宋_GB2312" w:cs="仿宋_GB2312"/>
          <w:lang w:val="en-US" w:eastAsia="zh-CN"/>
        </w:rPr>
        <w:t>50</w:t>
      </w:r>
      <w:r>
        <w:rPr>
          <w:rFonts w:hint="eastAsia" w:ascii="仿宋_GB2312" w:hAnsi="仿宋_GB2312" w:eastAsia="仿宋_GB2312" w:cs="仿宋_GB2312"/>
        </w:rPr>
        <w:t>亿元，年均增长</w:t>
      </w:r>
      <w:r>
        <w:rPr>
          <w:rFonts w:hint="eastAsia" w:ascii="仿宋_GB2312" w:hAnsi="仿宋_GB2312" w:cs="仿宋_GB2312"/>
          <w:lang w:val="en-US" w:eastAsia="zh-CN"/>
        </w:rPr>
        <w:t>12.6</w:t>
      </w:r>
      <w:r>
        <w:rPr>
          <w:rFonts w:hint="eastAsia" w:ascii="仿宋_GB2312" w:hAnsi="仿宋_GB2312" w:eastAsia="仿宋_GB2312" w:cs="仿宋_GB2312"/>
        </w:rPr>
        <w:t>%左右，大中型零售商业网点面积</w:t>
      </w:r>
      <w:r>
        <w:rPr>
          <w:rFonts w:hint="eastAsia" w:ascii="仿宋_GB2312" w:hAnsi="仿宋_GB2312" w:cs="仿宋_GB2312"/>
          <w:highlight w:val="none"/>
          <w:lang w:val="en-US" w:eastAsia="zh-Hans"/>
        </w:rPr>
        <w:t>保持在</w:t>
      </w:r>
      <w:r>
        <w:rPr>
          <w:rFonts w:hint="default" w:ascii="仿宋_GB2312" w:hAnsi="仿宋_GB2312" w:cs="仿宋_GB2312"/>
          <w:highlight w:val="none"/>
          <w:lang w:eastAsia="zh-Hans"/>
        </w:rPr>
        <w:t>13</w:t>
      </w:r>
      <w:r>
        <w:rPr>
          <w:rFonts w:hint="eastAsia" w:ascii="仿宋_GB2312" w:hAnsi="仿宋_GB2312" w:cs="仿宋_GB2312"/>
          <w:highlight w:val="none"/>
          <w:lang w:val="en-US" w:eastAsia="zh-Hans"/>
        </w:rPr>
        <w:t>万</w:t>
      </w:r>
      <w:r>
        <w:rPr>
          <w:rFonts w:hint="eastAsia" w:ascii="仿宋_GB2312" w:hAnsi="仿宋_GB2312" w:eastAsia="仿宋_GB2312" w:cs="仿宋_GB2312"/>
          <w:highlight w:val="none"/>
        </w:rPr>
        <w:t>㎡</w:t>
      </w:r>
      <w:r>
        <w:rPr>
          <w:rFonts w:hint="eastAsia" w:ascii="仿宋_GB2312" w:hAnsi="仿宋_GB2312" w:cs="仿宋_GB2312"/>
          <w:highlight w:val="none"/>
          <w:lang w:val="en-US" w:eastAsia="zh-Hans"/>
        </w:rPr>
        <w:t>左右</w:t>
      </w:r>
      <w:r>
        <w:rPr>
          <w:rFonts w:hint="eastAsia" w:ascii="仿宋_GB2312" w:hAnsi="仿宋_GB2312" w:eastAsia="仿宋_GB2312" w:cs="仿宋_GB2312"/>
        </w:rPr>
        <w:t>，打造</w:t>
      </w:r>
      <w:r>
        <w:rPr>
          <w:rFonts w:hint="eastAsia" w:ascii="仿宋_GB2312" w:hAnsi="仿宋_GB2312" w:cs="仿宋_GB2312"/>
          <w:lang w:val="en-US" w:eastAsia="zh-CN"/>
        </w:rPr>
        <w:t>2</w:t>
      </w:r>
      <w:r>
        <w:rPr>
          <w:rFonts w:hint="eastAsia" w:ascii="仿宋_GB2312" w:hAnsi="仿宋_GB2312" w:eastAsia="仿宋_GB2312" w:cs="仿宋_GB2312"/>
        </w:rPr>
        <w:t>个县</w:t>
      </w:r>
      <w:r>
        <w:rPr>
          <w:rFonts w:hint="eastAsia" w:ascii="仿宋_GB2312" w:hAnsi="仿宋_GB2312" w:cs="仿宋_GB2312"/>
          <w:lang w:val="en-US" w:eastAsia="zh-CN"/>
        </w:rPr>
        <w:t>级商业中心</w:t>
      </w:r>
      <w:r>
        <w:rPr>
          <w:rFonts w:hint="eastAsia" w:ascii="仿宋_GB2312" w:hAnsi="仿宋_GB2312" w:eastAsia="仿宋_GB2312" w:cs="仿宋_GB2312"/>
        </w:rPr>
        <w:t>，</w:t>
      </w:r>
      <w:r>
        <w:rPr>
          <w:rFonts w:hint="eastAsia" w:ascii="仿宋_GB2312" w:hAnsi="仿宋_GB2312" w:cs="仿宋_GB2312"/>
          <w:lang w:val="en-US" w:eastAsia="zh-CN"/>
        </w:rPr>
        <w:t>2个区域商业中心，</w:t>
      </w:r>
      <w:r>
        <w:rPr>
          <w:rFonts w:hint="eastAsia" w:ascii="仿宋_GB2312" w:hAnsi="仿宋_GB2312" w:eastAsia="仿宋_GB2312" w:cs="仿宋_GB2312"/>
        </w:rPr>
        <w:t>建设改造</w:t>
      </w:r>
      <w:r>
        <w:rPr>
          <w:rFonts w:hint="eastAsia" w:ascii="仿宋_GB2312" w:hAnsi="仿宋_GB2312" w:cs="仿宋_GB2312"/>
          <w:lang w:val="en-US" w:eastAsia="zh-CN"/>
        </w:rPr>
        <w:t>8</w:t>
      </w:r>
      <w:r>
        <w:rPr>
          <w:rFonts w:hint="eastAsia" w:ascii="仿宋_GB2312" w:hAnsi="仿宋_GB2312" w:eastAsia="仿宋_GB2312" w:cs="仿宋_GB2312"/>
        </w:rPr>
        <w:t>个乡镇</w:t>
      </w:r>
      <w:r>
        <w:rPr>
          <w:rFonts w:hint="eastAsia" w:ascii="仿宋_GB2312" w:hAnsi="仿宋_GB2312" w:cs="仿宋_GB2312"/>
          <w:lang w:val="en-US" w:eastAsia="zh-CN"/>
        </w:rPr>
        <w:t>商业</w:t>
      </w:r>
      <w:r>
        <w:rPr>
          <w:rFonts w:hint="eastAsia" w:ascii="仿宋_GB2312" w:hAnsi="仿宋_GB2312" w:eastAsia="仿宋_GB2312" w:cs="仿宋_GB2312"/>
        </w:rPr>
        <w:t>中心，</w:t>
      </w:r>
      <w:r>
        <w:rPr>
          <w:rFonts w:hint="eastAsia" w:ascii="仿宋_GB2312" w:hAnsi="仿宋_GB2312" w:cs="仿宋_GB2312"/>
          <w:lang w:val="en-US" w:eastAsia="zh-CN"/>
        </w:rPr>
        <w:t>改造提升5个特色街区，</w:t>
      </w:r>
      <w:r>
        <w:rPr>
          <w:rFonts w:hint="eastAsia" w:ascii="仿宋_GB2312" w:hAnsi="仿宋_GB2312" w:eastAsia="仿宋_GB2312" w:cs="仿宋_GB2312"/>
        </w:rPr>
        <w:t>提升</w:t>
      </w:r>
      <w:r>
        <w:rPr>
          <w:rFonts w:hint="eastAsia" w:ascii="仿宋_GB2312" w:hAnsi="仿宋_GB2312" w:cs="仿宋_GB2312"/>
          <w:lang w:val="en-US" w:eastAsia="zh-CN"/>
        </w:rPr>
        <w:t>5个商品市场、</w:t>
      </w:r>
      <w:r>
        <w:rPr>
          <w:rFonts w:hint="eastAsia" w:ascii="仿宋_GB2312" w:hAnsi="仿宋_GB2312" w:eastAsia="仿宋_GB2312" w:cs="仿宋_GB2312"/>
        </w:rPr>
        <w:t>1个农产品交易市场、5个乡镇集贸市场，</w:t>
      </w:r>
      <w:r>
        <w:rPr>
          <w:rFonts w:hint="eastAsia" w:ascii="仿宋_GB2312" w:hAnsi="仿宋_GB2312" w:cs="仿宋_GB2312"/>
          <w:lang w:val="en-US" w:eastAsia="zh-CN"/>
        </w:rPr>
        <w:t>新建</w:t>
      </w:r>
      <w:r>
        <w:rPr>
          <w:rFonts w:hint="eastAsia" w:ascii="仿宋_GB2312" w:hAnsi="仿宋_GB2312" w:eastAsia="仿宋_GB2312" w:cs="仿宋_GB2312"/>
        </w:rPr>
        <w:t>1个物流</w:t>
      </w:r>
      <w:r>
        <w:rPr>
          <w:rFonts w:hint="eastAsia" w:ascii="仿宋_GB2312" w:hAnsi="仿宋_GB2312" w:cs="仿宋_GB2312"/>
          <w:lang w:val="en-US" w:eastAsia="zh-CN"/>
        </w:rPr>
        <w:t>园区</w:t>
      </w:r>
      <w:r>
        <w:rPr>
          <w:rFonts w:hint="eastAsia" w:ascii="仿宋_GB2312" w:hAnsi="仿宋_GB2312" w:eastAsia="仿宋_GB2312" w:cs="仿宋_GB2312"/>
        </w:rPr>
        <w:t>。</w:t>
      </w:r>
    </w:p>
    <w:p>
      <w:pPr>
        <w:pStyle w:val="3"/>
        <w:spacing w:before="156" w:after="156"/>
        <w:jc w:val="both"/>
      </w:pPr>
      <w:bookmarkStart w:id="56" w:name="_Toc29653"/>
      <w:bookmarkStart w:id="57" w:name="_Toc95764819"/>
      <w:bookmarkStart w:id="58" w:name="_Toc4269"/>
      <w:bookmarkStart w:id="59" w:name="_Toc23296"/>
      <w:r>
        <w:rPr>
          <w:rFonts w:hint="eastAsia"/>
          <w:lang w:val="en-US" w:eastAsia="zh-CN"/>
        </w:rPr>
        <w:t>三、</w:t>
      </w:r>
      <w:r>
        <w:rPr>
          <w:rFonts w:hint="eastAsia"/>
        </w:rPr>
        <w:t>商业中心体系布局</w:t>
      </w:r>
      <w:bookmarkEnd w:id="56"/>
      <w:bookmarkEnd w:id="57"/>
      <w:bookmarkEnd w:id="58"/>
      <w:bookmarkEnd w:id="59"/>
    </w:p>
    <w:p>
      <w:pPr>
        <w:spacing w:line="600" w:lineRule="exact"/>
        <w:ind w:firstLine="640" w:firstLineChars="200"/>
        <w:rPr>
          <w:rFonts w:hint="eastAsia" w:ascii="仿宋_GB2312" w:hAnsi="仿宋_GB2312" w:eastAsia="仿宋_GB2312" w:cs="仿宋_GB2312"/>
          <w:sz w:val="32"/>
          <w:lang w:val="en-US" w:eastAsia="zh-CN"/>
        </w:rPr>
      </w:pPr>
      <w:bookmarkStart w:id="60" w:name="_Toc19985"/>
      <w:bookmarkStart w:id="61" w:name="_Toc2727"/>
      <w:r>
        <w:rPr>
          <w:rFonts w:hint="eastAsia" w:ascii="仿宋_GB2312" w:hAnsi="仿宋_GB2312" w:eastAsia="仿宋_GB2312" w:cs="仿宋_GB2312"/>
          <w:sz w:val="32"/>
        </w:rPr>
        <w:t>规划</w:t>
      </w:r>
      <w:r>
        <w:rPr>
          <w:rFonts w:hint="eastAsia" w:ascii="仿宋_GB2312" w:hAnsi="仿宋_GB2312" w:eastAsia="仿宋_GB2312" w:cs="仿宋_GB2312"/>
          <w:sz w:val="32"/>
          <w:lang w:val="en-US" w:eastAsia="zh-CN"/>
        </w:rPr>
        <w:t>同心县全县</w:t>
      </w:r>
      <w:r>
        <w:rPr>
          <w:rFonts w:hint="eastAsia" w:ascii="仿宋_GB2312" w:hAnsi="仿宋_GB2312" w:eastAsia="仿宋_GB2312" w:cs="仿宋_GB2312"/>
          <w:sz w:val="32"/>
        </w:rPr>
        <w:t>重点打造</w:t>
      </w:r>
      <w:r>
        <w:rPr>
          <w:rFonts w:hint="eastAsia" w:ascii="仿宋_GB2312" w:hAnsi="仿宋_GB2312" w:eastAsia="仿宋_GB2312" w:cs="仿宋_GB2312"/>
          <w:sz w:val="32"/>
          <w:lang w:eastAsia="zh-CN"/>
        </w:rPr>
        <w:t>“</w:t>
      </w:r>
      <w:r>
        <w:rPr>
          <w:rFonts w:hint="eastAsia" w:ascii="仿宋_GB2312" w:hAnsi="仿宋_GB2312" w:cs="仿宋_GB2312"/>
          <w:sz w:val="32"/>
          <w:lang w:val="en-US" w:eastAsia="zh-CN"/>
        </w:rPr>
        <w:t>两</w:t>
      </w:r>
      <w:r>
        <w:rPr>
          <w:rFonts w:hint="eastAsia" w:ascii="仿宋_GB2312" w:hAnsi="仿宋_GB2312" w:cs="仿宋_GB2312"/>
          <w:sz w:val="32"/>
          <w:lang w:val="en-US" w:eastAsia="zh-Hans"/>
        </w:rPr>
        <w:t>核</w:t>
      </w:r>
      <w:r>
        <w:rPr>
          <w:rFonts w:hint="eastAsia" w:ascii="仿宋_GB2312" w:hAnsi="仿宋_GB2312" w:cs="仿宋_GB2312"/>
          <w:sz w:val="32"/>
          <w:lang w:val="en-US" w:eastAsia="zh-CN"/>
        </w:rPr>
        <w:t>两</w:t>
      </w:r>
      <w:r>
        <w:rPr>
          <w:rFonts w:hint="eastAsia" w:ascii="仿宋_GB2312" w:hAnsi="仿宋_GB2312" w:cs="仿宋_GB2312"/>
          <w:sz w:val="32"/>
          <w:lang w:val="en-US" w:eastAsia="zh-Hans"/>
        </w:rPr>
        <w:t>区五街多点</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rPr>
        <w:t>的零售商业发展格局。即∶建设</w:t>
      </w:r>
      <w:r>
        <w:rPr>
          <w:rFonts w:hint="eastAsia" w:ascii="仿宋_GB2312" w:hAnsi="仿宋_GB2312" w:cs="仿宋_GB2312"/>
          <w:sz w:val="32"/>
          <w:lang w:val="en-US" w:eastAsia="zh-CN"/>
        </w:rPr>
        <w:t>2</w:t>
      </w:r>
      <w:r>
        <w:rPr>
          <w:rFonts w:hint="eastAsia" w:ascii="仿宋_GB2312" w:hAnsi="仿宋_GB2312" w:eastAsia="仿宋_GB2312" w:cs="仿宋_GB2312"/>
          <w:sz w:val="32"/>
        </w:rPr>
        <w:t>个</w:t>
      </w:r>
      <w:r>
        <w:rPr>
          <w:rFonts w:hint="eastAsia" w:ascii="仿宋_GB2312" w:hAnsi="仿宋_GB2312" w:eastAsia="仿宋_GB2312" w:cs="仿宋_GB2312"/>
          <w:sz w:val="32"/>
          <w:lang w:val="en-US" w:eastAsia="zh-CN"/>
        </w:rPr>
        <w:t>县</w:t>
      </w:r>
      <w:r>
        <w:rPr>
          <w:rFonts w:hint="eastAsia" w:ascii="仿宋_GB2312" w:hAnsi="仿宋_GB2312" w:eastAsia="仿宋_GB2312" w:cs="仿宋_GB2312"/>
          <w:sz w:val="32"/>
        </w:rPr>
        <w:t>级商业中心</w:t>
      </w:r>
      <w:r>
        <w:rPr>
          <w:rFonts w:hint="default" w:ascii="仿宋_GB2312" w:hAnsi="仿宋_GB2312" w:cs="仿宋_GB2312"/>
          <w:sz w:val="32"/>
        </w:rPr>
        <w:t>，</w:t>
      </w:r>
      <w:r>
        <w:rPr>
          <w:rFonts w:hint="eastAsia" w:ascii="仿宋_GB2312" w:hAnsi="仿宋_GB2312" w:cs="仿宋_GB2312"/>
          <w:sz w:val="32"/>
          <w:lang w:val="en-US" w:eastAsia="zh-CN"/>
        </w:rPr>
        <w:t>2</w:t>
      </w:r>
      <w:r>
        <w:rPr>
          <w:rFonts w:hint="eastAsia" w:ascii="仿宋_GB2312" w:hAnsi="仿宋_GB2312" w:eastAsia="仿宋_GB2312" w:cs="仿宋_GB2312"/>
          <w:sz w:val="32"/>
        </w:rPr>
        <w:t>个</w:t>
      </w:r>
      <w:r>
        <w:rPr>
          <w:rFonts w:hint="eastAsia" w:ascii="仿宋_GB2312" w:hAnsi="仿宋_GB2312" w:eastAsia="仿宋_GB2312" w:cs="仿宋_GB2312"/>
          <w:sz w:val="32"/>
          <w:lang w:val="en-US" w:eastAsia="zh-CN"/>
        </w:rPr>
        <w:t>区域</w:t>
      </w:r>
      <w:r>
        <w:rPr>
          <w:rFonts w:hint="eastAsia" w:ascii="仿宋_GB2312" w:hAnsi="仿宋_GB2312" w:eastAsia="仿宋_GB2312" w:cs="仿宋_GB2312"/>
          <w:sz w:val="32"/>
        </w:rPr>
        <w:t>级商业中心</w:t>
      </w:r>
      <w:r>
        <w:rPr>
          <w:rFonts w:hint="default" w:ascii="仿宋_GB2312" w:hAnsi="仿宋_GB2312" w:cs="仿宋_GB2312"/>
          <w:sz w:val="32"/>
        </w:rPr>
        <w:t>，</w:t>
      </w:r>
      <w:r>
        <w:rPr>
          <w:rFonts w:hint="eastAsia" w:ascii="仿宋_GB2312" w:hAnsi="仿宋_GB2312" w:eastAsia="仿宋_GB2312" w:cs="仿宋_GB2312"/>
          <w:sz w:val="32"/>
          <w:lang w:val="en-US" w:eastAsia="zh-CN"/>
        </w:rPr>
        <w:t>5</w:t>
      </w:r>
      <w:r>
        <w:rPr>
          <w:rFonts w:hint="eastAsia" w:ascii="仿宋_GB2312" w:hAnsi="仿宋_GB2312" w:eastAsia="仿宋_GB2312" w:cs="仿宋_GB2312"/>
          <w:sz w:val="32"/>
        </w:rPr>
        <w:t>条重点商业街（区）</w:t>
      </w:r>
      <w:r>
        <w:rPr>
          <w:rFonts w:hint="eastAsia" w:ascii="仿宋_GB2312" w:hAnsi="仿宋_GB2312" w:eastAsia="仿宋_GB2312" w:cs="仿宋_GB2312"/>
          <w:sz w:val="32"/>
          <w:lang w:eastAsia="zh-CN"/>
        </w:rPr>
        <w:t>，</w:t>
      </w:r>
      <w:r>
        <w:rPr>
          <w:rFonts w:hint="eastAsia" w:ascii="仿宋_GB2312" w:hAnsi="仿宋_GB2312" w:eastAsia="仿宋_GB2312" w:cs="仿宋_GB2312"/>
          <w:sz w:val="32"/>
          <w:lang w:val="en-US" w:eastAsia="zh-CN"/>
        </w:rPr>
        <w:t>11</w:t>
      </w:r>
      <w:r>
        <w:rPr>
          <w:rFonts w:hint="eastAsia" w:ascii="仿宋_GB2312" w:hAnsi="仿宋_GB2312" w:eastAsia="仿宋_GB2312" w:cs="仿宋_GB2312"/>
          <w:sz w:val="32"/>
        </w:rPr>
        <w:t>处社区商业中心，</w:t>
      </w:r>
      <w:r>
        <w:rPr>
          <w:rFonts w:hint="eastAsia" w:ascii="仿宋_GB2312" w:hAnsi="仿宋_GB2312" w:eastAsia="仿宋_GB2312" w:cs="仿宋_GB2312"/>
          <w:sz w:val="32"/>
          <w:lang w:val="en-US" w:eastAsia="zh-CN"/>
        </w:rPr>
        <w:t>以及</w:t>
      </w:r>
      <w:r>
        <w:rPr>
          <w:rFonts w:hint="eastAsia" w:ascii="仿宋_GB2312" w:hAnsi="仿宋_GB2312" w:cs="仿宋_GB2312"/>
          <w:sz w:val="32"/>
          <w:lang w:val="en-US" w:eastAsia="zh-CN"/>
        </w:rPr>
        <w:t>8</w:t>
      </w:r>
      <w:r>
        <w:rPr>
          <w:rFonts w:hint="eastAsia" w:ascii="仿宋_GB2312" w:hAnsi="仿宋_GB2312" w:eastAsia="仿宋_GB2312" w:cs="仿宋_GB2312"/>
          <w:sz w:val="32"/>
          <w:lang w:val="en-US" w:eastAsia="zh-CN"/>
        </w:rPr>
        <w:t>个乡镇</w:t>
      </w:r>
      <w:r>
        <w:rPr>
          <w:rFonts w:hint="eastAsia" w:ascii="仿宋_GB2312" w:hAnsi="仿宋_GB2312" w:cs="仿宋_GB2312"/>
          <w:sz w:val="32"/>
          <w:lang w:val="en-US" w:eastAsia="zh-CN"/>
        </w:rPr>
        <w:t>商业</w:t>
      </w:r>
      <w:r>
        <w:rPr>
          <w:rFonts w:hint="eastAsia" w:ascii="仿宋_GB2312" w:hAnsi="仿宋_GB2312" w:eastAsia="仿宋_GB2312" w:cs="仿宋_GB2312"/>
          <w:sz w:val="32"/>
          <w:lang w:val="en-US" w:eastAsia="zh-CN"/>
        </w:rPr>
        <w:t>中心。</w:t>
      </w:r>
    </w:p>
    <w:p>
      <w:pPr>
        <w:bidi w:val="0"/>
        <w:ind w:left="0" w:leftChars="0" w:firstLine="0" w:firstLineChars="0"/>
        <w:jc w:val="center"/>
        <w:rPr>
          <w:rFonts w:hint="default" w:ascii="黑体" w:hAnsi="黑体" w:eastAsia="黑体" w:cs="黑体"/>
          <w:sz w:val="24"/>
          <w:szCs w:val="24"/>
          <w:highlight w:val="none"/>
          <w:lang w:val="en-US" w:eastAsia="zh-CN"/>
        </w:rPr>
      </w:pPr>
      <w:r>
        <w:rPr>
          <w:rFonts w:hint="eastAsia"/>
          <w:highlight w:val="none"/>
          <w:lang w:val="en-US" w:eastAsia="zh-CN"/>
        </w:rPr>
        <w:drawing>
          <wp:anchor distT="0" distB="0" distL="114300" distR="114300" simplePos="0" relativeHeight="251669504" behindDoc="0" locked="0" layoutInCell="1" allowOverlap="1">
            <wp:simplePos x="0" y="0"/>
            <wp:positionH relativeFrom="column">
              <wp:posOffset>-44450</wp:posOffset>
            </wp:positionH>
            <wp:positionV relativeFrom="paragraph">
              <wp:posOffset>152400</wp:posOffset>
            </wp:positionV>
            <wp:extent cx="5574030" cy="3960495"/>
            <wp:effectExtent l="0" t="0" r="1270" b="1905"/>
            <wp:wrapTopAndBottom/>
            <wp:docPr id="1" name="图片 1" descr="442c5a585735f782a079769427c3e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442c5a585735f782a079769427c3edf"/>
                    <pic:cNvPicPr>
                      <a:picLocks noChangeAspect="1"/>
                    </pic:cNvPicPr>
                  </pic:nvPicPr>
                  <pic:blipFill>
                    <a:blip r:embed="rId21"/>
                    <a:stretch>
                      <a:fillRect/>
                    </a:stretch>
                  </pic:blipFill>
                  <pic:spPr>
                    <a:xfrm>
                      <a:off x="0" y="0"/>
                      <a:ext cx="5574030" cy="3960495"/>
                    </a:xfrm>
                    <a:prstGeom prst="rect">
                      <a:avLst/>
                    </a:prstGeom>
                  </pic:spPr>
                </pic:pic>
              </a:graphicData>
            </a:graphic>
          </wp:anchor>
        </w:drawing>
      </w:r>
      <w:r>
        <w:rPr>
          <w:rFonts w:hint="eastAsia" w:ascii="黑体" w:hAnsi="黑体" w:eastAsia="黑体" w:cs="黑体"/>
          <w:sz w:val="24"/>
          <w:szCs w:val="24"/>
          <w:highlight w:val="none"/>
          <w:lang w:val="en-US" w:eastAsia="zh-CN"/>
        </w:rPr>
        <w:t>图7 同心县县城商业网点布局图</w:t>
      </w:r>
    </w:p>
    <w:p>
      <w:pPr>
        <w:pStyle w:val="2"/>
        <w:bidi w:val="0"/>
      </w:pPr>
      <w:bookmarkStart w:id="62" w:name="_Toc8710"/>
      <w:r>
        <w:rPr>
          <w:rFonts w:hint="eastAsia"/>
        </w:rPr>
        <w:t>（一）县级商业中心</w:t>
      </w:r>
      <w:bookmarkEnd w:id="60"/>
      <w:bookmarkEnd w:id="61"/>
      <w:bookmarkEnd w:id="62"/>
    </w:p>
    <w:p>
      <w:pPr>
        <w:rPr>
          <w:rFonts w:hint="eastAsia" w:ascii="仿宋_GB2312" w:hAnsi="仿宋_GB2312" w:eastAsia="仿宋_GB2312" w:cs="仿宋_GB2312"/>
          <w:b/>
          <w:bCs/>
        </w:rPr>
      </w:pPr>
      <w:r>
        <w:rPr>
          <w:rFonts w:hint="eastAsia" w:ascii="仿宋_GB2312" w:hAnsi="仿宋_GB2312" w:cs="仿宋_GB2312"/>
          <w:b/>
          <w:bCs/>
          <w:lang w:val="en-US" w:eastAsia="zh-CN"/>
        </w:rPr>
        <w:t>1</w:t>
      </w:r>
      <w:r>
        <w:rPr>
          <w:rFonts w:hint="eastAsia" w:ascii="仿宋_GB2312" w:hAnsi="仿宋_GB2312" w:eastAsia="仿宋_GB2312" w:cs="仿宋_GB2312"/>
          <w:b/>
          <w:bCs/>
        </w:rPr>
        <w:t>.团结南街商业中心</w:t>
      </w:r>
    </w:p>
    <w:p>
      <w:pPr>
        <w:ind w:firstLine="640"/>
        <w:rPr>
          <w:rFonts w:hint="eastAsia" w:ascii="仿宋_GB2312" w:hAnsi="仿宋_GB2312" w:eastAsia="仿宋_GB2312" w:cs="仿宋_GB2312"/>
        </w:rPr>
      </w:pPr>
      <w:r>
        <w:rPr>
          <w:rFonts w:hint="eastAsia" w:ascii="仿宋_GB2312" w:hAnsi="仿宋_GB2312" w:eastAsia="仿宋_GB2312" w:cs="仿宋_GB2312"/>
        </w:rPr>
        <w:t>范围：团结南街与304乡道交汇处。</w:t>
      </w:r>
    </w:p>
    <w:p>
      <w:pPr>
        <w:ind w:firstLine="640"/>
        <w:rPr>
          <w:rFonts w:hint="eastAsia" w:ascii="仿宋_GB2312" w:hAnsi="仿宋_GB2312" w:eastAsia="仿宋_GB2312" w:cs="仿宋_GB2312"/>
        </w:rPr>
      </w:pPr>
      <w:r>
        <w:rPr>
          <w:rFonts w:hint="eastAsia" w:ascii="仿宋_GB2312" w:hAnsi="仿宋_GB2312" w:eastAsia="仿宋_GB2312" w:cs="仿宋_GB2312"/>
        </w:rPr>
        <w:t>功能定位：以时尚消费、主题消费、生活消费为主要功能的</w:t>
      </w:r>
      <w:r>
        <w:rPr>
          <w:rFonts w:hint="eastAsia" w:ascii="仿宋_GB2312" w:hAnsi="仿宋_GB2312" w:cs="仿宋_GB2312"/>
          <w:lang w:val="en-US" w:eastAsia="zh-CN"/>
        </w:rPr>
        <w:t>县级</w:t>
      </w:r>
      <w:r>
        <w:rPr>
          <w:rFonts w:hint="eastAsia" w:ascii="仿宋_GB2312" w:hAnsi="仿宋_GB2312" w:eastAsia="仿宋_GB2312" w:cs="仿宋_GB2312"/>
        </w:rPr>
        <w:t>商业中心。</w:t>
      </w:r>
    </w:p>
    <w:p>
      <w:pPr>
        <w:ind w:firstLine="640"/>
        <w:rPr>
          <w:rFonts w:hint="eastAsia" w:ascii="仿宋_GB2312" w:hAnsi="仿宋_GB2312" w:eastAsia="仿宋_GB2312" w:cs="仿宋_GB2312"/>
        </w:rPr>
      </w:pPr>
      <w:r>
        <w:rPr>
          <w:rFonts w:hint="eastAsia" w:ascii="仿宋_GB2312" w:hAnsi="仿宋_GB2312" w:eastAsia="仿宋_GB2312" w:cs="仿宋_GB2312"/>
        </w:rPr>
        <w:t>规划引导：加快大华商业广场及周边商业设施招商运营，招引餐饮、维修、美容美发、娱乐、休闲、亲子等服务业态入驻，积极对接同心县稀缺商业品牌资源，着力引入区内外知名商业品牌及新型商业业态、商业模式，打造以中高端品牌购物、特色主题消费、休闲娱乐消费为主要功能的一站式综合消费场所</w:t>
      </w:r>
      <w:r>
        <w:rPr>
          <w:rFonts w:hint="eastAsia" w:ascii="仿宋_GB2312" w:hAnsi="仿宋_GB2312" w:cs="仿宋_GB2312"/>
          <w:lang w:eastAsia="zh-CN"/>
        </w:rPr>
        <w:t>，</w:t>
      </w:r>
      <w:r>
        <w:rPr>
          <w:rFonts w:hint="eastAsia" w:ascii="仿宋_GB2312" w:hAnsi="仿宋_GB2312" w:eastAsia="仿宋_GB2312" w:cs="仿宋_GB2312"/>
        </w:rPr>
        <w:t>满足中</w:t>
      </w:r>
      <w:r>
        <w:rPr>
          <w:rFonts w:hint="eastAsia" w:ascii="仿宋_GB2312" w:hAnsi="仿宋_GB2312" w:cs="仿宋_GB2312"/>
          <w:lang w:val="en-US" w:eastAsia="zh-CN"/>
        </w:rPr>
        <w:t>高</w:t>
      </w:r>
      <w:r>
        <w:rPr>
          <w:rFonts w:hint="eastAsia" w:ascii="仿宋_GB2312" w:hAnsi="仿宋_GB2312" w:eastAsia="仿宋_GB2312" w:cs="仿宋_GB2312"/>
        </w:rPr>
        <w:t>端消费群体需求。对大华商业广场内部及周边的小景观、文化赋予等软环境进行提升改造</w:t>
      </w:r>
      <w:r>
        <w:rPr>
          <w:rFonts w:hint="eastAsia" w:ascii="仿宋_GB2312" w:hAnsi="仿宋_GB2312" w:cs="仿宋_GB2312"/>
          <w:lang w:eastAsia="zh-CN"/>
        </w:rPr>
        <w:t>。</w:t>
      </w:r>
      <w:r>
        <w:rPr>
          <w:rFonts w:hint="eastAsia" w:ascii="仿宋_GB2312" w:hAnsi="仿宋_GB2312" w:cs="仿宋_GB2312"/>
          <w:lang w:val="en-US" w:eastAsia="zh-CN"/>
        </w:rPr>
        <w:t>持续</w:t>
      </w:r>
      <w:r>
        <w:rPr>
          <w:rFonts w:hint="eastAsia" w:ascii="仿宋_GB2312" w:hAnsi="仿宋_GB2312" w:eastAsia="仿宋_GB2312" w:cs="仿宋_GB2312"/>
        </w:rPr>
        <w:t>提升同心商城基础设施建设，</w:t>
      </w:r>
      <w:r>
        <w:rPr>
          <w:rFonts w:hint="eastAsia" w:ascii="仿宋_GB2312" w:hAnsi="仿宋_GB2312" w:cs="仿宋_GB2312"/>
          <w:lang w:val="en-US" w:eastAsia="zh-CN"/>
        </w:rPr>
        <w:t>完善商城购物环境，丰富商品服务供给，</w:t>
      </w:r>
      <w:r>
        <w:rPr>
          <w:rFonts w:hint="eastAsia" w:ascii="仿宋_GB2312" w:hAnsi="仿宋_GB2312" w:eastAsia="仿宋_GB2312" w:cs="仿宋_GB2312"/>
        </w:rPr>
        <w:t>积极引入特色餐饮小吃、地方特色农产品，让县域居民不出县就能满足大部分消费需求。</w:t>
      </w:r>
    </w:p>
    <w:p>
      <w:pPr>
        <w:ind w:firstLine="0"/>
        <w:rPr>
          <w:rFonts w:hint="eastAsia" w:ascii="仿宋_GB2312" w:hAnsi="仿宋_GB2312" w:eastAsia="仿宋_GB2312" w:cs="仿宋_GB2312"/>
          <w:b/>
          <w:bCs/>
          <w:lang w:val="en-US" w:eastAsia="zh-CN"/>
        </w:rPr>
      </w:pPr>
      <w:r>
        <w:rPr>
          <w:rFonts w:hint="eastAsia" w:ascii="仿宋_GB2312" w:hAnsi="仿宋_GB2312" w:cs="仿宋_GB2312"/>
          <w:b/>
          <w:bCs/>
          <w:lang w:val="en-US" w:eastAsia="zh-CN"/>
        </w:rPr>
        <w:t>2.豫海街商业中心</w:t>
      </w:r>
    </w:p>
    <w:p>
      <w:pPr>
        <w:ind w:firstLine="640"/>
      </w:pPr>
      <w:r>
        <w:rPr>
          <w:rFonts w:hint="eastAsia"/>
        </w:rPr>
        <w:t>范围：</w:t>
      </w:r>
      <w:r>
        <w:rPr>
          <w:rFonts w:ascii="宋体" w:hAnsi="宋体"/>
          <w:color w:val="000000"/>
        </w:rPr>
        <w:t>以</w:t>
      </w:r>
      <w:r>
        <w:rPr>
          <w:rFonts w:hint="eastAsia" w:ascii="宋体" w:hAnsi="宋体"/>
          <w:color w:val="000000"/>
        </w:rPr>
        <w:t>豫海</w:t>
      </w:r>
      <w:r>
        <w:rPr>
          <w:rFonts w:ascii="宋体" w:hAnsi="宋体"/>
          <w:color w:val="000000"/>
        </w:rPr>
        <w:t>街为商业发展主轴</w:t>
      </w:r>
      <w:r>
        <w:rPr>
          <w:rFonts w:hint="eastAsia" w:ascii="宋体" w:hAnsi="宋体"/>
          <w:color w:val="000000"/>
        </w:rPr>
        <w:t>、以长征路为商业发展副轴</w:t>
      </w:r>
      <w:r>
        <w:rPr>
          <w:rFonts w:ascii="宋体" w:hAnsi="宋体"/>
          <w:color w:val="000000"/>
        </w:rPr>
        <w:t>，东至团结路，西至</w:t>
      </w:r>
      <w:r>
        <w:rPr>
          <w:rFonts w:hint="eastAsia" w:ascii="宋体" w:hAnsi="宋体"/>
          <w:color w:val="000000"/>
        </w:rPr>
        <w:t>解放街</w:t>
      </w:r>
      <w:r>
        <w:rPr>
          <w:rFonts w:ascii="宋体" w:hAnsi="宋体"/>
          <w:color w:val="000000"/>
        </w:rPr>
        <w:t>，南起银平街，北到利民街的</w:t>
      </w:r>
      <w:r>
        <w:rPr>
          <w:rFonts w:hint="eastAsia" w:ascii="宋体" w:hAnsi="宋体"/>
          <w:color w:val="000000"/>
        </w:rPr>
        <w:t>县</w:t>
      </w:r>
      <w:r>
        <w:rPr>
          <w:rFonts w:hint="eastAsia" w:ascii="宋体" w:hAnsi="宋体"/>
          <w:color w:val="000000"/>
          <w:lang w:val="en-US" w:eastAsia="zh-CN"/>
        </w:rPr>
        <w:t>级商业中心</w:t>
      </w:r>
      <w:r>
        <w:rPr>
          <w:rFonts w:ascii="宋体" w:hAnsi="宋体"/>
          <w:color w:val="000000"/>
        </w:rPr>
        <w:t>。</w:t>
      </w:r>
    </w:p>
    <w:p>
      <w:pPr>
        <w:ind w:firstLine="640"/>
      </w:pPr>
      <w:r>
        <w:rPr>
          <w:rFonts w:hint="eastAsia"/>
        </w:rPr>
        <w:t>功能定位：综合性休闲购物和文旅消费中心。</w:t>
      </w:r>
    </w:p>
    <w:p>
      <w:pPr>
        <w:ind w:firstLine="640"/>
      </w:pPr>
      <w:r>
        <w:rPr>
          <w:rFonts w:hint="eastAsia"/>
        </w:rPr>
        <w:t>规划引导：规划期内，以“规模控制、品质提升、设施改善、环境优化”为基本思路，积极推动商业中心商业设施提档升级、道路交通组织改善、公共服务设施完善。</w:t>
      </w:r>
    </w:p>
    <w:p>
      <w:pPr>
        <w:ind w:firstLine="640"/>
      </w:pPr>
      <w:r>
        <w:rPr>
          <w:rFonts w:hint="eastAsia"/>
        </w:rPr>
        <w:t>坚持“控制增量、提升存量”的基本原则，限制新增大型商业设施，整合提高现有精品服饰、黄金珠宝、大型综合超市、专卖店、餐饮、文化娱乐等设施，巩固和发展传统商业中心地位。着力推动奇虎商厦、生海广场等现有商业设施转型升级，引导光亚广场盘活资产，大力引进动漫娱乐、亲子游乐、休闲体验、快时尚等业态，向主题商场、品牌专业/专卖店、品牌集合店等方向发展；加快完善荣世商业广场、豫海街两侧基础设施，合理增扩消费休闲区域，增设绿化、休憩设施，吸引区内外知名商业品牌主题店、概念店</w:t>
      </w:r>
      <w:r>
        <w:rPr>
          <w:rFonts w:hint="eastAsia"/>
          <w:lang w:eastAsia="zh-CN"/>
        </w:rPr>
        <w:t>入驻</w:t>
      </w:r>
      <w:r>
        <w:rPr>
          <w:rFonts w:hint="eastAsia"/>
        </w:rPr>
        <w:t>，培育文化休闲类、体验类商业业态，引导商业设施主题化、特色化发展，增强商业设施的差异性与业态丰富度，引领新型消费发展，促进城市消费升级。改善区域道路交通组织，合理</w:t>
      </w:r>
      <w:r>
        <w:t>规划建设公共停车场</w:t>
      </w:r>
      <w:r>
        <w:rPr>
          <w:rFonts w:hint="eastAsia"/>
        </w:rPr>
        <w:t>、</w:t>
      </w:r>
      <w:r>
        <w:t>立体停车场，减轻</w:t>
      </w:r>
      <w:r>
        <w:rPr>
          <w:rFonts w:hint="eastAsia"/>
        </w:rPr>
        <w:t>区域内</w:t>
      </w:r>
      <w:r>
        <w:t>交通疏散</w:t>
      </w:r>
      <w:r>
        <w:rPr>
          <w:rFonts w:hint="eastAsia"/>
        </w:rPr>
        <w:t>压力</w:t>
      </w:r>
      <w:r>
        <w:t>；增强</w:t>
      </w:r>
      <w:r>
        <w:rPr>
          <w:rFonts w:hint="eastAsia"/>
        </w:rPr>
        <w:t>商圈</w:t>
      </w:r>
      <w:r>
        <w:t>文化、娱乐、休闲</w:t>
      </w:r>
      <w:r>
        <w:rPr>
          <w:rFonts w:hint="eastAsia"/>
        </w:rPr>
        <w:t>服务</w:t>
      </w:r>
      <w:r>
        <w:t>功能</w:t>
      </w:r>
      <w:r>
        <w:rPr>
          <w:rFonts w:hint="eastAsia"/>
        </w:rPr>
        <w:t>，改善</w:t>
      </w:r>
      <w:r>
        <w:t>交通</w:t>
      </w:r>
      <w:r>
        <w:rPr>
          <w:rFonts w:hint="eastAsia"/>
        </w:rPr>
        <w:t>及</w:t>
      </w:r>
      <w:r>
        <w:t>购物环境</w:t>
      </w:r>
      <w:r>
        <w:rPr>
          <w:rFonts w:hint="eastAsia"/>
        </w:rPr>
        <w:t>。</w:t>
      </w:r>
    </w:p>
    <w:p>
      <w:pPr>
        <w:pStyle w:val="2"/>
        <w:spacing w:before="156" w:after="156"/>
        <w:ind w:firstLine="643"/>
      </w:pPr>
      <w:bookmarkStart w:id="63" w:name="_Toc15928"/>
      <w:bookmarkStart w:id="64" w:name="_Toc2155"/>
      <w:bookmarkStart w:id="65" w:name="_Toc30945"/>
      <w:r>
        <w:rPr>
          <w:rFonts w:hint="eastAsia"/>
        </w:rPr>
        <w:t>（二）区域商业中心</w:t>
      </w:r>
      <w:bookmarkEnd w:id="63"/>
      <w:bookmarkEnd w:id="64"/>
      <w:bookmarkEnd w:id="65"/>
    </w:p>
    <w:p>
      <w:pPr>
        <w:rPr>
          <w:rFonts w:hint="eastAsia" w:ascii="仿宋_GB2312" w:hAnsi="仿宋_GB2312" w:eastAsia="仿宋_GB2312" w:cs="仿宋_GB2312"/>
          <w:b/>
          <w:bCs/>
        </w:rPr>
      </w:pPr>
      <w:r>
        <w:rPr>
          <w:rFonts w:hint="eastAsia" w:ascii="仿宋_GB2312" w:hAnsi="仿宋_GB2312" w:eastAsia="仿宋_GB2312" w:cs="仿宋_GB2312"/>
          <w:b/>
          <w:bCs/>
        </w:rPr>
        <w:t>1.永安路片区商业中心</w:t>
      </w:r>
    </w:p>
    <w:p>
      <w:pPr>
        <w:ind w:firstLine="640"/>
        <w:rPr>
          <w:rFonts w:hint="eastAsia" w:ascii="仿宋_GB2312" w:hAnsi="仿宋_GB2312" w:eastAsia="仿宋_GB2312" w:cs="仿宋_GB2312"/>
        </w:rPr>
      </w:pPr>
      <w:r>
        <w:rPr>
          <w:rFonts w:hint="eastAsia" w:ascii="仿宋_GB2312" w:hAnsi="仿宋_GB2312" w:eastAsia="仿宋_GB2312" w:cs="仿宋_GB2312"/>
        </w:rPr>
        <w:t>范围：永安西路两侧与复兴街两侧，东起同土线、西至同海线。</w:t>
      </w:r>
    </w:p>
    <w:p>
      <w:pPr>
        <w:ind w:firstLine="640"/>
        <w:rPr>
          <w:rFonts w:hint="eastAsia" w:ascii="仿宋_GB2312" w:hAnsi="仿宋_GB2312" w:eastAsia="仿宋_GB2312" w:cs="仿宋_GB2312"/>
        </w:rPr>
      </w:pPr>
      <w:r>
        <w:rPr>
          <w:rFonts w:hint="eastAsia" w:ascii="仿宋_GB2312" w:hAnsi="仿宋_GB2312" w:eastAsia="仿宋_GB2312" w:cs="仿宋_GB2312"/>
        </w:rPr>
        <w:t>功能定位：生活服务和休闲中心。</w:t>
      </w:r>
    </w:p>
    <w:p>
      <w:pPr>
        <w:ind w:firstLine="640"/>
        <w:rPr>
          <w:rFonts w:hint="eastAsia" w:ascii="仿宋_GB2312" w:hAnsi="仿宋_GB2312" w:eastAsia="仿宋_GB2312" w:cs="仿宋_GB2312"/>
        </w:rPr>
      </w:pPr>
      <w:r>
        <w:rPr>
          <w:rFonts w:hint="eastAsia" w:ascii="仿宋_GB2312" w:hAnsi="仿宋_GB2312" w:eastAsia="仿宋_GB2312" w:cs="仿宋_GB2312"/>
        </w:rPr>
        <w:t>规划引导：以清水湾</w:t>
      </w:r>
      <w:r>
        <w:rPr>
          <w:rFonts w:hint="eastAsia" w:ascii="仿宋_GB2312" w:hAnsi="仿宋_GB2312" w:cs="仿宋_GB2312"/>
          <w:lang w:val="en-US" w:eastAsia="zh-CN"/>
        </w:rPr>
        <w:t>商业广场、清水湾</w:t>
      </w:r>
      <w:r>
        <w:rPr>
          <w:rFonts w:hint="eastAsia" w:ascii="仿宋_GB2312" w:hAnsi="仿宋_GB2312" w:eastAsia="仿宋_GB2312" w:cs="仿宋_GB2312"/>
        </w:rPr>
        <w:t>小区沿街商铺、清水湾农贸市场和生海家居、永安夜市等为核心载体，重点发展</w:t>
      </w:r>
      <w:r>
        <w:rPr>
          <w:rFonts w:hint="eastAsia" w:ascii="仿宋_GB2312" w:hAnsi="仿宋_GB2312" w:cs="仿宋_GB2312"/>
          <w:lang w:val="en-US" w:eastAsia="zh-CN"/>
        </w:rPr>
        <w:t>商业综合体、</w:t>
      </w:r>
      <w:r>
        <w:rPr>
          <w:rFonts w:hint="eastAsia" w:ascii="仿宋_GB2312" w:hAnsi="仿宋_GB2312" w:eastAsia="仿宋_GB2312" w:cs="仿宋_GB2312"/>
        </w:rPr>
        <w:t>特色美食街区、农副产品批发零售及家庭综合消费网点。打造集特色餐饮、休闲、娱乐、生活等为一体的体验式商业中心，鼓励发展特色美食、生活类配套、健康休养、美容美体、儿童游艺等体验型业态，满足该片区各类人群及游客对不同生活方式、旅游休闲等的体验需求。</w:t>
      </w:r>
    </w:p>
    <w:p>
      <w:pPr>
        <w:rPr>
          <w:rFonts w:hint="eastAsia" w:ascii="仿宋_GB2312" w:hAnsi="仿宋_GB2312" w:eastAsia="仿宋_GB2312" w:cs="仿宋_GB2312"/>
          <w:b/>
          <w:bCs/>
        </w:rPr>
      </w:pPr>
      <w:r>
        <w:rPr>
          <w:rFonts w:hint="eastAsia" w:ascii="仿宋_GB2312" w:hAnsi="仿宋_GB2312" w:cs="仿宋_GB2312"/>
          <w:b/>
          <w:bCs/>
          <w:lang w:val="en-US" w:eastAsia="zh-CN"/>
        </w:rPr>
        <w:t>2</w:t>
      </w:r>
      <w:r>
        <w:rPr>
          <w:rFonts w:hint="eastAsia" w:ascii="仿宋_GB2312" w:hAnsi="仿宋_GB2312" w:eastAsia="仿宋_GB2312" w:cs="仿宋_GB2312"/>
          <w:b/>
          <w:bCs/>
        </w:rPr>
        <w:t>.城南新区商业中心</w:t>
      </w:r>
    </w:p>
    <w:p>
      <w:pPr>
        <w:ind w:firstLine="640"/>
        <w:rPr>
          <w:rFonts w:hint="eastAsia" w:ascii="仿宋_GB2312" w:hAnsi="仿宋_GB2312" w:eastAsia="仿宋_GB2312" w:cs="仿宋_GB2312"/>
          <w:highlight w:val="yellow"/>
        </w:rPr>
      </w:pPr>
      <w:r>
        <w:rPr>
          <w:rFonts w:hint="eastAsia" w:ascii="仿宋_GB2312" w:hAnsi="仿宋_GB2312" w:eastAsia="仿宋_GB2312" w:cs="仿宋_GB2312"/>
        </w:rPr>
        <w:t>范围：同心大道、罗山路与清水街围合区域。</w:t>
      </w:r>
      <w:r>
        <w:rPr>
          <w:rFonts w:hint="eastAsia" w:ascii="仿宋_GB2312" w:hAnsi="仿宋_GB2312" w:eastAsia="仿宋_GB2312" w:cs="仿宋_GB2312"/>
          <w:highlight w:val="none"/>
        </w:rPr>
        <w:t>其中，核心商业范围为学园路和三水街区域。</w:t>
      </w:r>
    </w:p>
    <w:p>
      <w:pPr>
        <w:ind w:firstLine="640"/>
        <w:rPr>
          <w:rFonts w:hint="eastAsia" w:ascii="仿宋_GB2312" w:hAnsi="仿宋_GB2312" w:eastAsia="仿宋_GB2312" w:cs="仿宋_GB2312"/>
        </w:rPr>
      </w:pPr>
      <w:r>
        <w:rPr>
          <w:rFonts w:hint="eastAsia" w:ascii="仿宋_GB2312" w:hAnsi="仿宋_GB2312" w:eastAsia="仿宋_GB2312" w:cs="仿宋_GB2312"/>
        </w:rPr>
        <w:t>功能定位：以生活消费、文体教育、休闲娱乐消费为主要功能的片区级商业中心。</w:t>
      </w:r>
    </w:p>
    <w:p>
      <w:pPr>
        <w:ind w:firstLine="640"/>
        <w:rPr>
          <w:rFonts w:hint="eastAsia" w:ascii="仿宋_GB2312" w:hAnsi="仿宋_GB2312" w:eastAsia="仿宋_GB2312" w:cs="仿宋_GB2312"/>
        </w:rPr>
      </w:pPr>
      <w:r>
        <w:rPr>
          <w:rFonts w:hint="eastAsia" w:ascii="仿宋_GB2312" w:hAnsi="仿宋_GB2312" w:eastAsia="仿宋_GB2312" w:cs="仿宋_GB2312"/>
        </w:rPr>
        <w:t>规划引导：以皓月新都金融商业街</w:t>
      </w:r>
      <w:r>
        <w:rPr>
          <w:rFonts w:hint="eastAsia" w:ascii="仿宋_GB2312" w:hAnsi="仿宋_GB2312" w:cs="仿宋_GB2312"/>
          <w:lang w:val="en-US" w:eastAsia="zh-Hans"/>
        </w:rPr>
        <w:t>和在建的</w:t>
      </w:r>
      <w:r>
        <w:rPr>
          <w:rFonts w:hint="eastAsia" w:ascii="仿宋_GB2312" w:hAnsi="仿宋_GB2312" w:eastAsia="仿宋_GB2312" w:cs="仿宋_GB2312"/>
        </w:rPr>
        <w:t>三水商业街为核心商业载体，围绕片区居民及行政机关事业单位人士消费需求和特点，积极引入时尚商品消费、文体教育、特色餐饮小吃、娱乐休闲类商业设施。重点发展商务休闲、主题消费以及家庭综合消费网点。加快三水商业街及新区商业综合体的建设，构建新城区现代生活方式体验中心、多元化休闲消费体验场所。兼顾片区居民日常生活消费需求，提升基础便民商业设施品质和服务功能。</w:t>
      </w:r>
    </w:p>
    <w:p>
      <w:pPr>
        <w:pStyle w:val="2"/>
        <w:spacing w:before="156" w:after="156"/>
        <w:ind w:firstLine="643"/>
      </w:pPr>
      <w:bookmarkStart w:id="66" w:name="_Toc30396"/>
      <w:bookmarkStart w:id="67" w:name="_Toc14518"/>
      <w:bookmarkStart w:id="68" w:name="_Toc799"/>
      <w:r>
        <w:rPr>
          <w:rFonts w:hint="eastAsia"/>
        </w:rPr>
        <w:t>（三）特色商业街区</w:t>
      </w:r>
      <w:bookmarkEnd w:id="66"/>
    </w:p>
    <w:p>
      <w:pPr>
        <w:ind w:firstLine="640"/>
        <w:rPr>
          <w:rFonts w:hint="eastAsia" w:ascii="仿宋_GB2312" w:hAnsi="仿宋_GB2312" w:eastAsia="仿宋_GB2312" w:cs="仿宋_GB2312"/>
          <w:highlight w:val="yellow"/>
        </w:rPr>
      </w:pPr>
      <w:r>
        <w:rPr>
          <w:rFonts w:hint="eastAsia" w:ascii="仿宋_GB2312" w:hAnsi="仿宋_GB2312" w:eastAsia="仿宋_GB2312" w:cs="仿宋_GB2312"/>
        </w:rPr>
        <w:t>遵循“坚持立足存量、改造提升”的原则，重点引导文化用品、休闲娱乐、服饰、旅游纪念品和餐饮休闲等符合现代消费趋势的商业特色街。对具有传统文化特色的商业街，要保护、开发其文化价值，促进传统特色与时尚消费的协调；适当保留老字号店铺，限制发展破坏文物和影响文物景观的商业网点。规划期内重点打造5条特色商业街（区），包括豫海南街特色商业街、富兴美食（特色面点）街、永安路特色商业街区、荣世广场小吃街</w:t>
      </w:r>
      <w:r>
        <w:rPr>
          <w:rFonts w:hint="eastAsia" w:ascii="仿宋_GB2312" w:hAnsi="仿宋_GB2312" w:eastAsia="仿宋_GB2312" w:cs="仿宋_GB2312"/>
          <w:highlight w:val="none"/>
        </w:rPr>
        <w:t>、</w:t>
      </w:r>
      <w:r>
        <w:rPr>
          <w:rFonts w:hint="eastAsia" w:ascii="仿宋_GB2312" w:hAnsi="仿宋_GB2312" w:cs="仿宋_GB2312"/>
          <w:highlight w:val="none"/>
          <w:lang w:val="en-US" w:eastAsia="zh-Hans"/>
        </w:rPr>
        <w:t>皓月新都</w:t>
      </w:r>
      <w:r>
        <w:rPr>
          <w:rFonts w:hint="eastAsia" w:ascii="仿宋_GB2312" w:hAnsi="仿宋_GB2312" w:eastAsia="仿宋_GB2312" w:cs="仿宋_GB2312"/>
          <w:highlight w:val="none"/>
        </w:rPr>
        <w:t>商业街。</w:t>
      </w:r>
    </w:p>
    <w:p>
      <w:pPr>
        <w:rPr>
          <w:rFonts w:hint="eastAsia" w:ascii="仿宋_GB2312" w:hAnsi="仿宋_GB2312" w:eastAsia="仿宋_GB2312" w:cs="仿宋_GB2312"/>
        </w:rPr>
      </w:pPr>
      <w:r>
        <w:rPr>
          <w:rFonts w:hint="eastAsia" w:ascii="仿宋_GB2312" w:hAnsi="仿宋_GB2312" w:eastAsia="仿宋_GB2312" w:cs="仿宋_GB2312"/>
          <w:b/>
          <w:bCs/>
        </w:rPr>
        <w:t>豫海街特色商业街：</w:t>
      </w:r>
      <w:r>
        <w:rPr>
          <w:rFonts w:hint="eastAsia" w:ascii="仿宋_GB2312" w:hAnsi="仿宋_GB2312" w:eastAsia="仿宋_GB2312" w:cs="仿宋_GB2312"/>
        </w:rPr>
        <w:t>北至北环路，南到银平西路，</w:t>
      </w:r>
      <w:r>
        <w:rPr>
          <w:rFonts w:hint="eastAsia" w:ascii="仿宋_GB2312" w:hAnsi="仿宋_GB2312" w:eastAsia="仿宋_GB2312" w:cs="仿宋_GB2312"/>
          <w:lang w:val="en-US" w:eastAsia="zh-CN"/>
        </w:rPr>
        <w:t>包含生海商业街，</w:t>
      </w:r>
      <w:r>
        <w:rPr>
          <w:rFonts w:hint="eastAsia" w:ascii="仿宋_GB2312" w:hAnsi="仿宋_GB2312" w:eastAsia="仿宋_GB2312" w:cs="仿宋_GB2312"/>
        </w:rPr>
        <w:t>全长1300米。以综合消费为主的商业街区。重点依托豫海南街、豫海北街两侧奇虎商厦、生海商厦、同心购物中心</w:t>
      </w:r>
      <w:r>
        <w:rPr>
          <w:rFonts w:hint="eastAsia" w:ascii="仿宋_GB2312" w:hAnsi="仿宋_GB2312" w:cs="仿宋_GB2312"/>
          <w:lang w:val="en-US" w:eastAsia="zh-CN"/>
        </w:rPr>
        <w:t>等设施</w:t>
      </w:r>
      <w:r>
        <w:rPr>
          <w:rFonts w:hint="eastAsia" w:ascii="仿宋_GB2312" w:hAnsi="仿宋_GB2312" w:cs="仿宋_GB2312"/>
          <w:lang w:eastAsia="zh-CN"/>
        </w:rPr>
        <w:t>，</w:t>
      </w:r>
      <w:r>
        <w:rPr>
          <w:rFonts w:hint="eastAsia" w:ascii="仿宋_GB2312" w:hAnsi="仿宋_GB2312" w:cs="仿宋_GB2312"/>
          <w:lang w:val="en-US" w:eastAsia="zh-CN"/>
        </w:rPr>
        <w:t>大力发展</w:t>
      </w:r>
      <w:r>
        <w:rPr>
          <w:rFonts w:hint="eastAsia" w:ascii="仿宋_GB2312" w:hAnsi="仿宋_GB2312" w:eastAsia="仿宋_GB2312" w:cs="仿宋_GB2312"/>
        </w:rPr>
        <w:t>黄金珠宝、时尚服饰、特色餐饮、休闲娱乐等商业业态，规划期内，以“高端化、精品化、时尚化”为主要理念，完善配套功能，加强招商运营，主要发展购物中心百货店、精品折扣店、各类专业店、专卖店、商务酒店、商务会所、餐饮娱乐网点等业态，提升商业档次和服务品质，打造集购物、餐饮、娱乐、休闲等服务功能完善的高品质综合性商业街区。</w:t>
      </w:r>
    </w:p>
    <w:p>
      <w:pPr>
        <w:rPr>
          <w:rFonts w:hint="eastAsia" w:ascii="仿宋_GB2312" w:hAnsi="仿宋_GB2312" w:eastAsia="仿宋_GB2312" w:cs="仿宋_GB2312"/>
        </w:rPr>
      </w:pPr>
      <w:r>
        <w:rPr>
          <w:rFonts w:hint="eastAsia" w:ascii="仿宋_GB2312" w:hAnsi="仿宋_GB2312" w:eastAsia="仿宋_GB2312" w:cs="仿宋_GB2312"/>
          <w:b/>
          <w:bCs/>
        </w:rPr>
        <w:t>富兴美食（特色面点）街：</w:t>
      </w:r>
      <w:r>
        <w:rPr>
          <w:rFonts w:hint="eastAsia" w:ascii="仿宋_GB2312" w:hAnsi="仿宋_GB2312" w:eastAsia="仿宋_GB2312" w:cs="仿宋_GB2312"/>
        </w:rPr>
        <w:t>南到富兴商住北门，西至富兴市场西门，全长200米。以特色餐饮为主的美食街区。依托两侧县域特色餐饮、面点等店铺，大力发展特色面点、特色小吃等地方餐饮。规划期内，重点对沿街商铺门窗、牌匾、招牌、广告、标志、店外照明和沿街路标等进行翻新改造，加强街道环境、卫生管理，提升街道形象水平。</w:t>
      </w:r>
    </w:p>
    <w:p>
      <w:pPr>
        <w:spacing w:line="600" w:lineRule="exact"/>
        <w:ind w:firstLine="643"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b/>
          <w:bCs/>
          <w:highlight w:val="none"/>
        </w:rPr>
        <w:t>永安路特色商业街区：</w:t>
      </w:r>
      <w:r>
        <w:rPr>
          <w:rFonts w:hint="eastAsia" w:ascii="仿宋_GB2312" w:hAnsi="仿宋_GB2312" w:eastAsia="仿宋_GB2312" w:cs="仿宋_GB2312"/>
          <w:highlight w:val="none"/>
        </w:rPr>
        <w:t>坐落于永安路，南北贯通，全长380米。绕清水湾小区两侧临街商业设施打造餐饮美食特色街区</w:t>
      </w:r>
      <w:r>
        <w:rPr>
          <w:rFonts w:hint="eastAsia" w:ascii="仿宋_GB2312" w:hAnsi="仿宋_GB2312" w:eastAsia="仿宋_GB2312" w:cs="仿宋_GB2312"/>
          <w:highlight w:val="none"/>
          <w:lang w:eastAsia="zh-CN"/>
        </w:rPr>
        <w:t>。</w:t>
      </w:r>
      <w:r>
        <w:rPr>
          <w:rFonts w:hint="eastAsia" w:ascii="仿宋_GB2312" w:hAnsi="仿宋_GB2312" w:eastAsia="仿宋_GB2312" w:cs="仿宋_GB2312"/>
          <w:sz w:val="32"/>
          <w:highlight w:val="none"/>
          <w:lang w:val="en-US" w:eastAsia="zh-CN"/>
        </w:rPr>
        <w:t>规划期内，</w:t>
      </w:r>
      <w:r>
        <w:rPr>
          <w:rFonts w:hint="eastAsia" w:ascii="仿宋_GB2312" w:hAnsi="仿宋_GB2312" w:cs="仿宋_GB2312"/>
          <w:sz w:val="32"/>
          <w:highlight w:val="none"/>
          <w:lang w:val="en-US" w:eastAsia="zh-Hans"/>
        </w:rPr>
        <w:t>重点引入同心地方特色餐饮和连锁餐饮企业</w:t>
      </w:r>
      <w:r>
        <w:rPr>
          <w:rFonts w:hint="default" w:ascii="仿宋_GB2312" w:hAnsi="仿宋_GB2312" w:cs="仿宋_GB2312"/>
          <w:sz w:val="32"/>
          <w:highlight w:val="none"/>
          <w:lang w:eastAsia="zh-Hans"/>
        </w:rPr>
        <w:t>，</w:t>
      </w:r>
      <w:r>
        <w:rPr>
          <w:rFonts w:hint="eastAsia" w:ascii="仿宋_GB2312" w:hAnsi="仿宋_GB2312" w:eastAsia="仿宋_GB2312" w:cs="仿宋_GB2312"/>
          <w:sz w:val="32"/>
          <w:highlight w:val="none"/>
          <w:lang w:val="en-US" w:eastAsia="zh-CN"/>
        </w:rPr>
        <w:t>发展中高档次餐</w:t>
      </w:r>
      <w:r>
        <w:rPr>
          <w:rFonts w:hint="eastAsia" w:ascii="仿宋_GB2312" w:hAnsi="仿宋_GB2312" w:eastAsia="仿宋_GB2312" w:cs="仿宋_GB2312"/>
          <w:sz w:val="32"/>
          <w:lang w:val="en-US" w:eastAsia="zh-CN"/>
        </w:rPr>
        <w:t>饮</w:t>
      </w:r>
      <w:r>
        <w:rPr>
          <w:rFonts w:hint="eastAsia" w:ascii="仿宋_GB2312" w:hAnsi="仿宋_GB2312" w:cs="仿宋_GB2312"/>
          <w:sz w:val="32"/>
          <w:lang w:val="en-US" w:eastAsia="zh-Hans"/>
        </w:rPr>
        <w:t>业态</w:t>
      </w:r>
      <w:r>
        <w:rPr>
          <w:rFonts w:hint="eastAsia" w:ascii="仿宋_GB2312" w:hAnsi="仿宋_GB2312" w:eastAsia="仿宋_GB2312" w:cs="仿宋_GB2312"/>
          <w:sz w:val="32"/>
          <w:lang w:val="en-US" w:eastAsia="zh-CN"/>
        </w:rPr>
        <w:t>，打造餐饮街区，同时完善街区休闲娱乐等服务网点，配套建设停车场等设施。</w:t>
      </w:r>
    </w:p>
    <w:p>
      <w:pPr>
        <w:rPr>
          <w:rFonts w:hint="eastAsia" w:ascii="仿宋_GB2312" w:hAnsi="仿宋_GB2312" w:eastAsia="仿宋_GB2312" w:cs="仿宋_GB2312"/>
        </w:rPr>
      </w:pPr>
      <w:r>
        <w:rPr>
          <w:rFonts w:hint="eastAsia" w:ascii="仿宋_GB2312" w:hAnsi="仿宋_GB2312" w:eastAsia="仿宋_GB2312" w:cs="仿宋_GB2312"/>
          <w:b/>
          <w:bCs/>
        </w:rPr>
        <w:t>荣世广场夜市美食街：</w:t>
      </w:r>
      <w:r>
        <w:rPr>
          <w:rFonts w:hint="eastAsia" w:ascii="仿宋_GB2312" w:hAnsi="仿宋_GB2312" w:eastAsia="仿宋_GB2312" w:cs="仿宋_GB2312"/>
        </w:rPr>
        <w:t>东至荣世商场、西至豫海北街，全长200米。现形成以大众餐饮、服饰类、食品类服务为主的商业业态，夜间</w:t>
      </w:r>
      <w:r>
        <w:rPr>
          <w:rFonts w:hint="eastAsia" w:ascii="仿宋_GB2312" w:hAnsi="仿宋_GB2312" w:cs="仿宋_GB2312"/>
          <w:lang w:val="en-US" w:eastAsia="zh-CN"/>
        </w:rPr>
        <w:t>配置</w:t>
      </w:r>
      <w:r>
        <w:rPr>
          <w:rFonts w:hint="eastAsia" w:ascii="仿宋_GB2312" w:hAnsi="仿宋_GB2312" w:eastAsia="仿宋_GB2312" w:cs="仿宋_GB2312"/>
        </w:rPr>
        <w:t>美食</w:t>
      </w:r>
      <w:r>
        <w:rPr>
          <w:rFonts w:hint="eastAsia" w:ascii="仿宋_GB2312" w:hAnsi="仿宋_GB2312" w:cs="仿宋_GB2312"/>
          <w:lang w:val="en-US" w:eastAsia="zh-Hans"/>
        </w:rPr>
        <w:t>移动餐</w:t>
      </w:r>
      <w:r>
        <w:rPr>
          <w:rFonts w:hint="eastAsia" w:ascii="仿宋_GB2312" w:hAnsi="仿宋_GB2312" w:eastAsia="仿宋_GB2312" w:cs="仿宋_GB2312"/>
        </w:rPr>
        <w:t>车。规划期内，建设以展示同心县特色为主的夜市美食街，建设统一标准化经营摊位，引导业态进行调整，打造以特色餐饮、夜宵夜市、生活集市为主的夜市美食街，服务于本地居民。</w:t>
      </w:r>
    </w:p>
    <w:p>
      <w:pPr>
        <w:keepNext w:val="0"/>
        <w:keepLines w:val="0"/>
        <w:widowControl/>
        <w:suppressLineNumbers w:val="0"/>
        <w:jc w:val="left"/>
      </w:pPr>
      <w:r>
        <w:rPr>
          <w:rFonts w:hint="eastAsia" w:ascii="仿宋_GB2312" w:hAnsi="仿宋_GB2312" w:cs="仿宋_GB2312"/>
          <w:b/>
          <w:bCs/>
          <w:lang w:val="en-US" w:eastAsia="zh-Hans"/>
        </w:rPr>
        <w:t>皓月新都商业街区</w:t>
      </w:r>
      <w:r>
        <w:rPr>
          <w:rFonts w:hint="eastAsia" w:ascii="仿宋_GB2312" w:hAnsi="仿宋_GB2312" w:eastAsia="仿宋_GB2312" w:cs="仿宋_GB2312"/>
          <w:b/>
          <w:bCs/>
        </w:rPr>
        <w:t>：</w:t>
      </w:r>
      <w:r>
        <w:rPr>
          <w:rFonts w:hint="eastAsia" w:ascii="仿宋_GB2312" w:hAnsi="仿宋_GB2312" w:eastAsia="仿宋_GB2312" w:cs="仿宋_GB2312"/>
          <w:sz w:val="32"/>
          <w:szCs w:val="32"/>
        </w:rPr>
        <w:t>位于同心新区商圈范围内，长约</w:t>
      </w:r>
      <w:r>
        <w:rPr>
          <w:rFonts w:hint="eastAsia" w:ascii="仿宋_GB2312" w:hAnsi="仿宋_GB2312" w:cs="仿宋_GB2312"/>
          <w:sz w:val="32"/>
          <w:szCs w:val="32"/>
          <w:lang w:val="en-US" w:eastAsia="zh-CN"/>
        </w:rPr>
        <w:t>35</w:t>
      </w:r>
      <w:r>
        <w:rPr>
          <w:rFonts w:hint="eastAsia" w:ascii="仿宋_GB2312" w:hAnsi="仿宋_GB2312" w:eastAsia="仿宋_GB2312" w:cs="仿宋_GB2312"/>
          <w:sz w:val="32"/>
          <w:szCs w:val="32"/>
        </w:rPr>
        <w:t>0米</w:t>
      </w:r>
      <w:r>
        <w:rPr>
          <w:rFonts w:hint="eastAsia" w:ascii="仿宋_GB2312" w:hAnsi="仿宋_GB2312" w:cs="仿宋_GB2312"/>
          <w:sz w:val="32"/>
          <w:szCs w:val="32"/>
          <w:lang w:eastAsia="zh-CN"/>
        </w:rPr>
        <w:t>，</w:t>
      </w:r>
      <w:r>
        <w:rPr>
          <w:rFonts w:hint="eastAsia" w:ascii="仿宋_GB2312" w:hAnsi="仿宋_GB2312" w:eastAsia="仿宋_GB2312" w:cs="仿宋_GB2312"/>
          <w:sz w:val="32"/>
          <w:szCs w:val="32"/>
        </w:rPr>
        <w:t>以</w:t>
      </w:r>
      <w:r>
        <w:rPr>
          <w:rFonts w:hint="eastAsia" w:ascii="仿宋_GB2312" w:hAnsi="仿宋_GB2312" w:eastAsia="仿宋_GB2312" w:cs="仿宋_GB2312"/>
          <w:sz w:val="32"/>
          <w:szCs w:val="32"/>
          <w:lang w:val="en-US" w:eastAsia="zh-CN"/>
        </w:rPr>
        <w:t>综合</w:t>
      </w:r>
      <w:r>
        <w:rPr>
          <w:rFonts w:hint="eastAsia" w:ascii="仿宋_GB2312" w:hAnsi="仿宋_GB2312" w:eastAsia="仿宋_GB2312" w:cs="仿宋_GB2312"/>
          <w:sz w:val="32"/>
          <w:szCs w:val="32"/>
        </w:rPr>
        <w:t>服务为主导的商业街。</w:t>
      </w:r>
      <w:r>
        <w:rPr>
          <w:rFonts w:ascii="仿宋_GB2312" w:hAnsi="宋体" w:eastAsia="仿宋_GB2312" w:cs="仿宋_GB2312"/>
          <w:color w:val="000000"/>
          <w:kern w:val="0"/>
          <w:sz w:val="32"/>
          <w:szCs w:val="32"/>
          <w:lang w:val="en-US" w:eastAsia="zh-CN" w:bidi="ar"/>
        </w:rPr>
        <w:t>规划期内，</w:t>
      </w:r>
      <w:r>
        <w:rPr>
          <w:rFonts w:hint="eastAsia" w:ascii="仿宋_GB2312" w:hAnsi="仿宋_GB2312" w:eastAsia="仿宋_GB2312" w:cs="仿宋_GB2312"/>
          <w:sz w:val="32"/>
          <w:szCs w:val="32"/>
        </w:rPr>
        <w:t>迎合</w:t>
      </w:r>
      <w:r>
        <w:rPr>
          <w:rFonts w:hint="eastAsia" w:ascii="仿宋_GB2312" w:hAnsi="仿宋_GB2312" w:cs="仿宋_GB2312"/>
          <w:sz w:val="32"/>
          <w:szCs w:val="32"/>
          <w:lang w:val="en-US" w:eastAsia="zh-CN"/>
        </w:rPr>
        <w:t>新区居民</w:t>
      </w:r>
      <w:r>
        <w:rPr>
          <w:rFonts w:hint="eastAsia" w:ascii="仿宋_GB2312" w:hAnsi="仿宋_GB2312" w:eastAsia="仿宋_GB2312" w:cs="仿宋_GB2312"/>
          <w:sz w:val="32"/>
          <w:szCs w:val="32"/>
        </w:rPr>
        <w:t>消费需求，</w:t>
      </w:r>
      <w:r>
        <w:rPr>
          <w:rFonts w:hint="eastAsia" w:ascii="仿宋_GB2312" w:hAnsi="宋体" w:eastAsia="仿宋_GB2312" w:cs="仿宋_GB2312"/>
          <w:color w:val="000000"/>
          <w:kern w:val="0"/>
          <w:sz w:val="32"/>
          <w:szCs w:val="32"/>
          <w:lang w:val="en-US" w:eastAsia="zh-CN" w:bidi="ar"/>
        </w:rPr>
        <w:t>优化街区经营环境，适当延伸街区长度，增强集聚效应；调整现有商业业态，丰富不足业态，</w:t>
      </w:r>
      <w:r>
        <w:rPr>
          <w:rFonts w:hint="eastAsia" w:ascii="仿宋_GB2312" w:hAnsi="仿宋_GB2312" w:eastAsia="仿宋_GB2312" w:cs="仿宋_GB2312"/>
          <w:sz w:val="32"/>
          <w:szCs w:val="32"/>
        </w:rPr>
        <w:t>重点发展</w:t>
      </w:r>
      <w:r>
        <w:rPr>
          <w:rFonts w:hint="eastAsia" w:ascii="仿宋_GB2312" w:hAnsi="仿宋_GB2312" w:cs="仿宋_GB2312"/>
          <w:sz w:val="32"/>
          <w:szCs w:val="32"/>
          <w:lang w:val="en-US" w:eastAsia="zh-CN"/>
        </w:rPr>
        <w:t>百货店、专业店、</w:t>
      </w:r>
      <w:r>
        <w:rPr>
          <w:rFonts w:hint="eastAsia" w:ascii="仿宋_GB2312" w:hAnsi="仿宋_GB2312" w:eastAsia="仿宋_GB2312" w:cs="仿宋_GB2312"/>
          <w:sz w:val="32"/>
          <w:szCs w:val="32"/>
        </w:rPr>
        <w:t>专业店、</w:t>
      </w:r>
      <w:r>
        <w:rPr>
          <w:rFonts w:hint="eastAsia" w:ascii="仿宋_GB2312" w:hAnsi="仿宋_GB2312" w:cs="仿宋_GB2312"/>
          <w:sz w:val="32"/>
          <w:szCs w:val="32"/>
          <w:lang w:val="en-US" w:eastAsia="zh-CN"/>
        </w:rPr>
        <w:t>大型超市以及</w:t>
      </w:r>
      <w:r>
        <w:rPr>
          <w:rFonts w:hint="eastAsia" w:ascii="仿宋_GB2312" w:hAnsi="仿宋_GB2312" w:eastAsia="仿宋_GB2312" w:cs="仿宋_GB2312"/>
          <w:sz w:val="32"/>
          <w:szCs w:val="32"/>
        </w:rPr>
        <w:t>各类餐饮、住宿、休闲消费</w:t>
      </w:r>
      <w:r>
        <w:rPr>
          <w:rFonts w:hint="eastAsia" w:ascii="仿宋_GB2312" w:hAnsi="仿宋_GB2312" w:cs="仿宋_GB2312"/>
          <w:sz w:val="32"/>
          <w:szCs w:val="32"/>
          <w:highlight w:val="none"/>
          <w:lang w:val="en-US" w:eastAsia="zh-CN"/>
        </w:rPr>
        <w:t>设施</w:t>
      </w:r>
      <w:r>
        <w:rPr>
          <w:rFonts w:hint="eastAsia" w:ascii="仿宋_GB2312" w:hAnsi="仿宋_GB2312" w:eastAsia="仿宋_GB2312" w:cs="仿宋_GB2312"/>
          <w:sz w:val="32"/>
          <w:szCs w:val="32"/>
          <w:highlight w:val="none"/>
        </w:rPr>
        <w:t>，</w:t>
      </w:r>
      <w:r>
        <w:rPr>
          <w:rFonts w:hint="eastAsia" w:ascii="仿宋_GB2312" w:hAnsi="宋体" w:eastAsia="仿宋_GB2312" w:cs="仿宋_GB2312"/>
          <w:color w:val="000000"/>
          <w:kern w:val="0"/>
          <w:sz w:val="32"/>
          <w:szCs w:val="32"/>
          <w:lang w:val="en-US" w:eastAsia="zh-CN" w:bidi="ar"/>
        </w:rPr>
        <w:t>构建集生活购物、休闲娱乐、大众餐饮于一体的综合性街区</w:t>
      </w:r>
      <w:r>
        <w:rPr>
          <w:rFonts w:hint="eastAsia" w:ascii="仿宋_GB2312" w:hAnsi="宋体" w:cs="仿宋_GB2312"/>
          <w:color w:val="000000"/>
          <w:kern w:val="0"/>
          <w:sz w:val="32"/>
          <w:szCs w:val="32"/>
          <w:lang w:val="en-US" w:eastAsia="zh-CN" w:bidi="ar"/>
        </w:rPr>
        <w:t>。</w:t>
      </w:r>
      <w:r>
        <w:rPr>
          <w:rFonts w:ascii="仿宋_GB2312" w:hAnsi="宋体" w:eastAsia="仿宋_GB2312" w:cs="仿宋_GB2312"/>
          <w:color w:val="000000"/>
          <w:kern w:val="0"/>
          <w:sz w:val="32"/>
          <w:szCs w:val="32"/>
          <w:lang w:val="en-US" w:eastAsia="zh-CN" w:bidi="ar"/>
        </w:rPr>
        <w:t>依托</w:t>
      </w:r>
      <w:r>
        <w:rPr>
          <w:rFonts w:hint="eastAsia" w:ascii="仿宋_GB2312" w:hAnsi="宋体" w:cs="仿宋_GB2312"/>
          <w:color w:val="000000"/>
          <w:kern w:val="0"/>
          <w:sz w:val="32"/>
          <w:szCs w:val="32"/>
          <w:lang w:val="en-US" w:eastAsia="zh-CN" w:bidi="ar"/>
        </w:rPr>
        <w:t>新</w:t>
      </w:r>
      <w:r>
        <w:rPr>
          <w:rFonts w:ascii="仿宋_GB2312" w:hAnsi="宋体" w:eastAsia="仿宋_GB2312" w:cs="仿宋_GB2312"/>
          <w:color w:val="000000"/>
          <w:kern w:val="0"/>
          <w:sz w:val="32"/>
          <w:szCs w:val="32"/>
          <w:lang w:val="en-US" w:eastAsia="zh-CN" w:bidi="ar"/>
        </w:rPr>
        <w:t>区商业中心的建设，打</w:t>
      </w:r>
      <w:r>
        <w:rPr>
          <w:rFonts w:hint="eastAsia" w:ascii="仿宋_GB2312" w:hAnsi="宋体" w:eastAsia="仿宋_GB2312" w:cs="仿宋_GB2312"/>
          <w:color w:val="000000"/>
          <w:kern w:val="0"/>
          <w:sz w:val="32"/>
          <w:szCs w:val="32"/>
          <w:lang w:val="en-US" w:eastAsia="zh-CN" w:bidi="ar"/>
        </w:rPr>
        <w:t>造成为</w:t>
      </w:r>
      <w:r>
        <w:rPr>
          <w:rFonts w:hint="eastAsia" w:ascii="仿宋_GB2312" w:hAnsi="宋体" w:cs="仿宋_GB2312"/>
          <w:color w:val="000000"/>
          <w:kern w:val="0"/>
          <w:sz w:val="32"/>
          <w:szCs w:val="32"/>
          <w:lang w:val="en-US" w:eastAsia="zh-CN" w:bidi="ar"/>
        </w:rPr>
        <w:t>新区</w:t>
      </w:r>
      <w:r>
        <w:rPr>
          <w:rFonts w:hint="eastAsia" w:ascii="仿宋_GB2312" w:hAnsi="宋体" w:eastAsia="仿宋_GB2312" w:cs="仿宋_GB2312"/>
          <w:color w:val="000000"/>
          <w:kern w:val="0"/>
          <w:sz w:val="32"/>
          <w:szCs w:val="32"/>
          <w:lang w:val="en-US" w:eastAsia="zh-CN" w:bidi="ar"/>
        </w:rPr>
        <w:t>高品位步行街，提升</w:t>
      </w:r>
      <w:r>
        <w:rPr>
          <w:rFonts w:hint="eastAsia" w:ascii="仿宋_GB2312" w:hAnsi="宋体" w:cs="仿宋_GB2312"/>
          <w:color w:val="000000"/>
          <w:kern w:val="0"/>
          <w:sz w:val="32"/>
          <w:szCs w:val="32"/>
          <w:lang w:val="en-US" w:eastAsia="zh-CN" w:bidi="ar"/>
        </w:rPr>
        <w:t>新区</w:t>
      </w:r>
      <w:r>
        <w:rPr>
          <w:rFonts w:hint="eastAsia" w:ascii="仿宋_GB2312" w:hAnsi="宋体" w:eastAsia="仿宋_GB2312" w:cs="仿宋_GB2312"/>
          <w:color w:val="000000"/>
          <w:kern w:val="0"/>
          <w:sz w:val="32"/>
          <w:szCs w:val="32"/>
          <w:lang w:val="en-US" w:eastAsia="zh-CN" w:bidi="ar"/>
        </w:rPr>
        <w:t>消费水平</w:t>
      </w:r>
      <w:r>
        <w:rPr>
          <w:rFonts w:hint="eastAsia" w:ascii="仿宋_GB2312" w:hAnsi="宋体" w:cs="仿宋_GB2312"/>
          <w:color w:val="000000"/>
          <w:kern w:val="0"/>
          <w:sz w:val="32"/>
          <w:szCs w:val="32"/>
          <w:lang w:val="en-US" w:eastAsia="zh-CN" w:bidi="ar"/>
        </w:rPr>
        <w:t>。</w:t>
      </w:r>
    </w:p>
    <w:p>
      <w:pPr>
        <w:ind w:firstLine="560"/>
        <w:jc w:val="center"/>
        <w:rPr>
          <w:rFonts w:hint="eastAsia" w:ascii="黑体" w:hAnsi="黑体" w:eastAsia="黑体" w:cs="黑体"/>
          <w:sz w:val="24"/>
          <w:szCs w:val="24"/>
          <w:highlight w:val="none"/>
        </w:rPr>
      </w:pPr>
      <w:r>
        <w:rPr>
          <w:rFonts w:hint="eastAsia" w:ascii="黑体" w:hAnsi="黑体" w:eastAsia="黑体" w:cs="黑体"/>
          <w:sz w:val="24"/>
          <w:szCs w:val="24"/>
          <w:highlight w:val="none"/>
        </w:rPr>
        <w:t>表</w:t>
      </w:r>
      <w:r>
        <w:rPr>
          <w:rFonts w:hint="eastAsia" w:ascii="黑体" w:hAnsi="黑体" w:eastAsia="黑体" w:cs="黑体"/>
          <w:sz w:val="24"/>
          <w:szCs w:val="24"/>
          <w:highlight w:val="none"/>
          <w:lang w:val="en-US" w:eastAsia="zh-CN"/>
        </w:rPr>
        <w:t>5</w:t>
      </w:r>
      <w:r>
        <w:rPr>
          <w:rFonts w:hint="eastAsia" w:ascii="黑体" w:hAnsi="黑体" w:eastAsia="黑体" w:cs="黑体"/>
          <w:sz w:val="24"/>
          <w:szCs w:val="24"/>
          <w:highlight w:val="none"/>
        </w:rPr>
        <w:t xml:space="preserve"> 特色商业街规划一览表</w:t>
      </w:r>
    </w:p>
    <w:tbl>
      <w:tblPr>
        <w:tblStyle w:val="27"/>
        <w:tblW w:w="4737" w:type="pct"/>
        <w:tblInd w:w="27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4"/>
        <w:gridCol w:w="2191"/>
        <w:gridCol w:w="3200"/>
        <w:gridCol w:w="1034"/>
        <w:gridCol w:w="12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02" w:hRule="atLeast"/>
        </w:trPr>
        <w:tc>
          <w:tcPr>
            <w:tcW w:w="477" w:type="pct"/>
            <w:shd w:val="clear" w:color="auto" w:fill="auto"/>
            <w:vAlign w:val="center"/>
          </w:tcPr>
          <w:p>
            <w:pPr>
              <w:snapToGrid w:val="0"/>
              <w:spacing w:line="360" w:lineRule="exact"/>
              <w:ind w:firstLine="0" w:firstLineChars="0"/>
              <w:jc w:val="center"/>
              <w:rPr>
                <w:rFonts w:ascii="宋体" w:hAnsi="宋体" w:eastAsia="宋体" w:cs="宋体"/>
                <w:b/>
                <w:bCs/>
                <w:sz w:val="24"/>
              </w:rPr>
            </w:pPr>
            <w:r>
              <w:rPr>
                <w:rFonts w:hint="eastAsia" w:ascii="宋体" w:hAnsi="宋体" w:eastAsia="宋体" w:cs="宋体"/>
                <w:b/>
                <w:bCs/>
                <w:sz w:val="24"/>
              </w:rPr>
              <w:t>序号</w:t>
            </w:r>
          </w:p>
        </w:tc>
        <w:tc>
          <w:tcPr>
            <w:tcW w:w="1284" w:type="pct"/>
            <w:shd w:val="clear" w:color="auto" w:fill="auto"/>
            <w:vAlign w:val="center"/>
          </w:tcPr>
          <w:p>
            <w:pPr>
              <w:snapToGrid w:val="0"/>
              <w:spacing w:line="360" w:lineRule="exact"/>
              <w:ind w:firstLine="0" w:firstLineChars="0"/>
              <w:jc w:val="center"/>
              <w:rPr>
                <w:rFonts w:ascii="宋体" w:hAnsi="宋体" w:eastAsia="宋体" w:cs="宋体"/>
                <w:b/>
                <w:bCs/>
                <w:sz w:val="24"/>
              </w:rPr>
            </w:pPr>
            <w:r>
              <w:rPr>
                <w:rFonts w:hint="eastAsia" w:ascii="宋体" w:hAnsi="宋体" w:eastAsia="宋体" w:cs="宋体"/>
                <w:b/>
                <w:bCs/>
                <w:sz w:val="24"/>
              </w:rPr>
              <w:t>名称</w:t>
            </w:r>
          </w:p>
        </w:tc>
        <w:tc>
          <w:tcPr>
            <w:tcW w:w="1875" w:type="pct"/>
            <w:shd w:val="clear" w:color="auto" w:fill="auto"/>
            <w:vAlign w:val="center"/>
          </w:tcPr>
          <w:p>
            <w:pPr>
              <w:snapToGrid w:val="0"/>
              <w:spacing w:line="360" w:lineRule="exact"/>
              <w:ind w:firstLine="0" w:firstLineChars="0"/>
              <w:jc w:val="center"/>
              <w:rPr>
                <w:rFonts w:ascii="宋体" w:hAnsi="宋体" w:eastAsia="宋体" w:cs="宋体"/>
                <w:b/>
                <w:bCs/>
                <w:sz w:val="24"/>
              </w:rPr>
            </w:pPr>
            <w:r>
              <w:rPr>
                <w:rFonts w:hint="eastAsia" w:ascii="宋体" w:hAnsi="宋体" w:eastAsia="宋体" w:cs="宋体"/>
                <w:b/>
                <w:bCs/>
                <w:sz w:val="24"/>
              </w:rPr>
              <w:t>位置</w:t>
            </w:r>
          </w:p>
        </w:tc>
        <w:tc>
          <w:tcPr>
            <w:tcW w:w="606" w:type="pct"/>
            <w:shd w:val="clear" w:color="auto" w:fill="auto"/>
            <w:vAlign w:val="center"/>
          </w:tcPr>
          <w:p>
            <w:pPr>
              <w:snapToGrid w:val="0"/>
              <w:spacing w:line="360" w:lineRule="exact"/>
              <w:ind w:firstLine="0" w:firstLineChars="0"/>
              <w:jc w:val="center"/>
              <w:rPr>
                <w:rFonts w:ascii="宋体" w:hAnsi="宋体" w:eastAsia="宋体" w:cs="宋体"/>
                <w:b/>
                <w:bCs/>
                <w:sz w:val="24"/>
              </w:rPr>
            </w:pPr>
            <w:r>
              <w:rPr>
                <w:rFonts w:hint="eastAsia" w:ascii="宋体" w:hAnsi="宋体" w:eastAsia="宋体" w:cs="宋体"/>
                <w:b/>
                <w:bCs/>
                <w:sz w:val="24"/>
              </w:rPr>
              <w:t>规模</w:t>
            </w:r>
          </w:p>
        </w:tc>
        <w:tc>
          <w:tcPr>
            <w:tcW w:w="756" w:type="pct"/>
            <w:shd w:val="clear" w:color="auto" w:fill="auto"/>
            <w:vAlign w:val="center"/>
          </w:tcPr>
          <w:p>
            <w:pPr>
              <w:snapToGrid w:val="0"/>
              <w:spacing w:line="360" w:lineRule="exact"/>
              <w:ind w:firstLine="0" w:firstLineChars="0"/>
              <w:jc w:val="center"/>
              <w:rPr>
                <w:rFonts w:ascii="宋体" w:hAnsi="宋体" w:eastAsia="宋体" w:cs="宋体"/>
                <w:b/>
                <w:bCs/>
                <w:sz w:val="24"/>
              </w:rPr>
            </w:pPr>
            <w:r>
              <w:rPr>
                <w:rFonts w:hint="eastAsia" w:ascii="宋体" w:hAnsi="宋体" w:eastAsia="宋体" w:cs="宋体"/>
                <w:b/>
                <w:bCs/>
                <w:sz w:val="24"/>
              </w:rPr>
              <w:t>建设手段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477"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1</w:t>
            </w:r>
          </w:p>
        </w:tc>
        <w:tc>
          <w:tcPr>
            <w:tcW w:w="1284" w:type="pct"/>
            <w:shd w:val="clear" w:color="auto" w:fill="auto"/>
            <w:vAlign w:val="center"/>
          </w:tcPr>
          <w:p>
            <w:pPr>
              <w:snapToGrid w:val="0"/>
              <w:spacing w:line="360" w:lineRule="exact"/>
              <w:ind w:firstLine="0" w:firstLineChars="0"/>
              <w:rPr>
                <w:rFonts w:ascii="宋体" w:hAnsi="宋体" w:eastAsia="宋体" w:cs="宋体"/>
                <w:sz w:val="24"/>
              </w:rPr>
            </w:pPr>
            <w:r>
              <w:rPr>
                <w:rFonts w:hint="eastAsia" w:ascii="宋体" w:hAnsi="宋体" w:eastAsia="宋体" w:cs="宋体"/>
                <w:sz w:val="24"/>
              </w:rPr>
              <w:t>豫海南街特色商业街</w:t>
            </w:r>
          </w:p>
        </w:tc>
        <w:tc>
          <w:tcPr>
            <w:tcW w:w="1875" w:type="pct"/>
            <w:shd w:val="clear" w:color="auto" w:fill="auto"/>
            <w:vAlign w:val="center"/>
          </w:tcPr>
          <w:p>
            <w:pPr>
              <w:snapToGrid w:val="0"/>
              <w:spacing w:line="360" w:lineRule="exact"/>
              <w:ind w:firstLine="0" w:firstLineChars="0"/>
              <w:rPr>
                <w:rFonts w:ascii="宋体" w:hAnsi="宋体" w:eastAsia="宋体" w:cs="宋体"/>
                <w:sz w:val="24"/>
              </w:rPr>
            </w:pPr>
            <w:r>
              <w:rPr>
                <w:rFonts w:hint="eastAsia" w:ascii="宋体" w:hAnsi="宋体" w:eastAsia="宋体" w:cs="宋体"/>
                <w:sz w:val="24"/>
              </w:rPr>
              <w:t>北至北环路，南到银平西路</w:t>
            </w:r>
          </w:p>
        </w:tc>
        <w:tc>
          <w:tcPr>
            <w:tcW w:w="606"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1300</w:t>
            </w:r>
          </w:p>
        </w:tc>
        <w:tc>
          <w:tcPr>
            <w:tcW w:w="756" w:type="pct"/>
            <w:shd w:val="clear" w:color="auto" w:fill="auto"/>
            <w:vAlign w:val="center"/>
          </w:tcPr>
          <w:p>
            <w:pPr>
              <w:snapToGrid w:val="0"/>
              <w:spacing w:line="360" w:lineRule="exact"/>
              <w:ind w:firstLine="0" w:firstLineChars="0"/>
              <w:jc w:val="center"/>
              <w:rPr>
                <w:rFonts w:hint="eastAsia" w:ascii="宋体" w:hAnsi="宋体" w:eastAsia="宋体" w:cs="宋体"/>
                <w:sz w:val="24"/>
                <w:lang w:eastAsia="zh-Hans"/>
              </w:rPr>
            </w:pPr>
            <w:r>
              <w:rPr>
                <w:rFonts w:hint="eastAsia" w:ascii="宋体" w:hAnsi="宋体" w:eastAsia="宋体" w:cs="宋体"/>
                <w:sz w:val="24"/>
                <w:lang w:val="en-US" w:eastAsia="zh-Hans"/>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477"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2</w:t>
            </w:r>
          </w:p>
        </w:tc>
        <w:tc>
          <w:tcPr>
            <w:tcW w:w="1284" w:type="pct"/>
            <w:shd w:val="clear" w:color="auto" w:fill="auto"/>
            <w:vAlign w:val="center"/>
          </w:tcPr>
          <w:p>
            <w:pPr>
              <w:snapToGrid w:val="0"/>
              <w:spacing w:line="360" w:lineRule="exact"/>
              <w:ind w:firstLine="0" w:firstLineChars="0"/>
              <w:rPr>
                <w:rFonts w:ascii="宋体" w:hAnsi="宋体" w:eastAsia="宋体" w:cs="宋体"/>
                <w:sz w:val="24"/>
              </w:rPr>
            </w:pPr>
            <w:r>
              <w:rPr>
                <w:rFonts w:hint="eastAsia" w:ascii="宋体" w:hAnsi="宋体" w:eastAsia="宋体" w:cs="宋体"/>
                <w:sz w:val="24"/>
              </w:rPr>
              <w:t>富兴美食（特色面点）街</w:t>
            </w:r>
          </w:p>
        </w:tc>
        <w:tc>
          <w:tcPr>
            <w:tcW w:w="1875" w:type="pct"/>
            <w:shd w:val="clear" w:color="auto" w:fill="auto"/>
            <w:vAlign w:val="center"/>
          </w:tcPr>
          <w:p>
            <w:pPr>
              <w:snapToGrid w:val="0"/>
              <w:spacing w:line="360" w:lineRule="exact"/>
              <w:ind w:firstLine="0" w:firstLineChars="0"/>
              <w:rPr>
                <w:rFonts w:ascii="宋体" w:hAnsi="宋体" w:eastAsia="宋体" w:cs="宋体"/>
                <w:sz w:val="24"/>
              </w:rPr>
            </w:pPr>
            <w:r>
              <w:rPr>
                <w:rFonts w:hint="eastAsia" w:ascii="宋体" w:hAnsi="宋体" w:eastAsia="宋体" w:cs="宋体"/>
                <w:sz w:val="24"/>
              </w:rPr>
              <w:t>南到富兴商住北门，西至富兴市场西门</w:t>
            </w:r>
          </w:p>
        </w:tc>
        <w:tc>
          <w:tcPr>
            <w:tcW w:w="606"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200</w:t>
            </w:r>
          </w:p>
        </w:tc>
        <w:tc>
          <w:tcPr>
            <w:tcW w:w="756"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77"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default" w:ascii="宋体" w:hAnsi="宋体" w:eastAsia="宋体" w:cs="宋体"/>
                <w:sz w:val="24"/>
              </w:rPr>
              <w:t>3</w:t>
            </w:r>
          </w:p>
        </w:tc>
        <w:tc>
          <w:tcPr>
            <w:tcW w:w="1284" w:type="pct"/>
            <w:shd w:val="clear" w:color="auto" w:fill="auto"/>
            <w:vAlign w:val="center"/>
          </w:tcPr>
          <w:p>
            <w:pPr>
              <w:snapToGrid w:val="0"/>
              <w:spacing w:line="360" w:lineRule="exact"/>
              <w:ind w:firstLine="0" w:firstLineChars="0"/>
              <w:rPr>
                <w:rFonts w:ascii="宋体" w:hAnsi="宋体" w:eastAsia="宋体" w:cs="宋体"/>
                <w:sz w:val="24"/>
              </w:rPr>
            </w:pPr>
            <w:r>
              <w:rPr>
                <w:rFonts w:hint="eastAsia" w:ascii="宋体" w:hAnsi="宋体" w:eastAsia="宋体" w:cs="宋体"/>
                <w:sz w:val="24"/>
              </w:rPr>
              <w:t>荣世广场夜市美食街</w:t>
            </w:r>
          </w:p>
        </w:tc>
        <w:tc>
          <w:tcPr>
            <w:tcW w:w="1875" w:type="pct"/>
            <w:shd w:val="clear" w:color="auto" w:fill="auto"/>
            <w:vAlign w:val="center"/>
          </w:tcPr>
          <w:p>
            <w:pPr>
              <w:snapToGrid w:val="0"/>
              <w:spacing w:line="360" w:lineRule="exact"/>
              <w:ind w:firstLine="0" w:firstLineChars="0"/>
              <w:rPr>
                <w:rFonts w:ascii="宋体" w:hAnsi="宋体" w:eastAsia="宋体" w:cs="宋体"/>
                <w:sz w:val="24"/>
              </w:rPr>
            </w:pPr>
            <w:r>
              <w:rPr>
                <w:rFonts w:hint="eastAsia" w:ascii="宋体" w:hAnsi="宋体" w:eastAsia="宋体" w:cs="宋体"/>
                <w:sz w:val="24"/>
              </w:rPr>
              <w:t>东至荣世商场、西至豫海北街</w:t>
            </w:r>
          </w:p>
        </w:tc>
        <w:tc>
          <w:tcPr>
            <w:tcW w:w="606"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200</w:t>
            </w:r>
          </w:p>
        </w:tc>
        <w:tc>
          <w:tcPr>
            <w:tcW w:w="756" w:type="pct"/>
            <w:shd w:val="clear" w:color="auto" w:fill="auto"/>
            <w:vAlign w:val="center"/>
          </w:tcPr>
          <w:p>
            <w:pPr>
              <w:snapToGrid w:val="0"/>
              <w:spacing w:line="360" w:lineRule="exact"/>
              <w:ind w:firstLine="0" w:firstLineChars="0"/>
              <w:jc w:val="center"/>
              <w:rPr>
                <w:rFonts w:hint="eastAsia" w:ascii="宋体" w:hAnsi="宋体" w:eastAsia="宋体" w:cs="宋体"/>
                <w:sz w:val="24"/>
                <w:lang w:val="en-US" w:eastAsia="zh-Hans"/>
              </w:rPr>
            </w:pPr>
            <w:r>
              <w:rPr>
                <w:rFonts w:hint="eastAsia" w:ascii="宋体" w:hAnsi="宋体" w:eastAsia="宋体" w:cs="宋体"/>
                <w:sz w:val="24"/>
                <w:lang w:val="en-US" w:eastAsia="zh-Hans"/>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77" w:type="pct"/>
            <w:shd w:val="clear" w:color="auto" w:fill="auto"/>
            <w:vAlign w:val="center"/>
          </w:tcPr>
          <w:p>
            <w:pPr>
              <w:snapToGrid w:val="0"/>
              <w:spacing w:line="360" w:lineRule="exact"/>
              <w:ind w:firstLine="240" w:firstLineChars="100"/>
              <w:rPr>
                <w:rFonts w:hint="eastAsia" w:ascii="宋体" w:hAnsi="宋体" w:eastAsia="宋体" w:cs="宋体"/>
                <w:sz w:val="24"/>
              </w:rPr>
            </w:pPr>
            <w:r>
              <w:rPr>
                <w:rFonts w:hint="default" w:ascii="宋体" w:hAnsi="宋体" w:eastAsia="宋体" w:cs="宋体"/>
                <w:sz w:val="24"/>
              </w:rPr>
              <w:t>4</w:t>
            </w:r>
          </w:p>
        </w:tc>
        <w:tc>
          <w:tcPr>
            <w:tcW w:w="1284" w:type="pct"/>
            <w:shd w:val="clear" w:color="auto" w:fill="auto"/>
            <w:vAlign w:val="center"/>
          </w:tcPr>
          <w:p>
            <w:pPr>
              <w:snapToGrid w:val="0"/>
              <w:spacing w:line="360" w:lineRule="exact"/>
              <w:ind w:firstLine="0" w:firstLineChars="0"/>
              <w:rPr>
                <w:rFonts w:hint="eastAsia" w:ascii="宋体" w:hAnsi="宋体" w:eastAsia="宋体" w:cs="宋体"/>
                <w:sz w:val="24"/>
              </w:rPr>
            </w:pPr>
            <w:r>
              <w:rPr>
                <w:rFonts w:hint="eastAsia" w:ascii="宋体" w:hAnsi="宋体" w:eastAsia="宋体" w:cs="宋体"/>
                <w:sz w:val="24"/>
                <w:lang w:val="en-US" w:eastAsia="zh-Hans"/>
              </w:rPr>
              <w:t>皓月新都商业街区</w:t>
            </w:r>
          </w:p>
        </w:tc>
        <w:tc>
          <w:tcPr>
            <w:tcW w:w="1875" w:type="pct"/>
            <w:shd w:val="clear" w:color="auto" w:fill="auto"/>
            <w:vAlign w:val="center"/>
          </w:tcPr>
          <w:p>
            <w:pPr>
              <w:snapToGrid w:val="0"/>
              <w:spacing w:line="360" w:lineRule="exact"/>
              <w:ind w:firstLine="0" w:firstLineChars="0"/>
              <w:rPr>
                <w:rFonts w:ascii="宋体" w:hAnsi="宋体" w:eastAsia="宋体" w:cs="宋体"/>
                <w:sz w:val="24"/>
                <w:highlight w:val="yellow"/>
              </w:rPr>
            </w:pPr>
            <w:r>
              <w:rPr>
                <w:rFonts w:hint="eastAsia" w:ascii="宋体" w:hAnsi="宋体" w:eastAsia="宋体" w:cs="宋体"/>
                <w:sz w:val="24"/>
              </w:rPr>
              <w:t>位于同心新区商圈范围内</w:t>
            </w:r>
          </w:p>
        </w:tc>
        <w:tc>
          <w:tcPr>
            <w:tcW w:w="606" w:type="pct"/>
            <w:shd w:val="clear" w:color="auto" w:fill="auto"/>
            <w:vAlign w:val="center"/>
          </w:tcPr>
          <w:p>
            <w:pPr>
              <w:snapToGrid w:val="0"/>
              <w:spacing w:line="360" w:lineRule="exact"/>
              <w:ind w:firstLine="0" w:firstLineChars="0"/>
              <w:jc w:val="center"/>
              <w:rPr>
                <w:rFonts w:hint="default" w:ascii="宋体" w:hAnsi="宋体" w:eastAsia="宋体" w:cs="宋体"/>
                <w:sz w:val="24"/>
                <w:lang w:val="en-US" w:eastAsia="zh-CN"/>
              </w:rPr>
            </w:pPr>
            <w:r>
              <w:rPr>
                <w:rFonts w:hint="eastAsia" w:ascii="宋体" w:hAnsi="宋体" w:eastAsia="宋体" w:cs="宋体"/>
                <w:sz w:val="24"/>
                <w:lang w:val="en-US" w:eastAsia="zh-CN"/>
              </w:rPr>
              <w:t>350</w:t>
            </w:r>
          </w:p>
        </w:tc>
        <w:tc>
          <w:tcPr>
            <w:tcW w:w="756" w:type="pct"/>
            <w:shd w:val="clear" w:color="auto" w:fill="auto"/>
            <w:vAlign w:val="center"/>
          </w:tcPr>
          <w:p>
            <w:pPr>
              <w:snapToGrid w:val="0"/>
              <w:spacing w:line="360" w:lineRule="exact"/>
              <w:ind w:firstLine="0" w:firstLineChars="0"/>
              <w:jc w:val="center"/>
              <w:rPr>
                <w:rFonts w:hint="eastAsia" w:ascii="宋体" w:hAnsi="宋体" w:eastAsia="宋体" w:cs="宋体"/>
                <w:sz w:val="24"/>
                <w:lang w:val="en-US" w:eastAsia="zh-Hans"/>
              </w:rPr>
            </w:pPr>
            <w:r>
              <w:rPr>
                <w:rFonts w:hint="eastAsia" w:ascii="宋体" w:hAnsi="宋体" w:eastAsia="宋体" w:cs="宋体"/>
                <w:sz w:val="24"/>
                <w:lang w:val="en-US" w:eastAsia="zh-Hans"/>
              </w:rPr>
              <w:t>培育发展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77"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default" w:ascii="宋体" w:hAnsi="宋体" w:eastAsia="宋体" w:cs="宋体"/>
                <w:sz w:val="24"/>
              </w:rPr>
              <w:t>5</w:t>
            </w:r>
          </w:p>
        </w:tc>
        <w:tc>
          <w:tcPr>
            <w:tcW w:w="1284"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ascii="宋体" w:hAnsi="宋体" w:eastAsia="宋体" w:cs="宋体"/>
                <w:sz w:val="24"/>
              </w:rPr>
              <w:t>永安路特色商业街区</w:t>
            </w:r>
          </w:p>
        </w:tc>
        <w:tc>
          <w:tcPr>
            <w:tcW w:w="1875" w:type="pct"/>
            <w:shd w:val="clear" w:color="auto" w:fill="auto"/>
            <w:vAlign w:val="center"/>
          </w:tcPr>
          <w:p>
            <w:pPr>
              <w:snapToGrid w:val="0"/>
              <w:spacing w:line="360" w:lineRule="exact"/>
              <w:ind w:firstLine="0" w:firstLineChars="0"/>
              <w:jc w:val="left"/>
              <w:rPr>
                <w:rFonts w:ascii="宋体" w:hAnsi="宋体" w:eastAsia="宋体" w:cs="宋体"/>
                <w:sz w:val="24"/>
              </w:rPr>
            </w:pPr>
            <w:r>
              <w:rPr>
                <w:rFonts w:ascii="宋体" w:hAnsi="宋体" w:eastAsia="宋体" w:cs="宋体"/>
                <w:sz w:val="24"/>
              </w:rPr>
              <w:t>坐落于永安路，南北贯通</w:t>
            </w:r>
          </w:p>
        </w:tc>
        <w:tc>
          <w:tcPr>
            <w:tcW w:w="606"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380</w:t>
            </w:r>
          </w:p>
        </w:tc>
        <w:tc>
          <w:tcPr>
            <w:tcW w:w="756" w:type="pct"/>
            <w:shd w:val="clear" w:color="auto" w:fill="auto"/>
            <w:vAlign w:val="center"/>
          </w:tcPr>
          <w:p>
            <w:pPr>
              <w:snapToGrid w:val="0"/>
              <w:spacing w:line="360" w:lineRule="exact"/>
              <w:ind w:firstLine="0" w:firstLineChars="0"/>
              <w:jc w:val="center"/>
              <w:rPr>
                <w:rFonts w:ascii="宋体" w:hAnsi="宋体" w:eastAsia="宋体" w:cs="宋体"/>
                <w:sz w:val="24"/>
              </w:rPr>
            </w:pPr>
            <w:r>
              <w:rPr>
                <w:rFonts w:hint="eastAsia" w:ascii="宋体" w:hAnsi="宋体" w:eastAsia="宋体" w:cs="宋体"/>
                <w:sz w:val="24"/>
              </w:rPr>
              <w:t>改造提升</w:t>
            </w:r>
          </w:p>
        </w:tc>
      </w:tr>
    </w:tbl>
    <w:p>
      <w:pPr>
        <w:pStyle w:val="2"/>
        <w:spacing w:before="156" w:after="156"/>
        <w:ind w:left="0" w:leftChars="0" w:firstLine="643" w:firstLineChars="200"/>
      </w:pPr>
      <w:bookmarkStart w:id="69" w:name="_Toc9045"/>
      <w:r>
        <w:rPr>
          <w:rFonts w:hint="default"/>
        </w:rPr>
        <w:t>（</w:t>
      </w:r>
      <w:r>
        <w:rPr>
          <w:rFonts w:hint="eastAsia"/>
          <w:lang w:val="en-US" w:eastAsia="zh-Hans"/>
        </w:rPr>
        <w:t>四</w:t>
      </w:r>
      <w:r>
        <w:rPr>
          <w:rFonts w:hint="default"/>
          <w:lang w:eastAsia="zh-Hans"/>
        </w:rPr>
        <w:t>）</w:t>
      </w:r>
      <w:r>
        <w:rPr>
          <w:rFonts w:hint="eastAsia"/>
        </w:rPr>
        <w:t>社区商业中心</w:t>
      </w:r>
      <w:bookmarkEnd w:id="67"/>
      <w:bookmarkEnd w:id="68"/>
      <w:bookmarkEnd w:id="69"/>
    </w:p>
    <w:p>
      <w:pPr>
        <w:rPr>
          <w:rFonts w:hint="eastAsia" w:ascii="仿宋_GB2312" w:hAnsi="仿宋_GB2312" w:eastAsia="仿宋_GB2312" w:cs="仿宋_GB2312"/>
          <w:b/>
          <w:bCs/>
        </w:rPr>
      </w:pPr>
      <w:r>
        <w:rPr>
          <w:rFonts w:hint="eastAsia" w:ascii="仿宋_GB2312" w:hAnsi="仿宋_GB2312" w:eastAsia="仿宋_GB2312" w:cs="仿宋_GB2312"/>
          <w:b/>
          <w:bCs/>
        </w:rPr>
        <w:t>1.社区商业中心配置原则</w:t>
      </w:r>
    </w:p>
    <w:p>
      <w:pPr>
        <w:ind w:firstLine="640"/>
        <w:rPr>
          <w:rFonts w:hint="eastAsia" w:ascii="仿宋_GB2312" w:hAnsi="仿宋_GB2312" w:eastAsia="仿宋_GB2312" w:cs="仿宋_GB2312"/>
        </w:rPr>
      </w:pPr>
      <w:r>
        <w:rPr>
          <w:rFonts w:hint="eastAsia" w:ascii="仿宋_GB2312" w:hAnsi="仿宋_GB2312" w:eastAsia="仿宋_GB2312" w:cs="仿宋_GB2312"/>
        </w:rPr>
        <w:t>配套成熟的社区商业圈分为5分钟、10分钟、15分钟生活圈，其中5分钟生活圈要求配备有小超市、便利店、邮件和快递送达设施，10分钟生活圈则应该具备菜市场或生鲜超市、健身房等设施，15分钟生活圈内有商场、银行、电信、邮政营业网点。</w:t>
      </w:r>
    </w:p>
    <w:p>
      <w:pPr>
        <w:ind w:firstLine="640"/>
        <w:rPr>
          <w:rFonts w:hint="eastAsia" w:ascii="仿宋_GB2312" w:hAnsi="仿宋_GB2312" w:eastAsia="仿宋_GB2312" w:cs="仿宋_GB2312"/>
        </w:rPr>
      </w:pPr>
      <w:r>
        <w:rPr>
          <w:rFonts w:hint="eastAsia" w:ascii="仿宋_GB2312" w:hAnsi="仿宋_GB2312" w:eastAsia="仿宋_GB2312" w:cs="仿宋_GB2312"/>
        </w:rPr>
        <w:t>根据各社区的实际情况，采用集聚式、街坊式、分布式布局的方式规划建设城市便民生活圈，与银行、医院、邮局等公共服务机构相配套，优先配齐基本保障类业态，根据社区发展基础和居民消费需求，因地制宜发展品质提升类业态，重点提升连锁品牌便利店及农贸市场等业态，推动构建以社区早餐店为主体，以便利店、特色餐饮店、箱式移动餐饮售卖车等为补充的多层次早餐供应体系；积极发展可移动商业设施，鼓励“一店多能”。</w:t>
      </w:r>
    </w:p>
    <w:p>
      <w:pPr>
        <w:rPr>
          <w:rFonts w:hint="eastAsia" w:ascii="仿宋_GB2312" w:hAnsi="仿宋_GB2312" w:eastAsia="仿宋_GB2312" w:cs="仿宋_GB2312"/>
          <w:b/>
          <w:bCs/>
        </w:rPr>
      </w:pPr>
      <w:r>
        <w:rPr>
          <w:rFonts w:hint="eastAsia" w:ascii="仿宋_GB2312" w:hAnsi="仿宋_GB2312" w:eastAsia="仿宋_GB2312" w:cs="仿宋_GB2312"/>
          <w:b/>
          <w:bCs/>
        </w:rPr>
        <w:t>2.社区商业中心建设导向</w:t>
      </w:r>
    </w:p>
    <w:p>
      <w:pPr>
        <w:rPr>
          <w:rFonts w:hint="eastAsia" w:ascii="仿宋_GB2312" w:hAnsi="仿宋_GB2312" w:eastAsia="仿宋_GB2312" w:cs="仿宋_GB2312"/>
        </w:rPr>
      </w:pPr>
      <w:r>
        <w:rPr>
          <w:rFonts w:hint="eastAsia" w:ascii="仿宋_GB2312" w:hAnsi="仿宋_GB2312" w:eastAsia="仿宋_GB2312" w:cs="仿宋_GB2312"/>
          <w:b/>
          <w:bCs/>
        </w:rPr>
        <w:t>现状居住社区商业中心∶</w:t>
      </w:r>
      <w:r>
        <w:rPr>
          <w:rFonts w:hint="eastAsia" w:ascii="仿宋_GB2312" w:hAnsi="仿宋_GB2312" w:eastAsia="仿宋_GB2312" w:cs="仿宋_GB2312"/>
        </w:rPr>
        <w:t>现状居住小区，依据《社区商业设施设置与功能要求》（SB/T10455-2008）要求，社区商业中心可通过旧城改造、内部用地更新等手段，结合小区周边商业存量，进行业态引导与调整，提升经营环境，促进生活服务类商业网点集聚发展。</w:t>
      </w:r>
    </w:p>
    <w:p>
      <w:pPr>
        <w:rPr>
          <w:rFonts w:hint="eastAsia" w:ascii="仿宋_GB2312" w:hAnsi="仿宋_GB2312" w:eastAsia="仿宋_GB2312" w:cs="仿宋_GB2312"/>
        </w:rPr>
      </w:pPr>
      <w:r>
        <w:rPr>
          <w:rFonts w:hint="eastAsia" w:ascii="仿宋_GB2312" w:hAnsi="仿宋_GB2312" w:eastAsia="仿宋_GB2312" w:cs="仿宋_GB2312"/>
          <w:b/>
          <w:bCs/>
        </w:rPr>
        <w:t>新建居住社区商业中心∶</w:t>
      </w:r>
      <w:r>
        <w:rPr>
          <w:rFonts w:hint="eastAsia" w:ascii="仿宋_GB2312" w:hAnsi="仿宋_GB2312" w:eastAsia="仿宋_GB2312" w:cs="仿宋_GB2312"/>
        </w:rPr>
        <w:t>中心城区内的新建居住小区（含廉租房、公租房等保障性住房小区、棚户区改造和旧城改造安置住房小区）商业和综合服务设施面积占社区总建筑面积的比例不得低于10%。鼓励采用社区商业综合体与社区商业街相结合的组织形式建设社区商业中心，配套社区智能配送服务终端设施、社区体验店、餐饮外卖等相关服务。</w:t>
      </w:r>
    </w:p>
    <w:p>
      <w:pPr>
        <w:rPr>
          <w:rFonts w:hint="eastAsia" w:ascii="仿宋_GB2312" w:hAnsi="仿宋_GB2312" w:eastAsia="仿宋_GB2312" w:cs="仿宋_GB2312"/>
          <w:b/>
          <w:bCs/>
        </w:rPr>
      </w:pPr>
      <w:r>
        <w:rPr>
          <w:rFonts w:hint="eastAsia" w:ascii="仿宋_GB2312" w:hAnsi="仿宋_GB2312" w:eastAsia="仿宋_GB2312" w:cs="仿宋_GB2312"/>
          <w:b/>
          <w:bCs/>
        </w:rPr>
        <w:t>3.社区商业中心业态配置</w:t>
      </w:r>
    </w:p>
    <w:p>
      <w:pPr>
        <w:bidi w:val="0"/>
        <w:rPr>
          <w:rFonts w:hint="eastAsia"/>
        </w:rPr>
      </w:pPr>
      <w:r>
        <w:rPr>
          <w:rFonts w:hint="eastAsia"/>
        </w:rPr>
        <w:t>根据人口规模、功能定位、区域特点和新老社区选择社区商业中心、社区购物中心、社区商业综合体、邻里中心等不同的社区商业模式。加强社区商圈基本保障型商业网点配置，重点配齐菜</w:t>
      </w:r>
      <w:r>
        <w:rPr>
          <w:rFonts w:hint="eastAsia"/>
          <w:lang w:val="en-US" w:eastAsia="zh-CN"/>
        </w:rPr>
        <w:t>店</w:t>
      </w:r>
      <w:r>
        <w:rPr>
          <w:rFonts w:hint="eastAsia"/>
        </w:rPr>
        <w:t>（市场）、生鲜超市、综合超市、便利店、餐饮（含早餐）、美容美发、药店、洗染</w:t>
      </w:r>
      <w:r>
        <w:rPr>
          <w:rFonts w:hint="eastAsia"/>
          <w:lang w:eastAsia="zh-CN"/>
        </w:rPr>
        <w:t>、</w:t>
      </w:r>
      <w:r>
        <w:rPr>
          <w:rFonts w:hint="eastAsia"/>
        </w:rPr>
        <w:t>维修、家政服务、养老服务、再生资源回收点。完善社区商业物流配送设施，鼓励商业企业与电子商务、快递企业合作，发展店铺自提、配送到柜及以实体店为基地送货上门等业务，健全预约服务、上门配送、物品接受、维修、洗衣等便民服务功能，完善社区便民服务网络。</w:t>
      </w:r>
    </w:p>
    <w:p>
      <w:pPr>
        <w:ind w:firstLine="560"/>
        <w:jc w:val="center"/>
        <w:rPr>
          <w:rFonts w:hint="eastAsia" w:ascii="黑体" w:hAnsi="黑体" w:eastAsia="黑体" w:cs="黑体"/>
          <w:sz w:val="24"/>
          <w:szCs w:val="24"/>
        </w:rPr>
      </w:pPr>
      <w:r>
        <w:rPr>
          <w:rFonts w:hint="eastAsia" w:ascii="黑体" w:hAnsi="黑体" w:eastAsia="黑体" w:cs="黑体"/>
          <w:sz w:val="24"/>
          <w:szCs w:val="24"/>
        </w:rPr>
        <w:t>表</w:t>
      </w:r>
      <w:r>
        <w:rPr>
          <w:rFonts w:hint="eastAsia" w:ascii="黑体" w:hAnsi="黑体" w:eastAsia="黑体" w:cs="黑体"/>
          <w:sz w:val="24"/>
          <w:szCs w:val="24"/>
          <w:lang w:val="en-US" w:eastAsia="zh-CN"/>
        </w:rPr>
        <w:t>6</w:t>
      </w:r>
      <w:r>
        <w:rPr>
          <w:rFonts w:hint="eastAsia" w:ascii="黑体" w:hAnsi="黑体" w:eastAsia="黑体" w:cs="黑体"/>
          <w:sz w:val="24"/>
          <w:szCs w:val="24"/>
        </w:rPr>
        <w:t xml:space="preserve"> 社区</w:t>
      </w:r>
      <w:r>
        <w:rPr>
          <w:rFonts w:hint="eastAsia" w:ascii="黑体" w:hAnsi="黑体" w:eastAsia="黑体" w:cs="黑体"/>
          <w:sz w:val="24"/>
          <w:szCs w:val="24"/>
          <w:lang w:val="en-US" w:eastAsia="zh-CN"/>
        </w:rPr>
        <w:t>商圈业态引导</w:t>
      </w:r>
    </w:p>
    <w:tbl>
      <w:tblPr>
        <w:tblStyle w:val="2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54"/>
        <w:gridCol w:w="1754"/>
        <w:gridCol w:w="24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2130"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textAlignment w:val="auto"/>
              <w:rPr>
                <w:rFonts w:hint="eastAsia" w:asciiTheme="minorHAnsi" w:hAnsiTheme="minorHAnsi" w:eastAsiaTheme="minorEastAsia"/>
                <w:b/>
                <w:bCs/>
                <w:sz w:val="21"/>
                <w:vertAlign w:val="baseline"/>
                <w:lang w:val="en-US" w:eastAsia="zh-CN"/>
              </w:rPr>
            </w:pPr>
            <w:r>
              <w:rPr>
                <w:rFonts w:hint="eastAsia" w:asciiTheme="minorHAnsi" w:hAnsiTheme="minorHAnsi" w:eastAsiaTheme="minorEastAsia"/>
                <w:b/>
                <w:bCs/>
                <w:sz w:val="21"/>
                <w:vertAlign w:val="baseline"/>
                <w:lang w:val="en-US" w:eastAsia="zh-CN"/>
              </w:rPr>
              <w:t>类型</w:t>
            </w:r>
          </w:p>
        </w:tc>
        <w:tc>
          <w:tcPr>
            <w:tcW w:w="3908" w:type="dxa"/>
            <w:gridSpan w:val="2"/>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textAlignment w:val="auto"/>
              <w:rPr>
                <w:rFonts w:asciiTheme="minorHAnsi" w:hAnsiTheme="minorHAnsi" w:eastAsiaTheme="minorEastAsia"/>
                <w:b/>
                <w:bCs/>
                <w:sz w:val="21"/>
                <w:vertAlign w:val="baseline"/>
              </w:rPr>
            </w:pPr>
            <w:r>
              <w:rPr>
                <w:rFonts w:hint="eastAsia" w:asciiTheme="minorHAnsi" w:hAnsiTheme="minorHAnsi" w:eastAsiaTheme="minorEastAsia"/>
                <w:b/>
                <w:bCs/>
                <w:sz w:val="21"/>
                <w:vertAlign w:val="baseline"/>
                <w:lang w:val="en-US" w:eastAsia="zh-CN"/>
              </w:rPr>
              <w:t>业态配置要求</w:t>
            </w:r>
          </w:p>
        </w:tc>
        <w:tc>
          <w:tcPr>
            <w:tcW w:w="2484"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textAlignment w:val="auto"/>
              <w:rPr>
                <w:rFonts w:hint="eastAsia" w:asciiTheme="minorHAnsi" w:hAnsiTheme="minorHAnsi" w:eastAsiaTheme="minorEastAsia"/>
                <w:b/>
                <w:bCs/>
                <w:sz w:val="21"/>
                <w:vertAlign w:val="baseline"/>
                <w:lang w:val="en-US" w:eastAsia="zh-CN"/>
              </w:rPr>
            </w:pPr>
            <w:r>
              <w:rPr>
                <w:rFonts w:hint="eastAsia" w:asciiTheme="minorHAnsi" w:hAnsiTheme="minorHAnsi" w:eastAsiaTheme="minorEastAsia"/>
                <w:b/>
                <w:bCs/>
                <w:sz w:val="21"/>
                <w:vertAlign w:val="baseline"/>
                <w:lang w:val="en-US" w:eastAsia="zh-CN"/>
              </w:rPr>
              <w:t>建设布局要求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2130"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textAlignment w:val="auto"/>
              <w:rPr>
                <w:rFonts w:asciiTheme="minorHAnsi" w:hAnsiTheme="minorHAnsi" w:eastAsiaTheme="minorEastAsia"/>
                <w:sz w:val="21"/>
                <w:vertAlign w:val="baseline"/>
              </w:rPr>
            </w:pPr>
          </w:p>
        </w:tc>
        <w:tc>
          <w:tcPr>
            <w:tcW w:w="2154"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textAlignment w:val="auto"/>
              <w:rPr>
                <w:rFonts w:hint="eastAsia" w:asciiTheme="minorHAnsi" w:hAnsiTheme="minorHAnsi" w:eastAsiaTheme="minorEastAsia"/>
                <w:b/>
                <w:bCs/>
                <w:sz w:val="21"/>
                <w:vertAlign w:val="baseline"/>
                <w:lang w:val="en-US" w:eastAsia="zh-CN"/>
              </w:rPr>
            </w:pPr>
            <w:r>
              <w:rPr>
                <w:rFonts w:hint="eastAsia" w:asciiTheme="minorHAnsi" w:hAnsiTheme="minorHAnsi" w:eastAsiaTheme="minorEastAsia"/>
                <w:b/>
                <w:bCs/>
                <w:sz w:val="21"/>
                <w:vertAlign w:val="baseline"/>
                <w:lang w:val="en-US" w:eastAsia="zh-CN"/>
              </w:rPr>
              <w:t>基本保障类业态</w:t>
            </w:r>
          </w:p>
        </w:tc>
        <w:tc>
          <w:tcPr>
            <w:tcW w:w="1754"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textAlignment w:val="auto"/>
              <w:rPr>
                <w:rFonts w:hint="default" w:asciiTheme="minorHAnsi" w:hAnsiTheme="minorHAnsi" w:eastAsiaTheme="minorEastAsia"/>
                <w:b/>
                <w:bCs/>
                <w:sz w:val="21"/>
                <w:vertAlign w:val="baseline"/>
                <w:lang w:val="en-US" w:eastAsia="zh-CN"/>
              </w:rPr>
            </w:pPr>
            <w:r>
              <w:rPr>
                <w:rFonts w:hint="eastAsia" w:asciiTheme="minorHAnsi" w:hAnsiTheme="minorHAnsi" w:eastAsiaTheme="minorEastAsia"/>
                <w:b/>
                <w:bCs/>
                <w:sz w:val="21"/>
                <w:vertAlign w:val="baseline"/>
                <w:lang w:val="en-US" w:eastAsia="zh-CN"/>
              </w:rPr>
              <w:t>品质提升类业态</w:t>
            </w:r>
          </w:p>
        </w:tc>
        <w:tc>
          <w:tcPr>
            <w:tcW w:w="2484"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center"/>
              <w:textAlignment w:val="auto"/>
              <w:rPr>
                <w:rFonts w:asciiTheme="minorHAnsi" w:hAnsiTheme="minorHAnsi" w:eastAsiaTheme="minorEastAsia"/>
                <w:sz w:val="21"/>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b/>
                <w:bCs/>
                <w:sz w:val="21"/>
                <w:vertAlign w:val="baseline"/>
                <w:lang w:val="en-US" w:eastAsia="zh-CN"/>
              </w:rPr>
              <w:t>组团式或集聚式：</w:t>
            </w:r>
            <w:r>
              <w:rPr>
                <w:rFonts w:hint="eastAsia" w:asciiTheme="minorHAnsi" w:hAnsiTheme="minorHAnsi" w:eastAsiaTheme="minorEastAsia"/>
                <w:sz w:val="21"/>
                <w:vertAlign w:val="baseline"/>
                <w:lang w:val="en-US" w:eastAsia="zh-CN"/>
              </w:rPr>
              <w:t>以一个或多个社区商业综合体、便民商业中心等综合性商业设施为核心，零散商业网点为补充，满足社区居民及部分流动消费者生活消费需求的商业发展形态</w:t>
            </w:r>
          </w:p>
        </w:tc>
        <w:tc>
          <w:tcPr>
            <w:tcW w:w="2154"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sz w:val="21"/>
                <w:vertAlign w:val="baseline"/>
                <w:lang w:val="en-US" w:eastAsia="zh-CN"/>
              </w:rPr>
              <w:t>引进品牌企业，扩充现有网点功能，结合发展实际，按照商业性、类公益性的分类，明确不同生活保障业态的属性，建立商业网点设施目录或清单。主要为满足社区居民一日三餐、生活必需品、家庭生活服务等基本消费需求的业态，包括便利店、综合超市、菜市场、生鲜超市、早餐店、洗染店、美容美发店、照相文印店、家政服务点、维修点、药店、邮政快递综合服务点、再生资源回收点、前置仓等</w:t>
            </w:r>
          </w:p>
        </w:tc>
        <w:tc>
          <w:tcPr>
            <w:tcW w:w="1754" w:type="dxa"/>
            <w:vMerge w:val="restart"/>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sz w:val="21"/>
                <w:vertAlign w:val="baseline"/>
                <w:lang w:val="en-US" w:eastAsia="zh-CN"/>
              </w:rPr>
              <w:t>按照社区发展基础和居民消费需求，引进知名品牌连锁企业，发展对居民生活品质体适能最迫切需要的老年康护、特色餐饮店、运动健身房、书店书吧、幼儿托管等业态，综合发展蛋糕烘焙店、培训教育点、旅游服务点、保健养生店等业态</w:t>
            </w:r>
          </w:p>
        </w:tc>
        <w:tc>
          <w:tcPr>
            <w:tcW w:w="2484"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b/>
                <w:bCs/>
                <w:sz w:val="21"/>
                <w:vertAlign w:val="baseline"/>
                <w:lang w:val="en-US" w:eastAsia="zh-CN"/>
              </w:rPr>
              <w:t>新建小区</w:t>
            </w:r>
            <w:r>
              <w:rPr>
                <w:rFonts w:hint="eastAsia" w:asciiTheme="minorHAnsi" w:hAnsiTheme="minorHAnsi" w:eastAsiaTheme="minorEastAsia"/>
                <w:sz w:val="21"/>
                <w:vertAlign w:val="baseline"/>
                <w:lang w:val="en-US" w:eastAsia="zh-CN"/>
              </w:rPr>
              <w:t>应坚持相对集中原则，优先考虑发展组团式商业形态，重点建设改造社区商业综合体、百货店、便民商业中心、养老服务中心等，与住宅同步规划、同步建设、同步验收和同步交付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b/>
                <w:bCs/>
                <w:sz w:val="21"/>
                <w:vertAlign w:val="baseline"/>
                <w:lang w:val="en-US" w:eastAsia="zh-CN"/>
              </w:rPr>
              <w:t>街坊式或街区式：</w:t>
            </w:r>
            <w:r>
              <w:rPr>
                <w:rFonts w:hint="eastAsia" w:asciiTheme="minorHAnsi" w:hAnsiTheme="minorHAnsi" w:eastAsiaTheme="minorEastAsia"/>
                <w:sz w:val="21"/>
                <w:vertAlign w:val="baseline"/>
                <w:lang w:val="en-US" w:eastAsia="zh-CN"/>
              </w:rPr>
              <w:t>沿街道以条状形式相对集中配置商业设施，以满足社区居民生活消费需求为主的商业发展形态</w:t>
            </w:r>
          </w:p>
        </w:tc>
        <w:tc>
          <w:tcPr>
            <w:tcW w:w="2154"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asciiTheme="minorHAnsi" w:hAnsiTheme="minorHAnsi" w:eastAsiaTheme="minorEastAsia"/>
                <w:sz w:val="21"/>
                <w:vertAlign w:val="baseline"/>
              </w:rPr>
            </w:pPr>
          </w:p>
        </w:tc>
        <w:tc>
          <w:tcPr>
            <w:tcW w:w="1754"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asciiTheme="minorHAnsi" w:hAnsiTheme="minorHAnsi" w:eastAsiaTheme="minorEastAsia"/>
                <w:sz w:val="21"/>
                <w:vertAlign w:val="baseline"/>
              </w:rPr>
            </w:pPr>
          </w:p>
        </w:tc>
        <w:tc>
          <w:tcPr>
            <w:tcW w:w="2484"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b/>
                <w:bCs/>
                <w:sz w:val="21"/>
                <w:vertAlign w:val="baseline"/>
                <w:lang w:val="en-US" w:eastAsia="zh-CN"/>
              </w:rPr>
              <w:t>既有小区</w:t>
            </w:r>
            <w:r>
              <w:rPr>
                <w:rFonts w:hint="eastAsia" w:asciiTheme="minorHAnsi" w:hAnsiTheme="minorHAnsi" w:eastAsiaTheme="minorEastAsia"/>
                <w:sz w:val="21"/>
                <w:vertAlign w:val="baseline"/>
                <w:lang w:val="en-US" w:eastAsia="zh-CN"/>
              </w:rPr>
              <w:t>既要充分利用闲置仓库、公有物业划拨等方式，重点补齐商业设施短板和提升现有设施水平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2130"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b/>
                <w:bCs/>
                <w:sz w:val="21"/>
                <w:vertAlign w:val="baseline"/>
                <w:lang w:val="en-US" w:eastAsia="zh-CN"/>
              </w:rPr>
              <w:t>分布式或分散式：</w:t>
            </w:r>
            <w:r>
              <w:rPr>
                <w:rFonts w:hint="eastAsia" w:asciiTheme="minorHAnsi" w:hAnsiTheme="minorHAnsi" w:eastAsiaTheme="minorEastAsia"/>
                <w:sz w:val="21"/>
                <w:vertAlign w:val="baseline"/>
                <w:lang w:val="en-US" w:eastAsia="zh-CN"/>
              </w:rPr>
              <w:t>受用地等客观条件限制，利用分散的社区商业设施建设便民网点的商业发展形态</w:t>
            </w:r>
          </w:p>
        </w:tc>
        <w:tc>
          <w:tcPr>
            <w:tcW w:w="2154"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asciiTheme="minorHAnsi" w:hAnsiTheme="minorHAnsi" w:eastAsiaTheme="minorEastAsia"/>
                <w:sz w:val="21"/>
                <w:vertAlign w:val="baseline"/>
              </w:rPr>
            </w:pPr>
          </w:p>
        </w:tc>
        <w:tc>
          <w:tcPr>
            <w:tcW w:w="1754" w:type="dxa"/>
            <w:vMerge w:val="continue"/>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asciiTheme="minorHAnsi" w:hAnsiTheme="minorHAnsi" w:eastAsiaTheme="minorEastAsia"/>
                <w:sz w:val="21"/>
                <w:vertAlign w:val="baseline"/>
              </w:rPr>
            </w:pPr>
          </w:p>
        </w:tc>
        <w:tc>
          <w:tcPr>
            <w:tcW w:w="2484" w:type="dxa"/>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jc w:val="both"/>
              <w:textAlignment w:val="auto"/>
              <w:rPr>
                <w:rFonts w:hint="default" w:asciiTheme="minorHAnsi" w:hAnsiTheme="minorHAnsi" w:eastAsiaTheme="minorEastAsia"/>
                <w:sz w:val="21"/>
                <w:vertAlign w:val="baseline"/>
                <w:lang w:val="en-US" w:eastAsia="zh-CN"/>
              </w:rPr>
            </w:pPr>
            <w:r>
              <w:rPr>
                <w:rFonts w:hint="eastAsia" w:asciiTheme="minorHAnsi" w:hAnsiTheme="minorHAnsi" w:eastAsiaTheme="minorEastAsia"/>
                <w:b/>
                <w:bCs/>
                <w:sz w:val="21"/>
                <w:vertAlign w:val="baseline"/>
                <w:lang w:val="en-US" w:eastAsia="zh-CN"/>
              </w:rPr>
              <w:t>商业设施配备相对齐全的社区</w:t>
            </w:r>
            <w:r>
              <w:rPr>
                <w:rFonts w:hint="eastAsia" w:asciiTheme="minorHAnsi" w:hAnsiTheme="minorHAnsi" w:eastAsiaTheme="minorEastAsia"/>
                <w:sz w:val="21"/>
                <w:vertAlign w:val="baseline"/>
                <w:lang w:val="en-US" w:eastAsia="zh-CN"/>
              </w:rPr>
              <w:t>应重点优化调整业态组合，加强新业态、新服务引进，拓展商业功能，提升服务水平</w:t>
            </w:r>
          </w:p>
        </w:tc>
      </w:tr>
    </w:tbl>
    <w:p>
      <w:pPr>
        <w:rPr>
          <w:rFonts w:hint="eastAsia" w:ascii="仿宋_GB2312" w:hAnsi="仿宋_GB2312" w:cs="仿宋_GB2312"/>
          <w:b/>
          <w:bCs/>
          <w:lang w:val="en-US" w:eastAsia="zh-CN"/>
        </w:rPr>
      </w:pPr>
      <w:r>
        <w:rPr>
          <w:rFonts w:hint="eastAsia" w:ascii="仿宋_GB2312" w:hAnsi="仿宋_GB2312" w:cs="仿宋_GB2312"/>
          <w:b/>
          <w:bCs/>
          <w:lang w:val="en-US" w:eastAsia="zh-CN"/>
        </w:rPr>
        <w:t>4.</w:t>
      </w:r>
      <w:r>
        <w:rPr>
          <w:rFonts w:hint="eastAsia" w:ascii="仿宋_GB2312" w:hAnsi="仿宋_GB2312" w:eastAsia="仿宋_GB2312" w:cs="仿宋_GB2312"/>
          <w:b/>
          <w:bCs/>
        </w:rPr>
        <w:t>社区</w:t>
      </w:r>
      <w:r>
        <w:rPr>
          <w:rFonts w:hint="eastAsia" w:ascii="仿宋_GB2312" w:hAnsi="仿宋_GB2312" w:cs="仿宋_GB2312"/>
          <w:b/>
          <w:bCs/>
          <w:lang w:val="en-US" w:eastAsia="zh-CN"/>
        </w:rPr>
        <w:t>便民生活圈配置标准</w:t>
      </w:r>
    </w:p>
    <w:p>
      <w:pPr>
        <w:bidi w:val="0"/>
        <w:rPr>
          <w:rFonts w:hint="eastAsia"/>
          <w:lang w:val="en-US" w:eastAsia="zh-CN"/>
        </w:rPr>
      </w:pPr>
      <w:r>
        <w:rPr>
          <w:rFonts w:hint="eastAsia"/>
          <w:lang w:val="en-US" w:eastAsia="zh-CN"/>
        </w:rPr>
        <w:t>根据《城市商业网点规划编制规范》《城市居住区规划设计标准</w:t>
      </w:r>
      <w:r>
        <w:rPr>
          <w:rFonts w:hint="eastAsia" w:ascii="仿宋_GB2312" w:hAnsi="仿宋_GB2312" w:eastAsia="仿宋_GB2312" w:cs="仿宋_GB2312"/>
          <w:lang w:val="en-US" w:eastAsia="zh-CN"/>
        </w:rPr>
        <w:t>》（GB50180-2018）《社区商业设施设置与功能要求》（GB/T37915-2019）和《城市一刻钟便民生活圈建设指南》及社区人口规模确定社区商业网点配置类型。</w:t>
      </w:r>
    </w:p>
    <w:p>
      <w:pPr>
        <w:pStyle w:val="35"/>
        <w:rPr>
          <w:rFonts w:hint="eastAsia" w:ascii="黑体" w:hAnsi="黑体" w:eastAsia="黑体" w:cs="黑体"/>
          <w:b w:val="0"/>
          <w:sz w:val="24"/>
          <w:lang w:val="en-US" w:eastAsia="zh-CN"/>
        </w:rPr>
      </w:pPr>
      <w:r>
        <w:rPr>
          <w:rFonts w:hint="eastAsia" w:ascii="黑体" w:hAnsi="黑体" w:eastAsia="黑体" w:cs="黑体"/>
          <w:b w:val="0"/>
          <w:sz w:val="24"/>
          <w:lang w:val="en-US" w:eastAsia="zh-CN"/>
        </w:rPr>
        <w:t>表7 社区商业网点业态配置要求</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07"/>
        <w:gridCol w:w="5682"/>
        <w:gridCol w:w="1311"/>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590" w:hRule="atLeast"/>
        </w:trPr>
        <w:tc>
          <w:tcPr>
            <w:tcW w:w="1115" w:type="pct"/>
            <w:tcBorders>
              <w:tl2br w:val="nil"/>
              <w:tr2bl w:val="nil"/>
            </w:tcBorders>
            <w:vAlign w:val="center"/>
          </w:tcPr>
          <w:p>
            <w:pPr>
              <w:snapToGrid/>
              <w:spacing w:line="360" w:lineRule="exact"/>
              <w:ind w:firstLine="0" w:firstLineChars="0"/>
              <w:jc w:val="center"/>
              <w:rPr>
                <w:rFonts w:hint="eastAsia" w:asciiTheme="minorHAnsi" w:hAnsiTheme="minorHAnsi" w:eastAsiaTheme="minorEastAsia" w:cstheme="minorBidi"/>
                <w:b/>
                <w:bCs/>
                <w:color w:val="auto"/>
                <w:sz w:val="21"/>
                <w:szCs w:val="24"/>
                <w:lang w:val="en-US" w:eastAsia="zh-CN"/>
              </w:rPr>
            </w:pPr>
            <w:r>
              <w:rPr>
                <w:rFonts w:hint="eastAsia" w:asciiTheme="minorHAnsi" w:hAnsiTheme="minorHAnsi" w:eastAsiaTheme="minorEastAsia" w:cstheme="minorBidi"/>
                <w:b/>
                <w:bCs/>
                <w:color w:val="auto"/>
                <w:sz w:val="21"/>
                <w:szCs w:val="24"/>
                <w:lang w:val="en-US" w:eastAsia="zh-CN"/>
              </w:rPr>
              <w:t>人口规模/万人</w:t>
            </w:r>
          </w:p>
        </w:tc>
        <w:tc>
          <w:tcPr>
            <w:tcW w:w="3155" w:type="pct"/>
            <w:tcBorders>
              <w:tl2br w:val="nil"/>
              <w:tr2bl w:val="nil"/>
            </w:tcBorders>
            <w:vAlign w:val="center"/>
          </w:tcPr>
          <w:p>
            <w:pPr>
              <w:snapToGrid/>
              <w:spacing w:line="360" w:lineRule="exact"/>
              <w:ind w:firstLine="0" w:firstLineChars="0"/>
              <w:jc w:val="center"/>
              <w:rPr>
                <w:rFonts w:hint="eastAsia" w:asciiTheme="minorHAnsi" w:hAnsiTheme="minorHAnsi" w:eastAsiaTheme="minorEastAsia" w:cstheme="minorBidi"/>
                <w:b/>
                <w:bCs/>
                <w:color w:val="auto"/>
                <w:sz w:val="21"/>
                <w:szCs w:val="24"/>
                <w:lang w:val="en-US" w:eastAsia="zh-CN"/>
              </w:rPr>
            </w:pPr>
            <w:r>
              <w:rPr>
                <w:rFonts w:hint="eastAsia" w:asciiTheme="minorHAnsi" w:hAnsiTheme="minorHAnsi" w:eastAsiaTheme="minorEastAsia" w:cstheme="minorBidi"/>
                <w:b/>
                <w:bCs/>
                <w:color w:val="auto"/>
                <w:sz w:val="21"/>
                <w:szCs w:val="24"/>
                <w:lang w:val="en-US" w:eastAsia="zh-CN"/>
              </w:rPr>
              <w:t>配置业态</w:t>
            </w:r>
          </w:p>
        </w:tc>
        <w:tc>
          <w:tcPr>
            <w:tcW w:w="728" w:type="pct"/>
            <w:tcBorders>
              <w:tl2br w:val="nil"/>
              <w:tr2bl w:val="nil"/>
            </w:tcBorders>
            <w:vAlign w:val="center"/>
          </w:tcPr>
          <w:p>
            <w:pPr>
              <w:snapToGrid/>
              <w:spacing w:line="360" w:lineRule="exact"/>
              <w:ind w:firstLine="0" w:firstLineChars="0"/>
              <w:jc w:val="center"/>
              <w:rPr>
                <w:rFonts w:hint="eastAsia" w:asciiTheme="minorHAnsi" w:hAnsiTheme="minorHAnsi" w:eastAsiaTheme="minorEastAsia" w:cstheme="minorBidi"/>
                <w:b/>
                <w:bCs/>
                <w:color w:val="auto"/>
                <w:sz w:val="21"/>
                <w:szCs w:val="24"/>
                <w:lang w:val="en-US" w:eastAsia="zh-CN"/>
              </w:rPr>
            </w:pPr>
            <w:r>
              <w:rPr>
                <w:rFonts w:hint="eastAsia" w:asciiTheme="minorHAnsi" w:hAnsiTheme="minorHAnsi" w:eastAsiaTheme="minorEastAsia" w:cstheme="minorBidi"/>
                <w:b/>
                <w:bCs/>
                <w:color w:val="auto"/>
                <w:sz w:val="21"/>
                <w:szCs w:val="24"/>
                <w:lang w:val="en-US" w:eastAsia="zh-CN"/>
              </w:rPr>
              <w:t>布局形态</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765" w:hRule="atLeast"/>
        </w:trPr>
        <w:tc>
          <w:tcPr>
            <w:tcW w:w="1115" w:type="pct"/>
            <w:tcBorders>
              <w:tl2br w:val="nil"/>
              <w:tr2bl w:val="nil"/>
            </w:tcBorders>
            <w:vAlign w:val="center"/>
          </w:tcPr>
          <w:p>
            <w:pPr>
              <w:snapToGrid/>
              <w:spacing w:line="360" w:lineRule="exact"/>
              <w:ind w:firstLine="0" w:firstLineChars="0"/>
              <w:jc w:val="center"/>
              <w:rPr>
                <w:rFonts w:hint="eastAsia" w:asciiTheme="minorHAnsi" w:hAnsiTheme="minorHAnsi" w:eastAsiaTheme="minorEastAsia" w:cstheme="minorBidi"/>
                <w:b w:val="0"/>
                <w:bCs w:val="0"/>
                <w:color w:val="auto"/>
                <w:sz w:val="21"/>
                <w:szCs w:val="24"/>
                <w:lang w:val="en-US" w:eastAsia="zh-CN"/>
              </w:rPr>
            </w:pPr>
            <w:r>
              <w:rPr>
                <w:rFonts w:hint="eastAsia" w:asciiTheme="minorHAnsi" w:hAnsiTheme="minorHAnsi" w:eastAsiaTheme="minorEastAsia" w:cstheme="minorBidi"/>
                <w:b w:val="0"/>
                <w:bCs w:val="0"/>
                <w:color w:val="auto"/>
                <w:sz w:val="21"/>
                <w:szCs w:val="24"/>
                <w:lang w:val="en-US" w:eastAsia="zh-CN"/>
              </w:rPr>
              <w:t>≤0.5</w:t>
            </w:r>
          </w:p>
        </w:tc>
        <w:tc>
          <w:tcPr>
            <w:tcW w:w="3155" w:type="pct"/>
            <w:tcBorders>
              <w:tl2br w:val="nil"/>
              <w:tr2bl w:val="nil"/>
            </w:tcBorders>
            <w:vAlign w:val="center"/>
          </w:tcPr>
          <w:p>
            <w:pPr>
              <w:snapToGrid/>
              <w:spacing w:line="360" w:lineRule="exact"/>
              <w:ind w:firstLine="0" w:firstLineChars="0"/>
              <w:jc w:val="both"/>
              <w:rPr>
                <w:rFonts w:hint="eastAsia" w:asciiTheme="minorHAnsi" w:hAnsiTheme="minorHAnsi" w:eastAsiaTheme="minorEastAsia" w:cstheme="minorBidi"/>
                <w:b w:val="0"/>
                <w:bCs w:val="0"/>
                <w:color w:val="auto"/>
                <w:sz w:val="21"/>
                <w:szCs w:val="24"/>
                <w:lang w:val="en-US" w:eastAsia="zh-CN"/>
              </w:rPr>
            </w:pPr>
            <w:r>
              <w:rPr>
                <w:rFonts w:hint="eastAsia" w:asciiTheme="minorHAnsi" w:hAnsiTheme="minorHAnsi" w:eastAsiaTheme="minorEastAsia" w:cstheme="minorBidi"/>
                <w:b w:val="0"/>
                <w:bCs w:val="0"/>
                <w:color w:val="auto"/>
                <w:sz w:val="21"/>
                <w:szCs w:val="24"/>
                <w:lang w:val="en-US" w:eastAsia="zh-CN"/>
              </w:rPr>
              <w:t>便利店、生鲜超市、医药店、餐饮店、再生资源回收点等</w:t>
            </w:r>
          </w:p>
        </w:tc>
        <w:tc>
          <w:tcPr>
            <w:tcW w:w="728" w:type="pct"/>
            <w:vMerge w:val="restart"/>
            <w:tcBorders>
              <w:tl2br w:val="nil"/>
              <w:tr2bl w:val="nil"/>
            </w:tcBorders>
            <w:vAlign w:val="center"/>
          </w:tcPr>
          <w:p>
            <w:pPr>
              <w:snapToGrid/>
              <w:spacing w:line="360" w:lineRule="exact"/>
              <w:ind w:firstLine="0" w:firstLineChars="0"/>
              <w:jc w:val="both"/>
              <w:rPr>
                <w:rFonts w:hint="eastAsia" w:asciiTheme="minorHAnsi" w:hAnsiTheme="minorHAnsi" w:eastAsiaTheme="minorEastAsia" w:cstheme="minorBidi"/>
                <w:b w:val="0"/>
                <w:bCs w:val="0"/>
                <w:color w:val="auto"/>
                <w:sz w:val="21"/>
                <w:szCs w:val="24"/>
                <w:lang w:val="en-US" w:eastAsia="zh-CN"/>
              </w:rPr>
            </w:pPr>
            <w:r>
              <w:rPr>
                <w:rFonts w:hint="eastAsia" w:asciiTheme="minorHAnsi" w:hAnsiTheme="minorHAnsi" w:eastAsiaTheme="minorEastAsia" w:cstheme="minorBidi"/>
                <w:b w:val="0"/>
                <w:bCs w:val="0"/>
                <w:color w:val="auto"/>
                <w:sz w:val="21"/>
                <w:szCs w:val="24"/>
                <w:lang w:val="en-US" w:eastAsia="zh-CN"/>
              </w:rPr>
              <w:t>组团式、街坊式和分布式</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c>
          <w:tcPr>
            <w:tcW w:w="1115" w:type="pct"/>
            <w:tcBorders>
              <w:tl2br w:val="nil"/>
              <w:tr2bl w:val="nil"/>
            </w:tcBorders>
            <w:vAlign w:val="center"/>
          </w:tcPr>
          <w:p>
            <w:pPr>
              <w:snapToGrid/>
              <w:spacing w:line="360" w:lineRule="exact"/>
              <w:ind w:firstLine="0" w:firstLineChars="0"/>
              <w:jc w:val="center"/>
              <w:rPr>
                <w:rFonts w:hint="eastAsia" w:asciiTheme="minorHAnsi" w:hAnsiTheme="minorHAnsi" w:eastAsiaTheme="minorEastAsia" w:cstheme="minorBidi"/>
                <w:b w:val="0"/>
                <w:bCs w:val="0"/>
                <w:color w:val="auto"/>
                <w:sz w:val="21"/>
                <w:szCs w:val="24"/>
                <w:lang w:val="en-US" w:eastAsia="zh-CN"/>
              </w:rPr>
            </w:pPr>
            <w:r>
              <w:rPr>
                <w:rFonts w:hint="eastAsia" w:asciiTheme="minorHAnsi" w:hAnsiTheme="minorHAnsi" w:eastAsiaTheme="minorEastAsia" w:cstheme="minorBidi"/>
                <w:b w:val="0"/>
                <w:bCs w:val="0"/>
                <w:color w:val="auto"/>
                <w:sz w:val="21"/>
                <w:szCs w:val="24"/>
                <w:lang w:val="en-US" w:eastAsia="zh-CN"/>
              </w:rPr>
              <w:t>0.5≤人数≤1.0</w:t>
            </w:r>
          </w:p>
        </w:tc>
        <w:tc>
          <w:tcPr>
            <w:tcW w:w="3155" w:type="pct"/>
            <w:tcBorders>
              <w:tl2br w:val="nil"/>
              <w:tr2bl w:val="nil"/>
            </w:tcBorders>
            <w:vAlign w:val="center"/>
          </w:tcPr>
          <w:p>
            <w:pPr>
              <w:snapToGrid/>
              <w:spacing w:line="360" w:lineRule="exact"/>
              <w:ind w:firstLine="0" w:firstLineChars="0"/>
              <w:jc w:val="both"/>
              <w:rPr>
                <w:rFonts w:hint="eastAsia" w:asciiTheme="minorHAnsi" w:hAnsiTheme="minorHAnsi" w:eastAsiaTheme="minorEastAsia" w:cstheme="minorBidi"/>
                <w:b w:val="0"/>
                <w:bCs w:val="0"/>
                <w:color w:val="auto"/>
                <w:sz w:val="21"/>
                <w:szCs w:val="24"/>
                <w:lang w:val="en-US" w:eastAsia="zh-CN"/>
              </w:rPr>
            </w:pPr>
            <w:r>
              <w:rPr>
                <w:rFonts w:hint="eastAsia" w:asciiTheme="minorHAnsi" w:hAnsiTheme="minorHAnsi" w:eastAsiaTheme="minorEastAsia" w:cstheme="minorBidi"/>
                <w:b w:val="0"/>
                <w:bCs w:val="0"/>
                <w:color w:val="auto"/>
                <w:sz w:val="21"/>
                <w:szCs w:val="24"/>
                <w:lang w:val="en-US" w:eastAsia="zh-CN"/>
              </w:rPr>
              <w:t>菜市场（店）、生鲜超市、综合超市、社区超市、便利店、餐饮（含早餐）、美容美发、药店、洗染、维修、家政服务、养老服务、再生资源回收点等</w:t>
            </w:r>
          </w:p>
        </w:tc>
        <w:tc>
          <w:tcPr>
            <w:tcW w:w="728" w:type="pct"/>
            <w:vMerge w:val="continue"/>
            <w:tcBorders>
              <w:tl2br w:val="nil"/>
              <w:tr2bl w:val="nil"/>
            </w:tcBorders>
            <w:vAlign w:val="center"/>
          </w:tcPr>
          <w:p>
            <w:pPr>
              <w:snapToGrid w:val="0"/>
              <w:spacing w:line="400" w:lineRule="exact"/>
              <w:ind w:firstLine="0" w:firstLineChars="0"/>
              <w:jc w:val="center"/>
              <w:rPr>
                <w:rFonts w:hint="eastAsia" w:ascii="仿宋_GB2312" w:hAnsi="仿宋_GB2312" w:eastAsia="仿宋_GB2312" w:cs="仿宋_GB2312"/>
                <w:b/>
                <w:bCs/>
                <w:color w:val="000000"/>
                <w:sz w:val="24"/>
                <w:szCs w:val="24"/>
                <w:lang w:val="en-US" w:eastAsia="zh-CN"/>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c>
          <w:tcPr>
            <w:tcW w:w="1115" w:type="pct"/>
            <w:tcBorders>
              <w:tl2br w:val="nil"/>
              <w:tr2bl w:val="nil"/>
            </w:tcBorders>
            <w:vAlign w:val="center"/>
          </w:tcPr>
          <w:p>
            <w:pPr>
              <w:snapToGrid/>
              <w:spacing w:line="360" w:lineRule="exact"/>
              <w:ind w:firstLine="0" w:firstLineChars="0"/>
              <w:jc w:val="center"/>
              <w:rPr>
                <w:rFonts w:hint="eastAsia" w:asciiTheme="minorHAnsi" w:hAnsiTheme="minorHAnsi" w:eastAsiaTheme="minorEastAsia" w:cstheme="minorBidi"/>
                <w:b w:val="0"/>
                <w:bCs w:val="0"/>
                <w:color w:val="auto"/>
                <w:sz w:val="21"/>
                <w:szCs w:val="24"/>
                <w:lang w:val="en-US" w:eastAsia="zh-CN"/>
              </w:rPr>
            </w:pPr>
            <w:r>
              <w:rPr>
                <w:rFonts w:hint="eastAsia" w:asciiTheme="minorHAnsi" w:hAnsiTheme="minorHAnsi" w:eastAsiaTheme="minorEastAsia" w:cstheme="minorBidi"/>
                <w:b w:val="0"/>
                <w:bCs w:val="0"/>
                <w:color w:val="auto"/>
                <w:sz w:val="21"/>
                <w:szCs w:val="24"/>
                <w:lang w:val="en-US" w:eastAsia="zh-CN"/>
              </w:rPr>
              <w:t>≥1.0</w:t>
            </w:r>
          </w:p>
        </w:tc>
        <w:tc>
          <w:tcPr>
            <w:tcW w:w="3155" w:type="pct"/>
            <w:tcBorders>
              <w:tl2br w:val="nil"/>
              <w:tr2bl w:val="nil"/>
            </w:tcBorders>
            <w:vAlign w:val="center"/>
          </w:tcPr>
          <w:p>
            <w:pPr>
              <w:snapToGrid/>
              <w:spacing w:line="360" w:lineRule="exact"/>
              <w:ind w:firstLine="0" w:firstLineChars="0"/>
              <w:jc w:val="both"/>
              <w:rPr>
                <w:rFonts w:hint="eastAsia" w:asciiTheme="minorHAnsi" w:hAnsiTheme="minorHAnsi" w:eastAsiaTheme="minorEastAsia" w:cstheme="minorBidi"/>
                <w:b w:val="0"/>
                <w:bCs w:val="0"/>
                <w:color w:val="auto"/>
                <w:sz w:val="21"/>
                <w:szCs w:val="24"/>
                <w:lang w:val="en-US" w:eastAsia="zh-CN"/>
              </w:rPr>
            </w:pPr>
            <w:r>
              <w:rPr>
                <w:rFonts w:hint="eastAsia" w:asciiTheme="minorHAnsi" w:hAnsiTheme="minorHAnsi" w:eastAsiaTheme="minorEastAsia" w:cstheme="minorBidi"/>
                <w:b w:val="0"/>
                <w:bCs w:val="0"/>
                <w:color w:val="auto"/>
                <w:sz w:val="21"/>
                <w:szCs w:val="24"/>
                <w:lang w:val="en-US" w:eastAsia="zh-CN"/>
              </w:rPr>
              <w:t>大中型综合超市、生鲜超市、各类专业店和专卖店、餐饮店、新式书店、运动健身房、网咖、鲜花礼品店、茶艺咖啡馆、宠物服务站、早教中心、老年活动室等</w:t>
            </w:r>
          </w:p>
        </w:tc>
        <w:tc>
          <w:tcPr>
            <w:tcW w:w="728" w:type="pct"/>
            <w:vMerge w:val="continue"/>
            <w:tcBorders>
              <w:tl2br w:val="nil"/>
              <w:tr2bl w:val="nil"/>
            </w:tcBorders>
            <w:vAlign w:val="center"/>
          </w:tcPr>
          <w:p>
            <w:pPr>
              <w:snapToGrid w:val="0"/>
              <w:spacing w:line="400" w:lineRule="exact"/>
              <w:ind w:firstLine="0" w:firstLineChars="0"/>
              <w:jc w:val="center"/>
              <w:rPr>
                <w:rFonts w:hint="eastAsia" w:ascii="仿宋_GB2312" w:hAnsi="仿宋_GB2312" w:eastAsia="仿宋_GB2312" w:cs="仿宋_GB2312"/>
                <w:b/>
                <w:bCs/>
                <w:color w:val="000000"/>
                <w:sz w:val="24"/>
                <w:szCs w:val="24"/>
                <w:lang w:val="en-US" w:eastAsia="zh-CN"/>
              </w:rPr>
            </w:pPr>
          </w:p>
        </w:tc>
      </w:tr>
    </w:tbl>
    <w:p>
      <w:pPr>
        <w:rPr>
          <w:rFonts w:hint="eastAsia" w:ascii="仿宋_GB2312" w:hAnsi="仿宋_GB2312" w:eastAsia="仿宋_GB2312" w:cs="仿宋_GB2312"/>
          <w:b/>
          <w:bCs/>
        </w:rPr>
      </w:pPr>
      <w:r>
        <w:rPr>
          <w:rFonts w:hint="eastAsia" w:ascii="仿宋_GB2312" w:hAnsi="仿宋_GB2312" w:cs="仿宋_GB2312"/>
          <w:b/>
          <w:bCs/>
          <w:lang w:val="en-US" w:eastAsia="zh-CN"/>
        </w:rPr>
        <w:t>5</w:t>
      </w:r>
      <w:r>
        <w:rPr>
          <w:rFonts w:hint="eastAsia" w:ascii="仿宋_GB2312" w:hAnsi="仿宋_GB2312" w:eastAsia="仿宋_GB2312" w:cs="仿宋_GB2312"/>
          <w:b/>
          <w:bCs/>
        </w:rPr>
        <w:t>.社区</w:t>
      </w:r>
      <w:r>
        <w:rPr>
          <w:rFonts w:hint="eastAsia" w:ascii="仿宋_GB2312" w:hAnsi="仿宋_GB2312" w:cs="仿宋_GB2312"/>
          <w:b/>
          <w:bCs/>
          <w:lang w:val="en-US" w:eastAsia="zh-CN"/>
        </w:rPr>
        <w:t>便民生活圈</w:t>
      </w:r>
      <w:r>
        <w:rPr>
          <w:rFonts w:hint="eastAsia" w:ascii="仿宋_GB2312" w:hAnsi="仿宋_GB2312" w:eastAsia="仿宋_GB2312" w:cs="仿宋_GB2312"/>
          <w:b/>
          <w:bCs/>
        </w:rPr>
        <w:t>布局规划</w:t>
      </w:r>
    </w:p>
    <w:p>
      <w:pPr>
        <w:ind w:firstLine="640"/>
        <w:rPr>
          <w:rFonts w:hint="eastAsia" w:ascii="仿宋_GB2312" w:hAnsi="仿宋_GB2312" w:eastAsia="仿宋_GB2312" w:cs="仿宋_GB2312"/>
        </w:rPr>
      </w:pPr>
      <w:r>
        <w:rPr>
          <w:rFonts w:hint="eastAsia" w:ascii="仿宋_GB2312" w:hAnsi="仿宋_GB2312" w:eastAsia="仿宋_GB2312" w:cs="仿宋_GB2312"/>
        </w:rPr>
        <w:t>规划期</w:t>
      </w:r>
      <w:r>
        <w:rPr>
          <w:rFonts w:hint="eastAsia" w:ascii="仿宋_GB2312" w:hAnsi="仿宋_GB2312" w:eastAsia="仿宋_GB2312" w:cs="仿宋_GB2312"/>
          <w:lang w:val="en-US" w:eastAsia="zh-CN"/>
        </w:rPr>
        <w:t>内</w:t>
      </w:r>
      <w:r>
        <w:rPr>
          <w:rFonts w:hint="eastAsia" w:ascii="仿宋_GB2312" w:hAnsi="仿宋_GB2312" w:eastAsia="仿宋_GB2312" w:cs="仿宋_GB2312"/>
        </w:rPr>
        <w:t>，结合同心县县城中心人口分布，以步行 8-15分钟到达为引导，均衡布局11处社区商业中心，构建“15分钟”便民生活服务圈。社区</w:t>
      </w:r>
      <w:r>
        <w:rPr>
          <w:rFonts w:hint="eastAsia" w:ascii="仿宋_GB2312" w:hAnsi="仿宋_GB2312" w:cs="仿宋_GB2312"/>
          <w:lang w:val="en-US" w:eastAsia="zh-CN"/>
        </w:rPr>
        <w:t>便民生活圈</w:t>
      </w:r>
      <w:r>
        <w:rPr>
          <w:rFonts w:hint="eastAsia" w:ascii="仿宋_GB2312" w:hAnsi="仿宋_GB2312" w:eastAsia="仿宋_GB2312" w:cs="仿宋_GB2312"/>
        </w:rPr>
        <w:t>规划情况详见表</w:t>
      </w:r>
      <w:r>
        <w:rPr>
          <w:rFonts w:hint="eastAsia" w:ascii="仿宋_GB2312" w:hAnsi="仿宋_GB2312" w:cs="仿宋_GB2312"/>
          <w:lang w:val="en-US" w:eastAsia="zh-CN"/>
        </w:rPr>
        <w:t>6</w:t>
      </w:r>
      <w:r>
        <w:rPr>
          <w:rFonts w:hint="eastAsia" w:ascii="仿宋_GB2312" w:hAnsi="仿宋_GB2312" w:eastAsia="仿宋_GB2312" w:cs="仿宋_GB2312"/>
        </w:rPr>
        <w:t>。</w:t>
      </w:r>
    </w:p>
    <w:p>
      <w:pPr>
        <w:ind w:firstLine="560"/>
        <w:jc w:val="center"/>
        <w:rPr>
          <w:rFonts w:hint="eastAsia" w:ascii="黑体" w:hAnsi="黑体" w:eastAsia="黑体" w:cs="黑体"/>
          <w:sz w:val="24"/>
          <w:szCs w:val="24"/>
        </w:rPr>
      </w:pPr>
      <w:r>
        <w:rPr>
          <w:rFonts w:hint="eastAsia" w:ascii="黑体" w:hAnsi="黑体" w:eastAsia="黑体" w:cs="黑体"/>
          <w:sz w:val="24"/>
          <w:szCs w:val="24"/>
        </w:rPr>
        <w:t>表</w:t>
      </w:r>
      <w:r>
        <w:rPr>
          <w:rFonts w:hint="eastAsia" w:ascii="黑体" w:hAnsi="黑体" w:eastAsia="黑体" w:cs="黑体"/>
          <w:sz w:val="24"/>
          <w:szCs w:val="24"/>
          <w:lang w:val="en-US" w:eastAsia="zh-CN"/>
        </w:rPr>
        <w:t>8</w:t>
      </w:r>
      <w:r>
        <w:rPr>
          <w:rFonts w:hint="eastAsia" w:ascii="黑体" w:hAnsi="黑体" w:eastAsia="黑体" w:cs="黑体"/>
          <w:sz w:val="24"/>
          <w:szCs w:val="24"/>
        </w:rPr>
        <w:t xml:space="preserve"> 中心城区社区</w:t>
      </w:r>
      <w:r>
        <w:rPr>
          <w:rFonts w:hint="eastAsia" w:ascii="黑体" w:hAnsi="黑体" w:eastAsia="黑体" w:cs="黑体"/>
          <w:sz w:val="24"/>
          <w:szCs w:val="24"/>
          <w:lang w:val="en-US" w:eastAsia="zh-CN"/>
        </w:rPr>
        <w:t>便民生活圈</w:t>
      </w:r>
      <w:r>
        <w:rPr>
          <w:rFonts w:hint="eastAsia" w:ascii="黑体" w:hAnsi="黑体" w:eastAsia="黑体" w:cs="黑体"/>
          <w:sz w:val="24"/>
          <w:szCs w:val="24"/>
        </w:rPr>
        <w:t>规划一览表</w:t>
      </w:r>
    </w:p>
    <w:tbl>
      <w:tblPr>
        <w:tblStyle w:val="27"/>
        <w:tblW w:w="4869" w:type="pct"/>
        <w:tblInd w:w="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36"/>
        <w:gridCol w:w="2302"/>
        <w:gridCol w:w="2616"/>
        <w:gridCol w:w="1939"/>
        <w:gridCol w:w="11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序号</w:t>
            </w:r>
          </w:p>
        </w:tc>
        <w:tc>
          <w:tcPr>
            <w:tcW w:w="1312"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名称</w:t>
            </w:r>
          </w:p>
        </w:tc>
        <w:tc>
          <w:tcPr>
            <w:tcW w:w="1491"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位置</w:t>
            </w:r>
          </w:p>
        </w:tc>
        <w:tc>
          <w:tcPr>
            <w:tcW w:w="1105"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主力店铺</w:t>
            </w:r>
          </w:p>
        </w:tc>
        <w:tc>
          <w:tcPr>
            <w:tcW w:w="670"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建设方式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新华社区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豫海南街、银平西路区域</w:t>
            </w:r>
          </w:p>
        </w:tc>
        <w:tc>
          <w:tcPr>
            <w:tcW w:w="110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中型超市</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豫西社区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复兴路、永安西路区域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百货中心、大型超市、餐饮设施</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规划新建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3</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豫园社区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豫海北街、建设路区域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购物中心、百货中心、大型超市、大型餐饮娱乐设施</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4</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富兴社区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长征东路、人民南街区域</w:t>
            </w:r>
          </w:p>
        </w:tc>
        <w:tc>
          <w:tcPr>
            <w:tcW w:w="1105"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中型超市</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5</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永春社区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同心大道、学园路、庆王街区域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百货店、娱乐餐饮设施、中型超市</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6</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长征社区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长征东路、团结北街区域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百货店、中型超市</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7</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利民社区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利民东街、民生北街区域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百货店、中型超市、餐饮设施</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8</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幸福社区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利民东街、团结北街区域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百货店、中型超市、餐饮设施</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9</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罗山社区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银平路、永安西路区域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中型超市、餐饮娱乐设施</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10</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清水社区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永安西路、豫海北街区域</w:t>
            </w:r>
          </w:p>
        </w:tc>
        <w:tc>
          <w:tcPr>
            <w:tcW w:w="1105"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中型超市</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餐饮设施</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42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11</w:t>
            </w:r>
          </w:p>
        </w:tc>
        <w:tc>
          <w:tcPr>
            <w:tcW w:w="1312"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永安社区</w:t>
            </w:r>
            <w:r>
              <w:rPr>
                <w:rFonts w:hint="eastAsia" w:ascii="宋体" w:hAnsi="宋体" w:eastAsia="宋体" w:cs="宋体"/>
                <w:sz w:val="21"/>
                <w:szCs w:val="21"/>
                <w:lang w:val="en-US" w:eastAsia="zh-CN"/>
              </w:rPr>
              <w:t>便民生活圈</w:t>
            </w:r>
          </w:p>
        </w:tc>
        <w:tc>
          <w:tcPr>
            <w:tcW w:w="149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豫海街、文化北街、利民街区域</w:t>
            </w:r>
          </w:p>
        </w:tc>
        <w:tc>
          <w:tcPr>
            <w:tcW w:w="1105"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购物中心、大型餐饮娱乐设施、大型超市</w:t>
            </w:r>
          </w:p>
        </w:tc>
        <w:tc>
          <w:tcPr>
            <w:tcW w:w="67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bl>
    <w:p>
      <w:pPr>
        <w:bidi w:val="0"/>
        <w:rPr>
          <w:rFonts w:hint="eastAsia"/>
        </w:rPr>
      </w:pPr>
      <w:bookmarkStart w:id="70" w:name="_Toc9476"/>
      <w:bookmarkStart w:id="71" w:name="_Toc32387"/>
      <w:r>
        <w:rPr>
          <w:rFonts w:hint="eastAsia"/>
        </w:rPr>
        <w:t>——生鲜超市：积极引入品牌生鲜超市，如小任果业、菜篮子等，在新建小区、已建有条件的小区合理布置生鲜超市。不具备条件的小区门口可引入移动果蔬售卖车。</w:t>
      </w:r>
    </w:p>
    <w:p>
      <w:pPr>
        <w:bidi w:val="0"/>
      </w:pPr>
      <w:r>
        <w:rPr>
          <w:rFonts w:hint="default"/>
        </w:rPr>
        <w:t>——</w:t>
      </w:r>
      <w:r>
        <w:rPr>
          <w:rFonts w:hint="eastAsia"/>
          <w:lang w:val="en-US" w:eastAsia="zh-Hans"/>
        </w:rPr>
        <w:t>早市</w:t>
      </w:r>
      <w:r>
        <w:rPr>
          <w:rFonts w:hint="default"/>
          <w:lang w:eastAsia="zh-Hans"/>
        </w:rPr>
        <w:t>：地摊经济是指通过摆地摊获得收入来源而形成的一种经济形式，经营主要品类包括小吃美食为主的早市和夜市，自产自销的农产品以及各类日用品等三类，参与主体为流动商贩和以街边店占道经营为主</w:t>
      </w:r>
      <w:r>
        <w:rPr>
          <w:rFonts w:hint="eastAsia"/>
          <w:lang w:eastAsia="zh-CN"/>
        </w:rPr>
        <w:t>。</w:t>
      </w:r>
      <w:r>
        <w:rPr>
          <w:rFonts w:hint="eastAsia"/>
          <w:lang w:val="en-US" w:eastAsia="zh-CN"/>
        </w:rPr>
        <w:t>通过政府投资、企业租赁的方式，在银平街与交通宾馆附近、文化广场附近建设早市两处。</w:t>
      </w:r>
      <w:bookmarkEnd w:id="70"/>
      <w:bookmarkEnd w:id="71"/>
    </w:p>
    <w:p>
      <w:pPr>
        <w:pStyle w:val="2"/>
        <w:spacing w:before="156" w:after="156"/>
        <w:ind w:firstLine="643"/>
      </w:pPr>
      <w:bookmarkStart w:id="72" w:name="_Toc28127"/>
      <w:bookmarkStart w:id="73" w:name="_Toc20346"/>
      <w:bookmarkStart w:id="74" w:name="_Toc15038"/>
      <w:bookmarkStart w:id="75" w:name="_Toc95764822"/>
      <w:r>
        <w:rPr>
          <w:rFonts w:hint="eastAsia"/>
        </w:rPr>
        <w:t>（五）乡镇</w:t>
      </w:r>
      <w:r>
        <w:rPr>
          <w:rFonts w:hint="default"/>
          <w:lang w:val="en-US"/>
        </w:rPr>
        <w:t>商业</w:t>
      </w:r>
      <w:r>
        <w:rPr>
          <w:rFonts w:hint="eastAsia"/>
        </w:rPr>
        <w:t>中心</w:t>
      </w:r>
      <w:bookmarkEnd w:id="72"/>
      <w:bookmarkEnd w:id="73"/>
      <w:bookmarkEnd w:id="74"/>
    </w:p>
    <w:p>
      <w:pPr>
        <w:rPr>
          <w:rFonts w:hint="eastAsia" w:ascii="仿宋_GB2312" w:hAnsi="仿宋_GB2312" w:eastAsia="仿宋_GB2312" w:cs="仿宋_GB2312"/>
        </w:rPr>
      </w:pPr>
      <w:r>
        <w:rPr>
          <w:rFonts w:hint="eastAsia" w:ascii="仿宋_GB2312" w:hAnsi="仿宋_GB2312" w:eastAsia="仿宋_GB2312" w:cs="仿宋_GB2312"/>
          <w:b/>
          <w:bCs/>
        </w:rPr>
        <w:t>功能定位：</w:t>
      </w:r>
      <w:r>
        <w:rPr>
          <w:rFonts w:hint="eastAsia" w:ascii="仿宋_GB2312" w:hAnsi="仿宋_GB2312" w:eastAsia="仿宋_GB2312" w:cs="仿宋_GB2312"/>
        </w:rPr>
        <w:t>乡镇</w:t>
      </w:r>
      <w:r>
        <w:rPr>
          <w:rFonts w:hint="default" w:ascii="仿宋_GB2312" w:hAnsi="仿宋_GB2312" w:eastAsia="仿宋_GB2312" w:cs="仿宋_GB2312"/>
          <w:lang w:val="en-US"/>
        </w:rPr>
        <w:t>商业</w:t>
      </w:r>
      <w:r>
        <w:rPr>
          <w:rFonts w:hint="eastAsia" w:ascii="仿宋_GB2312" w:hAnsi="仿宋_GB2312" w:eastAsia="仿宋_GB2312" w:cs="仿宋_GB2312"/>
        </w:rPr>
        <w:t>中心以乡镇的交通要道或人流集中地为节点，以满足当地居民的日常生活和生产活动为目的，主要提供日常生活必需品和农资产品的经销服务，以及农副产品收购和物流服务。</w:t>
      </w:r>
    </w:p>
    <w:p>
      <w:pPr>
        <w:rPr>
          <w:rFonts w:hint="eastAsia" w:ascii="仿宋_GB2312" w:hAnsi="仿宋_GB2312" w:eastAsia="仿宋_GB2312" w:cs="仿宋_GB2312"/>
        </w:rPr>
      </w:pPr>
      <w:r>
        <w:rPr>
          <w:rFonts w:hint="eastAsia" w:ascii="仿宋_GB2312" w:hAnsi="仿宋_GB2312" w:eastAsia="仿宋_GB2312" w:cs="仿宋_GB2312"/>
          <w:b/>
          <w:bCs/>
        </w:rPr>
        <w:t>规划原则：</w:t>
      </w:r>
      <w:r>
        <w:rPr>
          <w:rFonts w:hint="eastAsia" w:ascii="仿宋_GB2312" w:hAnsi="仿宋_GB2312" w:eastAsia="仿宋_GB2312" w:cs="仿宋_GB2312"/>
        </w:rPr>
        <w:t>乡镇</w:t>
      </w:r>
      <w:r>
        <w:rPr>
          <w:rFonts w:hint="default" w:ascii="仿宋_GB2312" w:hAnsi="仿宋_GB2312" w:eastAsia="仿宋_GB2312" w:cs="仿宋_GB2312"/>
          <w:lang w:val="en-US"/>
        </w:rPr>
        <w:t>商业</w:t>
      </w:r>
      <w:r>
        <w:rPr>
          <w:rFonts w:hint="eastAsia" w:ascii="仿宋_GB2312" w:hAnsi="仿宋_GB2312" w:cs="仿宋_GB2312"/>
          <w:lang w:val="en-US" w:eastAsia="zh-CN"/>
        </w:rPr>
        <w:t>中心</w:t>
      </w:r>
      <w:r>
        <w:rPr>
          <w:rFonts w:hint="eastAsia" w:ascii="仿宋_GB2312" w:hAnsi="仿宋_GB2312" w:eastAsia="仿宋_GB2312" w:cs="仿宋_GB2312"/>
        </w:rPr>
        <w:t>设置要以乡镇居民的消费能力为基础，集商业服务、生活购物、多样化消费等多功能于一体，是本地居民和周边乡村居民的综合性商业服务中心。结合各乡镇人口分布情况，按照《县域商业建设指南2021年》中乡镇商贸中心的标准进行建设；按照每个一</w:t>
      </w:r>
      <w:r>
        <w:rPr>
          <w:rFonts w:hint="eastAsia" w:ascii="仿宋_GB2312" w:hAnsi="仿宋_GB2312" w:eastAsia="仿宋_GB2312" w:cs="仿宋_GB2312"/>
          <w:highlight w:val="none"/>
        </w:rPr>
        <w:t>般</w:t>
      </w:r>
      <w:r>
        <w:rPr>
          <w:rFonts w:hint="eastAsia" w:ascii="仿宋_GB2312" w:hAnsi="仿宋_GB2312" w:cs="仿宋_GB2312"/>
          <w:highlight w:val="none"/>
          <w:lang w:val="en-US" w:eastAsia="zh-Hans"/>
        </w:rPr>
        <w:t>乡</w:t>
      </w:r>
      <w:r>
        <w:rPr>
          <w:rFonts w:hint="eastAsia" w:ascii="仿宋_GB2312" w:hAnsi="仿宋_GB2312" w:eastAsia="仿宋_GB2312" w:cs="仿宋_GB2312"/>
          <w:highlight w:val="none"/>
        </w:rPr>
        <w:t>镇设置</w:t>
      </w:r>
      <w:r>
        <w:rPr>
          <w:rFonts w:hint="eastAsia" w:ascii="仿宋_GB2312" w:hAnsi="仿宋_GB2312" w:eastAsia="仿宋_GB2312" w:cs="仿宋_GB2312"/>
        </w:rPr>
        <w:t>1个200㎡左右的综合超市、2-3个100㎡左右的生活服务专业店、若干个小型专卖店、便利店的原则进行建设，合理配置部分休闲网点。在人口不足1万人且商业欠发达的乡镇内，因居住人口有限不适宜配置乡镇商贸中心，建议以街巷商业的形式配置便利店、中小型超市等基础性业态。</w:t>
      </w:r>
    </w:p>
    <w:p>
      <w:pPr>
        <w:rPr>
          <w:rFonts w:hint="eastAsia" w:ascii="仿宋_GB2312" w:hAnsi="仿宋_GB2312" w:eastAsia="仿宋_GB2312" w:cs="仿宋_GB2312"/>
        </w:rPr>
      </w:pPr>
      <w:bookmarkStart w:id="76" w:name="_Toc27722620"/>
      <w:bookmarkStart w:id="77" w:name="_Toc490726501"/>
      <w:r>
        <w:rPr>
          <w:rFonts w:hint="eastAsia" w:ascii="仿宋_GB2312" w:hAnsi="仿宋_GB2312" w:eastAsia="仿宋_GB2312" w:cs="仿宋_GB2312"/>
          <w:b/>
          <w:bCs/>
        </w:rPr>
        <w:t>目标指引</w:t>
      </w:r>
      <w:bookmarkEnd w:id="76"/>
      <w:bookmarkEnd w:id="77"/>
      <w:r>
        <w:rPr>
          <w:rFonts w:hint="eastAsia" w:ascii="仿宋_GB2312" w:hAnsi="仿宋_GB2312" w:eastAsia="仿宋_GB2312" w:cs="仿宋_GB2312"/>
          <w:b/>
          <w:bCs/>
        </w:rPr>
        <w:t>：</w:t>
      </w:r>
      <w:r>
        <w:rPr>
          <w:rFonts w:hint="eastAsia"/>
        </w:rPr>
        <w:t>根据各乡镇资源禀赋、区位及产业特色，围绕人口集聚区，突出便民功能提升，重点引导农贸市场改造提升，辅以综合商业街区及中大型超市、专卖店、专业店、便利店等设施建设，加快培育文化服务、农贸服务、交通运输服务、特色商贸及本地生活服务等功能，打造城乡商贸网络的特色功能节点。</w:t>
      </w:r>
      <w:r>
        <w:rPr>
          <w:rFonts w:hint="eastAsia" w:ascii="仿宋_GB2312" w:hAnsi="仿宋_GB2312" w:cs="仿宋_GB2312"/>
          <w:lang w:val="en-US" w:eastAsia="zh-CN"/>
        </w:rPr>
        <w:t>推进</w:t>
      </w:r>
      <w:r>
        <w:rPr>
          <w:rFonts w:hint="eastAsia" w:ascii="Times New Roman" w:hAnsi="Times New Roman" w:eastAsia="仿宋_GB2312" w:cs="宋体"/>
          <w:color w:val="000000"/>
          <w:kern w:val="0"/>
          <w:sz w:val="32"/>
          <w:szCs w:val="32"/>
          <w:lang w:val="en-US" w:eastAsia="zh-CN" w:bidi="ar"/>
        </w:rPr>
        <w:t>下马关镇、韦州镇、预旺镇、王团镇、河西镇</w:t>
      </w:r>
      <w:r>
        <w:rPr>
          <w:rFonts w:hint="eastAsia" w:ascii="仿宋_GB2312" w:hAnsi="仿宋_GB2312" w:cs="仿宋_GB2312"/>
          <w:lang w:eastAsia="zh-CN"/>
        </w:rPr>
        <w:t>、</w:t>
      </w:r>
      <w:r>
        <w:rPr>
          <w:rFonts w:hint="eastAsia" w:ascii="仿宋_GB2312" w:hAnsi="仿宋_GB2312" w:cs="仿宋_GB2312"/>
          <w:lang w:val="en-US" w:eastAsia="zh-CN"/>
        </w:rPr>
        <w:t>丁塘镇、</w:t>
      </w:r>
      <w:r>
        <w:rPr>
          <w:rFonts w:hint="eastAsia" w:ascii="仿宋_GB2312" w:hAnsi="仿宋_GB2312" w:eastAsia="仿宋_GB2312" w:cs="仿宋_GB2312"/>
          <w:kern w:val="2"/>
          <w:sz w:val="32"/>
        </w:rPr>
        <w:t>兴隆乡</w:t>
      </w:r>
      <w:r>
        <w:rPr>
          <w:rFonts w:hint="eastAsia" w:ascii="仿宋_GB2312" w:hAnsi="仿宋_GB2312" w:cs="仿宋_GB2312"/>
          <w:kern w:val="2"/>
          <w:sz w:val="32"/>
          <w:lang w:eastAsia="zh-CN"/>
        </w:rPr>
        <w:t>、石狮开发区</w:t>
      </w:r>
      <w:r>
        <w:rPr>
          <w:rFonts w:hint="eastAsia" w:ascii="仿宋_GB2312" w:hAnsi="仿宋_GB2312" w:cs="仿宋_GB2312"/>
          <w:lang w:val="en-US" w:eastAsia="zh-Hans"/>
        </w:rPr>
        <w:t>乡</w:t>
      </w:r>
      <w:r>
        <w:rPr>
          <w:rFonts w:hint="eastAsia" w:ascii="仿宋_GB2312" w:hAnsi="仿宋_GB2312" w:eastAsia="仿宋_GB2312" w:cs="仿宋_GB2312"/>
        </w:rPr>
        <w:t>镇</w:t>
      </w:r>
      <w:r>
        <w:rPr>
          <w:rFonts w:hint="eastAsia" w:ascii="仿宋_GB2312" w:hAnsi="仿宋_GB2312" w:cs="仿宋_GB2312"/>
          <w:lang w:val="en-US" w:eastAsia="zh-CN"/>
        </w:rPr>
        <w:t>商业</w:t>
      </w:r>
      <w:r>
        <w:rPr>
          <w:rFonts w:hint="eastAsia" w:ascii="仿宋_GB2312" w:hAnsi="仿宋_GB2312" w:eastAsia="仿宋_GB2312" w:cs="仿宋_GB2312"/>
        </w:rPr>
        <w:t>中心</w:t>
      </w:r>
      <w:r>
        <w:rPr>
          <w:rFonts w:hint="eastAsia" w:ascii="仿宋_GB2312" w:hAnsi="仿宋_GB2312" w:cs="仿宋_GB2312"/>
          <w:lang w:val="en-US" w:eastAsia="zh-CN"/>
        </w:rPr>
        <w:t>提升改造</w:t>
      </w:r>
      <w:r>
        <w:rPr>
          <w:rFonts w:hint="eastAsia" w:ascii="仿宋_GB2312" w:hAnsi="仿宋_GB2312" w:eastAsia="仿宋_GB2312" w:cs="仿宋_GB2312"/>
        </w:rPr>
        <w:t>，引导和鼓励商贸流通企业在田老庄乡</w:t>
      </w:r>
      <w:r>
        <w:rPr>
          <w:rFonts w:hint="eastAsia" w:ascii="仿宋_GB2312" w:hAnsi="仿宋_GB2312" w:cs="仿宋_GB2312"/>
          <w:lang w:eastAsia="zh-CN"/>
        </w:rPr>
        <w:t>、</w:t>
      </w:r>
      <w:r>
        <w:rPr>
          <w:rFonts w:hint="eastAsia" w:ascii="仿宋_GB2312" w:hAnsi="仿宋_GB2312" w:cs="仿宋_GB2312"/>
        </w:rPr>
        <w:t>马高庄乡</w:t>
      </w:r>
      <w:r>
        <w:rPr>
          <w:rFonts w:hint="eastAsia" w:ascii="仿宋_GB2312" w:hAnsi="仿宋_GB2312" w:cs="仿宋_GB2312"/>
          <w:lang w:eastAsia="zh-CN"/>
        </w:rPr>
        <w:t>、</w:t>
      </w:r>
      <w:r>
        <w:rPr>
          <w:rFonts w:hint="eastAsia" w:ascii="仿宋_GB2312" w:hAnsi="仿宋_GB2312" w:cs="仿宋_GB2312"/>
        </w:rPr>
        <w:t>张家塬乡</w:t>
      </w:r>
      <w:r>
        <w:rPr>
          <w:rFonts w:hint="eastAsia" w:ascii="仿宋_GB2312" w:hAnsi="仿宋_GB2312" w:eastAsia="仿宋_GB2312" w:cs="仿宋_GB2312"/>
        </w:rPr>
        <w:t>建设</w:t>
      </w:r>
      <w:r>
        <w:rPr>
          <w:rFonts w:hint="eastAsia" w:ascii="仿宋_GB2312" w:hAnsi="仿宋_GB2312" w:cs="仿宋_GB2312"/>
          <w:lang w:val="en-US" w:eastAsia="zh-CN"/>
        </w:rPr>
        <w:t>连锁便利店</w:t>
      </w:r>
      <w:r>
        <w:rPr>
          <w:rFonts w:hint="eastAsia" w:ascii="仿宋_GB2312" w:hAnsi="仿宋_GB2312" w:eastAsia="仿宋_GB2312" w:cs="仿宋_GB2312"/>
        </w:rPr>
        <w:t>下沉服务农村，扩大农村消费</w:t>
      </w:r>
      <w:r>
        <w:rPr>
          <w:rFonts w:hint="eastAsia" w:ascii="仿宋_GB2312" w:hAnsi="仿宋_GB2312" w:cs="仿宋_GB2312"/>
          <w:lang w:eastAsia="zh-CN"/>
        </w:rPr>
        <w:t>。</w:t>
      </w:r>
      <w:r>
        <w:rPr>
          <w:rFonts w:hint="eastAsia"/>
        </w:rPr>
        <w:t xml:space="preserve"> </w:t>
      </w:r>
    </w:p>
    <w:p>
      <w:pPr>
        <w:ind w:firstLine="0" w:firstLineChars="0"/>
        <w:rPr>
          <w:rFonts w:hint="eastAsia" w:ascii="仿宋_GB2312" w:hAnsi="仿宋_GB2312" w:eastAsia="仿宋_GB2312" w:cs="仿宋_GB2312"/>
          <w:sz w:val="28"/>
          <w:szCs w:val="22"/>
        </w:rPr>
      </w:pPr>
    </w:p>
    <w:p>
      <w:pPr>
        <w:ind w:firstLine="560"/>
        <w:jc w:val="center"/>
        <w:rPr>
          <w:rFonts w:hint="eastAsia" w:ascii="仿宋_GB2312" w:hAnsi="仿宋_GB2312" w:eastAsia="仿宋_GB2312" w:cs="仿宋_GB2312"/>
          <w:sz w:val="24"/>
          <w:szCs w:val="24"/>
        </w:rPr>
        <w:sectPr>
          <w:pgSz w:w="11906" w:h="16838"/>
          <w:pgMar w:top="1440" w:right="1417" w:bottom="1440" w:left="1701" w:header="851" w:footer="992" w:gutter="0"/>
          <w:pgBorders>
            <w:top w:val="none" w:sz="0" w:space="0"/>
            <w:left w:val="none" w:sz="0" w:space="0"/>
            <w:bottom w:val="none" w:sz="0" w:space="0"/>
            <w:right w:val="none" w:sz="0" w:space="0"/>
          </w:pgBorders>
          <w:pgNumType w:start="1"/>
          <w:cols w:space="425" w:num="1"/>
          <w:docGrid w:type="lines" w:linePitch="312" w:charSpace="0"/>
        </w:sectPr>
      </w:pPr>
    </w:p>
    <w:p>
      <w:pPr>
        <w:ind w:firstLine="560"/>
        <w:jc w:val="center"/>
        <w:rPr>
          <w:rFonts w:hint="eastAsia" w:ascii="黑体" w:hAnsi="黑体" w:eastAsia="黑体" w:cs="黑体"/>
          <w:sz w:val="24"/>
          <w:szCs w:val="24"/>
        </w:rPr>
      </w:pPr>
      <w:r>
        <w:rPr>
          <w:rFonts w:hint="eastAsia" w:ascii="黑体" w:hAnsi="黑体" w:eastAsia="黑体" w:cs="黑体"/>
          <w:sz w:val="24"/>
          <w:szCs w:val="24"/>
        </w:rPr>
        <w:t>表</w:t>
      </w:r>
      <w:r>
        <w:rPr>
          <w:rFonts w:hint="eastAsia" w:ascii="黑体" w:hAnsi="黑体" w:eastAsia="黑体" w:cs="黑体"/>
          <w:sz w:val="24"/>
          <w:szCs w:val="24"/>
          <w:lang w:val="en-US" w:eastAsia="zh-CN"/>
        </w:rPr>
        <w:t>9</w:t>
      </w:r>
      <w:r>
        <w:rPr>
          <w:rFonts w:hint="eastAsia" w:ascii="黑体" w:hAnsi="黑体" w:eastAsia="黑体" w:cs="黑体"/>
          <w:sz w:val="24"/>
          <w:szCs w:val="24"/>
        </w:rPr>
        <w:t xml:space="preserve"> 乡镇</w:t>
      </w:r>
      <w:r>
        <w:rPr>
          <w:rFonts w:hint="eastAsia" w:ascii="黑体" w:hAnsi="黑体" w:eastAsia="黑体" w:cs="黑体"/>
          <w:sz w:val="24"/>
          <w:szCs w:val="24"/>
          <w:lang w:val="en-US" w:eastAsia="zh-CN"/>
        </w:rPr>
        <w:t>商业</w:t>
      </w:r>
      <w:r>
        <w:rPr>
          <w:rFonts w:hint="eastAsia" w:ascii="黑体" w:hAnsi="黑体" w:eastAsia="黑体" w:cs="黑体"/>
          <w:sz w:val="24"/>
          <w:szCs w:val="24"/>
        </w:rPr>
        <w:t xml:space="preserve">中心规划一览表 </w:t>
      </w:r>
    </w:p>
    <w:tbl>
      <w:tblPr>
        <w:tblStyle w:val="27"/>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4"/>
        <w:gridCol w:w="1247"/>
        <w:gridCol w:w="3174"/>
        <w:gridCol w:w="4075"/>
        <w:gridCol w:w="3607"/>
        <w:gridCol w:w="13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序号</w:t>
            </w:r>
          </w:p>
        </w:tc>
        <w:tc>
          <w:tcPr>
            <w:tcW w:w="440"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名称</w:t>
            </w:r>
          </w:p>
        </w:tc>
        <w:tc>
          <w:tcPr>
            <w:tcW w:w="1120"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位置</w:t>
            </w:r>
          </w:p>
        </w:tc>
        <w:tc>
          <w:tcPr>
            <w:tcW w:w="1438"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建设指引</w:t>
            </w:r>
          </w:p>
        </w:tc>
        <w:tc>
          <w:tcPr>
            <w:tcW w:w="1273"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配置业态</w:t>
            </w:r>
          </w:p>
        </w:tc>
        <w:tc>
          <w:tcPr>
            <w:tcW w:w="461" w:type="pct"/>
            <w:shd w:val="clear" w:color="auto" w:fill="auto"/>
            <w:vAlign w:val="center"/>
          </w:tcPr>
          <w:p>
            <w:pPr>
              <w:snapToGrid w:val="0"/>
              <w:spacing w:line="360" w:lineRule="exact"/>
              <w:ind w:firstLine="0" w:firstLineChars="0"/>
              <w:jc w:val="center"/>
              <w:rPr>
                <w:rFonts w:ascii="宋体" w:hAnsi="宋体" w:eastAsia="宋体" w:cs="宋体"/>
                <w:b/>
                <w:bCs/>
                <w:sz w:val="21"/>
                <w:szCs w:val="21"/>
              </w:rPr>
            </w:pPr>
            <w:r>
              <w:rPr>
                <w:rFonts w:hint="eastAsia" w:ascii="宋体" w:hAnsi="宋体" w:eastAsia="宋体" w:cs="宋体"/>
                <w:b/>
                <w:bCs/>
                <w:sz w:val="21"/>
                <w:szCs w:val="21"/>
              </w:rPr>
              <w:t>建设类型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440" w:type="pct"/>
            <w:shd w:val="clear" w:color="auto" w:fill="auto"/>
            <w:vAlign w:val="center"/>
          </w:tcPr>
          <w:p>
            <w:pPr>
              <w:snapToGrid w:val="0"/>
              <w:spacing w:line="360" w:lineRule="exact"/>
              <w:ind w:firstLine="0" w:firstLineChars="0"/>
              <w:jc w:val="center"/>
              <w:rPr>
                <w:rFonts w:hint="default" w:ascii="宋体" w:hAnsi="宋体" w:eastAsia="宋体" w:cs="宋体"/>
                <w:sz w:val="21"/>
                <w:szCs w:val="21"/>
                <w:lang w:val="en-US" w:eastAsia="zh-CN"/>
              </w:rPr>
            </w:pPr>
            <w:r>
              <w:rPr>
                <w:rFonts w:hint="eastAsia" w:ascii="宋体" w:hAnsi="宋体" w:eastAsia="宋体" w:cs="宋体"/>
                <w:sz w:val="21"/>
                <w:szCs w:val="21"/>
              </w:rPr>
              <w:t>河西镇</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以河西镇农贸市场和河西大百购物中心店为核心，沿344国道及河西镇人民政府所在乡道两侧商业网点区域为片区构成河西镇中心商业区。</w:t>
            </w:r>
          </w:p>
        </w:tc>
        <w:tc>
          <w:tcPr>
            <w:tcW w:w="1438"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升级改造河西镇农贸市场，加强农贸市场内部卫生管理，建设标准化摊位。在河西大百购物中心店原有基础上，改造1000平方米（基本型）商贸中心。按《指南》要求，布局、设置有关业态。中心区域根据居住人口，适度建设家装、二手车交易等商业设施，农村地区结合村民集中居住区布置农资零售、连锁便利店等。加快桃山综合物流园建设运营，鼓励建设保鲜冷库。</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以零售购物、餐饮服务、生产资料和食品批发为主要业态，如百货中心、大型超市、服饰零售、大众餐饮、家庭服务、美容美发等。</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p>
        </w:tc>
        <w:tc>
          <w:tcPr>
            <w:tcW w:w="44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丁塘镇</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位于同心县北部5公里处，分布于344国道两侧</w:t>
            </w:r>
          </w:p>
        </w:tc>
        <w:tc>
          <w:tcPr>
            <w:tcW w:w="1438"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lang w:val="en-US" w:eastAsia="zh-CN"/>
              </w:rPr>
              <w:t>鼓励商贸流通龙头企业在中心镇区建设乡镇商贸中心，满足当地居民消费需求。</w:t>
            </w:r>
            <w:r>
              <w:rPr>
                <w:rFonts w:hint="eastAsia" w:ascii="宋体" w:hAnsi="宋体" w:eastAsia="宋体" w:cs="宋体"/>
                <w:sz w:val="21"/>
                <w:szCs w:val="21"/>
              </w:rPr>
              <w:t>依托黄花菜、牛羊肉等农业资源，规划建设与产业规模相匹配的农产品产地储藏库。围绕“兰花芬芳巾帼志愿队”等文化品牌和“我的菜园”“我的果树”等特色乡村旅游和休闲农业品牌，发展生态农业和田园观光产业，建设特色餐饮、精品民宿等商业设施。</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以零售购物、餐饮服务、生产资料和食品批发为主要业态，如大中型超市、服饰零售、大众餐饮、家庭服务、美容美发等。结合乡村旅游，引导发展特色农产品和农家乐等业态。</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3</w:t>
            </w:r>
          </w:p>
        </w:tc>
        <w:tc>
          <w:tcPr>
            <w:tcW w:w="44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韦州镇</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以韦州镇人民政府所在区域为原点，政府路为横轴，以202省道和惠灵路为纵轴，由其所围合区域构成韦州镇商业区。</w:t>
            </w:r>
          </w:p>
        </w:tc>
        <w:tc>
          <w:tcPr>
            <w:tcW w:w="1438"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lang w:val="en-US" w:eastAsia="zh-CN"/>
              </w:rPr>
              <w:t>依托</w:t>
            </w:r>
            <w:r>
              <w:rPr>
                <w:rFonts w:hint="eastAsia" w:ascii="宋体" w:hAnsi="宋体" w:eastAsia="宋体" w:cs="宋体"/>
                <w:sz w:val="21"/>
                <w:szCs w:val="21"/>
              </w:rPr>
              <w:t>韦州农贸市场、好的超市、乐购超市</w:t>
            </w:r>
            <w:r>
              <w:rPr>
                <w:rFonts w:hint="eastAsia" w:ascii="宋体" w:hAnsi="宋体" w:eastAsia="宋体" w:cs="宋体"/>
                <w:sz w:val="21"/>
                <w:szCs w:val="21"/>
                <w:lang w:val="en-US" w:eastAsia="zh-CN"/>
              </w:rPr>
              <w:t>或新建超市打造韦洲镇乡镇商贸中心</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同时</w:t>
            </w:r>
            <w:r>
              <w:rPr>
                <w:rFonts w:hint="eastAsia" w:ascii="宋体" w:hAnsi="宋体" w:eastAsia="宋体" w:cs="宋体"/>
                <w:sz w:val="21"/>
                <w:szCs w:val="21"/>
              </w:rPr>
              <w:t>改造提升韦州镇农贸市场，加强市场内摊位管理。支持专业店、专卖店入驻慧灵南路，打造品牌商业街。支持建设1-2个大中型综合超市。鼓励建设停车场。</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以零售购物、餐饮服务、生产资料和食品批发为主要业态，如大中型超市、品牌专卖店、服饰零售、大众餐饮、家庭服务、美容美发等。结合韦州古城，引导发展特色产品和餐饮休闲、文创产品购物等业态。</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4</w:t>
            </w:r>
          </w:p>
        </w:tc>
        <w:tc>
          <w:tcPr>
            <w:tcW w:w="44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下马关镇</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以下马关市场为交织点，以203省道为直线，以下三线街道为射线，由街道两侧商业形成下马关镇丁字商业区。</w:t>
            </w:r>
          </w:p>
        </w:tc>
        <w:tc>
          <w:tcPr>
            <w:tcW w:w="1438"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lang w:val="en-US" w:eastAsia="zh-CN"/>
              </w:rPr>
              <w:t>依托</w:t>
            </w:r>
            <w:r>
              <w:rPr>
                <w:rFonts w:hint="eastAsia" w:ascii="宋体" w:hAnsi="宋体" w:eastAsia="宋体" w:cs="宋体"/>
                <w:sz w:val="21"/>
                <w:szCs w:val="21"/>
              </w:rPr>
              <w:t>百度购物超市、新华联购物广场</w:t>
            </w:r>
            <w:r>
              <w:rPr>
                <w:rFonts w:hint="eastAsia" w:ascii="宋体" w:hAnsi="宋体" w:eastAsia="宋体" w:cs="宋体"/>
                <w:sz w:val="21"/>
                <w:szCs w:val="21"/>
                <w:lang w:val="en-US" w:eastAsia="zh-CN"/>
              </w:rPr>
              <w:t>等大型商业设施建设下马关镇乡镇商贸中心，</w:t>
            </w:r>
            <w:r>
              <w:rPr>
                <w:rFonts w:hint="eastAsia" w:ascii="宋体" w:hAnsi="宋体" w:eastAsia="宋体" w:cs="宋体"/>
                <w:sz w:val="21"/>
                <w:szCs w:val="21"/>
              </w:rPr>
              <w:t>改造提升下马关农贸市场，加强牛羊肉市场卫生管理，提升百货市场规模，引导流动摊位入驻农贸市场。改造提升脏乱差店铺，根据需求建设家装、二手车交易商业设施。</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以零售购物、餐饮服务、生产资料和食品批发为主要业态，如百货中心、大型超市、服饰零售、大众餐饮、家庭服务、美容美发等。</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5</w:t>
            </w:r>
          </w:p>
        </w:tc>
        <w:tc>
          <w:tcPr>
            <w:tcW w:w="44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预旺镇</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预旺钟鼓楼周边</w:t>
            </w:r>
          </w:p>
        </w:tc>
        <w:tc>
          <w:tcPr>
            <w:tcW w:w="1438"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lang w:val="en-US" w:eastAsia="zh-CN"/>
              </w:rPr>
              <w:t>依托</w:t>
            </w:r>
            <w:r>
              <w:rPr>
                <w:rFonts w:hint="eastAsia" w:ascii="宋体" w:hAnsi="宋体" w:eastAsia="宋体" w:cs="宋体"/>
                <w:sz w:val="21"/>
                <w:szCs w:val="21"/>
              </w:rPr>
              <w:t>百惠生活超市</w:t>
            </w:r>
            <w:r>
              <w:rPr>
                <w:rFonts w:hint="eastAsia" w:ascii="宋体" w:hAnsi="宋体" w:eastAsia="宋体" w:cs="宋体"/>
                <w:sz w:val="21"/>
                <w:szCs w:val="21"/>
                <w:lang w:val="en-US" w:eastAsia="zh-CN"/>
              </w:rPr>
              <w:t>打造预旺镇乡镇商贸中心或新建超市打造预旺镇商贸中心</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扩大超市商品供给，丰富商业业态。</w:t>
            </w:r>
            <w:r>
              <w:rPr>
                <w:rFonts w:hint="eastAsia" w:ascii="宋体" w:hAnsi="宋体" w:eastAsia="宋体" w:cs="宋体"/>
                <w:sz w:val="21"/>
                <w:szCs w:val="21"/>
              </w:rPr>
              <w:t>加快建设预旺镇中药材市场，支持预旺镇农贸市场改造升级，支持建设1个大中型综合超市、百货中心。</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以零售购物、餐饮服务、生产资料和食品批发为主要业态，如大中型超市、服饰零售、大众餐饮、家庭服务、美容美发等。结合预旺钟鼓楼，引导发展特色产品和餐饮休闲、文创产品购物等业态。</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6</w:t>
            </w:r>
          </w:p>
        </w:tc>
        <w:tc>
          <w:tcPr>
            <w:tcW w:w="44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王团镇</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银平街、富强路、兴旺路所围合区域</w:t>
            </w:r>
          </w:p>
        </w:tc>
        <w:tc>
          <w:tcPr>
            <w:tcW w:w="1438"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lang w:val="en-US" w:eastAsia="zh-CN"/>
              </w:rPr>
              <w:t>依托</w:t>
            </w:r>
            <w:r>
              <w:rPr>
                <w:rFonts w:hint="eastAsia" w:ascii="宋体" w:hAnsi="宋体" w:eastAsia="宋体" w:cs="宋体"/>
                <w:sz w:val="21"/>
                <w:szCs w:val="21"/>
              </w:rPr>
              <w:t>幸福商场、百姓超市、全都有超市</w:t>
            </w:r>
            <w:r>
              <w:rPr>
                <w:rFonts w:hint="eastAsia" w:ascii="宋体" w:hAnsi="宋体" w:eastAsia="宋体" w:cs="宋体"/>
                <w:sz w:val="21"/>
                <w:szCs w:val="21"/>
                <w:lang w:val="en-US" w:eastAsia="zh-CN"/>
              </w:rPr>
              <w:t>或新建超市打造王团镇乡镇商贸中心</w:t>
            </w:r>
            <w:r>
              <w:rPr>
                <w:rFonts w:hint="eastAsia" w:ascii="宋体" w:hAnsi="宋体" w:eastAsia="宋体" w:cs="宋体"/>
                <w:sz w:val="21"/>
                <w:szCs w:val="21"/>
                <w:lang w:eastAsia="zh-CN"/>
              </w:rPr>
              <w:t>，</w:t>
            </w:r>
            <w:r>
              <w:rPr>
                <w:rFonts w:hint="eastAsia" w:ascii="宋体" w:hAnsi="宋体" w:eastAsia="宋体" w:cs="宋体"/>
                <w:sz w:val="21"/>
                <w:szCs w:val="21"/>
              </w:rPr>
              <w:t>升级改造王团农贸市场，加强农贸市场内部卫生管理，建设标准化摊位。鼓励引进专业店、专卖店等、提升商业消费水平。</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以零售购物、餐饮服务、生产资料和食品批发为主要业态，如大型超市、服饰零售、大众餐饮、家庭服务、美容美发等。</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66"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7</w:t>
            </w:r>
          </w:p>
        </w:tc>
        <w:tc>
          <w:tcPr>
            <w:tcW w:w="44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石狮开发区</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庙石线与344国道交界处沿344国道以南，分布于344国道两侧</w:t>
            </w:r>
          </w:p>
        </w:tc>
        <w:tc>
          <w:tcPr>
            <w:tcW w:w="1438" w:type="pct"/>
            <w:shd w:val="clear" w:color="auto" w:fill="auto"/>
            <w:vAlign w:val="center"/>
          </w:tcPr>
          <w:p>
            <w:pPr>
              <w:snapToGrid w:val="0"/>
              <w:spacing w:line="360" w:lineRule="exact"/>
              <w:ind w:firstLine="0" w:firstLineChars="0"/>
              <w:jc w:val="both"/>
              <w:rPr>
                <w:rFonts w:ascii="宋体" w:hAnsi="宋体" w:eastAsia="宋体" w:cs="宋体"/>
                <w:sz w:val="21"/>
                <w:szCs w:val="21"/>
              </w:rPr>
            </w:pPr>
            <w:r>
              <w:rPr>
                <w:rFonts w:hint="eastAsia" w:ascii="宋体" w:hAnsi="宋体" w:eastAsia="宋体" w:cs="宋体"/>
                <w:sz w:val="21"/>
                <w:szCs w:val="21"/>
              </w:rPr>
              <w:t>引导二手车销售、汽车装潢、汽车维修、五金销售、家装材料批发集聚发展，支持大众餐饮、特色餐饮发展，鼓励小型便利店发展为连锁便利店。</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以二手车销售、汽车装潢、汽车维修、五金销售、家装材料批发餐饮服务、零售购物为主要业态。</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266" w:type="pct"/>
            <w:shd w:val="clear" w:color="auto" w:fill="auto"/>
            <w:vAlign w:val="center"/>
          </w:tcPr>
          <w:p>
            <w:pPr>
              <w:snapToGrid w:val="0"/>
              <w:spacing w:line="360" w:lineRule="exact"/>
              <w:ind w:firstLine="0" w:firstLineChars="0"/>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8</w:t>
            </w:r>
          </w:p>
        </w:tc>
        <w:tc>
          <w:tcPr>
            <w:tcW w:w="440"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兴隆乡</w:t>
            </w:r>
            <w:r>
              <w:rPr>
                <w:rFonts w:hint="eastAsia" w:ascii="宋体" w:hAnsi="宋体" w:eastAsia="宋体" w:cs="宋体"/>
                <w:sz w:val="21"/>
                <w:szCs w:val="21"/>
                <w:lang w:val="en-US" w:eastAsia="zh-CN"/>
              </w:rPr>
              <w:t>商业中心</w:t>
            </w:r>
          </w:p>
        </w:tc>
        <w:tc>
          <w:tcPr>
            <w:tcW w:w="1120"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同心县西南部，紧邻同心县新城区，于同海线和201乡道交叉口为中心，呈十字分布。</w:t>
            </w:r>
          </w:p>
        </w:tc>
        <w:tc>
          <w:tcPr>
            <w:tcW w:w="1438"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鼓励商贸流通龙头企业在中心镇区建设乡镇商贸中心，满足当地居民消费需求。依托牛羊肉、玉米、小茴香等农业资源，支持新建的农产品仓储保鲜冷链设施投入运营。完善镇区基础设施和服务配套设施建设，加强商业主街道路卫生管理。鼓励建设停车场。</w:t>
            </w:r>
          </w:p>
        </w:tc>
        <w:tc>
          <w:tcPr>
            <w:tcW w:w="1273" w:type="pct"/>
            <w:shd w:val="clear" w:color="auto" w:fill="auto"/>
            <w:vAlign w:val="center"/>
          </w:tcPr>
          <w:p>
            <w:pPr>
              <w:snapToGrid w:val="0"/>
              <w:spacing w:line="360" w:lineRule="exact"/>
              <w:ind w:firstLine="0" w:firstLineChars="0"/>
              <w:rPr>
                <w:rFonts w:ascii="宋体" w:hAnsi="宋体" w:eastAsia="宋体" w:cs="宋体"/>
                <w:sz w:val="21"/>
                <w:szCs w:val="21"/>
              </w:rPr>
            </w:pPr>
            <w:r>
              <w:rPr>
                <w:rFonts w:hint="eastAsia" w:ascii="宋体" w:hAnsi="宋体" w:eastAsia="宋体" w:cs="宋体"/>
                <w:sz w:val="21"/>
                <w:szCs w:val="21"/>
              </w:rPr>
              <w:t>以零售购物、餐饮服务、生产资料和食品批发为主要业态，如大型超市、服饰零售、大众餐饮、家庭服务、美容美发等。</w:t>
            </w:r>
          </w:p>
        </w:tc>
        <w:tc>
          <w:tcPr>
            <w:tcW w:w="461" w:type="pct"/>
            <w:shd w:val="clear" w:color="auto" w:fill="auto"/>
            <w:vAlign w:val="center"/>
          </w:tcPr>
          <w:p>
            <w:pPr>
              <w:snapToGrid w:val="0"/>
              <w:spacing w:line="36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bl>
    <w:p>
      <w:pPr>
        <w:ind w:firstLine="640"/>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pPr>
    </w:p>
    <w:p>
      <w:pPr>
        <w:pStyle w:val="2"/>
        <w:spacing w:before="156" w:after="156"/>
        <w:ind w:firstLine="643"/>
        <w:rPr>
          <w:rFonts w:hint="eastAsia"/>
        </w:rPr>
      </w:pPr>
      <w:bookmarkStart w:id="78" w:name="_Toc13076"/>
      <w:bookmarkStart w:id="79" w:name="_Toc28381"/>
      <w:bookmarkStart w:id="80" w:name="_Toc26007"/>
      <w:r>
        <w:rPr>
          <w:rFonts w:hint="eastAsia"/>
        </w:rPr>
        <w:t>（六）行政村商业配套布局</w:t>
      </w:r>
      <w:bookmarkEnd w:id="78"/>
      <w:bookmarkEnd w:id="79"/>
      <w:bookmarkEnd w:id="80"/>
    </w:p>
    <w:p>
      <w:pPr>
        <w:ind w:firstLine="640"/>
        <w:rPr>
          <w:rFonts w:hint="default" w:eastAsia="方正仿宋简体"/>
          <w:b/>
          <w:bCs/>
          <w:lang w:val="en-US" w:eastAsia="zh-CN"/>
        </w:rPr>
      </w:pPr>
      <w:r>
        <w:rPr>
          <w:rFonts w:hint="eastAsia"/>
          <w:b/>
          <w:bCs/>
          <w:lang w:val="en-US" w:eastAsia="zh-CN"/>
        </w:rPr>
        <w:t>1.规划思路</w:t>
      </w:r>
    </w:p>
    <w:p>
      <w:pPr>
        <w:ind w:firstLine="640"/>
        <w:rPr>
          <w:rFonts w:hint="eastAsia"/>
        </w:rPr>
      </w:pPr>
      <w:r>
        <w:rPr>
          <w:rFonts w:hint="eastAsia"/>
        </w:rPr>
        <w:t>以满足本地区居民日常生活用品和生活消费基本需求，积极吸引区内外知名品牌连锁便利店企业入驻，鼓励县域内现有商贸流通大个体、连锁零售企业，采取直营、收购、兼并、特许加盟等形式，改造一批品牌名称、店面形象、管理系统、配货模式、服务规范“五统一”的新型连锁便利店。规划期内，引导电商、物流、连锁商贸流通企业、益农信息社运营商通过特许加盟、联营联销、供应链赋能等方式，新建或改造一批村级连锁商店，加强对夫妻店、小卖部等村级现有商业网点的标准化改造。</w:t>
      </w:r>
    </w:p>
    <w:p>
      <w:pPr>
        <w:rPr>
          <w:rFonts w:hint="default" w:eastAsia="方正仿宋简体"/>
          <w:b/>
          <w:bCs/>
          <w:lang w:val="en-US" w:eastAsia="zh-CN"/>
        </w:rPr>
      </w:pPr>
      <w:bookmarkStart w:id="81" w:name="_Toc490726507"/>
      <w:bookmarkStart w:id="82" w:name="_Toc365569329"/>
      <w:bookmarkStart w:id="83" w:name="_Toc374539247"/>
      <w:bookmarkStart w:id="84" w:name="_Toc27722626"/>
      <w:r>
        <w:rPr>
          <w:rFonts w:hint="eastAsia"/>
          <w:b/>
          <w:bCs/>
          <w:lang w:val="en-US" w:eastAsia="zh-CN"/>
        </w:rPr>
        <w:t>2.配置标准</w:t>
      </w:r>
    </w:p>
    <w:bookmarkEnd w:id="81"/>
    <w:bookmarkEnd w:id="82"/>
    <w:bookmarkEnd w:id="83"/>
    <w:bookmarkEnd w:id="84"/>
    <w:p>
      <w:pPr>
        <w:rPr>
          <w:b/>
          <w:bCs/>
        </w:rPr>
      </w:pPr>
      <w:r>
        <w:rPr>
          <w:rFonts w:hint="eastAsia"/>
        </w:rPr>
        <w:t>原则上在所有农村新型社区和行政村设置一个村级便民商店，有基础的行政村优先结合农村电子商务服务站点，叠加政务、商务、快递等服务，植入历史文化、体验旅游元素，引入地方特色产品和业态。在惠安堡、大水坑等重点乡镇尝试建设农村连锁商超，更好地满足本地居民生活和企业生产消费需求。便利店配置标准和功能根据各行政村常住人口、消费能力等确定。具体标准如下表所示。</w:t>
      </w:r>
    </w:p>
    <w:p>
      <w:pPr>
        <w:pStyle w:val="35"/>
        <w:rPr>
          <w:rFonts w:hint="eastAsia" w:ascii="黑体" w:hAnsi="黑体" w:eastAsia="黑体" w:cs="黑体"/>
          <w:b w:val="0"/>
          <w:kern w:val="2"/>
          <w:sz w:val="24"/>
          <w:szCs w:val="24"/>
          <w:lang w:val="en-US" w:eastAsia="zh-CN" w:bidi="ar-SA"/>
        </w:rPr>
      </w:pPr>
      <w:r>
        <w:rPr>
          <w:rFonts w:hint="eastAsia" w:ascii="黑体" w:hAnsi="黑体" w:eastAsia="黑体" w:cs="黑体"/>
          <w:b w:val="0"/>
          <w:kern w:val="2"/>
          <w:sz w:val="24"/>
          <w:szCs w:val="24"/>
          <w:lang w:val="en-US" w:eastAsia="zh-CN" w:bidi="ar-SA"/>
        </w:rPr>
        <w:t>表10 行政村便民商店配置功能对应表</w:t>
      </w:r>
    </w:p>
    <w:tbl>
      <w:tblPr>
        <w:tblStyle w:val="26"/>
        <w:tblW w:w="499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490"/>
        <w:gridCol w:w="748"/>
        <w:gridCol w:w="1494"/>
        <w:gridCol w:w="3560"/>
        <w:gridCol w:w="2608"/>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c>
          <w:tcPr>
            <w:tcW w:w="275" w:type="pct"/>
            <w:tcBorders>
              <w:top w:val="single" w:color="auto" w:sz="4" w:space="0"/>
              <w:left w:val="single" w:color="auto" w:sz="4"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序号</w:t>
            </w:r>
          </w:p>
        </w:tc>
        <w:tc>
          <w:tcPr>
            <w:tcW w:w="420" w:type="pct"/>
            <w:tcBorders>
              <w:top w:val="single" w:color="auto" w:sz="4" w:space="0"/>
              <w:left w:val="single" w:color="auto" w:sz="2"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数量</w:t>
            </w:r>
          </w:p>
          <w:p>
            <w:pPr>
              <w:snapToGrid w:val="0"/>
              <w:spacing w:beforeLines="-2147483648" w:afterLines="-2147483648" w:line="360" w:lineRule="exact"/>
              <w:ind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/人</w:t>
            </w:r>
          </w:p>
        </w:tc>
        <w:tc>
          <w:tcPr>
            <w:tcW w:w="839" w:type="pct"/>
            <w:tcBorders>
              <w:top w:val="single" w:color="auto" w:sz="4" w:space="0"/>
              <w:left w:val="single" w:color="auto" w:sz="2"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建设规模</w:t>
            </w:r>
          </w:p>
        </w:tc>
        <w:tc>
          <w:tcPr>
            <w:tcW w:w="1999" w:type="pct"/>
            <w:tcBorders>
              <w:top w:val="single" w:color="auto" w:sz="4" w:space="0"/>
              <w:left w:val="single" w:color="auto" w:sz="2"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配置功能</w:t>
            </w:r>
          </w:p>
        </w:tc>
        <w:tc>
          <w:tcPr>
            <w:tcW w:w="1464" w:type="pct"/>
            <w:tcBorders>
              <w:top w:val="single" w:color="auto" w:sz="4" w:space="0"/>
              <w:left w:val="single" w:color="auto" w:sz="2" w:space="0"/>
              <w:bottom w:val="single" w:color="auto" w:sz="2" w:space="0"/>
              <w:right w:val="single" w:color="auto" w:sz="4"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b/>
                <w:bCs/>
                <w:sz w:val="21"/>
                <w:szCs w:val="21"/>
              </w:rPr>
            </w:pPr>
            <w:r>
              <w:rPr>
                <w:rFonts w:hint="eastAsia" w:ascii="宋体" w:hAnsi="宋体" w:eastAsia="宋体" w:cs="宋体"/>
                <w:b/>
                <w:bCs/>
                <w:sz w:val="21"/>
                <w:szCs w:val="21"/>
              </w:rPr>
              <w:t>设施设备</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c>
          <w:tcPr>
            <w:tcW w:w="275" w:type="pct"/>
            <w:tcBorders>
              <w:top w:val="single" w:color="auto" w:sz="2" w:space="0"/>
              <w:left w:val="single" w:color="auto" w:sz="4"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1</w:t>
            </w:r>
          </w:p>
        </w:tc>
        <w:tc>
          <w:tcPr>
            <w:tcW w:w="420" w:type="pct"/>
            <w:tcBorders>
              <w:top w:val="single" w:color="auto" w:sz="2" w:space="0"/>
              <w:left w:val="single" w:color="auto" w:sz="2"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＜500常住人口</w:t>
            </w:r>
          </w:p>
        </w:tc>
        <w:tc>
          <w:tcPr>
            <w:tcW w:w="839" w:type="pct"/>
            <w:tcBorders>
              <w:top w:val="single" w:color="auto" w:sz="2" w:space="0"/>
              <w:left w:val="single" w:color="auto" w:sz="2"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1.经营面积一般不低于20㎡。</w:t>
            </w:r>
          </w:p>
          <w:p>
            <w:pPr>
              <w:snapToGrid w:val="0"/>
              <w:spacing w:beforeLines="-2147483648" w:afterLines="-2147483648"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2.商品单品（SKU）不低于50种。</w:t>
            </w:r>
          </w:p>
        </w:tc>
        <w:tc>
          <w:tcPr>
            <w:tcW w:w="1999" w:type="pct"/>
            <w:tcBorders>
              <w:top w:val="single" w:color="auto" w:sz="2" w:space="0"/>
              <w:left w:val="single" w:color="auto" w:sz="2" w:space="0"/>
              <w:bottom w:val="single" w:color="auto" w:sz="2" w:space="0"/>
              <w:right w:val="single" w:color="auto" w:sz="2" w:space="0"/>
              <w:tl2br w:val="nil"/>
              <w:tr2bl w:val="nil"/>
            </w:tcBorders>
            <w:noWrap w:val="0"/>
            <w:vAlign w:val="center"/>
          </w:tcPr>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1.提供油盐酱醋、小食品、日杂用品等生活必需品零售，满足村民就近、便利消费。</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2.提供生活缴费、邮件快递代收代投等服务。</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3.可通过手机等移动终端设备帮助农民获取生产生活信息服务。</w:t>
            </w:r>
          </w:p>
        </w:tc>
        <w:tc>
          <w:tcPr>
            <w:tcW w:w="1464" w:type="pct"/>
            <w:tcBorders>
              <w:top w:val="single" w:color="auto" w:sz="2" w:space="0"/>
              <w:left w:val="single" w:color="auto" w:sz="2" w:space="0"/>
              <w:bottom w:val="single" w:color="auto" w:sz="2" w:space="0"/>
              <w:right w:val="single" w:color="auto" w:sz="4" w:space="0"/>
              <w:tl2br w:val="nil"/>
              <w:tr2bl w:val="nil"/>
            </w:tcBorders>
            <w:noWrap w:val="0"/>
            <w:vAlign w:val="center"/>
          </w:tcPr>
          <w:p>
            <w:pPr>
              <w:snapToGrid w:val="0"/>
              <w:spacing w:beforeLines="-2147483648" w:afterLines="-2147483648"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除特殊商品外，采取开架售货方式。</w:t>
            </w:r>
          </w:p>
          <w:p>
            <w:pPr>
              <w:snapToGrid w:val="0"/>
              <w:spacing w:beforeLines="-2147483648" w:afterLines="-2147483648"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悬挂醒目牌匾标识，店铺整洁，货物开架陈列。商品明码标价，实行索证索票制度。</w:t>
            </w:r>
          </w:p>
          <w:p>
            <w:pPr>
              <w:snapToGrid w:val="0"/>
              <w:spacing w:beforeLines="-2147483648" w:afterLines="-2147483648" w:line="360" w:lineRule="exact"/>
              <w:ind w:firstLine="0" w:firstLineChars="0"/>
              <w:rPr>
                <w:rFonts w:hint="eastAsia" w:ascii="宋体" w:hAnsi="宋体" w:eastAsia="宋体" w:cs="宋体"/>
                <w:sz w:val="21"/>
                <w:szCs w:val="21"/>
              </w:rPr>
            </w:pPr>
            <w:r>
              <w:rPr>
                <w:rFonts w:hint="eastAsia" w:ascii="宋体" w:hAnsi="宋体" w:eastAsia="宋体" w:cs="宋体"/>
                <w:sz w:val="21"/>
                <w:szCs w:val="21"/>
              </w:rPr>
              <w:t>符合经营、住宿合用场所的消防安全要求。</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34" w:hRule="atLeast"/>
        </w:trPr>
        <w:tc>
          <w:tcPr>
            <w:tcW w:w="275" w:type="pct"/>
            <w:tcBorders>
              <w:top w:val="single" w:color="auto" w:sz="2" w:space="0"/>
              <w:left w:val="single" w:color="auto" w:sz="4"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2</w:t>
            </w:r>
          </w:p>
        </w:tc>
        <w:tc>
          <w:tcPr>
            <w:tcW w:w="420" w:type="pct"/>
            <w:tcBorders>
              <w:top w:val="single" w:color="auto" w:sz="2" w:space="0"/>
              <w:left w:val="single" w:color="auto" w:sz="2" w:space="0"/>
              <w:bottom w:val="single" w:color="auto" w:sz="2"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500≤常住人口≤1000</w:t>
            </w:r>
          </w:p>
        </w:tc>
        <w:tc>
          <w:tcPr>
            <w:tcW w:w="839" w:type="pct"/>
            <w:tcBorders>
              <w:top w:val="single" w:color="auto" w:sz="2" w:space="0"/>
              <w:left w:val="single" w:color="auto" w:sz="2" w:space="0"/>
              <w:bottom w:val="single" w:color="auto" w:sz="2" w:space="0"/>
              <w:right w:val="single" w:color="auto" w:sz="2" w:space="0"/>
              <w:tl2br w:val="nil"/>
              <w:tr2bl w:val="nil"/>
            </w:tcBorders>
            <w:noWrap w:val="0"/>
            <w:vAlign w:val="center"/>
          </w:tcPr>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1.经营面积般在20-50m 左右。2.商品单品数量（SKU）不低于100种。</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p>
        </w:tc>
        <w:tc>
          <w:tcPr>
            <w:tcW w:w="1999" w:type="pct"/>
            <w:tcBorders>
              <w:top w:val="single" w:color="auto" w:sz="2" w:space="0"/>
              <w:left w:val="single" w:color="auto" w:sz="2" w:space="0"/>
              <w:bottom w:val="single" w:color="auto" w:sz="2" w:space="0"/>
              <w:right w:val="single" w:color="auto" w:sz="2" w:space="0"/>
              <w:tl2br w:val="nil"/>
              <w:tr2bl w:val="nil"/>
            </w:tcBorders>
            <w:noWrap w:val="0"/>
            <w:vAlign w:val="center"/>
          </w:tcPr>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除上述功能，同时具备以下功能：</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1.提供水电、宽带、生活缴费、复印等服务。</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2.提供农产品需求、劳务、房屋等中介信息服务，以及农业生产、信息化等生产技能提升服务。</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3.提供简易农资农具等销售。</w:t>
            </w:r>
          </w:p>
        </w:tc>
        <w:tc>
          <w:tcPr>
            <w:tcW w:w="1464" w:type="pct"/>
            <w:tcBorders>
              <w:top w:val="single" w:color="auto" w:sz="2" w:space="0"/>
              <w:left w:val="single" w:color="auto" w:sz="2" w:space="0"/>
              <w:bottom w:val="single" w:color="auto" w:sz="2" w:space="0"/>
              <w:right w:val="single" w:color="auto" w:sz="4" w:space="0"/>
              <w:tl2br w:val="nil"/>
              <w:tr2bl w:val="nil"/>
            </w:tcBorders>
            <w:noWrap w:val="0"/>
            <w:vAlign w:val="center"/>
          </w:tcPr>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除上述设施设备外，根据实际需要，配置生活缴费、复印机、农资存放等设备，接入互联网和相关涉农服务资源。</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c>
          <w:tcPr>
            <w:tcW w:w="275" w:type="pct"/>
            <w:tcBorders>
              <w:top w:val="single" w:color="auto" w:sz="2" w:space="0"/>
              <w:left w:val="single" w:color="auto" w:sz="4" w:space="0"/>
              <w:bottom w:val="single" w:color="auto" w:sz="4"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3</w:t>
            </w:r>
          </w:p>
        </w:tc>
        <w:tc>
          <w:tcPr>
            <w:tcW w:w="420" w:type="pct"/>
            <w:tcBorders>
              <w:top w:val="single" w:color="auto" w:sz="2" w:space="0"/>
              <w:left w:val="single" w:color="auto" w:sz="2" w:space="0"/>
              <w:bottom w:val="single" w:color="auto" w:sz="4" w:space="0"/>
              <w:right w:val="single" w:color="auto" w:sz="2" w:space="0"/>
              <w:tl2br w:val="nil"/>
              <w:tr2bl w:val="nil"/>
            </w:tcBorders>
            <w:noWrap w:val="0"/>
            <w:vAlign w:val="center"/>
          </w:tcPr>
          <w:p>
            <w:pPr>
              <w:snapToGrid w:val="0"/>
              <w:spacing w:beforeLines="-2147483648" w:afterLines="-2147483648" w:line="360" w:lineRule="exact"/>
              <w:ind w:firstLine="0" w:firstLineChars="0"/>
              <w:jc w:val="center"/>
              <w:rPr>
                <w:rFonts w:hint="eastAsia" w:ascii="宋体" w:hAnsi="宋体" w:eastAsia="宋体" w:cs="宋体"/>
                <w:sz w:val="21"/>
                <w:szCs w:val="21"/>
              </w:rPr>
            </w:pPr>
            <w:r>
              <w:rPr>
                <w:rFonts w:hint="eastAsia" w:ascii="宋体" w:hAnsi="宋体" w:eastAsia="宋体" w:cs="宋体"/>
                <w:sz w:val="21"/>
                <w:szCs w:val="21"/>
              </w:rPr>
              <w:t>＞1000常住人口</w:t>
            </w:r>
          </w:p>
        </w:tc>
        <w:tc>
          <w:tcPr>
            <w:tcW w:w="839" w:type="pct"/>
            <w:tcBorders>
              <w:top w:val="single" w:color="auto" w:sz="2" w:space="0"/>
              <w:left w:val="single" w:color="auto" w:sz="2" w:space="0"/>
              <w:bottom w:val="single" w:color="auto" w:sz="4" w:space="0"/>
              <w:right w:val="single" w:color="auto" w:sz="2" w:space="0"/>
              <w:tl2br w:val="nil"/>
              <w:tr2bl w:val="nil"/>
            </w:tcBorders>
            <w:noWrap w:val="0"/>
            <w:vAlign w:val="center"/>
          </w:tcPr>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1.经营面积一般在50m以上。</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2.商 品 单 品（SKU）不低于300种。</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p>
        </w:tc>
        <w:tc>
          <w:tcPr>
            <w:tcW w:w="1999" w:type="pct"/>
            <w:tcBorders>
              <w:top w:val="single" w:color="auto" w:sz="2" w:space="0"/>
              <w:left w:val="single" w:color="auto" w:sz="2" w:space="0"/>
              <w:bottom w:val="single" w:color="auto" w:sz="4" w:space="0"/>
              <w:right w:val="single" w:color="auto" w:sz="2" w:space="0"/>
              <w:tl2br w:val="nil"/>
              <w:tr2bl w:val="nil"/>
            </w:tcBorders>
            <w:noWrap w:val="0"/>
            <w:vAlign w:val="center"/>
          </w:tcPr>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除具备上述两类功能外，同时具备以下功能：</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1.采取直营、加盟等连锁经营模式。</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2.提供小额存取代理等服务。</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3.提供小批量农产品、手工制品等的上行服务，包括包装、代销、快递代发等增值服务。</w:t>
            </w:r>
          </w:p>
        </w:tc>
        <w:tc>
          <w:tcPr>
            <w:tcW w:w="1464" w:type="pct"/>
            <w:tcBorders>
              <w:top w:val="single" w:color="auto" w:sz="2" w:space="0"/>
              <w:left w:val="single" w:color="auto" w:sz="2" w:space="0"/>
              <w:bottom w:val="single" w:color="auto" w:sz="4" w:space="0"/>
              <w:right w:val="single" w:color="auto" w:sz="4" w:space="0"/>
              <w:tl2br w:val="nil"/>
              <w:tr2bl w:val="nil"/>
            </w:tcBorders>
            <w:noWrap w:val="0"/>
            <w:vAlign w:val="center"/>
          </w:tcPr>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除上述两类设施设备外，根据实际需要，配置与连锁经营、小额存取等相适应的信息管理系统等设施设备。</w:t>
            </w:r>
          </w:p>
          <w:p>
            <w:pPr>
              <w:snapToGrid w:val="0"/>
              <w:spacing w:before="0" w:beforeLines="0" w:beforeAutospacing="0" w:after="0" w:afterLines="0" w:afterAutospacing="0" w:line="360" w:lineRule="exact"/>
              <w:ind w:firstLine="0" w:firstLineChars="0"/>
              <w:jc w:val="both"/>
              <w:rPr>
                <w:rFonts w:hint="eastAsia" w:ascii="宋体" w:hAnsi="宋体" w:eastAsia="宋体" w:cs="宋体"/>
                <w:sz w:val="21"/>
                <w:szCs w:val="21"/>
              </w:rPr>
            </w:pPr>
            <w:r>
              <w:rPr>
                <w:rFonts w:hint="eastAsia" w:ascii="宋体" w:hAnsi="宋体" w:eastAsia="宋体" w:cs="宋体"/>
                <w:sz w:val="21"/>
                <w:szCs w:val="21"/>
              </w:rPr>
              <w:t>提供农产品上行服务的村级便利商店，可配备真空包装机、冷柜、简易直播设备等。</w:t>
            </w:r>
          </w:p>
        </w:tc>
      </w:tr>
    </w:tbl>
    <w:p>
      <w:pPr>
        <w:pStyle w:val="3"/>
        <w:spacing w:before="156" w:after="156"/>
        <w:jc w:val="both"/>
      </w:pPr>
      <w:bookmarkStart w:id="85" w:name="_Toc306"/>
      <w:bookmarkStart w:id="86" w:name="_Toc4997"/>
      <w:bookmarkStart w:id="87" w:name="_Toc1745"/>
      <w:r>
        <w:rPr>
          <w:rFonts w:hint="eastAsia"/>
          <w:lang w:val="en-US" w:eastAsia="zh-CN"/>
        </w:rPr>
        <w:t>四、</w:t>
      </w:r>
      <w:r>
        <w:rPr>
          <w:rFonts w:hint="eastAsia"/>
        </w:rPr>
        <w:t>零售业态布局规划</w:t>
      </w:r>
      <w:bookmarkEnd w:id="75"/>
      <w:bookmarkEnd w:id="85"/>
      <w:bookmarkEnd w:id="86"/>
      <w:bookmarkEnd w:id="87"/>
    </w:p>
    <w:p>
      <w:pPr>
        <w:ind w:firstLine="640"/>
        <w:rPr>
          <w:rFonts w:hint="eastAsia" w:ascii="仿宋_GB2312" w:hAnsi="仿宋_GB2312" w:eastAsia="仿宋_GB2312" w:cs="仿宋_GB2312"/>
        </w:rPr>
      </w:pPr>
      <w:r>
        <w:rPr>
          <w:rFonts w:hint="eastAsia" w:ascii="仿宋_GB2312" w:hAnsi="仿宋_GB2312" w:eastAsia="仿宋_GB2312" w:cs="仿宋_GB2312"/>
          <w:szCs w:val="28"/>
        </w:rPr>
        <w:t>规划期内</w:t>
      </w:r>
      <w:r>
        <w:rPr>
          <w:rFonts w:hint="eastAsia" w:ascii="仿宋_GB2312" w:hAnsi="仿宋_GB2312" w:eastAsia="仿宋_GB2312" w:cs="仿宋_GB2312"/>
        </w:rPr>
        <w:t>，适度增设与经济发展水平、城乡居民多样化消费需求相适应的商业网点，重点加强县城零售商业的功能优化，进一步完善乡镇零售业态，推进传统零售业态向现代零售业态的转变和提升。零售业的发展应坚持提高商贸流通业整体竞争力与创新相结合、与城市繁荣相结合、与方便群众和满足多层次需求相结合的原则。</w:t>
      </w:r>
    </w:p>
    <w:p>
      <w:pPr>
        <w:widowControl/>
        <w:spacing w:line="360" w:lineRule="auto"/>
        <w:ind w:firstLine="640"/>
        <w:rPr>
          <w:rFonts w:hint="eastAsia" w:ascii="仿宋_GB2312" w:hAnsi="仿宋_GB2312" w:eastAsia="仿宋_GB2312" w:cs="仿宋_GB2312"/>
        </w:rPr>
      </w:pPr>
      <w:r>
        <w:rPr>
          <w:rFonts w:hint="eastAsia" w:ascii="仿宋_GB2312" w:hAnsi="仿宋_GB2312" w:eastAsia="仿宋_GB2312" w:cs="仿宋_GB2312"/>
        </w:rPr>
        <w:t>同心县零售业态主要包括商业综合体（大型购物中心）、百货店、大型综合超市、仓储商场、大型专业店、专卖店、超市及便利店等。</w:t>
      </w:r>
    </w:p>
    <w:p>
      <w:pPr>
        <w:pStyle w:val="2"/>
        <w:spacing w:before="156" w:after="156"/>
        <w:ind w:firstLine="643"/>
      </w:pPr>
      <w:bookmarkStart w:id="88" w:name="_Toc1637"/>
      <w:bookmarkStart w:id="89" w:name="_Toc5583"/>
      <w:bookmarkStart w:id="90" w:name="_Toc26291"/>
      <w:bookmarkStart w:id="91" w:name="_Toc95764823"/>
      <w:bookmarkStart w:id="92" w:name="_Toc26916"/>
      <w:r>
        <w:rPr>
          <w:rFonts w:hint="eastAsia"/>
          <w:lang w:eastAsia="zh-CN"/>
        </w:rPr>
        <w:t>（</w:t>
      </w:r>
      <w:r>
        <w:rPr>
          <w:rFonts w:hint="eastAsia"/>
          <w:lang w:val="en-US" w:eastAsia="zh-CN"/>
        </w:rPr>
        <w:t>一</w:t>
      </w:r>
      <w:r>
        <w:rPr>
          <w:rFonts w:hint="eastAsia"/>
          <w:lang w:eastAsia="zh-CN"/>
        </w:rPr>
        <w:t>）</w:t>
      </w:r>
      <w:r>
        <w:rPr>
          <w:rFonts w:hint="eastAsia"/>
        </w:rPr>
        <w:t>商业综合体（大型购物中心）</w:t>
      </w:r>
      <w:bookmarkEnd w:id="88"/>
      <w:bookmarkEnd w:id="89"/>
      <w:bookmarkEnd w:id="90"/>
      <w:bookmarkEnd w:id="91"/>
      <w:bookmarkEnd w:id="92"/>
    </w:p>
    <w:p>
      <w:pPr>
        <w:ind w:firstLine="640"/>
        <w:rPr>
          <w:rFonts w:hint="eastAsia" w:ascii="仿宋_GB2312" w:hAnsi="仿宋_GB2312" w:eastAsia="仿宋_GB2312" w:cs="仿宋_GB2312"/>
        </w:rPr>
      </w:pPr>
      <w:r>
        <w:rPr>
          <w:rFonts w:hint="eastAsia" w:ascii="仿宋_GB2312" w:hAnsi="仿宋_GB2312" w:eastAsia="仿宋_GB2312" w:cs="仿宋_GB2312"/>
        </w:rPr>
        <w:t>县域范围内现有商业综合体（大型购物中心）2个，</w:t>
      </w:r>
      <w:r>
        <w:rPr>
          <w:rFonts w:hint="eastAsia" w:ascii="仿宋_GB2312" w:hAnsi="仿宋_GB2312" w:eastAsia="仿宋_GB2312" w:cs="仿宋_GB2312"/>
        </w:rPr>
        <w:tab/>
      </w:r>
      <w:r>
        <w:rPr>
          <w:rFonts w:hint="eastAsia" w:ascii="仿宋_GB2312" w:hAnsi="仿宋_GB2312" w:eastAsia="仿宋_GB2312" w:cs="仿宋_GB2312"/>
        </w:rPr>
        <w:t>奇虎商厦和大华商业广场。立足县域商业发展实际，依据同心县居住人口、消费水平等因素，老城区范围内商业综合体（大型购物中心）已基本处于饱和状态。规划期内，同心县老城区范围内不再增设新的商业综合体（大型购物中心），支持现有的商业综合体、大型购物中心及时调整经营结构，丰富体验业态，推动融合购物、餐饮、娱乐、休闲、商务等多种功能的一站式购物中心发展，打造业态丰富、功能复合的综合消费场所，满足消费者个性化、多样化、体验式消费需求。至规划期末可在新区规划布局一个商业综合体（大型购物中心）以满足该区域消费需求。</w:t>
      </w:r>
    </w:p>
    <w:p>
      <w:pPr>
        <w:pStyle w:val="2"/>
        <w:spacing w:before="156" w:after="156"/>
        <w:ind w:firstLine="643"/>
      </w:pPr>
      <w:bookmarkStart w:id="93" w:name="_Toc11776"/>
      <w:bookmarkStart w:id="94" w:name="_Toc27642"/>
      <w:bookmarkStart w:id="95" w:name="_Toc30900"/>
      <w:bookmarkStart w:id="96" w:name="_Toc95764824"/>
      <w:bookmarkStart w:id="97" w:name="_Toc10577"/>
      <w:r>
        <w:rPr>
          <w:rFonts w:hint="eastAsia"/>
          <w:lang w:eastAsia="zh-CN"/>
        </w:rPr>
        <w:t>（</w:t>
      </w:r>
      <w:r>
        <w:rPr>
          <w:rFonts w:hint="eastAsia"/>
          <w:lang w:val="en-US" w:eastAsia="zh-CN"/>
        </w:rPr>
        <w:t>二</w:t>
      </w:r>
      <w:r>
        <w:rPr>
          <w:rFonts w:hint="eastAsia"/>
          <w:lang w:eastAsia="zh-CN"/>
        </w:rPr>
        <w:t>）</w:t>
      </w:r>
      <w:r>
        <w:rPr>
          <w:rFonts w:hint="eastAsia"/>
        </w:rPr>
        <w:t>百货店</w:t>
      </w:r>
      <w:bookmarkEnd w:id="93"/>
      <w:bookmarkEnd w:id="94"/>
      <w:bookmarkEnd w:id="95"/>
      <w:bookmarkEnd w:id="96"/>
      <w:bookmarkEnd w:id="97"/>
    </w:p>
    <w:p>
      <w:pPr>
        <w:ind w:left="-3" w:firstLine="640"/>
        <w:rPr>
          <w:rFonts w:hint="eastAsia" w:ascii="仿宋_GB2312" w:hAnsi="仿宋_GB2312" w:eastAsia="仿宋_GB2312" w:cs="仿宋_GB2312"/>
        </w:rPr>
      </w:pPr>
      <w:r>
        <w:rPr>
          <w:rFonts w:hint="eastAsia" w:ascii="仿宋_GB2312" w:hAnsi="仿宋_GB2312" w:eastAsia="仿宋_GB2312" w:cs="仿宋_GB2312"/>
        </w:rPr>
        <w:t>县域范围内，现</w:t>
      </w:r>
      <w:r>
        <w:rPr>
          <w:rFonts w:hint="eastAsia" w:ascii="仿宋_GB2312" w:hAnsi="仿宋_GB2312" w:eastAsia="仿宋_GB2312" w:cs="仿宋_GB2312"/>
          <w:highlight w:val="none"/>
        </w:rPr>
        <w:t>有百货店</w:t>
      </w:r>
      <w:r>
        <w:rPr>
          <w:rFonts w:hint="eastAsia" w:ascii="仿宋_GB2312" w:hAnsi="仿宋_GB2312" w:eastAsia="仿宋_GB2312" w:cs="仿宋_GB2312"/>
          <w:highlight w:val="none"/>
          <w:lang w:val="en-US" w:eastAsia="zh-CN"/>
        </w:rPr>
        <w:t>8</w:t>
      </w:r>
      <w:r>
        <w:rPr>
          <w:rFonts w:hint="eastAsia" w:ascii="仿宋_GB2312" w:hAnsi="仿宋_GB2312" w:eastAsia="仿宋_GB2312" w:cs="仿宋_GB2312"/>
          <w:highlight w:val="none"/>
        </w:rPr>
        <w:t>个，生海商场</w:t>
      </w:r>
      <w:r>
        <w:rPr>
          <w:rFonts w:hint="eastAsia" w:ascii="仿宋_GB2312" w:hAnsi="仿宋_GB2312" w:eastAsia="仿宋_GB2312" w:cs="仿宋_GB2312"/>
        </w:rPr>
        <w:t>、新百大卖场</w:t>
      </w:r>
      <w:r>
        <w:rPr>
          <w:rFonts w:hint="eastAsia" w:ascii="仿宋_GB2312" w:hAnsi="仿宋_GB2312" w:eastAsia="仿宋_GB2312" w:cs="仿宋_GB2312"/>
          <w:lang w:val="en-US" w:eastAsia="zh-CN"/>
        </w:rPr>
        <w:t>等</w:t>
      </w:r>
      <w:r>
        <w:rPr>
          <w:rFonts w:hint="eastAsia" w:ascii="仿宋_GB2312" w:hAnsi="仿宋_GB2312" w:eastAsia="仿宋_GB2312" w:cs="仿宋_GB2312"/>
        </w:rPr>
        <w:t>均位于县级商业中心区域，目前，县级商业中心区域内百货店已趋于饱和且业态基本雷同。</w:t>
      </w:r>
      <w:r>
        <w:rPr>
          <w:rFonts w:hint="eastAsia" w:ascii="仿宋_GB2312" w:hAnsi="仿宋_GB2312" w:eastAsia="仿宋_GB2312" w:cs="仿宋_GB2312"/>
          <w:szCs w:val="28"/>
        </w:rPr>
        <w:t>规划期内</w:t>
      </w:r>
      <w:r>
        <w:rPr>
          <w:rFonts w:hint="eastAsia" w:ascii="仿宋_GB2312" w:hAnsi="仿宋_GB2312" w:eastAsia="仿宋_GB2312" w:cs="仿宋_GB2312"/>
        </w:rPr>
        <w:t>，县级商业中心范围内，不再新增百货店，</w:t>
      </w:r>
      <w:r>
        <w:rPr>
          <w:rFonts w:hint="eastAsia" w:ascii="仿宋_GB2312" w:hAnsi="仿宋_GB2312" w:eastAsia="仿宋_GB2312" w:cs="仿宋_GB2312"/>
          <w:color w:val="000000"/>
        </w:rPr>
        <w:t>并积极</w:t>
      </w:r>
      <w:r>
        <w:rPr>
          <w:rFonts w:hint="eastAsia" w:ascii="仿宋_GB2312" w:hAnsi="仿宋_GB2312" w:eastAsia="仿宋_GB2312" w:cs="仿宋_GB2312"/>
        </w:rPr>
        <w:t>推动生海商场、新百大卖场等百货店加大品牌引进，增加休闲、娱乐等体验式消费业态。永安路片区和城南新区作为副商业中心，各布局建设一个百货店，在韦州、下马关等人口密集的乡镇可依托乡镇</w:t>
      </w:r>
      <w:r>
        <w:rPr>
          <w:rFonts w:hint="eastAsia" w:ascii="仿宋_GB2312" w:hAnsi="仿宋_GB2312" w:cs="仿宋_GB2312"/>
          <w:lang w:val="en-US" w:eastAsia="zh-CN"/>
        </w:rPr>
        <w:t>商业</w:t>
      </w:r>
      <w:r>
        <w:rPr>
          <w:rFonts w:hint="eastAsia" w:ascii="仿宋_GB2312" w:hAnsi="仿宋_GB2312" w:eastAsia="仿宋_GB2312" w:cs="仿宋_GB2312"/>
        </w:rPr>
        <w:t>中心改造提升一个百货店。规划期内，共新增大型百货店不超过5个。</w:t>
      </w:r>
    </w:p>
    <w:p>
      <w:pPr>
        <w:pStyle w:val="2"/>
        <w:spacing w:before="156" w:after="156"/>
        <w:ind w:firstLine="643"/>
      </w:pPr>
      <w:bookmarkStart w:id="98" w:name="_Toc95764825"/>
      <w:bookmarkStart w:id="99" w:name="_Toc25968"/>
      <w:bookmarkStart w:id="100" w:name="_Toc8980"/>
      <w:bookmarkStart w:id="101" w:name="_Toc8823"/>
      <w:bookmarkStart w:id="102" w:name="_Toc16370"/>
      <w:r>
        <w:rPr>
          <w:rFonts w:hint="eastAsia"/>
          <w:lang w:eastAsia="zh-CN"/>
        </w:rPr>
        <w:t>（</w:t>
      </w:r>
      <w:r>
        <w:rPr>
          <w:rFonts w:hint="eastAsia"/>
          <w:lang w:val="en-US" w:eastAsia="zh-CN"/>
        </w:rPr>
        <w:t>三</w:t>
      </w:r>
      <w:r>
        <w:rPr>
          <w:rFonts w:hint="eastAsia"/>
          <w:lang w:eastAsia="zh-CN"/>
        </w:rPr>
        <w:t>）</w:t>
      </w:r>
      <w:r>
        <w:rPr>
          <w:rFonts w:hint="eastAsia"/>
        </w:rPr>
        <w:t>大型综合超市</w:t>
      </w:r>
      <w:bookmarkEnd w:id="98"/>
      <w:bookmarkEnd w:id="99"/>
      <w:bookmarkEnd w:id="100"/>
      <w:bookmarkEnd w:id="101"/>
      <w:bookmarkEnd w:id="102"/>
    </w:p>
    <w:p>
      <w:pPr>
        <w:ind w:firstLine="640"/>
        <w:rPr>
          <w:rFonts w:hint="eastAsia" w:ascii="仿宋_GB2312" w:hAnsi="仿宋_GB2312" w:eastAsia="仿宋_GB2312" w:cs="仿宋_GB2312"/>
          <w:szCs w:val="28"/>
          <w:highlight w:val="yellow"/>
        </w:rPr>
      </w:pPr>
      <w:r>
        <w:rPr>
          <w:rFonts w:hint="eastAsia" w:ascii="仿宋_GB2312" w:hAnsi="仿宋_GB2312" w:eastAsia="仿宋_GB2312" w:cs="仿宋_GB2312"/>
          <w:szCs w:val="28"/>
        </w:rPr>
        <w:t>规划期内，结合购物中心及各区域生活超市设置情况，在县级、区域</w:t>
      </w:r>
      <w:r>
        <w:rPr>
          <w:rFonts w:hint="eastAsia" w:ascii="仿宋_GB2312" w:hAnsi="仿宋_GB2312" w:eastAsia="仿宋_GB2312" w:cs="仿宋_GB2312"/>
          <w:color w:val="222222"/>
          <w:kern w:val="0"/>
          <w:szCs w:val="28"/>
        </w:rPr>
        <w:t>商业中心、城郊结合部、重点乡镇、交通要道及大型居住区等，</w:t>
      </w:r>
      <w:r>
        <w:rPr>
          <w:rFonts w:hint="eastAsia" w:ascii="仿宋_GB2312" w:hAnsi="仿宋_GB2312" w:eastAsia="仿宋_GB2312" w:cs="仿宋_GB2312"/>
          <w:szCs w:val="28"/>
          <w:highlight w:val="none"/>
        </w:rPr>
        <w:t>合理规划建设以3万—5万人为服务人口、2000米为服务半径，单个营业面积500～</w:t>
      </w:r>
      <w:r>
        <w:rPr>
          <w:rFonts w:hint="default" w:ascii="仿宋_GB2312" w:hAnsi="仿宋_GB2312" w:cs="仿宋_GB2312"/>
          <w:szCs w:val="28"/>
          <w:highlight w:val="none"/>
        </w:rPr>
        <w:t>1</w:t>
      </w:r>
      <w:r>
        <w:rPr>
          <w:rFonts w:hint="eastAsia" w:ascii="仿宋_GB2312" w:hAnsi="仿宋_GB2312" w:eastAsia="仿宋_GB2312" w:cs="仿宋_GB2312"/>
          <w:szCs w:val="28"/>
          <w:highlight w:val="none"/>
        </w:rPr>
        <w:t>000平方米</w:t>
      </w:r>
      <w:r>
        <w:rPr>
          <w:rFonts w:hint="eastAsia" w:ascii="仿宋_GB2312" w:hAnsi="仿宋_GB2312" w:cs="仿宋_GB2312"/>
          <w:szCs w:val="28"/>
          <w:highlight w:val="none"/>
          <w:lang w:val="en-US" w:eastAsia="zh-Hans"/>
        </w:rPr>
        <w:t>左右</w:t>
      </w:r>
      <w:r>
        <w:rPr>
          <w:rFonts w:hint="eastAsia" w:ascii="仿宋_GB2312" w:hAnsi="仿宋_GB2312" w:eastAsia="仿宋_GB2312" w:cs="仿宋_GB2312"/>
          <w:szCs w:val="28"/>
          <w:highlight w:val="none"/>
        </w:rPr>
        <w:t>的大型综合超市</w:t>
      </w:r>
      <w:r>
        <w:rPr>
          <w:rFonts w:hint="eastAsia" w:ascii="仿宋_GB2312" w:hAnsi="仿宋_GB2312" w:eastAsia="仿宋_GB2312" w:cs="仿宋_GB2312"/>
          <w:highlight w:val="none"/>
        </w:rPr>
        <w:t>。</w:t>
      </w:r>
    </w:p>
    <w:p>
      <w:pPr>
        <w:pStyle w:val="2"/>
        <w:spacing w:before="156" w:after="156"/>
        <w:ind w:firstLine="643"/>
      </w:pPr>
      <w:bookmarkStart w:id="103" w:name="_Toc480399760"/>
      <w:bookmarkStart w:id="104" w:name="_Toc19740"/>
      <w:bookmarkStart w:id="105" w:name="_Toc488596569"/>
      <w:bookmarkStart w:id="106" w:name="_Toc464820277"/>
      <w:bookmarkStart w:id="107" w:name="_Toc1277"/>
      <w:bookmarkStart w:id="108" w:name="_Toc32611"/>
      <w:bookmarkStart w:id="109" w:name="_Toc414241224"/>
      <w:bookmarkStart w:id="110" w:name="_Toc22794"/>
      <w:bookmarkStart w:id="111" w:name="_Toc7854"/>
      <w:bookmarkStart w:id="112" w:name="_Toc11922"/>
      <w:bookmarkStart w:id="113" w:name="_Toc95764826"/>
      <w:bookmarkStart w:id="114" w:name="_Toc326488459"/>
      <w:bookmarkStart w:id="115" w:name="_Toc8501"/>
      <w:bookmarkStart w:id="116" w:name="_Toc337070160"/>
      <w:bookmarkStart w:id="117" w:name="_Toc327725582"/>
      <w:bookmarkStart w:id="118" w:name="_Toc5231"/>
      <w:bookmarkStart w:id="119" w:name="_Toc25277"/>
      <w:bookmarkStart w:id="120" w:name="_Toc29721"/>
      <w:bookmarkStart w:id="121" w:name="_Toc464762278"/>
      <w:bookmarkStart w:id="122" w:name="_Toc480399936"/>
      <w:bookmarkStart w:id="123" w:name="_Toc24299"/>
      <w:r>
        <w:rPr>
          <w:rFonts w:hint="eastAsia"/>
          <w:lang w:eastAsia="zh-CN"/>
        </w:rPr>
        <w:t>（</w:t>
      </w:r>
      <w:r>
        <w:rPr>
          <w:rFonts w:hint="eastAsia"/>
          <w:lang w:val="en-US" w:eastAsia="zh-CN"/>
        </w:rPr>
        <w:t>四</w:t>
      </w:r>
      <w:r>
        <w:rPr>
          <w:rFonts w:hint="eastAsia"/>
          <w:lang w:eastAsia="zh-CN"/>
        </w:rPr>
        <w:t>）</w:t>
      </w:r>
      <w:r>
        <w:t>专业店</w:t>
      </w:r>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p>
    <w:p>
      <w:pPr>
        <w:ind w:left="-3" w:firstLine="640"/>
        <w:rPr>
          <w:rFonts w:hint="eastAsia" w:ascii="仿宋_GB2312" w:hAnsi="仿宋_GB2312" w:eastAsia="仿宋_GB2312" w:cs="仿宋_GB2312"/>
          <w:szCs w:val="32"/>
        </w:rPr>
      </w:pPr>
      <w:r>
        <w:rPr>
          <w:rFonts w:hint="eastAsia" w:ascii="仿宋_GB2312" w:hAnsi="仿宋_GB2312" w:eastAsia="仿宋_GB2312" w:cs="仿宋_GB2312"/>
        </w:rPr>
        <w:t>目前，县域范围内现有专业店分布不广泛，专业深度不足，布局缺乏合理性，应鼓励发展连锁专业店，在现有专业店经营范围的基础上，扩大专业店的行业范围；推动和鼓励企业细分目标市场，大力发展不同规模的专业和特色经营，向县级商业中心积极发展。</w:t>
      </w:r>
      <w:r>
        <w:rPr>
          <w:rFonts w:hint="eastAsia" w:ascii="仿宋_GB2312" w:hAnsi="仿宋_GB2312" w:eastAsia="仿宋_GB2312" w:cs="仿宋_GB2312"/>
          <w:szCs w:val="28"/>
        </w:rPr>
        <w:t>规划期内</w:t>
      </w:r>
      <w:r>
        <w:rPr>
          <w:rFonts w:hint="eastAsia" w:ascii="仿宋_GB2312" w:hAnsi="仿宋_GB2312" w:eastAsia="仿宋_GB2312" w:cs="仿宋_GB2312"/>
        </w:rPr>
        <w:t>，积极引导县级商业中心、县级副商业中心、主要商业街（区），百货店、购物中心等内部配置一定数量的专业店，医药、电器、服饰、居民服务</w:t>
      </w:r>
      <w:r>
        <w:rPr>
          <w:rFonts w:hint="eastAsia" w:ascii="仿宋_GB2312" w:hAnsi="仿宋_GB2312" w:cs="仿宋_GB2312"/>
          <w:lang w:eastAsia="zh-CN"/>
        </w:rPr>
        <w:t>及其他</w:t>
      </w:r>
      <w:r>
        <w:rPr>
          <w:rFonts w:hint="eastAsia" w:ascii="仿宋_GB2312" w:hAnsi="仿宋_GB2312" w:eastAsia="仿宋_GB2312" w:cs="仿宋_GB2312"/>
        </w:rPr>
        <w:t>各类业种合理覆盖，县级商业中心应有控制地设置大型专业店，各社区商业中心、乡镇</w:t>
      </w:r>
      <w:r>
        <w:rPr>
          <w:rFonts w:hint="eastAsia" w:ascii="仿宋_GB2312" w:hAnsi="仿宋_GB2312" w:cs="仿宋_GB2312"/>
          <w:lang w:val="en-US" w:eastAsia="zh-CN"/>
        </w:rPr>
        <w:t>商业</w:t>
      </w:r>
      <w:r>
        <w:rPr>
          <w:rFonts w:hint="eastAsia" w:ascii="仿宋_GB2312" w:hAnsi="仿宋_GB2312" w:eastAsia="仿宋_GB2312" w:cs="仿宋_GB2312"/>
        </w:rPr>
        <w:t>中心可根据建设进度设1-2家大型专业店，总数控制在30家以内。</w:t>
      </w:r>
    </w:p>
    <w:p>
      <w:pPr>
        <w:pStyle w:val="2"/>
        <w:spacing w:before="156" w:after="156"/>
        <w:ind w:firstLine="643"/>
      </w:pPr>
      <w:bookmarkStart w:id="124" w:name="_Toc1022"/>
      <w:bookmarkStart w:id="125" w:name="_Toc8517"/>
      <w:bookmarkStart w:id="126" w:name="_Toc13705"/>
      <w:bookmarkStart w:id="127" w:name="_Toc464820278"/>
      <w:bookmarkStart w:id="128" w:name="_Toc337070161"/>
      <w:bookmarkStart w:id="129" w:name="_Toc326488460"/>
      <w:bookmarkStart w:id="130" w:name="_Toc12135"/>
      <w:bookmarkStart w:id="131" w:name="_Toc17317"/>
      <w:bookmarkStart w:id="132" w:name="_Toc327725583"/>
      <w:bookmarkStart w:id="133" w:name="_Toc28506"/>
      <w:bookmarkStart w:id="134" w:name="_Toc464762279"/>
      <w:bookmarkStart w:id="135" w:name="_Toc480399761"/>
      <w:bookmarkStart w:id="136" w:name="_Toc414241225"/>
      <w:bookmarkStart w:id="137" w:name="_Toc25075"/>
      <w:bookmarkStart w:id="138" w:name="_Toc22546"/>
      <w:bookmarkStart w:id="139" w:name="_Toc32664"/>
      <w:bookmarkStart w:id="140" w:name="_Toc18136"/>
      <w:bookmarkStart w:id="141" w:name="_Toc32462"/>
      <w:bookmarkStart w:id="142" w:name="_Toc480399937"/>
      <w:bookmarkStart w:id="143" w:name="_Toc488596570"/>
      <w:bookmarkStart w:id="144" w:name="_Toc95764827"/>
      <w:r>
        <w:rPr>
          <w:rFonts w:hint="eastAsia"/>
          <w:lang w:eastAsia="zh-CN"/>
        </w:rPr>
        <w:t>（</w:t>
      </w:r>
      <w:r>
        <w:rPr>
          <w:rFonts w:hint="eastAsia"/>
          <w:lang w:val="en-US" w:eastAsia="zh-CN"/>
        </w:rPr>
        <w:t>五</w:t>
      </w:r>
      <w:r>
        <w:rPr>
          <w:rFonts w:hint="eastAsia"/>
          <w:lang w:eastAsia="zh-CN"/>
        </w:rPr>
        <w:t>）</w:t>
      </w:r>
      <w:r>
        <w:t>专卖店</w:t>
      </w:r>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p>
    <w:p>
      <w:pPr>
        <w:ind w:firstLine="640"/>
        <w:rPr>
          <w:rFonts w:hint="eastAsia" w:ascii="仿宋_GB2312" w:hAnsi="仿宋_GB2312" w:eastAsia="仿宋_GB2312" w:cs="仿宋_GB2312"/>
          <w:szCs w:val="28"/>
        </w:rPr>
      </w:pPr>
      <w:r>
        <w:rPr>
          <w:rFonts w:hint="eastAsia" w:ascii="仿宋_GB2312" w:hAnsi="仿宋_GB2312" w:eastAsia="仿宋_GB2312" w:cs="仿宋_GB2312"/>
          <w:szCs w:val="28"/>
        </w:rPr>
        <w:t>规划期内</w:t>
      </w:r>
      <w:r>
        <w:rPr>
          <w:rFonts w:hint="eastAsia" w:ascii="仿宋_GB2312" w:hAnsi="仿宋_GB2312" w:eastAsia="仿宋_GB2312" w:cs="仿宋_GB2312"/>
        </w:rPr>
        <w:t>，根据城乡居民个性化消费趋向及区域消费结构、消费水平等，城区要推动和鼓励特色经营，发展系列专卖与特种商品专卖，并逐步形成专卖连锁经营体系，鼓励开设不同档次的以经营国内外知名品牌为主的专卖店，推动专卖连锁体系向县级商业中心、社区商业中心、乡镇</w:t>
      </w:r>
      <w:r>
        <w:rPr>
          <w:rFonts w:hint="eastAsia" w:ascii="仿宋_GB2312" w:hAnsi="仿宋_GB2312" w:cs="仿宋_GB2312"/>
          <w:lang w:val="en-US" w:eastAsia="zh-CN"/>
        </w:rPr>
        <w:t>商业</w:t>
      </w:r>
      <w:r>
        <w:rPr>
          <w:rFonts w:hint="eastAsia" w:ascii="仿宋_GB2312" w:hAnsi="仿宋_GB2312" w:eastAsia="仿宋_GB2312" w:cs="仿宋_GB2312"/>
        </w:rPr>
        <w:t>中心发展。乡镇鼓励发展电器、农资、服装等连锁专卖店的发展。</w:t>
      </w:r>
    </w:p>
    <w:p>
      <w:pPr>
        <w:pStyle w:val="2"/>
        <w:spacing w:before="156" w:after="156"/>
        <w:ind w:firstLine="643"/>
      </w:pPr>
      <w:bookmarkStart w:id="145" w:name="_Toc414241226"/>
      <w:bookmarkStart w:id="146" w:name="_Toc21221"/>
      <w:bookmarkStart w:id="147" w:name="_Toc30366"/>
      <w:bookmarkStart w:id="148" w:name="_Toc480399938"/>
      <w:bookmarkStart w:id="149" w:name="_Toc3314"/>
      <w:bookmarkStart w:id="150" w:name="_Toc29134"/>
      <w:bookmarkStart w:id="151" w:name="_Toc337070162"/>
      <w:bookmarkStart w:id="152" w:name="_Toc14983"/>
      <w:bookmarkStart w:id="153" w:name="_Toc8206"/>
      <w:bookmarkStart w:id="154" w:name="_Toc480399762"/>
      <w:bookmarkStart w:id="155" w:name="_Toc488596571"/>
      <w:bookmarkStart w:id="156" w:name="_Toc464762280"/>
      <w:bookmarkStart w:id="157" w:name="_Toc464820279"/>
      <w:bookmarkStart w:id="158" w:name="_Toc19080"/>
      <w:bookmarkStart w:id="159" w:name="_Toc17155"/>
      <w:bookmarkStart w:id="160" w:name="_Toc326488461"/>
      <w:bookmarkStart w:id="161" w:name="_Toc10805"/>
      <w:bookmarkStart w:id="162" w:name="_Toc23789"/>
      <w:bookmarkStart w:id="163" w:name="_Toc95764828"/>
      <w:bookmarkStart w:id="164" w:name="_Toc327725584"/>
      <w:bookmarkStart w:id="165" w:name="_Toc20688"/>
      <w:r>
        <w:rPr>
          <w:rFonts w:hint="eastAsia"/>
          <w:lang w:eastAsia="zh-CN"/>
        </w:rPr>
        <w:t>（</w:t>
      </w:r>
      <w:r>
        <w:rPr>
          <w:rFonts w:hint="eastAsia"/>
          <w:lang w:val="en-US" w:eastAsia="zh-CN"/>
        </w:rPr>
        <w:t>六</w:t>
      </w:r>
      <w:r>
        <w:rPr>
          <w:rFonts w:hint="eastAsia"/>
          <w:lang w:eastAsia="zh-CN"/>
        </w:rPr>
        <w:t>）</w:t>
      </w:r>
      <w:r>
        <w:t>超市</w:t>
      </w:r>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p>
    <w:p>
      <w:pPr>
        <w:ind w:firstLine="640"/>
        <w:rPr>
          <w:rFonts w:hint="eastAsia" w:ascii="仿宋_GB2312" w:hAnsi="仿宋_GB2312" w:eastAsia="仿宋_GB2312" w:cs="仿宋_GB2312"/>
        </w:rPr>
      </w:pPr>
      <w:bookmarkStart w:id="166" w:name="_Toc326488462"/>
      <w:bookmarkStart w:id="167" w:name="_Toc5790"/>
      <w:r>
        <w:rPr>
          <w:rFonts w:hint="eastAsia" w:ascii="仿宋_GB2312" w:hAnsi="仿宋_GB2312" w:eastAsia="仿宋_GB2312" w:cs="仿宋_GB2312"/>
        </w:rPr>
        <w:t>根据商业发展水平，规划期内，以1万人为服务人口或0.5公里为服务半径的标准，在县域商业中心辐射不到的城区、城市新发展地区、新建安置小区及居住区、乡镇</w:t>
      </w:r>
      <w:r>
        <w:rPr>
          <w:rFonts w:hint="eastAsia" w:ascii="仿宋_GB2312" w:hAnsi="仿宋_GB2312" w:cs="仿宋_GB2312"/>
          <w:lang w:val="en-US" w:eastAsia="zh-CN"/>
        </w:rPr>
        <w:t>商业</w:t>
      </w:r>
      <w:r>
        <w:rPr>
          <w:rFonts w:hint="eastAsia" w:ascii="仿宋_GB2312" w:hAnsi="仿宋_GB2312" w:eastAsia="仿宋_GB2312" w:cs="仿宋_GB2312"/>
        </w:rPr>
        <w:t>中心、人口密集的行政村配置100～500平方米规模的便利超市。鼓励现有便利超市扩大生鲜食品比重，广泛采取特许加盟的形式，以连锁性质的便利店或专业店为主要形式，改造传统小型商业网点。超市的设置应与大型综合超市保持一定距离。</w:t>
      </w:r>
    </w:p>
    <w:p>
      <w:pPr>
        <w:pStyle w:val="2"/>
        <w:spacing w:before="156" w:after="156"/>
        <w:ind w:firstLine="643"/>
      </w:pPr>
      <w:bookmarkStart w:id="168" w:name="_Toc414241227"/>
      <w:bookmarkStart w:id="169" w:name="_Toc17607"/>
      <w:bookmarkStart w:id="170" w:name="_Toc337070163"/>
      <w:bookmarkStart w:id="171" w:name="_Toc4237"/>
      <w:bookmarkStart w:id="172" w:name="_Toc8088"/>
      <w:bookmarkStart w:id="173" w:name="_Toc25193"/>
      <w:bookmarkStart w:id="174" w:name="_Toc6004"/>
      <w:bookmarkStart w:id="175" w:name="_Toc95764829"/>
      <w:bookmarkStart w:id="176" w:name="_Toc480399763"/>
      <w:bookmarkStart w:id="177" w:name="_Toc3912"/>
      <w:bookmarkStart w:id="178" w:name="_Toc464762281"/>
      <w:bookmarkStart w:id="179" w:name="_Toc464820280"/>
      <w:bookmarkStart w:id="180" w:name="_Toc15510"/>
      <w:bookmarkStart w:id="181" w:name="_Toc11388"/>
      <w:bookmarkStart w:id="182" w:name="_Toc480399939"/>
      <w:bookmarkStart w:id="183" w:name="_Toc13300"/>
      <w:bookmarkStart w:id="184" w:name="_Toc327725585"/>
      <w:bookmarkStart w:id="185" w:name="_Toc4819"/>
      <w:bookmarkStart w:id="186" w:name="_Toc488596572"/>
      <w:r>
        <w:rPr>
          <w:rFonts w:hint="eastAsia"/>
          <w:lang w:eastAsia="zh-CN"/>
        </w:rPr>
        <w:t>（</w:t>
      </w:r>
      <w:r>
        <w:rPr>
          <w:rFonts w:hint="eastAsia"/>
          <w:lang w:val="en-US" w:eastAsia="zh-CN"/>
        </w:rPr>
        <w:t>七</w:t>
      </w:r>
      <w:r>
        <w:rPr>
          <w:rFonts w:hint="eastAsia"/>
          <w:lang w:eastAsia="zh-CN"/>
        </w:rPr>
        <w:t>）</w:t>
      </w:r>
      <w:r>
        <w:t>便利店</w:t>
      </w:r>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p>
    <w:p>
      <w:pPr>
        <w:ind w:firstLine="640"/>
        <w:rPr>
          <w:rFonts w:ascii="方正仿宋简体" w:hAnsi="方正仿宋简体" w:cs="方正仿宋简体"/>
        </w:rPr>
      </w:pPr>
      <w:r>
        <w:rPr>
          <w:rFonts w:hint="eastAsia" w:ascii="仿宋_GB2312" w:hAnsi="仿宋_GB2312" w:eastAsia="仿宋_GB2312" w:cs="仿宋_GB2312"/>
        </w:rPr>
        <w:t>贯彻商务部《关于推动品牌连锁便利店加快发展的指导意见》，结合同心县便利店的现状空间分布和社区商业中心、乡镇</w:t>
      </w:r>
      <w:r>
        <w:rPr>
          <w:rFonts w:hint="eastAsia" w:ascii="仿宋_GB2312" w:hAnsi="仿宋_GB2312" w:cs="仿宋_GB2312"/>
          <w:lang w:val="en-US" w:eastAsia="zh-CN"/>
        </w:rPr>
        <w:t>商业</w:t>
      </w:r>
      <w:r>
        <w:rPr>
          <w:rFonts w:hint="eastAsia" w:ascii="仿宋_GB2312" w:hAnsi="仿宋_GB2312" w:eastAsia="仿宋_GB2312" w:cs="仿宋_GB2312"/>
        </w:rPr>
        <w:t>中心规划，规划期内，按照300-500米的服务半径，重点在居住区和行政村设置便利店。积极吸引区内外知名品牌连锁便利店企业入驻，大力推动品牌连锁便利店发展。鼓励县域内现有商贸流通大个体、连锁零售企业，采取直营、收购、兼并、特许加盟等形式，改造一批品牌名称、店面形象、管理系统、配货模式、服务规范“五统一”的新型连锁便利店。规划期内，引导电商、物流、连锁商贸流通企业、益农信息社运营商通过特许加盟、联营联销、供应链赋能等方式，新建或改造一批村级连锁商店，加强对夫妻店、小卖部等村级现有商业网点的标准化改造，每个村发展1个新型乡村便利店，在供货配送、营销推广、店面设计、品牌标识、信息化系统管理等方面提供统一服务。</w:t>
      </w:r>
      <w:r>
        <w:rPr>
          <w:rFonts w:hint="eastAsia" w:ascii="方正仿宋简体" w:hAnsi="方正仿宋简体" w:cs="方正仿宋简体"/>
        </w:rPr>
        <w:t>在四个重点乡镇尝试建设农村连锁商超，更好地满足本地居民生活和企业生产消费需求。</w:t>
      </w:r>
    </w:p>
    <w:p>
      <w:pPr>
        <w:pStyle w:val="2"/>
        <w:spacing w:before="156" w:after="156"/>
        <w:ind w:firstLine="643"/>
      </w:pPr>
      <w:bookmarkStart w:id="187" w:name="_Toc21256"/>
      <w:bookmarkStart w:id="188" w:name="_Toc9894"/>
      <w:bookmarkStart w:id="189" w:name="_Toc95764830"/>
      <w:bookmarkStart w:id="190" w:name="_Toc10833"/>
      <w:bookmarkStart w:id="191" w:name="_Toc20717"/>
      <w:r>
        <w:rPr>
          <w:rFonts w:hint="eastAsia"/>
          <w:lang w:eastAsia="zh-CN"/>
        </w:rPr>
        <w:t>（</w:t>
      </w:r>
      <w:r>
        <w:rPr>
          <w:rFonts w:hint="eastAsia"/>
          <w:lang w:val="en-US" w:eastAsia="zh-CN"/>
        </w:rPr>
        <w:t>八</w:t>
      </w:r>
      <w:r>
        <w:rPr>
          <w:rFonts w:hint="eastAsia"/>
          <w:lang w:eastAsia="zh-CN"/>
        </w:rPr>
        <w:t>）</w:t>
      </w:r>
      <w:r>
        <w:rPr>
          <w:rFonts w:hint="eastAsia"/>
        </w:rPr>
        <w:t>宾馆酒店</w:t>
      </w:r>
      <w:bookmarkEnd w:id="187"/>
      <w:bookmarkEnd w:id="188"/>
      <w:bookmarkEnd w:id="189"/>
      <w:bookmarkEnd w:id="190"/>
      <w:bookmarkEnd w:id="191"/>
    </w:p>
    <w:p>
      <w:pPr>
        <w:ind w:firstLine="640"/>
      </w:pPr>
      <w:r>
        <w:rPr>
          <w:rFonts w:hint="eastAsia"/>
        </w:rPr>
        <w:t>规划期内，鼓励提升一批星级饭店、度假宾馆、主题酒店、金牌农家乐。县城核心商圈及新区重点发展中高端宾馆酒店，提升旅游、商务和重大活动的住宿接待水平。县城其他区域、韦州镇、下马关镇等重点发展高品质的经济型酒店，鼓励引进连锁品牌酒店，预旺镇、王团镇等其他乡镇鼓励利用既有合法建筑发展精品民宿、家庭旅馆、独家酒店、度假村等个性化住宿品牌，满足不同消费群体追求品质、个性体验的升级需求。</w:t>
      </w:r>
    </w:p>
    <w:p>
      <w:pPr>
        <w:pStyle w:val="2"/>
        <w:spacing w:before="156" w:after="156"/>
        <w:ind w:firstLine="643"/>
      </w:pPr>
      <w:bookmarkStart w:id="192" w:name="_Toc4008"/>
      <w:bookmarkStart w:id="193" w:name="_Toc4337"/>
      <w:bookmarkStart w:id="194" w:name="_Toc19550"/>
      <w:bookmarkStart w:id="195" w:name="_Toc95764831"/>
      <w:bookmarkStart w:id="196" w:name="_Toc9116"/>
      <w:r>
        <w:rPr>
          <w:rFonts w:hint="eastAsia"/>
          <w:lang w:eastAsia="zh-CN"/>
        </w:rPr>
        <w:t>（</w:t>
      </w:r>
      <w:r>
        <w:rPr>
          <w:rFonts w:hint="eastAsia"/>
          <w:lang w:val="en-US" w:eastAsia="zh-CN"/>
        </w:rPr>
        <w:t>九</w:t>
      </w:r>
      <w:r>
        <w:rPr>
          <w:rFonts w:hint="eastAsia"/>
          <w:lang w:eastAsia="zh-CN"/>
        </w:rPr>
        <w:t>）</w:t>
      </w:r>
      <w:r>
        <w:rPr>
          <w:rFonts w:hint="eastAsia"/>
        </w:rPr>
        <w:t>餐饮</w:t>
      </w:r>
      <w:bookmarkEnd w:id="192"/>
      <w:bookmarkEnd w:id="193"/>
      <w:bookmarkEnd w:id="194"/>
      <w:bookmarkEnd w:id="195"/>
      <w:bookmarkEnd w:id="196"/>
    </w:p>
    <w:p>
      <w:pPr>
        <w:ind w:firstLine="640"/>
        <w:rPr>
          <w:rFonts w:hint="eastAsia" w:ascii="仿宋_GB2312" w:hAnsi="仿宋_GB2312" w:eastAsia="仿宋_GB2312" w:cs="仿宋_GB2312"/>
        </w:rPr>
      </w:pPr>
      <w:r>
        <w:rPr>
          <w:rFonts w:hint="eastAsia" w:ascii="仿宋_GB2312" w:hAnsi="仿宋_GB2312" w:eastAsia="仿宋_GB2312" w:cs="仿宋_GB2312"/>
          <w:bCs/>
        </w:rPr>
        <w:t>结合全域旅游和地方资源特色，打造特色餐饮集聚区，积极发展旅游主题饭店、特色餐饮、农家乐、民俗客栈等新业态，满足广大消费者多层次需求。</w:t>
      </w:r>
      <w:r>
        <w:rPr>
          <w:rFonts w:hint="eastAsia" w:ascii="仿宋_GB2312" w:hAnsi="仿宋_GB2312" w:eastAsia="仿宋_GB2312" w:cs="仿宋_GB2312"/>
        </w:rPr>
        <w:t>鼓励面点、烧鸡等特色餐饮企业开展商标注册、特色菜包装宣传，</w:t>
      </w:r>
      <w:r>
        <w:rPr>
          <w:rFonts w:hint="eastAsia" w:ascii="仿宋_GB2312" w:hAnsi="仿宋_GB2312" w:eastAsia="仿宋_GB2312" w:cs="仿宋_GB2312"/>
          <w:color w:val="000000"/>
        </w:rPr>
        <w:t>培育特色餐饮品牌，努力争创“中华老字号”“中华餐饮名店”、宁夏老字号、吴忠老字号等品牌称号。</w:t>
      </w:r>
      <w:r>
        <w:rPr>
          <w:rFonts w:hint="eastAsia" w:ascii="仿宋_GB2312" w:hAnsi="仿宋_GB2312" w:eastAsia="仿宋_GB2312" w:cs="仿宋_GB2312"/>
          <w:bCs/>
        </w:rPr>
        <w:t>支持利用“吃在吴忠”品牌、“吃在吴忠”APP宣传同心特色餐饮，</w:t>
      </w:r>
      <w:r>
        <w:rPr>
          <w:rFonts w:hint="eastAsia" w:ascii="仿宋_GB2312" w:hAnsi="仿宋_GB2312" w:eastAsia="仿宋_GB2312" w:cs="仿宋_GB2312"/>
        </w:rPr>
        <w:t>支持回春食府、同庆丰、同味楼等餐饮企业在全区、全国发展直营连锁、加盟连锁、特许连锁等模式，形成一批具备品牌竞争力和知名度的连锁餐饮品牌。鼓励社区餐饮品牌化、连锁化、便民化发展，支持餐饮企业合理使用移动式便民餐饮设施，结合商业街步行街建设项目，配置相对集中、各具特色的餐饮区域。引导社区商业区域、重点产业区配置多元化餐饮网点，提升餐饮档次，满足商务接待、城乡居民、游客等多元人群需求。</w:t>
      </w:r>
    </w:p>
    <w:p>
      <w:pPr>
        <w:pStyle w:val="3"/>
        <w:spacing w:before="156" w:after="156"/>
        <w:jc w:val="both"/>
      </w:pPr>
      <w:bookmarkStart w:id="197" w:name="_Toc1774"/>
      <w:bookmarkStart w:id="198" w:name="_Toc95764832"/>
      <w:bookmarkStart w:id="199" w:name="_Toc9891"/>
      <w:bookmarkStart w:id="200" w:name="_Toc16404"/>
      <w:r>
        <w:rPr>
          <w:rFonts w:hint="eastAsia"/>
          <w:lang w:val="en-US" w:eastAsia="zh-CN"/>
        </w:rPr>
        <w:t>五、</w:t>
      </w:r>
      <w:r>
        <w:rPr>
          <w:rFonts w:hint="eastAsia"/>
        </w:rPr>
        <w:t>交易市场及其他配套商业布局</w:t>
      </w:r>
      <w:bookmarkEnd w:id="197"/>
      <w:bookmarkEnd w:id="198"/>
      <w:bookmarkEnd w:id="199"/>
      <w:bookmarkEnd w:id="200"/>
    </w:p>
    <w:p>
      <w:pPr>
        <w:ind w:firstLine="640"/>
        <w:rPr>
          <w:rFonts w:hint="eastAsia"/>
        </w:rPr>
      </w:pPr>
      <w:bookmarkStart w:id="201" w:name="_Toc95764833"/>
      <w:r>
        <w:rPr>
          <w:rFonts w:hint="eastAsia"/>
        </w:rPr>
        <w:t>以构建多层现代市场体系为总要求，</w:t>
      </w:r>
      <w:r>
        <w:t>构建布局合理、设施先进、物流配套、产业联动的现代化专业市场体系</w:t>
      </w:r>
      <w:r>
        <w:rPr>
          <w:rFonts w:hint="eastAsia"/>
          <w:lang w:eastAsia="zh-CN"/>
        </w:rPr>
        <w:t>。</w:t>
      </w:r>
      <w:r>
        <w:t>引导各类业态退城入园，进入专业市场</w:t>
      </w:r>
      <w:r>
        <w:rPr>
          <w:rFonts w:hint="eastAsia"/>
          <w:lang w:eastAsia="zh-CN"/>
        </w:rPr>
        <w:t>，</w:t>
      </w:r>
      <w:r>
        <w:t>原则上</w:t>
      </w:r>
      <w:r>
        <w:rPr>
          <w:rFonts w:hint="eastAsia"/>
          <w:lang w:val="en-US" w:eastAsia="zh-CN"/>
        </w:rPr>
        <w:t>县城商业中心范围内不再新增</w:t>
      </w:r>
      <w:r>
        <w:t>农产品批发、汽车、五金机电、家居建材等专业市场</w:t>
      </w:r>
      <w:r>
        <w:rPr>
          <w:rFonts w:hint="eastAsia"/>
          <w:lang w:eastAsia="zh-CN"/>
        </w:rPr>
        <w:t>；</w:t>
      </w:r>
      <w:r>
        <w:rPr>
          <w:rFonts w:hint="eastAsia"/>
        </w:rPr>
        <w:t>提升改造现有</w:t>
      </w:r>
      <w:r>
        <w:rPr>
          <w:rFonts w:hint="eastAsia"/>
          <w:lang w:val="en-US" w:eastAsia="zh-CN"/>
        </w:rPr>
        <w:t>农贸批发市场</w:t>
      </w:r>
      <w:r>
        <w:rPr>
          <w:rFonts w:hint="eastAsia"/>
        </w:rPr>
        <w:t>、</w:t>
      </w:r>
      <w:r>
        <w:rPr>
          <w:rFonts w:hint="eastAsia"/>
          <w:lang w:val="en-US" w:eastAsia="zh-CN"/>
        </w:rPr>
        <w:t>乡镇农贸市场，</w:t>
      </w:r>
      <w:r>
        <w:rPr>
          <w:rFonts w:hint="eastAsia"/>
        </w:rPr>
        <w:t>配套完善的公共服务设施</w:t>
      </w:r>
      <w:r>
        <w:rPr>
          <w:rFonts w:hint="eastAsia"/>
          <w:lang w:eastAsia="zh-CN"/>
        </w:rPr>
        <w:t>；</w:t>
      </w:r>
      <w:r>
        <w:rPr>
          <w:rFonts w:hint="eastAsia"/>
        </w:rPr>
        <w:t>促进各专业交易市场有序发展，建成区域性有影响力的商品交易市场。</w:t>
      </w:r>
    </w:p>
    <w:p>
      <w:pPr>
        <w:rPr>
          <w:rFonts w:hint="eastAsia"/>
          <w:lang w:eastAsia="zh-CN"/>
        </w:rPr>
      </w:pPr>
    </w:p>
    <w:p>
      <w:pPr>
        <w:rPr>
          <w:rFonts w:hint="eastAsia"/>
          <w:lang w:eastAsia="zh-CN"/>
        </w:rPr>
      </w:pPr>
    </w:p>
    <w:p>
      <w:pPr>
        <w:spacing w:before="0" w:after="0"/>
        <w:ind w:firstLine="643"/>
        <w:jc w:val="center"/>
        <w:rPr>
          <w:rFonts w:hint="default" w:ascii="黑体" w:hAnsi="黑体" w:eastAsia="黑体" w:cs="黑体"/>
          <w:sz w:val="24"/>
          <w:szCs w:val="24"/>
          <w:lang w:val="en-US" w:eastAsia="zh-CN"/>
        </w:rPr>
      </w:pPr>
      <w:r>
        <w:rPr>
          <w:rFonts w:hint="eastAsia" w:eastAsia="仿宋_GB2312"/>
          <w:lang w:eastAsia="zh-CN"/>
        </w:rPr>
        <w:drawing>
          <wp:anchor distT="0" distB="0" distL="114300" distR="114300" simplePos="0" relativeHeight="251668480" behindDoc="0" locked="0" layoutInCell="1" allowOverlap="1">
            <wp:simplePos x="0" y="0"/>
            <wp:positionH relativeFrom="column">
              <wp:posOffset>-107950</wp:posOffset>
            </wp:positionH>
            <wp:positionV relativeFrom="paragraph">
              <wp:posOffset>-86360</wp:posOffset>
            </wp:positionV>
            <wp:extent cx="5499100" cy="3825240"/>
            <wp:effectExtent l="0" t="0" r="0" b="10160"/>
            <wp:wrapTopAndBottom/>
            <wp:docPr id="6" name="图片 6" descr="49bc1fd8e0d5c12d95f9586dd8b81e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49bc1fd8e0d5c12d95f9586dd8b81ef"/>
                    <pic:cNvPicPr>
                      <a:picLocks noChangeAspect="1"/>
                    </pic:cNvPicPr>
                  </pic:nvPicPr>
                  <pic:blipFill>
                    <a:blip r:embed="rId22"/>
                    <a:stretch>
                      <a:fillRect/>
                    </a:stretch>
                  </pic:blipFill>
                  <pic:spPr>
                    <a:xfrm>
                      <a:off x="0" y="0"/>
                      <a:ext cx="5499100" cy="3825240"/>
                    </a:xfrm>
                    <a:prstGeom prst="rect">
                      <a:avLst/>
                    </a:prstGeom>
                  </pic:spPr>
                </pic:pic>
              </a:graphicData>
            </a:graphic>
          </wp:anchor>
        </w:drawing>
      </w:r>
      <w:bookmarkStart w:id="202" w:name="_Toc28000"/>
      <w:bookmarkStart w:id="203" w:name="_Toc18048"/>
      <w:r>
        <w:rPr>
          <w:rFonts w:hint="eastAsia" w:ascii="黑体" w:hAnsi="黑体" w:eastAsia="黑体" w:cs="黑体"/>
          <w:sz w:val="24"/>
          <w:szCs w:val="24"/>
          <w:lang w:val="en-US" w:eastAsia="zh-CN"/>
        </w:rPr>
        <w:t>图8 商品交易市场及其他配套商业规划布局图</w:t>
      </w:r>
    </w:p>
    <w:p>
      <w:pPr>
        <w:pStyle w:val="2"/>
        <w:spacing w:before="156" w:after="156"/>
        <w:ind w:firstLine="643"/>
      </w:pPr>
      <w:bookmarkStart w:id="204" w:name="_Toc8771"/>
      <w:r>
        <w:rPr>
          <w:rFonts w:hint="eastAsia"/>
        </w:rPr>
        <w:t>（一）商品交易市场</w:t>
      </w:r>
      <w:bookmarkEnd w:id="201"/>
      <w:bookmarkEnd w:id="202"/>
      <w:bookmarkEnd w:id="203"/>
      <w:bookmarkEnd w:id="204"/>
    </w:p>
    <w:p>
      <w:pPr>
        <w:pStyle w:val="4"/>
        <w:bidi w:val="0"/>
        <w:rPr>
          <w:rFonts w:hint="eastAsia" w:ascii="仿宋_GB2312" w:hAnsi="仿宋_GB2312" w:eastAsia="仿宋_GB2312" w:cs="仿宋_GB2312"/>
        </w:rPr>
      </w:pPr>
      <w:bookmarkStart w:id="205" w:name="_Toc8884"/>
      <w:r>
        <w:rPr>
          <w:rFonts w:hint="eastAsia" w:ascii="仿宋_GB2312" w:hAnsi="仿宋_GB2312" w:eastAsia="仿宋_GB2312" w:cs="仿宋_GB2312"/>
          <w:lang w:val="en-US" w:eastAsia="zh-CN"/>
        </w:rPr>
        <w:t>1.</w:t>
      </w:r>
      <w:r>
        <w:rPr>
          <w:rFonts w:hint="eastAsia" w:ascii="仿宋_GB2312" w:hAnsi="仿宋_GB2312" w:eastAsia="仿宋_GB2312" w:cs="仿宋_GB2312"/>
        </w:rPr>
        <w:t>专业市场</w:t>
      </w:r>
    </w:p>
    <w:p>
      <w:pPr>
        <w:ind w:firstLine="640"/>
        <w:rPr>
          <w:rFonts w:hint="eastAsia" w:ascii="仿宋_GB2312" w:hAnsi="仿宋_GB2312" w:eastAsia="仿宋_GB2312" w:cs="仿宋_GB2312"/>
        </w:rPr>
      </w:pPr>
      <w:r>
        <w:rPr>
          <w:rFonts w:hint="eastAsia" w:ascii="仿宋_GB2312" w:hAnsi="仿宋_GB2312" w:eastAsia="仿宋_GB2312" w:cs="仿宋_GB2312"/>
        </w:rPr>
        <w:t>按照补齐需求、发展优势、结合趋势、调整布局的规划思路进行专业市场布局，规划期内，改造提升永昌建材城、</w:t>
      </w:r>
      <w:r>
        <w:rPr>
          <w:rFonts w:hint="eastAsia" w:ascii="仿宋_GB2312" w:hAnsi="仿宋_GB2312" w:eastAsia="仿宋_GB2312" w:cs="仿宋_GB2312"/>
          <w:lang w:val="en-US" w:eastAsia="zh-CN"/>
        </w:rPr>
        <w:t>羊绒集散城交易市场，新建同心县二手车交易市场、同心县粮油市场以及</w:t>
      </w:r>
      <w:r>
        <w:rPr>
          <w:rFonts w:hint="eastAsia" w:ascii="仿宋_GB2312" w:hAnsi="仿宋_GB2312" w:eastAsia="仿宋_GB2312" w:cs="仿宋_GB2312"/>
        </w:rPr>
        <w:t>预旺中药材市场。</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1</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永昌建材城</w:t>
      </w:r>
    </w:p>
    <w:p>
      <w:pPr>
        <w:rPr>
          <w:rFonts w:hint="eastAsia" w:ascii="仿宋_GB2312" w:hAnsi="仿宋_GB2312" w:eastAsia="仿宋_GB2312" w:cs="仿宋_GB2312"/>
          <w:b w:val="0"/>
          <w:bCs w:val="0"/>
        </w:rPr>
      </w:pPr>
      <w:r>
        <w:rPr>
          <w:rFonts w:hint="eastAsia" w:ascii="仿宋_GB2312" w:hAnsi="仿宋_GB2312" w:eastAsia="仿宋_GB2312" w:cs="仿宋_GB2312"/>
          <w:b w:val="0"/>
          <w:bCs w:val="0"/>
        </w:rPr>
        <w:t>区位：344国道与永安西路交汇处西北方向</w:t>
      </w:r>
    </w:p>
    <w:p>
      <w:pPr>
        <w:rPr>
          <w:rFonts w:hint="eastAsia" w:ascii="仿宋_GB2312" w:hAnsi="仿宋_GB2312" w:eastAsia="仿宋_GB2312" w:cs="仿宋_GB2312"/>
        </w:rPr>
      </w:pPr>
      <w:r>
        <w:rPr>
          <w:rFonts w:hint="eastAsia" w:ascii="仿宋_GB2312" w:hAnsi="仿宋_GB2312" w:eastAsia="仿宋_GB2312" w:cs="仿宋_GB2312"/>
          <w:b w:val="0"/>
          <w:bCs w:val="0"/>
        </w:rPr>
        <w:t>规划引导：</w:t>
      </w:r>
      <w:r>
        <w:rPr>
          <w:rFonts w:hint="eastAsia" w:ascii="仿宋_GB2312" w:hAnsi="仿宋_GB2312" w:eastAsia="仿宋_GB2312" w:cs="仿宋_GB2312"/>
        </w:rPr>
        <w:t>规划期内，对永昌建材城现有基础设施进行升级改造，充分发挥永昌建材城影响力作用；将县域内建材家装商家引导进入永昌建材城，统一进行规范管理。鼓励市场管理方加强市场品牌注册、经营、管理与宣传，同时加快完善周边道路交通配套，提升市场集群的吸引力。</w:t>
      </w:r>
    </w:p>
    <w:p>
      <w:pPr>
        <w:rPr>
          <w:rFonts w:hint="eastAsia"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（2）同心商城</w:t>
      </w:r>
    </w:p>
    <w:p>
      <w:pPr>
        <w:bidi w:val="0"/>
        <w:rPr>
          <w:rFonts w:hint="eastAsia" w:ascii="仿宋_GB2312" w:hAnsi="仿宋_GB2312" w:eastAsia="仿宋_GB2312" w:cs="仿宋_GB2312"/>
          <w:b w:val="0"/>
          <w:bCs w:val="0"/>
          <w:lang w:val="en-US" w:eastAsia="zh-CN"/>
        </w:rPr>
      </w:pPr>
      <w:r>
        <w:rPr>
          <w:rFonts w:hint="eastAsia" w:ascii="仿宋_GB2312" w:hAnsi="仿宋_GB2312" w:eastAsia="仿宋_GB2312" w:cs="仿宋_GB2312"/>
          <w:b w:val="0"/>
          <w:bCs w:val="0"/>
          <w:lang w:val="en-US" w:eastAsia="zh-CN"/>
        </w:rPr>
        <w:t>区位：团结南街与银平东街交叉路口东北方向</w:t>
      </w:r>
    </w:p>
    <w:p>
      <w:pPr>
        <w:bidi w:val="0"/>
        <w:rPr>
          <w:rFonts w:hint="eastAsia" w:ascii="仿宋_GB2312" w:hAnsi="仿宋_GB2312" w:eastAsia="仿宋_GB2312" w:cs="仿宋_GB2312"/>
          <w:b w:val="0"/>
          <w:bCs w:val="0"/>
          <w:lang w:val="en-US" w:eastAsia="zh-CN"/>
        </w:rPr>
      </w:pPr>
      <w:r>
        <w:rPr>
          <w:rFonts w:hint="eastAsia" w:ascii="仿宋_GB2312" w:hAnsi="仿宋_GB2312" w:eastAsia="仿宋_GB2312" w:cs="仿宋_GB2312"/>
          <w:b w:val="0"/>
          <w:bCs w:val="0"/>
          <w:lang w:val="en-US" w:eastAsia="zh-CN"/>
        </w:rPr>
        <w:t>规划引导：规划期内，改造提升商城内消防、给排水、供电、监控等基础设施，优化商品种类，按服装、小商品、农副产品、牛羊肉等商品种类，设置交易区，形成以小商品交易、农副产品交易、牛羊交易和家禽交易的专业活畜交易市场的综合性市场。</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3</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二手车市场</w:t>
      </w:r>
    </w:p>
    <w:p>
      <w:pPr>
        <w:rPr>
          <w:rFonts w:hint="eastAsia" w:ascii="仿宋_GB2312" w:hAnsi="仿宋_GB2312" w:eastAsia="仿宋_GB2312" w:cs="仿宋_GB2312"/>
          <w:b w:val="0"/>
          <w:bCs w:val="0"/>
          <w:lang w:val="en-US" w:eastAsia="zh-CN"/>
        </w:rPr>
      </w:pPr>
      <w:r>
        <w:rPr>
          <w:rFonts w:hint="eastAsia" w:ascii="仿宋_GB2312" w:hAnsi="仿宋_GB2312" w:eastAsia="仿宋_GB2312" w:cs="仿宋_GB2312"/>
          <w:b w:val="0"/>
          <w:bCs w:val="0"/>
        </w:rPr>
        <w:t>区位：</w:t>
      </w:r>
      <w:r>
        <w:rPr>
          <w:rFonts w:hint="eastAsia" w:ascii="仿宋_GB2312" w:hAnsi="仿宋_GB2312" w:cs="仿宋_GB2312"/>
          <w:b w:val="0"/>
          <w:bCs w:val="0"/>
          <w:highlight w:val="none"/>
          <w:lang w:val="en-US" w:eastAsia="zh-CN"/>
        </w:rPr>
        <w:t>选址位于红军路，同心县公安局交通警察大队五小车辆管理所对面</w:t>
      </w:r>
      <w:r>
        <w:rPr>
          <w:rFonts w:hint="eastAsia" w:ascii="仿宋_GB2312" w:hAnsi="仿宋_GB2312" w:eastAsia="仿宋_GB2312" w:cs="仿宋_GB2312"/>
          <w:b w:val="0"/>
          <w:bCs w:val="0"/>
          <w:highlight w:val="none"/>
          <w:lang w:val="en-US" w:eastAsia="zh-CN"/>
        </w:rPr>
        <w:t>。</w:t>
      </w:r>
    </w:p>
    <w:p>
      <w:pPr>
        <w:rPr>
          <w:rFonts w:hint="eastAsia" w:ascii="仿宋_GB2312" w:hAnsi="仿宋_GB2312" w:eastAsia="仿宋_GB2312" w:cs="仿宋_GB2312"/>
        </w:rPr>
      </w:pPr>
      <w:r>
        <w:rPr>
          <w:rFonts w:hint="eastAsia" w:ascii="仿宋_GB2312" w:hAnsi="仿宋_GB2312" w:eastAsia="仿宋_GB2312" w:cs="仿宋_GB2312"/>
          <w:b w:val="0"/>
          <w:bCs w:val="0"/>
        </w:rPr>
        <w:t>规划引导：</w:t>
      </w:r>
      <w:r>
        <w:rPr>
          <w:rFonts w:hint="eastAsia" w:ascii="仿宋_GB2312" w:hAnsi="仿宋_GB2312" w:eastAsia="仿宋_GB2312" w:cs="仿宋_GB2312"/>
        </w:rPr>
        <w:t>新建汽车、摩托车及零配件市场，以汽车后市场为发展思路，发展新车销售、二手车销售、4s 店、汽车零配件销售、汽车内饰销售等业态，形成同心县汽车类交易集中区，引导同心县二手车交易、汽车后市场交易在此集中发展。</w:t>
      </w:r>
    </w:p>
    <w:p>
      <w:pPr>
        <w:rPr>
          <w:rFonts w:hint="eastAsia"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（4）羊绒集散交易市场</w:t>
      </w:r>
    </w:p>
    <w:p>
      <w:pPr>
        <w:rPr>
          <w:rFonts w:hint="eastAsia" w:ascii="仿宋_GB2312" w:hAnsi="仿宋_GB2312" w:eastAsia="仿宋_GB2312" w:cs="仿宋_GB2312"/>
          <w:b w:val="0"/>
          <w:bCs w:val="0"/>
          <w:lang w:val="en-US" w:eastAsia="zh-CN"/>
        </w:rPr>
      </w:pPr>
      <w:r>
        <w:rPr>
          <w:rFonts w:hint="eastAsia" w:ascii="仿宋_GB2312" w:hAnsi="仿宋_GB2312" w:eastAsia="仿宋_GB2312" w:cs="仿宋_GB2312"/>
          <w:b w:val="0"/>
          <w:bCs w:val="0"/>
        </w:rPr>
        <w:t>区位：</w:t>
      </w:r>
      <w:r>
        <w:rPr>
          <w:rFonts w:hint="eastAsia" w:ascii="仿宋_GB2312" w:hAnsi="仿宋_GB2312" w:eastAsia="仿宋_GB2312" w:cs="仿宋_GB2312"/>
          <w:b w:val="0"/>
          <w:bCs w:val="0"/>
          <w:lang w:val="en-US" w:eastAsia="zh-CN"/>
        </w:rPr>
        <w:t>位于三水大道与同土线交汇处</w:t>
      </w:r>
    </w:p>
    <w:p>
      <w:pPr>
        <w:bidi w:val="0"/>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b w:val="0"/>
          <w:bCs w:val="0"/>
        </w:rPr>
        <w:t>规划引导：</w:t>
      </w:r>
      <w:r>
        <w:rPr>
          <w:rFonts w:hint="eastAsia" w:ascii="仿宋_GB2312" w:hAnsi="仿宋_GB2312" w:eastAsia="仿宋_GB2312" w:cs="仿宋_GB2312"/>
          <w:sz w:val="32"/>
          <w:lang w:val="en-US" w:eastAsia="zh-CN"/>
        </w:rPr>
        <w:t>以羊绒产业为基础，升级改造羊绒生产加工区、羊绒仓储区、羊绒产成品仓储区等功能区，整合周边企业资源，建立商品展示销售区，重点发展羊绒仓储、采购、加工、</w:t>
      </w:r>
      <w:r>
        <w:rPr>
          <w:rFonts w:hint="eastAsia" w:ascii="仿宋_GB2312" w:hAnsi="仿宋_GB2312" w:cs="仿宋_GB2312"/>
          <w:sz w:val="32"/>
          <w:lang w:val="en-US" w:eastAsia="zh-Hans"/>
        </w:rPr>
        <w:t>产</w:t>
      </w:r>
      <w:r>
        <w:rPr>
          <w:rFonts w:hint="eastAsia" w:ascii="仿宋_GB2312" w:hAnsi="仿宋_GB2312" w:eastAsia="仿宋_GB2312" w:cs="仿宋_GB2312"/>
          <w:sz w:val="32"/>
          <w:lang w:val="en-US" w:eastAsia="zh-CN"/>
        </w:rPr>
        <w:t>品展示等功能性业务，并拓展金融贸易、信用保险等相关功能，形成集羊绒仓储、加工、贸易、集散配送等功能于一体的羊绒集散城交易市场。</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cs="仿宋_GB2312"/>
          <w:b/>
          <w:bCs/>
          <w:lang w:val="en-US" w:eastAsia="zh-CN"/>
        </w:rPr>
        <w:t>5</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预旺中药材市场</w:t>
      </w:r>
    </w:p>
    <w:p>
      <w:pPr>
        <w:rPr>
          <w:rFonts w:hint="eastAsia" w:ascii="仿宋_GB2312" w:hAnsi="仿宋_GB2312" w:eastAsia="仿宋_GB2312" w:cs="仿宋_GB2312"/>
          <w:b w:val="0"/>
          <w:bCs w:val="0"/>
          <w:lang w:eastAsia="zh-CN"/>
        </w:rPr>
      </w:pPr>
      <w:r>
        <w:rPr>
          <w:rFonts w:hint="eastAsia" w:ascii="仿宋_GB2312" w:hAnsi="仿宋_GB2312" w:eastAsia="仿宋_GB2312" w:cs="仿宋_GB2312"/>
          <w:b w:val="0"/>
          <w:bCs w:val="0"/>
        </w:rPr>
        <w:t>区位：位于同心县预旺镇（原预旺八一小学院内）</w:t>
      </w:r>
      <w:r>
        <w:rPr>
          <w:rFonts w:hint="eastAsia" w:ascii="仿宋_GB2312" w:hAnsi="仿宋_GB2312" w:eastAsia="仿宋_GB2312" w:cs="仿宋_GB2312"/>
          <w:b w:val="0"/>
          <w:bCs w:val="0"/>
          <w:lang w:eastAsia="zh-CN"/>
        </w:rPr>
        <w:t>。</w:t>
      </w:r>
    </w:p>
    <w:p>
      <w:pPr>
        <w:rPr>
          <w:rFonts w:hint="eastAsia" w:ascii="仿宋_GB2312" w:hAnsi="仿宋_GB2312" w:eastAsia="仿宋_GB2312" w:cs="仿宋_GB2312"/>
        </w:rPr>
      </w:pPr>
      <w:r>
        <w:rPr>
          <w:rFonts w:hint="eastAsia" w:ascii="仿宋_GB2312" w:hAnsi="仿宋_GB2312" w:eastAsia="仿宋_GB2312" w:cs="仿宋_GB2312"/>
          <w:b w:val="0"/>
          <w:bCs w:val="0"/>
        </w:rPr>
        <w:t>规划引导：</w:t>
      </w:r>
      <w:r>
        <w:rPr>
          <w:rFonts w:hint="eastAsia" w:ascii="仿宋_GB2312" w:hAnsi="仿宋_GB2312" w:eastAsia="仿宋_GB2312" w:cs="仿宋_GB2312"/>
        </w:rPr>
        <w:t>规划期内</w:t>
      </w:r>
      <w:r>
        <w:rPr>
          <w:rFonts w:hint="eastAsia" w:ascii="仿宋_GB2312" w:hAnsi="仿宋_GB2312" w:eastAsia="仿宋_GB2312" w:cs="仿宋_GB2312"/>
          <w:lang w:eastAsia="zh-CN"/>
        </w:rPr>
        <w:t>，</w:t>
      </w:r>
      <w:r>
        <w:rPr>
          <w:rFonts w:hint="eastAsia" w:ascii="仿宋_GB2312" w:hAnsi="仿宋_GB2312" w:eastAsia="仿宋_GB2312" w:cs="仿宋_GB2312"/>
        </w:rPr>
        <w:t>建设集收购、初加工、检测、销售于一体的具备现代化交易手段的、能提供完善市场交易服务的、符合现代市场经济要求的同心服务全国的中药材流通服务中心，发挥连接城乡、沟通产销、造福百姓的桥梁纽带作用，推动同心县中药材、枸杞等优势特色农产品的规模化、产业化发展和走向全国。</w:t>
      </w:r>
    </w:p>
    <w:p>
      <w:pPr>
        <w:pStyle w:val="4"/>
        <w:bidi w:val="0"/>
        <w:rPr>
          <w:rFonts w:hint="eastAsia" w:ascii="仿宋_GB2312" w:hAnsi="仿宋_GB2312" w:eastAsia="仿宋_GB2312" w:cs="仿宋_GB2312"/>
        </w:rPr>
      </w:pPr>
      <w:r>
        <w:rPr>
          <w:rFonts w:hint="eastAsia" w:ascii="仿宋_GB2312" w:hAnsi="仿宋_GB2312" w:eastAsia="仿宋_GB2312" w:cs="仿宋_GB2312"/>
          <w:lang w:val="en-US" w:eastAsia="zh-CN"/>
        </w:rPr>
        <w:t>2.</w:t>
      </w:r>
      <w:r>
        <w:rPr>
          <w:rFonts w:hint="eastAsia" w:ascii="仿宋_GB2312" w:hAnsi="仿宋_GB2312" w:eastAsia="仿宋_GB2312" w:cs="仿宋_GB2312"/>
        </w:rPr>
        <w:t>农贸市场</w:t>
      </w:r>
      <w:bookmarkEnd w:id="205"/>
    </w:p>
    <w:p>
      <w:pPr>
        <w:ind w:firstLine="640"/>
        <w:rPr>
          <w:rFonts w:hint="eastAsia" w:ascii="仿宋_GB2312" w:hAnsi="仿宋_GB2312" w:eastAsia="仿宋_GB2312" w:cs="仿宋_GB2312"/>
        </w:rPr>
      </w:pPr>
      <w:r>
        <w:rPr>
          <w:rFonts w:hint="eastAsia" w:ascii="仿宋_GB2312" w:hAnsi="仿宋_GB2312" w:eastAsia="仿宋_GB2312" w:cs="仿宋_GB2312"/>
        </w:rPr>
        <w:t>规划期内按照“整合存量、控制增量、按需配置、服务于民”的原则，优化农贸市场网点布局，不断适应城镇化发展和城乡居民对“菜篮子”需求，建设以农贸市场为基础的具有区域辐射能力，服务覆盖城乡、便于使用、公益与效益相协调的市场流通体系。规划期内，继续完善四季鲜农产品综合批发市场功能和管理水平。改造提升</w:t>
      </w:r>
      <w:r>
        <w:rPr>
          <w:rFonts w:hint="eastAsia" w:ascii="仿宋_GB2312" w:hAnsi="仿宋_GB2312" w:eastAsia="仿宋_GB2312" w:cs="仿宋_GB2312"/>
          <w:lang w:val="en-US" w:eastAsia="zh-CN"/>
        </w:rPr>
        <w:t>1</w:t>
      </w:r>
      <w:r>
        <w:rPr>
          <w:rFonts w:hint="eastAsia" w:ascii="仿宋_GB2312" w:hAnsi="仿宋_GB2312" w:eastAsia="仿宋_GB2312" w:cs="仿宋_GB2312"/>
        </w:rPr>
        <w:t>个农贸市场，改造提升5个乡镇农贸市场。</w:t>
      </w:r>
    </w:p>
    <w:p>
      <w:pPr>
        <w:rPr>
          <w:rFonts w:hint="eastAsia" w:ascii="仿宋_GB2312" w:hAnsi="仿宋_GB2312" w:eastAsia="仿宋_GB2312" w:cs="仿宋_GB2312"/>
          <w:b/>
          <w:bCs/>
        </w:rPr>
      </w:pPr>
      <w:r>
        <w:rPr>
          <w:rFonts w:hint="eastAsia" w:ascii="仿宋_GB2312" w:hAnsi="仿宋_GB2312" w:eastAsia="仿宋_GB2312" w:cs="仿宋_GB2312"/>
          <w:b/>
          <w:bCs/>
          <w:lang w:eastAsia="zh-CN"/>
        </w:rPr>
        <w:t>（</w:t>
      </w:r>
      <w:r>
        <w:rPr>
          <w:rFonts w:hint="eastAsia" w:ascii="仿宋_GB2312" w:hAnsi="仿宋_GB2312" w:eastAsia="仿宋_GB2312" w:cs="仿宋_GB2312"/>
          <w:b/>
          <w:bCs/>
          <w:lang w:val="en-US" w:eastAsia="zh-CN"/>
        </w:rPr>
        <w:t>1</w:t>
      </w:r>
      <w:r>
        <w:rPr>
          <w:rFonts w:hint="eastAsia" w:ascii="仿宋_GB2312" w:hAnsi="仿宋_GB2312" w:eastAsia="仿宋_GB2312" w:cs="仿宋_GB2312"/>
          <w:b/>
          <w:bCs/>
          <w:lang w:eastAsia="zh-CN"/>
        </w:rPr>
        <w:t>）</w:t>
      </w:r>
      <w:r>
        <w:rPr>
          <w:rFonts w:hint="eastAsia" w:ascii="仿宋_GB2312" w:hAnsi="仿宋_GB2312" w:eastAsia="仿宋_GB2312" w:cs="仿宋_GB2312"/>
          <w:b/>
          <w:bCs/>
        </w:rPr>
        <w:t>清水湾农贸市场</w:t>
      </w:r>
    </w:p>
    <w:p>
      <w:pPr>
        <w:rPr>
          <w:rFonts w:hint="eastAsia" w:ascii="仿宋_GB2312" w:hAnsi="仿宋_GB2312" w:eastAsia="仿宋_GB2312" w:cs="仿宋_GB2312"/>
          <w:b w:val="0"/>
          <w:bCs w:val="0"/>
        </w:rPr>
      </w:pPr>
      <w:r>
        <w:rPr>
          <w:rFonts w:hint="eastAsia" w:ascii="仿宋_GB2312" w:hAnsi="仿宋_GB2312" w:eastAsia="仿宋_GB2312" w:cs="仿宋_GB2312"/>
          <w:b w:val="0"/>
          <w:bCs w:val="0"/>
        </w:rPr>
        <w:t>区位：同心县豫海镇永安西路</w:t>
      </w:r>
    </w:p>
    <w:p>
      <w:pPr>
        <w:rPr>
          <w:rFonts w:hint="eastAsia" w:ascii="仿宋_GB2312" w:hAnsi="仿宋_GB2312" w:eastAsia="仿宋_GB2312" w:cs="仿宋_GB2312"/>
        </w:rPr>
      </w:pPr>
      <w:r>
        <w:rPr>
          <w:rFonts w:hint="eastAsia" w:ascii="仿宋_GB2312" w:hAnsi="仿宋_GB2312" w:eastAsia="仿宋_GB2312" w:cs="仿宋_GB2312"/>
          <w:b w:val="0"/>
          <w:bCs w:val="0"/>
        </w:rPr>
        <w:t>规划引导：</w:t>
      </w:r>
      <w:r>
        <w:rPr>
          <w:rFonts w:hint="eastAsia" w:ascii="仿宋_GB2312" w:hAnsi="仿宋_GB2312" w:eastAsia="仿宋_GB2312" w:cs="仿宋_GB2312"/>
        </w:rPr>
        <w:t>结合县域农产品市场发展需求及趋势，升级改造清水湾农贸市场，提升蔬菜水果、干果、调味品、粮油区等交易区及其他配套设施功能，支持配套建设仓储用房、冷库等设施，鼓励市场管理主体建设信息化平台，打造集产品信息交换、产品展示、产品交货于一体的专业农产品批发市场，保障城乡农副产品供应和流通。</w:t>
      </w:r>
    </w:p>
    <w:p>
      <w:pPr>
        <w:rPr>
          <w:rFonts w:hint="eastAsia" w:ascii="仿宋_GB2312" w:hAnsi="仿宋_GB2312" w:eastAsia="仿宋_GB2312" w:cs="仿宋_GB2312"/>
          <w:b/>
          <w:bCs/>
        </w:rPr>
      </w:pPr>
      <w:r>
        <w:rPr>
          <w:rFonts w:hint="eastAsia" w:ascii="仿宋_GB2312" w:hAnsi="仿宋_GB2312" w:eastAsia="仿宋_GB2312" w:cs="仿宋_GB2312"/>
          <w:b/>
          <w:bCs/>
          <w:lang w:val="en-US" w:eastAsia="zh-CN"/>
        </w:rPr>
        <w:t>（2）</w:t>
      </w:r>
      <w:r>
        <w:rPr>
          <w:rFonts w:hint="eastAsia" w:ascii="仿宋_GB2312" w:hAnsi="仿宋_GB2312" w:eastAsia="仿宋_GB2312" w:cs="仿宋_GB2312"/>
          <w:b/>
          <w:bCs/>
        </w:rPr>
        <w:t>乡镇农贸市场</w:t>
      </w:r>
    </w:p>
    <w:p>
      <w:pPr>
        <w:ind w:firstLine="640"/>
        <w:rPr>
          <w:rFonts w:hint="eastAsia" w:ascii="仿宋_GB2312" w:hAnsi="仿宋_GB2312" w:eastAsia="仿宋_GB2312" w:cs="仿宋_GB2312"/>
        </w:rPr>
      </w:pPr>
      <w:r>
        <w:rPr>
          <w:rFonts w:hint="eastAsia" w:ascii="仿宋_GB2312" w:hAnsi="仿宋_GB2312" w:eastAsia="仿宋_GB2312" w:cs="仿宋_GB2312"/>
        </w:rPr>
        <w:t>乡镇集贸市场是指在县城以外建制镇、乡和村庄的行政辖区范围内，为满足居民日常生活需求，主要用于各类农产品、农副产品、日用百货等现货商品，定期或长期进行商品交易的场所，不包括批发市场。规划期内，改造提升现有下马关、预旺、王团等5个乡镇集贸市场。老旧集贸市场应结合环境卫生、购物</w:t>
      </w:r>
      <w:r>
        <w:rPr>
          <w:rFonts w:hint="eastAsia" w:ascii="仿宋_GB2312" w:hAnsi="仿宋_GB2312" w:cs="仿宋_GB2312"/>
          <w:lang w:val="en-US" w:eastAsia="zh-CN"/>
        </w:rPr>
        <w:t>环境</w:t>
      </w:r>
      <w:r>
        <w:rPr>
          <w:rFonts w:hint="eastAsia" w:ascii="仿宋_GB2312" w:hAnsi="仿宋_GB2312" w:eastAsia="仿宋_GB2312" w:cs="仿宋_GB2312"/>
        </w:rPr>
        <w:t>、现代物流和电子商务要求，加固建筑结构，改善环境质量，完善市场功能，解决交通拥堵，促进集贸市场有机更新。加强乡镇集贸市场地面硬化、厅棚、道路系统及消防设施、停车设施、服务设施改造升级，建设完善无障碍设施设备，尽快消除马路市场。对食品、服装、日用品、农资等销售合理分区。鼓励设立公益性农产品销售区，为农民自产农副产品交易提供便利。根据市场需求，引入小家电、小百货、餐饮、修理等业态，把乡镇集贸市场打造成为农村居民日常消费和社交重要场所。</w:t>
      </w:r>
    </w:p>
    <w:p>
      <w:pPr>
        <w:ind w:firstLine="560"/>
        <w:jc w:val="center"/>
        <w:rPr>
          <w:rFonts w:hint="eastAsia" w:ascii="黑体" w:hAnsi="黑体" w:eastAsia="黑体" w:cs="黑体"/>
          <w:sz w:val="24"/>
          <w:szCs w:val="24"/>
        </w:rPr>
      </w:pPr>
      <w:r>
        <w:rPr>
          <w:rFonts w:hint="eastAsia" w:ascii="黑体" w:hAnsi="黑体" w:eastAsia="黑体" w:cs="黑体"/>
          <w:sz w:val="24"/>
          <w:szCs w:val="24"/>
        </w:rPr>
        <w:t>表1</w:t>
      </w:r>
      <w:r>
        <w:rPr>
          <w:rFonts w:hint="eastAsia" w:ascii="黑体" w:hAnsi="黑体" w:eastAsia="黑体" w:cs="黑体"/>
          <w:sz w:val="24"/>
          <w:szCs w:val="24"/>
          <w:lang w:val="en-US" w:eastAsia="zh-CN"/>
        </w:rPr>
        <w:t>1</w:t>
      </w:r>
      <w:r>
        <w:rPr>
          <w:rFonts w:hint="eastAsia" w:ascii="黑体" w:hAnsi="黑体" w:eastAsia="黑体" w:cs="黑体"/>
          <w:sz w:val="24"/>
          <w:szCs w:val="24"/>
        </w:rPr>
        <w:t xml:space="preserve"> 改造提升乡镇集贸市场一览表</w:t>
      </w:r>
    </w:p>
    <w:tbl>
      <w:tblPr>
        <w:tblStyle w:val="2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9"/>
        <w:gridCol w:w="2504"/>
        <w:gridCol w:w="2193"/>
        <w:gridCol w:w="1995"/>
        <w:gridCol w:w="13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7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序号</w:t>
            </w:r>
          </w:p>
        </w:tc>
        <w:tc>
          <w:tcPr>
            <w:tcW w:w="1406"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市场名称</w:t>
            </w:r>
          </w:p>
        </w:tc>
        <w:tc>
          <w:tcPr>
            <w:tcW w:w="1231" w:type="pct"/>
            <w:shd w:val="clear" w:color="auto" w:fill="auto"/>
            <w:noWrap/>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地址</w:t>
            </w:r>
          </w:p>
        </w:tc>
        <w:tc>
          <w:tcPr>
            <w:tcW w:w="112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经营面积（万m2）</w:t>
            </w:r>
          </w:p>
        </w:tc>
        <w:tc>
          <w:tcPr>
            <w:tcW w:w="769"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建设形势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7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1406"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下马关镇农贸市场</w:t>
            </w:r>
          </w:p>
        </w:tc>
        <w:tc>
          <w:tcPr>
            <w:tcW w:w="123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下马关镇西沟村</w:t>
            </w:r>
          </w:p>
        </w:tc>
        <w:tc>
          <w:tcPr>
            <w:tcW w:w="112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0.33 </w:t>
            </w:r>
          </w:p>
        </w:tc>
        <w:tc>
          <w:tcPr>
            <w:tcW w:w="769"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7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2</w:t>
            </w:r>
          </w:p>
        </w:tc>
        <w:tc>
          <w:tcPr>
            <w:tcW w:w="1406"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王团农贸市场</w:t>
            </w:r>
          </w:p>
        </w:tc>
        <w:tc>
          <w:tcPr>
            <w:tcW w:w="123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同心县王团镇南村</w:t>
            </w:r>
          </w:p>
        </w:tc>
        <w:tc>
          <w:tcPr>
            <w:tcW w:w="112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0.47 </w:t>
            </w:r>
          </w:p>
        </w:tc>
        <w:tc>
          <w:tcPr>
            <w:tcW w:w="769"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7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1</w:t>
            </w:r>
          </w:p>
        </w:tc>
        <w:tc>
          <w:tcPr>
            <w:tcW w:w="1406"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预旺镇农贸市场</w:t>
            </w:r>
          </w:p>
        </w:tc>
        <w:tc>
          <w:tcPr>
            <w:tcW w:w="123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预旺镇</w:t>
            </w:r>
          </w:p>
        </w:tc>
        <w:tc>
          <w:tcPr>
            <w:tcW w:w="112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0.45 </w:t>
            </w:r>
          </w:p>
        </w:tc>
        <w:tc>
          <w:tcPr>
            <w:tcW w:w="769"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7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4</w:t>
            </w:r>
          </w:p>
        </w:tc>
        <w:tc>
          <w:tcPr>
            <w:tcW w:w="1406"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河西镇农贸市场</w:t>
            </w:r>
          </w:p>
        </w:tc>
        <w:tc>
          <w:tcPr>
            <w:tcW w:w="123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河西镇人民政府 </w:t>
            </w:r>
          </w:p>
        </w:tc>
        <w:tc>
          <w:tcPr>
            <w:tcW w:w="112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5.00 </w:t>
            </w:r>
          </w:p>
        </w:tc>
        <w:tc>
          <w:tcPr>
            <w:tcW w:w="769"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7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5</w:t>
            </w:r>
          </w:p>
        </w:tc>
        <w:tc>
          <w:tcPr>
            <w:tcW w:w="1406"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韦州镇农贸市场</w:t>
            </w:r>
          </w:p>
        </w:tc>
        <w:tc>
          <w:tcPr>
            <w:tcW w:w="1231"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韦州镇</w:t>
            </w:r>
          </w:p>
        </w:tc>
        <w:tc>
          <w:tcPr>
            <w:tcW w:w="1120"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 xml:space="preserve">0.31 </w:t>
            </w:r>
          </w:p>
        </w:tc>
        <w:tc>
          <w:tcPr>
            <w:tcW w:w="769" w:type="pct"/>
            <w:shd w:val="clear" w:color="auto" w:fill="auto"/>
            <w:vAlign w:val="center"/>
          </w:tcPr>
          <w:p>
            <w:pPr>
              <w:snapToGrid w:val="0"/>
              <w:spacing w:line="400" w:lineRule="exact"/>
              <w:ind w:firstLine="0" w:firstLineChars="0"/>
              <w:jc w:val="center"/>
              <w:rPr>
                <w:rFonts w:ascii="宋体" w:hAnsi="宋体" w:eastAsia="宋体" w:cs="宋体"/>
                <w:sz w:val="21"/>
                <w:szCs w:val="21"/>
              </w:rPr>
            </w:pPr>
            <w:r>
              <w:rPr>
                <w:rFonts w:hint="eastAsia" w:ascii="宋体" w:hAnsi="宋体" w:eastAsia="宋体" w:cs="宋体"/>
                <w:sz w:val="21"/>
                <w:szCs w:val="21"/>
              </w:rPr>
              <w:t>改造提升</w:t>
            </w:r>
          </w:p>
        </w:tc>
      </w:tr>
    </w:tbl>
    <w:p>
      <w:pPr>
        <w:pStyle w:val="2"/>
        <w:spacing w:before="156" w:after="156"/>
        <w:ind w:firstLine="643"/>
      </w:pPr>
      <w:bookmarkStart w:id="206" w:name="_Toc95764834"/>
      <w:bookmarkStart w:id="207" w:name="_Toc5133"/>
      <w:bookmarkStart w:id="208" w:name="_Toc17231"/>
      <w:bookmarkStart w:id="209" w:name="_Toc28257"/>
      <w:r>
        <w:rPr>
          <w:rFonts w:hint="eastAsia"/>
        </w:rPr>
        <w:t>（</w:t>
      </w:r>
      <w:r>
        <w:rPr>
          <w:rFonts w:hint="eastAsia"/>
          <w:lang w:val="en-US" w:eastAsia="zh-CN"/>
        </w:rPr>
        <w:t>二</w:t>
      </w:r>
      <w:r>
        <w:rPr>
          <w:rFonts w:hint="eastAsia"/>
        </w:rPr>
        <w:t>）物流节点</w:t>
      </w:r>
      <w:bookmarkEnd w:id="206"/>
      <w:bookmarkEnd w:id="207"/>
      <w:bookmarkEnd w:id="208"/>
      <w:bookmarkEnd w:id="209"/>
    </w:p>
    <w:p>
      <w:pPr>
        <w:ind w:firstLine="640"/>
        <w:rPr>
          <w:rFonts w:hint="eastAsia" w:ascii="仿宋_GB2312" w:hAnsi="仿宋_GB2312" w:eastAsia="仿宋_GB2312" w:cs="仿宋_GB2312"/>
        </w:rPr>
      </w:pPr>
      <w:r>
        <w:rPr>
          <w:rFonts w:hint="eastAsia" w:ascii="仿宋_GB2312" w:hAnsi="仿宋_GB2312" w:eastAsia="仿宋_GB2312" w:cs="仿宋_GB2312"/>
        </w:rPr>
        <w:t xml:space="preserve">物流节点布局应充分考虑工业、农业及商业网点布局特点，依托优势资源，并与城市总体规划相衔接。既要靠近物流需求市场，有商品市场可依托，还要考虑物流经营成本，注重与交通位置可达性、城区用地规划等因素有效衔接与协调。根据同心县实际，坚持以市场和经济为导向，规划期内对同心县现有桃山综合物流园、华融物流中心等大型物流园区、物流中心等3个进行改造提升，新建同心县现代物流城，增强物流配套设施建设，提高同心县对周边地区的聚集辐射功能，最大限度降低物流成本，实现双向物流协调发展。 </w:t>
      </w:r>
    </w:p>
    <w:p>
      <w:pPr>
        <w:rPr>
          <w:rFonts w:hint="eastAsia" w:ascii="仿宋_GB2312" w:hAnsi="仿宋_GB2312" w:eastAsia="仿宋_GB2312" w:cs="仿宋_GB2312"/>
          <w:b/>
          <w:bCs/>
        </w:rPr>
      </w:pPr>
      <w:r>
        <w:rPr>
          <w:rFonts w:hint="eastAsia" w:ascii="仿宋_GB2312" w:hAnsi="仿宋_GB2312" w:eastAsia="仿宋_GB2312" w:cs="仿宋_GB2312"/>
          <w:b/>
          <w:bCs/>
        </w:rPr>
        <w:t>1.桃山综合物流园</w:t>
      </w:r>
    </w:p>
    <w:p>
      <w:pPr>
        <w:ind w:firstLine="640"/>
        <w:rPr>
          <w:rFonts w:hint="eastAsia" w:ascii="仿宋_GB2312" w:hAnsi="仿宋_GB2312" w:eastAsia="仿宋_GB2312" w:cs="仿宋_GB2312"/>
        </w:rPr>
      </w:pPr>
      <w:r>
        <w:rPr>
          <w:rFonts w:hint="eastAsia" w:ascii="仿宋_GB2312" w:hAnsi="仿宋_GB2312" w:eastAsia="仿宋_GB2312" w:cs="仿宋_GB2312"/>
        </w:rPr>
        <w:t>区位：位于同心县河西镇桃山村（G70福银高速北侧、G109国道和G344国道交汇处南侧）</w:t>
      </w:r>
    </w:p>
    <w:p>
      <w:pPr>
        <w:ind w:firstLine="640"/>
        <w:rPr>
          <w:rFonts w:hint="eastAsia" w:ascii="仿宋_GB2312" w:hAnsi="仿宋_GB2312" w:eastAsia="仿宋_GB2312" w:cs="仿宋_GB2312"/>
        </w:rPr>
      </w:pPr>
      <w:r>
        <w:rPr>
          <w:rFonts w:hint="eastAsia" w:ascii="仿宋_GB2312" w:hAnsi="仿宋_GB2312" w:eastAsia="仿宋_GB2312" w:cs="仿宋_GB2312"/>
        </w:rPr>
        <w:t>功能定位：根据同心县物流业发展需求，发挥桃山综合物流园交通资源优势，打造满足同心县物流需求，带动吴忠市、辐射全区的公路物流港。</w:t>
      </w:r>
    </w:p>
    <w:p>
      <w:pPr>
        <w:ind w:firstLine="640"/>
        <w:rPr>
          <w:rFonts w:hint="eastAsia" w:ascii="仿宋_GB2312" w:hAnsi="仿宋_GB2312" w:eastAsia="仿宋_GB2312" w:cs="仿宋_GB2312"/>
        </w:rPr>
      </w:pPr>
      <w:r>
        <w:rPr>
          <w:rFonts w:hint="eastAsia" w:ascii="仿宋_GB2312" w:hAnsi="仿宋_GB2312" w:eastAsia="仿宋_GB2312" w:cs="仿宋_GB2312"/>
        </w:rPr>
        <w:t>规划引导：发挥桃山综合物流园对同心县物流系统的重大基础性作用， 强化桃山综合物流园对同心县运行的服务保障功能。完善和提升</w:t>
      </w:r>
      <w:r>
        <w:rPr>
          <w:rFonts w:hint="eastAsia" w:ascii="仿宋_GB2312" w:hAnsi="仿宋_GB2312" w:eastAsia="仿宋_GB2312" w:cs="仿宋_GB2312"/>
          <w:bCs/>
          <w:kern w:val="0"/>
          <w:szCs w:val="32"/>
          <w:lang w:val="zh-CN"/>
        </w:rPr>
        <w:t>车辆服务区（含车辆配件、维修装潢、应急救援）、仓储物流区（含电商办公区、产品展示区、仓储物流、分拣配送中心、仓储冷链及气调库）</w:t>
      </w:r>
      <w:r>
        <w:rPr>
          <w:rFonts w:hint="eastAsia" w:ascii="仿宋_GB2312" w:hAnsi="仿宋_GB2312" w:eastAsia="仿宋_GB2312" w:cs="仿宋_GB2312"/>
        </w:rPr>
        <w:t xml:space="preserve">建设，借助344国道和109国道等的交通优势，提升完善物流园区功能。重点发展支撑同心县主导产业和商贸企业发展的供应链物流、支撑满足人民群众生活所需的快递物流、冷链物流等服务功能，对接和保障同心县城乡运行发展需要。 </w:t>
      </w:r>
    </w:p>
    <w:p>
      <w:pPr>
        <w:rPr>
          <w:rFonts w:hint="eastAsia" w:ascii="仿宋_GB2312" w:hAnsi="仿宋_GB2312" w:eastAsia="仿宋_GB2312" w:cs="仿宋_GB2312"/>
          <w:b/>
          <w:bCs/>
        </w:rPr>
      </w:pPr>
      <w:r>
        <w:rPr>
          <w:rFonts w:hint="eastAsia" w:ascii="仿宋_GB2312" w:hAnsi="仿宋_GB2312" w:eastAsia="仿宋_GB2312" w:cs="仿宋_GB2312"/>
          <w:b/>
          <w:bCs/>
          <w:lang w:val="en-US" w:eastAsia="zh-CN"/>
        </w:rPr>
        <w:t>2</w:t>
      </w:r>
      <w:r>
        <w:rPr>
          <w:rFonts w:hint="eastAsia" w:ascii="仿宋_GB2312" w:hAnsi="仿宋_GB2312" w:eastAsia="仿宋_GB2312" w:cs="仿宋_GB2312"/>
          <w:b/>
          <w:bCs/>
        </w:rPr>
        <w:t>.同心县</w:t>
      </w:r>
      <w:r>
        <w:rPr>
          <w:rFonts w:hint="eastAsia" w:ascii="仿宋_GB2312" w:hAnsi="仿宋_GB2312" w:cs="仿宋_GB2312"/>
          <w:b/>
          <w:bCs/>
          <w:lang w:val="en-US" w:eastAsia="zh-Hans"/>
        </w:rPr>
        <w:t>三级</w:t>
      </w:r>
      <w:r>
        <w:rPr>
          <w:rFonts w:hint="eastAsia" w:ascii="仿宋_GB2312" w:hAnsi="仿宋_GB2312" w:eastAsia="仿宋_GB2312" w:cs="仿宋_GB2312"/>
          <w:b/>
          <w:bCs/>
        </w:rPr>
        <w:t>物流</w:t>
      </w:r>
      <w:r>
        <w:rPr>
          <w:rFonts w:hint="eastAsia" w:ascii="仿宋_GB2312" w:hAnsi="仿宋_GB2312" w:cs="仿宋_GB2312"/>
          <w:b/>
          <w:bCs/>
          <w:lang w:val="en-US" w:eastAsia="zh-Hans"/>
        </w:rPr>
        <w:t>快递分拨</w:t>
      </w:r>
      <w:r>
        <w:rPr>
          <w:rFonts w:hint="eastAsia" w:ascii="仿宋_GB2312" w:hAnsi="仿宋_GB2312" w:eastAsia="仿宋_GB2312" w:cs="仿宋_GB2312"/>
          <w:b/>
          <w:bCs/>
        </w:rPr>
        <w:t>中心</w:t>
      </w:r>
    </w:p>
    <w:p>
      <w:pPr>
        <w:ind w:firstLine="640"/>
        <w:rPr>
          <w:rFonts w:hint="eastAsia" w:ascii="仿宋_GB2312" w:hAnsi="仿宋_GB2312" w:eastAsia="仿宋_GB2312" w:cs="仿宋_GB2312"/>
          <w:lang w:eastAsia="zh-CN"/>
        </w:rPr>
      </w:pPr>
      <w:r>
        <w:rPr>
          <w:rFonts w:hint="eastAsia" w:ascii="仿宋_GB2312" w:hAnsi="仿宋_GB2312" w:eastAsia="仿宋_GB2312" w:cs="仿宋_GB2312"/>
        </w:rPr>
        <w:t>区位：位于同心县工业园区</w:t>
      </w:r>
      <w:r>
        <w:rPr>
          <w:rFonts w:hint="eastAsia" w:ascii="仿宋_GB2312" w:hAnsi="仿宋_GB2312" w:eastAsia="仿宋_GB2312" w:cs="仿宋_GB2312"/>
          <w:lang w:eastAsia="zh-CN"/>
        </w:rPr>
        <w:t>。</w:t>
      </w:r>
    </w:p>
    <w:p>
      <w:pPr>
        <w:ind w:firstLine="640"/>
        <w:rPr>
          <w:rFonts w:hint="eastAsia" w:ascii="仿宋_GB2312" w:hAnsi="仿宋_GB2312" w:eastAsia="仿宋_GB2312" w:cs="仿宋_GB2312"/>
        </w:rPr>
      </w:pPr>
      <w:r>
        <w:rPr>
          <w:rFonts w:hint="eastAsia" w:ascii="仿宋_GB2312" w:hAnsi="仿宋_GB2312" w:eastAsia="仿宋_GB2312" w:cs="仿宋_GB2312"/>
        </w:rPr>
        <w:t>功能定位：依托同心县国家级电子商务进农村综合示范升级版项目，打造</w:t>
      </w:r>
      <w:r>
        <w:rPr>
          <w:rFonts w:hint="eastAsia" w:ascii="仿宋_GB2312" w:hAnsi="仿宋_GB2312" w:eastAsia="仿宋_GB2312" w:cs="仿宋_GB2312"/>
          <w:lang w:val="en-US" w:eastAsia="zh-CN"/>
        </w:rPr>
        <w:t>同心县</w:t>
      </w:r>
      <w:r>
        <w:rPr>
          <w:rFonts w:hint="eastAsia" w:ascii="仿宋_GB2312" w:hAnsi="仿宋_GB2312" w:eastAsia="仿宋_GB2312" w:cs="仿宋_GB2312"/>
        </w:rPr>
        <w:t>城乡物流</w:t>
      </w:r>
      <w:r>
        <w:rPr>
          <w:rFonts w:hint="eastAsia" w:ascii="仿宋_GB2312" w:hAnsi="仿宋_GB2312" w:cs="仿宋_GB2312"/>
          <w:lang w:val="en-US" w:eastAsia="zh-Hans"/>
        </w:rPr>
        <w:t>快递</w:t>
      </w:r>
      <w:r>
        <w:rPr>
          <w:rFonts w:hint="eastAsia" w:ascii="仿宋_GB2312" w:hAnsi="仿宋_GB2312" w:eastAsia="仿宋_GB2312" w:cs="仿宋_GB2312"/>
        </w:rPr>
        <w:t>分拨中心。</w:t>
      </w:r>
    </w:p>
    <w:p>
      <w:pPr>
        <w:bidi w:val="0"/>
        <w:rPr>
          <w:rFonts w:hint="eastAsia" w:ascii="仿宋_GB2312" w:hAnsi="仿宋_GB2312" w:eastAsia="仿宋_GB2312" w:cs="仿宋_GB2312"/>
        </w:rPr>
      </w:pPr>
      <w:r>
        <w:rPr>
          <w:rFonts w:hint="eastAsia" w:ascii="仿宋_GB2312" w:hAnsi="仿宋_GB2312" w:eastAsia="仿宋_GB2312" w:cs="仿宋_GB2312"/>
        </w:rPr>
        <w:t>规划引导：</w:t>
      </w:r>
      <w:r>
        <w:rPr>
          <w:rFonts w:hint="eastAsia" w:ascii="仿宋_GB2312" w:hAnsi="仿宋_GB2312" w:eastAsia="仿宋_GB2312" w:cs="仿宋_GB2312"/>
          <w:sz w:val="32"/>
        </w:rPr>
        <w:t>规划期</w:t>
      </w:r>
      <w:r>
        <w:rPr>
          <w:rFonts w:hint="eastAsia" w:ascii="仿宋_GB2312" w:hAnsi="仿宋_GB2312" w:eastAsia="仿宋_GB2312" w:cs="仿宋_GB2312"/>
          <w:sz w:val="32"/>
          <w:lang w:val="en-US" w:eastAsia="zh-CN"/>
        </w:rPr>
        <w:t>内，</w:t>
      </w:r>
      <w:r>
        <w:rPr>
          <w:rFonts w:hint="eastAsia" w:ascii="仿宋_GB2312" w:hAnsi="仿宋_GB2312" w:eastAsia="仿宋_GB2312" w:cs="仿宋_GB2312"/>
          <w:sz w:val="32"/>
        </w:rPr>
        <w:t>围绕县域主导产业和电商产业发展趋势，</w:t>
      </w:r>
      <w:r>
        <w:rPr>
          <w:rFonts w:hint="eastAsia" w:ascii="仿宋_GB2312" w:hAnsi="仿宋_GB2312" w:eastAsia="仿宋_GB2312" w:cs="仿宋_GB2312"/>
          <w:sz w:val="32"/>
          <w:lang w:val="en-US" w:eastAsia="zh-CN"/>
        </w:rPr>
        <w:t>引导邮政企业</w:t>
      </w:r>
      <w:r>
        <w:rPr>
          <w:rFonts w:hint="eastAsia" w:ascii="仿宋_GB2312" w:hAnsi="仿宋_GB2312" w:eastAsia="仿宋_GB2312" w:cs="仿宋_GB2312"/>
          <w:sz w:val="32"/>
        </w:rPr>
        <w:t>整合</w:t>
      </w:r>
      <w:r>
        <w:rPr>
          <w:rFonts w:hint="eastAsia" w:ascii="仿宋_GB2312" w:hAnsi="仿宋_GB2312" w:eastAsia="仿宋_GB2312" w:cs="仿宋_GB2312"/>
          <w:sz w:val="32"/>
          <w:lang w:val="en-US" w:eastAsia="zh-CN"/>
        </w:rPr>
        <w:t>同心县</w:t>
      </w:r>
      <w:r>
        <w:rPr>
          <w:rFonts w:hint="eastAsia" w:ascii="仿宋_GB2312" w:hAnsi="仿宋_GB2312" w:eastAsia="仿宋_GB2312" w:cs="仿宋_GB2312"/>
          <w:sz w:val="32"/>
        </w:rPr>
        <w:t>电子商务、物流信息服务功能，搭建</w:t>
      </w:r>
      <w:r>
        <w:rPr>
          <w:rFonts w:hint="eastAsia" w:ascii="仿宋_GB2312" w:hAnsi="仿宋_GB2312" w:eastAsia="仿宋_GB2312" w:cs="仿宋_GB2312"/>
          <w:sz w:val="32"/>
          <w:lang w:val="en-US" w:eastAsia="zh-CN"/>
        </w:rPr>
        <w:t>同心县</w:t>
      </w:r>
      <w:r>
        <w:rPr>
          <w:rFonts w:hint="eastAsia" w:ascii="仿宋_GB2312" w:hAnsi="仿宋_GB2312" w:eastAsia="仿宋_GB2312" w:cs="仿宋_GB2312"/>
          <w:sz w:val="32"/>
        </w:rPr>
        <w:t>电子商务发展平台，建设商务信息门户区、物流服务配套区、仓储及物流加工区片区，打造集仓储、流通加工、快件分拨、配送、信息处理于一体的，面向县域、辐射周边的快递分拨</w:t>
      </w:r>
      <w:r>
        <w:rPr>
          <w:rFonts w:hint="eastAsia" w:ascii="仿宋_GB2312" w:hAnsi="仿宋_GB2312" w:cs="仿宋_GB2312"/>
          <w:sz w:val="32"/>
          <w:lang w:eastAsia="zh-CN"/>
        </w:rPr>
        <w:t>中心</w:t>
      </w:r>
      <w:r>
        <w:rPr>
          <w:rFonts w:hint="eastAsia" w:ascii="仿宋_GB2312" w:hAnsi="仿宋_GB2312" w:eastAsia="仿宋_GB2312" w:cs="仿宋_GB2312"/>
          <w:sz w:val="32"/>
        </w:rPr>
        <w:t>，实现县乡村三级快递整合，统一配送到村</w:t>
      </w:r>
      <w:r>
        <w:rPr>
          <w:rFonts w:hint="eastAsia" w:ascii="仿宋_GB2312" w:hAnsi="仿宋_GB2312" w:eastAsia="仿宋_GB2312" w:cs="仿宋_GB2312"/>
          <w:sz w:val="32"/>
          <w:lang w:eastAsia="zh-CN"/>
        </w:rPr>
        <w:t>。</w:t>
      </w:r>
    </w:p>
    <w:p>
      <w:pPr>
        <w:rPr>
          <w:rFonts w:hint="eastAsia" w:ascii="仿宋_GB2312" w:hAnsi="仿宋_GB2312" w:eastAsia="仿宋_GB2312" w:cs="仿宋_GB2312"/>
          <w:b/>
          <w:bCs/>
        </w:rPr>
      </w:pPr>
      <w:r>
        <w:rPr>
          <w:rFonts w:hint="eastAsia" w:ascii="仿宋_GB2312" w:hAnsi="仿宋_GB2312" w:eastAsia="仿宋_GB2312" w:cs="仿宋_GB2312"/>
          <w:b/>
          <w:bCs/>
          <w:lang w:val="en-US" w:eastAsia="zh-CN"/>
        </w:rPr>
        <w:t>3</w:t>
      </w:r>
      <w:r>
        <w:rPr>
          <w:rFonts w:hint="eastAsia" w:ascii="仿宋_GB2312" w:hAnsi="仿宋_GB2312" w:eastAsia="仿宋_GB2312" w:cs="仿宋_GB2312"/>
          <w:b/>
          <w:bCs/>
        </w:rPr>
        <w:t>.同心县现代物流城</w:t>
      </w:r>
    </w:p>
    <w:p>
      <w:pPr>
        <w:ind w:firstLine="640"/>
        <w:rPr>
          <w:rFonts w:hint="eastAsia" w:ascii="仿宋_GB2312" w:hAnsi="仿宋_GB2312" w:eastAsia="仿宋_GB2312" w:cs="仿宋_GB2312"/>
        </w:rPr>
      </w:pPr>
      <w:r>
        <w:rPr>
          <w:rFonts w:hint="eastAsia" w:ascii="仿宋_GB2312" w:hAnsi="仿宋_GB2312" w:eastAsia="仿宋_GB2312" w:cs="仿宋_GB2312"/>
        </w:rPr>
        <w:t>区位：位于</w:t>
      </w:r>
      <w:r>
        <w:rPr>
          <w:rFonts w:hint="eastAsia" w:ascii="仿宋_GB2312" w:hAnsi="仿宋_GB2312" w:eastAsia="仿宋_GB2312" w:cs="仿宋_GB2312"/>
          <w:lang w:val="en-US" w:eastAsia="zh-CN"/>
        </w:rPr>
        <w:t>同心县</w:t>
      </w:r>
      <w:r>
        <w:rPr>
          <w:rFonts w:hint="eastAsia" w:ascii="仿宋_GB2312" w:hAnsi="仿宋_GB2312" w:eastAsia="仿宋_GB2312" w:cs="仿宋_GB2312"/>
        </w:rPr>
        <w:t>羊绒工业园区</w:t>
      </w:r>
    </w:p>
    <w:p>
      <w:pPr>
        <w:ind w:firstLine="640"/>
        <w:rPr>
          <w:rFonts w:hint="eastAsia" w:ascii="仿宋_GB2312" w:hAnsi="仿宋_GB2312" w:eastAsia="仿宋_GB2312" w:cs="仿宋_GB2312"/>
        </w:rPr>
      </w:pPr>
      <w:r>
        <w:rPr>
          <w:rFonts w:hint="eastAsia" w:ascii="仿宋_GB2312" w:hAnsi="仿宋_GB2312" w:eastAsia="仿宋_GB2312" w:cs="仿宋_GB2312"/>
        </w:rPr>
        <w:t>功能定位：将同心县现代物流城建设成为立足同心全境、辐射周边地区，集商品交易展示、运输、仓储、分拨、配送、装卸搬运、包装、流通加工、信息服务、策划咨询等多服务功能于一体的综合性商贸物流园区。</w:t>
      </w:r>
    </w:p>
    <w:p>
      <w:pPr>
        <w:ind w:firstLine="640"/>
        <w:rPr>
          <w:rFonts w:hint="eastAsia" w:ascii="仿宋_GB2312" w:hAnsi="仿宋_GB2312" w:eastAsia="仿宋_GB2312" w:cs="仿宋_GB2312"/>
        </w:rPr>
      </w:pPr>
      <w:r>
        <w:rPr>
          <w:rFonts w:hint="eastAsia" w:ascii="仿宋_GB2312" w:hAnsi="仿宋_GB2312" w:eastAsia="仿宋_GB2312" w:cs="仿宋_GB2312"/>
        </w:rPr>
        <w:t>规划引导：在城市综合功能发展的基础上，以物流市场需求为导向，以满足客户需求为宗旨，以现代信息技术为支撑，加快建设物流仓库、牛羊肉冷链物流中心、水果冷链物流中心、中小微物流企业孵化中心、综合物流服务中心、电商物流中心、城际物流分拨中心、城市共同配送中心、智能化物流分拨中心等物流设施，积极引入现代物流理念，采用先进的物流装备和管理技术，优先发展为同心县及周边地区提供分拨、仓储、配送的城市配送、冷链仓储等物流服务。</w:t>
      </w:r>
    </w:p>
    <w:p>
      <w:pPr>
        <w:rPr>
          <w:rFonts w:hint="eastAsia" w:ascii="仿宋_GB2312" w:hAnsi="仿宋_GB2312" w:eastAsia="仿宋_GB2312" w:cs="仿宋_GB2312"/>
          <w:b/>
          <w:bCs/>
          <w:lang w:val="en-US" w:eastAsia="zh-CN"/>
        </w:rPr>
      </w:pPr>
      <w:r>
        <w:rPr>
          <w:rFonts w:hint="eastAsia" w:ascii="仿宋_GB2312" w:hAnsi="仿宋_GB2312" w:eastAsia="仿宋_GB2312" w:cs="仿宋_GB2312"/>
          <w:b/>
          <w:bCs/>
          <w:lang w:val="en-US" w:eastAsia="zh-CN"/>
        </w:rPr>
        <w:t>4.华融物流中心</w:t>
      </w:r>
    </w:p>
    <w:p>
      <w:pPr>
        <w:bidi w:val="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区位：位于同心县S101</w:t>
      </w:r>
    </w:p>
    <w:p>
      <w:pPr>
        <w:bidi w:val="0"/>
        <w:rPr>
          <w:rFonts w:hint="eastAsia" w:ascii="仿宋_GB2312" w:hAnsi="仿宋_GB2312" w:eastAsia="仿宋_GB2312" w:cs="仿宋_GB2312"/>
          <w:lang w:val="en-US" w:eastAsia="zh-CN"/>
        </w:rPr>
      </w:pPr>
      <w:r>
        <w:rPr>
          <w:rFonts w:hint="eastAsia" w:ascii="仿宋_GB2312" w:hAnsi="仿宋_GB2312" w:eastAsia="仿宋_GB2312" w:cs="仿宋_GB2312"/>
          <w:lang w:val="en-US" w:eastAsia="zh-CN"/>
        </w:rPr>
        <w:t>功能定位：</w:t>
      </w:r>
      <w:r>
        <w:rPr>
          <w:rFonts w:hint="eastAsia" w:ascii="仿宋_GB2312" w:hAnsi="仿宋_GB2312" w:eastAsia="仿宋_GB2312" w:cs="仿宋_GB2312"/>
          <w:sz w:val="32"/>
          <w:lang w:val="en-US" w:eastAsia="zh-CN"/>
        </w:rPr>
        <w:t>建设集运输、短期仓储、信息服务等功能为一体的</w:t>
      </w:r>
      <w:r>
        <w:rPr>
          <w:rFonts w:hint="eastAsia" w:ascii="仿宋_GB2312" w:hAnsi="仿宋_GB2312" w:cs="仿宋_GB2312"/>
          <w:sz w:val="32"/>
          <w:lang w:val="en-US" w:eastAsia="zh-CN"/>
        </w:rPr>
        <w:t>公路</w:t>
      </w:r>
      <w:r>
        <w:rPr>
          <w:rFonts w:hint="eastAsia" w:ascii="仿宋_GB2312" w:hAnsi="仿宋_GB2312" w:eastAsia="仿宋_GB2312" w:cs="仿宋_GB2312"/>
          <w:sz w:val="32"/>
          <w:lang w:val="en-US" w:eastAsia="zh-CN"/>
        </w:rPr>
        <w:t>物流园区</w:t>
      </w:r>
      <w:r>
        <w:rPr>
          <w:rFonts w:hint="eastAsia" w:ascii="仿宋_GB2312" w:hAnsi="仿宋_GB2312" w:eastAsia="仿宋_GB2312" w:cs="仿宋_GB2312"/>
          <w:lang w:val="en-US" w:eastAsia="zh-CN"/>
        </w:rPr>
        <w:t>。</w:t>
      </w:r>
    </w:p>
    <w:p>
      <w:pPr>
        <w:spacing w:line="600" w:lineRule="exact"/>
        <w:ind w:firstLine="640" w:firstLineChars="200"/>
        <w:rPr>
          <w:rFonts w:hint="eastAsia" w:ascii="仿宋_GB2312" w:hAnsi="仿宋_GB2312" w:eastAsia="仿宋_GB2312" w:cs="仿宋_GB2312"/>
          <w:sz w:val="32"/>
          <w:lang w:val="en-US" w:eastAsia="zh-CN"/>
        </w:rPr>
      </w:pPr>
      <w:r>
        <w:rPr>
          <w:rFonts w:hint="eastAsia" w:ascii="仿宋_GB2312" w:hAnsi="仿宋_GB2312" w:eastAsia="仿宋_GB2312" w:cs="仿宋_GB2312"/>
          <w:lang w:val="en-US" w:eastAsia="zh-CN"/>
        </w:rPr>
        <w:t>规划引导：</w:t>
      </w:r>
      <w:r>
        <w:rPr>
          <w:rFonts w:hint="eastAsia" w:ascii="仿宋_GB2312" w:hAnsi="仿宋_GB2312" w:cs="仿宋_GB2312"/>
          <w:lang w:val="en-US" w:eastAsia="zh-CN"/>
        </w:rPr>
        <w:t>规划期内，</w:t>
      </w:r>
      <w:r>
        <w:rPr>
          <w:rFonts w:hint="eastAsia" w:ascii="仿宋_GB2312" w:hAnsi="仿宋_GB2312" w:eastAsia="仿宋_GB2312" w:cs="仿宋_GB2312"/>
          <w:sz w:val="32"/>
          <w:lang w:val="en-US" w:eastAsia="zh-CN"/>
        </w:rPr>
        <w:t>以</w:t>
      </w:r>
      <w:r>
        <w:rPr>
          <w:rFonts w:hint="eastAsia" w:ascii="仿宋_GB2312" w:hAnsi="仿宋_GB2312" w:cs="仿宋_GB2312"/>
          <w:sz w:val="32"/>
          <w:lang w:val="en-US" w:eastAsia="zh-CN"/>
        </w:rPr>
        <w:t>货车</w:t>
      </w:r>
      <w:r>
        <w:rPr>
          <w:rFonts w:hint="eastAsia" w:ascii="仿宋_GB2312" w:hAnsi="仿宋_GB2312" w:eastAsia="仿宋_GB2312" w:cs="仿宋_GB2312"/>
          <w:sz w:val="32"/>
          <w:lang w:val="en-US" w:eastAsia="zh-CN"/>
        </w:rPr>
        <w:t>中转、集散为发展导向，建设综合服务区、汽车维修区、仓储物流区等功能区，</w:t>
      </w:r>
      <w:r>
        <w:rPr>
          <w:rFonts w:hint="eastAsia" w:ascii="仿宋_GB2312" w:hAnsi="仿宋_GB2312" w:cs="仿宋_GB2312"/>
          <w:sz w:val="32"/>
          <w:lang w:val="en-US" w:eastAsia="zh-CN"/>
        </w:rPr>
        <w:t>支持新建货运信息平台，整合线下货运物流资源，促进车货高效匹配，打造集散</w:t>
      </w:r>
      <w:r>
        <w:rPr>
          <w:rFonts w:hint="eastAsia" w:ascii="仿宋_GB2312" w:hAnsi="仿宋_GB2312" w:eastAsia="仿宋_GB2312" w:cs="仿宋_GB2312"/>
          <w:sz w:val="32"/>
          <w:lang w:val="en-US" w:eastAsia="zh-CN"/>
        </w:rPr>
        <w:t>、短期仓储、信息服务等功能为一体的</w:t>
      </w:r>
      <w:r>
        <w:rPr>
          <w:rFonts w:hint="eastAsia" w:ascii="仿宋_GB2312" w:hAnsi="仿宋_GB2312" w:cs="仿宋_GB2312"/>
          <w:sz w:val="32"/>
          <w:lang w:val="en-US" w:eastAsia="zh-CN"/>
        </w:rPr>
        <w:t>线上线下联动公路物流园区。</w:t>
      </w:r>
    </w:p>
    <w:p>
      <w:pPr>
        <w:pStyle w:val="2"/>
        <w:spacing w:before="156" w:after="156"/>
        <w:ind w:firstLine="643"/>
      </w:pPr>
      <w:bookmarkStart w:id="210" w:name="_Toc9659"/>
      <w:bookmarkStart w:id="211" w:name="_Toc28683"/>
      <w:bookmarkStart w:id="212" w:name="_Toc5515"/>
      <w:bookmarkStart w:id="213" w:name="_Toc95764835"/>
      <w:r>
        <w:rPr>
          <w:rFonts w:hint="eastAsia"/>
        </w:rPr>
        <w:t>（</w:t>
      </w:r>
      <w:r>
        <w:rPr>
          <w:rFonts w:hint="eastAsia"/>
          <w:lang w:val="en-US" w:eastAsia="zh-CN"/>
        </w:rPr>
        <w:t>三</w:t>
      </w:r>
      <w:r>
        <w:rPr>
          <w:rFonts w:hint="eastAsia"/>
        </w:rPr>
        <w:t>）再生资源回收网点</w:t>
      </w:r>
      <w:bookmarkEnd w:id="210"/>
      <w:bookmarkEnd w:id="211"/>
      <w:bookmarkEnd w:id="212"/>
      <w:bookmarkEnd w:id="213"/>
    </w:p>
    <w:p>
      <w:pPr>
        <w:ind w:firstLine="640"/>
        <w:rPr>
          <w:rFonts w:hint="eastAsia" w:ascii="仿宋_GB2312" w:hAnsi="仿宋_GB2312" w:eastAsia="仿宋_GB2312" w:cs="仿宋_GB2312"/>
        </w:rPr>
      </w:pPr>
      <w:r>
        <w:rPr>
          <w:rFonts w:hint="eastAsia" w:ascii="仿宋_GB2312" w:hAnsi="仿宋_GB2312" w:eastAsia="仿宋_GB2312" w:cs="仿宋_GB2312"/>
        </w:rPr>
        <w:t>以同心县老城区为重点改造区域，规划新建再生资源集散市场1个，在同心县集镇区及所辖村庄建设垃圾拆解分选中心，整合提升现有的城区街道办、乡镇、行政村个体经营再生资源回收点，拓展规模完善功能，提升综合服务水平，形成以回收点为基础、乡镇级再生资源回收站为支撑、县级再生资源回收市场为核心的三级再生资源回收网络体系。</w:t>
      </w:r>
    </w:p>
    <w:p>
      <w:pPr>
        <w:rPr>
          <w:rFonts w:hint="eastAsia" w:ascii="仿宋_GB2312" w:hAnsi="仿宋_GB2312" w:eastAsia="仿宋_GB2312" w:cs="仿宋_GB2312"/>
        </w:rPr>
      </w:pPr>
      <w:r>
        <w:rPr>
          <w:rFonts w:hint="eastAsia" w:ascii="仿宋_GB2312" w:hAnsi="仿宋_GB2312" w:eastAsia="仿宋_GB2312" w:cs="仿宋_GB2312"/>
          <w:b/>
          <w:bCs/>
        </w:rPr>
        <w:t>县城再生资源交易市场：</w:t>
      </w:r>
      <w:r>
        <w:rPr>
          <w:rFonts w:hint="eastAsia" w:ascii="仿宋_GB2312" w:hAnsi="仿宋_GB2312" w:eastAsia="仿宋_GB2312" w:cs="仿宋_GB2312"/>
        </w:rPr>
        <w:t>在交通便利、位于市域中心位置的地区选址建设，占地面积原则上应在2000-4000平方米，选址需符合规划、城建、环保等有关部门规定。服务半径为10公里，年回收吞吐量不少于3万吨，辐射同心县中心城区的大部分区域，独立占地建设与功能分区，主要承担城区再生资源集中堆放、整理、交易等功能。</w:t>
      </w:r>
    </w:p>
    <w:p>
      <w:pPr>
        <w:rPr>
          <w:rFonts w:hint="eastAsia" w:ascii="仿宋_GB2312" w:hAnsi="仿宋_GB2312" w:eastAsia="仿宋_GB2312" w:cs="仿宋_GB2312"/>
        </w:rPr>
      </w:pPr>
      <w:r>
        <w:rPr>
          <w:rFonts w:hint="eastAsia" w:ascii="仿宋_GB2312" w:hAnsi="仿宋_GB2312" w:eastAsia="仿宋_GB2312" w:cs="仿宋_GB2312"/>
          <w:b/>
          <w:bCs/>
        </w:rPr>
        <w:t>乡镇再生资源回收站：</w:t>
      </w:r>
      <w:r>
        <w:rPr>
          <w:rFonts w:hint="eastAsia" w:ascii="仿宋_GB2312" w:hAnsi="仿宋_GB2312" w:eastAsia="仿宋_GB2312" w:cs="仿宋_GB2312"/>
        </w:rPr>
        <w:t>针对偏远的村及乡镇，建设可再生资源垃圾回收网点，但不得在国道、省道200米范围内设置。</w:t>
      </w:r>
    </w:p>
    <w:p>
      <w:pPr>
        <w:ind w:firstLine="643" w:firstLineChars="0"/>
        <w:jc w:val="center"/>
        <w:rPr>
          <w:rFonts w:hint="eastAsia" w:ascii="黑体" w:hAnsi="黑体" w:eastAsia="黑体" w:cs="黑体"/>
          <w:sz w:val="24"/>
          <w:szCs w:val="24"/>
        </w:rPr>
      </w:pPr>
      <w:r>
        <w:rPr>
          <w:rFonts w:hint="eastAsia" w:ascii="黑体" w:hAnsi="黑体" w:eastAsia="黑体" w:cs="黑体"/>
          <w:sz w:val="24"/>
          <w:szCs w:val="24"/>
        </w:rPr>
        <w:drawing>
          <wp:anchor distT="0" distB="0" distL="114300" distR="114300" simplePos="0" relativeHeight="251660288" behindDoc="0" locked="0" layoutInCell="1" allowOverlap="1">
            <wp:simplePos x="0" y="0"/>
            <wp:positionH relativeFrom="column">
              <wp:posOffset>7620</wp:posOffset>
            </wp:positionH>
            <wp:positionV relativeFrom="paragraph">
              <wp:posOffset>129540</wp:posOffset>
            </wp:positionV>
            <wp:extent cx="5273675" cy="2261870"/>
            <wp:effectExtent l="0" t="0" r="0" b="11430"/>
            <wp:wrapTopAndBottom/>
            <wp:docPr id="9" name="ECB019B1-382A-4266-B25C-5B523AA43C14-1" descr="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ECB019B1-382A-4266-B25C-5B523AA43C14-1" descr="wps"/>
                    <pic:cNvPicPr>
                      <a:picLocks noChangeAspect="1"/>
                    </pic:cNvPicPr>
                  </pic:nvPicPr>
                  <pic:blipFill>
                    <a:blip r:embed="rId23"/>
                    <a:srcRect t="12995" b="9855"/>
                    <a:stretch>
                      <a:fillRect/>
                    </a:stretch>
                  </pic:blipFill>
                  <pic:spPr>
                    <a:xfrm>
                      <a:off x="0" y="0"/>
                      <a:ext cx="5273675" cy="2261870"/>
                    </a:xfrm>
                    <a:prstGeom prst="rect">
                      <a:avLst/>
                    </a:prstGeom>
                  </pic:spPr>
                </pic:pic>
              </a:graphicData>
            </a:graphic>
          </wp:anchor>
        </w:drawing>
      </w:r>
      <w:r>
        <w:rPr>
          <w:rFonts w:hint="eastAsia" w:ascii="黑体" w:hAnsi="黑体" w:eastAsia="黑体" w:cs="黑体"/>
          <w:sz w:val="24"/>
          <w:szCs w:val="24"/>
        </w:rPr>
        <w:t>图</w:t>
      </w:r>
      <w:r>
        <w:rPr>
          <w:rFonts w:hint="eastAsia" w:ascii="黑体" w:hAnsi="黑体" w:eastAsia="黑体" w:cs="黑体"/>
          <w:sz w:val="24"/>
          <w:szCs w:val="24"/>
          <w:lang w:eastAsia="zh-CN"/>
        </w:rPr>
        <w:t>9</w:t>
      </w:r>
      <w:r>
        <w:rPr>
          <w:rFonts w:hint="eastAsia" w:ascii="黑体" w:hAnsi="黑体" w:eastAsia="黑体" w:cs="黑体"/>
          <w:sz w:val="24"/>
          <w:szCs w:val="24"/>
        </w:rPr>
        <w:t xml:space="preserve"> 再生资源回收利用体系</w:t>
      </w:r>
    </w:p>
    <w:p>
      <w:pPr>
        <w:rPr>
          <w:rFonts w:hint="eastAsia" w:ascii="仿宋_GB2312" w:hAnsi="仿宋_GB2312" w:eastAsia="仿宋_GB2312" w:cs="仿宋_GB2312"/>
        </w:rPr>
      </w:pPr>
      <w:r>
        <w:rPr>
          <w:rFonts w:hint="eastAsia" w:ascii="仿宋_GB2312" w:hAnsi="仿宋_GB2312" w:eastAsia="仿宋_GB2312" w:cs="仿宋_GB2312"/>
          <w:b/>
          <w:bCs/>
        </w:rPr>
        <w:t>回收点：</w:t>
      </w:r>
      <w:r>
        <w:rPr>
          <w:rFonts w:hint="eastAsia" w:ascii="仿宋_GB2312" w:hAnsi="仿宋_GB2312" w:eastAsia="仿宋_GB2312" w:cs="仿宋_GB2312"/>
        </w:rPr>
        <w:t>社区回收点面积在6-10平方米之间，服务人口1000户（3000-4000人）。村级回收点按照一个行政村一个垃圾收集站点的标准，每5户设置一个垃圾箱，在居住较为分散、不宜建设固定回收站的村庄，设置流动回收车。</w:t>
      </w:r>
    </w:p>
    <w:p>
      <w:pPr>
        <w:pStyle w:val="3"/>
        <w:spacing w:before="156" w:after="156"/>
        <w:jc w:val="both"/>
      </w:pPr>
      <w:bookmarkStart w:id="214" w:name="_Toc15860"/>
      <w:bookmarkStart w:id="215" w:name="_Toc29597"/>
      <w:bookmarkStart w:id="216" w:name="_Toc4479"/>
      <w:bookmarkStart w:id="217" w:name="_Toc95764836"/>
      <w:r>
        <w:rPr>
          <w:rFonts w:hint="eastAsia"/>
          <w:lang w:val="en-US" w:eastAsia="zh-CN"/>
        </w:rPr>
        <w:t>六、</w:t>
      </w:r>
      <w:r>
        <w:rPr>
          <w:rFonts w:hint="eastAsia"/>
        </w:rPr>
        <w:t>保障措施</w:t>
      </w:r>
      <w:bookmarkEnd w:id="214"/>
      <w:bookmarkEnd w:id="215"/>
      <w:bookmarkEnd w:id="216"/>
      <w:bookmarkEnd w:id="217"/>
    </w:p>
    <w:p>
      <w:pPr>
        <w:pStyle w:val="2"/>
        <w:numPr>
          <w:ilvl w:val="0"/>
          <w:numId w:val="3"/>
        </w:numPr>
        <w:spacing w:before="156" w:after="156"/>
        <w:ind w:firstLine="643"/>
      </w:pPr>
      <w:bookmarkStart w:id="218" w:name="_Toc96286642"/>
      <w:bookmarkStart w:id="219" w:name="_Toc10732"/>
      <w:bookmarkStart w:id="220" w:name="_Toc27466"/>
      <w:bookmarkStart w:id="221" w:name="_Toc21953"/>
      <w:r>
        <w:t>加强组织协调</w:t>
      </w:r>
      <w:bookmarkEnd w:id="218"/>
      <w:bookmarkEnd w:id="219"/>
      <w:bookmarkEnd w:id="220"/>
      <w:bookmarkEnd w:id="221"/>
    </w:p>
    <w:p>
      <w:pPr>
        <w:ind w:firstLine="640"/>
      </w:pPr>
      <w:r>
        <w:rPr>
          <w:rFonts w:hint="eastAsia"/>
        </w:rPr>
        <w:t>本规划报同心人民政府审批，发布后作为指导同心县商业网点发展的重要依据。同心县商务部门加强与发改、市场监管、交通等部门协调，</w:t>
      </w:r>
      <w:r>
        <w:t>明确责任，完善配套政策，做好规划实施的组织、指导</w:t>
      </w:r>
      <w:r>
        <w:rPr>
          <w:rFonts w:hint="eastAsia"/>
        </w:rPr>
        <w:t>，</w:t>
      </w:r>
      <w:r>
        <w:t>建立健全协调机制，</w:t>
      </w:r>
      <w:r>
        <w:rPr>
          <w:rFonts w:hint="eastAsia"/>
        </w:rPr>
        <w:t>确保商业网点建设科学合理推进</w:t>
      </w:r>
      <w:r>
        <w:t>。</w:t>
      </w:r>
    </w:p>
    <w:p>
      <w:pPr>
        <w:pStyle w:val="2"/>
        <w:spacing w:before="156" w:after="156"/>
        <w:ind w:firstLine="643"/>
      </w:pPr>
      <w:bookmarkStart w:id="222" w:name="_Toc96286643"/>
      <w:bookmarkStart w:id="223" w:name="_Toc24071"/>
      <w:bookmarkStart w:id="224" w:name="_Toc23018"/>
      <w:bookmarkStart w:id="225" w:name="_Toc21549"/>
      <w:r>
        <w:rPr>
          <w:rFonts w:hint="eastAsia"/>
        </w:rPr>
        <w:t>（二）健全管理体制</w:t>
      </w:r>
      <w:bookmarkEnd w:id="222"/>
      <w:bookmarkEnd w:id="223"/>
      <w:bookmarkEnd w:id="224"/>
      <w:bookmarkEnd w:id="225"/>
    </w:p>
    <w:p>
      <w:pPr>
        <w:ind w:firstLine="640"/>
      </w:pPr>
      <w:r>
        <w:t>将商业网点</w:t>
      </w:r>
      <w:r>
        <w:rPr>
          <w:rFonts w:hint="eastAsia"/>
        </w:rPr>
        <w:t>布局</w:t>
      </w:r>
      <w:r>
        <w:t>规划纳入城市总体规划之中</w:t>
      </w:r>
      <w:r>
        <w:rPr>
          <w:rFonts w:hint="eastAsia"/>
        </w:rPr>
        <w:t>，</w:t>
      </w:r>
      <w:r>
        <w:t>使之具备法律</w:t>
      </w:r>
      <w:r>
        <w:rPr>
          <w:rFonts w:hint="eastAsia"/>
        </w:rPr>
        <w:t>、</w:t>
      </w:r>
      <w:r>
        <w:t>法规效力</w:t>
      </w:r>
      <w:r>
        <w:rPr>
          <w:rFonts w:hint="eastAsia"/>
        </w:rPr>
        <w:t>。各级政府部门必须认真执行，严格按规划进行运作，增强企业的投资预期，促进企业参与投资、开展经营，</w:t>
      </w:r>
      <w:r>
        <w:rPr>
          <w:rFonts w:hint="eastAsia"/>
          <w:lang w:eastAsia="zh-CN"/>
        </w:rPr>
        <w:t>更好地引导</w:t>
      </w:r>
      <w:r>
        <w:rPr>
          <w:rFonts w:hint="eastAsia"/>
        </w:rPr>
        <w:t>企业按规划进行选址布点，避免商业网点的开发建设杂乱无序。</w:t>
      </w:r>
      <w:r>
        <w:t>从严控制</w:t>
      </w:r>
      <w:r>
        <w:rPr>
          <w:rFonts w:hint="eastAsia"/>
        </w:rPr>
        <w:t>同心县</w:t>
      </w:r>
      <w:r>
        <w:t>商品市场的建设，认真执行社区商业网点分类、分级建设标准，明确商业网点建设监管部门职能，以规范商业网点的建设。</w:t>
      </w:r>
    </w:p>
    <w:p>
      <w:pPr>
        <w:pStyle w:val="2"/>
        <w:spacing w:before="156" w:after="156"/>
        <w:ind w:left="640" w:leftChars="200" w:firstLine="0" w:firstLineChars="0"/>
      </w:pPr>
      <w:bookmarkStart w:id="226" w:name="_Toc96286644"/>
      <w:bookmarkStart w:id="227" w:name="_Toc30925"/>
      <w:bookmarkStart w:id="228" w:name="_Toc5553"/>
      <w:bookmarkStart w:id="229" w:name="_Toc23712"/>
      <w:r>
        <w:rPr>
          <w:rFonts w:hint="eastAsia"/>
        </w:rPr>
        <w:t>（三）强化政策扶持</w:t>
      </w:r>
      <w:bookmarkEnd w:id="226"/>
      <w:bookmarkEnd w:id="227"/>
      <w:bookmarkEnd w:id="228"/>
      <w:bookmarkEnd w:id="229"/>
    </w:p>
    <w:p>
      <w:pPr>
        <w:ind w:firstLine="640"/>
      </w:pPr>
      <w:r>
        <w:t>科学引导业态发展，加强鼓励业态、允许业态与禁止业态</w:t>
      </w:r>
      <w:r>
        <w:rPr>
          <w:rFonts w:hint="eastAsia"/>
        </w:rPr>
        <w:t>的控制与引导。以保障必备性商业业态为基础；重点推进以高品质商贸综合体、商业特色街区、步行街区、专业市场、连锁超市、社区商业网点、物流基地等辐射性和综合性强的商业业态；鼓励发展智慧物流、社区团购</w:t>
      </w:r>
      <w:r>
        <w:t>以及特色电子商务等新型商业</w:t>
      </w:r>
      <w:r>
        <w:rPr>
          <w:rFonts w:hint="eastAsia"/>
        </w:rPr>
        <w:t>业态；提升改造社区连锁商业、老字号商业、具有地方特色的早餐店、小吃店等传统商业业态。安排专项资金扶持商业创新发展，引导商贸流通企业发展连锁经营，对骨干商贸企业、物流基地、商品交易市场建设进行扶持、培育，进一步做好特色商业街、大型商超的创建工作，由点及面，促进商业服务业多元化发展及提质升级。</w:t>
      </w:r>
    </w:p>
    <w:p>
      <w:pPr>
        <w:pStyle w:val="2"/>
        <w:spacing w:before="156" w:after="156"/>
        <w:ind w:left="640" w:leftChars="200" w:firstLine="0" w:firstLineChars="0"/>
      </w:pPr>
      <w:bookmarkStart w:id="230" w:name="_Toc32640"/>
      <w:bookmarkStart w:id="231" w:name="_Toc30870"/>
      <w:bookmarkStart w:id="232" w:name="_Toc10116"/>
      <w:bookmarkStart w:id="233" w:name="_Toc96286645"/>
      <w:r>
        <w:rPr>
          <w:rFonts w:hint="eastAsia"/>
        </w:rPr>
        <w:t>（四）强化基础设施建设</w:t>
      </w:r>
      <w:bookmarkEnd w:id="230"/>
      <w:bookmarkEnd w:id="231"/>
      <w:bookmarkEnd w:id="232"/>
      <w:bookmarkEnd w:id="233"/>
    </w:p>
    <w:p>
      <w:pPr>
        <w:ind w:firstLine="640"/>
      </w:pPr>
      <w:r>
        <w:rPr>
          <w:rFonts w:hint="eastAsia"/>
        </w:rPr>
        <w:t>按照县域商业中心、社区商业中心、乡镇商业中心等不同层级商业中心的要求，加快推进商业配套服务设施建设。加强商业集聚区停车设施的建设，提高大型商业网点停车设施配置标准，推广智能停车引导系统，解决商业集聚区停车难问题；加强商业集聚区交通组织，改善交通环境；加强商业集聚区配套设施建设，合理设置休息设施、标识设施、无障碍设施以及绿化景观设施等。</w:t>
      </w:r>
    </w:p>
    <w:p>
      <w:pPr>
        <w:pStyle w:val="2"/>
        <w:spacing w:before="156" w:after="156"/>
        <w:ind w:left="640" w:leftChars="200" w:firstLine="0" w:firstLineChars="0"/>
      </w:pPr>
      <w:bookmarkStart w:id="234" w:name="_Toc96286646"/>
      <w:bookmarkStart w:id="235" w:name="_Toc20037"/>
      <w:bookmarkStart w:id="236" w:name="_Toc885"/>
      <w:bookmarkStart w:id="237" w:name="_Toc12669"/>
      <w:r>
        <w:rPr>
          <w:rFonts w:hint="eastAsia"/>
        </w:rPr>
        <w:t>（五）优化网点发展环境</w:t>
      </w:r>
      <w:bookmarkEnd w:id="234"/>
      <w:bookmarkEnd w:id="235"/>
      <w:bookmarkEnd w:id="236"/>
      <w:bookmarkEnd w:id="237"/>
    </w:p>
    <w:p>
      <w:pPr>
        <w:ind w:firstLine="640"/>
      </w:pPr>
      <w:r>
        <w:rPr>
          <w:rFonts w:hint="eastAsia"/>
        </w:rPr>
        <w:t>积极转变政府职能，加快建设有利于商业发展的软环境。加大政府相关部门信息沟通共享，及时准确公布各市商业网点开发建设信息，避免商业网点盲目无序开发。</w:t>
      </w:r>
      <w:r>
        <w:t>创造有利</w:t>
      </w:r>
      <w:r>
        <w:rPr>
          <w:rFonts w:hint="eastAsia"/>
        </w:rPr>
        <w:t>的市场环境，完善政府服务功能，简化审批手续，放宽经营限制，给予资金、用地和税收等方面的政策扶持。</w:t>
      </w:r>
      <w:r>
        <w:t>建立</w:t>
      </w:r>
      <w:r>
        <w:rPr>
          <w:rFonts w:hint="eastAsia"/>
        </w:rPr>
        <w:t>同心</w:t>
      </w:r>
      <w:r>
        <w:t>县商业网点基础信息库和管理信息系统，设</w:t>
      </w:r>
      <w:r>
        <w:rPr>
          <w:rFonts w:hint="eastAsia"/>
        </w:rPr>
        <w:t>立信息服务窗口，优化商业管理手段。建立企业信用信息记录和披露制度，依法发布失信企业“黑名单”，完善商超、餐饮等行业举报投诉服务体系，规范市场主体经营行为，营造</w:t>
      </w:r>
      <w:r>
        <w:t>商业诚信发展的社会氛围</w:t>
      </w:r>
      <w:r>
        <w:rPr>
          <w:rFonts w:hint="eastAsia"/>
        </w:rPr>
        <w:t>。</w:t>
      </w:r>
    </w:p>
    <w:sectPr>
      <w:footerReference r:id="rId13" w:type="default"/>
      <w:pgSz w:w="11906" w:h="16838"/>
      <w:pgMar w:top="1440" w:right="1417"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0DAA5A79-8C83-4541-8215-42329E577559}"/>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81D7FBF2-0039-4043-9D89-AF09B67A5702}"/>
  </w:font>
  <w:font w:name="仿宋_GB2312">
    <w:panose1 w:val="02010609030101010101"/>
    <w:charset w:val="86"/>
    <w:family w:val="auto"/>
    <w:pitch w:val="default"/>
    <w:sig w:usb0="00000001" w:usb1="080E0000" w:usb2="00000000" w:usb3="00000000" w:csb0="00040000" w:csb1="00000000"/>
    <w:embedRegular r:id="rId3" w:fontKey="{12932181-1DA0-4748-8552-274DC0A6B1EC}"/>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方正仿宋简体">
    <w:altName w:val="Arial Unicode MS"/>
    <w:panose1 w:val="02000000000000000000"/>
    <w:charset w:val="86"/>
    <w:family w:val="auto"/>
    <w:pitch w:val="default"/>
    <w:sig w:usb0="00000000" w:usb1="00000000" w:usb2="00000000" w:usb3="00000000" w:csb0="00060000" w:csb1="00000000"/>
    <w:embedRegular r:id="rId4" w:fontKey="{1F7780F1-E7B9-4624-A31B-2761E5E5C074}"/>
  </w:font>
  <w:font w:name="方正小标宋_GBK">
    <w:panose1 w:val="02000000000000000000"/>
    <w:charset w:val="86"/>
    <w:family w:val="auto"/>
    <w:pitch w:val="default"/>
    <w:sig w:usb0="A00002BF" w:usb1="38CF7CFA" w:usb2="00082016" w:usb3="00000000" w:csb0="00040001" w:csb1="00000000"/>
    <w:embedRegular r:id="rId5" w:fontKey="{98BF861C-E53A-4149-A691-264C287EA3E7}"/>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firstLine="5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firstLine="5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firstLine="5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firstLine="5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ind w:firstLine="56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18"/>
                      <w:ind w:firstLine="5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firstLine="5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ind w:firstLine="560"/>
                          </w:pPr>
                          <w:r>
                            <w:fldChar w:fldCharType="begin"/>
                          </w:r>
                          <w:r>
                            <w:instrText xml:space="preserve"> PAGE  \* MERGEFORMAT </w:instrText>
                          </w:r>
                          <w:r>
                            <w:fldChar w:fldCharType="separate"/>
                          </w:r>
                          <w:r>
                            <w:t>I</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pPr>
                      <w:pStyle w:val="18"/>
                      <w:ind w:firstLine="560"/>
                    </w:pPr>
                    <w:r>
                      <w:fldChar w:fldCharType="begin"/>
                    </w:r>
                    <w:r>
                      <w:instrText xml:space="preserve"> PAGE  \* MERGEFORMAT </w:instrText>
                    </w:r>
                    <w:r>
                      <w:fldChar w:fldCharType="separate"/>
                    </w:r>
                    <w:r>
                      <w:t>I</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ind w:firstLine="5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ind w:firstLine="560"/>
                          </w:pPr>
                          <w:r>
                            <w:fldChar w:fldCharType="begin"/>
                          </w:r>
                          <w:r>
                            <w:instrText xml:space="preserve"> PAGE  \* MERGEFORMAT </w:instrText>
                          </w:r>
                          <w:r>
                            <w:fldChar w:fldCharType="separate"/>
                          </w:r>
                          <w:r>
                            <w:t>I</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pPr>
                      <w:pStyle w:val="18"/>
                      <w:ind w:firstLine="560"/>
                    </w:pPr>
                    <w:r>
                      <w:fldChar w:fldCharType="begin"/>
                    </w:r>
                    <w:r>
                      <w:instrText xml:space="preserve"> PAGE  \* MERGEFORMAT </w:instrText>
                    </w:r>
                    <w:r>
                      <w:fldChar w:fldCharType="separate"/>
                    </w:r>
                    <w:r>
                      <w:t>I</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126252"/>
    <w:multiLevelType w:val="multilevel"/>
    <w:tmpl w:val="8D126252"/>
    <w:lvl w:ilvl="0" w:tentative="0">
      <w:start w:val="1"/>
      <w:numFmt w:val="chineseCounting"/>
      <w:suff w:val="nothing"/>
      <w:lvlText w:val="%1、"/>
      <w:lvlJc w:val="left"/>
      <w:pPr>
        <w:ind w:left="0" w:firstLine="0"/>
      </w:pPr>
      <w:rPr>
        <w:rFonts w:hint="eastAsia"/>
      </w:rPr>
    </w:lvl>
    <w:lvl w:ilvl="1" w:tentative="0">
      <w:start w:val="1"/>
      <w:numFmt w:val="chineseCounting"/>
      <w:suff w:val="nothing"/>
      <w:lvlText w:val="（%2）"/>
      <w:lvlJc w:val="left"/>
      <w:pPr>
        <w:ind w:left="0" w:firstLine="0"/>
      </w:pPr>
      <w:rPr>
        <w:rFonts w:hint="eastAsia"/>
      </w:rPr>
    </w:lvl>
    <w:lvl w:ilvl="2" w:tentative="0">
      <w:start w:val="1"/>
      <w:numFmt w:val="decimal"/>
      <w:suff w:val="nothing"/>
      <w:lvlText w:val="%3．"/>
      <w:lvlJc w:val="left"/>
      <w:pPr>
        <w:ind w:left="0" w:firstLine="400"/>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pStyle w:val="6"/>
      <w:suff w:val="nothing"/>
      <w:lvlText w:val="%5"/>
      <w:lvlJc w:val="left"/>
      <w:pPr>
        <w:ind w:left="0" w:firstLine="402"/>
      </w:pPr>
      <w:rPr>
        <w:rFonts w:hint="eastAsia"/>
      </w:rPr>
    </w:lvl>
    <w:lvl w:ilvl="5" w:tentative="0">
      <w:start w:val="1"/>
      <w:numFmt w:val="decimal"/>
      <w:pStyle w:val="7"/>
      <w:suff w:val="nothing"/>
      <w:lvlText w:val="%6）"/>
      <w:lvlJc w:val="left"/>
      <w:pPr>
        <w:ind w:left="0" w:firstLine="402"/>
      </w:pPr>
      <w:rPr>
        <w:rFonts w:hint="eastAsia"/>
      </w:rPr>
    </w:lvl>
    <w:lvl w:ilvl="6" w:tentative="0">
      <w:start w:val="1"/>
      <w:numFmt w:val="lowerLetter"/>
      <w:pStyle w:val="8"/>
      <w:suff w:val="nothing"/>
      <w:lvlText w:val="%7．"/>
      <w:lvlJc w:val="left"/>
      <w:pPr>
        <w:ind w:left="0" w:firstLine="402"/>
      </w:pPr>
      <w:rPr>
        <w:rFonts w:hint="eastAsia"/>
      </w:rPr>
    </w:lvl>
    <w:lvl w:ilvl="7" w:tentative="0">
      <w:start w:val="1"/>
      <w:numFmt w:val="lowerLetter"/>
      <w:pStyle w:val="9"/>
      <w:suff w:val="nothing"/>
      <w:lvlText w:val="%8）"/>
      <w:lvlJc w:val="left"/>
      <w:pPr>
        <w:ind w:left="0" w:firstLine="402"/>
      </w:pPr>
      <w:rPr>
        <w:rFonts w:hint="eastAsia"/>
      </w:rPr>
    </w:lvl>
    <w:lvl w:ilvl="8" w:tentative="0">
      <w:start w:val="1"/>
      <w:numFmt w:val="lowerRoman"/>
      <w:pStyle w:val="10"/>
      <w:suff w:val="nothing"/>
      <w:lvlText w:val="%9 "/>
      <w:lvlJc w:val="left"/>
      <w:pPr>
        <w:ind w:left="0" w:firstLine="402"/>
      </w:pPr>
      <w:rPr>
        <w:rFonts w:hint="eastAsia"/>
      </w:rPr>
    </w:lvl>
  </w:abstractNum>
  <w:abstractNum w:abstractNumId="1">
    <w:nsid w:val="A3A0650F"/>
    <w:multiLevelType w:val="singleLevel"/>
    <w:tmpl w:val="A3A0650F"/>
    <w:lvl w:ilvl="0" w:tentative="0">
      <w:start w:val="1"/>
      <w:numFmt w:val="chineseCounting"/>
      <w:suff w:val="nothing"/>
      <w:lvlText w:val="（%1）"/>
      <w:lvlJc w:val="left"/>
      <w:rPr>
        <w:rFonts w:hint="eastAsia"/>
      </w:rPr>
    </w:lvl>
  </w:abstractNum>
  <w:abstractNum w:abstractNumId="2">
    <w:nsid w:val="0B6F49F3"/>
    <w:multiLevelType w:val="singleLevel"/>
    <w:tmpl w:val="0B6F49F3"/>
    <w:lvl w:ilvl="0" w:tentative="0">
      <w:start w:val="1"/>
      <w:numFmt w:val="chineseCounting"/>
      <w:suff w:val="nothing"/>
      <w:lvlText w:val="（%1）"/>
      <w:lvlJc w:val="left"/>
      <w:rPr>
        <w:rFonts w:hint="eastAsia"/>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g4N2Y5OGZiODE3Nzc5NTY2MDQyZGI0Mjk0M2RkZmMifQ=="/>
  </w:docVars>
  <w:rsids>
    <w:rsidRoot w:val="00172A27"/>
    <w:rsid w:val="00013440"/>
    <w:rsid w:val="00020148"/>
    <w:rsid w:val="00022657"/>
    <w:rsid w:val="00023BF7"/>
    <w:rsid w:val="000262D2"/>
    <w:rsid w:val="00081847"/>
    <w:rsid w:val="000A4E00"/>
    <w:rsid w:val="000B5A27"/>
    <w:rsid w:val="000B7408"/>
    <w:rsid w:val="000E6F9D"/>
    <w:rsid w:val="000F1BAE"/>
    <w:rsid w:val="00103ECB"/>
    <w:rsid w:val="00125EF7"/>
    <w:rsid w:val="001471A5"/>
    <w:rsid w:val="00181CA6"/>
    <w:rsid w:val="00196C0C"/>
    <w:rsid w:val="001E32EA"/>
    <w:rsid w:val="001F3ADA"/>
    <w:rsid w:val="00241E31"/>
    <w:rsid w:val="00255D27"/>
    <w:rsid w:val="00260820"/>
    <w:rsid w:val="00267F4A"/>
    <w:rsid w:val="00274241"/>
    <w:rsid w:val="00275840"/>
    <w:rsid w:val="002835B3"/>
    <w:rsid w:val="00287744"/>
    <w:rsid w:val="00296666"/>
    <w:rsid w:val="002A1F23"/>
    <w:rsid w:val="002A591A"/>
    <w:rsid w:val="002F2B33"/>
    <w:rsid w:val="002F4587"/>
    <w:rsid w:val="00300ADF"/>
    <w:rsid w:val="00360B3C"/>
    <w:rsid w:val="003736DA"/>
    <w:rsid w:val="003A1224"/>
    <w:rsid w:val="003D48CB"/>
    <w:rsid w:val="003F5F2A"/>
    <w:rsid w:val="003F6C75"/>
    <w:rsid w:val="00404E30"/>
    <w:rsid w:val="00420C66"/>
    <w:rsid w:val="004300EF"/>
    <w:rsid w:val="00434530"/>
    <w:rsid w:val="0043480D"/>
    <w:rsid w:val="00440012"/>
    <w:rsid w:val="00451B35"/>
    <w:rsid w:val="0046095F"/>
    <w:rsid w:val="0046433E"/>
    <w:rsid w:val="004720D9"/>
    <w:rsid w:val="0048510E"/>
    <w:rsid w:val="004B50D9"/>
    <w:rsid w:val="004C775D"/>
    <w:rsid w:val="005459F3"/>
    <w:rsid w:val="00546BF6"/>
    <w:rsid w:val="00551F6C"/>
    <w:rsid w:val="00592825"/>
    <w:rsid w:val="005A0F43"/>
    <w:rsid w:val="005B2BFA"/>
    <w:rsid w:val="005B401F"/>
    <w:rsid w:val="005B4B85"/>
    <w:rsid w:val="005C12ED"/>
    <w:rsid w:val="005D2F0A"/>
    <w:rsid w:val="005D3D47"/>
    <w:rsid w:val="005F1731"/>
    <w:rsid w:val="005F7018"/>
    <w:rsid w:val="00625D63"/>
    <w:rsid w:val="00652836"/>
    <w:rsid w:val="00654D6A"/>
    <w:rsid w:val="00662F36"/>
    <w:rsid w:val="006841B5"/>
    <w:rsid w:val="006A2629"/>
    <w:rsid w:val="006D0D6D"/>
    <w:rsid w:val="006E0125"/>
    <w:rsid w:val="0071384C"/>
    <w:rsid w:val="00724B65"/>
    <w:rsid w:val="00730F73"/>
    <w:rsid w:val="0075181D"/>
    <w:rsid w:val="00762389"/>
    <w:rsid w:val="00762B38"/>
    <w:rsid w:val="00776359"/>
    <w:rsid w:val="007868E8"/>
    <w:rsid w:val="00794C42"/>
    <w:rsid w:val="007A0414"/>
    <w:rsid w:val="007A107C"/>
    <w:rsid w:val="007B0FEE"/>
    <w:rsid w:val="007D5226"/>
    <w:rsid w:val="007F02F2"/>
    <w:rsid w:val="00814DE5"/>
    <w:rsid w:val="00824600"/>
    <w:rsid w:val="00831207"/>
    <w:rsid w:val="00831401"/>
    <w:rsid w:val="00831C85"/>
    <w:rsid w:val="00843054"/>
    <w:rsid w:val="008614D8"/>
    <w:rsid w:val="00862796"/>
    <w:rsid w:val="0089497E"/>
    <w:rsid w:val="008A79AD"/>
    <w:rsid w:val="008D699A"/>
    <w:rsid w:val="008E1A84"/>
    <w:rsid w:val="008F4F66"/>
    <w:rsid w:val="00941F90"/>
    <w:rsid w:val="00973005"/>
    <w:rsid w:val="0098335F"/>
    <w:rsid w:val="00990A8A"/>
    <w:rsid w:val="009922BB"/>
    <w:rsid w:val="00993211"/>
    <w:rsid w:val="009C549C"/>
    <w:rsid w:val="009D057E"/>
    <w:rsid w:val="009D30B8"/>
    <w:rsid w:val="009E2288"/>
    <w:rsid w:val="00A143BD"/>
    <w:rsid w:val="00A20CDB"/>
    <w:rsid w:val="00A3046A"/>
    <w:rsid w:val="00A41B42"/>
    <w:rsid w:val="00A44337"/>
    <w:rsid w:val="00A546F8"/>
    <w:rsid w:val="00A8122C"/>
    <w:rsid w:val="00A865C8"/>
    <w:rsid w:val="00AC094A"/>
    <w:rsid w:val="00AC6F56"/>
    <w:rsid w:val="00AD28E1"/>
    <w:rsid w:val="00AF4E31"/>
    <w:rsid w:val="00B21B81"/>
    <w:rsid w:val="00B5594E"/>
    <w:rsid w:val="00B56311"/>
    <w:rsid w:val="00B61EB2"/>
    <w:rsid w:val="00B71F9C"/>
    <w:rsid w:val="00B76283"/>
    <w:rsid w:val="00B833FF"/>
    <w:rsid w:val="00BA580A"/>
    <w:rsid w:val="00BC64CD"/>
    <w:rsid w:val="00BF6C08"/>
    <w:rsid w:val="00C25200"/>
    <w:rsid w:val="00C51D2B"/>
    <w:rsid w:val="00C60642"/>
    <w:rsid w:val="00C74FEB"/>
    <w:rsid w:val="00C848DE"/>
    <w:rsid w:val="00CD0F81"/>
    <w:rsid w:val="00CF1467"/>
    <w:rsid w:val="00D01B2D"/>
    <w:rsid w:val="00D23B9E"/>
    <w:rsid w:val="00D30644"/>
    <w:rsid w:val="00D4010E"/>
    <w:rsid w:val="00D802C8"/>
    <w:rsid w:val="00DC745E"/>
    <w:rsid w:val="00DD2098"/>
    <w:rsid w:val="00DE525E"/>
    <w:rsid w:val="00DE77C3"/>
    <w:rsid w:val="00E074BC"/>
    <w:rsid w:val="00E14313"/>
    <w:rsid w:val="00E2511D"/>
    <w:rsid w:val="00E401B6"/>
    <w:rsid w:val="00EB0C85"/>
    <w:rsid w:val="00ED0362"/>
    <w:rsid w:val="00ED0A42"/>
    <w:rsid w:val="00ED6EAC"/>
    <w:rsid w:val="00EE75BA"/>
    <w:rsid w:val="00EF2250"/>
    <w:rsid w:val="00F318CD"/>
    <w:rsid w:val="00F46E82"/>
    <w:rsid w:val="00FA5A2D"/>
    <w:rsid w:val="00FA730A"/>
    <w:rsid w:val="00FE37BB"/>
    <w:rsid w:val="00FE5866"/>
    <w:rsid w:val="00FE7A27"/>
    <w:rsid w:val="00FF5FEC"/>
    <w:rsid w:val="01533A5C"/>
    <w:rsid w:val="01AC3EA3"/>
    <w:rsid w:val="021C569F"/>
    <w:rsid w:val="0227136C"/>
    <w:rsid w:val="0228498D"/>
    <w:rsid w:val="0229404D"/>
    <w:rsid w:val="02480B91"/>
    <w:rsid w:val="025A3D5F"/>
    <w:rsid w:val="02623AF8"/>
    <w:rsid w:val="028F78FA"/>
    <w:rsid w:val="0293255D"/>
    <w:rsid w:val="02C54861"/>
    <w:rsid w:val="02F92D08"/>
    <w:rsid w:val="02F96864"/>
    <w:rsid w:val="03065EF4"/>
    <w:rsid w:val="031749B4"/>
    <w:rsid w:val="0331448A"/>
    <w:rsid w:val="0333554D"/>
    <w:rsid w:val="033815BE"/>
    <w:rsid w:val="03791753"/>
    <w:rsid w:val="039B791C"/>
    <w:rsid w:val="03BC7892"/>
    <w:rsid w:val="03CC2C71"/>
    <w:rsid w:val="03F1578E"/>
    <w:rsid w:val="040E27C0"/>
    <w:rsid w:val="042F792A"/>
    <w:rsid w:val="0482210E"/>
    <w:rsid w:val="04874C6A"/>
    <w:rsid w:val="04A6271E"/>
    <w:rsid w:val="04A9250C"/>
    <w:rsid w:val="04C21F6F"/>
    <w:rsid w:val="04C40BE4"/>
    <w:rsid w:val="04C63107"/>
    <w:rsid w:val="04C904B8"/>
    <w:rsid w:val="04DC3FD1"/>
    <w:rsid w:val="04F30D6F"/>
    <w:rsid w:val="04F8587F"/>
    <w:rsid w:val="050414F1"/>
    <w:rsid w:val="05107B09"/>
    <w:rsid w:val="05215594"/>
    <w:rsid w:val="06007F0A"/>
    <w:rsid w:val="066031D9"/>
    <w:rsid w:val="0677638D"/>
    <w:rsid w:val="06875600"/>
    <w:rsid w:val="06DB37EC"/>
    <w:rsid w:val="06E67100"/>
    <w:rsid w:val="06E81E27"/>
    <w:rsid w:val="072145DC"/>
    <w:rsid w:val="07B611C8"/>
    <w:rsid w:val="07B96DAD"/>
    <w:rsid w:val="07D96C64"/>
    <w:rsid w:val="07F053D2"/>
    <w:rsid w:val="07F54A87"/>
    <w:rsid w:val="080C0DB8"/>
    <w:rsid w:val="08112AE1"/>
    <w:rsid w:val="08196B6A"/>
    <w:rsid w:val="08492BEA"/>
    <w:rsid w:val="085C47B5"/>
    <w:rsid w:val="08836BD0"/>
    <w:rsid w:val="088A1A8F"/>
    <w:rsid w:val="08B60D54"/>
    <w:rsid w:val="08D4742C"/>
    <w:rsid w:val="08DC4C5E"/>
    <w:rsid w:val="08FA50E4"/>
    <w:rsid w:val="09870D0C"/>
    <w:rsid w:val="098F21B4"/>
    <w:rsid w:val="09955E80"/>
    <w:rsid w:val="09FE6083"/>
    <w:rsid w:val="0A0A0806"/>
    <w:rsid w:val="0A451930"/>
    <w:rsid w:val="0A622F41"/>
    <w:rsid w:val="0A6F565E"/>
    <w:rsid w:val="0A8C47C7"/>
    <w:rsid w:val="0A9A6B7F"/>
    <w:rsid w:val="0AD07C02"/>
    <w:rsid w:val="0ADE2CD0"/>
    <w:rsid w:val="0B1545E8"/>
    <w:rsid w:val="0B1800B4"/>
    <w:rsid w:val="0B3B15D4"/>
    <w:rsid w:val="0B4A0681"/>
    <w:rsid w:val="0B62646B"/>
    <w:rsid w:val="0B6D2D89"/>
    <w:rsid w:val="0B7C3F28"/>
    <w:rsid w:val="0B877D1A"/>
    <w:rsid w:val="0B974E6D"/>
    <w:rsid w:val="0BBB7937"/>
    <w:rsid w:val="0C03437D"/>
    <w:rsid w:val="0C2C7CAB"/>
    <w:rsid w:val="0C525C0C"/>
    <w:rsid w:val="0C7451AE"/>
    <w:rsid w:val="0C9432B7"/>
    <w:rsid w:val="0CA74B61"/>
    <w:rsid w:val="0CAC0DEC"/>
    <w:rsid w:val="0CB51CEA"/>
    <w:rsid w:val="0D210971"/>
    <w:rsid w:val="0D3861DB"/>
    <w:rsid w:val="0D7E6085"/>
    <w:rsid w:val="0D94310F"/>
    <w:rsid w:val="0D961154"/>
    <w:rsid w:val="0D9C676A"/>
    <w:rsid w:val="0DAB4BFF"/>
    <w:rsid w:val="0DC644C3"/>
    <w:rsid w:val="0DD00B0A"/>
    <w:rsid w:val="0DE3083D"/>
    <w:rsid w:val="0DEB6CDB"/>
    <w:rsid w:val="0E39220B"/>
    <w:rsid w:val="0E4576BF"/>
    <w:rsid w:val="0E8E2563"/>
    <w:rsid w:val="0EB1501C"/>
    <w:rsid w:val="0EEC5CDE"/>
    <w:rsid w:val="0F0F70BA"/>
    <w:rsid w:val="0F2A2D26"/>
    <w:rsid w:val="0F3668E4"/>
    <w:rsid w:val="0F490B74"/>
    <w:rsid w:val="0F4E7F38"/>
    <w:rsid w:val="0F5F319A"/>
    <w:rsid w:val="0FA97864"/>
    <w:rsid w:val="0FE222BD"/>
    <w:rsid w:val="100920C1"/>
    <w:rsid w:val="101E0BFC"/>
    <w:rsid w:val="10334B7B"/>
    <w:rsid w:val="10853E2D"/>
    <w:rsid w:val="108D4A90"/>
    <w:rsid w:val="10991CB4"/>
    <w:rsid w:val="109E18BC"/>
    <w:rsid w:val="109F1786"/>
    <w:rsid w:val="10B66006"/>
    <w:rsid w:val="10DC4C57"/>
    <w:rsid w:val="11033F6E"/>
    <w:rsid w:val="114B1038"/>
    <w:rsid w:val="11833C9E"/>
    <w:rsid w:val="11A072E5"/>
    <w:rsid w:val="11A3043E"/>
    <w:rsid w:val="11B00A36"/>
    <w:rsid w:val="12207BD8"/>
    <w:rsid w:val="122431D2"/>
    <w:rsid w:val="12383851"/>
    <w:rsid w:val="12552D16"/>
    <w:rsid w:val="12884A1D"/>
    <w:rsid w:val="129A62E4"/>
    <w:rsid w:val="12A66524"/>
    <w:rsid w:val="12A96442"/>
    <w:rsid w:val="12B409FA"/>
    <w:rsid w:val="12B5207C"/>
    <w:rsid w:val="12CE7466"/>
    <w:rsid w:val="12FC4CB1"/>
    <w:rsid w:val="13205120"/>
    <w:rsid w:val="133238F2"/>
    <w:rsid w:val="133632B0"/>
    <w:rsid w:val="133E4B56"/>
    <w:rsid w:val="13737F6D"/>
    <w:rsid w:val="138379D4"/>
    <w:rsid w:val="139C76E4"/>
    <w:rsid w:val="13AC0018"/>
    <w:rsid w:val="13AC347F"/>
    <w:rsid w:val="13B434BC"/>
    <w:rsid w:val="13B57D51"/>
    <w:rsid w:val="13E01126"/>
    <w:rsid w:val="1441006B"/>
    <w:rsid w:val="145204CA"/>
    <w:rsid w:val="14DE2E7C"/>
    <w:rsid w:val="150204BB"/>
    <w:rsid w:val="1534372C"/>
    <w:rsid w:val="15AE5526"/>
    <w:rsid w:val="15B04AEE"/>
    <w:rsid w:val="1618304E"/>
    <w:rsid w:val="16253675"/>
    <w:rsid w:val="164F37AC"/>
    <w:rsid w:val="165D1664"/>
    <w:rsid w:val="16617CC8"/>
    <w:rsid w:val="16BF34C9"/>
    <w:rsid w:val="16C521AE"/>
    <w:rsid w:val="16C536BB"/>
    <w:rsid w:val="16D36ACB"/>
    <w:rsid w:val="16E3365C"/>
    <w:rsid w:val="170C7E6F"/>
    <w:rsid w:val="1718303B"/>
    <w:rsid w:val="1726AE96"/>
    <w:rsid w:val="17404686"/>
    <w:rsid w:val="174048F6"/>
    <w:rsid w:val="1750643D"/>
    <w:rsid w:val="17555201"/>
    <w:rsid w:val="17722D1C"/>
    <w:rsid w:val="17783EFA"/>
    <w:rsid w:val="17BE6FB3"/>
    <w:rsid w:val="17E05DED"/>
    <w:rsid w:val="17E83C2E"/>
    <w:rsid w:val="180C66BA"/>
    <w:rsid w:val="18510A99"/>
    <w:rsid w:val="186500A0"/>
    <w:rsid w:val="187F1162"/>
    <w:rsid w:val="18BF3697"/>
    <w:rsid w:val="19397563"/>
    <w:rsid w:val="195A2AE9"/>
    <w:rsid w:val="196C67E2"/>
    <w:rsid w:val="19886DAA"/>
    <w:rsid w:val="1A013184"/>
    <w:rsid w:val="1A1C0EE8"/>
    <w:rsid w:val="1A3032D0"/>
    <w:rsid w:val="1A82318C"/>
    <w:rsid w:val="1A931D97"/>
    <w:rsid w:val="1A974E89"/>
    <w:rsid w:val="1AAD7EAF"/>
    <w:rsid w:val="1ACE76E4"/>
    <w:rsid w:val="1B076B04"/>
    <w:rsid w:val="1B1A2D75"/>
    <w:rsid w:val="1B23671D"/>
    <w:rsid w:val="1B2E6E70"/>
    <w:rsid w:val="1B3609BF"/>
    <w:rsid w:val="1B4321AB"/>
    <w:rsid w:val="1B5B19AE"/>
    <w:rsid w:val="1B612AED"/>
    <w:rsid w:val="1BB113E7"/>
    <w:rsid w:val="1BB31533"/>
    <w:rsid w:val="1BD417C5"/>
    <w:rsid w:val="1BE60BC0"/>
    <w:rsid w:val="1C365FDC"/>
    <w:rsid w:val="1C802477"/>
    <w:rsid w:val="1C936BAD"/>
    <w:rsid w:val="1CB533A4"/>
    <w:rsid w:val="1CB9754A"/>
    <w:rsid w:val="1CF961DC"/>
    <w:rsid w:val="1D624DEA"/>
    <w:rsid w:val="1D672B3B"/>
    <w:rsid w:val="1D6D4470"/>
    <w:rsid w:val="1D8F781C"/>
    <w:rsid w:val="1D976F4E"/>
    <w:rsid w:val="1DA829ED"/>
    <w:rsid w:val="1DAE04D0"/>
    <w:rsid w:val="1E122A78"/>
    <w:rsid w:val="1E437AC0"/>
    <w:rsid w:val="1E7B4E40"/>
    <w:rsid w:val="1E85153D"/>
    <w:rsid w:val="1EB8717C"/>
    <w:rsid w:val="1EBC2939"/>
    <w:rsid w:val="1ED56280"/>
    <w:rsid w:val="1EE6018D"/>
    <w:rsid w:val="1F1620F4"/>
    <w:rsid w:val="1F336C71"/>
    <w:rsid w:val="1F397B71"/>
    <w:rsid w:val="1F5836A6"/>
    <w:rsid w:val="1F6F5903"/>
    <w:rsid w:val="1F751511"/>
    <w:rsid w:val="1F8B2049"/>
    <w:rsid w:val="1FA626FF"/>
    <w:rsid w:val="1FA71DE7"/>
    <w:rsid w:val="1FD71884"/>
    <w:rsid w:val="200A0936"/>
    <w:rsid w:val="20331065"/>
    <w:rsid w:val="20436F19"/>
    <w:rsid w:val="2064760F"/>
    <w:rsid w:val="20954007"/>
    <w:rsid w:val="20967991"/>
    <w:rsid w:val="20E24984"/>
    <w:rsid w:val="215C5FE4"/>
    <w:rsid w:val="21A31CE9"/>
    <w:rsid w:val="21F3328F"/>
    <w:rsid w:val="220D77DF"/>
    <w:rsid w:val="223E45FA"/>
    <w:rsid w:val="224C5377"/>
    <w:rsid w:val="22C95DFC"/>
    <w:rsid w:val="231D784E"/>
    <w:rsid w:val="23503B9F"/>
    <w:rsid w:val="23536005"/>
    <w:rsid w:val="238241FC"/>
    <w:rsid w:val="23A576CD"/>
    <w:rsid w:val="23B253EA"/>
    <w:rsid w:val="23BB6AF9"/>
    <w:rsid w:val="240B41F2"/>
    <w:rsid w:val="244F0C09"/>
    <w:rsid w:val="247A7E8F"/>
    <w:rsid w:val="2487248D"/>
    <w:rsid w:val="24B65F0C"/>
    <w:rsid w:val="25050C41"/>
    <w:rsid w:val="25472D5C"/>
    <w:rsid w:val="25551BC9"/>
    <w:rsid w:val="256040C9"/>
    <w:rsid w:val="258D3DBD"/>
    <w:rsid w:val="25FD4343"/>
    <w:rsid w:val="26320754"/>
    <w:rsid w:val="26426DDA"/>
    <w:rsid w:val="267F67D1"/>
    <w:rsid w:val="26940493"/>
    <w:rsid w:val="26C54B2C"/>
    <w:rsid w:val="26CC73B7"/>
    <w:rsid w:val="26F57F2D"/>
    <w:rsid w:val="2701689C"/>
    <w:rsid w:val="27053413"/>
    <w:rsid w:val="2759536E"/>
    <w:rsid w:val="27677991"/>
    <w:rsid w:val="277237AB"/>
    <w:rsid w:val="278C564A"/>
    <w:rsid w:val="27A1489A"/>
    <w:rsid w:val="27DC14DC"/>
    <w:rsid w:val="27E321C4"/>
    <w:rsid w:val="27E91702"/>
    <w:rsid w:val="27F36660"/>
    <w:rsid w:val="28237F83"/>
    <w:rsid w:val="285C6DCA"/>
    <w:rsid w:val="286D7229"/>
    <w:rsid w:val="28760EC1"/>
    <w:rsid w:val="288E0033"/>
    <w:rsid w:val="289E5635"/>
    <w:rsid w:val="28A32C4B"/>
    <w:rsid w:val="28BA7F95"/>
    <w:rsid w:val="28FC26B5"/>
    <w:rsid w:val="29043EB7"/>
    <w:rsid w:val="29113F1D"/>
    <w:rsid w:val="291B0A33"/>
    <w:rsid w:val="29361439"/>
    <w:rsid w:val="2940049A"/>
    <w:rsid w:val="294F2CAD"/>
    <w:rsid w:val="298467B5"/>
    <w:rsid w:val="298F0B39"/>
    <w:rsid w:val="29EA1EE8"/>
    <w:rsid w:val="29ED20D9"/>
    <w:rsid w:val="29F3375E"/>
    <w:rsid w:val="2A44045E"/>
    <w:rsid w:val="2A5A1A2F"/>
    <w:rsid w:val="2A6F6731"/>
    <w:rsid w:val="2A812DE1"/>
    <w:rsid w:val="2AD51A9F"/>
    <w:rsid w:val="2AE82C3C"/>
    <w:rsid w:val="2AF82FCE"/>
    <w:rsid w:val="2B397896"/>
    <w:rsid w:val="2B3C4AD2"/>
    <w:rsid w:val="2B5D1CF8"/>
    <w:rsid w:val="2B691F51"/>
    <w:rsid w:val="2B811BD9"/>
    <w:rsid w:val="2BBF5BCF"/>
    <w:rsid w:val="2BDE3F9A"/>
    <w:rsid w:val="2BF13960"/>
    <w:rsid w:val="2C46226B"/>
    <w:rsid w:val="2C7670DB"/>
    <w:rsid w:val="2CB82A3D"/>
    <w:rsid w:val="2CCC4A61"/>
    <w:rsid w:val="2D3533EE"/>
    <w:rsid w:val="2D3F0391"/>
    <w:rsid w:val="2DE460A1"/>
    <w:rsid w:val="2DE75388"/>
    <w:rsid w:val="2E04106F"/>
    <w:rsid w:val="2E440A2C"/>
    <w:rsid w:val="2E5E2F9D"/>
    <w:rsid w:val="2E7E4F9C"/>
    <w:rsid w:val="2EC3377D"/>
    <w:rsid w:val="2EEC6C87"/>
    <w:rsid w:val="2F564879"/>
    <w:rsid w:val="2F6564B6"/>
    <w:rsid w:val="301F5305"/>
    <w:rsid w:val="30304270"/>
    <w:rsid w:val="30523076"/>
    <w:rsid w:val="306068CE"/>
    <w:rsid w:val="3069451C"/>
    <w:rsid w:val="30913CD1"/>
    <w:rsid w:val="3098044D"/>
    <w:rsid w:val="311D6B5D"/>
    <w:rsid w:val="316200B5"/>
    <w:rsid w:val="317233C9"/>
    <w:rsid w:val="317949A7"/>
    <w:rsid w:val="31F44517"/>
    <w:rsid w:val="32006BA4"/>
    <w:rsid w:val="33265EBF"/>
    <w:rsid w:val="33320450"/>
    <w:rsid w:val="334E6E01"/>
    <w:rsid w:val="33664FA1"/>
    <w:rsid w:val="33833DA5"/>
    <w:rsid w:val="33CE0AFF"/>
    <w:rsid w:val="33E657B7"/>
    <w:rsid w:val="3448340A"/>
    <w:rsid w:val="345319C9"/>
    <w:rsid w:val="34655258"/>
    <w:rsid w:val="347321A6"/>
    <w:rsid w:val="34D86A80"/>
    <w:rsid w:val="352449BA"/>
    <w:rsid w:val="35435D4D"/>
    <w:rsid w:val="35B91D00"/>
    <w:rsid w:val="35DC59EE"/>
    <w:rsid w:val="35FA6AA3"/>
    <w:rsid w:val="36010FB1"/>
    <w:rsid w:val="3609607F"/>
    <w:rsid w:val="362A2020"/>
    <w:rsid w:val="36440B6B"/>
    <w:rsid w:val="364E196F"/>
    <w:rsid w:val="36901DDA"/>
    <w:rsid w:val="36DA52C1"/>
    <w:rsid w:val="36E870EC"/>
    <w:rsid w:val="372E04CB"/>
    <w:rsid w:val="37435406"/>
    <w:rsid w:val="375C6319"/>
    <w:rsid w:val="376575CF"/>
    <w:rsid w:val="379540A7"/>
    <w:rsid w:val="379E09FC"/>
    <w:rsid w:val="37D83C94"/>
    <w:rsid w:val="38121FED"/>
    <w:rsid w:val="38723742"/>
    <w:rsid w:val="38A81BB8"/>
    <w:rsid w:val="38C35357"/>
    <w:rsid w:val="392F2353"/>
    <w:rsid w:val="39340EA3"/>
    <w:rsid w:val="39470117"/>
    <w:rsid w:val="394944AC"/>
    <w:rsid w:val="39B873FF"/>
    <w:rsid w:val="3A0016F5"/>
    <w:rsid w:val="3A0E0140"/>
    <w:rsid w:val="3A1D0F77"/>
    <w:rsid w:val="3A1E4827"/>
    <w:rsid w:val="3A396455"/>
    <w:rsid w:val="3A3F02FA"/>
    <w:rsid w:val="3A690450"/>
    <w:rsid w:val="3AE74C19"/>
    <w:rsid w:val="3B251BE5"/>
    <w:rsid w:val="3B301D89"/>
    <w:rsid w:val="3B5B1163"/>
    <w:rsid w:val="3B753C66"/>
    <w:rsid w:val="3B806992"/>
    <w:rsid w:val="3B917377"/>
    <w:rsid w:val="3BA945C4"/>
    <w:rsid w:val="3BC92571"/>
    <w:rsid w:val="3BF30899"/>
    <w:rsid w:val="3C36236C"/>
    <w:rsid w:val="3CAB1AA5"/>
    <w:rsid w:val="3CB26D0F"/>
    <w:rsid w:val="3CFB2BFE"/>
    <w:rsid w:val="3D30573E"/>
    <w:rsid w:val="3D3FD57A"/>
    <w:rsid w:val="3D600CB3"/>
    <w:rsid w:val="3D7309B1"/>
    <w:rsid w:val="3D87084A"/>
    <w:rsid w:val="3D9325EE"/>
    <w:rsid w:val="3DAD67E8"/>
    <w:rsid w:val="3E3E6382"/>
    <w:rsid w:val="3EA956EC"/>
    <w:rsid w:val="3F2A52B7"/>
    <w:rsid w:val="3F35496D"/>
    <w:rsid w:val="3F3611A9"/>
    <w:rsid w:val="3F426204"/>
    <w:rsid w:val="3F6C36BB"/>
    <w:rsid w:val="3F745EDB"/>
    <w:rsid w:val="3F76656C"/>
    <w:rsid w:val="3F90052F"/>
    <w:rsid w:val="3F9B4224"/>
    <w:rsid w:val="3FC52AC7"/>
    <w:rsid w:val="3FCD5001"/>
    <w:rsid w:val="3FDF0721"/>
    <w:rsid w:val="3FEC05AE"/>
    <w:rsid w:val="3FF234DB"/>
    <w:rsid w:val="40697FA8"/>
    <w:rsid w:val="409A272E"/>
    <w:rsid w:val="409F6FC6"/>
    <w:rsid w:val="40B224F1"/>
    <w:rsid w:val="40FB299A"/>
    <w:rsid w:val="41841601"/>
    <w:rsid w:val="41AB2BB8"/>
    <w:rsid w:val="41FF0C17"/>
    <w:rsid w:val="423E265D"/>
    <w:rsid w:val="42446639"/>
    <w:rsid w:val="42644DA1"/>
    <w:rsid w:val="42860821"/>
    <w:rsid w:val="42F779C3"/>
    <w:rsid w:val="43071516"/>
    <w:rsid w:val="43251882"/>
    <w:rsid w:val="4329549E"/>
    <w:rsid w:val="43782324"/>
    <w:rsid w:val="43B041B3"/>
    <w:rsid w:val="43C556AD"/>
    <w:rsid w:val="43D863D7"/>
    <w:rsid w:val="43EFECB7"/>
    <w:rsid w:val="44380293"/>
    <w:rsid w:val="444F4C93"/>
    <w:rsid w:val="44606EAD"/>
    <w:rsid w:val="447F141A"/>
    <w:rsid w:val="44816F08"/>
    <w:rsid w:val="44890AEF"/>
    <w:rsid w:val="44A52931"/>
    <w:rsid w:val="44A709D6"/>
    <w:rsid w:val="44C23F3E"/>
    <w:rsid w:val="44CE29A6"/>
    <w:rsid w:val="454C019D"/>
    <w:rsid w:val="45766416"/>
    <w:rsid w:val="45A73923"/>
    <w:rsid w:val="45A963E0"/>
    <w:rsid w:val="45B67D07"/>
    <w:rsid w:val="45C142B9"/>
    <w:rsid w:val="46625149"/>
    <w:rsid w:val="467E2319"/>
    <w:rsid w:val="46942F25"/>
    <w:rsid w:val="46BC13D0"/>
    <w:rsid w:val="47392CA0"/>
    <w:rsid w:val="47775577"/>
    <w:rsid w:val="477D0228"/>
    <w:rsid w:val="47AA594C"/>
    <w:rsid w:val="47B057D8"/>
    <w:rsid w:val="47B6609F"/>
    <w:rsid w:val="47EC194E"/>
    <w:rsid w:val="480E15BE"/>
    <w:rsid w:val="4867383D"/>
    <w:rsid w:val="487D26F5"/>
    <w:rsid w:val="48933A1B"/>
    <w:rsid w:val="4970227E"/>
    <w:rsid w:val="49AB775A"/>
    <w:rsid w:val="49B25073"/>
    <w:rsid w:val="49B93969"/>
    <w:rsid w:val="49FA4077"/>
    <w:rsid w:val="4A22434E"/>
    <w:rsid w:val="4A370FED"/>
    <w:rsid w:val="4A5D4E41"/>
    <w:rsid w:val="4A633B90"/>
    <w:rsid w:val="4A730277"/>
    <w:rsid w:val="4A8C062D"/>
    <w:rsid w:val="4AA95706"/>
    <w:rsid w:val="4AB03279"/>
    <w:rsid w:val="4ACB32D3"/>
    <w:rsid w:val="4AE25A4B"/>
    <w:rsid w:val="4B0606F9"/>
    <w:rsid w:val="4B174909"/>
    <w:rsid w:val="4B2A2622"/>
    <w:rsid w:val="4B346945"/>
    <w:rsid w:val="4B376D0D"/>
    <w:rsid w:val="4B535A67"/>
    <w:rsid w:val="4B580AD6"/>
    <w:rsid w:val="4B675DC5"/>
    <w:rsid w:val="4BCC1986"/>
    <w:rsid w:val="4BD20FCE"/>
    <w:rsid w:val="4BF70291"/>
    <w:rsid w:val="4C1E4213"/>
    <w:rsid w:val="4C2167AF"/>
    <w:rsid w:val="4C406D33"/>
    <w:rsid w:val="4C4771CD"/>
    <w:rsid w:val="4C561633"/>
    <w:rsid w:val="4C60274C"/>
    <w:rsid w:val="4C651E42"/>
    <w:rsid w:val="4C673AF4"/>
    <w:rsid w:val="4C866006"/>
    <w:rsid w:val="4C886194"/>
    <w:rsid w:val="4CBE1552"/>
    <w:rsid w:val="4CE60751"/>
    <w:rsid w:val="4CE630F7"/>
    <w:rsid w:val="4D01600E"/>
    <w:rsid w:val="4D203FBB"/>
    <w:rsid w:val="4D294535"/>
    <w:rsid w:val="4D3B615E"/>
    <w:rsid w:val="4D8409ED"/>
    <w:rsid w:val="4DB64AD7"/>
    <w:rsid w:val="4DB82445"/>
    <w:rsid w:val="4DCB2178"/>
    <w:rsid w:val="4DCF6B02"/>
    <w:rsid w:val="4DD20383"/>
    <w:rsid w:val="4DDD6DA9"/>
    <w:rsid w:val="4DE97194"/>
    <w:rsid w:val="4DF81459"/>
    <w:rsid w:val="4E094291"/>
    <w:rsid w:val="4E477394"/>
    <w:rsid w:val="4E4A7554"/>
    <w:rsid w:val="4EA604F0"/>
    <w:rsid w:val="4ED7116D"/>
    <w:rsid w:val="4F671808"/>
    <w:rsid w:val="4F674123"/>
    <w:rsid w:val="4F72638E"/>
    <w:rsid w:val="4F820F5D"/>
    <w:rsid w:val="4FA22236"/>
    <w:rsid w:val="4FCB46B2"/>
    <w:rsid w:val="4FD04691"/>
    <w:rsid w:val="4FFE4A87"/>
    <w:rsid w:val="50395ABF"/>
    <w:rsid w:val="503F0445"/>
    <w:rsid w:val="50446212"/>
    <w:rsid w:val="50447FC0"/>
    <w:rsid w:val="50630E7B"/>
    <w:rsid w:val="50744C75"/>
    <w:rsid w:val="5079410E"/>
    <w:rsid w:val="50AF2708"/>
    <w:rsid w:val="50CA2BBB"/>
    <w:rsid w:val="51144849"/>
    <w:rsid w:val="51A503FC"/>
    <w:rsid w:val="51BF000B"/>
    <w:rsid w:val="51C71460"/>
    <w:rsid w:val="51E52AC9"/>
    <w:rsid w:val="51E83731"/>
    <w:rsid w:val="521B4D96"/>
    <w:rsid w:val="52344702"/>
    <w:rsid w:val="523E4760"/>
    <w:rsid w:val="527B56A3"/>
    <w:rsid w:val="52997023"/>
    <w:rsid w:val="52AB0F7A"/>
    <w:rsid w:val="52B67DFB"/>
    <w:rsid w:val="52BC7B9F"/>
    <w:rsid w:val="52DB5DBD"/>
    <w:rsid w:val="532572B9"/>
    <w:rsid w:val="53327DD6"/>
    <w:rsid w:val="53793DAD"/>
    <w:rsid w:val="53BB4A3D"/>
    <w:rsid w:val="53D001BC"/>
    <w:rsid w:val="53D80481"/>
    <w:rsid w:val="54176117"/>
    <w:rsid w:val="54315F74"/>
    <w:rsid w:val="546D3F89"/>
    <w:rsid w:val="55030303"/>
    <w:rsid w:val="551F76EA"/>
    <w:rsid w:val="554A42CB"/>
    <w:rsid w:val="55DA73FC"/>
    <w:rsid w:val="55FC647A"/>
    <w:rsid w:val="56813117"/>
    <w:rsid w:val="56940955"/>
    <w:rsid w:val="56C500AD"/>
    <w:rsid w:val="56CD7546"/>
    <w:rsid w:val="56D44719"/>
    <w:rsid w:val="574F7976"/>
    <w:rsid w:val="577441EE"/>
    <w:rsid w:val="577E37AE"/>
    <w:rsid w:val="5785165B"/>
    <w:rsid w:val="578979E8"/>
    <w:rsid w:val="578D049F"/>
    <w:rsid w:val="57B218D7"/>
    <w:rsid w:val="57B9CD1D"/>
    <w:rsid w:val="57BF2D4E"/>
    <w:rsid w:val="57C739B1"/>
    <w:rsid w:val="57CA524F"/>
    <w:rsid w:val="581A7283"/>
    <w:rsid w:val="581D5D17"/>
    <w:rsid w:val="582E57DE"/>
    <w:rsid w:val="5833655C"/>
    <w:rsid w:val="586631C9"/>
    <w:rsid w:val="586824BE"/>
    <w:rsid w:val="587C35A0"/>
    <w:rsid w:val="58960052"/>
    <w:rsid w:val="58CE368C"/>
    <w:rsid w:val="58D36385"/>
    <w:rsid w:val="58FC27AF"/>
    <w:rsid w:val="590C582C"/>
    <w:rsid w:val="592A0BAD"/>
    <w:rsid w:val="593E3F70"/>
    <w:rsid w:val="5972012C"/>
    <w:rsid w:val="599244A1"/>
    <w:rsid w:val="59A321FB"/>
    <w:rsid w:val="59BD5BCD"/>
    <w:rsid w:val="5A067D2A"/>
    <w:rsid w:val="5A17739C"/>
    <w:rsid w:val="5A4B1587"/>
    <w:rsid w:val="5A601172"/>
    <w:rsid w:val="5A631A37"/>
    <w:rsid w:val="5AB963F8"/>
    <w:rsid w:val="5AFE3CF5"/>
    <w:rsid w:val="5B154D75"/>
    <w:rsid w:val="5B3A222B"/>
    <w:rsid w:val="5B617BE2"/>
    <w:rsid w:val="5B64404F"/>
    <w:rsid w:val="5B74226E"/>
    <w:rsid w:val="5B9316C0"/>
    <w:rsid w:val="5BA1276A"/>
    <w:rsid w:val="5BC851C9"/>
    <w:rsid w:val="5C074CC3"/>
    <w:rsid w:val="5C636EC8"/>
    <w:rsid w:val="5C9B414B"/>
    <w:rsid w:val="5CCB40C0"/>
    <w:rsid w:val="5D135E69"/>
    <w:rsid w:val="5D1C1C15"/>
    <w:rsid w:val="5D445D8A"/>
    <w:rsid w:val="5D973E25"/>
    <w:rsid w:val="5DAD49B8"/>
    <w:rsid w:val="5DD86D44"/>
    <w:rsid w:val="5E086AD1"/>
    <w:rsid w:val="5E64551D"/>
    <w:rsid w:val="5E9272D9"/>
    <w:rsid w:val="5EC41B2D"/>
    <w:rsid w:val="5F04373C"/>
    <w:rsid w:val="5F84234C"/>
    <w:rsid w:val="5F972291"/>
    <w:rsid w:val="5FA961AA"/>
    <w:rsid w:val="5FAFA7A1"/>
    <w:rsid w:val="5FD61E9B"/>
    <w:rsid w:val="5FDA0D65"/>
    <w:rsid w:val="601C26A4"/>
    <w:rsid w:val="602163B7"/>
    <w:rsid w:val="603315F8"/>
    <w:rsid w:val="60C15906"/>
    <w:rsid w:val="60EF32B8"/>
    <w:rsid w:val="61750921"/>
    <w:rsid w:val="619408A3"/>
    <w:rsid w:val="61DC7D16"/>
    <w:rsid w:val="61F0761B"/>
    <w:rsid w:val="622C3CC9"/>
    <w:rsid w:val="62483940"/>
    <w:rsid w:val="62683FFE"/>
    <w:rsid w:val="626B7BBE"/>
    <w:rsid w:val="626D1EB6"/>
    <w:rsid w:val="628F5A13"/>
    <w:rsid w:val="62D54C23"/>
    <w:rsid w:val="63016DD1"/>
    <w:rsid w:val="63100901"/>
    <w:rsid w:val="63322160"/>
    <w:rsid w:val="639B43D5"/>
    <w:rsid w:val="63A1488A"/>
    <w:rsid w:val="63C643AF"/>
    <w:rsid w:val="63D97614"/>
    <w:rsid w:val="63DC34A4"/>
    <w:rsid w:val="640C7147"/>
    <w:rsid w:val="64871C68"/>
    <w:rsid w:val="64B21474"/>
    <w:rsid w:val="64EB0885"/>
    <w:rsid w:val="64EC2CA8"/>
    <w:rsid w:val="64FA2323"/>
    <w:rsid w:val="6512392B"/>
    <w:rsid w:val="65491EA9"/>
    <w:rsid w:val="655C7C96"/>
    <w:rsid w:val="65670581"/>
    <w:rsid w:val="656767D3"/>
    <w:rsid w:val="658D2A0A"/>
    <w:rsid w:val="65A73073"/>
    <w:rsid w:val="65D7323E"/>
    <w:rsid w:val="66012FCE"/>
    <w:rsid w:val="666335DE"/>
    <w:rsid w:val="66C11049"/>
    <w:rsid w:val="67A94E81"/>
    <w:rsid w:val="67B6134C"/>
    <w:rsid w:val="67CA0B72"/>
    <w:rsid w:val="67CC3B81"/>
    <w:rsid w:val="680F6F88"/>
    <w:rsid w:val="68751856"/>
    <w:rsid w:val="687F4DBC"/>
    <w:rsid w:val="68B0223F"/>
    <w:rsid w:val="68C32476"/>
    <w:rsid w:val="68D8692C"/>
    <w:rsid w:val="69012A9A"/>
    <w:rsid w:val="69502135"/>
    <w:rsid w:val="69690D6B"/>
    <w:rsid w:val="69A02E66"/>
    <w:rsid w:val="69EF2FC2"/>
    <w:rsid w:val="69F30635"/>
    <w:rsid w:val="6A0376EC"/>
    <w:rsid w:val="6A135F4F"/>
    <w:rsid w:val="6A152CA1"/>
    <w:rsid w:val="6A5229AB"/>
    <w:rsid w:val="6A5D160B"/>
    <w:rsid w:val="6A642165"/>
    <w:rsid w:val="6A6E23B2"/>
    <w:rsid w:val="6A8A6F85"/>
    <w:rsid w:val="6A993A1E"/>
    <w:rsid w:val="6AE709E9"/>
    <w:rsid w:val="6B105217"/>
    <w:rsid w:val="6B274C79"/>
    <w:rsid w:val="6B3C5BC1"/>
    <w:rsid w:val="6B5C23D6"/>
    <w:rsid w:val="6B6601DA"/>
    <w:rsid w:val="6BAA11C7"/>
    <w:rsid w:val="6BB4054F"/>
    <w:rsid w:val="6BB43DF4"/>
    <w:rsid w:val="6BC26511"/>
    <w:rsid w:val="6BE92778"/>
    <w:rsid w:val="6BF15048"/>
    <w:rsid w:val="6BFE4AE4"/>
    <w:rsid w:val="6C076BDB"/>
    <w:rsid w:val="6C0E1EA8"/>
    <w:rsid w:val="6C3C4900"/>
    <w:rsid w:val="6C434BAA"/>
    <w:rsid w:val="6C500675"/>
    <w:rsid w:val="6C8726D4"/>
    <w:rsid w:val="6C8D40DA"/>
    <w:rsid w:val="6CF027F1"/>
    <w:rsid w:val="6D040FA3"/>
    <w:rsid w:val="6D0843F7"/>
    <w:rsid w:val="6D0E2CC8"/>
    <w:rsid w:val="6D230ABE"/>
    <w:rsid w:val="6D2531FB"/>
    <w:rsid w:val="6D2F49FF"/>
    <w:rsid w:val="6D3276C6"/>
    <w:rsid w:val="6D357338"/>
    <w:rsid w:val="6D5C4B92"/>
    <w:rsid w:val="6D753EA3"/>
    <w:rsid w:val="6DA06D26"/>
    <w:rsid w:val="6DA2397D"/>
    <w:rsid w:val="6DCA3DA3"/>
    <w:rsid w:val="6DD130D6"/>
    <w:rsid w:val="6DDF784E"/>
    <w:rsid w:val="6E02353D"/>
    <w:rsid w:val="6E380945"/>
    <w:rsid w:val="6E55366C"/>
    <w:rsid w:val="6E570978"/>
    <w:rsid w:val="6E7855AD"/>
    <w:rsid w:val="6E9A750A"/>
    <w:rsid w:val="6EAB3831"/>
    <w:rsid w:val="6ED55DC5"/>
    <w:rsid w:val="6F040A2E"/>
    <w:rsid w:val="6F6F2FDD"/>
    <w:rsid w:val="6FAC391D"/>
    <w:rsid w:val="6FC74D28"/>
    <w:rsid w:val="6FE50A20"/>
    <w:rsid w:val="6FE52AC9"/>
    <w:rsid w:val="6FE57328"/>
    <w:rsid w:val="6FF07DF1"/>
    <w:rsid w:val="709A50F6"/>
    <w:rsid w:val="70C06122"/>
    <w:rsid w:val="70E94563"/>
    <w:rsid w:val="7108106E"/>
    <w:rsid w:val="714C145F"/>
    <w:rsid w:val="714D0AD3"/>
    <w:rsid w:val="716A2178"/>
    <w:rsid w:val="718D136F"/>
    <w:rsid w:val="71B72890"/>
    <w:rsid w:val="72224B26"/>
    <w:rsid w:val="72262DF6"/>
    <w:rsid w:val="72655E48"/>
    <w:rsid w:val="728D7448"/>
    <w:rsid w:val="72B77831"/>
    <w:rsid w:val="72D27981"/>
    <w:rsid w:val="72F571CC"/>
    <w:rsid w:val="73217FC1"/>
    <w:rsid w:val="73256BB1"/>
    <w:rsid w:val="73322C56"/>
    <w:rsid w:val="73335F46"/>
    <w:rsid w:val="733C129F"/>
    <w:rsid w:val="736D76AA"/>
    <w:rsid w:val="73BE3747"/>
    <w:rsid w:val="73C5355A"/>
    <w:rsid w:val="74231484"/>
    <w:rsid w:val="742B6FC0"/>
    <w:rsid w:val="74377D6C"/>
    <w:rsid w:val="7440091B"/>
    <w:rsid w:val="745E5245"/>
    <w:rsid w:val="74963D93"/>
    <w:rsid w:val="74C567AD"/>
    <w:rsid w:val="751758C6"/>
    <w:rsid w:val="751C0CFD"/>
    <w:rsid w:val="75880E08"/>
    <w:rsid w:val="75DE7E4F"/>
    <w:rsid w:val="761B33ED"/>
    <w:rsid w:val="76214A5C"/>
    <w:rsid w:val="76645403"/>
    <w:rsid w:val="76657803"/>
    <w:rsid w:val="767B6AC5"/>
    <w:rsid w:val="767D11EE"/>
    <w:rsid w:val="767D7A70"/>
    <w:rsid w:val="76883226"/>
    <w:rsid w:val="76995555"/>
    <w:rsid w:val="76BB697E"/>
    <w:rsid w:val="76D559C3"/>
    <w:rsid w:val="770E0CB1"/>
    <w:rsid w:val="771E0F3F"/>
    <w:rsid w:val="773E7369"/>
    <w:rsid w:val="774A5534"/>
    <w:rsid w:val="77696A28"/>
    <w:rsid w:val="77B50922"/>
    <w:rsid w:val="77C55AAE"/>
    <w:rsid w:val="77D22E2F"/>
    <w:rsid w:val="77E024B2"/>
    <w:rsid w:val="77E74D17"/>
    <w:rsid w:val="780542BD"/>
    <w:rsid w:val="781E650B"/>
    <w:rsid w:val="78306EF8"/>
    <w:rsid w:val="784616F4"/>
    <w:rsid w:val="78866B18"/>
    <w:rsid w:val="789D68D7"/>
    <w:rsid w:val="78E95542"/>
    <w:rsid w:val="78F85C68"/>
    <w:rsid w:val="79245834"/>
    <w:rsid w:val="796926C2"/>
    <w:rsid w:val="79782F53"/>
    <w:rsid w:val="797D616D"/>
    <w:rsid w:val="798871E1"/>
    <w:rsid w:val="79DB4D30"/>
    <w:rsid w:val="7A556AE8"/>
    <w:rsid w:val="7A7D49D4"/>
    <w:rsid w:val="7A8A0B42"/>
    <w:rsid w:val="7A9FD029"/>
    <w:rsid w:val="7AA0453D"/>
    <w:rsid w:val="7AB93465"/>
    <w:rsid w:val="7AC53928"/>
    <w:rsid w:val="7AFE7F3A"/>
    <w:rsid w:val="7B2A7C2F"/>
    <w:rsid w:val="7B564EC8"/>
    <w:rsid w:val="7B8B1F37"/>
    <w:rsid w:val="7B8C08E9"/>
    <w:rsid w:val="7BC260F0"/>
    <w:rsid w:val="7BE73476"/>
    <w:rsid w:val="7BF4409C"/>
    <w:rsid w:val="7C2C354E"/>
    <w:rsid w:val="7C552AC9"/>
    <w:rsid w:val="7C600496"/>
    <w:rsid w:val="7C6A03D6"/>
    <w:rsid w:val="7C9E3F24"/>
    <w:rsid w:val="7CC47319"/>
    <w:rsid w:val="7CFE4100"/>
    <w:rsid w:val="7CFE75C5"/>
    <w:rsid w:val="7D0A4D35"/>
    <w:rsid w:val="7D41796E"/>
    <w:rsid w:val="7D747887"/>
    <w:rsid w:val="7D764606"/>
    <w:rsid w:val="7D795BE9"/>
    <w:rsid w:val="7D7A3E9C"/>
    <w:rsid w:val="7D811C59"/>
    <w:rsid w:val="7D8B60EA"/>
    <w:rsid w:val="7DB56849"/>
    <w:rsid w:val="7DCB60D5"/>
    <w:rsid w:val="7DCC29D4"/>
    <w:rsid w:val="7E0601E7"/>
    <w:rsid w:val="7E213FFE"/>
    <w:rsid w:val="7E3C26A8"/>
    <w:rsid w:val="7E605227"/>
    <w:rsid w:val="7E630278"/>
    <w:rsid w:val="7E9B375D"/>
    <w:rsid w:val="7ECD47FF"/>
    <w:rsid w:val="7ED20601"/>
    <w:rsid w:val="7EE60311"/>
    <w:rsid w:val="7EEC7CF2"/>
    <w:rsid w:val="7F2B68D8"/>
    <w:rsid w:val="7F2F4128"/>
    <w:rsid w:val="7F312F29"/>
    <w:rsid w:val="7F34107C"/>
    <w:rsid w:val="7F3A50F7"/>
    <w:rsid w:val="7F587EDC"/>
    <w:rsid w:val="7F726CC5"/>
    <w:rsid w:val="7F741DC0"/>
    <w:rsid w:val="7F772004"/>
    <w:rsid w:val="7F847808"/>
    <w:rsid w:val="7FD66C64"/>
    <w:rsid w:val="7FEE1B73"/>
    <w:rsid w:val="BB035929"/>
    <w:rsid w:val="CFFBDF65"/>
    <w:rsid w:val="DF578E7C"/>
    <w:rsid w:val="EFDA6B69"/>
    <w:rsid w:val="EFFFD106"/>
    <w:rsid w:val="F1392D50"/>
    <w:rsid w:val="F2DF7FE8"/>
    <w:rsid w:val="FDDEED8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qFormat="1"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600" w:lineRule="exact"/>
      <w:ind w:firstLine="643" w:firstLineChars="200"/>
      <w:jc w:val="both"/>
    </w:pPr>
    <w:rPr>
      <w:rFonts w:ascii="Times New Roman" w:hAnsi="Times New Roman" w:eastAsia="仿宋_GB2312" w:cstheme="minorBidi"/>
      <w:kern w:val="2"/>
      <w:sz w:val="32"/>
      <w:szCs w:val="24"/>
      <w:lang w:val="en-US" w:eastAsia="zh-CN" w:bidi="ar-SA"/>
    </w:rPr>
  </w:style>
  <w:style w:type="paragraph" w:styleId="3">
    <w:name w:val="heading 1"/>
    <w:basedOn w:val="1"/>
    <w:next w:val="1"/>
    <w:link w:val="37"/>
    <w:qFormat/>
    <w:uiPriority w:val="0"/>
    <w:pPr>
      <w:keepNext/>
      <w:keepLines/>
      <w:spacing w:before="50" w:beforeLines="50" w:after="50" w:afterLines="50" w:line="560" w:lineRule="exact"/>
      <w:ind w:firstLine="640" w:firstLineChars="200"/>
      <w:jc w:val="center"/>
      <w:outlineLvl w:val="0"/>
    </w:pPr>
    <w:rPr>
      <w:rFonts w:eastAsia="黑体"/>
      <w:kern w:val="44"/>
    </w:rPr>
  </w:style>
  <w:style w:type="paragraph" w:styleId="2">
    <w:name w:val="heading 2"/>
    <w:basedOn w:val="1"/>
    <w:next w:val="1"/>
    <w:link w:val="32"/>
    <w:unhideWhenUsed/>
    <w:qFormat/>
    <w:uiPriority w:val="0"/>
    <w:pPr>
      <w:keepNext/>
      <w:keepLines/>
      <w:spacing w:before="50" w:beforeLines="50" w:after="50" w:afterLines="50"/>
      <w:ind w:firstLine="602"/>
      <w:jc w:val="left"/>
      <w:outlineLvl w:val="1"/>
    </w:pPr>
    <w:rPr>
      <w:rFonts w:ascii="Arial" w:hAnsi="Arial" w:eastAsia="楷体"/>
      <w:b/>
    </w:rPr>
  </w:style>
  <w:style w:type="paragraph" w:styleId="4">
    <w:name w:val="heading 3"/>
    <w:basedOn w:val="1"/>
    <w:next w:val="1"/>
    <w:link w:val="33"/>
    <w:unhideWhenUsed/>
    <w:qFormat/>
    <w:uiPriority w:val="0"/>
    <w:pPr>
      <w:keepNext/>
      <w:keepLines/>
      <w:spacing w:before="50" w:beforeLines="50" w:after="50" w:afterLines="50"/>
      <w:ind w:firstLine="640"/>
      <w:jc w:val="left"/>
      <w:outlineLvl w:val="2"/>
    </w:pPr>
    <w:rPr>
      <w:rFonts w:cs="Times New Roman"/>
      <w:b/>
      <w:szCs w:val="22"/>
    </w:rPr>
  </w:style>
  <w:style w:type="paragraph" w:styleId="5">
    <w:name w:val="heading 4"/>
    <w:basedOn w:val="1"/>
    <w:next w:val="1"/>
    <w:unhideWhenUsed/>
    <w:qFormat/>
    <w:uiPriority w:val="0"/>
    <w:pPr>
      <w:keepNext/>
      <w:keepLines/>
      <w:spacing w:before="50" w:beforeLines="50" w:after="50" w:afterLines="50"/>
      <w:ind w:firstLine="600"/>
      <w:jc w:val="left"/>
      <w:outlineLvl w:val="3"/>
    </w:pPr>
    <w:rPr>
      <w:rFonts w:cs="Times New Roman"/>
      <w:b/>
      <w:bCs/>
      <w:szCs w:val="28"/>
    </w:rPr>
  </w:style>
  <w:style w:type="paragraph" w:styleId="6">
    <w:name w:val="heading 5"/>
    <w:basedOn w:val="1"/>
    <w:next w:val="1"/>
    <w:unhideWhenUsed/>
    <w:qFormat/>
    <w:uiPriority w:val="0"/>
    <w:pPr>
      <w:keepNext/>
      <w:keepLines/>
      <w:numPr>
        <w:ilvl w:val="4"/>
        <w:numId w:val="1"/>
      </w:numPr>
      <w:spacing w:before="280" w:after="290" w:line="372" w:lineRule="auto"/>
      <w:ind w:firstLine="0" w:firstLineChars="0"/>
      <w:outlineLvl w:val="4"/>
    </w:pPr>
    <w:rPr>
      <w:b/>
      <w:sz w:val="28"/>
    </w:rPr>
  </w:style>
  <w:style w:type="paragraph" w:styleId="7">
    <w:name w:val="heading 6"/>
    <w:basedOn w:val="1"/>
    <w:next w:val="1"/>
    <w:unhideWhenUsed/>
    <w:qFormat/>
    <w:uiPriority w:val="0"/>
    <w:pPr>
      <w:keepNext/>
      <w:keepLines/>
      <w:numPr>
        <w:ilvl w:val="5"/>
        <w:numId w:val="1"/>
      </w:numPr>
      <w:spacing w:before="240" w:after="64" w:line="317" w:lineRule="auto"/>
      <w:ind w:firstLine="0" w:firstLineChars="0"/>
      <w:outlineLvl w:val="5"/>
    </w:pPr>
    <w:rPr>
      <w:rFonts w:ascii="Arial" w:hAnsi="Arial" w:eastAsia="黑体"/>
      <w:b/>
      <w:sz w:val="24"/>
    </w:rPr>
  </w:style>
  <w:style w:type="paragraph" w:styleId="8">
    <w:name w:val="heading 7"/>
    <w:basedOn w:val="1"/>
    <w:next w:val="1"/>
    <w:unhideWhenUsed/>
    <w:qFormat/>
    <w:uiPriority w:val="0"/>
    <w:pPr>
      <w:keepNext/>
      <w:keepLines/>
      <w:numPr>
        <w:ilvl w:val="6"/>
        <w:numId w:val="1"/>
      </w:numPr>
      <w:spacing w:before="240" w:after="64" w:line="317" w:lineRule="auto"/>
      <w:ind w:firstLine="0" w:firstLineChars="0"/>
      <w:outlineLvl w:val="6"/>
    </w:pPr>
    <w:rPr>
      <w:b/>
      <w:sz w:val="24"/>
    </w:rPr>
  </w:style>
  <w:style w:type="paragraph" w:styleId="9">
    <w:name w:val="heading 8"/>
    <w:basedOn w:val="1"/>
    <w:next w:val="1"/>
    <w:unhideWhenUsed/>
    <w:qFormat/>
    <w:uiPriority w:val="0"/>
    <w:pPr>
      <w:keepNext/>
      <w:keepLines/>
      <w:numPr>
        <w:ilvl w:val="7"/>
        <w:numId w:val="1"/>
      </w:numPr>
      <w:spacing w:before="240" w:after="64" w:line="317" w:lineRule="auto"/>
      <w:ind w:firstLine="0" w:firstLineChars="0"/>
      <w:outlineLvl w:val="7"/>
    </w:pPr>
    <w:rPr>
      <w:rFonts w:ascii="Arial" w:hAnsi="Arial" w:eastAsia="黑体"/>
      <w:sz w:val="24"/>
    </w:rPr>
  </w:style>
  <w:style w:type="paragraph" w:styleId="10">
    <w:name w:val="heading 9"/>
    <w:basedOn w:val="1"/>
    <w:next w:val="1"/>
    <w:unhideWhenUsed/>
    <w:qFormat/>
    <w:uiPriority w:val="0"/>
    <w:pPr>
      <w:keepNext/>
      <w:keepLines/>
      <w:numPr>
        <w:ilvl w:val="8"/>
        <w:numId w:val="1"/>
      </w:numPr>
      <w:spacing w:before="240" w:after="64" w:line="317" w:lineRule="auto"/>
      <w:ind w:firstLine="0" w:firstLineChars="0"/>
      <w:outlineLvl w:val="8"/>
    </w:pPr>
    <w:rPr>
      <w:rFonts w:ascii="Arial" w:hAnsi="Arial" w:eastAsia="黑体"/>
      <w:sz w:val="21"/>
    </w:rPr>
  </w:style>
  <w:style w:type="character" w:default="1" w:styleId="28">
    <w:name w:val="Default Paragraph Font"/>
    <w:unhideWhenUsed/>
    <w:qFormat/>
    <w:uiPriority w:val="1"/>
  </w:style>
  <w:style w:type="table" w:default="1" w:styleId="26">
    <w:name w:val="Normal Table"/>
    <w:unhideWhenUsed/>
    <w:qFormat/>
    <w:uiPriority w:val="99"/>
    <w:tblPr>
      <w:tblCellMar>
        <w:top w:w="0" w:type="dxa"/>
        <w:left w:w="108" w:type="dxa"/>
        <w:bottom w:w="0" w:type="dxa"/>
        <w:right w:w="108" w:type="dxa"/>
      </w:tblCellMar>
    </w:tblPr>
  </w:style>
  <w:style w:type="paragraph" w:styleId="11">
    <w:name w:val="Note Heading"/>
    <w:basedOn w:val="1"/>
    <w:next w:val="1"/>
    <w:qFormat/>
    <w:uiPriority w:val="0"/>
    <w:pPr>
      <w:jc w:val="left"/>
    </w:pPr>
  </w:style>
  <w:style w:type="paragraph" w:styleId="12">
    <w:name w:val="Normal Indent"/>
    <w:basedOn w:val="1"/>
    <w:qFormat/>
    <w:uiPriority w:val="0"/>
    <w:pPr>
      <w:ind w:firstLine="420"/>
    </w:pPr>
  </w:style>
  <w:style w:type="paragraph" w:styleId="13">
    <w:name w:val="annotation text"/>
    <w:basedOn w:val="1"/>
    <w:link w:val="46"/>
    <w:qFormat/>
    <w:uiPriority w:val="0"/>
    <w:pPr>
      <w:jc w:val="left"/>
    </w:pPr>
  </w:style>
  <w:style w:type="paragraph" w:styleId="14">
    <w:name w:val="Body Text"/>
    <w:basedOn w:val="1"/>
    <w:link w:val="34"/>
    <w:qFormat/>
    <w:uiPriority w:val="0"/>
    <w:rPr>
      <w:sz w:val="30"/>
    </w:rPr>
  </w:style>
  <w:style w:type="paragraph" w:styleId="15">
    <w:name w:val="Body Text Indent"/>
    <w:basedOn w:val="1"/>
    <w:next w:val="16"/>
    <w:qFormat/>
    <w:uiPriority w:val="0"/>
    <w:pPr>
      <w:spacing w:after="120"/>
      <w:ind w:left="420" w:leftChars="200"/>
    </w:pPr>
  </w:style>
  <w:style w:type="paragraph" w:customStyle="1" w:styleId="16">
    <w:name w:val="Quote"/>
    <w:next w:val="1"/>
    <w:qFormat/>
    <w:uiPriority w:val="0"/>
    <w:pPr>
      <w:wordWrap w:val="0"/>
      <w:spacing w:before="200" w:after="160"/>
      <w:ind w:left="864" w:right="864"/>
      <w:jc w:val="center"/>
    </w:pPr>
    <w:rPr>
      <w:rFonts w:ascii="Calibri" w:hAnsi="Calibri" w:eastAsia="宋体" w:cs="Times New Roman"/>
      <w:i/>
      <w:sz w:val="21"/>
      <w:lang w:val="en-US" w:eastAsia="zh-CN" w:bidi="ar-SA"/>
    </w:rPr>
  </w:style>
  <w:style w:type="paragraph" w:styleId="17">
    <w:name w:val="toc 3"/>
    <w:basedOn w:val="1"/>
    <w:next w:val="1"/>
    <w:qFormat/>
    <w:uiPriority w:val="0"/>
    <w:pPr>
      <w:tabs>
        <w:tab w:val="left" w:pos="1680"/>
        <w:tab w:val="right" w:leader="dot" w:pos="8937"/>
      </w:tabs>
      <w:ind w:left="840" w:leftChars="400"/>
    </w:pPr>
    <w:rPr>
      <w:rFonts w:cs="Times New Roman"/>
    </w:rPr>
  </w:style>
  <w:style w:type="paragraph" w:styleId="18">
    <w:name w:val="footer"/>
    <w:basedOn w:val="1"/>
    <w:next w:val="1"/>
    <w:link w:val="38"/>
    <w:qFormat/>
    <w:uiPriority w:val="0"/>
    <w:pPr>
      <w:tabs>
        <w:tab w:val="center" w:pos="4153"/>
        <w:tab w:val="right" w:pos="8306"/>
      </w:tabs>
      <w:snapToGrid w:val="0"/>
      <w:jc w:val="left"/>
    </w:pPr>
    <w:rPr>
      <w:rFonts w:eastAsia="宋体"/>
      <w:sz w:val="28"/>
      <w:szCs w:val="18"/>
    </w:rPr>
  </w:style>
  <w:style w:type="paragraph" w:styleId="1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20">
    <w:name w:val="toc 1"/>
    <w:basedOn w:val="1"/>
    <w:next w:val="1"/>
    <w:qFormat/>
    <w:uiPriority w:val="39"/>
  </w:style>
  <w:style w:type="paragraph" w:styleId="21">
    <w:name w:val="toc 2"/>
    <w:basedOn w:val="1"/>
    <w:next w:val="1"/>
    <w:qFormat/>
    <w:uiPriority w:val="39"/>
    <w:pPr>
      <w:ind w:left="420" w:leftChars="200" w:firstLine="880"/>
    </w:pPr>
    <w:rPr>
      <w:rFonts w:cs="Times New Roman"/>
    </w:rPr>
  </w:style>
  <w:style w:type="paragraph" w:styleId="22">
    <w:name w:val="Normal (Web)"/>
    <w:basedOn w:val="1"/>
    <w:qFormat/>
    <w:uiPriority w:val="99"/>
    <w:rPr>
      <w:rFonts w:cs="Times New Roman"/>
      <w:sz w:val="24"/>
    </w:rPr>
  </w:style>
  <w:style w:type="paragraph" w:styleId="23">
    <w:name w:val="Title"/>
    <w:basedOn w:val="1"/>
    <w:next w:val="1"/>
    <w:qFormat/>
    <w:uiPriority w:val="0"/>
    <w:pPr>
      <w:spacing w:before="240" w:after="60"/>
      <w:jc w:val="center"/>
      <w:outlineLvl w:val="0"/>
    </w:pPr>
    <w:rPr>
      <w:rFonts w:ascii="Arial" w:hAnsi="Arial"/>
      <w:b/>
    </w:rPr>
  </w:style>
  <w:style w:type="paragraph" w:styleId="24">
    <w:name w:val="annotation subject"/>
    <w:basedOn w:val="13"/>
    <w:next w:val="13"/>
    <w:link w:val="47"/>
    <w:qFormat/>
    <w:uiPriority w:val="0"/>
    <w:rPr>
      <w:b/>
      <w:bCs/>
    </w:rPr>
  </w:style>
  <w:style w:type="paragraph" w:styleId="25">
    <w:name w:val="Body Text First Indent 2"/>
    <w:basedOn w:val="15"/>
    <w:next w:val="1"/>
    <w:qFormat/>
    <w:uiPriority w:val="0"/>
    <w:pPr>
      <w:ind w:firstLine="420"/>
    </w:p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22"/>
    <w:rPr>
      <w:b/>
      <w:bCs/>
    </w:rPr>
  </w:style>
  <w:style w:type="character" w:styleId="30">
    <w:name w:val="Hyperlink"/>
    <w:basedOn w:val="28"/>
    <w:unhideWhenUsed/>
    <w:qFormat/>
    <w:uiPriority w:val="99"/>
    <w:rPr>
      <w:color w:val="0563C1" w:themeColor="hyperlink"/>
      <w:u w:val="single"/>
      <w14:textFill>
        <w14:solidFill>
          <w14:schemeClr w14:val="hlink"/>
        </w14:solidFill>
      </w14:textFill>
    </w:rPr>
  </w:style>
  <w:style w:type="character" w:styleId="31">
    <w:name w:val="annotation reference"/>
    <w:basedOn w:val="28"/>
    <w:qFormat/>
    <w:uiPriority w:val="0"/>
    <w:rPr>
      <w:sz w:val="21"/>
      <w:szCs w:val="21"/>
    </w:rPr>
  </w:style>
  <w:style w:type="character" w:customStyle="1" w:styleId="32">
    <w:name w:val="标题 2 字符"/>
    <w:link w:val="2"/>
    <w:qFormat/>
    <w:uiPriority w:val="0"/>
    <w:rPr>
      <w:rFonts w:ascii="Arial" w:hAnsi="Arial" w:eastAsia="楷体" w:cstheme="minorBidi"/>
      <w:b/>
      <w:color w:val="000000"/>
      <w:kern w:val="2"/>
      <w:sz w:val="32"/>
      <w:szCs w:val="32"/>
      <w:lang w:val="en-US" w:bidi="ar-SA"/>
    </w:rPr>
  </w:style>
  <w:style w:type="character" w:customStyle="1" w:styleId="33">
    <w:name w:val="标题 3 字符"/>
    <w:link w:val="4"/>
    <w:qFormat/>
    <w:uiPriority w:val="0"/>
    <w:rPr>
      <w:rFonts w:ascii="Times New Roman" w:hAnsi="Times New Roman" w:eastAsia="仿宋_GB2312" w:cs="Times New Roman"/>
      <w:b/>
      <w:szCs w:val="22"/>
    </w:rPr>
  </w:style>
  <w:style w:type="character" w:customStyle="1" w:styleId="34">
    <w:name w:val="正文文本 字符"/>
    <w:link w:val="14"/>
    <w:qFormat/>
    <w:uiPriority w:val="1"/>
    <w:rPr>
      <w:rFonts w:ascii="宋体" w:hAnsi="宋体" w:eastAsia="宋体" w:cs="宋体"/>
      <w:sz w:val="30"/>
      <w:szCs w:val="24"/>
      <w:lang w:val="zh-CN" w:eastAsia="zh-CN" w:bidi="zh-CN"/>
    </w:rPr>
  </w:style>
  <w:style w:type="paragraph" w:customStyle="1" w:styleId="35">
    <w:name w:val="图专栏"/>
    <w:link w:val="36"/>
    <w:qFormat/>
    <w:uiPriority w:val="0"/>
    <w:pPr>
      <w:widowControl w:val="0"/>
      <w:spacing w:line="600" w:lineRule="exact"/>
      <w:jc w:val="center"/>
    </w:pPr>
    <w:rPr>
      <w:rFonts w:ascii="Times New Roman" w:hAnsi="Times New Roman" w:eastAsia="仿宋" w:cs="Times New Roman"/>
      <w:b/>
      <w:kern w:val="2"/>
      <w:sz w:val="28"/>
      <w:szCs w:val="24"/>
      <w:lang w:val="en-US" w:eastAsia="zh-CN" w:bidi="ar-SA"/>
    </w:rPr>
  </w:style>
  <w:style w:type="character" w:customStyle="1" w:styleId="36">
    <w:name w:val="图专栏 Char"/>
    <w:link w:val="35"/>
    <w:qFormat/>
    <w:uiPriority w:val="0"/>
    <w:rPr>
      <w:rFonts w:ascii="Times New Roman" w:hAnsi="Times New Roman" w:eastAsia="仿宋" w:cs="Times New Roman"/>
      <w:b/>
      <w:kern w:val="2"/>
      <w:sz w:val="28"/>
      <w:szCs w:val="24"/>
    </w:rPr>
  </w:style>
  <w:style w:type="character" w:customStyle="1" w:styleId="37">
    <w:name w:val="标题 1 字符"/>
    <w:link w:val="3"/>
    <w:qFormat/>
    <w:uiPriority w:val="9"/>
    <w:rPr>
      <w:rFonts w:ascii="Times New Roman" w:hAnsi="Times New Roman" w:eastAsia="黑体" w:cstheme="minorBidi"/>
      <w:bCs/>
      <w:kern w:val="44"/>
      <w:sz w:val="32"/>
      <w:szCs w:val="44"/>
    </w:rPr>
  </w:style>
  <w:style w:type="character" w:customStyle="1" w:styleId="38">
    <w:name w:val="页脚 字符"/>
    <w:link w:val="18"/>
    <w:qFormat/>
    <w:uiPriority w:val="99"/>
    <w:rPr>
      <w:rFonts w:ascii="Times New Roman" w:hAnsi="Times New Roman" w:eastAsia="宋体"/>
      <w:kern w:val="2"/>
      <w:sz w:val="28"/>
      <w:szCs w:val="18"/>
    </w:rPr>
  </w:style>
  <w:style w:type="paragraph" w:customStyle="1" w:styleId="39">
    <w:name w:val="图表标题"/>
    <w:basedOn w:val="1"/>
    <w:link w:val="40"/>
    <w:qFormat/>
    <w:uiPriority w:val="0"/>
    <w:pPr>
      <w:adjustRightInd w:val="0"/>
      <w:snapToGrid w:val="0"/>
      <w:spacing w:line="440" w:lineRule="exact"/>
      <w:ind w:firstLine="0" w:firstLineChars="0"/>
      <w:jc w:val="center"/>
    </w:pPr>
    <w:rPr>
      <w:b/>
      <w:bCs/>
      <w:sz w:val="28"/>
    </w:rPr>
  </w:style>
  <w:style w:type="character" w:customStyle="1" w:styleId="40">
    <w:name w:val="图表标题 字符"/>
    <w:basedOn w:val="28"/>
    <w:link w:val="39"/>
    <w:qFormat/>
    <w:uiPriority w:val="0"/>
    <w:rPr>
      <w:rFonts w:ascii="Times New Roman" w:hAnsi="Times New Roman" w:eastAsia="仿宋" w:cstheme="minorBidi"/>
      <w:b/>
      <w:bCs/>
      <w:kern w:val="2"/>
      <w:sz w:val="28"/>
      <w:szCs w:val="24"/>
    </w:rPr>
  </w:style>
  <w:style w:type="paragraph" w:customStyle="1" w:styleId="41">
    <w:name w:val="WPSOffice手动目录 1"/>
    <w:qFormat/>
    <w:uiPriority w:val="0"/>
    <w:rPr>
      <w:rFonts w:ascii="Times New Roman" w:hAnsi="Times New Roman" w:eastAsia="宋体" w:cs="Times New Roman"/>
      <w:lang w:val="en-US" w:eastAsia="zh-CN" w:bidi="ar-SA"/>
    </w:rPr>
  </w:style>
  <w:style w:type="paragraph" w:customStyle="1" w:styleId="42">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3">
    <w:name w:val="Char Char5"/>
    <w:basedOn w:val="1"/>
    <w:qFormat/>
    <w:uiPriority w:val="0"/>
    <w:pPr>
      <w:tabs>
        <w:tab w:val="left" w:pos="360"/>
      </w:tabs>
      <w:spacing w:line="560" w:lineRule="exact"/>
      <w:ind w:firstLine="960"/>
    </w:pPr>
    <w:rPr>
      <w:rFonts w:eastAsia="仿宋_GB2312" w:cs="Times New Roman"/>
      <w:szCs w:val="32"/>
    </w:rPr>
  </w:style>
  <w:style w:type="paragraph" w:customStyle="1" w:styleId="44">
    <w:name w:val="List Paragraph"/>
    <w:basedOn w:val="1"/>
    <w:qFormat/>
    <w:uiPriority w:val="99"/>
    <w:pPr>
      <w:ind w:firstLine="420"/>
    </w:pPr>
  </w:style>
  <w:style w:type="paragraph" w:customStyle="1" w:styleId="45">
    <w:name w:val="Revision"/>
    <w:hidden/>
    <w:semiHidden/>
    <w:qFormat/>
    <w:uiPriority w:val="99"/>
    <w:rPr>
      <w:rFonts w:ascii="Times New Roman" w:hAnsi="Times New Roman" w:eastAsia="方正仿宋简体" w:cstheme="minorBidi"/>
      <w:kern w:val="2"/>
      <w:sz w:val="32"/>
      <w:szCs w:val="24"/>
      <w:lang w:val="en-US" w:eastAsia="zh-CN" w:bidi="ar-SA"/>
    </w:rPr>
  </w:style>
  <w:style w:type="character" w:customStyle="1" w:styleId="46">
    <w:name w:val="批注文字 字符"/>
    <w:basedOn w:val="28"/>
    <w:link w:val="13"/>
    <w:qFormat/>
    <w:uiPriority w:val="0"/>
    <w:rPr>
      <w:rFonts w:eastAsia="方正仿宋简体" w:cstheme="minorBidi"/>
      <w:kern w:val="2"/>
      <w:sz w:val="32"/>
      <w:szCs w:val="24"/>
    </w:rPr>
  </w:style>
  <w:style w:type="character" w:customStyle="1" w:styleId="47">
    <w:name w:val="批注主题 字符"/>
    <w:basedOn w:val="46"/>
    <w:link w:val="24"/>
    <w:qFormat/>
    <w:uiPriority w:val="0"/>
    <w:rPr>
      <w:rFonts w:eastAsia="方正仿宋简体" w:cstheme="minorBidi"/>
      <w:b/>
      <w:bCs/>
      <w:kern w:val="2"/>
      <w:sz w:val="32"/>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image" Target="media/image5.png"/><Relationship Id="rId22" Type="http://schemas.openxmlformats.org/officeDocument/2006/relationships/image" Target="media/image4.png"/><Relationship Id="rId21" Type="http://schemas.openxmlformats.org/officeDocument/2006/relationships/image" Target="media/image3.png"/><Relationship Id="rId20" Type="http://schemas.openxmlformats.org/officeDocument/2006/relationships/image" Target="media/image2.png"/><Relationship Id="rId2" Type="http://schemas.openxmlformats.org/officeDocument/2006/relationships/settings" Target="settings.xml"/><Relationship Id="rId19" Type="http://schemas.openxmlformats.org/officeDocument/2006/relationships/image" Target="media/image1.png"/><Relationship Id="rId18" Type="http://schemas.openxmlformats.org/officeDocument/2006/relationships/chart" Target="charts/chart4.xml"/><Relationship Id="rId17" Type="http://schemas.openxmlformats.org/officeDocument/2006/relationships/chart" Target="charts/chart3.xml"/><Relationship Id="rId16" Type="http://schemas.openxmlformats.org/officeDocument/2006/relationships/chart" Target="charts/chart2.xml"/><Relationship Id="rId15" Type="http://schemas.openxmlformats.org/officeDocument/2006/relationships/chart" Target="charts/chart1.xml"/><Relationship Id="rId14" Type="http://schemas.openxmlformats.org/officeDocument/2006/relationships/theme" Target="theme/theme1.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26234;&#27719;&#23665;&#28023;\Documents\WeChat%20Files\wxid_gmuc0wgel6v622\FileStorage\File\2022-02\&#21516;&#24515;&#21439;&#32593;&#28857;&#35268;&#21010;&#30456;&#20851;&#25968;&#25454;&#34920;&#26684;&#24037;&#20316;&#31807;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oleObject" Target="file:///C:\Users\&#26234;&#27719;&#23665;&#28023;\Documents\WeChat%20Files\wxid_gmuc0wgel6v622\FileStorage\File\2022-02\&#21516;&#24515;&#21439;&#32593;&#28857;&#35268;&#21010;&#30456;&#20851;&#25968;&#25454;&#34920;&#26684;&#24037;&#20316;&#31807;1.xlsx" TargetMode="External"/></Relationships>
</file>

<file path=word/charts/_rels/chart3.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oleObject" Target="file:///C:\Users\&#26234;&#27719;&#23665;&#28023;\Documents\WeChat%20Files\wxid_gmuc0wgel6v622\FileStorage\File\2022-02\&#21516;&#24515;&#21439;&#32593;&#28857;&#35268;&#21010;&#30456;&#20851;&#25968;&#25454;&#34920;&#26684;&#24037;&#20316;&#31807;1.xlsx" TargetMode="External"/></Relationships>
</file>

<file path=word/charts/_rels/chart4.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oleObject" Target="file:///C:\Users\&#26234;&#27719;&#23665;&#28023;\Documents\WeChat%20Files\wxid_gmuc0wgel6v622\FileStorage\File\2022-02\&#21516;&#24515;&#21439;&#32593;&#28857;&#35268;&#21010;&#30456;&#20851;&#25968;&#25454;&#34920;&#26684;&#24037;&#20316;&#31807;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[同心县网点规划相关数据表格工作簿1.xlsx]Sheet1!$I$4</c:f>
              <c:strCache>
                <c:ptCount val="1"/>
                <c:pt idx="0">
                  <c:v>地区生产总值(亿元）</c:v>
                </c:pt>
              </c:strCache>
            </c:strRef>
          </c:tx>
          <c:spPr>
            <a:solidFill>
              <a:schemeClr val="accent1"/>
            </a:solidFill>
            <a:ln>
              <a:noFill/>
            </a:ln>
            <a:effectLst/>
          </c:spPr>
          <c:invertIfNegative val="0"/>
          <c:dLbls>
            <c:dLbl>
              <c:idx val="4"/>
              <c:layout>
                <c:manualLayout>
                  <c:x val="0"/>
                  <c:y val="0.0162037037037037"/>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[同心县网点规划相关数据表格工作簿1.xlsx]Sheet1!$J$1:$O$1</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[同心县网点规划相关数据表格工作簿1.xlsx]Sheet1!$J$4:$O$4</c:f>
              <c:numCache>
                <c:formatCode>General</c:formatCode>
                <c:ptCount val="6"/>
                <c:pt idx="0">
                  <c:v>60.88</c:v>
                </c:pt>
                <c:pt idx="1">
                  <c:v>71.79</c:v>
                </c:pt>
                <c:pt idx="2">
                  <c:v>82.09</c:v>
                </c:pt>
                <c:pt idx="3">
                  <c:v>91.83</c:v>
                </c:pt>
                <c:pt idx="4">
                  <c:v>103</c:v>
                </c:pt>
                <c:pt idx="5">
                  <c:v>121.6</c:v>
                </c:pt>
              </c:numCache>
            </c:numRef>
          </c:val>
        </c:ser>
        <c:dLbls>
          <c:showLegendKey val="0"/>
          <c:showVal val="1"/>
          <c:showCatName val="0"/>
          <c:showSerName val="0"/>
          <c:showPercent val="0"/>
          <c:showBubbleSize val="0"/>
        </c:dLbls>
        <c:gapWidth val="219"/>
        <c:overlap val="-27"/>
        <c:axId val="753855691"/>
        <c:axId val="957234910"/>
      </c:barChart>
      <c:lineChart>
        <c:grouping val="standard"/>
        <c:varyColors val="0"/>
        <c:ser>
          <c:idx val="1"/>
          <c:order val="1"/>
          <c:tx>
            <c:strRef>
              <c:f>[同心县网点规划相关数据表格工作簿1.xlsx]Sheet1!$I$6</c:f>
              <c:strCache>
                <c:ptCount val="1"/>
                <c:pt idx="0">
                  <c:v>GOP增长率(%)</c:v>
                </c:pt>
              </c:strCache>
            </c:strRef>
          </c:tx>
          <c:spPr>
            <a:ln w="28575" cap="rnd">
              <a:solidFill>
                <a:schemeClr val="accent2"/>
              </a:solidFill>
              <a:round/>
            </a:ln>
            <a:effectLst/>
          </c:spPr>
          <c:marker>
            <c:symbol val="none"/>
          </c:marker>
          <c:dLbls>
            <c:dLbl>
              <c:idx val="4"/>
              <c:layout>
                <c:manualLayout>
                  <c:x val="-0.0152777777777778"/>
                  <c:y val="-0.0416666666666667"/>
                </c:manualLayout>
              </c:layout>
              <c:dLblPos val="r"/>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[同心县网点规划相关数据表格工作簿1.xlsx]Sheet1!$J$1:$O$1</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[同心县网点规划相关数据表格工作簿1.xlsx]Sheet1!$J$6:$O$6</c:f>
              <c:numCache>
                <c:formatCode>General</c:formatCode>
                <c:ptCount val="6"/>
                <c:pt idx="0">
                  <c:v>11.6</c:v>
                </c:pt>
                <c:pt idx="1">
                  <c:v>9.6</c:v>
                </c:pt>
                <c:pt idx="2">
                  <c:v>9.7</c:v>
                </c:pt>
                <c:pt idx="3">
                  <c:v>10</c:v>
                </c:pt>
                <c:pt idx="4">
                  <c:v>10</c:v>
                </c:pt>
                <c:pt idx="5">
                  <c:v>8.5</c:v>
                </c:pt>
              </c:numCache>
            </c:numRef>
          </c:val>
          <c:smooth val="0"/>
        </c:ser>
        <c:dLbls>
          <c:showLegendKey val="0"/>
          <c:showVal val="1"/>
          <c:showCatName val="0"/>
          <c:showSerName val="0"/>
          <c:showPercent val="0"/>
          <c:showBubbleSize val="0"/>
        </c:dLbls>
        <c:marker val="0"/>
        <c:smooth val="0"/>
        <c:axId val="859444031"/>
        <c:axId val="853786862"/>
      </c:lineChart>
      <c:catAx>
        <c:axId val="753855691"/>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57234910"/>
        <c:crosses val="autoZero"/>
        <c:auto val="1"/>
        <c:lblAlgn val="ctr"/>
        <c:lblOffset val="100"/>
        <c:noMultiLvlLbl val="0"/>
      </c:catAx>
      <c:valAx>
        <c:axId val="95723491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753855691"/>
        <c:crosses val="autoZero"/>
        <c:crossBetween val="between"/>
      </c:valAx>
      <c:catAx>
        <c:axId val="859444031"/>
        <c:scaling>
          <c:orientation val="minMax"/>
        </c:scaling>
        <c:delete val="1"/>
        <c:axPos val="b"/>
        <c:majorTickMark val="out"/>
        <c:minorTickMark val="none"/>
        <c:tickLblPos val="nextTo"/>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853786862"/>
        <c:crosses val="autoZero"/>
        <c:auto val="1"/>
        <c:lblAlgn val="ctr"/>
        <c:lblOffset val="100"/>
        <c:noMultiLvlLbl val="0"/>
      </c:catAx>
      <c:valAx>
        <c:axId val="853786862"/>
        <c:scaling>
          <c:orientation val="minMax"/>
        </c:scaling>
        <c:delete val="0"/>
        <c:axPos val="r"/>
        <c:numFmt formatCode="General" sourceLinked="1"/>
        <c:majorTickMark val="out"/>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859444031"/>
        <c:crosses val="max"/>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[同心县网点规划相关数据表格工作簿1.xlsx]Sheet1!$A$2</c:f>
              <c:strCache>
                <c:ptCount val="1"/>
                <c:pt idx="0">
                  <c:v>第一产业占比</c:v>
                </c:pt>
              </c:strCache>
            </c:strRef>
          </c:tx>
          <c:spPr>
            <a:ln w="28575" cap="rnd">
              <a:solidFill>
                <a:schemeClr val="accent1"/>
              </a:solidFill>
              <a:round/>
            </a:ln>
            <a:effectLst/>
          </c:spPr>
          <c:marker>
            <c:symbol val="none"/>
          </c:marker>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[同心县网点规划相关数据表格工作簿1.xlsx]Sheet1!$B$1:$G$1</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[同心县网点规划相关数据表格工作簿1.xlsx]Sheet1!$B$2:$G$2</c:f>
              <c:numCache>
                <c:formatCode>General</c:formatCode>
                <c:ptCount val="6"/>
                <c:pt idx="0">
                  <c:v>20</c:v>
                </c:pt>
                <c:pt idx="1">
                  <c:v>18</c:v>
                </c:pt>
                <c:pt idx="2">
                  <c:v>15</c:v>
                </c:pt>
                <c:pt idx="3">
                  <c:v>15</c:v>
                </c:pt>
                <c:pt idx="4">
                  <c:v>16</c:v>
                </c:pt>
                <c:pt idx="5">
                  <c:v>17</c:v>
                </c:pt>
              </c:numCache>
            </c:numRef>
          </c:val>
          <c:smooth val="0"/>
        </c:ser>
        <c:ser>
          <c:idx val="1"/>
          <c:order val="1"/>
          <c:tx>
            <c:strRef>
              <c:f>[同心县网点规划相关数据表格工作簿1.xlsx]Sheet1!$A$3</c:f>
              <c:strCache>
                <c:ptCount val="1"/>
                <c:pt idx="0">
                  <c:v>第二产业占比</c:v>
                </c:pt>
              </c:strCache>
            </c:strRef>
          </c:tx>
          <c:spPr>
            <a:ln w="28575" cap="rnd">
              <a:solidFill>
                <a:schemeClr val="accent2"/>
              </a:solidFill>
              <a:round/>
            </a:ln>
            <a:effectLst/>
          </c:spPr>
          <c:marker>
            <c:symbol val="none"/>
          </c:marker>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[同心县网点规划相关数据表格工作簿1.xlsx]Sheet1!$B$1:$G$1</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[同心县网点规划相关数据表格工作簿1.xlsx]Sheet1!$B$3:$G$3</c:f>
              <c:numCache>
                <c:formatCode>General</c:formatCode>
                <c:ptCount val="6"/>
                <c:pt idx="0">
                  <c:v>41</c:v>
                </c:pt>
                <c:pt idx="1">
                  <c:v>30</c:v>
                </c:pt>
                <c:pt idx="2">
                  <c:v>34</c:v>
                </c:pt>
                <c:pt idx="3">
                  <c:v>35</c:v>
                </c:pt>
                <c:pt idx="4">
                  <c:v>35</c:v>
                </c:pt>
                <c:pt idx="5">
                  <c:v>38</c:v>
                </c:pt>
              </c:numCache>
            </c:numRef>
          </c:val>
          <c:smooth val="0"/>
        </c:ser>
        <c:ser>
          <c:idx val="2"/>
          <c:order val="2"/>
          <c:tx>
            <c:strRef>
              <c:f>[同心县网点规划相关数据表格工作簿1.xlsx]Sheet1!$A$4</c:f>
              <c:strCache>
                <c:ptCount val="1"/>
                <c:pt idx="0">
                  <c:v>第三产业占比</c:v>
                </c:pt>
              </c:strCache>
            </c:strRef>
          </c:tx>
          <c:spPr>
            <a:ln w="28575" cap="rnd">
              <a:solidFill>
                <a:schemeClr val="accent3"/>
              </a:solidFill>
              <a:round/>
            </a:ln>
            <a:effectLst/>
          </c:spPr>
          <c:marker>
            <c:symbol val="none"/>
          </c:marker>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[同心县网点规划相关数据表格工作簿1.xlsx]Sheet1!$B$1:$G$1</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[同心县网点规划相关数据表格工作簿1.xlsx]Sheet1!$B$4:$G$4</c:f>
              <c:numCache>
                <c:formatCode>General</c:formatCode>
                <c:ptCount val="6"/>
                <c:pt idx="0">
                  <c:v>39</c:v>
                </c:pt>
                <c:pt idx="1">
                  <c:v>52</c:v>
                </c:pt>
                <c:pt idx="2">
                  <c:v>51</c:v>
                </c:pt>
                <c:pt idx="3">
                  <c:v>50</c:v>
                </c:pt>
                <c:pt idx="4">
                  <c:v>49</c:v>
                </c:pt>
                <c:pt idx="5">
                  <c:v>45</c:v>
                </c:pt>
              </c:numCache>
            </c:numRef>
          </c:val>
          <c:smooth val="0"/>
        </c:ser>
        <c:dLbls>
          <c:showLegendKey val="0"/>
          <c:showVal val="1"/>
          <c:showCatName val="0"/>
          <c:showSerName val="0"/>
          <c:showPercent val="0"/>
          <c:showBubbleSize val="0"/>
        </c:dLbls>
        <c:marker val="0"/>
        <c:smooth val="0"/>
        <c:axId val="919853108"/>
        <c:axId val="337981209"/>
      </c:lineChart>
      <c:catAx>
        <c:axId val="919853108"/>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337981209"/>
        <c:crosses val="autoZero"/>
        <c:auto val="1"/>
        <c:lblAlgn val="ctr"/>
        <c:lblOffset val="100"/>
        <c:noMultiLvlLbl val="0"/>
      </c:catAx>
      <c:valAx>
        <c:axId val="337981209"/>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19853108"/>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[同心县网点规划相关数据表格工作簿1.xlsx]Sheet1!$I$5</c:f>
              <c:strCache>
                <c:ptCount val="1"/>
                <c:pt idx="0">
                  <c:v>地区消费品总额（亿元）</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[同心县网点规划相关数据表格工作簿1.xlsx]Sheet1!$J$1:$O$1</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[同心县网点规划相关数据表格工作簿1.xlsx]Sheet1!$J$5:$O$5</c:f>
              <c:numCache>
                <c:formatCode>General</c:formatCode>
                <c:ptCount val="6"/>
                <c:pt idx="0">
                  <c:v>12.01</c:v>
                </c:pt>
                <c:pt idx="1">
                  <c:v>13.22</c:v>
                </c:pt>
                <c:pt idx="2">
                  <c:v>13.89</c:v>
                </c:pt>
                <c:pt idx="3">
                  <c:v>28.65</c:v>
                </c:pt>
                <c:pt idx="4">
                  <c:v>27.61</c:v>
                </c:pt>
                <c:pt idx="5">
                  <c:v>28.59</c:v>
                </c:pt>
              </c:numCache>
            </c:numRef>
          </c:val>
        </c:ser>
        <c:dLbls>
          <c:showLegendKey val="0"/>
          <c:showVal val="1"/>
          <c:showCatName val="0"/>
          <c:showSerName val="0"/>
          <c:showPercent val="0"/>
          <c:showBubbleSize val="0"/>
        </c:dLbls>
        <c:gapWidth val="219"/>
        <c:overlap val="-27"/>
        <c:axId val="42860716"/>
        <c:axId val="215627572"/>
      </c:barChart>
      <c:lineChart>
        <c:grouping val="standard"/>
        <c:varyColors val="0"/>
        <c:ser>
          <c:idx val="1"/>
          <c:order val="1"/>
          <c:tx>
            <c:strRef>
              <c:f>[同心县网点规划相关数据表格工作簿1.xlsx]Sheet1!$I$7</c:f>
              <c:strCache>
                <c:ptCount val="1"/>
                <c:pt idx="0">
                  <c:v>增长率（%）</c:v>
                </c:pt>
              </c:strCache>
            </c:strRef>
          </c:tx>
          <c:spPr>
            <a:ln w="28575" cap="rnd">
              <a:solidFill>
                <a:schemeClr val="accent2"/>
              </a:solidFill>
              <a:round/>
            </a:ln>
            <a:effectLst/>
          </c:spPr>
          <c:marker>
            <c:symbol val="none"/>
          </c:marker>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r"/>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[同心县网点规划相关数据表格工作簿1.xlsx]Sheet1!$J$1:$O$1</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[同心县网点规划相关数据表格工作簿1.xlsx]Sheet1!$J$7:$O$7</c:f>
              <c:numCache>
                <c:formatCode>General</c:formatCode>
                <c:ptCount val="6"/>
                <c:pt idx="0">
                  <c:v>6.5</c:v>
                </c:pt>
                <c:pt idx="1">
                  <c:v>10.1</c:v>
                </c:pt>
                <c:pt idx="2">
                  <c:v>5.1</c:v>
                </c:pt>
                <c:pt idx="3">
                  <c:v>4.3</c:v>
                </c:pt>
                <c:pt idx="4">
                  <c:v>-3.6</c:v>
                </c:pt>
                <c:pt idx="5">
                  <c:v>3.5</c:v>
                </c:pt>
              </c:numCache>
            </c:numRef>
          </c:val>
          <c:smooth val="0"/>
        </c:ser>
        <c:dLbls>
          <c:showLegendKey val="0"/>
          <c:showVal val="1"/>
          <c:showCatName val="0"/>
          <c:showSerName val="0"/>
          <c:showPercent val="0"/>
          <c:showBubbleSize val="0"/>
        </c:dLbls>
        <c:marker val="0"/>
        <c:smooth val="0"/>
        <c:axId val="953460680"/>
        <c:axId val="133136803"/>
      </c:lineChart>
      <c:catAx>
        <c:axId val="42860716"/>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15627572"/>
        <c:crosses val="autoZero"/>
        <c:auto val="1"/>
        <c:lblAlgn val="ctr"/>
        <c:lblOffset val="100"/>
        <c:noMultiLvlLbl val="0"/>
      </c:catAx>
      <c:valAx>
        <c:axId val="21562757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42860716"/>
        <c:crosses val="autoZero"/>
        <c:crossBetween val="between"/>
      </c:valAx>
      <c:catAx>
        <c:axId val="953460680"/>
        <c:scaling>
          <c:orientation val="minMax"/>
        </c:scaling>
        <c:delete val="1"/>
        <c:axPos val="b"/>
        <c:majorTickMark val="out"/>
        <c:minorTickMark val="none"/>
        <c:tickLblPos val="nextTo"/>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133136803"/>
        <c:crosses val="autoZero"/>
        <c:auto val="1"/>
        <c:lblAlgn val="ctr"/>
        <c:lblOffset val="100"/>
        <c:noMultiLvlLbl val="0"/>
      </c:catAx>
      <c:valAx>
        <c:axId val="133136803"/>
        <c:scaling>
          <c:orientation val="minMax"/>
        </c:scaling>
        <c:delete val="0"/>
        <c:axPos val="r"/>
        <c:numFmt formatCode="General" sourceLinked="1"/>
        <c:majorTickMark val="out"/>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953460680"/>
        <c:crosses val="max"/>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[同心县网点规划相关数据表格工作簿1.xlsx]Sheet1!$A$9</c:f>
              <c:strCache>
                <c:ptCount val="1"/>
                <c:pt idx="0">
                  <c:v>城镇居民人均消费支出</c:v>
                </c:pt>
              </c:strCache>
            </c:strRef>
          </c:tx>
          <c:spPr>
            <a:solidFill>
              <a:schemeClr val="accent1"/>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[同心县网点规划相关数据表格工作簿1.xlsx]Sheet1!$B$8:$G$8</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[同心县网点规划相关数据表格工作簿1.xlsx]Sheet1!$B$9:$G$9</c:f>
              <c:numCache>
                <c:formatCode>General</c:formatCode>
                <c:ptCount val="6"/>
                <c:pt idx="0">
                  <c:v>20277</c:v>
                </c:pt>
                <c:pt idx="1">
                  <c:v>22101</c:v>
                </c:pt>
                <c:pt idx="2">
                  <c:v>23803</c:v>
                </c:pt>
                <c:pt idx="3">
                  <c:v>25661</c:v>
                </c:pt>
                <c:pt idx="4">
                  <c:v>27127</c:v>
                </c:pt>
                <c:pt idx="5">
                  <c:v>29037</c:v>
                </c:pt>
              </c:numCache>
            </c:numRef>
          </c:val>
        </c:ser>
        <c:ser>
          <c:idx val="1"/>
          <c:order val="1"/>
          <c:tx>
            <c:strRef>
              <c:f>[同心县网点规划相关数据表格工作簿1.xlsx]Sheet1!$A$11</c:f>
              <c:strCache>
                <c:ptCount val="1"/>
                <c:pt idx="0">
                  <c:v>农村居民人均消费支出</c:v>
                </c:pt>
              </c:strCache>
            </c:strRef>
          </c:tx>
          <c:spPr>
            <a:solidFill>
              <a:schemeClr val="accent2"/>
            </a:solidFill>
            <a:ln>
              <a:noFill/>
            </a:ln>
            <a:effectLst/>
          </c:spPr>
          <c:invertIfNegative val="0"/>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numRef>
              <c:f>[同心县网点规划相关数据表格工作簿1.xlsx]Sheet1!$B$8:$G$8</c:f>
              <c:numCache>
                <c:formatCode>General</c:formatCode>
                <c:ptCount val="6"/>
                <c:pt idx="0">
                  <c:v>2016</c:v>
                </c:pt>
                <c:pt idx="1">
                  <c:v>2017</c:v>
                </c:pt>
                <c:pt idx="2">
                  <c:v>2018</c:v>
                </c:pt>
                <c:pt idx="3">
                  <c:v>2019</c:v>
                </c:pt>
                <c:pt idx="4">
                  <c:v>2020</c:v>
                </c:pt>
                <c:pt idx="5">
                  <c:v>2021</c:v>
                </c:pt>
              </c:numCache>
            </c:numRef>
          </c:cat>
          <c:val>
            <c:numRef>
              <c:f>[同心县网点规划相关数据表格工作簿1.xlsx]Sheet1!$B$11:$G$11</c:f>
              <c:numCache>
                <c:formatCode>General</c:formatCode>
                <c:ptCount val="6"/>
                <c:pt idx="0">
                  <c:v>7388</c:v>
                </c:pt>
                <c:pt idx="1">
                  <c:v>8216</c:v>
                </c:pt>
                <c:pt idx="2">
                  <c:v>9185</c:v>
                </c:pt>
                <c:pt idx="3">
                  <c:v>10279</c:v>
                </c:pt>
                <c:pt idx="4">
                  <c:v>11339</c:v>
                </c:pt>
                <c:pt idx="5">
                  <c:v>12656</c:v>
                </c:pt>
              </c:numCache>
            </c:numRef>
          </c:val>
        </c:ser>
        <c:dLbls>
          <c:showLegendKey val="0"/>
          <c:showVal val="1"/>
          <c:showCatName val="0"/>
          <c:showSerName val="0"/>
          <c:showPercent val="0"/>
          <c:showBubbleSize val="0"/>
        </c:dLbls>
        <c:gapWidth val="219"/>
        <c:overlap val="-27"/>
        <c:axId val="234570055"/>
        <c:axId val="297227332"/>
      </c:barChart>
      <c:catAx>
        <c:axId val="234570055"/>
        <c:scaling>
          <c:orientation val="minMax"/>
        </c:scaling>
        <c:delete val="0"/>
        <c:axPos val="b"/>
        <c:majorTickMark val="none"/>
        <c:minorTickMark val="none"/>
        <c:tickLblPos val="nextTo"/>
        <c:spPr>
          <a:noFill/>
          <a:ln w="9525" cap="flat" cmpd="sng" algn="ctr">
            <a:solidFill>
              <a:schemeClr val="tx1">
                <a:lumMod val="15000"/>
                <a:lumOff val="85000"/>
              </a:schemeClr>
            </a:solidFill>
            <a:round/>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97227332"/>
        <c:crosses val="autoZero"/>
        <c:auto val="1"/>
        <c:lblAlgn val="ctr"/>
        <c:lblOffset val="100"/>
        <c:noMultiLvlLbl val="0"/>
      </c:catAx>
      <c:valAx>
        <c:axId val="29722733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34570055"/>
        <c:crosses val="autoZero"/>
        <c:crossBetween val="between"/>
      </c:valAx>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extobjs>
    <extobj name="ECB019B1-382A-4266-B25C-5B523AA43C14-1">
      <extobjdata type="ECB019B1-382A-4266-B25C-5B523AA43C14" data="ewoJIkZpbGVJZCIgOiAiMTU1OTg4MjY4ODcxIiwKCSJHcm91cElkIiA6ICI2MTUyNzYyMjQiLAoJIkltYWdlIiA6ICJpVkJPUncwS0dnb0FBQUFOU1VoRVVnQUFBandBQUFFK0NBWUFBQUNKTDhvTUFBQUFDWEJJV1hNQUFBc1RBQUFMRXdFQW1wd1lBQUFnQUVsRVFWUjRuT3pkZDFpVDE5c0g4RzhHRUJLMkxKbUNBaTRFd1ZIM3dGR3QvV21kVmRHaTFXcHJIZFRXYXV0NjY2eEszUk50RWJFcXpsYnFSbkZiQjRLSUNqSUVVUUZqMkNHTUpPOGZtS2NKU1NCeGkvZm51bnBkNURuUE9LRkNiczY1ejMwQ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"/>
    </extobj>
  </extobj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58</Pages>
  <Words>25493</Words>
  <Characters>26660</Characters>
  <Lines>199</Lines>
  <Paragraphs>56</Paragraphs>
  <TotalTime>23</TotalTime>
  <ScaleCrop>false</ScaleCrop>
  <LinksUpToDate>false</LinksUpToDate>
  <CharactersWithSpaces>26835</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2022-01-30T03:00:00Z</dcterms:created>
  <dc:creator>feat mellwo</dc:creator>
  <cp:lastModifiedBy>懒喵喵%</cp:lastModifiedBy>
  <dcterms:modified xsi:type="dcterms:W3CDTF">2023-04-16T07:35:10Z</dcterms:modified>
  <cp:revision>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152006FB2C85F9F61F7F3364FC65025D_43</vt:lpwstr>
  </property>
</Properties>
</file>